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ppt" ContentType="application/vnd.ms-powerpoint"/>
  <Default Extension="pptx" ContentType="application/vnd.openxmlformats-officedocument.presentationml.presentation"/>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1F0F29" w14:textId="77777777" w:rsidR="00B74A7B" w:rsidRDefault="00B74A7B" w:rsidP="00091A1A">
      <w:pPr>
        <w:pStyle w:val="Footnote"/>
      </w:pPr>
      <w:bookmarkStart w:id="0" w:name="_Hlk164688793"/>
      <w:bookmarkEnd w:id="0"/>
    </w:p>
    <w:p w14:paraId="6CA33AAC" w14:textId="77777777" w:rsidR="00B74A7B" w:rsidRDefault="00B74A7B" w:rsidP="002D6C54">
      <w:pPr>
        <w:spacing w:line="240" w:lineRule="auto"/>
        <w:jc w:val="center"/>
        <w:rPr>
          <w:sz w:val="72"/>
          <w:szCs w:val="72"/>
        </w:rPr>
      </w:pPr>
    </w:p>
    <w:p w14:paraId="6936BEB5" w14:textId="4C3E95DE" w:rsidR="00D30C23" w:rsidRDefault="00764D61" w:rsidP="002D6C54">
      <w:pPr>
        <w:bidi/>
        <w:spacing w:line="240" w:lineRule="auto"/>
        <w:jc w:val="center"/>
        <w:rPr>
          <w:rFonts w:asciiTheme="majorBidi" w:hAnsiTheme="majorBidi" w:cstheme="majorBidi"/>
          <w:b/>
          <w:bCs/>
          <w:color w:val="FF0000"/>
          <w:sz w:val="96"/>
          <w:szCs w:val="96"/>
          <w:rtl/>
          <w:lang w:bidi="ar-JO"/>
        </w:rPr>
      </w:pPr>
      <w:bookmarkStart w:id="1" w:name="_Hlk178777638"/>
      <w:r>
        <w:rPr>
          <w:rFonts w:asciiTheme="majorBidi" w:hAnsiTheme="majorBidi" w:cstheme="majorBidi" w:hint="cs"/>
          <w:b/>
          <w:bCs/>
          <w:color w:val="FF0000"/>
          <w:sz w:val="96"/>
          <w:szCs w:val="96"/>
          <w:rtl/>
          <w:lang w:bidi="ar-JO"/>
        </w:rPr>
        <w:t xml:space="preserve">أساس العهد القديم: </w:t>
      </w:r>
    </w:p>
    <w:p w14:paraId="18085119" w14:textId="16E93C2C" w:rsidR="00764D61" w:rsidRPr="00962F6D" w:rsidRDefault="00764D61" w:rsidP="002D6C54">
      <w:pPr>
        <w:bidi/>
        <w:spacing w:line="240" w:lineRule="auto"/>
        <w:jc w:val="center"/>
        <w:rPr>
          <w:rFonts w:asciiTheme="majorBidi" w:hAnsiTheme="majorBidi" w:cstheme="majorBidi"/>
          <w:b/>
          <w:bCs/>
          <w:color w:val="FF0000"/>
          <w:sz w:val="96"/>
          <w:szCs w:val="96"/>
          <w:rtl/>
          <w:lang w:bidi="ar-JO"/>
        </w:rPr>
      </w:pPr>
      <w:r>
        <w:rPr>
          <w:rFonts w:asciiTheme="majorBidi" w:hAnsiTheme="majorBidi" w:cstheme="majorBidi" w:hint="cs"/>
          <w:b/>
          <w:bCs/>
          <w:color w:val="FF0000"/>
          <w:sz w:val="96"/>
          <w:szCs w:val="96"/>
          <w:rtl/>
          <w:lang w:bidi="ar-JO"/>
        </w:rPr>
        <w:t>التكوين إلى راعوث</w:t>
      </w:r>
    </w:p>
    <w:bookmarkEnd w:id="1"/>
    <w:p w14:paraId="77FB652E" w14:textId="77777777" w:rsidR="00D30C23" w:rsidRDefault="00D30C23" w:rsidP="002D6C54">
      <w:pPr>
        <w:spacing w:line="240" w:lineRule="auto"/>
        <w:jc w:val="center"/>
        <w:rPr>
          <w:rFonts w:asciiTheme="majorBidi" w:hAnsiTheme="majorBidi" w:cstheme="majorBidi"/>
          <w:b/>
          <w:bCs/>
          <w:color w:val="0070C0"/>
          <w:sz w:val="96"/>
          <w:szCs w:val="96"/>
        </w:rPr>
      </w:pPr>
    </w:p>
    <w:p w14:paraId="0814D135" w14:textId="77777777" w:rsidR="00D30C23" w:rsidRDefault="00D30C23" w:rsidP="002D6C54">
      <w:pPr>
        <w:spacing w:line="240" w:lineRule="auto"/>
        <w:jc w:val="center"/>
        <w:rPr>
          <w:rFonts w:asciiTheme="majorBidi" w:hAnsiTheme="majorBidi" w:cstheme="majorBidi"/>
          <w:b/>
          <w:bCs/>
          <w:color w:val="0070C0"/>
          <w:sz w:val="96"/>
          <w:szCs w:val="96"/>
        </w:rPr>
      </w:pPr>
    </w:p>
    <w:p w14:paraId="26C82E91" w14:textId="77777777" w:rsidR="00D30C23" w:rsidRDefault="00D30C23" w:rsidP="002D6C54">
      <w:pPr>
        <w:spacing w:line="240" w:lineRule="auto"/>
        <w:jc w:val="center"/>
        <w:rPr>
          <w:rFonts w:asciiTheme="majorBidi" w:hAnsiTheme="majorBidi" w:cstheme="majorBidi"/>
          <w:b/>
          <w:bCs/>
          <w:color w:val="0070C0"/>
          <w:sz w:val="96"/>
          <w:szCs w:val="96"/>
        </w:rPr>
      </w:pPr>
    </w:p>
    <w:p w14:paraId="568CDB00" w14:textId="4850E8D3" w:rsidR="00536200" w:rsidRPr="00536200" w:rsidRDefault="00536200" w:rsidP="002D6C54">
      <w:pPr>
        <w:bidi/>
        <w:spacing w:line="240" w:lineRule="auto"/>
        <w:jc w:val="center"/>
        <w:rPr>
          <w:rFonts w:asciiTheme="minorHAnsi" w:hAnsiTheme="minorHAnsi" w:cs="Simplified Arabic"/>
          <w:color w:val="auto"/>
          <w:kern w:val="0"/>
          <w:sz w:val="40"/>
          <w:szCs w:val="40"/>
          <w:rtl/>
          <w:lang w:bidi="ar-JO"/>
          <w14:ligatures w14:val="none"/>
        </w:rPr>
      </w:pPr>
      <w:r w:rsidRPr="00536200">
        <w:rPr>
          <w:rFonts w:asciiTheme="minorHAnsi" w:hAnsiTheme="minorHAnsi" w:cs="Simplified Arabic" w:hint="cs"/>
          <w:color w:val="auto"/>
          <w:kern w:val="0"/>
          <w:sz w:val="40"/>
          <w:szCs w:val="40"/>
          <w:rtl/>
          <w:lang w:bidi="ar-JO"/>
          <w14:ligatures w14:val="none"/>
        </w:rPr>
        <w:t>ج. بو</w:t>
      </w:r>
      <w:r>
        <w:rPr>
          <w:rFonts w:asciiTheme="minorHAnsi" w:hAnsiTheme="minorHAnsi" w:cs="Simplified Arabic" w:hint="cs"/>
          <w:color w:val="auto"/>
          <w:kern w:val="0"/>
          <w:sz w:val="40"/>
          <w:szCs w:val="40"/>
          <w:rtl/>
          <w:lang w:bidi="ar-JO"/>
          <w14:ligatures w14:val="none"/>
        </w:rPr>
        <w:t>و</w:t>
      </w:r>
      <w:r w:rsidRPr="00536200">
        <w:rPr>
          <w:rFonts w:asciiTheme="minorHAnsi" w:hAnsiTheme="minorHAnsi" w:cs="Simplified Arabic" w:hint="cs"/>
          <w:color w:val="auto"/>
          <w:kern w:val="0"/>
          <w:sz w:val="40"/>
          <w:szCs w:val="40"/>
          <w:rtl/>
          <w:lang w:bidi="ar-JO"/>
          <w14:ligatures w14:val="none"/>
        </w:rPr>
        <w:t>ل تانر</w:t>
      </w:r>
    </w:p>
    <w:p w14:paraId="0ED72492" w14:textId="686A7163" w:rsidR="00B74A7B" w:rsidRPr="00D30C23" w:rsidRDefault="00B74A7B" w:rsidP="002D6C54">
      <w:pPr>
        <w:spacing w:line="240" w:lineRule="auto"/>
        <w:jc w:val="center"/>
        <w:rPr>
          <w:sz w:val="72"/>
          <w:szCs w:val="72"/>
        </w:rPr>
      </w:pPr>
      <w:r w:rsidRPr="00D30C23">
        <w:rPr>
          <w:sz w:val="72"/>
          <w:szCs w:val="72"/>
        </w:rPr>
        <w:br w:type="page"/>
      </w:r>
    </w:p>
    <w:p w14:paraId="00A7864C" w14:textId="6A4003B8" w:rsidR="00C54013" w:rsidRPr="002D6C54" w:rsidRDefault="00764D61" w:rsidP="002D6C54">
      <w:pPr>
        <w:bidi/>
        <w:spacing w:line="240" w:lineRule="auto"/>
        <w:rPr>
          <w:rFonts w:ascii="Simplified Arabic" w:hAnsi="Simplified Arabic" w:cs="Simplified Arabic"/>
          <w:sz w:val="26"/>
          <w:szCs w:val="26"/>
        </w:rPr>
      </w:pPr>
      <w:r w:rsidRPr="002D6C54">
        <w:rPr>
          <w:rFonts w:ascii="Simplified Arabic" w:hAnsi="Simplified Arabic" w:cs="Simplified Arabic"/>
          <w:sz w:val="26"/>
          <w:szCs w:val="26"/>
          <w:rtl/>
        </w:rPr>
        <w:lastRenderedPageBreak/>
        <w:t>أساس العهد القديم: التكوين إلى راعوث</w:t>
      </w:r>
    </w:p>
    <w:p w14:paraId="465AEB43" w14:textId="07FAC145" w:rsidR="00F76246" w:rsidRPr="00F76246" w:rsidRDefault="00F76246" w:rsidP="002D6C54">
      <w:pPr>
        <w:bidi/>
        <w:spacing w:line="240" w:lineRule="auto"/>
        <w:rPr>
          <w:rFonts w:asciiTheme="minorHAnsi" w:hAnsiTheme="minorHAnsi" w:cs="Simplified Arabic"/>
          <w:color w:val="auto"/>
          <w:kern w:val="0"/>
          <w:sz w:val="22"/>
          <w:szCs w:val="26"/>
          <w:rtl/>
          <w:lang w:bidi="ar-JO"/>
          <w14:ligatures w14:val="none"/>
        </w:rPr>
      </w:pPr>
      <w:r w:rsidRPr="00F76246">
        <w:rPr>
          <w:rFonts w:asciiTheme="minorHAnsi" w:hAnsiTheme="minorHAnsi" w:cs="Simplified Arabic" w:hint="cs"/>
          <w:color w:val="auto"/>
          <w:kern w:val="0"/>
          <w:sz w:val="22"/>
          <w:szCs w:val="26"/>
          <w:rtl/>
          <w:lang w:bidi="ar-JO"/>
          <w14:ligatures w14:val="none"/>
        </w:rPr>
        <w:t>حقوق النشر محفوظة لـ"ج. بول تانر"، 202</w:t>
      </w:r>
      <w:r>
        <w:rPr>
          <w:rFonts w:asciiTheme="minorHAnsi" w:hAnsiTheme="minorHAnsi" w:cs="Simplified Arabic" w:hint="cs"/>
          <w:color w:val="auto"/>
          <w:kern w:val="0"/>
          <w:sz w:val="22"/>
          <w:szCs w:val="26"/>
          <w:rtl/>
          <w:lang w:bidi="ar-JO"/>
          <w14:ligatures w14:val="none"/>
        </w:rPr>
        <w:t>4</w:t>
      </w:r>
      <w:r w:rsidRPr="00F76246">
        <w:rPr>
          <w:rFonts w:asciiTheme="minorHAnsi" w:hAnsiTheme="minorHAnsi" w:cs="Simplified Arabic" w:hint="cs"/>
          <w:color w:val="auto"/>
          <w:kern w:val="0"/>
          <w:sz w:val="22"/>
          <w:szCs w:val="26"/>
          <w:rtl/>
          <w:lang w:bidi="ar-JO"/>
          <w14:ligatures w14:val="none"/>
        </w:rPr>
        <w:t xml:space="preserve">. </w:t>
      </w:r>
    </w:p>
    <w:p w14:paraId="303AFF7B" w14:textId="77777777" w:rsidR="00C54013" w:rsidRPr="00C54013" w:rsidRDefault="00C54013" w:rsidP="002D6C54">
      <w:pPr>
        <w:spacing w:line="240" w:lineRule="auto"/>
        <w:rPr>
          <w:bCs/>
          <w:rtl/>
          <w:lang w:bidi="ar-SY"/>
        </w:rPr>
      </w:pPr>
    </w:p>
    <w:p w14:paraId="6267CED3" w14:textId="77777777" w:rsidR="00C54013" w:rsidRPr="00F76246" w:rsidRDefault="00C54013" w:rsidP="002D6C54">
      <w:pPr>
        <w:spacing w:line="240" w:lineRule="auto"/>
        <w:rPr>
          <w:bCs/>
          <w:color w:val="auto"/>
        </w:rPr>
      </w:pPr>
    </w:p>
    <w:p w14:paraId="5FD1DC21" w14:textId="77777777" w:rsidR="00F76246" w:rsidRPr="00F76246" w:rsidRDefault="00F76246" w:rsidP="002D6C54">
      <w:pPr>
        <w:spacing w:line="240" w:lineRule="auto"/>
        <w:jc w:val="right"/>
        <w:rPr>
          <w:rFonts w:ascii="Simplified Arabic" w:hAnsi="Simplified Arabic" w:cs="Simplified Arabic"/>
          <w:sz w:val="26"/>
          <w:szCs w:val="26"/>
          <w:rtl/>
          <w:lang w:bidi="ar-JO"/>
        </w:rPr>
      </w:pPr>
      <w:r w:rsidRPr="00F76246">
        <w:rPr>
          <w:rFonts w:ascii="Simplified Arabic" w:hAnsi="Simplified Arabic" w:cs="Simplified Arabic"/>
          <w:color w:val="auto"/>
          <w:sz w:val="26"/>
          <w:szCs w:val="26"/>
          <w:rtl/>
          <w:lang w:bidi="ar-JO"/>
        </w:rPr>
        <w:t>تمّ بذل كل جهدٍ ممكن من أجل تقديم معلومات صحيحة في هذا الكتاب. ولكنّ النّاشر لا يضمن دقّة كلّ ما يرِد في هذا الكتاب، ولا يتحمَّل المسؤوليّة عن المعلومات التي ترِد أو لا ترِد في الكتاب.</w:t>
      </w:r>
    </w:p>
    <w:p w14:paraId="6F5C792C" w14:textId="1638BEC9" w:rsidR="005E7D26" w:rsidRPr="002D6C54" w:rsidRDefault="005E7D26" w:rsidP="002D6C54">
      <w:pPr>
        <w:bidi/>
        <w:spacing w:line="240" w:lineRule="auto"/>
        <w:rPr>
          <w:rFonts w:ascii="Simplified Arabic" w:hAnsi="Simplified Arabic" w:cs="Simplified Arabic"/>
          <w:b/>
          <w:sz w:val="26"/>
          <w:szCs w:val="26"/>
          <w:rtl/>
        </w:rPr>
      </w:pPr>
      <w:bookmarkStart w:id="2" w:name="_Hlk178777664"/>
      <w:r w:rsidRPr="002D6C54">
        <w:rPr>
          <w:rFonts w:ascii="Simplified Arabic" w:hAnsi="Simplified Arabic" w:cs="Simplified Arabic"/>
          <w:b/>
          <w:sz w:val="26"/>
          <w:szCs w:val="26"/>
          <w:rtl/>
        </w:rPr>
        <w:t>ك</w:t>
      </w:r>
      <w:r w:rsidR="006E2FFB">
        <w:rPr>
          <w:rFonts w:ascii="Simplified Arabic" w:hAnsi="Simplified Arabic" w:cs="Simplified Arabic" w:hint="cs"/>
          <w:b/>
          <w:sz w:val="26"/>
          <w:szCs w:val="26"/>
          <w:rtl/>
        </w:rPr>
        <w:t>لّ</w:t>
      </w:r>
      <w:r w:rsidRPr="002D6C54">
        <w:rPr>
          <w:rFonts w:ascii="Simplified Arabic" w:hAnsi="Simplified Arabic" w:cs="Simplified Arabic"/>
          <w:b/>
          <w:sz w:val="26"/>
          <w:szCs w:val="26"/>
          <w:rtl/>
        </w:rPr>
        <w:t xml:space="preserve"> الاقتباسات الكتابيّة الواردة في هذه المادة الدراسيّة مأخوذة من ترجمة "فاندايك – البستاني"، إلا إذا أُشير إلى غير ذلك. </w:t>
      </w:r>
    </w:p>
    <w:bookmarkEnd w:id="2"/>
    <w:p w14:paraId="54AC974C" w14:textId="77777777" w:rsidR="00F76246" w:rsidRPr="00F76246" w:rsidRDefault="00F76246" w:rsidP="002D6C54">
      <w:pPr>
        <w:spacing w:line="240" w:lineRule="auto"/>
        <w:jc w:val="right"/>
        <w:rPr>
          <w:rFonts w:ascii="Simplified Arabic" w:hAnsi="Simplified Arabic" w:cs="Simplified Arabic"/>
          <w:color w:val="auto"/>
          <w:sz w:val="26"/>
          <w:szCs w:val="26"/>
          <w:rtl/>
          <w:lang w:bidi="ar-JO"/>
        </w:rPr>
      </w:pPr>
      <w:r w:rsidRPr="00F76246">
        <w:rPr>
          <w:rFonts w:ascii="Simplified Arabic" w:hAnsi="Simplified Arabic" w:cs="Simplified Arabic"/>
          <w:color w:val="auto"/>
          <w:sz w:val="26"/>
          <w:szCs w:val="26"/>
          <w:rtl/>
          <w:lang w:bidi="ar-JO"/>
        </w:rPr>
        <w:t>جميع حقوق نشر هذا الكتاب محفوظة. هذا الكتاب محميّ بقوانين حقوق النّشر، وباستثناء الاقتباسات الصغيرة لغرض المراجعة والدراسة، ينبغي الحصول على إذن من النّاشر لطباعته أو تخزينه بأي شكلٍ يمكن استعادة الكتاب به، أو نقله بأي شكلٍ أو أيّ وسيلة، سواء إلكترونيّة أو آليّة أو بالتّصوير أو التّسجيل الصّوتي أو أيّ طريقة أخرى.</w:t>
      </w:r>
    </w:p>
    <w:p w14:paraId="032FCB3B" w14:textId="77777777" w:rsidR="00F76246" w:rsidRPr="00F76246" w:rsidRDefault="00F76246" w:rsidP="002D6C54">
      <w:pPr>
        <w:bidi/>
        <w:spacing w:line="240" w:lineRule="auto"/>
        <w:rPr>
          <w:rFonts w:asciiTheme="minorHAnsi" w:hAnsiTheme="minorHAnsi" w:cs="Simplified Arabic"/>
          <w:color w:val="auto"/>
          <w:kern w:val="0"/>
          <w:sz w:val="22"/>
          <w:szCs w:val="26"/>
          <w:rtl/>
          <w:lang w:bidi="ar-JO"/>
          <w14:ligatures w14:val="none"/>
        </w:rPr>
      </w:pPr>
      <w:r w:rsidRPr="00F76246">
        <w:rPr>
          <w:rFonts w:asciiTheme="minorHAnsi" w:hAnsiTheme="minorHAnsi" w:cs="Simplified Arabic" w:hint="cs"/>
          <w:color w:val="auto"/>
          <w:kern w:val="0"/>
          <w:sz w:val="22"/>
          <w:szCs w:val="26"/>
          <w:rtl/>
          <w:lang w:bidi="ar-JO"/>
          <w14:ligatures w14:val="none"/>
        </w:rPr>
        <w:t xml:space="preserve">للحصول على معلومات بشأن إذن استخدام المادة أو لطلب الكتاب، الرجاء التّواصل على العنوان التّالي: </w:t>
      </w:r>
    </w:p>
    <w:p w14:paraId="129D4EE5" w14:textId="77777777" w:rsidR="00C54013" w:rsidRPr="00536200" w:rsidRDefault="00C54013" w:rsidP="002D6C54">
      <w:pPr>
        <w:spacing w:line="240" w:lineRule="auto"/>
        <w:rPr>
          <w:bCs/>
          <w:color w:val="auto"/>
        </w:rPr>
      </w:pPr>
      <w:r w:rsidRPr="00536200">
        <w:rPr>
          <w:bCs/>
          <w:color w:val="auto"/>
        </w:rPr>
        <w:t>Dr. J. Paul Tanner</w:t>
      </w:r>
      <w:r w:rsidRPr="00536200">
        <w:rPr>
          <w:bCs/>
          <w:color w:val="auto"/>
        </w:rPr>
        <w:br/>
        <w:t>920 Cambridge Bend</w:t>
      </w:r>
      <w:r w:rsidRPr="00536200">
        <w:rPr>
          <w:bCs/>
          <w:color w:val="auto"/>
        </w:rPr>
        <w:br/>
        <w:t>Tyler, TX  75703</w:t>
      </w:r>
    </w:p>
    <w:p w14:paraId="37E86D2D" w14:textId="77777777" w:rsidR="00C54013" w:rsidRDefault="00C54013" w:rsidP="002D6C54">
      <w:pPr>
        <w:spacing w:line="240" w:lineRule="auto"/>
        <w:rPr>
          <w:bCs/>
        </w:rPr>
      </w:pPr>
    </w:p>
    <w:p w14:paraId="4A624EB4" w14:textId="77777777" w:rsidR="00F00728" w:rsidRDefault="00F00728" w:rsidP="002D6C54">
      <w:pPr>
        <w:spacing w:line="240" w:lineRule="auto"/>
        <w:rPr>
          <w:bCs/>
        </w:rPr>
      </w:pPr>
    </w:p>
    <w:p w14:paraId="110032F3" w14:textId="77777777" w:rsidR="00F00728" w:rsidRDefault="00F00728" w:rsidP="002D6C54">
      <w:pPr>
        <w:spacing w:line="240" w:lineRule="auto"/>
        <w:rPr>
          <w:bCs/>
        </w:rPr>
      </w:pPr>
    </w:p>
    <w:p w14:paraId="14D8EC56" w14:textId="77777777" w:rsidR="00F00728" w:rsidRDefault="00F00728" w:rsidP="002D6C54">
      <w:pPr>
        <w:spacing w:line="240" w:lineRule="auto"/>
        <w:rPr>
          <w:bCs/>
        </w:rPr>
      </w:pPr>
    </w:p>
    <w:p w14:paraId="5A5056FA" w14:textId="77777777" w:rsidR="00F00728" w:rsidRPr="00C54013" w:rsidRDefault="00F00728" w:rsidP="002D6C54">
      <w:pPr>
        <w:spacing w:line="240" w:lineRule="auto"/>
        <w:rPr>
          <w:bCs/>
        </w:rPr>
      </w:pPr>
    </w:p>
    <w:p w14:paraId="75D425F1" w14:textId="77777777" w:rsidR="007C74F8" w:rsidRDefault="007C74F8" w:rsidP="002D6C54">
      <w:pPr>
        <w:spacing w:line="240" w:lineRule="auto"/>
        <w:rPr>
          <w:bCs/>
        </w:rPr>
      </w:pPr>
    </w:p>
    <w:p w14:paraId="28B92722" w14:textId="0BA5AD3A" w:rsidR="00C54013" w:rsidRPr="00536200" w:rsidRDefault="00C54013" w:rsidP="002D6C54">
      <w:pPr>
        <w:spacing w:line="240" w:lineRule="auto"/>
        <w:rPr>
          <w:bCs/>
          <w:color w:val="auto"/>
        </w:rPr>
      </w:pPr>
      <w:r w:rsidRPr="00536200">
        <w:rPr>
          <w:bCs/>
          <w:color w:val="auto"/>
        </w:rPr>
        <w:t xml:space="preserve">ISBN: </w:t>
      </w:r>
      <w:r w:rsidR="00F76246" w:rsidRPr="00536200">
        <w:rPr>
          <w:bCs/>
          <w:color w:val="auto"/>
        </w:rPr>
        <w:t xml:space="preserve"> </w:t>
      </w:r>
    </w:p>
    <w:p w14:paraId="621EFB06" w14:textId="18571E21" w:rsidR="00C54013" w:rsidRPr="00536200" w:rsidRDefault="00C54013" w:rsidP="002D6C54">
      <w:pPr>
        <w:spacing w:line="240" w:lineRule="auto"/>
        <w:rPr>
          <w:bCs/>
          <w:color w:val="auto"/>
        </w:rPr>
      </w:pPr>
      <w:r w:rsidRPr="00536200">
        <w:rPr>
          <w:bCs/>
          <w:color w:val="auto"/>
        </w:rPr>
        <w:t xml:space="preserve">First Edition: </w:t>
      </w:r>
      <w:r w:rsidR="00091A1A">
        <w:rPr>
          <w:bCs/>
          <w:color w:val="auto"/>
        </w:rPr>
        <w:t>OT1</w:t>
      </w:r>
      <w:r w:rsidR="00F76246" w:rsidRPr="00536200">
        <w:rPr>
          <w:bCs/>
          <w:color w:val="auto"/>
        </w:rPr>
        <w:t>_Tanner_Ar_2.</w:t>
      </w:r>
      <w:r w:rsidR="00091A1A">
        <w:rPr>
          <w:bCs/>
          <w:color w:val="auto"/>
        </w:rPr>
        <w:t>27</w:t>
      </w:r>
      <w:r w:rsidR="00F76246" w:rsidRPr="00536200">
        <w:rPr>
          <w:bCs/>
          <w:color w:val="auto"/>
        </w:rPr>
        <w:t>.202</w:t>
      </w:r>
      <w:r w:rsidR="00091A1A">
        <w:rPr>
          <w:bCs/>
          <w:color w:val="auto"/>
        </w:rPr>
        <w:t>5</w:t>
      </w:r>
      <w:r w:rsidR="00F76246" w:rsidRPr="00536200">
        <w:rPr>
          <w:bCs/>
          <w:color w:val="auto"/>
        </w:rPr>
        <w:t>.docx</w:t>
      </w:r>
    </w:p>
    <w:p w14:paraId="5990ED72" w14:textId="77777777" w:rsidR="00C54013" w:rsidRPr="00536200" w:rsidRDefault="00C54013" w:rsidP="002D6C54">
      <w:pPr>
        <w:spacing w:line="240" w:lineRule="auto"/>
        <w:rPr>
          <w:bCs/>
          <w:color w:val="auto"/>
        </w:rPr>
      </w:pPr>
      <w:r w:rsidRPr="00536200">
        <w:rPr>
          <w:bCs/>
          <w:color w:val="auto"/>
        </w:rPr>
        <w:t xml:space="preserve">Printed in the United States of America </w:t>
      </w:r>
    </w:p>
    <w:p w14:paraId="27F20735" w14:textId="77777777" w:rsidR="00C54013" w:rsidRPr="00536200" w:rsidRDefault="00C54013" w:rsidP="002D6C54">
      <w:pPr>
        <w:spacing w:line="240" w:lineRule="auto"/>
        <w:rPr>
          <w:bCs/>
          <w:color w:val="auto"/>
        </w:rPr>
      </w:pPr>
      <w:r w:rsidRPr="00536200">
        <w:rPr>
          <w:bCs/>
          <w:color w:val="auto"/>
        </w:rPr>
        <w:t xml:space="preserve">1 2 3 4 5 6 7 8 9 10 </w:t>
      </w:r>
    </w:p>
    <w:p w14:paraId="0B0B3919" w14:textId="4DC98EC2" w:rsidR="00C54013" w:rsidRPr="00536200" w:rsidRDefault="00F76246" w:rsidP="002D6C54">
      <w:pPr>
        <w:spacing w:line="240" w:lineRule="auto"/>
        <w:rPr>
          <w:bCs/>
          <w:color w:val="auto"/>
        </w:rPr>
      </w:pPr>
      <w:r w:rsidRPr="00536200">
        <w:rPr>
          <w:bCs/>
          <w:color w:val="auto"/>
        </w:rPr>
        <w:t>9.25</w:t>
      </w:r>
      <w:r w:rsidR="007C74F8" w:rsidRPr="00536200">
        <w:rPr>
          <w:bCs/>
          <w:color w:val="auto"/>
        </w:rPr>
        <w:t>.</w:t>
      </w:r>
      <w:r w:rsidR="00C54013" w:rsidRPr="00536200">
        <w:rPr>
          <w:bCs/>
          <w:color w:val="auto"/>
        </w:rPr>
        <w:t>2024</w:t>
      </w:r>
    </w:p>
    <w:p w14:paraId="45615031" w14:textId="71B4C832" w:rsidR="00B74A7B" w:rsidRDefault="00B74A7B" w:rsidP="002D6C54">
      <w:pPr>
        <w:spacing w:line="240" w:lineRule="auto"/>
        <w:rPr>
          <w:rFonts w:asciiTheme="majorBidi" w:hAnsiTheme="majorBidi" w:cstheme="majorBidi"/>
          <w:szCs w:val="24"/>
        </w:rPr>
      </w:pPr>
      <w:r>
        <w:rPr>
          <w:rFonts w:asciiTheme="majorBidi" w:hAnsiTheme="majorBidi" w:cstheme="majorBidi"/>
          <w:szCs w:val="24"/>
        </w:rPr>
        <w:br w:type="page"/>
      </w:r>
    </w:p>
    <w:p w14:paraId="3F7123AB" w14:textId="35F8BA4C" w:rsidR="00B74A7B" w:rsidRPr="000D6760" w:rsidRDefault="00B74A7B" w:rsidP="002D6C54">
      <w:pPr>
        <w:spacing w:line="240" w:lineRule="auto"/>
        <w:jc w:val="center"/>
        <w:rPr>
          <w:rFonts w:asciiTheme="majorBidi" w:hAnsiTheme="majorBidi" w:cstheme="majorBidi"/>
          <w:b/>
          <w:bCs/>
          <w:sz w:val="32"/>
          <w:szCs w:val="32"/>
        </w:rPr>
      </w:pPr>
      <w:r w:rsidRPr="000D6760">
        <w:rPr>
          <w:rFonts w:asciiTheme="majorBidi" w:hAnsiTheme="majorBidi" w:cstheme="majorBidi"/>
          <w:b/>
          <w:bCs/>
          <w:sz w:val="32"/>
          <w:szCs w:val="32"/>
        </w:rPr>
        <w:lastRenderedPageBreak/>
        <w:t>Table of Contents</w:t>
      </w:r>
    </w:p>
    <w:sdt>
      <w:sdtPr>
        <w:rPr>
          <w:rFonts w:asciiTheme="minorHAnsi" w:eastAsiaTheme="minorHAnsi" w:hAnsiTheme="minorHAnsi" w:cstheme="minorBidi"/>
          <w:color w:val="auto"/>
          <w:kern w:val="2"/>
          <w:sz w:val="22"/>
          <w:szCs w:val="22"/>
        </w:rPr>
        <w:id w:val="-584379823"/>
        <w:docPartObj>
          <w:docPartGallery w:val="Table of Contents"/>
          <w:docPartUnique/>
        </w:docPartObj>
      </w:sdtPr>
      <w:sdtEndPr>
        <w:rPr>
          <w:rFonts w:ascii="Times New Roman" w:hAnsi="Times New Roman"/>
          <w:b/>
          <w:bCs/>
          <w:noProof/>
          <w:color w:val="C00000"/>
          <w:sz w:val="24"/>
        </w:rPr>
      </w:sdtEndPr>
      <w:sdtContent>
        <w:p w14:paraId="2FFEB89B" w14:textId="452489F9" w:rsidR="000D6760" w:rsidRDefault="000D6760" w:rsidP="002D6C54">
          <w:pPr>
            <w:pStyle w:val="TOCHeading"/>
            <w:spacing w:line="240" w:lineRule="auto"/>
          </w:pPr>
        </w:p>
        <w:p w14:paraId="72636ED2" w14:textId="36253E10" w:rsidR="000A4E78" w:rsidRDefault="000D6760" w:rsidP="002D6C54">
          <w:pPr>
            <w:pStyle w:val="TOC2"/>
            <w:tabs>
              <w:tab w:val="right" w:leader="dot" w:pos="9350"/>
            </w:tabs>
            <w:spacing w:line="240" w:lineRule="auto"/>
            <w:rPr>
              <w:rFonts w:asciiTheme="minorHAnsi" w:eastAsiaTheme="minorEastAsia" w:hAnsiTheme="minorHAnsi"/>
              <w:noProof/>
              <w:color w:val="auto"/>
              <w:szCs w:val="24"/>
            </w:rPr>
          </w:pPr>
          <w:r>
            <w:fldChar w:fldCharType="begin"/>
          </w:r>
          <w:r>
            <w:instrText xml:space="preserve"> TOC \o "1-3" \h \z \u </w:instrText>
          </w:r>
          <w:r>
            <w:fldChar w:fldCharType="separate"/>
          </w:r>
          <w:hyperlink w:anchor="_Toc164419976" w:history="1">
            <w:r w:rsidR="000A4E78" w:rsidRPr="0027101D">
              <w:rPr>
                <w:rStyle w:val="Hyperlink"/>
                <w:noProof/>
              </w:rPr>
              <w:t>Introduction to the Course</w:t>
            </w:r>
            <w:r w:rsidR="000A4E78">
              <w:rPr>
                <w:noProof/>
                <w:webHidden/>
              </w:rPr>
              <w:tab/>
            </w:r>
            <w:r w:rsidR="000A4E78">
              <w:rPr>
                <w:noProof/>
                <w:webHidden/>
              </w:rPr>
              <w:fldChar w:fldCharType="begin"/>
            </w:r>
            <w:r w:rsidR="000A4E78">
              <w:rPr>
                <w:noProof/>
                <w:webHidden/>
              </w:rPr>
              <w:instrText xml:space="preserve"> PAGEREF _Toc164419976 \h </w:instrText>
            </w:r>
            <w:r w:rsidR="000A4E78">
              <w:rPr>
                <w:noProof/>
                <w:webHidden/>
              </w:rPr>
            </w:r>
            <w:r w:rsidR="000A4E78">
              <w:rPr>
                <w:noProof/>
                <w:webHidden/>
              </w:rPr>
              <w:fldChar w:fldCharType="separate"/>
            </w:r>
            <w:r w:rsidR="00D30C23">
              <w:rPr>
                <w:noProof/>
                <w:webHidden/>
              </w:rPr>
              <w:t>7</w:t>
            </w:r>
            <w:r w:rsidR="000A4E78">
              <w:rPr>
                <w:noProof/>
                <w:webHidden/>
              </w:rPr>
              <w:fldChar w:fldCharType="end"/>
            </w:r>
          </w:hyperlink>
        </w:p>
        <w:p w14:paraId="6B9F64E6" w14:textId="731C76BB"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19977" w:history="1">
            <w:r w:rsidRPr="0027101D">
              <w:rPr>
                <w:rStyle w:val="Hyperlink"/>
                <w:noProof/>
              </w:rPr>
              <w:t>General Introduction to the Course</w:t>
            </w:r>
            <w:r>
              <w:rPr>
                <w:noProof/>
                <w:webHidden/>
              </w:rPr>
              <w:tab/>
            </w:r>
            <w:r>
              <w:rPr>
                <w:noProof/>
                <w:webHidden/>
              </w:rPr>
              <w:fldChar w:fldCharType="begin"/>
            </w:r>
            <w:r>
              <w:rPr>
                <w:noProof/>
                <w:webHidden/>
              </w:rPr>
              <w:instrText xml:space="preserve"> PAGEREF _Toc164419977 \h </w:instrText>
            </w:r>
            <w:r>
              <w:rPr>
                <w:noProof/>
                <w:webHidden/>
              </w:rPr>
            </w:r>
            <w:r>
              <w:rPr>
                <w:noProof/>
                <w:webHidden/>
              </w:rPr>
              <w:fldChar w:fldCharType="separate"/>
            </w:r>
            <w:r w:rsidR="00D30C23">
              <w:rPr>
                <w:noProof/>
                <w:webHidden/>
              </w:rPr>
              <w:t>7</w:t>
            </w:r>
            <w:r>
              <w:rPr>
                <w:noProof/>
                <w:webHidden/>
              </w:rPr>
              <w:fldChar w:fldCharType="end"/>
            </w:r>
          </w:hyperlink>
        </w:p>
        <w:p w14:paraId="5CEEBA13" w14:textId="7C9098D6"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19978" w:history="1">
            <w:r w:rsidRPr="0027101D">
              <w:rPr>
                <w:rStyle w:val="Hyperlink"/>
                <w:noProof/>
              </w:rPr>
              <w:t>Reasons for Taking the Course</w:t>
            </w:r>
            <w:r>
              <w:rPr>
                <w:noProof/>
                <w:webHidden/>
              </w:rPr>
              <w:tab/>
            </w:r>
            <w:r>
              <w:rPr>
                <w:noProof/>
                <w:webHidden/>
              </w:rPr>
              <w:fldChar w:fldCharType="begin"/>
            </w:r>
            <w:r>
              <w:rPr>
                <w:noProof/>
                <w:webHidden/>
              </w:rPr>
              <w:instrText xml:space="preserve"> PAGEREF _Toc164419978 \h </w:instrText>
            </w:r>
            <w:r>
              <w:rPr>
                <w:noProof/>
                <w:webHidden/>
              </w:rPr>
            </w:r>
            <w:r>
              <w:rPr>
                <w:noProof/>
                <w:webHidden/>
              </w:rPr>
              <w:fldChar w:fldCharType="separate"/>
            </w:r>
            <w:r w:rsidR="00D30C23">
              <w:rPr>
                <w:noProof/>
                <w:webHidden/>
              </w:rPr>
              <w:t>8</w:t>
            </w:r>
            <w:r>
              <w:rPr>
                <w:noProof/>
                <w:webHidden/>
              </w:rPr>
              <w:fldChar w:fldCharType="end"/>
            </w:r>
          </w:hyperlink>
        </w:p>
        <w:p w14:paraId="4D6541BE" w14:textId="2214AC62"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19979" w:history="1">
            <w:r w:rsidRPr="0027101D">
              <w:rPr>
                <w:rStyle w:val="Hyperlink"/>
                <w:noProof/>
              </w:rPr>
              <w:t>About the Author</w:t>
            </w:r>
            <w:r>
              <w:rPr>
                <w:noProof/>
                <w:webHidden/>
              </w:rPr>
              <w:tab/>
            </w:r>
            <w:r>
              <w:rPr>
                <w:noProof/>
                <w:webHidden/>
              </w:rPr>
              <w:fldChar w:fldCharType="begin"/>
            </w:r>
            <w:r>
              <w:rPr>
                <w:noProof/>
                <w:webHidden/>
              </w:rPr>
              <w:instrText xml:space="preserve"> PAGEREF _Toc164419979 \h </w:instrText>
            </w:r>
            <w:r>
              <w:rPr>
                <w:noProof/>
                <w:webHidden/>
              </w:rPr>
            </w:r>
            <w:r>
              <w:rPr>
                <w:noProof/>
                <w:webHidden/>
              </w:rPr>
              <w:fldChar w:fldCharType="separate"/>
            </w:r>
            <w:r w:rsidR="00D30C23">
              <w:rPr>
                <w:noProof/>
                <w:webHidden/>
              </w:rPr>
              <w:t>8</w:t>
            </w:r>
            <w:r>
              <w:rPr>
                <w:noProof/>
                <w:webHidden/>
              </w:rPr>
              <w:fldChar w:fldCharType="end"/>
            </w:r>
          </w:hyperlink>
        </w:p>
        <w:p w14:paraId="409803DE" w14:textId="6061579D"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19980" w:history="1">
            <w:r w:rsidRPr="0027101D">
              <w:rPr>
                <w:rStyle w:val="Hyperlink"/>
                <w:noProof/>
              </w:rPr>
              <w:t>Units of Study</w:t>
            </w:r>
            <w:r>
              <w:rPr>
                <w:noProof/>
                <w:webHidden/>
              </w:rPr>
              <w:tab/>
            </w:r>
            <w:r>
              <w:rPr>
                <w:noProof/>
                <w:webHidden/>
              </w:rPr>
              <w:fldChar w:fldCharType="begin"/>
            </w:r>
            <w:r>
              <w:rPr>
                <w:noProof/>
                <w:webHidden/>
              </w:rPr>
              <w:instrText xml:space="preserve"> PAGEREF _Toc164419980 \h </w:instrText>
            </w:r>
            <w:r>
              <w:rPr>
                <w:noProof/>
                <w:webHidden/>
              </w:rPr>
            </w:r>
            <w:r>
              <w:rPr>
                <w:noProof/>
                <w:webHidden/>
              </w:rPr>
              <w:fldChar w:fldCharType="separate"/>
            </w:r>
            <w:r w:rsidR="00D30C23">
              <w:rPr>
                <w:noProof/>
                <w:webHidden/>
              </w:rPr>
              <w:t>9</w:t>
            </w:r>
            <w:r>
              <w:rPr>
                <w:noProof/>
                <w:webHidden/>
              </w:rPr>
              <w:fldChar w:fldCharType="end"/>
            </w:r>
          </w:hyperlink>
        </w:p>
        <w:p w14:paraId="22D9406E" w14:textId="52F6D365"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19981" w:history="1">
            <w:r w:rsidRPr="0027101D">
              <w:rPr>
                <w:rStyle w:val="Hyperlink"/>
                <w:noProof/>
              </w:rPr>
              <w:t>Lesson Organization</w:t>
            </w:r>
            <w:r>
              <w:rPr>
                <w:noProof/>
                <w:webHidden/>
              </w:rPr>
              <w:tab/>
            </w:r>
            <w:r>
              <w:rPr>
                <w:noProof/>
                <w:webHidden/>
              </w:rPr>
              <w:fldChar w:fldCharType="begin"/>
            </w:r>
            <w:r>
              <w:rPr>
                <w:noProof/>
                <w:webHidden/>
              </w:rPr>
              <w:instrText xml:space="preserve"> PAGEREF _Toc164419981 \h </w:instrText>
            </w:r>
            <w:r>
              <w:rPr>
                <w:noProof/>
                <w:webHidden/>
              </w:rPr>
            </w:r>
            <w:r>
              <w:rPr>
                <w:noProof/>
                <w:webHidden/>
              </w:rPr>
              <w:fldChar w:fldCharType="separate"/>
            </w:r>
            <w:r w:rsidR="00D30C23">
              <w:rPr>
                <w:noProof/>
                <w:webHidden/>
              </w:rPr>
              <w:t>9</w:t>
            </w:r>
            <w:r>
              <w:rPr>
                <w:noProof/>
                <w:webHidden/>
              </w:rPr>
              <w:fldChar w:fldCharType="end"/>
            </w:r>
          </w:hyperlink>
        </w:p>
        <w:p w14:paraId="03897B34" w14:textId="69516707"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19982" w:history="1">
            <w:r w:rsidRPr="0027101D">
              <w:rPr>
                <w:rStyle w:val="Hyperlink"/>
                <w:noProof/>
              </w:rPr>
              <w:t>Bible Translations Used in This Course</w:t>
            </w:r>
            <w:r>
              <w:rPr>
                <w:noProof/>
                <w:webHidden/>
              </w:rPr>
              <w:tab/>
            </w:r>
            <w:r>
              <w:rPr>
                <w:noProof/>
                <w:webHidden/>
              </w:rPr>
              <w:fldChar w:fldCharType="begin"/>
            </w:r>
            <w:r>
              <w:rPr>
                <w:noProof/>
                <w:webHidden/>
              </w:rPr>
              <w:instrText xml:space="preserve"> PAGEREF _Toc164419982 \h </w:instrText>
            </w:r>
            <w:r>
              <w:rPr>
                <w:noProof/>
                <w:webHidden/>
              </w:rPr>
            </w:r>
            <w:r>
              <w:rPr>
                <w:noProof/>
                <w:webHidden/>
              </w:rPr>
              <w:fldChar w:fldCharType="separate"/>
            </w:r>
            <w:r w:rsidR="00D30C23">
              <w:rPr>
                <w:noProof/>
                <w:webHidden/>
              </w:rPr>
              <w:t>10</w:t>
            </w:r>
            <w:r>
              <w:rPr>
                <w:noProof/>
                <w:webHidden/>
              </w:rPr>
              <w:fldChar w:fldCharType="end"/>
            </w:r>
          </w:hyperlink>
        </w:p>
        <w:p w14:paraId="4C48390E" w14:textId="274B9435"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19983" w:history="1">
            <w:r w:rsidRPr="0027101D">
              <w:rPr>
                <w:rStyle w:val="Hyperlink"/>
                <w:noProof/>
              </w:rPr>
              <w:t>Student Instructions</w:t>
            </w:r>
            <w:r>
              <w:rPr>
                <w:noProof/>
                <w:webHidden/>
              </w:rPr>
              <w:tab/>
            </w:r>
            <w:r>
              <w:rPr>
                <w:noProof/>
                <w:webHidden/>
              </w:rPr>
              <w:fldChar w:fldCharType="begin"/>
            </w:r>
            <w:r>
              <w:rPr>
                <w:noProof/>
                <w:webHidden/>
              </w:rPr>
              <w:instrText xml:space="preserve"> PAGEREF _Toc164419983 \h </w:instrText>
            </w:r>
            <w:r>
              <w:rPr>
                <w:noProof/>
                <w:webHidden/>
              </w:rPr>
            </w:r>
            <w:r>
              <w:rPr>
                <w:noProof/>
                <w:webHidden/>
              </w:rPr>
              <w:fldChar w:fldCharType="separate"/>
            </w:r>
            <w:r w:rsidR="00D30C23">
              <w:rPr>
                <w:noProof/>
                <w:webHidden/>
              </w:rPr>
              <w:t>10</w:t>
            </w:r>
            <w:r>
              <w:rPr>
                <w:noProof/>
                <w:webHidden/>
              </w:rPr>
              <w:fldChar w:fldCharType="end"/>
            </w:r>
          </w:hyperlink>
        </w:p>
        <w:p w14:paraId="09C1ACA6" w14:textId="18F6ED6E"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19984" w:history="1">
            <w:r w:rsidRPr="0027101D">
              <w:rPr>
                <w:rStyle w:val="Hyperlink"/>
                <w:noProof/>
              </w:rPr>
              <w:t>Old Testament Book Charts</w:t>
            </w:r>
            <w:r>
              <w:rPr>
                <w:noProof/>
                <w:webHidden/>
              </w:rPr>
              <w:tab/>
            </w:r>
            <w:r>
              <w:rPr>
                <w:noProof/>
                <w:webHidden/>
              </w:rPr>
              <w:fldChar w:fldCharType="begin"/>
            </w:r>
            <w:r>
              <w:rPr>
                <w:noProof/>
                <w:webHidden/>
              </w:rPr>
              <w:instrText xml:space="preserve"> PAGEREF _Toc164419984 \h </w:instrText>
            </w:r>
            <w:r>
              <w:rPr>
                <w:noProof/>
                <w:webHidden/>
              </w:rPr>
            </w:r>
            <w:r>
              <w:rPr>
                <w:noProof/>
                <w:webHidden/>
              </w:rPr>
              <w:fldChar w:fldCharType="separate"/>
            </w:r>
            <w:r w:rsidR="00D30C23">
              <w:rPr>
                <w:noProof/>
                <w:webHidden/>
              </w:rPr>
              <w:t>11</w:t>
            </w:r>
            <w:r>
              <w:rPr>
                <w:noProof/>
                <w:webHidden/>
              </w:rPr>
              <w:fldChar w:fldCharType="end"/>
            </w:r>
          </w:hyperlink>
        </w:p>
        <w:p w14:paraId="6609189F" w14:textId="0550EDEE" w:rsidR="000A4E78" w:rsidRDefault="000A4E78" w:rsidP="002D6C54">
          <w:pPr>
            <w:pStyle w:val="TOC2"/>
            <w:tabs>
              <w:tab w:val="right" w:leader="dot" w:pos="9350"/>
            </w:tabs>
            <w:spacing w:line="240" w:lineRule="auto"/>
            <w:rPr>
              <w:rFonts w:asciiTheme="minorHAnsi" w:eastAsiaTheme="minorEastAsia" w:hAnsiTheme="minorHAnsi"/>
              <w:noProof/>
              <w:color w:val="auto"/>
              <w:szCs w:val="24"/>
            </w:rPr>
          </w:pPr>
          <w:hyperlink w:anchor="_Toc164419985" w:history="1">
            <w:r w:rsidRPr="0027101D">
              <w:rPr>
                <w:rStyle w:val="Hyperlink"/>
                <w:noProof/>
              </w:rPr>
              <w:t>Unit 1: Introduction and Background to the Call of Abraham  (Genesis 1:1–11:26)</w:t>
            </w:r>
            <w:r>
              <w:rPr>
                <w:noProof/>
                <w:webHidden/>
              </w:rPr>
              <w:tab/>
            </w:r>
            <w:r>
              <w:rPr>
                <w:noProof/>
                <w:webHidden/>
              </w:rPr>
              <w:fldChar w:fldCharType="begin"/>
            </w:r>
            <w:r>
              <w:rPr>
                <w:noProof/>
                <w:webHidden/>
              </w:rPr>
              <w:instrText xml:space="preserve"> PAGEREF _Toc164419985 \h </w:instrText>
            </w:r>
            <w:r>
              <w:rPr>
                <w:noProof/>
                <w:webHidden/>
              </w:rPr>
            </w:r>
            <w:r>
              <w:rPr>
                <w:noProof/>
                <w:webHidden/>
              </w:rPr>
              <w:fldChar w:fldCharType="separate"/>
            </w:r>
            <w:r w:rsidR="00D30C23">
              <w:rPr>
                <w:noProof/>
                <w:webHidden/>
              </w:rPr>
              <w:t>12</w:t>
            </w:r>
            <w:r>
              <w:rPr>
                <w:noProof/>
                <w:webHidden/>
              </w:rPr>
              <w:fldChar w:fldCharType="end"/>
            </w:r>
          </w:hyperlink>
        </w:p>
        <w:p w14:paraId="06026E12" w14:textId="682AA5D3"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19986" w:history="1">
            <w:r w:rsidRPr="0027101D">
              <w:rPr>
                <w:rStyle w:val="Hyperlink"/>
                <w:noProof/>
              </w:rPr>
              <w:t>Unit Outline</w:t>
            </w:r>
            <w:r>
              <w:rPr>
                <w:noProof/>
                <w:webHidden/>
              </w:rPr>
              <w:tab/>
            </w:r>
            <w:r>
              <w:rPr>
                <w:noProof/>
                <w:webHidden/>
              </w:rPr>
              <w:fldChar w:fldCharType="begin"/>
            </w:r>
            <w:r>
              <w:rPr>
                <w:noProof/>
                <w:webHidden/>
              </w:rPr>
              <w:instrText xml:space="preserve"> PAGEREF _Toc164419986 \h </w:instrText>
            </w:r>
            <w:r>
              <w:rPr>
                <w:noProof/>
                <w:webHidden/>
              </w:rPr>
            </w:r>
            <w:r>
              <w:rPr>
                <w:noProof/>
                <w:webHidden/>
              </w:rPr>
              <w:fldChar w:fldCharType="separate"/>
            </w:r>
            <w:r w:rsidR="00D30C23">
              <w:rPr>
                <w:noProof/>
                <w:webHidden/>
              </w:rPr>
              <w:t>12</w:t>
            </w:r>
            <w:r>
              <w:rPr>
                <w:noProof/>
                <w:webHidden/>
              </w:rPr>
              <w:fldChar w:fldCharType="end"/>
            </w:r>
          </w:hyperlink>
        </w:p>
        <w:p w14:paraId="26456801" w14:textId="75218FE8"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19987" w:history="1">
            <w:r w:rsidRPr="0027101D">
              <w:rPr>
                <w:rStyle w:val="Hyperlink"/>
                <w:noProof/>
              </w:rPr>
              <w:t>Unit Objectives</w:t>
            </w:r>
            <w:r>
              <w:rPr>
                <w:noProof/>
                <w:webHidden/>
              </w:rPr>
              <w:tab/>
            </w:r>
            <w:r>
              <w:rPr>
                <w:noProof/>
                <w:webHidden/>
              </w:rPr>
              <w:fldChar w:fldCharType="begin"/>
            </w:r>
            <w:r>
              <w:rPr>
                <w:noProof/>
                <w:webHidden/>
              </w:rPr>
              <w:instrText xml:space="preserve"> PAGEREF _Toc164419987 \h </w:instrText>
            </w:r>
            <w:r>
              <w:rPr>
                <w:noProof/>
                <w:webHidden/>
              </w:rPr>
            </w:r>
            <w:r>
              <w:rPr>
                <w:noProof/>
                <w:webHidden/>
              </w:rPr>
              <w:fldChar w:fldCharType="separate"/>
            </w:r>
            <w:r w:rsidR="00D30C23">
              <w:rPr>
                <w:noProof/>
                <w:webHidden/>
              </w:rPr>
              <w:t>12</w:t>
            </w:r>
            <w:r>
              <w:rPr>
                <w:noProof/>
                <w:webHidden/>
              </w:rPr>
              <w:fldChar w:fldCharType="end"/>
            </w:r>
          </w:hyperlink>
        </w:p>
        <w:p w14:paraId="4FB3C26F" w14:textId="00E86886" w:rsidR="000A4E78" w:rsidRDefault="000A4E78" w:rsidP="002D6C54">
          <w:pPr>
            <w:pStyle w:val="TOC2"/>
            <w:tabs>
              <w:tab w:val="right" w:leader="dot" w:pos="9350"/>
            </w:tabs>
            <w:spacing w:line="240" w:lineRule="auto"/>
            <w:rPr>
              <w:rFonts w:asciiTheme="minorHAnsi" w:eastAsiaTheme="minorEastAsia" w:hAnsiTheme="minorHAnsi"/>
              <w:noProof/>
              <w:color w:val="auto"/>
              <w:szCs w:val="24"/>
            </w:rPr>
          </w:pPr>
          <w:hyperlink w:anchor="_Toc164419988" w:history="1">
            <w:r w:rsidRPr="0027101D">
              <w:rPr>
                <w:rStyle w:val="Hyperlink"/>
                <w:noProof/>
              </w:rPr>
              <w:t>Lesson 1: An Introduction to the  Old Testament</w:t>
            </w:r>
            <w:r>
              <w:rPr>
                <w:noProof/>
                <w:webHidden/>
              </w:rPr>
              <w:tab/>
            </w:r>
            <w:r>
              <w:rPr>
                <w:noProof/>
                <w:webHidden/>
              </w:rPr>
              <w:fldChar w:fldCharType="begin"/>
            </w:r>
            <w:r>
              <w:rPr>
                <w:noProof/>
                <w:webHidden/>
              </w:rPr>
              <w:instrText xml:space="preserve"> PAGEREF _Toc164419988 \h </w:instrText>
            </w:r>
            <w:r>
              <w:rPr>
                <w:noProof/>
                <w:webHidden/>
              </w:rPr>
            </w:r>
            <w:r>
              <w:rPr>
                <w:noProof/>
                <w:webHidden/>
              </w:rPr>
              <w:fldChar w:fldCharType="separate"/>
            </w:r>
            <w:r w:rsidR="00D30C23">
              <w:rPr>
                <w:noProof/>
                <w:webHidden/>
              </w:rPr>
              <w:t>13</w:t>
            </w:r>
            <w:r>
              <w:rPr>
                <w:noProof/>
                <w:webHidden/>
              </w:rPr>
              <w:fldChar w:fldCharType="end"/>
            </w:r>
          </w:hyperlink>
        </w:p>
        <w:p w14:paraId="3E36EE85" w14:textId="3585D05F"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19989" w:history="1">
            <w:r w:rsidRPr="0027101D">
              <w:rPr>
                <w:rStyle w:val="Hyperlink"/>
                <w:noProof/>
                <w:lang w:val="fr-FR"/>
              </w:rPr>
              <w:t>Lesson Introduction</w:t>
            </w:r>
            <w:r>
              <w:rPr>
                <w:noProof/>
                <w:webHidden/>
              </w:rPr>
              <w:tab/>
            </w:r>
            <w:r>
              <w:rPr>
                <w:noProof/>
                <w:webHidden/>
              </w:rPr>
              <w:fldChar w:fldCharType="begin"/>
            </w:r>
            <w:r>
              <w:rPr>
                <w:noProof/>
                <w:webHidden/>
              </w:rPr>
              <w:instrText xml:space="preserve"> PAGEREF _Toc164419989 \h </w:instrText>
            </w:r>
            <w:r>
              <w:rPr>
                <w:noProof/>
                <w:webHidden/>
              </w:rPr>
            </w:r>
            <w:r>
              <w:rPr>
                <w:noProof/>
                <w:webHidden/>
              </w:rPr>
              <w:fldChar w:fldCharType="separate"/>
            </w:r>
            <w:r w:rsidR="00D30C23">
              <w:rPr>
                <w:noProof/>
                <w:webHidden/>
              </w:rPr>
              <w:t>13</w:t>
            </w:r>
            <w:r>
              <w:rPr>
                <w:noProof/>
                <w:webHidden/>
              </w:rPr>
              <w:fldChar w:fldCharType="end"/>
            </w:r>
          </w:hyperlink>
        </w:p>
        <w:p w14:paraId="5C69481F" w14:textId="7837AEFD"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19990" w:history="1">
            <w:r w:rsidRPr="0027101D">
              <w:rPr>
                <w:rStyle w:val="Hyperlink"/>
                <w:noProof/>
              </w:rPr>
              <w:t>Lesson Outline</w:t>
            </w:r>
            <w:r>
              <w:rPr>
                <w:noProof/>
                <w:webHidden/>
              </w:rPr>
              <w:tab/>
            </w:r>
            <w:r>
              <w:rPr>
                <w:noProof/>
                <w:webHidden/>
              </w:rPr>
              <w:fldChar w:fldCharType="begin"/>
            </w:r>
            <w:r>
              <w:rPr>
                <w:noProof/>
                <w:webHidden/>
              </w:rPr>
              <w:instrText xml:space="preserve"> PAGEREF _Toc164419990 \h </w:instrText>
            </w:r>
            <w:r>
              <w:rPr>
                <w:noProof/>
                <w:webHidden/>
              </w:rPr>
            </w:r>
            <w:r>
              <w:rPr>
                <w:noProof/>
                <w:webHidden/>
              </w:rPr>
              <w:fldChar w:fldCharType="separate"/>
            </w:r>
            <w:r w:rsidR="00D30C23">
              <w:rPr>
                <w:noProof/>
                <w:webHidden/>
              </w:rPr>
              <w:t>13</w:t>
            </w:r>
            <w:r>
              <w:rPr>
                <w:noProof/>
                <w:webHidden/>
              </w:rPr>
              <w:fldChar w:fldCharType="end"/>
            </w:r>
          </w:hyperlink>
        </w:p>
        <w:p w14:paraId="4E00A501" w14:textId="595AAE3C"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19991" w:history="1">
            <w:r w:rsidRPr="0027101D">
              <w:rPr>
                <w:rStyle w:val="Hyperlink"/>
                <w:noProof/>
                <w:lang w:val="fr-FR"/>
              </w:rPr>
              <w:t>Lesson Objectives</w:t>
            </w:r>
            <w:r>
              <w:rPr>
                <w:noProof/>
                <w:webHidden/>
              </w:rPr>
              <w:tab/>
            </w:r>
            <w:r>
              <w:rPr>
                <w:noProof/>
                <w:webHidden/>
              </w:rPr>
              <w:fldChar w:fldCharType="begin"/>
            </w:r>
            <w:r>
              <w:rPr>
                <w:noProof/>
                <w:webHidden/>
              </w:rPr>
              <w:instrText xml:space="preserve"> PAGEREF _Toc164419991 \h </w:instrText>
            </w:r>
            <w:r>
              <w:rPr>
                <w:noProof/>
                <w:webHidden/>
              </w:rPr>
            </w:r>
            <w:r>
              <w:rPr>
                <w:noProof/>
                <w:webHidden/>
              </w:rPr>
              <w:fldChar w:fldCharType="separate"/>
            </w:r>
            <w:r w:rsidR="00D30C23">
              <w:rPr>
                <w:noProof/>
                <w:webHidden/>
              </w:rPr>
              <w:t>13</w:t>
            </w:r>
            <w:r>
              <w:rPr>
                <w:noProof/>
                <w:webHidden/>
              </w:rPr>
              <w:fldChar w:fldCharType="end"/>
            </w:r>
          </w:hyperlink>
        </w:p>
        <w:p w14:paraId="09C6E5BE" w14:textId="1CD7D5B1"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19992" w:history="1">
            <w:r w:rsidRPr="0027101D">
              <w:rPr>
                <w:rStyle w:val="Hyperlink"/>
                <w:noProof/>
              </w:rPr>
              <w:t>Topic 1: General Introduction to the Pentateuch</w:t>
            </w:r>
            <w:r>
              <w:rPr>
                <w:noProof/>
                <w:webHidden/>
              </w:rPr>
              <w:tab/>
            </w:r>
            <w:r>
              <w:rPr>
                <w:noProof/>
                <w:webHidden/>
              </w:rPr>
              <w:fldChar w:fldCharType="begin"/>
            </w:r>
            <w:r>
              <w:rPr>
                <w:noProof/>
                <w:webHidden/>
              </w:rPr>
              <w:instrText xml:space="preserve"> PAGEREF _Toc164419992 \h </w:instrText>
            </w:r>
            <w:r>
              <w:rPr>
                <w:noProof/>
                <w:webHidden/>
              </w:rPr>
            </w:r>
            <w:r>
              <w:rPr>
                <w:noProof/>
                <w:webHidden/>
              </w:rPr>
              <w:fldChar w:fldCharType="separate"/>
            </w:r>
            <w:r w:rsidR="00D30C23">
              <w:rPr>
                <w:noProof/>
                <w:webHidden/>
              </w:rPr>
              <w:t>14</w:t>
            </w:r>
            <w:r>
              <w:rPr>
                <w:noProof/>
                <w:webHidden/>
              </w:rPr>
              <w:fldChar w:fldCharType="end"/>
            </w:r>
          </w:hyperlink>
        </w:p>
        <w:p w14:paraId="2E685D5A" w14:textId="34862B3B"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19993" w:history="1">
            <w:r w:rsidRPr="0027101D">
              <w:rPr>
                <w:rStyle w:val="Hyperlink"/>
                <w:noProof/>
              </w:rPr>
              <w:t>Topic 2: Old Testament Chronology</w:t>
            </w:r>
            <w:r>
              <w:rPr>
                <w:noProof/>
                <w:webHidden/>
              </w:rPr>
              <w:tab/>
            </w:r>
            <w:r>
              <w:rPr>
                <w:noProof/>
                <w:webHidden/>
              </w:rPr>
              <w:fldChar w:fldCharType="begin"/>
            </w:r>
            <w:r>
              <w:rPr>
                <w:noProof/>
                <w:webHidden/>
              </w:rPr>
              <w:instrText xml:space="preserve"> PAGEREF _Toc164419993 \h </w:instrText>
            </w:r>
            <w:r>
              <w:rPr>
                <w:noProof/>
                <w:webHidden/>
              </w:rPr>
            </w:r>
            <w:r>
              <w:rPr>
                <w:noProof/>
                <w:webHidden/>
              </w:rPr>
              <w:fldChar w:fldCharType="separate"/>
            </w:r>
            <w:r w:rsidR="00D30C23">
              <w:rPr>
                <w:noProof/>
                <w:webHidden/>
              </w:rPr>
              <w:t>14</w:t>
            </w:r>
            <w:r>
              <w:rPr>
                <w:noProof/>
                <w:webHidden/>
              </w:rPr>
              <w:fldChar w:fldCharType="end"/>
            </w:r>
          </w:hyperlink>
        </w:p>
        <w:p w14:paraId="74D2096D" w14:textId="0ABFBA52"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19994" w:history="1">
            <w:r w:rsidRPr="0027101D">
              <w:rPr>
                <w:rStyle w:val="Hyperlink"/>
                <w:noProof/>
              </w:rPr>
              <w:t>Topic 3: Geography and Map of the Ancient Near East</w:t>
            </w:r>
            <w:r>
              <w:rPr>
                <w:noProof/>
                <w:webHidden/>
              </w:rPr>
              <w:tab/>
            </w:r>
            <w:r>
              <w:rPr>
                <w:noProof/>
                <w:webHidden/>
              </w:rPr>
              <w:fldChar w:fldCharType="begin"/>
            </w:r>
            <w:r>
              <w:rPr>
                <w:noProof/>
                <w:webHidden/>
              </w:rPr>
              <w:instrText xml:space="preserve"> PAGEREF _Toc164419994 \h </w:instrText>
            </w:r>
            <w:r>
              <w:rPr>
                <w:noProof/>
                <w:webHidden/>
              </w:rPr>
            </w:r>
            <w:r>
              <w:rPr>
                <w:noProof/>
                <w:webHidden/>
              </w:rPr>
              <w:fldChar w:fldCharType="separate"/>
            </w:r>
            <w:r w:rsidR="00D30C23">
              <w:rPr>
                <w:noProof/>
                <w:webHidden/>
              </w:rPr>
              <w:t>19</w:t>
            </w:r>
            <w:r>
              <w:rPr>
                <w:noProof/>
                <w:webHidden/>
              </w:rPr>
              <w:fldChar w:fldCharType="end"/>
            </w:r>
          </w:hyperlink>
        </w:p>
        <w:p w14:paraId="38C0A298" w14:textId="6BA81478" w:rsidR="000A4E78" w:rsidRDefault="000A4E78" w:rsidP="002D6C54">
          <w:pPr>
            <w:pStyle w:val="TOC2"/>
            <w:tabs>
              <w:tab w:val="right" w:leader="dot" w:pos="9350"/>
            </w:tabs>
            <w:spacing w:line="240" w:lineRule="auto"/>
            <w:rPr>
              <w:rFonts w:asciiTheme="minorHAnsi" w:eastAsiaTheme="minorEastAsia" w:hAnsiTheme="minorHAnsi"/>
              <w:noProof/>
              <w:color w:val="auto"/>
              <w:szCs w:val="24"/>
            </w:rPr>
          </w:pPr>
          <w:hyperlink w:anchor="_Toc164419995" w:history="1">
            <w:r w:rsidRPr="0027101D">
              <w:rPr>
                <w:rStyle w:val="Hyperlink"/>
                <w:noProof/>
              </w:rPr>
              <w:t>Lesson 2: The Creation Account   (Genesis 1:1–2:3)</w:t>
            </w:r>
            <w:r>
              <w:rPr>
                <w:noProof/>
                <w:webHidden/>
              </w:rPr>
              <w:tab/>
            </w:r>
            <w:r>
              <w:rPr>
                <w:noProof/>
                <w:webHidden/>
              </w:rPr>
              <w:fldChar w:fldCharType="begin"/>
            </w:r>
            <w:r>
              <w:rPr>
                <w:noProof/>
                <w:webHidden/>
              </w:rPr>
              <w:instrText xml:space="preserve"> PAGEREF _Toc164419995 \h </w:instrText>
            </w:r>
            <w:r>
              <w:rPr>
                <w:noProof/>
                <w:webHidden/>
              </w:rPr>
            </w:r>
            <w:r>
              <w:rPr>
                <w:noProof/>
                <w:webHidden/>
              </w:rPr>
              <w:fldChar w:fldCharType="separate"/>
            </w:r>
            <w:r w:rsidR="00D30C23">
              <w:rPr>
                <w:noProof/>
                <w:webHidden/>
              </w:rPr>
              <w:t>21</w:t>
            </w:r>
            <w:r>
              <w:rPr>
                <w:noProof/>
                <w:webHidden/>
              </w:rPr>
              <w:fldChar w:fldCharType="end"/>
            </w:r>
          </w:hyperlink>
        </w:p>
        <w:p w14:paraId="512A6EC5" w14:textId="1409394C"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19996" w:history="1">
            <w:r w:rsidRPr="0027101D">
              <w:rPr>
                <w:rStyle w:val="Hyperlink"/>
                <w:noProof/>
                <w:lang w:val="fr-FR"/>
              </w:rPr>
              <w:t>Lesson Introduction</w:t>
            </w:r>
            <w:r>
              <w:rPr>
                <w:noProof/>
                <w:webHidden/>
              </w:rPr>
              <w:tab/>
            </w:r>
            <w:r>
              <w:rPr>
                <w:noProof/>
                <w:webHidden/>
              </w:rPr>
              <w:fldChar w:fldCharType="begin"/>
            </w:r>
            <w:r>
              <w:rPr>
                <w:noProof/>
                <w:webHidden/>
              </w:rPr>
              <w:instrText xml:space="preserve"> PAGEREF _Toc164419996 \h </w:instrText>
            </w:r>
            <w:r>
              <w:rPr>
                <w:noProof/>
                <w:webHidden/>
              </w:rPr>
            </w:r>
            <w:r>
              <w:rPr>
                <w:noProof/>
                <w:webHidden/>
              </w:rPr>
              <w:fldChar w:fldCharType="separate"/>
            </w:r>
            <w:r w:rsidR="00D30C23">
              <w:rPr>
                <w:noProof/>
                <w:webHidden/>
              </w:rPr>
              <w:t>21</w:t>
            </w:r>
            <w:r>
              <w:rPr>
                <w:noProof/>
                <w:webHidden/>
              </w:rPr>
              <w:fldChar w:fldCharType="end"/>
            </w:r>
          </w:hyperlink>
        </w:p>
        <w:p w14:paraId="63E85554" w14:textId="17EC1566"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19997" w:history="1">
            <w:r w:rsidRPr="0027101D">
              <w:rPr>
                <w:rStyle w:val="Hyperlink"/>
                <w:noProof/>
              </w:rPr>
              <w:t>Lesson Outline</w:t>
            </w:r>
            <w:r>
              <w:rPr>
                <w:noProof/>
                <w:webHidden/>
              </w:rPr>
              <w:tab/>
            </w:r>
            <w:r>
              <w:rPr>
                <w:noProof/>
                <w:webHidden/>
              </w:rPr>
              <w:fldChar w:fldCharType="begin"/>
            </w:r>
            <w:r>
              <w:rPr>
                <w:noProof/>
                <w:webHidden/>
              </w:rPr>
              <w:instrText xml:space="preserve"> PAGEREF _Toc164419997 \h </w:instrText>
            </w:r>
            <w:r>
              <w:rPr>
                <w:noProof/>
                <w:webHidden/>
              </w:rPr>
            </w:r>
            <w:r>
              <w:rPr>
                <w:noProof/>
                <w:webHidden/>
              </w:rPr>
              <w:fldChar w:fldCharType="separate"/>
            </w:r>
            <w:r w:rsidR="00D30C23">
              <w:rPr>
                <w:noProof/>
                <w:webHidden/>
              </w:rPr>
              <w:t>21</w:t>
            </w:r>
            <w:r>
              <w:rPr>
                <w:noProof/>
                <w:webHidden/>
              </w:rPr>
              <w:fldChar w:fldCharType="end"/>
            </w:r>
          </w:hyperlink>
        </w:p>
        <w:p w14:paraId="631E6895" w14:textId="5D1DBEB8"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19998" w:history="1">
            <w:r w:rsidRPr="0027101D">
              <w:rPr>
                <w:rStyle w:val="Hyperlink"/>
                <w:noProof/>
                <w:lang w:val="fr-FR"/>
              </w:rPr>
              <w:t>Lesson Objectives</w:t>
            </w:r>
            <w:r>
              <w:rPr>
                <w:noProof/>
                <w:webHidden/>
              </w:rPr>
              <w:tab/>
            </w:r>
            <w:r>
              <w:rPr>
                <w:noProof/>
                <w:webHidden/>
              </w:rPr>
              <w:fldChar w:fldCharType="begin"/>
            </w:r>
            <w:r>
              <w:rPr>
                <w:noProof/>
                <w:webHidden/>
              </w:rPr>
              <w:instrText xml:space="preserve"> PAGEREF _Toc164419998 \h </w:instrText>
            </w:r>
            <w:r>
              <w:rPr>
                <w:noProof/>
                <w:webHidden/>
              </w:rPr>
            </w:r>
            <w:r>
              <w:rPr>
                <w:noProof/>
                <w:webHidden/>
              </w:rPr>
              <w:fldChar w:fldCharType="separate"/>
            </w:r>
            <w:r w:rsidR="00D30C23">
              <w:rPr>
                <w:noProof/>
                <w:webHidden/>
              </w:rPr>
              <w:t>21</w:t>
            </w:r>
            <w:r>
              <w:rPr>
                <w:noProof/>
                <w:webHidden/>
              </w:rPr>
              <w:fldChar w:fldCharType="end"/>
            </w:r>
          </w:hyperlink>
        </w:p>
        <w:p w14:paraId="209EF9A4" w14:textId="4FF6AD49"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19999" w:history="1">
            <w:r w:rsidRPr="0027101D">
              <w:rPr>
                <w:rStyle w:val="Hyperlink"/>
                <w:noProof/>
              </w:rPr>
              <w:t>Topic 1: Introduction to Genesis</w:t>
            </w:r>
            <w:r>
              <w:rPr>
                <w:noProof/>
                <w:webHidden/>
              </w:rPr>
              <w:tab/>
            </w:r>
            <w:r>
              <w:rPr>
                <w:noProof/>
                <w:webHidden/>
              </w:rPr>
              <w:fldChar w:fldCharType="begin"/>
            </w:r>
            <w:r>
              <w:rPr>
                <w:noProof/>
                <w:webHidden/>
              </w:rPr>
              <w:instrText xml:space="preserve"> PAGEREF _Toc164419999 \h </w:instrText>
            </w:r>
            <w:r>
              <w:rPr>
                <w:noProof/>
                <w:webHidden/>
              </w:rPr>
            </w:r>
            <w:r>
              <w:rPr>
                <w:noProof/>
                <w:webHidden/>
              </w:rPr>
              <w:fldChar w:fldCharType="separate"/>
            </w:r>
            <w:r w:rsidR="00D30C23">
              <w:rPr>
                <w:noProof/>
                <w:webHidden/>
              </w:rPr>
              <w:t>22</w:t>
            </w:r>
            <w:r>
              <w:rPr>
                <w:noProof/>
                <w:webHidden/>
              </w:rPr>
              <w:fldChar w:fldCharType="end"/>
            </w:r>
          </w:hyperlink>
        </w:p>
        <w:p w14:paraId="0DDBD66F" w14:textId="72F3FFAC"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00" w:history="1">
            <w:r w:rsidRPr="0027101D">
              <w:rPr>
                <w:rStyle w:val="Hyperlink"/>
                <w:noProof/>
              </w:rPr>
              <w:t>Topic 2:  The Beginning in Blessing (Genesis 1:1–2:3)</w:t>
            </w:r>
            <w:r>
              <w:rPr>
                <w:noProof/>
                <w:webHidden/>
              </w:rPr>
              <w:tab/>
            </w:r>
            <w:r>
              <w:rPr>
                <w:noProof/>
                <w:webHidden/>
              </w:rPr>
              <w:fldChar w:fldCharType="begin"/>
            </w:r>
            <w:r>
              <w:rPr>
                <w:noProof/>
                <w:webHidden/>
              </w:rPr>
              <w:instrText xml:space="preserve"> PAGEREF _Toc164420000 \h </w:instrText>
            </w:r>
            <w:r>
              <w:rPr>
                <w:noProof/>
                <w:webHidden/>
              </w:rPr>
            </w:r>
            <w:r>
              <w:rPr>
                <w:noProof/>
                <w:webHidden/>
              </w:rPr>
              <w:fldChar w:fldCharType="separate"/>
            </w:r>
            <w:r w:rsidR="00D30C23">
              <w:rPr>
                <w:noProof/>
                <w:webHidden/>
              </w:rPr>
              <w:t>27</w:t>
            </w:r>
            <w:r>
              <w:rPr>
                <w:noProof/>
                <w:webHidden/>
              </w:rPr>
              <w:fldChar w:fldCharType="end"/>
            </w:r>
          </w:hyperlink>
        </w:p>
        <w:p w14:paraId="45BE093C" w14:textId="5B41671B"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01" w:history="1">
            <w:r w:rsidRPr="0027101D">
              <w:rPr>
                <w:rStyle w:val="Hyperlink"/>
                <w:noProof/>
              </w:rPr>
              <w:t>Topic 3:  Evangelical Approaches to the Creation Account</w:t>
            </w:r>
            <w:r>
              <w:rPr>
                <w:noProof/>
                <w:webHidden/>
              </w:rPr>
              <w:tab/>
            </w:r>
            <w:r>
              <w:rPr>
                <w:noProof/>
                <w:webHidden/>
              </w:rPr>
              <w:fldChar w:fldCharType="begin"/>
            </w:r>
            <w:r>
              <w:rPr>
                <w:noProof/>
                <w:webHidden/>
              </w:rPr>
              <w:instrText xml:space="preserve"> PAGEREF _Toc164420001 \h </w:instrText>
            </w:r>
            <w:r>
              <w:rPr>
                <w:noProof/>
                <w:webHidden/>
              </w:rPr>
            </w:r>
            <w:r>
              <w:rPr>
                <w:noProof/>
                <w:webHidden/>
              </w:rPr>
              <w:fldChar w:fldCharType="separate"/>
            </w:r>
            <w:r w:rsidR="00D30C23">
              <w:rPr>
                <w:noProof/>
                <w:webHidden/>
              </w:rPr>
              <w:t>34</w:t>
            </w:r>
            <w:r>
              <w:rPr>
                <w:noProof/>
                <w:webHidden/>
              </w:rPr>
              <w:fldChar w:fldCharType="end"/>
            </w:r>
          </w:hyperlink>
        </w:p>
        <w:p w14:paraId="26752362" w14:textId="3C3B5000" w:rsidR="000A4E78" w:rsidRDefault="000A4E78" w:rsidP="002D6C54">
          <w:pPr>
            <w:pStyle w:val="TOC2"/>
            <w:tabs>
              <w:tab w:val="right" w:leader="dot" w:pos="9350"/>
            </w:tabs>
            <w:spacing w:line="240" w:lineRule="auto"/>
            <w:rPr>
              <w:rFonts w:asciiTheme="minorHAnsi" w:eastAsiaTheme="minorEastAsia" w:hAnsiTheme="minorHAnsi"/>
              <w:noProof/>
              <w:color w:val="auto"/>
              <w:szCs w:val="24"/>
            </w:rPr>
          </w:pPr>
          <w:hyperlink w:anchor="_Toc164420002" w:history="1">
            <w:r w:rsidRPr="0027101D">
              <w:rPr>
                <w:rStyle w:val="Hyperlink"/>
                <w:noProof/>
              </w:rPr>
              <w:t>Lesson 3: The Account of the Fall, the Spread of Sin, and the Flood   (Genesis 2:4–11:26)</w:t>
            </w:r>
            <w:r>
              <w:rPr>
                <w:noProof/>
                <w:webHidden/>
              </w:rPr>
              <w:tab/>
            </w:r>
            <w:r>
              <w:rPr>
                <w:noProof/>
                <w:webHidden/>
              </w:rPr>
              <w:fldChar w:fldCharType="begin"/>
            </w:r>
            <w:r>
              <w:rPr>
                <w:noProof/>
                <w:webHidden/>
              </w:rPr>
              <w:instrText xml:space="preserve"> PAGEREF _Toc164420002 \h </w:instrText>
            </w:r>
            <w:r>
              <w:rPr>
                <w:noProof/>
                <w:webHidden/>
              </w:rPr>
            </w:r>
            <w:r>
              <w:rPr>
                <w:noProof/>
                <w:webHidden/>
              </w:rPr>
              <w:fldChar w:fldCharType="separate"/>
            </w:r>
            <w:r w:rsidR="00D30C23">
              <w:rPr>
                <w:noProof/>
                <w:webHidden/>
              </w:rPr>
              <w:t>44</w:t>
            </w:r>
            <w:r>
              <w:rPr>
                <w:noProof/>
                <w:webHidden/>
              </w:rPr>
              <w:fldChar w:fldCharType="end"/>
            </w:r>
          </w:hyperlink>
        </w:p>
        <w:p w14:paraId="76DB1F3F" w14:textId="1C05EAE6"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03" w:history="1">
            <w:r w:rsidRPr="0027101D">
              <w:rPr>
                <w:rStyle w:val="Hyperlink"/>
                <w:noProof/>
                <w:lang w:val="fr-FR"/>
              </w:rPr>
              <w:t>Lesson Introduction</w:t>
            </w:r>
            <w:r>
              <w:rPr>
                <w:noProof/>
                <w:webHidden/>
              </w:rPr>
              <w:tab/>
            </w:r>
            <w:r>
              <w:rPr>
                <w:noProof/>
                <w:webHidden/>
              </w:rPr>
              <w:fldChar w:fldCharType="begin"/>
            </w:r>
            <w:r>
              <w:rPr>
                <w:noProof/>
                <w:webHidden/>
              </w:rPr>
              <w:instrText xml:space="preserve"> PAGEREF _Toc164420003 \h </w:instrText>
            </w:r>
            <w:r>
              <w:rPr>
                <w:noProof/>
                <w:webHidden/>
              </w:rPr>
            </w:r>
            <w:r>
              <w:rPr>
                <w:noProof/>
                <w:webHidden/>
              </w:rPr>
              <w:fldChar w:fldCharType="separate"/>
            </w:r>
            <w:r w:rsidR="00D30C23">
              <w:rPr>
                <w:noProof/>
                <w:webHidden/>
              </w:rPr>
              <w:t>44</w:t>
            </w:r>
            <w:r>
              <w:rPr>
                <w:noProof/>
                <w:webHidden/>
              </w:rPr>
              <w:fldChar w:fldCharType="end"/>
            </w:r>
          </w:hyperlink>
        </w:p>
        <w:p w14:paraId="4F4A9A03" w14:textId="74602AE1"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04" w:history="1">
            <w:r w:rsidRPr="0027101D">
              <w:rPr>
                <w:rStyle w:val="Hyperlink"/>
                <w:noProof/>
              </w:rPr>
              <w:t>Lesson Outline</w:t>
            </w:r>
            <w:r>
              <w:rPr>
                <w:noProof/>
                <w:webHidden/>
              </w:rPr>
              <w:tab/>
            </w:r>
            <w:r>
              <w:rPr>
                <w:noProof/>
                <w:webHidden/>
              </w:rPr>
              <w:fldChar w:fldCharType="begin"/>
            </w:r>
            <w:r>
              <w:rPr>
                <w:noProof/>
                <w:webHidden/>
              </w:rPr>
              <w:instrText xml:space="preserve"> PAGEREF _Toc164420004 \h </w:instrText>
            </w:r>
            <w:r>
              <w:rPr>
                <w:noProof/>
                <w:webHidden/>
              </w:rPr>
            </w:r>
            <w:r>
              <w:rPr>
                <w:noProof/>
                <w:webHidden/>
              </w:rPr>
              <w:fldChar w:fldCharType="separate"/>
            </w:r>
            <w:r w:rsidR="00D30C23">
              <w:rPr>
                <w:noProof/>
                <w:webHidden/>
              </w:rPr>
              <w:t>44</w:t>
            </w:r>
            <w:r>
              <w:rPr>
                <w:noProof/>
                <w:webHidden/>
              </w:rPr>
              <w:fldChar w:fldCharType="end"/>
            </w:r>
          </w:hyperlink>
        </w:p>
        <w:p w14:paraId="7C03551B" w14:textId="1E242C51"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05" w:history="1">
            <w:r w:rsidRPr="0027101D">
              <w:rPr>
                <w:rStyle w:val="Hyperlink"/>
                <w:noProof/>
                <w:lang w:val="fr-FR"/>
              </w:rPr>
              <w:t>Lesson Objectives</w:t>
            </w:r>
            <w:r>
              <w:rPr>
                <w:noProof/>
                <w:webHidden/>
              </w:rPr>
              <w:tab/>
            </w:r>
            <w:r>
              <w:rPr>
                <w:noProof/>
                <w:webHidden/>
              </w:rPr>
              <w:fldChar w:fldCharType="begin"/>
            </w:r>
            <w:r>
              <w:rPr>
                <w:noProof/>
                <w:webHidden/>
              </w:rPr>
              <w:instrText xml:space="preserve"> PAGEREF _Toc164420005 \h </w:instrText>
            </w:r>
            <w:r>
              <w:rPr>
                <w:noProof/>
                <w:webHidden/>
              </w:rPr>
            </w:r>
            <w:r>
              <w:rPr>
                <w:noProof/>
                <w:webHidden/>
              </w:rPr>
              <w:fldChar w:fldCharType="separate"/>
            </w:r>
            <w:r w:rsidR="00D30C23">
              <w:rPr>
                <w:noProof/>
                <w:webHidden/>
              </w:rPr>
              <w:t>44</w:t>
            </w:r>
            <w:r>
              <w:rPr>
                <w:noProof/>
                <w:webHidden/>
              </w:rPr>
              <w:fldChar w:fldCharType="end"/>
            </w:r>
          </w:hyperlink>
        </w:p>
        <w:p w14:paraId="26E4DBDB" w14:textId="5AA162A0"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06" w:history="1">
            <w:r w:rsidRPr="0027101D">
              <w:rPr>
                <w:rStyle w:val="Hyperlink"/>
                <w:noProof/>
              </w:rPr>
              <w:t>Topic 1: Overview Chart of Genesis 2:4–11:26</w:t>
            </w:r>
            <w:r>
              <w:rPr>
                <w:noProof/>
                <w:webHidden/>
              </w:rPr>
              <w:tab/>
            </w:r>
            <w:r>
              <w:rPr>
                <w:noProof/>
                <w:webHidden/>
              </w:rPr>
              <w:fldChar w:fldCharType="begin"/>
            </w:r>
            <w:r>
              <w:rPr>
                <w:noProof/>
                <w:webHidden/>
              </w:rPr>
              <w:instrText xml:space="preserve"> PAGEREF _Toc164420006 \h </w:instrText>
            </w:r>
            <w:r>
              <w:rPr>
                <w:noProof/>
                <w:webHidden/>
              </w:rPr>
            </w:r>
            <w:r>
              <w:rPr>
                <w:noProof/>
                <w:webHidden/>
              </w:rPr>
              <w:fldChar w:fldCharType="separate"/>
            </w:r>
            <w:r w:rsidR="00D30C23">
              <w:rPr>
                <w:noProof/>
                <w:webHidden/>
              </w:rPr>
              <w:t>45</w:t>
            </w:r>
            <w:r>
              <w:rPr>
                <w:noProof/>
                <w:webHidden/>
              </w:rPr>
              <w:fldChar w:fldCharType="end"/>
            </w:r>
          </w:hyperlink>
        </w:p>
        <w:p w14:paraId="34D31B87" w14:textId="5CE2D828"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07" w:history="1">
            <w:r w:rsidRPr="0027101D">
              <w:rPr>
                <w:rStyle w:val="Hyperlink"/>
                <w:noProof/>
              </w:rPr>
              <w:t>Topic 2: Sin’s Entrance and the Deterioration of Mankind (Genesis 2:4–11:26)</w:t>
            </w:r>
            <w:r>
              <w:rPr>
                <w:noProof/>
                <w:webHidden/>
              </w:rPr>
              <w:tab/>
            </w:r>
            <w:r>
              <w:rPr>
                <w:noProof/>
                <w:webHidden/>
              </w:rPr>
              <w:fldChar w:fldCharType="begin"/>
            </w:r>
            <w:r>
              <w:rPr>
                <w:noProof/>
                <w:webHidden/>
              </w:rPr>
              <w:instrText xml:space="preserve"> PAGEREF _Toc164420007 \h </w:instrText>
            </w:r>
            <w:r>
              <w:rPr>
                <w:noProof/>
                <w:webHidden/>
              </w:rPr>
            </w:r>
            <w:r>
              <w:rPr>
                <w:noProof/>
                <w:webHidden/>
              </w:rPr>
              <w:fldChar w:fldCharType="separate"/>
            </w:r>
            <w:r w:rsidR="00D30C23">
              <w:rPr>
                <w:noProof/>
                <w:webHidden/>
              </w:rPr>
              <w:t>45</w:t>
            </w:r>
            <w:r>
              <w:rPr>
                <w:noProof/>
                <w:webHidden/>
              </w:rPr>
              <w:fldChar w:fldCharType="end"/>
            </w:r>
          </w:hyperlink>
        </w:p>
        <w:p w14:paraId="21D3E203" w14:textId="4F8DFC0A"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08" w:history="1">
            <w:r w:rsidRPr="0027101D">
              <w:rPr>
                <w:rStyle w:val="Hyperlink"/>
                <w:noProof/>
              </w:rPr>
              <w:t>Topic 3: Historicity of the Biblical Flood Account</w:t>
            </w:r>
            <w:r>
              <w:rPr>
                <w:noProof/>
                <w:webHidden/>
              </w:rPr>
              <w:tab/>
            </w:r>
            <w:r>
              <w:rPr>
                <w:noProof/>
                <w:webHidden/>
              </w:rPr>
              <w:fldChar w:fldCharType="begin"/>
            </w:r>
            <w:r>
              <w:rPr>
                <w:noProof/>
                <w:webHidden/>
              </w:rPr>
              <w:instrText xml:space="preserve"> PAGEREF _Toc164420008 \h </w:instrText>
            </w:r>
            <w:r>
              <w:rPr>
                <w:noProof/>
                <w:webHidden/>
              </w:rPr>
            </w:r>
            <w:r>
              <w:rPr>
                <w:noProof/>
                <w:webHidden/>
              </w:rPr>
              <w:fldChar w:fldCharType="separate"/>
            </w:r>
            <w:r w:rsidR="00D30C23">
              <w:rPr>
                <w:noProof/>
                <w:webHidden/>
              </w:rPr>
              <w:t>58</w:t>
            </w:r>
            <w:r>
              <w:rPr>
                <w:noProof/>
                <w:webHidden/>
              </w:rPr>
              <w:fldChar w:fldCharType="end"/>
            </w:r>
          </w:hyperlink>
        </w:p>
        <w:p w14:paraId="58924A01" w14:textId="61AFBAFC" w:rsidR="000A4E78" w:rsidRDefault="000A4E78" w:rsidP="002D6C54">
          <w:pPr>
            <w:pStyle w:val="TOC2"/>
            <w:tabs>
              <w:tab w:val="right" w:leader="dot" w:pos="9350"/>
            </w:tabs>
            <w:spacing w:line="240" w:lineRule="auto"/>
            <w:rPr>
              <w:rFonts w:asciiTheme="minorHAnsi" w:eastAsiaTheme="minorEastAsia" w:hAnsiTheme="minorHAnsi"/>
              <w:noProof/>
              <w:color w:val="auto"/>
              <w:szCs w:val="24"/>
            </w:rPr>
          </w:pPr>
          <w:hyperlink w:anchor="_Toc164420009" w:history="1">
            <w:r w:rsidRPr="0027101D">
              <w:rPr>
                <w:rStyle w:val="Hyperlink"/>
                <w:noProof/>
              </w:rPr>
              <w:t>Unit 2: Israel’s Foundation  in Covenant and Law (Genesis 11:27–Exodus 40:38)</w:t>
            </w:r>
            <w:r>
              <w:rPr>
                <w:noProof/>
                <w:webHidden/>
              </w:rPr>
              <w:tab/>
            </w:r>
            <w:r>
              <w:rPr>
                <w:noProof/>
                <w:webHidden/>
              </w:rPr>
              <w:fldChar w:fldCharType="begin"/>
            </w:r>
            <w:r>
              <w:rPr>
                <w:noProof/>
                <w:webHidden/>
              </w:rPr>
              <w:instrText xml:space="preserve"> PAGEREF _Toc164420009 \h </w:instrText>
            </w:r>
            <w:r>
              <w:rPr>
                <w:noProof/>
                <w:webHidden/>
              </w:rPr>
            </w:r>
            <w:r>
              <w:rPr>
                <w:noProof/>
                <w:webHidden/>
              </w:rPr>
              <w:fldChar w:fldCharType="separate"/>
            </w:r>
            <w:r w:rsidR="00D30C23">
              <w:rPr>
                <w:noProof/>
                <w:webHidden/>
              </w:rPr>
              <w:t>61</w:t>
            </w:r>
            <w:r>
              <w:rPr>
                <w:noProof/>
                <w:webHidden/>
              </w:rPr>
              <w:fldChar w:fldCharType="end"/>
            </w:r>
          </w:hyperlink>
        </w:p>
        <w:p w14:paraId="7F2DFC0D" w14:textId="37622041"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10" w:history="1">
            <w:r w:rsidRPr="0027101D">
              <w:rPr>
                <w:rStyle w:val="Hyperlink"/>
                <w:noProof/>
              </w:rPr>
              <w:t>Unit Outline</w:t>
            </w:r>
            <w:r>
              <w:rPr>
                <w:noProof/>
                <w:webHidden/>
              </w:rPr>
              <w:tab/>
            </w:r>
            <w:r>
              <w:rPr>
                <w:noProof/>
                <w:webHidden/>
              </w:rPr>
              <w:fldChar w:fldCharType="begin"/>
            </w:r>
            <w:r>
              <w:rPr>
                <w:noProof/>
                <w:webHidden/>
              </w:rPr>
              <w:instrText xml:space="preserve"> PAGEREF _Toc164420010 \h </w:instrText>
            </w:r>
            <w:r>
              <w:rPr>
                <w:noProof/>
                <w:webHidden/>
              </w:rPr>
            </w:r>
            <w:r>
              <w:rPr>
                <w:noProof/>
                <w:webHidden/>
              </w:rPr>
              <w:fldChar w:fldCharType="separate"/>
            </w:r>
            <w:r w:rsidR="00D30C23">
              <w:rPr>
                <w:noProof/>
                <w:webHidden/>
              </w:rPr>
              <w:t>61</w:t>
            </w:r>
            <w:r>
              <w:rPr>
                <w:noProof/>
                <w:webHidden/>
              </w:rPr>
              <w:fldChar w:fldCharType="end"/>
            </w:r>
          </w:hyperlink>
        </w:p>
        <w:p w14:paraId="222B69F2" w14:textId="1AD569E7"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11" w:history="1">
            <w:r w:rsidRPr="0027101D">
              <w:rPr>
                <w:rStyle w:val="Hyperlink"/>
                <w:noProof/>
              </w:rPr>
              <w:t>Unit Objectives</w:t>
            </w:r>
            <w:r>
              <w:rPr>
                <w:noProof/>
                <w:webHidden/>
              </w:rPr>
              <w:tab/>
            </w:r>
            <w:r>
              <w:rPr>
                <w:noProof/>
                <w:webHidden/>
              </w:rPr>
              <w:fldChar w:fldCharType="begin"/>
            </w:r>
            <w:r>
              <w:rPr>
                <w:noProof/>
                <w:webHidden/>
              </w:rPr>
              <w:instrText xml:space="preserve"> PAGEREF _Toc164420011 \h </w:instrText>
            </w:r>
            <w:r>
              <w:rPr>
                <w:noProof/>
                <w:webHidden/>
              </w:rPr>
            </w:r>
            <w:r>
              <w:rPr>
                <w:noProof/>
                <w:webHidden/>
              </w:rPr>
              <w:fldChar w:fldCharType="separate"/>
            </w:r>
            <w:r w:rsidR="00D30C23">
              <w:rPr>
                <w:noProof/>
                <w:webHidden/>
              </w:rPr>
              <w:t>61</w:t>
            </w:r>
            <w:r>
              <w:rPr>
                <w:noProof/>
                <w:webHidden/>
              </w:rPr>
              <w:fldChar w:fldCharType="end"/>
            </w:r>
          </w:hyperlink>
        </w:p>
        <w:p w14:paraId="768C400D" w14:textId="77DCD891" w:rsidR="000A4E78" w:rsidRDefault="000A4E78" w:rsidP="002D6C54">
          <w:pPr>
            <w:pStyle w:val="TOC2"/>
            <w:tabs>
              <w:tab w:val="right" w:leader="dot" w:pos="9350"/>
            </w:tabs>
            <w:spacing w:line="240" w:lineRule="auto"/>
            <w:rPr>
              <w:rFonts w:asciiTheme="minorHAnsi" w:eastAsiaTheme="minorEastAsia" w:hAnsiTheme="minorHAnsi"/>
              <w:noProof/>
              <w:color w:val="auto"/>
              <w:szCs w:val="24"/>
            </w:rPr>
          </w:pPr>
          <w:hyperlink w:anchor="_Toc164420012" w:history="1">
            <w:r w:rsidRPr="0027101D">
              <w:rPr>
                <w:rStyle w:val="Hyperlink"/>
                <w:noProof/>
              </w:rPr>
              <w:t>Lesson 4: God’s Covenant with Abraham and the Struggles of the Patriarchs (Genesis 11:27–50:26)</w:t>
            </w:r>
            <w:r>
              <w:rPr>
                <w:noProof/>
                <w:webHidden/>
              </w:rPr>
              <w:tab/>
            </w:r>
            <w:r>
              <w:rPr>
                <w:noProof/>
                <w:webHidden/>
              </w:rPr>
              <w:fldChar w:fldCharType="begin"/>
            </w:r>
            <w:r>
              <w:rPr>
                <w:noProof/>
                <w:webHidden/>
              </w:rPr>
              <w:instrText xml:space="preserve"> PAGEREF _Toc164420012 \h </w:instrText>
            </w:r>
            <w:r>
              <w:rPr>
                <w:noProof/>
                <w:webHidden/>
              </w:rPr>
            </w:r>
            <w:r>
              <w:rPr>
                <w:noProof/>
                <w:webHidden/>
              </w:rPr>
              <w:fldChar w:fldCharType="separate"/>
            </w:r>
            <w:r w:rsidR="00D30C23">
              <w:rPr>
                <w:noProof/>
                <w:webHidden/>
              </w:rPr>
              <w:t>62</w:t>
            </w:r>
            <w:r>
              <w:rPr>
                <w:noProof/>
                <w:webHidden/>
              </w:rPr>
              <w:fldChar w:fldCharType="end"/>
            </w:r>
          </w:hyperlink>
        </w:p>
        <w:p w14:paraId="7D823C70" w14:textId="6F1A69EA"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13" w:history="1">
            <w:r w:rsidRPr="0027101D">
              <w:rPr>
                <w:rStyle w:val="Hyperlink"/>
                <w:noProof/>
                <w:lang w:val="fr-FR"/>
              </w:rPr>
              <w:t>Lesson Introduction</w:t>
            </w:r>
            <w:r>
              <w:rPr>
                <w:noProof/>
                <w:webHidden/>
              </w:rPr>
              <w:tab/>
            </w:r>
            <w:r>
              <w:rPr>
                <w:noProof/>
                <w:webHidden/>
              </w:rPr>
              <w:fldChar w:fldCharType="begin"/>
            </w:r>
            <w:r>
              <w:rPr>
                <w:noProof/>
                <w:webHidden/>
              </w:rPr>
              <w:instrText xml:space="preserve"> PAGEREF _Toc164420013 \h </w:instrText>
            </w:r>
            <w:r>
              <w:rPr>
                <w:noProof/>
                <w:webHidden/>
              </w:rPr>
            </w:r>
            <w:r>
              <w:rPr>
                <w:noProof/>
                <w:webHidden/>
              </w:rPr>
              <w:fldChar w:fldCharType="separate"/>
            </w:r>
            <w:r w:rsidR="00D30C23">
              <w:rPr>
                <w:noProof/>
                <w:webHidden/>
              </w:rPr>
              <w:t>62</w:t>
            </w:r>
            <w:r>
              <w:rPr>
                <w:noProof/>
                <w:webHidden/>
              </w:rPr>
              <w:fldChar w:fldCharType="end"/>
            </w:r>
          </w:hyperlink>
        </w:p>
        <w:p w14:paraId="08558F80" w14:textId="2BDA7AD6"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14" w:history="1">
            <w:r w:rsidRPr="0027101D">
              <w:rPr>
                <w:rStyle w:val="Hyperlink"/>
                <w:noProof/>
              </w:rPr>
              <w:t>Lesson Outline</w:t>
            </w:r>
            <w:r>
              <w:rPr>
                <w:noProof/>
                <w:webHidden/>
              </w:rPr>
              <w:tab/>
            </w:r>
            <w:r>
              <w:rPr>
                <w:noProof/>
                <w:webHidden/>
              </w:rPr>
              <w:fldChar w:fldCharType="begin"/>
            </w:r>
            <w:r>
              <w:rPr>
                <w:noProof/>
                <w:webHidden/>
              </w:rPr>
              <w:instrText xml:space="preserve"> PAGEREF _Toc164420014 \h </w:instrText>
            </w:r>
            <w:r>
              <w:rPr>
                <w:noProof/>
                <w:webHidden/>
              </w:rPr>
            </w:r>
            <w:r>
              <w:rPr>
                <w:noProof/>
                <w:webHidden/>
              </w:rPr>
              <w:fldChar w:fldCharType="separate"/>
            </w:r>
            <w:r w:rsidR="00D30C23">
              <w:rPr>
                <w:noProof/>
                <w:webHidden/>
              </w:rPr>
              <w:t>62</w:t>
            </w:r>
            <w:r>
              <w:rPr>
                <w:noProof/>
                <w:webHidden/>
              </w:rPr>
              <w:fldChar w:fldCharType="end"/>
            </w:r>
          </w:hyperlink>
        </w:p>
        <w:p w14:paraId="556EC9E3" w14:textId="658233D8"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15" w:history="1">
            <w:r w:rsidRPr="0027101D">
              <w:rPr>
                <w:rStyle w:val="Hyperlink"/>
                <w:noProof/>
                <w:lang w:val="fr-FR"/>
              </w:rPr>
              <w:t>Lesson Objectives</w:t>
            </w:r>
            <w:r>
              <w:rPr>
                <w:noProof/>
                <w:webHidden/>
              </w:rPr>
              <w:tab/>
            </w:r>
            <w:r>
              <w:rPr>
                <w:noProof/>
                <w:webHidden/>
              </w:rPr>
              <w:fldChar w:fldCharType="begin"/>
            </w:r>
            <w:r>
              <w:rPr>
                <w:noProof/>
                <w:webHidden/>
              </w:rPr>
              <w:instrText xml:space="preserve"> PAGEREF _Toc164420015 \h </w:instrText>
            </w:r>
            <w:r>
              <w:rPr>
                <w:noProof/>
                <w:webHidden/>
              </w:rPr>
            </w:r>
            <w:r>
              <w:rPr>
                <w:noProof/>
                <w:webHidden/>
              </w:rPr>
              <w:fldChar w:fldCharType="separate"/>
            </w:r>
            <w:r w:rsidR="00D30C23">
              <w:rPr>
                <w:noProof/>
                <w:webHidden/>
              </w:rPr>
              <w:t>62</w:t>
            </w:r>
            <w:r>
              <w:rPr>
                <w:noProof/>
                <w:webHidden/>
              </w:rPr>
              <w:fldChar w:fldCharType="end"/>
            </w:r>
          </w:hyperlink>
        </w:p>
        <w:p w14:paraId="1643DFA3" w14:textId="11BF7F7A"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16" w:history="1">
            <w:r w:rsidRPr="0027101D">
              <w:rPr>
                <w:rStyle w:val="Hyperlink"/>
                <w:noProof/>
              </w:rPr>
              <w:t>Topic 1: Orientation to the Patriarchs</w:t>
            </w:r>
            <w:r>
              <w:rPr>
                <w:noProof/>
                <w:webHidden/>
              </w:rPr>
              <w:tab/>
            </w:r>
            <w:r>
              <w:rPr>
                <w:noProof/>
                <w:webHidden/>
              </w:rPr>
              <w:fldChar w:fldCharType="begin"/>
            </w:r>
            <w:r>
              <w:rPr>
                <w:noProof/>
                <w:webHidden/>
              </w:rPr>
              <w:instrText xml:space="preserve"> PAGEREF _Toc164420016 \h </w:instrText>
            </w:r>
            <w:r>
              <w:rPr>
                <w:noProof/>
                <w:webHidden/>
              </w:rPr>
            </w:r>
            <w:r>
              <w:rPr>
                <w:noProof/>
                <w:webHidden/>
              </w:rPr>
              <w:fldChar w:fldCharType="separate"/>
            </w:r>
            <w:r w:rsidR="00D30C23">
              <w:rPr>
                <w:noProof/>
                <w:webHidden/>
              </w:rPr>
              <w:t>63</w:t>
            </w:r>
            <w:r>
              <w:rPr>
                <w:noProof/>
                <w:webHidden/>
              </w:rPr>
              <w:fldChar w:fldCharType="end"/>
            </w:r>
          </w:hyperlink>
        </w:p>
        <w:p w14:paraId="44E71F58" w14:textId="206782CD"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17" w:history="1">
            <w:r w:rsidRPr="0027101D">
              <w:rPr>
                <w:rStyle w:val="Hyperlink"/>
                <w:noProof/>
              </w:rPr>
              <w:t xml:space="preserve">Topic 2:  The Covenant with Abraham (Gen </w:t>
            </w:r>
            <w:r w:rsidRPr="0027101D">
              <w:rPr>
                <w:rStyle w:val="Hyperlink"/>
                <w:iCs/>
                <w:noProof/>
              </w:rPr>
              <w:t>11:27–25:11</w:t>
            </w:r>
            <w:r w:rsidRPr="0027101D">
              <w:rPr>
                <w:rStyle w:val="Hyperlink"/>
                <w:noProof/>
              </w:rPr>
              <w:t>)</w:t>
            </w:r>
            <w:r>
              <w:rPr>
                <w:noProof/>
                <w:webHidden/>
              </w:rPr>
              <w:tab/>
            </w:r>
            <w:r>
              <w:rPr>
                <w:noProof/>
                <w:webHidden/>
              </w:rPr>
              <w:fldChar w:fldCharType="begin"/>
            </w:r>
            <w:r>
              <w:rPr>
                <w:noProof/>
                <w:webHidden/>
              </w:rPr>
              <w:instrText xml:space="preserve"> PAGEREF _Toc164420017 \h </w:instrText>
            </w:r>
            <w:r>
              <w:rPr>
                <w:noProof/>
                <w:webHidden/>
              </w:rPr>
            </w:r>
            <w:r>
              <w:rPr>
                <w:noProof/>
                <w:webHidden/>
              </w:rPr>
              <w:fldChar w:fldCharType="separate"/>
            </w:r>
            <w:r w:rsidR="00D30C23">
              <w:rPr>
                <w:noProof/>
                <w:webHidden/>
              </w:rPr>
              <w:t>65</w:t>
            </w:r>
            <w:r>
              <w:rPr>
                <w:noProof/>
                <w:webHidden/>
              </w:rPr>
              <w:fldChar w:fldCharType="end"/>
            </w:r>
          </w:hyperlink>
        </w:p>
        <w:p w14:paraId="71AA5679" w14:textId="472C2089"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18" w:history="1">
            <w:r w:rsidRPr="0027101D">
              <w:rPr>
                <w:rStyle w:val="Hyperlink"/>
                <w:noProof/>
              </w:rPr>
              <w:t xml:space="preserve">Topic 3: The Jacob and Joseph Narratives (Gen </w:t>
            </w:r>
            <w:r w:rsidRPr="0027101D">
              <w:rPr>
                <w:rStyle w:val="Hyperlink"/>
                <w:iCs/>
                <w:noProof/>
              </w:rPr>
              <w:t>25:12–50:26</w:t>
            </w:r>
            <w:r w:rsidRPr="0027101D">
              <w:rPr>
                <w:rStyle w:val="Hyperlink"/>
                <w:noProof/>
              </w:rPr>
              <w:t>)</w:t>
            </w:r>
            <w:r>
              <w:rPr>
                <w:noProof/>
                <w:webHidden/>
              </w:rPr>
              <w:tab/>
            </w:r>
            <w:r>
              <w:rPr>
                <w:noProof/>
                <w:webHidden/>
              </w:rPr>
              <w:fldChar w:fldCharType="begin"/>
            </w:r>
            <w:r>
              <w:rPr>
                <w:noProof/>
                <w:webHidden/>
              </w:rPr>
              <w:instrText xml:space="preserve"> PAGEREF _Toc164420018 \h </w:instrText>
            </w:r>
            <w:r>
              <w:rPr>
                <w:noProof/>
                <w:webHidden/>
              </w:rPr>
            </w:r>
            <w:r>
              <w:rPr>
                <w:noProof/>
                <w:webHidden/>
              </w:rPr>
              <w:fldChar w:fldCharType="separate"/>
            </w:r>
            <w:r w:rsidR="00D30C23">
              <w:rPr>
                <w:noProof/>
                <w:webHidden/>
              </w:rPr>
              <w:t>74</w:t>
            </w:r>
            <w:r>
              <w:rPr>
                <w:noProof/>
                <w:webHidden/>
              </w:rPr>
              <w:fldChar w:fldCharType="end"/>
            </w:r>
          </w:hyperlink>
        </w:p>
        <w:p w14:paraId="2EC44230" w14:textId="3E1264D0" w:rsidR="000A4E78" w:rsidRDefault="000A4E78" w:rsidP="002D6C54">
          <w:pPr>
            <w:pStyle w:val="TOC2"/>
            <w:tabs>
              <w:tab w:val="right" w:leader="dot" w:pos="9350"/>
            </w:tabs>
            <w:spacing w:line="240" w:lineRule="auto"/>
            <w:rPr>
              <w:rFonts w:asciiTheme="minorHAnsi" w:eastAsiaTheme="minorEastAsia" w:hAnsiTheme="minorHAnsi"/>
              <w:noProof/>
              <w:color w:val="auto"/>
              <w:szCs w:val="24"/>
            </w:rPr>
          </w:pPr>
          <w:hyperlink w:anchor="_Toc164420019" w:history="1">
            <w:r w:rsidRPr="0027101D">
              <w:rPr>
                <w:rStyle w:val="Hyperlink"/>
                <w:noProof/>
              </w:rPr>
              <w:t>Lesson 5: The Deliverance of Israel  From Egypt (Exodus 1:1–18:27)</w:t>
            </w:r>
            <w:r>
              <w:rPr>
                <w:noProof/>
                <w:webHidden/>
              </w:rPr>
              <w:tab/>
            </w:r>
            <w:r>
              <w:rPr>
                <w:noProof/>
                <w:webHidden/>
              </w:rPr>
              <w:fldChar w:fldCharType="begin"/>
            </w:r>
            <w:r>
              <w:rPr>
                <w:noProof/>
                <w:webHidden/>
              </w:rPr>
              <w:instrText xml:space="preserve"> PAGEREF _Toc164420019 \h </w:instrText>
            </w:r>
            <w:r>
              <w:rPr>
                <w:noProof/>
                <w:webHidden/>
              </w:rPr>
            </w:r>
            <w:r>
              <w:rPr>
                <w:noProof/>
                <w:webHidden/>
              </w:rPr>
              <w:fldChar w:fldCharType="separate"/>
            </w:r>
            <w:r w:rsidR="00D30C23">
              <w:rPr>
                <w:noProof/>
                <w:webHidden/>
              </w:rPr>
              <w:t>81</w:t>
            </w:r>
            <w:r>
              <w:rPr>
                <w:noProof/>
                <w:webHidden/>
              </w:rPr>
              <w:fldChar w:fldCharType="end"/>
            </w:r>
          </w:hyperlink>
        </w:p>
        <w:p w14:paraId="3A2C0A5F" w14:textId="6E1438FD"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20" w:history="1">
            <w:r w:rsidRPr="0027101D">
              <w:rPr>
                <w:rStyle w:val="Hyperlink"/>
                <w:noProof/>
                <w:lang w:val="fr-FR"/>
              </w:rPr>
              <w:t>Lesson Introduction</w:t>
            </w:r>
            <w:r>
              <w:rPr>
                <w:noProof/>
                <w:webHidden/>
              </w:rPr>
              <w:tab/>
            </w:r>
            <w:r>
              <w:rPr>
                <w:noProof/>
                <w:webHidden/>
              </w:rPr>
              <w:fldChar w:fldCharType="begin"/>
            </w:r>
            <w:r>
              <w:rPr>
                <w:noProof/>
                <w:webHidden/>
              </w:rPr>
              <w:instrText xml:space="preserve"> PAGEREF _Toc164420020 \h </w:instrText>
            </w:r>
            <w:r>
              <w:rPr>
                <w:noProof/>
                <w:webHidden/>
              </w:rPr>
            </w:r>
            <w:r>
              <w:rPr>
                <w:noProof/>
                <w:webHidden/>
              </w:rPr>
              <w:fldChar w:fldCharType="separate"/>
            </w:r>
            <w:r w:rsidR="00D30C23">
              <w:rPr>
                <w:noProof/>
                <w:webHidden/>
              </w:rPr>
              <w:t>81</w:t>
            </w:r>
            <w:r>
              <w:rPr>
                <w:noProof/>
                <w:webHidden/>
              </w:rPr>
              <w:fldChar w:fldCharType="end"/>
            </w:r>
          </w:hyperlink>
        </w:p>
        <w:p w14:paraId="4696BDAC" w14:textId="2C6A9C64"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21" w:history="1">
            <w:r w:rsidRPr="0027101D">
              <w:rPr>
                <w:rStyle w:val="Hyperlink"/>
                <w:noProof/>
              </w:rPr>
              <w:t>Lesson Outline</w:t>
            </w:r>
            <w:r>
              <w:rPr>
                <w:noProof/>
                <w:webHidden/>
              </w:rPr>
              <w:tab/>
            </w:r>
            <w:r>
              <w:rPr>
                <w:noProof/>
                <w:webHidden/>
              </w:rPr>
              <w:fldChar w:fldCharType="begin"/>
            </w:r>
            <w:r>
              <w:rPr>
                <w:noProof/>
                <w:webHidden/>
              </w:rPr>
              <w:instrText xml:space="preserve"> PAGEREF _Toc164420021 \h </w:instrText>
            </w:r>
            <w:r>
              <w:rPr>
                <w:noProof/>
                <w:webHidden/>
              </w:rPr>
            </w:r>
            <w:r>
              <w:rPr>
                <w:noProof/>
                <w:webHidden/>
              </w:rPr>
              <w:fldChar w:fldCharType="separate"/>
            </w:r>
            <w:r w:rsidR="00D30C23">
              <w:rPr>
                <w:noProof/>
                <w:webHidden/>
              </w:rPr>
              <w:t>81</w:t>
            </w:r>
            <w:r>
              <w:rPr>
                <w:noProof/>
                <w:webHidden/>
              </w:rPr>
              <w:fldChar w:fldCharType="end"/>
            </w:r>
          </w:hyperlink>
        </w:p>
        <w:p w14:paraId="1FF73D30" w14:textId="0F449841"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22" w:history="1">
            <w:r w:rsidRPr="0027101D">
              <w:rPr>
                <w:rStyle w:val="Hyperlink"/>
                <w:noProof/>
                <w:lang w:val="fr-FR"/>
              </w:rPr>
              <w:t>Lesson Objectives</w:t>
            </w:r>
            <w:r>
              <w:rPr>
                <w:noProof/>
                <w:webHidden/>
              </w:rPr>
              <w:tab/>
            </w:r>
            <w:r>
              <w:rPr>
                <w:noProof/>
                <w:webHidden/>
              </w:rPr>
              <w:fldChar w:fldCharType="begin"/>
            </w:r>
            <w:r>
              <w:rPr>
                <w:noProof/>
                <w:webHidden/>
              </w:rPr>
              <w:instrText xml:space="preserve"> PAGEREF _Toc164420022 \h </w:instrText>
            </w:r>
            <w:r>
              <w:rPr>
                <w:noProof/>
                <w:webHidden/>
              </w:rPr>
            </w:r>
            <w:r>
              <w:rPr>
                <w:noProof/>
                <w:webHidden/>
              </w:rPr>
              <w:fldChar w:fldCharType="separate"/>
            </w:r>
            <w:r w:rsidR="00D30C23">
              <w:rPr>
                <w:noProof/>
                <w:webHidden/>
              </w:rPr>
              <w:t>81</w:t>
            </w:r>
            <w:r>
              <w:rPr>
                <w:noProof/>
                <w:webHidden/>
              </w:rPr>
              <w:fldChar w:fldCharType="end"/>
            </w:r>
          </w:hyperlink>
        </w:p>
        <w:p w14:paraId="6AF31BC6" w14:textId="4EE89659"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23" w:history="1">
            <w:r w:rsidRPr="0027101D">
              <w:rPr>
                <w:rStyle w:val="Hyperlink"/>
                <w:noProof/>
              </w:rPr>
              <w:t>Topic 1: Overview of the Book of Exodus</w:t>
            </w:r>
            <w:r>
              <w:rPr>
                <w:noProof/>
                <w:webHidden/>
              </w:rPr>
              <w:tab/>
            </w:r>
            <w:r>
              <w:rPr>
                <w:noProof/>
                <w:webHidden/>
              </w:rPr>
              <w:fldChar w:fldCharType="begin"/>
            </w:r>
            <w:r>
              <w:rPr>
                <w:noProof/>
                <w:webHidden/>
              </w:rPr>
              <w:instrText xml:space="preserve"> PAGEREF _Toc164420023 \h </w:instrText>
            </w:r>
            <w:r>
              <w:rPr>
                <w:noProof/>
                <w:webHidden/>
              </w:rPr>
            </w:r>
            <w:r>
              <w:rPr>
                <w:noProof/>
                <w:webHidden/>
              </w:rPr>
              <w:fldChar w:fldCharType="separate"/>
            </w:r>
            <w:r w:rsidR="00D30C23">
              <w:rPr>
                <w:noProof/>
                <w:webHidden/>
              </w:rPr>
              <w:t>82</w:t>
            </w:r>
            <w:r>
              <w:rPr>
                <w:noProof/>
                <w:webHidden/>
              </w:rPr>
              <w:fldChar w:fldCharType="end"/>
            </w:r>
          </w:hyperlink>
        </w:p>
        <w:p w14:paraId="0B7D63C2" w14:textId="6C603C29"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24" w:history="1">
            <w:r w:rsidRPr="0027101D">
              <w:rPr>
                <w:rStyle w:val="Hyperlink"/>
                <w:noProof/>
              </w:rPr>
              <w:t xml:space="preserve">Topic 2:  The Bondage of Egypt (Exod </w:t>
            </w:r>
            <w:r w:rsidRPr="0027101D">
              <w:rPr>
                <w:rStyle w:val="Hyperlink"/>
                <w:iCs/>
                <w:noProof/>
              </w:rPr>
              <w:t>1–11)</w:t>
            </w:r>
            <w:r>
              <w:rPr>
                <w:noProof/>
                <w:webHidden/>
              </w:rPr>
              <w:tab/>
            </w:r>
            <w:r>
              <w:rPr>
                <w:noProof/>
                <w:webHidden/>
              </w:rPr>
              <w:fldChar w:fldCharType="begin"/>
            </w:r>
            <w:r>
              <w:rPr>
                <w:noProof/>
                <w:webHidden/>
              </w:rPr>
              <w:instrText xml:space="preserve"> PAGEREF _Toc164420024 \h </w:instrText>
            </w:r>
            <w:r>
              <w:rPr>
                <w:noProof/>
                <w:webHidden/>
              </w:rPr>
            </w:r>
            <w:r>
              <w:rPr>
                <w:noProof/>
                <w:webHidden/>
              </w:rPr>
              <w:fldChar w:fldCharType="separate"/>
            </w:r>
            <w:r w:rsidR="00D30C23">
              <w:rPr>
                <w:noProof/>
                <w:webHidden/>
              </w:rPr>
              <w:t>84</w:t>
            </w:r>
            <w:r>
              <w:rPr>
                <w:noProof/>
                <w:webHidden/>
              </w:rPr>
              <w:fldChar w:fldCharType="end"/>
            </w:r>
          </w:hyperlink>
        </w:p>
        <w:p w14:paraId="6468C172" w14:textId="30DF77EF"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25" w:history="1">
            <w:r w:rsidRPr="0027101D">
              <w:rPr>
                <w:rStyle w:val="Hyperlink"/>
                <w:noProof/>
              </w:rPr>
              <w:t>Topic 3:  Redemption from Bondage (</w:t>
            </w:r>
            <w:r w:rsidRPr="0027101D">
              <w:rPr>
                <w:rStyle w:val="Hyperlink"/>
                <w:iCs/>
                <w:noProof/>
              </w:rPr>
              <w:t>12:1–18:27</w:t>
            </w:r>
            <w:r w:rsidRPr="0027101D">
              <w:rPr>
                <w:rStyle w:val="Hyperlink"/>
                <w:noProof/>
              </w:rPr>
              <w:t>)</w:t>
            </w:r>
            <w:r>
              <w:rPr>
                <w:noProof/>
                <w:webHidden/>
              </w:rPr>
              <w:tab/>
            </w:r>
            <w:r>
              <w:rPr>
                <w:noProof/>
                <w:webHidden/>
              </w:rPr>
              <w:fldChar w:fldCharType="begin"/>
            </w:r>
            <w:r>
              <w:rPr>
                <w:noProof/>
                <w:webHidden/>
              </w:rPr>
              <w:instrText xml:space="preserve"> PAGEREF _Toc164420025 \h </w:instrText>
            </w:r>
            <w:r>
              <w:rPr>
                <w:noProof/>
                <w:webHidden/>
              </w:rPr>
            </w:r>
            <w:r>
              <w:rPr>
                <w:noProof/>
                <w:webHidden/>
              </w:rPr>
              <w:fldChar w:fldCharType="separate"/>
            </w:r>
            <w:r w:rsidR="00D30C23">
              <w:rPr>
                <w:noProof/>
                <w:webHidden/>
              </w:rPr>
              <w:t>94</w:t>
            </w:r>
            <w:r>
              <w:rPr>
                <w:noProof/>
                <w:webHidden/>
              </w:rPr>
              <w:fldChar w:fldCharType="end"/>
            </w:r>
          </w:hyperlink>
        </w:p>
        <w:p w14:paraId="21D2268E" w14:textId="59429236" w:rsidR="000A4E78" w:rsidRDefault="000A4E78" w:rsidP="002D6C54">
          <w:pPr>
            <w:pStyle w:val="TOC2"/>
            <w:tabs>
              <w:tab w:val="right" w:leader="dot" w:pos="9350"/>
            </w:tabs>
            <w:spacing w:line="240" w:lineRule="auto"/>
            <w:rPr>
              <w:rFonts w:asciiTheme="minorHAnsi" w:eastAsiaTheme="minorEastAsia" w:hAnsiTheme="minorHAnsi"/>
              <w:noProof/>
              <w:color w:val="auto"/>
              <w:szCs w:val="24"/>
            </w:rPr>
          </w:pPr>
          <w:hyperlink w:anchor="_Toc164420026" w:history="1">
            <w:r w:rsidRPr="0027101D">
              <w:rPr>
                <w:rStyle w:val="Hyperlink"/>
                <w:noProof/>
              </w:rPr>
              <w:t>Lesson 6: The Giving of the Law and Construction of the Tabernacle (Exodus 19:1–40:38)</w:t>
            </w:r>
            <w:r>
              <w:rPr>
                <w:noProof/>
                <w:webHidden/>
              </w:rPr>
              <w:tab/>
            </w:r>
            <w:r>
              <w:rPr>
                <w:noProof/>
                <w:webHidden/>
              </w:rPr>
              <w:fldChar w:fldCharType="begin"/>
            </w:r>
            <w:r>
              <w:rPr>
                <w:noProof/>
                <w:webHidden/>
              </w:rPr>
              <w:instrText xml:space="preserve"> PAGEREF _Toc164420026 \h </w:instrText>
            </w:r>
            <w:r>
              <w:rPr>
                <w:noProof/>
                <w:webHidden/>
              </w:rPr>
            </w:r>
            <w:r>
              <w:rPr>
                <w:noProof/>
                <w:webHidden/>
              </w:rPr>
              <w:fldChar w:fldCharType="separate"/>
            </w:r>
            <w:r w:rsidR="00D30C23">
              <w:rPr>
                <w:noProof/>
                <w:webHidden/>
              </w:rPr>
              <w:t>102</w:t>
            </w:r>
            <w:r>
              <w:rPr>
                <w:noProof/>
                <w:webHidden/>
              </w:rPr>
              <w:fldChar w:fldCharType="end"/>
            </w:r>
          </w:hyperlink>
        </w:p>
        <w:p w14:paraId="161DDDE5" w14:textId="397147F1"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27" w:history="1">
            <w:r w:rsidRPr="0027101D">
              <w:rPr>
                <w:rStyle w:val="Hyperlink"/>
                <w:noProof/>
                <w:lang w:val="fr-FR"/>
              </w:rPr>
              <w:t>Lesson Introduction</w:t>
            </w:r>
            <w:r>
              <w:rPr>
                <w:noProof/>
                <w:webHidden/>
              </w:rPr>
              <w:tab/>
            </w:r>
            <w:r>
              <w:rPr>
                <w:noProof/>
                <w:webHidden/>
              </w:rPr>
              <w:fldChar w:fldCharType="begin"/>
            </w:r>
            <w:r>
              <w:rPr>
                <w:noProof/>
                <w:webHidden/>
              </w:rPr>
              <w:instrText xml:space="preserve"> PAGEREF _Toc164420027 \h </w:instrText>
            </w:r>
            <w:r>
              <w:rPr>
                <w:noProof/>
                <w:webHidden/>
              </w:rPr>
            </w:r>
            <w:r>
              <w:rPr>
                <w:noProof/>
                <w:webHidden/>
              </w:rPr>
              <w:fldChar w:fldCharType="separate"/>
            </w:r>
            <w:r w:rsidR="00D30C23">
              <w:rPr>
                <w:noProof/>
                <w:webHidden/>
              </w:rPr>
              <w:t>102</w:t>
            </w:r>
            <w:r>
              <w:rPr>
                <w:noProof/>
                <w:webHidden/>
              </w:rPr>
              <w:fldChar w:fldCharType="end"/>
            </w:r>
          </w:hyperlink>
        </w:p>
        <w:p w14:paraId="12D65889" w14:textId="715C10FE"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28" w:history="1">
            <w:r w:rsidRPr="0027101D">
              <w:rPr>
                <w:rStyle w:val="Hyperlink"/>
                <w:noProof/>
              </w:rPr>
              <w:t>Lesson Outline</w:t>
            </w:r>
            <w:r>
              <w:rPr>
                <w:noProof/>
                <w:webHidden/>
              </w:rPr>
              <w:tab/>
            </w:r>
            <w:r>
              <w:rPr>
                <w:noProof/>
                <w:webHidden/>
              </w:rPr>
              <w:fldChar w:fldCharType="begin"/>
            </w:r>
            <w:r>
              <w:rPr>
                <w:noProof/>
                <w:webHidden/>
              </w:rPr>
              <w:instrText xml:space="preserve"> PAGEREF _Toc164420028 \h </w:instrText>
            </w:r>
            <w:r>
              <w:rPr>
                <w:noProof/>
                <w:webHidden/>
              </w:rPr>
            </w:r>
            <w:r>
              <w:rPr>
                <w:noProof/>
                <w:webHidden/>
              </w:rPr>
              <w:fldChar w:fldCharType="separate"/>
            </w:r>
            <w:r w:rsidR="00D30C23">
              <w:rPr>
                <w:noProof/>
                <w:webHidden/>
              </w:rPr>
              <w:t>102</w:t>
            </w:r>
            <w:r>
              <w:rPr>
                <w:noProof/>
                <w:webHidden/>
              </w:rPr>
              <w:fldChar w:fldCharType="end"/>
            </w:r>
          </w:hyperlink>
        </w:p>
        <w:p w14:paraId="440F380A" w14:textId="7A60D746"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29" w:history="1">
            <w:r w:rsidRPr="0027101D">
              <w:rPr>
                <w:rStyle w:val="Hyperlink"/>
                <w:noProof/>
                <w:lang w:val="fr-FR"/>
              </w:rPr>
              <w:t>Lesson Objectives</w:t>
            </w:r>
            <w:r>
              <w:rPr>
                <w:noProof/>
                <w:webHidden/>
              </w:rPr>
              <w:tab/>
            </w:r>
            <w:r>
              <w:rPr>
                <w:noProof/>
                <w:webHidden/>
              </w:rPr>
              <w:fldChar w:fldCharType="begin"/>
            </w:r>
            <w:r>
              <w:rPr>
                <w:noProof/>
                <w:webHidden/>
              </w:rPr>
              <w:instrText xml:space="preserve"> PAGEREF _Toc164420029 \h </w:instrText>
            </w:r>
            <w:r>
              <w:rPr>
                <w:noProof/>
                <w:webHidden/>
              </w:rPr>
            </w:r>
            <w:r>
              <w:rPr>
                <w:noProof/>
                <w:webHidden/>
              </w:rPr>
              <w:fldChar w:fldCharType="separate"/>
            </w:r>
            <w:r w:rsidR="00D30C23">
              <w:rPr>
                <w:noProof/>
                <w:webHidden/>
              </w:rPr>
              <w:t>102</w:t>
            </w:r>
            <w:r>
              <w:rPr>
                <w:noProof/>
                <w:webHidden/>
              </w:rPr>
              <w:fldChar w:fldCharType="end"/>
            </w:r>
          </w:hyperlink>
        </w:p>
        <w:p w14:paraId="16E5C149" w14:textId="6B78622F"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30" w:history="1">
            <w:r w:rsidRPr="0027101D">
              <w:rPr>
                <w:rStyle w:val="Hyperlink"/>
                <w:noProof/>
              </w:rPr>
              <w:t xml:space="preserve">Topic 1:  The Covenant at Sinai (Exod </w:t>
            </w:r>
            <w:r w:rsidRPr="0027101D">
              <w:rPr>
                <w:rStyle w:val="Hyperlink"/>
                <w:iCs/>
                <w:noProof/>
              </w:rPr>
              <w:t>19:1–24:18</w:t>
            </w:r>
            <w:r w:rsidRPr="0027101D">
              <w:rPr>
                <w:rStyle w:val="Hyperlink"/>
                <w:noProof/>
              </w:rPr>
              <w:t>)</w:t>
            </w:r>
            <w:r>
              <w:rPr>
                <w:noProof/>
                <w:webHidden/>
              </w:rPr>
              <w:tab/>
            </w:r>
            <w:r>
              <w:rPr>
                <w:noProof/>
                <w:webHidden/>
              </w:rPr>
              <w:fldChar w:fldCharType="begin"/>
            </w:r>
            <w:r>
              <w:rPr>
                <w:noProof/>
                <w:webHidden/>
              </w:rPr>
              <w:instrText xml:space="preserve"> PAGEREF _Toc164420030 \h </w:instrText>
            </w:r>
            <w:r>
              <w:rPr>
                <w:noProof/>
                <w:webHidden/>
              </w:rPr>
            </w:r>
            <w:r>
              <w:rPr>
                <w:noProof/>
                <w:webHidden/>
              </w:rPr>
              <w:fldChar w:fldCharType="separate"/>
            </w:r>
            <w:r w:rsidR="00D30C23">
              <w:rPr>
                <w:noProof/>
                <w:webHidden/>
              </w:rPr>
              <w:t>103</w:t>
            </w:r>
            <w:r>
              <w:rPr>
                <w:noProof/>
                <w:webHidden/>
              </w:rPr>
              <w:fldChar w:fldCharType="end"/>
            </w:r>
          </w:hyperlink>
        </w:p>
        <w:p w14:paraId="0734C558" w14:textId="499E7506"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31" w:history="1">
            <w:r w:rsidRPr="0027101D">
              <w:rPr>
                <w:rStyle w:val="Hyperlink"/>
                <w:noProof/>
              </w:rPr>
              <w:t>Topic 2:  Salvation in the Old Testament</w:t>
            </w:r>
            <w:r>
              <w:rPr>
                <w:noProof/>
                <w:webHidden/>
              </w:rPr>
              <w:tab/>
            </w:r>
            <w:r>
              <w:rPr>
                <w:noProof/>
                <w:webHidden/>
              </w:rPr>
              <w:fldChar w:fldCharType="begin"/>
            </w:r>
            <w:r>
              <w:rPr>
                <w:noProof/>
                <w:webHidden/>
              </w:rPr>
              <w:instrText xml:space="preserve"> PAGEREF _Toc164420031 \h </w:instrText>
            </w:r>
            <w:r>
              <w:rPr>
                <w:noProof/>
                <w:webHidden/>
              </w:rPr>
            </w:r>
            <w:r>
              <w:rPr>
                <w:noProof/>
                <w:webHidden/>
              </w:rPr>
              <w:fldChar w:fldCharType="separate"/>
            </w:r>
            <w:r w:rsidR="00D30C23">
              <w:rPr>
                <w:noProof/>
                <w:webHidden/>
              </w:rPr>
              <w:t>110</w:t>
            </w:r>
            <w:r>
              <w:rPr>
                <w:noProof/>
                <w:webHidden/>
              </w:rPr>
              <w:fldChar w:fldCharType="end"/>
            </w:r>
          </w:hyperlink>
        </w:p>
        <w:p w14:paraId="0E8380D0" w14:textId="0F7F412C"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32" w:history="1">
            <w:r w:rsidRPr="0027101D">
              <w:rPr>
                <w:rStyle w:val="Hyperlink"/>
                <w:noProof/>
              </w:rPr>
              <w:t>Topic 3:  The Tabernacle in the Wilderness (Exod 25:1–40:38)</w:t>
            </w:r>
            <w:r>
              <w:rPr>
                <w:noProof/>
                <w:webHidden/>
              </w:rPr>
              <w:tab/>
            </w:r>
            <w:r>
              <w:rPr>
                <w:noProof/>
                <w:webHidden/>
              </w:rPr>
              <w:fldChar w:fldCharType="begin"/>
            </w:r>
            <w:r>
              <w:rPr>
                <w:noProof/>
                <w:webHidden/>
              </w:rPr>
              <w:instrText xml:space="preserve"> PAGEREF _Toc164420032 \h </w:instrText>
            </w:r>
            <w:r>
              <w:rPr>
                <w:noProof/>
                <w:webHidden/>
              </w:rPr>
            </w:r>
            <w:r>
              <w:rPr>
                <w:noProof/>
                <w:webHidden/>
              </w:rPr>
              <w:fldChar w:fldCharType="separate"/>
            </w:r>
            <w:r w:rsidR="00D30C23">
              <w:rPr>
                <w:noProof/>
                <w:webHidden/>
              </w:rPr>
              <w:t>115</w:t>
            </w:r>
            <w:r>
              <w:rPr>
                <w:noProof/>
                <w:webHidden/>
              </w:rPr>
              <w:fldChar w:fldCharType="end"/>
            </w:r>
          </w:hyperlink>
        </w:p>
        <w:p w14:paraId="65F155BF" w14:textId="6AB9AD95" w:rsidR="000A4E78" w:rsidRDefault="000A4E78" w:rsidP="002D6C54">
          <w:pPr>
            <w:pStyle w:val="TOC2"/>
            <w:tabs>
              <w:tab w:val="right" w:leader="dot" w:pos="9350"/>
            </w:tabs>
            <w:spacing w:line="240" w:lineRule="auto"/>
            <w:rPr>
              <w:rFonts w:asciiTheme="minorHAnsi" w:eastAsiaTheme="minorEastAsia" w:hAnsiTheme="minorHAnsi"/>
              <w:noProof/>
              <w:color w:val="auto"/>
              <w:szCs w:val="24"/>
            </w:rPr>
          </w:pPr>
          <w:hyperlink w:anchor="_Toc164420033" w:history="1">
            <w:r w:rsidRPr="0027101D">
              <w:rPr>
                <w:rStyle w:val="Hyperlink"/>
                <w:noProof/>
              </w:rPr>
              <w:t>Unit 3: Preparations for  Entering the Land (Leviticus–Deuteronomy)</w:t>
            </w:r>
            <w:r>
              <w:rPr>
                <w:noProof/>
                <w:webHidden/>
              </w:rPr>
              <w:tab/>
            </w:r>
            <w:r>
              <w:rPr>
                <w:noProof/>
                <w:webHidden/>
              </w:rPr>
              <w:fldChar w:fldCharType="begin"/>
            </w:r>
            <w:r>
              <w:rPr>
                <w:noProof/>
                <w:webHidden/>
              </w:rPr>
              <w:instrText xml:space="preserve"> PAGEREF _Toc164420033 \h </w:instrText>
            </w:r>
            <w:r>
              <w:rPr>
                <w:noProof/>
                <w:webHidden/>
              </w:rPr>
            </w:r>
            <w:r>
              <w:rPr>
                <w:noProof/>
                <w:webHidden/>
              </w:rPr>
              <w:fldChar w:fldCharType="separate"/>
            </w:r>
            <w:r w:rsidR="00D30C23">
              <w:rPr>
                <w:noProof/>
                <w:webHidden/>
              </w:rPr>
              <w:t>122</w:t>
            </w:r>
            <w:r>
              <w:rPr>
                <w:noProof/>
                <w:webHidden/>
              </w:rPr>
              <w:fldChar w:fldCharType="end"/>
            </w:r>
          </w:hyperlink>
        </w:p>
        <w:p w14:paraId="76736457" w14:textId="242EBE00"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34" w:history="1">
            <w:r w:rsidRPr="0027101D">
              <w:rPr>
                <w:rStyle w:val="Hyperlink"/>
                <w:noProof/>
              </w:rPr>
              <w:t>Unit Outline</w:t>
            </w:r>
            <w:r>
              <w:rPr>
                <w:noProof/>
                <w:webHidden/>
              </w:rPr>
              <w:tab/>
            </w:r>
            <w:r>
              <w:rPr>
                <w:noProof/>
                <w:webHidden/>
              </w:rPr>
              <w:fldChar w:fldCharType="begin"/>
            </w:r>
            <w:r>
              <w:rPr>
                <w:noProof/>
                <w:webHidden/>
              </w:rPr>
              <w:instrText xml:space="preserve"> PAGEREF _Toc164420034 \h </w:instrText>
            </w:r>
            <w:r>
              <w:rPr>
                <w:noProof/>
                <w:webHidden/>
              </w:rPr>
            </w:r>
            <w:r>
              <w:rPr>
                <w:noProof/>
                <w:webHidden/>
              </w:rPr>
              <w:fldChar w:fldCharType="separate"/>
            </w:r>
            <w:r w:rsidR="00D30C23">
              <w:rPr>
                <w:noProof/>
                <w:webHidden/>
              </w:rPr>
              <w:t>122</w:t>
            </w:r>
            <w:r>
              <w:rPr>
                <w:noProof/>
                <w:webHidden/>
              </w:rPr>
              <w:fldChar w:fldCharType="end"/>
            </w:r>
          </w:hyperlink>
        </w:p>
        <w:p w14:paraId="43DD4349" w14:textId="7F8380C3"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35" w:history="1">
            <w:r w:rsidRPr="0027101D">
              <w:rPr>
                <w:rStyle w:val="Hyperlink"/>
                <w:noProof/>
              </w:rPr>
              <w:t>Unit Objectives</w:t>
            </w:r>
            <w:r>
              <w:rPr>
                <w:noProof/>
                <w:webHidden/>
              </w:rPr>
              <w:tab/>
            </w:r>
            <w:r>
              <w:rPr>
                <w:noProof/>
                <w:webHidden/>
              </w:rPr>
              <w:fldChar w:fldCharType="begin"/>
            </w:r>
            <w:r>
              <w:rPr>
                <w:noProof/>
                <w:webHidden/>
              </w:rPr>
              <w:instrText xml:space="preserve"> PAGEREF _Toc164420035 \h </w:instrText>
            </w:r>
            <w:r>
              <w:rPr>
                <w:noProof/>
                <w:webHidden/>
              </w:rPr>
            </w:r>
            <w:r>
              <w:rPr>
                <w:noProof/>
                <w:webHidden/>
              </w:rPr>
              <w:fldChar w:fldCharType="separate"/>
            </w:r>
            <w:r w:rsidR="00D30C23">
              <w:rPr>
                <w:noProof/>
                <w:webHidden/>
              </w:rPr>
              <w:t>122</w:t>
            </w:r>
            <w:r>
              <w:rPr>
                <w:noProof/>
                <w:webHidden/>
              </w:rPr>
              <w:fldChar w:fldCharType="end"/>
            </w:r>
          </w:hyperlink>
        </w:p>
        <w:p w14:paraId="1A6B0DBB" w14:textId="7297A15C" w:rsidR="000A4E78" w:rsidRDefault="000A4E78" w:rsidP="002D6C54">
          <w:pPr>
            <w:pStyle w:val="TOC2"/>
            <w:tabs>
              <w:tab w:val="right" w:leader="dot" w:pos="9350"/>
            </w:tabs>
            <w:spacing w:line="240" w:lineRule="auto"/>
            <w:rPr>
              <w:rFonts w:asciiTheme="minorHAnsi" w:eastAsiaTheme="minorEastAsia" w:hAnsiTheme="minorHAnsi"/>
              <w:noProof/>
              <w:color w:val="auto"/>
              <w:szCs w:val="24"/>
            </w:rPr>
          </w:pPr>
          <w:hyperlink w:anchor="_Toc164420036" w:history="1">
            <w:r w:rsidRPr="0027101D">
              <w:rPr>
                <w:rStyle w:val="Hyperlink"/>
                <w:noProof/>
              </w:rPr>
              <w:t>Lesson 7: The Sacrifices and Festivals of Old Testament Worship (Leviticus 1–23)</w:t>
            </w:r>
            <w:r>
              <w:rPr>
                <w:noProof/>
                <w:webHidden/>
              </w:rPr>
              <w:tab/>
            </w:r>
            <w:r>
              <w:rPr>
                <w:noProof/>
                <w:webHidden/>
              </w:rPr>
              <w:fldChar w:fldCharType="begin"/>
            </w:r>
            <w:r>
              <w:rPr>
                <w:noProof/>
                <w:webHidden/>
              </w:rPr>
              <w:instrText xml:space="preserve"> PAGEREF _Toc164420036 \h </w:instrText>
            </w:r>
            <w:r>
              <w:rPr>
                <w:noProof/>
                <w:webHidden/>
              </w:rPr>
            </w:r>
            <w:r>
              <w:rPr>
                <w:noProof/>
                <w:webHidden/>
              </w:rPr>
              <w:fldChar w:fldCharType="separate"/>
            </w:r>
            <w:r w:rsidR="00D30C23">
              <w:rPr>
                <w:noProof/>
                <w:webHidden/>
              </w:rPr>
              <w:t>123</w:t>
            </w:r>
            <w:r>
              <w:rPr>
                <w:noProof/>
                <w:webHidden/>
              </w:rPr>
              <w:fldChar w:fldCharType="end"/>
            </w:r>
          </w:hyperlink>
        </w:p>
        <w:p w14:paraId="17FA79FB" w14:textId="76024C7E"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37" w:history="1">
            <w:r w:rsidRPr="0027101D">
              <w:rPr>
                <w:rStyle w:val="Hyperlink"/>
                <w:noProof/>
                <w:lang w:val="fr-FR"/>
              </w:rPr>
              <w:t>Lesson Introduction</w:t>
            </w:r>
            <w:r>
              <w:rPr>
                <w:noProof/>
                <w:webHidden/>
              </w:rPr>
              <w:tab/>
            </w:r>
            <w:r>
              <w:rPr>
                <w:noProof/>
                <w:webHidden/>
              </w:rPr>
              <w:fldChar w:fldCharType="begin"/>
            </w:r>
            <w:r>
              <w:rPr>
                <w:noProof/>
                <w:webHidden/>
              </w:rPr>
              <w:instrText xml:space="preserve"> PAGEREF _Toc164420037 \h </w:instrText>
            </w:r>
            <w:r>
              <w:rPr>
                <w:noProof/>
                <w:webHidden/>
              </w:rPr>
            </w:r>
            <w:r>
              <w:rPr>
                <w:noProof/>
                <w:webHidden/>
              </w:rPr>
              <w:fldChar w:fldCharType="separate"/>
            </w:r>
            <w:r w:rsidR="00D30C23">
              <w:rPr>
                <w:noProof/>
                <w:webHidden/>
              </w:rPr>
              <w:t>123</w:t>
            </w:r>
            <w:r>
              <w:rPr>
                <w:noProof/>
                <w:webHidden/>
              </w:rPr>
              <w:fldChar w:fldCharType="end"/>
            </w:r>
          </w:hyperlink>
        </w:p>
        <w:p w14:paraId="7F264AC0" w14:textId="3D02E991"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38" w:history="1">
            <w:r w:rsidRPr="0027101D">
              <w:rPr>
                <w:rStyle w:val="Hyperlink"/>
                <w:noProof/>
              </w:rPr>
              <w:t>Lesson Outline</w:t>
            </w:r>
            <w:r>
              <w:rPr>
                <w:noProof/>
                <w:webHidden/>
              </w:rPr>
              <w:tab/>
            </w:r>
            <w:r>
              <w:rPr>
                <w:noProof/>
                <w:webHidden/>
              </w:rPr>
              <w:fldChar w:fldCharType="begin"/>
            </w:r>
            <w:r>
              <w:rPr>
                <w:noProof/>
                <w:webHidden/>
              </w:rPr>
              <w:instrText xml:space="preserve"> PAGEREF _Toc164420038 \h </w:instrText>
            </w:r>
            <w:r>
              <w:rPr>
                <w:noProof/>
                <w:webHidden/>
              </w:rPr>
            </w:r>
            <w:r>
              <w:rPr>
                <w:noProof/>
                <w:webHidden/>
              </w:rPr>
              <w:fldChar w:fldCharType="separate"/>
            </w:r>
            <w:r w:rsidR="00D30C23">
              <w:rPr>
                <w:noProof/>
                <w:webHidden/>
              </w:rPr>
              <w:t>123</w:t>
            </w:r>
            <w:r>
              <w:rPr>
                <w:noProof/>
                <w:webHidden/>
              </w:rPr>
              <w:fldChar w:fldCharType="end"/>
            </w:r>
          </w:hyperlink>
        </w:p>
        <w:p w14:paraId="7B0EAD45" w14:textId="7E40DFC0"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39" w:history="1">
            <w:r w:rsidRPr="0027101D">
              <w:rPr>
                <w:rStyle w:val="Hyperlink"/>
                <w:noProof/>
                <w:lang w:val="fr-FR"/>
              </w:rPr>
              <w:t>Lesson Objectives</w:t>
            </w:r>
            <w:r>
              <w:rPr>
                <w:noProof/>
                <w:webHidden/>
              </w:rPr>
              <w:tab/>
            </w:r>
            <w:r>
              <w:rPr>
                <w:noProof/>
                <w:webHidden/>
              </w:rPr>
              <w:fldChar w:fldCharType="begin"/>
            </w:r>
            <w:r>
              <w:rPr>
                <w:noProof/>
                <w:webHidden/>
              </w:rPr>
              <w:instrText xml:space="preserve"> PAGEREF _Toc164420039 \h </w:instrText>
            </w:r>
            <w:r>
              <w:rPr>
                <w:noProof/>
                <w:webHidden/>
              </w:rPr>
            </w:r>
            <w:r>
              <w:rPr>
                <w:noProof/>
                <w:webHidden/>
              </w:rPr>
              <w:fldChar w:fldCharType="separate"/>
            </w:r>
            <w:r w:rsidR="00D30C23">
              <w:rPr>
                <w:noProof/>
                <w:webHidden/>
              </w:rPr>
              <w:t>123</w:t>
            </w:r>
            <w:r>
              <w:rPr>
                <w:noProof/>
                <w:webHidden/>
              </w:rPr>
              <w:fldChar w:fldCharType="end"/>
            </w:r>
          </w:hyperlink>
        </w:p>
        <w:p w14:paraId="7D1A2447" w14:textId="11148280"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40" w:history="1">
            <w:r w:rsidRPr="0027101D">
              <w:rPr>
                <w:rStyle w:val="Hyperlink"/>
                <w:noProof/>
              </w:rPr>
              <w:t xml:space="preserve">Topic 1: Worshipping Through Sacrifice (Lev </w:t>
            </w:r>
            <w:r w:rsidRPr="0027101D">
              <w:rPr>
                <w:rStyle w:val="Hyperlink"/>
                <w:iCs/>
                <w:noProof/>
              </w:rPr>
              <w:t>1:1–10:20</w:t>
            </w:r>
            <w:r w:rsidRPr="0027101D">
              <w:rPr>
                <w:rStyle w:val="Hyperlink"/>
                <w:noProof/>
              </w:rPr>
              <w:t>)</w:t>
            </w:r>
            <w:r>
              <w:rPr>
                <w:noProof/>
                <w:webHidden/>
              </w:rPr>
              <w:tab/>
            </w:r>
            <w:r>
              <w:rPr>
                <w:noProof/>
                <w:webHidden/>
              </w:rPr>
              <w:fldChar w:fldCharType="begin"/>
            </w:r>
            <w:r>
              <w:rPr>
                <w:noProof/>
                <w:webHidden/>
              </w:rPr>
              <w:instrText xml:space="preserve"> PAGEREF _Toc164420040 \h </w:instrText>
            </w:r>
            <w:r>
              <w:rPr>
                <w:noProof/>
                <w:webHidden/>
              </w:rPr>
            </w:r>
            <w:r>
              <w:rPr>
                <w:noProof/>
                <w:webHidden/>
              </w:rPr>
              <w:fldChar w:fldCharType="separate"/>
            </w:r>
            <w:r w:rsidR="00D30C23">
              <w:rPr>
                <w:noProof/>
                <w:webHidden/>
              </w:rPr>
              <w:t>124</w:t>
            </w:r>
            <w:r>
              <w:rPr>
                <w:noProof/>
                <w:webHidden/>
              </w:rPr>
              <w:fldChar w:fldCharType="end"/>
            </w:r>
          </w:hyperlink>
        </w:p>
        <w:p w14:paraId="6EEEAD81" w14:textId="3CB13273"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41" w:history="1">
            <w:r w:rsidRPr="0027101D">
              <w:rPr>
                <w:rStyle w:val="Hyperlink"/>
                <w:noProof/>
              </w:rPr>
              <w:t xml:space="preserve">Topic 2:  The Day of Atonement (Lev </w:t>
            </w:r>
            <w:r w:rsidRPr="0027101D">
              <w:rPr>
                <w:rStyle w:val="Hyperlink"/>
                <w:iCs/>
                <w:noProof/>
              </w:rPr>
              <w:t>11:1–16:34</w:t>
            </w:r>
            <w:r w:rsidRPr="0027101D">
              <w:rPr>
                <w:rStyle w:val="Hyperlink"/>
                <w:noProof/>
              </w:rPr>
              <w:t>)</w:t>
            </w:r>
            <w:r>
              <w:rPr>
                <w:noProof/>
                <w:webHidden/>
              </w:rPr>
              <w:tab/>
            </w:r>
            <w:r>
              <w:rPr>
                <w:noProof/>
                <w:webHidden/>
              </w:rPr>
              <w:fldChar w:fldCharType="begin"/>
            </w:r>
            <w:r>
              <w:rPr>
                <w:noProof/>
                <w:webHidden/>
              </w:rPr>
              <w:instrText xml:space="preserve"> PAGEREF _Toc164420041 \h </w:instrText>
            </w:r>
            <w:r>
              <w:rPr>
                <w:noProof/>
                <w:webHidden/>
              </w:rPr>
            </w:r>
            <w:r>
              <w:rPr>
                <w:noProof/>
                <w:webHidden/>
              </w:rPr>
              <w:fldChar w:fldCharType="separate"/>
            </w:r>
            <w:r w:rsidR="00D30C23">
              <w:rPr>
                <w:noProof/>
                <w:webHidden/>
              </w:rPr>
              <w:t>130</w:t>
            </w:r>
            <w:r>
              <w:rPr>
                <w:noProof/>
                <w:webHidden/>
              </w:rPr>
              <w:fldChar w:fldCharType="end"/>
            </w:r>
          </w:hyperlink>
        </w:p>
        <w:p w14:paraId="5583157D" w14:textId="32124F64"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42" w:history="1">
            <w:r w:rsidRPr="0027101D">
              <w:rPr>
                <w:rStyle w:val="Hyperlink"/>
                <w:noProof/>
              </w:rPr>
              <w:t xml:space="preserve">Topic 3:  Laws of Holiness and Israel’s Calendar (Lev </w:t>
            </w:r>
            <w:r w:rsidRPr="0027101D">
              <w:rPr>
                <w:rStyle w:val="Hyperlink"/>
                <w:iCs/>
                <w:noProof/>
              </w:rPr>
              <w:t>17:1–27:34</w:t>
            </w:r>
            <w:r w:rsidRPr="0027101D">
              <w:rPr>
                <w:rStyle w:val="Hyperlink"/>
                <w:noProof/>
              </w:rPr>
              <w:t>)</w:t>
            </w:r>
            <w:r>
              <w:rPr>
                <w:noProof/>
                <w:webHidden/>
              </w:rPr>
              <w:tab/>
            </w:r>
            <w:r>
              <w:rPr>
                <w:noProof/>
                <w:webHidden/>
              </w:rPr>
              <w:fldChar w:fldCharType="begin"/>
            </w:r>
            <w:r>
              <w:rPr>
                <w:noProof/>
                <w:webHidden/>
              </w:rPr>
              <w:instrText xml:space="preserve"> PAGEREF _Toc164420042 \h </w:instrText>
            </w:r>
            <w:r>
              <w:rPr>
                <w:noProof/>
                <w:webHidden/>
              </w:rPr>
            </w:r>
            <w:r>
              <w:rPr>
                <w:noProof/>
                <w:webHidden/>
              </w:rPr>
              <w:fldChar w:fldCharType="separate"/>
            </w:r>
            <w:r w:rsidR="00D30C23">
              <w:rPr>
                <w:noProof/>
                <w:webHidden/>
              </w:rPr>
              <w:t>135</w:t>
            </w:r>
            <w:r>
              <w:rPr>
                <w:noProof/>
                <w:webHidden/>
              </w:rPr>
              <w:fldChar w:fldCharType="end"/>
            </w:r>
          </w:hyperlink>
        </w:p>
        <w:p w14:paraId="20DC3E58" w14:textId="5BF784AC" w:rsidR="000A4E78" w:rsidRDefault="000A4E78" w:rsidP="002D6C54">
          <w:pPr>
            <w:pStyle w:val="TOC2"/>
            <w:tabs>
              <w:tab w:val="right" w:leader="dot" w:pos="9350"/>
            </w:tabs>
            <w:spacing w:line="240" w:lineRule="auto"/>
            <w:rPr>
              <w:rFonts w:asciiTheme="minorHAnsi" w:eastAsiaTheme="minorEastAsia" w:hAnsiTheme="minorHAnsi"/>
              <w:noProof/>
              <w:color w:val="auto"/>
              <w:szCs w:val="24"/>
            </w:rPr>
          </w:pPr>
          <w:hyperlink w:anchor="_Toc164420043" w:history="1">
            <w:r w:rsidRPr="0027101D">
              <w:rPr>
                <w:rStyle w:val="Hyperlink"/>
                <w:noProof/>
              </w:rPr>
              <w:t>Lesson 8: The Forty Years in the Wilderness (Numbers 1–36)</w:t>
            </w:r>
            <w:r>
              <w:rPr>
                <w:noProof/>
                <w:webHidden/>
              </w:rPr>
              <w:tab/>
            </w:r>
            <w:r>
              <w:rPr>
                <w:noProof/>
                <w:webHidden/>
              </w:rPr>
              <w:fldChar w:fldCharType="begin"/>
            </w:r>
            <w:r>
              <w:rPr>
                <w:noProof/>
                <w:webHidden/>
              </w:rPr>
              <w:instrText xml:space="preserve"> PAGEREF _Toc164420043 \h </w:instrText>
            </w:r>
            <w:r>
              <w:rPr>
                <w:noProof/>
                <w:webHidden/>
              </w:rPr>
            </w:r>
            <w:r>
              <w:rPr>
                <w:noProof/>
                <w:webHidden/>
              </w:rPr>
              <w:fldChar w:fldCharType="separate"/>
            </w:r>
            <w:r w:rsidR="00D30C23">
              <w:rPr>
                <w:noProof/>
                <w:webHidden/>
              </w:rPr>
              <w:t>143</w:t>
            </w:r>
            <w:r>
              <w:rPr>
                <w:noProof/>
                <w:webHidden/>
              </w:rPr>
              <w:fldChar w:fldCharType="end"/>
            </w:r>
          </w:hyperlink>
        </w:p>
        <w:p w14:paraId="3C5078F5" w14:textId="218F471F"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44" w:history="1">
            <w:r w:rsidRPr="0027101D">
              <w:rPr>
                <w:rStyle w:val="Hyperlink"/>
                <w:noProof/>
                <w:lang w:val="fr-FR"/>
              </w:rPr>
              <w:t>Lesson Introduction</w:t>
            </w:r>
            <w:r>
              <w:rPr>
                <w:noProof/>
                <w:webHidden/>
              </w:rPr>
              <w:tab/>
            </w:r>
            <w:r>
              <w:rPr>
                <w:noProof/>
                <w:webHidden/>
              </w:rPr>
              <w:fldChar w:fldCharType="begin"/>
            </w:r>
            <w:r>
              <w:rPr>
                <w:noProof/>
                <w:webHidden/>
              </w:rPr>
              <w:instrText xml:space="preserve"> PAGEREF _Toc164420044 \h </w:instrText>
            </w:r>
            <w:r>
              <w:rPr>
                <w:noProof/>
                <w:webHidden/>
              </w:rPr>
            </w:r>
            <w:r>
              <w:rPr>
                <w:noProof/>
                <w:webHidden/>
              </w:rPr>
              <w:fldChar w:fldCharType="separate"/>
            </w:r>
            <w:r w:rsidR="00D30C23">
              <w:rPr>
                <w:noProof/>
                <w:webHidden/>
              </w:rPr>
              <w:t>143</w:t>
            </w:r>
            <w:r>
              <w:rPr>
                <w:noProof/>
                <w:webHidden/>
              </w:rPr>
              <w:fldChar w:fldCharType="end"/>
            </w:r>
          </w:hyperlink>
        </w:p>
        <w:p w14:paraId="763D1150" w14:textId="1DCBD732"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45" w:history="1">
            <w:r w:rsidRPr="0027101D">
              <w:rPr>
                <w:rStyle w:val="Hyperlink"/>
                <w:noProof/>
              </w:rPr>
              <w:t>Lesson Outline</w:t>
            </w:r>
            <w:r>
              <w:rPr>
                <w:noProof/>
                <w:webHidden/>
              </w:rPr>
              <w:tab/>
            </w:r>
            <w:r>
              <w:rPr>
                <w:noProof/>
                <w:webHidden/>
              </w:rPr>
              <w:fldChar w:fldCharType="begin"/>
            </w:r>
            <w:r>
              <w:rPr>
                <w:noProof/>
                <w:webHidden/>
              </w:rPr>
              <w:instrText xml:space="preserve"> PAGEREF _Toc164420045 \h </w:instrText>
            </w:r>
            <w:r>
              <w:rPr>
                <w:noProof/>
                <w:webHidden/>
              </w:rPr>
            </w:r>
            <w:r>
              <w:rPr>
                <w:noProof/>
                <w:webHidden/>
              </w:rPr>
              <w:fldChar w:fldCharType="separate"/>
            </w:r>
            <w:r w:rsidR="00D30C23">
              <w:rPr>
                <w:noProof/>
                <w:webHidden/>
              </w:rPr>
              <w:t>143</w:t>
            </w:r>
            <w:r>
              <w:rPr>
                <w:noProof/>
                <w:webHidden/>
              </w:rPr>
              <w:fldChar w:fldCharType="end"/>
            </w:r>
          </w:hyperlink>
        </w:p>
        <w:p w14:paraId="1FCE20C0" w14:textId="3FB29CC8"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46" w:history="1">
            <w:r w:rsidRPr="0027101D">
              <w:rPr>
                <w:rStyle w:val="Hyperlink"/>
                <w:noProof/>
                <w:lang w:val="fr-FR"/>
              </w:rPr>
              <w:t>Lesson Objectives</w:t>
            </w:r>
            <w:r>
              <w:rPr>
                <w:noProof/>
                <w:webHidden/>
              </w:rPr>
              <w:tab/>
            </w:r>
            <w:r>
              <w:rPr>
                <w:noProof/>
                <w:webHidden/>
              </w:rPr>
              <w:fldChar w:fldCharType="begin"/>
            </w:r>
            <w:r>
              <w:rPr>
                <w:noProof/>
                <w:webHidden/>
              </w:rPr>
              <w:instrText xml:space="preserve"> PAGEREF _Toc164420046 \h </w:instrText>
            </w:r>
            <w:r>
              <w:rPr>
                <w:noProof/>
                <w:webHidden/>
              </w:rPr>
            </w:r>
            <w:r>
              <w:rPr>
                <w:noProof/>
                <w:webHidden/>
              </w:rPr>
              <w:fldChar w:fldCharType="separate"/>
            </w:r>
            <w:r w:rsidR="00D30C23">
              <w:rPr>
                <w:noProof/>
                <w:webHidden/>
              </w:rPr>
              <w:t>143</w:t>
            </w:r>
            <w:r>
              <w:rPr>
                <w:noProof/>
                <w:webHidden/>
              </w:rPr>
              <w:fldChar w:fldCharType="end"/>
            </w:r>
          </w:hyperlink>
        </w:p>
        <w:p w14:paraId="41CB34CD" w14:textId="178233FC"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47" w:history="1">
            <w:r w:rsidRPr="0027101D">
              <w:rPr>
                <w:rStyle w:val="Hyperlink"/>
                <w:noProof/>
              </w:rPr>
              <w:t>Topic  1: Overview of the Book of Numbers</w:t>
            </w:r>
            <w:r>
              <w:rPr>
                <w:noProof/>
                <w:webHidden/>
              </w:rPr>
              <w:tab/>
            </w:r>
            <w:r>
              <w:rPr>
                <w:noProof/>
                <w:webHidden/>
              </w:rPr>
              <w:fldChar w:fldCharType="begin"/>
            </w:r>
            <w:r>
              <w:rPr>
                <w:noProof/>
                <w:webHidden/>
              </w:rPr>
              <w:instrText xml:space="preserve"> PAGEREF _Toc164420047 \h </w:instrText>
            </w:r>
            <w:r>
              <w:rPr>
                <w:noProof/>
                <w:webHidden/>
              </w:rPr>
            </w:r>
            <w:r>
              <w:rPr>
                <w:noProof/>
                <w:webHidden/>
              </w:rPr>
              <w:fldChar w:fldCharType="separate"/>
            </w:r>
            <w:r w:rsidR="00D30C23">
              <w:rPr>
                <w:noProof/>
                <w:webHidden/>
              </w:rPr>
              <w:t>144</w:t>
            </w:r>
            <w:r>
              <w:rPr>
                <w:noProof/>
                <w:webHidden/>
              </w:rPr>
              <w:fldChar w:fldCharType="end"/>
            </w:r>
          </w:hyperlink>
        </w:p>
        <w:p w14:paraId="2BB56827" w14:textId="20380C74"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48" w:history="1">
            <w:r w:rsidRPr="0027101D">
              <w:rPr>
                <w:rStyle w:val="Hyperlink"/>
                <w:noProof/>
              </w:rPr>
              <w:t>Topic 2:   Preparation for the Journey (Num 1:1–10:10)</w:t>
            </w:r>
            <w:r>
              <w:rPr>
                <w:noProof/>
                <w:webHidden/>
              </w:rPr>
              <w:tab/>
            </w:r>
            <w:r>
              <w:rPr>
                <w:noProof/>
                <w:webHidden/>
              </w:rPr>
              <w:fldChar w:fldCharType="begin"/>
            </w:r>
            <w:r>
              <w:rPr>
                <w:noProof/>
                <w:webHidden/>
              </w:rPr>
              <w:instrText xml:space="preserve"> PAGEREF _Toc164420048 \h </w:instrText>
            </w:r>
            <w:r>
              <w:rPr>
                <w:noProof/>
                <w:webHidden/>
              </w:rPr>
            </w:r>
            <w:r>
              <w:rPr>
                <w:noProof/>
                <w:webHidden/>
              </w:rPr>
              <w:fldChar w:fldCharType="separate"/>
            </w:r>
            <w:r w:rsidR="00D30C23">
              <w:rPr>
                <w:noProof/>
                <w:webHidden/>
              </w:rPr>
              <w:t>145</w:t>
            </w:r>
            <w:r>
              <w:rPr>
                <w:noProof/>
                <w:webHidden/>
              </w:rPr>
              <w:fldChar w:fldCharType="end"/>
            </w:r>
          </w:hyperlink>
        </w:p>
        <w:p w14:paraId="6969652D" w14:textId="0CC88F2D"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49" w:history="1">
            <w:r w:rsidRPr="0027101D">
              <w:rPr>
                <w:rStyle w:val="Hyperlink"/>
                <w:noProof/>
              </w:rPr>
              <w:t xml:space="preserve">Topic 3:  Rebellion in the Wilderness (Num </w:t>
            </w:r>
            <w:r w:rsidRPr="0027101D">
              <w:rPr>
                <w:rStyle w:val="Hyperlink"/>
                <w:iCs/>
                <w:noProof/>
              </w:rPr>
              <w:t>10:11–21:35</w:t>
            </w:r>
            <w:r w:rsidRPr="0027101D">
              <w:rPr>
                <w:rStyle w:val="Hyperlink"/>
                <w:noProof/>
              </w:rPr>
              <w:t>)</w:t>
            </w:r>
            <w:r>
              <w:rPr>
                <w:noProof/>
                <w:webHidden/>
              </w:rPr>
              <w:tab/>
            </w:r>
            <w:r>
              <w:rPr>
                <w:noProof/>
                <w:webHidden/>
              </w:rPr>
              <w:fldChar w:fldCharType="begin"/>
            </w:r>
            <w:r>
              <w:rPr>
                <w:noProof/>
                <w:webHidden/>
              </w:rPr>
              <w:instrText xml:space="preserve"> PAGEREF _Toc164420049 \h </w:instrText>
            </w:r>
            <w:r>
              <w:rPr>
                <w:noProof/>
                <w:webHidden/>
              </w:rPr>
            </w:r>
            <w:r>
              <w:rPr>
                <w:noProof/>
                <w:webHidden/>
              </w:rPr>
              <w:fldChar w:fldCharType="separate"/>
            </w:r>
            <w:r w:rsidR="00D30C23">
              <w:rPr>
                <w:noProof/>
                <w:webHidden/>
              </w:rPr>
              <w:t>149</w:t>
            </w:r>
            <w:r>
              <w:rPr>
                <w:noProof/>
                <w:webHidden/>
              </w:rPr>
              <w:fldChar w:fldCharType="end"/>
            </w:r>
          </w:hyperlink>
        </w:p>
        <w:p w14:paraId="0B5B545B" w14:textId="234F5ED2"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50" w:history="1">
            <w:r w:rsidRPr="0027101D">
              <w:rPr>
                <w:rStyle w:val="Hyperlink"/>
                <w:noProof/>
              </w:rPr>
              <w:t xml:space="preserve">Topic 4:  Preparation of the New Generation (Num </w:t>
            </w:r>
            <w:r w:rsidRPr="0027101D">
              <w:rPr>
                <w:rStyle w:val="Hyperlink"/>
                <w:iCs/>
                <w:noProof/>
              </w:rPr>
              <w:t>22:1–36:13</w:t>
            </w:r>
            <w:r w:rsidRPr="0027101D">
              <w:rPr>
                <w:rStyle w:val="Hyperlink"/>
                <w:noProof/>
              </w:rPr>
              <w:t>)</w:t>
            </w:r>
            <w:r>
              <w:rPr>
                <w:noProof/>
                <w:webHidden/>
              </w:rPr>
              <w:tab/>
            </w:r>
            <w:r>
              <w:rPr>
                <w:noProof/>
                <w:webHidden/>
              </w:rPr>
              <w:fldChar w:fldCharType="begin"/>
            </w:r>
            <w:r>
              <w:rPr>
                <w:noProof/>
                <w:webHidden/>
              </w:rPr>
              <w:instrText xml:space="preserve"> PAGEREF _Toc164420050 \h </w:instrText>
            </w:r>
            <w:r>
              <w:rPr>
                <w:noProof/>
                <w:webHidden/>
              </w:rPr>
            </w:r>
            <w:r>
              <w:rPr>
                <w:noProof/>
                <w:webHidden/>
              </w:rPr>
              <w:fldChar w:fldCharType="separate"/>
            </w:r>
            <w:r w:rsidR="00D30C23">
              <w:rPr>
                <w:noProof/>
                <w:webHidden/>
              </w:rPr>
              <w:t>153</w:t>
            </w:r>
            <w:r>
              <w:rPr>
                <w:noProof/>
                <w:webHidden/>
              </w:rPr>
              <w:fldChar w:fldCharType="end"/>
            </w:r>
          </w:hyperlink>
        </w:p>
        <w:p w14:paraId="49BFD4D7" w14:textId="011CE687" w:rsidR="000A4E78" w:rsidRDefault="000A4E78" w:rsidP="002D6C54">
          <w:pPr>
            <w:pStyle w:val="TOC2"/>
            <w:tabs>
              <w:tab w:val="right" w:leader="dot" w:pos="9350"/>
            </w:tabs>
            <w:spacing w:line="240" w:lineRule="auto"/>
            <w:rPr>
              <w:rFonts w:asciiTheme="minorHAnsi" w:eastAsiaTheme="minorEastAsia" w:hAnsiTheme="minorHAnsi"/>
              <w:noProof/>
              <w:color w:val="auto"/>
              <w:szCs w:val="24"/>
            </w:rPr>
          </w:pPr>
          <w:hyperlink w:anchor="_Toc164420051" w:history="1">
            <w:r w:rsidRPr="0027101D">
              <w:rPr>
                <w:rStyle w:val="Hyperlink"/>
                <w:noProof/>
              </w:rPr>
              <w:t>Lesson 9: The Charge to the New Generation (Deuteronomy 1–34)</w:t>
            </w:r>
            <w:r>
              <w:rPr>
                <w:noProof/>
                <w:webHidden/>
              </w:rPr>
              <w:tab/>
            </w:r>
            <w:r>
              <w:rPr>
                <w:noProof/>
                <w:webHidden/>
              </w:rPr>
              <w:fldChar w:fldCharType="begin"/>
            </w:r>
            <w:r>
              <w:rPr>
                <w:noProof/>
                <w:webHidden/>
              </w:rPr>
              <w:instrText xml:space="preserve"> PAGEREF _Toc164420051 \h </w:instrText>
            </w:r>
            <w:r>
              <w:rPr>
                <w:noProof/>
                <w:webHidden/>
              </w:rPr>
            </w:r>
            <w:r>
              <w:rPr>
                <w:noProof/>
                <w:webHidden/>
              </w:rPr>
              <w:fldChar w:fldCharType="separate"/>
            </w:r>
            <w:r w:rsidR="00D30C23">
              <w:rPr>
                <w:noProof/>
                <w:webHidden/>
              </w:rPr>
              <w:t>158</w:t>
            </w:r>
            <w:r>
              <w:rPr>
                <w:noProof/>
                <w:webHidden/>
              </w:rPr>
              <w:fldChar w:fldCharType="end"/>
            </w:r>
          </w:hyperlink>
        </w:p>
        <w:p w14:paraId="5F551545" w14:textId="28FB0B37"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52" w:history="1">
            <w:r w:rsidRPr="0027101D">
              <w:rPr>
                <w:rStyle w:val="Hyperlink"/>
                <w:noProof/>
                <w:lang w:val="fr-FR"/>
              </w:rPr>
              <w:t>Lesson Introduction</w:t>
            </w:r>
            <w:r>
              <w:rPr>
                <w:noProof/>
                <w:webHidden/>
              </w:rPr>
              <w:tab/>
            </w:r>
            <w:r>
              <w:rPr>
                <w:noProof/>
                <w:webHidden/>
              </w:rPr>
              <w:fldChar w:fldCharType="begin"/>
            </w:r>
            <w:r>
              <w:rPr>
                <w:noProof/>
                <w:webHidden/>
              </w:rPr>
              <w:instrText xml:space="preserve"> PAGEREF _Toc164420052 \h </w:instrText>
            </w:r>
            <w:r>
              <w:rPr>
                <w:noProof/>
                <w:webHidden/>
              </w:rPr>
            </w:r>
            <w:r>
              <w:rPr>
                <w:noProof/>
                <w:webHidden/>
              </w:rPr>
              <w:fldChar w:fldCharType="separate"/>
            </w:r>
            <w:r w:rsidR="00D30C23">
              <w:rPr>
                <w:noProof/>
                <w:webHidden/>
              </w:rPr>
              <w:t>158</w:t>
            </w:r>
            <w:r>
              <w:rPr>
                <w:noProof/>
                <w:webHidden/>
              </w:rPr>
              <w:fldChar w:fldCharType="end"/>
            </w:r>
          </w:hyperlink>
        </w:p>
        <w:p w14:paraId="5E1DD7C0" w14:textId="4A6C3FA1"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53" w:history="1">
            <w:r w:rsidRPr="0027101D">
              <w:rPr>
                <w:rStyle w:val="Hyperlink"/>
                <w:noProof/>
              </w:rPr>
              <w:t>Lesson Outline</w:t>
            </w:r>
            <w:r>
              <w:rPr>
                <w:noProof/>
                <w:webHidden/>
              </w:rPr>
              <w:tab/>
            </w:r>
            <w:r>
              <w:rPr>
                <w:noProof/>
                <w:webHidden/>
              </w:rPr>
              <w:fldChar w:fldCharType="begin"/>
            </w:r>
            <w:r>
              <w:rPr>
                <w:noProof/>
                <w:webHidden/>
              </w:rPr>
              <w:instrText xml:space="preserve"> PAGEREF _Toc164420053 \h </w:instrText>
            </w:r>
            <w:r>
              <w:rPr>
                <w:noProof/>
                <w:webHidden/>
              </w:rPr>
            </w:r>
            <w:r>
              <w:rPr>
                <w:noProof/>
                <w:webHidden/>
              </w:rPr>
              <w:fldChar w:fldCharType="separate"/>
            </w:r>
            <w:r w:rsidR="00D30C23">
              <w:rPr>
                <w:noProof/>
                <w:webHidden/>
              </w:rPr>
              <w:t>158</w:t>
            </w:r>
            <w:r>
              <w:rPr>
                <w:noProof/>
                <w:webHidden/>
              </w:rPr>
              <w:fldChar w:fldCharType="end"/>
            </w:r>
          </w:hyperlink>
        </w:p>
        <w:p w14:paraId="39EAB8DE" w14:textId="4D1C6898"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54" w:history="1">
            <w:r w:rsidRPr="0027101D">
              <w:rPr>
                <w:rStyle w:val="Hyperlink"/>
                <w:noProof/>
                <w:lang w:val="fr-FR"/>
              </w:rPr>
              <w:t>Lesson Objectives</w:t>
            </w:r>
            <w:r>
              <w:rPr>
                <w:noProof/>
                <w:webHidden/>
              </w:rPr>
              <w:tab/>
            </w:r>
            <w:r>
              <w:rPr>
                <w:noProof/>
                <w:webHidden/>
              </w:rPr>
              <w:fldChar w:fldCharType="begin"/>
            </w:r>
            <w:r>
              <w:rPr>
                <w:noProof/>
                <w:webHidden/>
              </w:rPr>
              <w:instrText xml:space="preserve"> PAGEREF _Toc164420054 \h </w:instrText>
            </w:r>
            <w:r>
              <w:rPr>
                <w:noProof/>
                <w:webHidden/>
              </w:rPr>
            </w:r>
            <w:r>
              <w:rPr>
                <w:noProof/>
                <w:webHidden/>
              </w:rPr>
              <w:fldChar w:fldCharType="separate"/>
            </w:r>
            <w:r w:rsidR="00D30C23">
              <w:rPr>
                <w:noProof/>
                <w:webHidden/>
              </w:rPr>
              <w:t>158</w:t>
            </w:r>
            <w:r>
              <w:rPr>
                <w:noProof/>
                <w:webHidden/>
              </w:rPr>
              <w:fldChar w:fldCharType="end"/>
            </w:r>
          </w:hyperlink>
        </w:p>
        <w:p w14:paraId="7CC2E780" w14:textId="5F77798A"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55" w:history="1">
            <w:r w:rsidRPr="0027101D">
              <w:rPr>
                <w:rStyle w:val="Hyperlink"/>
                <w:noProof/>
              </w:rPr>
              <w:t>Topic 1:  Introduction to Deuteronomy</w:t>
            </w:r>
            <w:r>
              <w:rPr>
                <w:noProof/>
                <w:webHidden/>
              </w:rPr>
              <w:tab/>
            </w:r>
            <w:r>
              <w:rPr>
                <w:noProof/>
                <w:webHidden/>
              </w:rPr>
              <w:fldChar w:fldCharType="begin"/>
            </w:r>
            <w:r>
              <w:rPr>
                <w:noProof/>
                <w:webHidden/>
              </w:rPr>
              <w:instrText xml:space="preserve"> PAGEREF _Toc164420055 \h </w:instrText>
            </w:r>
            <w:r>
              <w:rPr>
                <w:noProof/>
                <w:webHidden/>
              </w:rPr>
            </w:r>
            <w:r>
              <w:rPr>
                <w:noProof/>
                <w:webHidden/>
              </w:rPr>
              <w:fldChar w:fldCharType="separate"/>
            </w:r>
            <w:r w:rsidR="00D30C23">
              <w:rPr>
                <w:noProof/>
                <w:webHidden/>
              </w:rPr>
              <w:t>159</w:t>
            </w:r>
            <w:r>
              <w:rPr>
                <w:noProof/>
                <w:webHidden/>
              </w:rPr>
              <w:fldChar w:fldCharType="end"/>
            </w:r>
          </w:hyperlink>
        </w:p>
        <w:p w14:paraId="5C3804F2" w14:textId="61FA3DB4"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56" w:history="1">
            <w:r w:rsidRPr="0027101D">
              <w:rPr>
                <w:rStyle w:val="Hyperlink"/>
                <w:noProof/>
              </w:rPr>
              <w:t>Topic 2: Exhortation to Obey the Covenant (Deut 1:1–4:43)</w:t>
            </w:r>
            <w:r>
              <w:rPr>
                <w:noProof/>
                <w:webHidden/>
              </w:rPr>
              <w:tab/>
            </w:r>
            <w:r>
              <w:rPr>
                <w:noProof/>
                <w:webHidden/>
              </w:rPr>
              <w:fldChar w:fldCharType="begin"/>
            </w:r>
            <w:r>
              <w:rPr>
                <w:noProof/>
                <w:webHidden/>
              </w:rPr>
              <w:instrText xml:space="preserve"> PAGEREF _Toc164420056 \h </w:instrText>
            </w:r>
            <w:r>
              <w:rPr>
                <w:noProof/>
                <w:webHidden/>
              </w:rPr>
            </w:r>
            <w:r>
              <w:rPr>
                <w:noProof/>
                <w:webHidden/>
              </w:rPr>
              <w:fldChar w:fldCharType="separate"/>
            </w:r>
            <w:r w:rsidR="00D30C23">
              <w:rPr>
                <w:noProof/>
                <w:webHidden/>
              </w:rPr>
              <w:t>169</w:t>
            </w:r>
            <w:r>
              <w:rPr>
                <w:noProof/>
                <w:webHidden/>
              </w:rPr>
              <w:fldChar w:fldCharType="end"/>
            </w:r>
          </w:hyperlink>
        </w:p>
        <w:p w14:paraId="6C22A409" w14:textId="135EFE38"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57" w:history="1">
            <w:r w:rsidRPr="0027101D">
              <w:rPr>
                <w:rStyle w:val="Hyperlink"/>
                <w:noProof/>
              </w:rPr>
              <w:t xml:space="preserve">Topic 3: Stipulations of the Renewed Covenant (Deut </w:t>
            </w:r>
            <w:r w:rsidRPr="0027101D">
              <w:rPr>
                <w:rStyle w:val="Hyperlink"/>
                <w:iCs/>
                <w:noProof/>
              </w:rPr>
              <w:t>4:44–26:19</w:t>
            </w:r>
            <w:r w:rsidRPr="0027101D">
              <w:rPr>
                <w:rStyle w:val="Hyperlink"/>
                <w:noProof/>
              </w:rPr>
              <w:t>)</w:t>
            </w:r>
            <w:r>
              <w:rPr>
                <w:noProof/>
                <w:webHidden/>
              </w:rPr>
              <w:tab/>
            </w:r>
            <w:r>
              <w:rPr>
                <w:noProof/>
                <w:webHidden/>
              </w:rPr>
              <w:fldChar w:fldCharType="begin"/>
            </w:r>
            <w:r>
              <w:rPr>
                <w:noProof/>
                <w:webHidden/>
              </w:rPr>
              <w:instrText xml:space="preserve"> PAGEREF _Toc164420057 \h </w:instrText>
            </w:r>
            <w:r>
              <w:rPr>
                <w:noProof/>
                <w:webHidden/>
              </w:rPr>
            </w:r>
            <w:r>
              <w:rPr>
                <w:noProof/>
                <w:webHidden/>
              </w:rPr>
              <w:fldChar w:fldCharType="separate"/>
            </w:r>
            <w:r w:rsidR="00D30C23">
              <w:rPr>
                <w:noProof/>
                <w:webHidden/>
              </w:rPr>
              <w:t>173</w:t>
            </w:r>
            <w:r>
              <w:rPr>
                <w:noProof/>
                <w:webHidden/>
              </w:rPr>
              <w:fldChar w:fldCharType="end"/>
            </w:r>
          </w:hyperlink>
        </w:p>
        <w:p w14:paraId="07FBCB3C" w14:textId="6C35B4A4"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58" w:history="1">
            <w:r w:rsidRPr="0027101D">
              <w:rPr>
                <w:rStyle w:val="Hyperlink"/>
                <w:noProof/>
              </w:rPr>
              <w:t xml:space="preserve">Topic 4: The Future of the Covenant Nation (Deut </w:t>
            </w:r>
            <w:r w:rsidRPr="0027101D">
              <w:rPr>
                <w:rStyle w:val="Hyperlink"/>
                <w:iCs/>
                <w:noProof/>
              </w:rPr>
              <w:t>27:1–34:12</w:t>
            </w:r>
            <w:r w:rsidRPr="0027101D">
              <w:rPr>
                <w:rStyle w:val="Hyperlink"/>
                <w:noProof/>
              </w:rPr>
              <w:t>)</w:t>
            </w:r>
            <w:r>
              <w:rPr>
                <w:noProof/>
                <w:webHidden/>
              </w:rPr>
              <w:tab/>
            </w:r>
            <w:r>
              <w:rPr>
                <w:noProof/>
                <w:webHidden/>
              </w:rPr>
              <w:fldChar w:fldCharType="begin"/>
            </w:r>
            <w:r>
              <w:rPr>
                <w:noProof/>
                <w:webHidden/>
              </w:rPr>
              <w:instrText xml:space="preserve"> PAGEREF _Toc164420058 \h </w:instrText>
            </w:r>
            <w:r>
              <w:rPr>
                <w:noProof/>
                <w:webHidden/>
              </w:rPr>
            </w:r>
            <w:r>
              <w:rPr>
                <w:noProof/>
                <w:webHidden/>
              </w:rPr>
              <w:fldChar w:fldCharType="separate"/>
            </w:r>
            <w:r w:rsidR="00D30C23">
              <w:rPr>
                <w:noProof/>
                <w:webHidden/>
              </w:rPr>
              <w:t>175</w:t>
            </w:r>
            <w:r>
              <w:rPr>
                <w:noProof/>
                <w:webHidden/>
              </w:rPr>
              <w:fldChar w:fldCharType="end"/>
            </w:r>
          </w:hyperlink>
        </w:p>
        <w:p w14:paraId="61B067E1" w14:textId="70280E10" w:rsidR="000A4E78" w:rsidRDefault="000A4E78" w:rsidP="002D6C54">
          <w:pPr>
            <w:pStyle w:val="TOC2"/>
            <w:tabs>
              <w:tab w:val="right" w:leader="dot" w:pos="9350"/>
            </w:tabs>
            <w:spacing w:line="240" w:lineRule="auto"/>
            <w:rPr>
              <w:rFonts w:asciiTheme="minorHAnsi" w:eastAsiaTheme="minorEastAsia" w:hAnsiTheme="minorHAnsi"/>
              <w:noProof/>
              <w:color w:val="auto"/>
              <w:szCs w:val="24"/>
            </w:rPr>
          </w:pPr>
          <w:hyperlink w:anchor="_Toc164420059" w:history="1">
            <w:r w:rsidRPr="0027101D">
              <w:rPr>
                <w:rStyle w:val="Hyperlink"/>
                <w:noProof/>
              </w:rPr>
              <w:t>Unit 4: The Conquest and Struggles in the Promised Land  (Joshua–Ruth)</w:t>
            </w:r>
            <w:r>
              <w:rPr>
                <w:noProof/>
                <w:webHidden/>
              </w:rPr>
              <w:tab/>
            </w:r>
            <w:r>
              <w:rPr>
                <w:noProof/>
                <w:webHidden/>
              </w:rPr>
              <w:fldChar w:fldCharType="begin"/>
            </w:r>
            <w:r>
              <w:rPr>
                <w:noProof/>
                <w:webHidden/>
              </w:rPr>
              <w:instrText xml:space="preserve"> PAGEREF _Toc164420059 \h </w:instrText>
            </w:r>
            <w:r>
              <w:rPr>
                <w:noProof/>
                <w:webHidden/>
              </w:rPr>
            </w:r>
            <w:r>
              <w:rPr>
                <w:noProof/>
                <w:webHidden/>
              </w:rPr>
              <w:fldChar w:fldCharType="separate"/>
            </w:r>
            <w:r w:rsidR="00D30C23">
              <w:rPr>
                <w:noProof/>
                <w:webHidden/>
              </w:rPr>
              <w:t>181</w:t>
            </w:r>
            <w:r>
              <w:rPr>
                <w:noProof/>
                <w:webHidden/>
              </w:rPr>
              <w:fldChar w:fldCharType="end"/>
            </w:r>
          </w:hyperlink>
        </w:p>
        <w:p w14:paraId="478E0D96" w14:textId="4B92A2C9"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60" w:history="1">
            <w:r w:rsidRPr="0027101D">
              <w:rPr>
                <w:rStyle w:val="Hyperlink"/>
                <w:noProof/>
              </w:rPr>
              <w:t>Unit Outline</w:t>
            </w:r>
            <w:r>
              <w:rPr>
                <w:noProof/>
                <w:webHidden/>
              </w:rPr>
              <w:tab/>
            </w:r>
            <w:r>
              <w:rPr>
                <w:noProof/>
                <w:webHidden/>
              </w:rPr>
              <w:fldChar w:fldCharType="begin"/>
            </w:r>
            <w:r>
              <w:rPr>
                <w:noProof/>
                <w:webHidden/>
              </w:rPr>
              <w:instrText xml:space="preserve"> PAGEREF _Toc164420060 \h </w:instrText>
            </w:r>
            <w:r>
              <w:rPr>
                <w:noProof/>
                <w:webHidden/>
              </w:rPr>
            </w:r>
            <w:r>
              <w:rPr>
                <w:noProof/>
                <w:webHidden/>
              </w:rPr>
              <w:fldChar w:fldCharType="separate"/>
            </w:r>
            <w:r w:rsidR="00D30C23">
              <w:rPr>
                <w:noProof/>
                <w:webHidden/>
              </w:rPr>
              <w:t>181</w:t>
            </w:r>
            <w:r>
              <w:rPr>
                <w:noProof/>
                <w:webHidden/>
              </w:rPr>
              <w:fldChar w:fldCharType="end"/>
            </w:r>
          </w:hyperlink>
        </w:p>
        <w:p w14:paraId="2FAC0E15" w14:textId="4FD3B96A"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61" w:history="1">
            <w:r w:rsidRPr="0027101D">
              <w:rPr>
                <w:rStyle w:val="Hyperlink"/>
                <w:noProof/>
              </w:rPr>
              <w:t>Unit Objectives</w:t>
            </w:r>
            <w:r>
              <w:rPr>
                <w:noProof/>
                <w:webHidden/>
              </w:rPr>
              <w:tab/>
            </w:r>
            <w:r>
              <w:rPr>
                <w:noProof/>
                <w:webHidden/>
              </w:rPr>
              <w:fldChar w:fldCharType="begin"/>
            </w:r>
            <w:r>
              <w:rPr>
                <w:noProof/>
                <w:webHidden/>
              </w:rPr>
              <w:instrText xml:space="preserve"> PAGEREF _Toc164420061 \h </w:instrText>
            </w:r>
            <w:r>
              <w:rPr>
                <w:noProof/>
                <w:webHidden/>
              </w:rPr>
            </w:r>
            <w:r>
              <w:rPr>
                <w:noProof/>
                <w:webHidden/>
              </w:rPr>
              <w:fldChar w:fldCharType="separate"/>
            </w:r>
            <w:r w:rsidR="00D30C23">
              <w:rPr>
                <w:noProof/>
                <w:webHidden/>
              </w:rPr>
              <w:t>181</w:t>
            </w:r>
            <w:r>
              <w:rPr>
                <w:noProof/>
                <w:webHidden/>
              </w:rPr>
              <w:fldChar w:fldCharType="end"/>
            </w:r>
          </w:hyperlink>
        </w:p>
        <w:p w14:paraId="76A50641" w14:textId="3B3E20C6" w:rsidR="000A4E78" w:rsidRDefault="000A4E78" w:rsidP="002D6C54">
          <w:pPr>
            <w:pStyle w:val="TOC2"/>
            <w:tabs>
              <w:tab w:val="right" w:leader="dot" w:pos="9350"/>
            </w:tabs>
            <w:spacing w:line="240" w:lineRule="auto"/>
            <w:rPr>
              <w:rFonts w:asciiTheme="minorHAnsi" w:eastAsiaTheme="minorEastAsia" w:hAnsiTheme="minorHAnsi"/>
              <w:noProof/>
              <w:color w:val="auto"/>
              <w:szCs w:val="24"/>
            </w:rPr>
          </w:pPr>
          <w:hyperlink w:anchor="_Toc164420062" w:history="1">
            <w:r w:rsidRPr="0027101D">
              <w:rPr>
                <w:rStyle w:val="Hyperlink"/>
                <w:noProof/>
              </w:rPr>
              <w:t>Lesson 10: The Conquest and Tribal Allotments (Joshua 1–24)</w:t>
            </w:r>
            <w:r>
              <w:rPr>
                <w:noProof/>
                <w:webHidden/>
              </w:rPr>
              <w:tab/>
            </w:r>
            <w:r>
              <w:rPr>
                <w:noProof/>
                <w:webHidden/>
              </w:rPr>
              <w:fldChar w:fldCharType="begin"/>
            </w:r>
            <w:r>
              <w:rPr>
                <w:noProof/>
                <w:webHidden/>
              </w:rPr>
              <w:instrText xml:space="preserve"> PAGEREF _Toc164420062 \h </w:instrText>
            </w:r>
            <w:r>
              <w:rPr>
                <w:noProof/>
                <w:webHidden/>
              </w:rPr>
            </w:r>
            <w:r>
              <w:rPr>
                <w:noProof/>
                <w:webHidden/>
              </w:rPr>
              <w:fldChar w:fldCharType="separate"/>
            </w:r>
            <w:r w:rsidR="00D30C23">
              <w:rPr>
                <w:noProof/>
                <w:webHidden/>
              </w:rPr>
              <w:t>182</w:t>
            </w:r>
            <w:r>
              <w:rPr>
                <w:noProof/>
                <w:webHidden/>
              </w:rPr>
              <w:fldChar w:fldCharType="end"/>
            </w:r>
          </w:hyperlink>
        </w:p>
        <w:p w14:paraId="33EDE885" w14:textId="0965F7E4"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63" w:history="1">
            <w:r w:rsidRPr="0027101D">
              <w:rPr>
                <w:rStyle w:val="Hyperlink"/>
                <w:noProof/>
                <w:lang w:val="fr-FR"/>
              </w:rPr>
              <w:t>Lesson Introduction</w:t>
            </w:r>
            <w:r>
              <w:rPr>
                <w:noProof/>
                <w:webHidden/>
              </w:rPr>
              <w:tab/>
            </w:r>
            <w:r>
              <w:rPr>
                <w:noProof/>
                <w:webHidden/>
              </w:rPr>
              <w:fldChar w:fldCharType="begin"/>
            </w:r>
            <w:r>
              <w:rPr>
                <w:noProof/>
                <w:webHidden/>
              </w:rPr>
              <w:instrText xml:space="preserve"> PAGEREF _Toc164420063 \h </w:instrText>
            </w:r>
            <w:r>
              <w:rPr>
                <w:noProof/>
                <w:webHidden/>
              </w:rPr>
            </w:r>
            <w:r>
              <w:rPr>
                <w:noProof/>
                <w:webHidden/>
              </w:rPr>
              <w:fldChar w:fldCharType="separate"/>
            </w:r>
            <w:r w:rsidR="00D30C23">
              <w:rPr>
                <w:noProof/>
                <w:webHidden/>
              </w:rPr>
              <w:t>182</w:t>
            </w:r>
            <w:r>
              <w:rPr>
                <w:noProof/>
                <w:webHidden/>
              </w:rPr>
              <w:fldChar w:fldCharType="end"/>
            </w:r>
          </w:hyperlink>
        </w:p>
        <w:p w14:paraId="48FE085D" w14:textId="6168F7E9"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64" w:history="1">
            <w:r w:rsidRPr="0027101D">
              <w:rPr>
                <w:rStyle w:val="Hyperlink"/>
                <w:noProof/>
              </w:rPr>
              <w:t>Lesson Outline</w:t>
            </w:r>
            <w:r>
              <w:rPr>
                <w:noProof/>
                <w:webHidden/>
              </w:rPr>
              <w:tab/>
            </w:r>
            <w:r>
              <w:rPr>
                <w:noProof/>
                <w:webHidden/>
              </w:rPr>
              <w:fldChar w:fldCharType="begin"/>
            </w:r>
            <w:r>
              <w:rPr>
                <w:noProof/>
                <w:webHidden/>
              </w:rPr>
              <w:instrText xml:space="preserve"> PAGEREF _Toc164420064 \h </w:instrText>
            </w:r>
            <w:r>
              <w:rPr>
                <w:noProof/>
                <w:webHidden/>
              </w:rPr>
            </w:r>
            <w:r>
              <w:rPr>
                <w:noProof/>
                <w:webHidden/>
              </w:rPr>
              <w:fldChar w:fldCharType="separate"/>
            </w:r>
            <w:r w:rsidR="00D30C23">
              <w:rPr>
                <w:noProof/>
                <w:webHidden/>
              </w:rPr>
              <w:t>182</w:t>
            </w:r>
            <w:r>
              <w:rPr>
                <w:noProof/>
                <w:webHidden/>
              </w:rPr>
              <w:fldChar w:fldCharType="end"/>
            </w:r>
          </w:hyperlink>
        </w:p>
        <w:p w14:paraId="5493ADA7" w14:textId="5997F8B4"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65" w:history="1">
            <w:r w:rsidRPr="0027101D">
              <w:rPr>
                <w:rStyle w:val="Hyperlink"/>
                <w:noProof/>
                <w:lang w:val="fr-FR"/>
              </w:rPr>
              <w:t>Lesson Objectives</w:t>
            </w:r>
            <w:r>
              <w:rPr>
                <w:noProof/>
                <w:webHidden/>
              </w:rPr>
              <w:tab/>
            </w:r>
            <w:r>
              <w:rPr>
                <w:noProof/>
                <w:webHidden/>
              </w:rPr>
              <w:fldChar w:fldCharType="begin"/>
            </w:r>
            <w:r>
              <w:rPr>
                <w:noProof/>
                <w:webHidden/>
              </w:rPr>
              <w:instrText xml:space="preserve"> PAGEREF _Toc164420065 \h </w:instrText>
            </w:r>
            <w:r>
              <w:rPr>
                <w:noProof/>
                <w:webHidden/>
              </w:rPr>
            </w:r>
            <w:r>
              <w:rPr>
                <w:noProof/>
                <w:webHidden/>
              </w:rPr>
              <w:fldChar w:fldCharType="separate"/>
            </w:r>
            <w:r w:rsidR="00D30C23">
              <w:rPr>
                <w:noProof/>
                <w:webHidden/>
              </w:rPr>
              <w:t>182</w:t>
            </w:r>
            <w:r>
              <w:rPr>
                <w:noProof/>
                <w:webHidden/>
              </w:rPr>
              <w:fldChar w:fldCharType="end"/>
            </w:r>
          </w:hyperlink>
        </w:p>
        <w:p w14:paraId="4079BFA7" w14:textId="75DE55DE"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66" w:history="1">
            <w:r w:rsidRPr="0027101D">
              <w:rPr>
                <w:rStyle w:val="Hyperlink"/>
                <w:noProof/>
              </w:rPr>
              <w:t>Topic 1: Introduction to the Book of Joshua</w:t>
            </w:r>
            <w:r>
              <w:rPr>
                <w:noProof/>
                <w:webHidden/>
              </w:rPr>
              <w:tab/>
            </w:r>
            <w:r>
              <w:rPr>
                <w:noProof/>
                <w:webHidden/>
              </w:rPr>
              <w:fldChar w:fldCharType="begin"/>
            </w:r>
            <w:r>
              <w:rPr>
                <w:noProof/>
                <w:webHidden/>
              </w:rPr>
              <w:instrText xml:space="preserve"> PAGEREF _Toc164420066 \h </w:instrText>
            </w:r>
            <w:r>
              <w:rPr>
                <w:noProof/>
                <w:webHidden/>
              </w:rPr>
            </w:r>
            <w:r>
              <w:rPr>
                <w:noProof/>
                <w:webHidden/>
              </w:rPr>
              <w:fldChar w:fldCharType="separate"/>
            </w:r>
            <w:r w:rsidR="00D30C23">
              <w:rPr>
                <w:noProof/>
                <w:webHidden/>
              </w:rPr>
              <w:t>183</w:t>
            </w:r>
            <w:r>
              <w:rPr>
                <w:noProof/>
                <w:webHidden/>
              </w:rPr>
              <w:fldChar w:fldCharType="end"/>
            </w:r>
          </w:hyperlink>
        </w:p>
        <w:p w14:paraId="19BA374C" w14:textId="737D187D"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67" w:history="1">
            <w:r w:rsidRPr="0027101D">
              <w:rPr>
                <w:rStyle w:val="Hyperlink"/>
                <w:noProof/>
              </w:rPr>
              <w:t xml:space="preserve">Topic 2:  Taking the Land of Canaan (Josh </w:t>
            </w:r>
            <w:r w:rsidRPr="0027101D">
              <w:rPr>
                <w:rStyle w:val="Hyperlink"/>
                <w:iCs/>
                <w:noProof/>
              </w:rPr>
              <w:t>1:1–12:24</w:t>
            </w:r>
            <w:r w:rsidRPr="0027101D">
              <w:rPr>
                <w:rStyle w:val="Hyperlink"/>
                <w:noProof/>
              </w:rPr>
              <w:t>)</w:t>
            </w:r>
            <w:r>
              <w:rPr>
                <w:noProof/>
                <w:webHidden/>
              </w:rPr>
              <w:tab/>
            </w:r>
            <w:r>
              <w:rPr>
                <w:noProof/>
                <w:webHidden/>
              </w:rPr>
              <w:fldChar w:fldCharType="begin"/>
            </w:r>
            <w:r>
              <w:rPr>
                <w:noProof/>
                <w:webHidden/>
              </w:rPr>
              <w:instrText xml:space="preserve"> PAGEREF _Toc164420067 \h </w:instrText>
            </w:r>
            <w:r>
              <w:rPr>
                <w:noProof/>
                <w:webHidden/>
              </w:rPr>
            </w:r>
            <w:r>
              <w:rPr>
                <w:noProof/>
                <w:webHidden/>
              </w:rPr>
              <w:fldChar w:fldCharType="separate"/>
            </w:r>
            <w:r w:rsidR="00D30C23">
              <w:rPr>
                <w:noProof/>
                <w:webHidden/>
              </w:rPr>
              <w:t>187</w:t>
            </w:r>
            <w:r>
              <w:rPr>
                <w:noProof/>
                <w:webHidden/>
              </w:rPr>
              <w:fldChar w:fldCharType="end"/>
            </w:r>
          </w:hyperlink>
        </w:p>
        <w:p w14:paraId="17E818FB" w14:textId="1BAD9C2A"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68" w:history="1">
            <w:r w:rsidRPr="0027101D">
              <w:rPr>
                <w:rStyle w:val="Hyperlink"/>
                <w:noProof/>
              </w:rPr>
              <w:t xml:space="preserve">Topic 3:  The Allotment of the Land (Josh </w:t>
            </w:r>
            <w:r w:rsidRPr="0027101D">
              <w:rPr>
                <w:rStyle w:val="Hyperlink"/>
                <w:iCs/>
                <w:noProof/>
              </w:rPr>
              <w:t>13:1–24:33</w:t>
            </w:r>
            <w:r w:rsidRPr="0027101D">
              <w:rPr>
                <w:rStyle w:val="Hyperlink"/>
                <w:noProof/>
              </w:rPr>
              <w:t>)</w:t>
            </w:r>
            <w:r>
              <w:rPr>
                <w:noProof/>
                <w:webHidden/>
              </w:rPr>
              <w:tab/>
            </w:r>
            <w:r>
              <w:rPr>
                <w:noProof/>
                <w:webHidden/>
              </w:rPr>
              <w:fldChar w:fldCharType="begin"/>
            </w:r>
            <w:r>
              <w:rPr>
                <w:noProof/>
                <w:webHidden/>
              </w:rPr>
              <w:instrText xml:space="preserve"> PAGEREF _Toc164420068 \h </w:instrText>
            </w:r>
            <w:r>
              <w:rPr>
                <w:noProof/>
                <w:webHidden/>
              </w:rPr>
            </w:r>
            <w:r>
              <w:rPr>
                <w:noProof/>
                <w:webHidden/>
              </w:rPr>
              <w:fldChar w:fldCharType="separate"/>
            </w:r>
            <w:r w:rsidR="00D30C23">
              <w:rPr>
                <w:noProof/>
                <w:webHidden/>
              </w:rPr>
              <w:t>195</w:t>
            </w:r>
            <w:r>
              <w:rPr>
                <w:noProof/>
                <w:webHidden/>
              </w:rPr>
              <w:fldChar w:fldCharType="end"/>
            </w:r>
          </w:hyperlink>
        </w:p>
        <w:p w14:paraId="3E131BC4" w14:textId="0F2D553D" w:rsidR="000A4E78" w:rsidRDefault="000A4E78" w:rsidP="002D6C54">
          <w:pPr>
            <w:pStyle w:val="TOC2"/>
            <w:tabs>
              <w:tab w:val="right" w:leader="dot" w:pos="9350"/>
            </w:tabs>
            <w:spacing w:line="240" w:lineRule="auto"/>
            <w:rPr>
              <w:rFonts w:asciiTheme="minorHAnsi" w:eastAsiaTheme="minorEastAsia" w:hAnsiTheme="minorHAnsi"/>
              <w:noProof/>
              <w:color w:val="auto"/>
              <w:szCs w:val="24"/>
            </w:rPr>
          </w:pPr>
          <w:hyperlink w:anchor="_Toc164420069" w:history="1">
            <w:r w:rsidRPr="0027101D">
              <w:rPr>
                <w:rStyle w:val="Hyperlink"/>
                <w:noProof/>
              </w:rPr>
              <w:t>Lesson 11: Israel’s Waywardness in the Period of the Judges (Judges 1–21)</w:t>
            </w:r>
            <w:r>
              <w:rPr>
                <w:noProof/>
                <w:webHidden/>
              </w:rPr>
              <w:tab/>
            </w:r>
            <w:r>
              <w:rPr>
                <w:noProof/>
                <w:webHidden/>
              </w:rPr>
              <w:fldChar w:fldCharType="begin"/>
            </w:r>
            <w:r>
              <w:rPr>
                <w:noProof/>
                <w:webHidden/>
              </w:rPr>
              <w:instrText xml:space="preserve"> PAGEREF _Toc164420069 \h </w:instrText>
            </w:r>
            <w:r>
              <w:rPr>
                <w:noProof/>
                <w:webHidden/>
              </w:rPr>
            </w:r>
            <w:r>
              <w:rPr>
                <w:noProof/>
                <w:webHidden/>
              </w:rPr>
              <w:fldChar w:fldCharType="separate"/>
            </w:r>
            <w:r w:rsidR="00D30C23">
              <w:rPr>
                <w:noProof/>
                <w:webHidden/>
              </w:rPr>
              <w:t>200</w:t>
            </w:r>
            <w:r>
              <w:rPr>
                <w:noProof/>
                <w:webHidden/>
              </w:rPr>
              <w:fldChar w:fldCharType="end"/>
            </w:r>
          </w:hyperlink>
        </w:p>
        <w:p w14:paraId="7E1D0C16" w14:textId="7DC451F8"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70" w:history="1">
            <w:r w:rsidRPr="0027101D">
              <w:rPr>
                <w:rStyle w:val="Hyperlink"/>
                <w:noProof/>
                <w:lang w:val="fr-FR"/>
              </w:rPr>
              <w:t>Lesson Introduction</w:t>
            </w:r>
            <w:r>
              <w:rPr>
                <w:noProof/>
                <w:webHidden/>
              </w:rPr>
              <w:tab/>
            </w:r>
            <w:r>
              <w:rPr>
                <w:noProof/>
                <w:webHidden/>
              </w:rPr>
              <w:fldChar w:fldCharType="begin"/>
            </w:r>
            <w:r>
              <w:rPr>
                <w:noProof/>
                <w:webHidden/>
              </w:rPr>
              <w:instrText xml:space="preserve"> PAGEREF _Toc164420070 \h </w:instrText>
            </w:r>
            <w:r>
              <w:rPr>
                <w:noProof/>
                <w:webHidden/>
              </w:rPr>
            </w:r>
            <w:r>
              <w:rPr>
                <w:noProof/>
                <w:webHidden/>
              </w:rPr>
              <w:fldChar w:fldCharType="separate"/>
            </w:r>
            <w:r w:rsidR="00D30C23">
              <w:rPr>
                <w:noProof/>
                <w:webHidden/>
              </w:rPr>
              <w:t>200</w:t>
            </w:r>
            <w:r>
              <w:rPr>
                <w:noProof/>
                <w:webHidden/>
              </w:rPr>
              <w:fldChar w:fldCharType="end"/>
            </w:r>
          </w:hyperlink>
        </w:p>
        <w:p w14:paraId="3B6598AF" w14:textId="0BF41691"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71" w:history="1">
            <w:r w:rsidRPr="0027101D">
              <w:rPr>
                <w:rStyle w:val="Hyperlink"/>
                <w:noProof/>
              </w:rPr>
              <w:t>Lesson Outline</w:t>
            </w:r>
            <w:r>
              <w:rPr>
                <w:noProof/>
                <w:webHidden/>
              </w:rPr>
              <w:tab/>
            </w:r>
            <w:r>
              <w:rPr>
                <w:noProof/>
                <w:webHidden/>
              </w:rPr>
              <w:fldChar w:fldCharType="begin"/>
            </w:r>
            <w:r>
              <w:rPr>
                <w:noProof/>
                <w:webHidden/>
              </w:rPr>
              <w:instrText xml:space="preserve"> PAGEREF _Toc164420071 \h </w:instrText>
            </w:r>
            <w:r>
              <w:rPr>
                <w:noProof/>
                <w:webHidden/>
              </w:rPr>
            </w:r>
            <w:r>
              <w:rPr>
                <w:noProof/>
                <w:webHidden/>
              </w:rPr>
              <w:fldChar w:fldCharType="separate"/>
            </w:r>
            <w:r w:rsidR="00D30C23">
              <w:rPr>
                <w:noProof/>
                <w:webHidden/>
              </w:rPr>
              <w:t>200</w:t>
            </w:r>
            <w:r>
              <w:rPr>
                <w:noProof/>
                <w:webHidden/>
              </w:rPr>
              <w:fldChar w:fldCharType="end"/>
            </w:r>
          </w:hyperlink>
        </w:p>
        <w:p w14:paraId="439F529B" w14:textId="15AED01E"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72" w:history="1">
            <w:r w:rsidRPr="0027101D">
              <w:rPr>
                <w:rStyle w:val="Hyperlink"/>
                <w:noProof/>
                <w:lang w:val="fr-FR"/>
              </w:rPr>
              <w:t>Lesson Objectives</w:t>
            </w:r>
            <w:r>
              <w:rPr>
                <w:noProof/>
                <w:webHidden/>
              </w:rPr>
              <w:tab/>
            </w:r>
            <w:r>
              <w:rPr>
                <w:noProof/>
                <w:webHidden/>
              </w:rPr>
              <w:fldChar w:fldCharType="begin"/>
            </w:r>
            <w:r>
              <w:rPr>
                <w:noProof/>
                <w:webHidden/>
              </w:rPr>
              <w:instrText xml:space="preserve"> PAGEREF _Toc164420072 \h </w:instrText>
            </w:r>
            <w:r>
              <w:rPr>
                <w:noProof/>
                <w:webHidden/>
              </w:rPr>
            </w:r>
            <w:r>
              <w:rPr>
                <w:noProof/>
                <w:webHidden/>
              </w:rPr>
              <w:fldChar w:fldCharType="separate"/>
            </w:r>
            <w:r w:rsidR="00D30C23">
              <w:rPr>
                <w:noProof/>
                <w:webHidden/>
              </w:rPr>
              <w:t>200</w:t>
            </w:r>
            <w:r>
              <w:rPr>
                <w:noProof/>
                <w:webHidden/>
              </w:rPr>
              <w:fldChar w:fldCharType="end"/>
            </w:r>
          </w:hyperlink>
        </w:p>
        <w:p w14:paraId="5230E6C3" w14:textId="4341726D"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73" w:history="1">
            <w:r w:rsidRPr="0027101D">
              <w:rPr>
                <w:rStyle w:val="Hyperlink"/>
                <w:noProof/>
              </w:rPr>
              <w:t>Topic 1: An Evaluation of the Deuteronomistic Theory</w:t>
            </w:r>
            <w:r>
              <w:rPr>
                <w:noProof/>
                <w:webHidden/>
              </w:rPr>
              <w:tab/>
            </w:r>
            <w:r>
              <w:rPr>
                <w:noProof/>
                <w:webHidden/>
              </w:rPr>
              <w:fldChar w:fldCharType="begin"/>
            </w:r>
            <w:r>
              <w:rPr>
                <w:noProof/>
                <w:webHidden/>
              </w:rPr>
              <w:instrText xml:space="preserve"> PAGEREF _Toc164420073 \h </w:instrText>
            </w:r>
            <w:r>
              <w:rPr>
                <w:noProof/>
                <w:webHidden/>
              </w:rPr>
            </w:r>
            <w:r>
              <w:rPr>
                <w:noProof/>
                <w:webHidden/>
              </w:rPr>
              <w:fldChar w:fldCharType="separate"/>
            </w:r>
            <w:r w:rsidR="00D30C23">
              <w:rPr>
                <w:noProof/>
                <w:webHidden/>
              </w:rPr>
              <w:t>201</w:t>
            </w:r>
            <w:r>
              <w:rPr>
                <w:noProof/>
                <w:webHidden/>
              </w:rPr>
              <w:fldChar w:fldCharType="end"/>
            </w:r>
          </w:hyperlink>
        </w:p>
        <w:p w14:paraId="3911BA9B" w14:textId="7874A164"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74" w:history="1">
            <w:r w:rsidRPr="0027101D">
              <w:rPr>
                <w:rStyle w:val="Hyperlink"/>
                <w:noProof/>
              </w:rPr>
              <w:t>Topic 2: An Overview of the Book of Judges</w:t>
            </w:r>
            <w:r>
              <w:rPr>
                <w:noProof/>
                <w:webHidden/>
              </w:rPr>
              <w:tab/>
            </w:r>
            <w:r>
              <w:rPr>
                <w:noProof/>
                <w:webHidden/>
              </w:rPr>
              <w:fldChar w:fldCharType="begin"/>
            </w:r>
            <w:r>
              <w:rPr>
                <w:noProof/>
                <w:webHidden/>
              </w:rPr>
              <w:instrText xml:space="preserve"> PAGEREF _Toc164420074 \h </w:instrText>
            </w:r>
            <w:r>
              <w:rPr>
                <w:noProof/>
                <w:webHidden/>
              </w:rPr>
            </w:r>
            <w:r>
              <w:rPr>
                <w:noProof/>
                <w:webHidden/>
              </w:rPr>
              <w:fldChar w:fldCharType="separate"/>
            </w:r>
            <w:r w:rsidR="00D30C23">
              <w:rPr>
                <w:noProof/>
                <w:webHidden/>
              </w:rPr>
              <w:t>207</w:t>
            </w:r>
            <w:r>
              <w:rPr>
                <w:noProof/>
                <w:webHidden/>
              </w:rPr>
              <w:fldChar w:fldCharType="end"/>
            </w:r>
          </w:hyperlink>
        </w:p>
        <w:p w14:paraId="78309822" w14:textId="659C90C2"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75" w:history="1">
            <w:r w:rsidRPr="0027101D">
              <w:rPr>
                <w:rStyle w:val="Hyperlink"/>
                <w:noProof/>
              </w:rPr>
              <w:t xml:space="preserve">Topic 3: Introduction to the Book of Judges (Judg </w:t>
            </w:r>
            <w:r w:rsidRPr="0027101D">
              <w:rPr>
                <w:rStyle w:val="Hyperlink"/>
                <w:iCs/>
                <w:noProof/>
              </w:rPr>
              <w:t>1:1–3:6</w:t>
            </w:r>
            <w:r w:rsidRPr="0027101D">
              <w:rPr>
                <w:rStyle w:val="Hyperlink"/>
                <w:noProof/>
              </w:rPr>
              <w:t>)</w:t>
            </w:r>
            <w:r>
              <w:rPr>
                <w:noProof/>
                <w:webHidden/>
              </w:rPr>
              <w:tab/>
            </w:r>
            <w:r>
              <w:rPr>
                <w:noProof/>
                <w:webHidden/>
              </w:rPr>
              <w:fldChar w:fldCharType="begin"/>
            </w:r>
            <w:r>
              <w:rPr>
                <w:noProof/>
                <w:webHidden/>
              </w:rPr>
              <w:instrText xml:space="preserve"> PAGEREF _Toc164420075 \h </w:instrText>
            </w:r>
            <w:r>
              <w:rPr>
                <w:noProof/>
                <w:webHidden/>
              </w:rPr>
            </w:r>
            <w:r>
              <w:rPr>
                <w:noProof/>
                <w:webHidden/>
              </w:rPr>
              <w:fldChar w:fldCharType="separate"/>
            </w:r>
            <w:r w:rsidR="00D30C23">
              <w:rPr>
                <w:noProof/>
                <w:webHidden/>
              </w:rPr>
              <w:t>208</w:t>
            </w:r>
            <w:r>
              <w:rPr>
                <w:noProof/>
                <w:webHidden/>
              </w:rPr>
              <w:fldChar w:fldCharType="end"/>
            </w:r>
          </w:hyperlink>
        </w:p>
        <w:p w14:paraId="7B4949A8" w14:textId="05C5E57B"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76" w:history="1">
            <w:r w:rsidRPr="0027101D">
              <w:rPr>
                <w:rStyle w:val="Hyperlink"/>
                <w:noProof/>
              </w:rPr>
              <w:t xml:space="preserve">Topic 4: The Gideon Narrative as the Focal Point of Judges (Judges </w:t>
            </w:r>
            <w:r w:rsidRPr="0027101D">
              <w:rPr>
                <w:rStyle w:val="Hyperlink"/>
                <w:iCs/>
                <w:noProof/>
              </w:rPr>
              <w:t>3:7–16:31</w:t>
            </w:r>
            <w:r w:rsidRPr="0027101D">
              <w:rPr>
                <w:rStyle w:val="Hyperlink"/>
                <w:noProof/>
              </w:rPr>
              <w:t>)</w:t>
            </w:r>
            <w:r>
              <w:rPr>
                <w:noProof/>
                <w:webHidden/>
              </w:rPr>
              <w:tab/>
            </w:r>
            <w:r>
              <w:rPr>
                <w:noProof/>
                <w:webHidden/>
              </w:rPr>
              <w:fldChar w:fldCharType="begin"/>
            </w:r>
            <w:r>
              <w:rPr>
                <w:noProof/>
                <w:webHidden/>
              </w:rPr>
              <w:instrText xml:space="preserve"> PAGEREF _Toc164420076 \h </w:instrText>
            </w:r>
            <w:r>
              <w:rPr>
                <w:noProof/>
                <w:webHidden/>
              </w:rPr>
            </w:r>
            <w:r>
              <w:rPr>
                <w:noProof/>
                <w:webHidden/>
              </w:rPr>
              <w:fldChar w:fldCharType="separate"/>
            </w:r>
            <w:r w:rsidR="00D30C23">
              <w:rPr>
                <w:noProof/>
                <w:webHidden/>
              </w:rPr>
              <w:t>213</w:t>
            </w:r>
            <w:r>
              <w:rPr>
                <w:noProof/>
                <w:webHidden/>
              </w:rPr>
              <w:fldChar w:fldCharType="end"/>
            </w:r>
          </w:hyperlink>
        </w:p>
        <w:p w14:paraId="459BB53B" w14:textId="148F1EA9" w:rsidR="000A4E78" w:rsidRDefault="000A4E78" w:rsidP="002D6C54">
          <w:pPr>
            <w:pStyle w:val="TOC2"/>
            <w:tabs>
              <w:tab w:val="right" w:leader="dot" w:pos="9350"/>
            </w:tabs>
            <w:spacing w:line="240" w:lineRule="auto"/>
            <w:rPr>
              <w:rFonts w:asciiTheme="minorHAnsi" w:eastAsiaTheme="minorEastAsia" w:hAnsiTheme="minorHAnsi"/>
              <w:noProof/>
              <w:color w:val="auto"/>
              <w:szCs w:val="24"/>
            </w:rPr>
          </w:pPr>
          <w:hyperlink w:anchor="_Toc164420077" w:history="1">
            <w:r w:rsidRPr="0027101D">
              <w:rPr>
                <w:rStyle w:val="Hyperlink"/>
                <w:noProof/>
              </w:rPr>
              <w:t>Lesson 12: The Book of Ruth, Review, and Messianic Expectations</w:t>
            </w:r>
            <w:r>
              <w:rPr>
                <w:noProof/>
                <w:webHidden/>
              </w:rPr>
              <w:tab/>
            </w:r>
            <w:r>
              <w:rPr>
                <w:noProof/>
                <w:webHidden/>
              </w:rPr>
              <w:fldChar w:fldCharType="begin"/>
            </w:r>
            <w:r>
              <w:rPr>
                <w:noProof/>
                <w:webHidden/>
              </w:rPr>
              <w:instrText xml:space="preserve"> PAGEREF _Toc164420077 \h </w:instrText>
            </w:r>
            <w:r>
              <w:rPr>
                <w:noProof/>
                <w:webHidden/>
              </w:rPr>
            </w:r>
            <w:r>
              <w:rPr>
                <w:noProof/>
                <w:webHidden/>
              </w:rPr>
              <w:fldChar w:fldCharType="separate"/>
            </w:r>
            <w:r w:rsidR="00D30C23">
              <w:rPr>
                <w:noProof/>
                <w:webHidden/>
              </w:rPr>
              <w:t>226</w:t>
            </w:r>
            <w:r>
              <w:rPr>
                <w:noProof/>
                <w:webHidden/>
              </w:rPr>
              <w:fldChar w:fldCharType="end"/>
            </w:r>
          </w:hyperlink>
        </w:p>
        <w:p w14:paraId="01847460" w14:textId="4E35C3DD"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78" w:history="1">
            <w:r w:rsidRPr="0027101D">
              <w:rPr>
                <w:rStyle w:val="Hyperlink"/>
                <w:noProof/>
                <w:lang w:val="fr-FR"/>
              </w:rPr>
              <w:t>Lesson Introduction</w:t>
            </w:r>
            <w:r>
              <w:rPr>
                <w:noProof/>
                <w:webHidden/>
              </w:rPr>
              <w:tab/>
            </w:r>
            <w:r>
              <w:rPr>
                <w:noProof/>
                <w:webHidden/>
              </w:rPr>
              <w:fldChar w:fldCharType="begin"/>
            </w:r>
            <w:r>
              <w:rPr>
                <w:noProof/>
                <w:webHidden/>
              </w:rPr>
              <w:instrText xml:space="preserve"> PAGEREF _Toc164420078 \h </w:instrText>
            </w:r>
            <w:r>
              <w:rPr>
                <w:noProof/>
                <w:webHidden/>
              </w:rPr>
            </w:r>
            <w:r>
              <w:rPr>
                <w:noProof/>
                <w:webHidden/>
              </w:rPr>
              <w:fldChar w:fldCharType="separate"/>
            </w:r>
            <w:r w:rsidR="00D30C23">
              <w:rPr>
                <w:noProof/>
                <w:webHidden/>
              </w:rPr>
              <w:t>226</w:t>
            </w:r>
            <w:r>
              <w:rPr>
                <w:noProof/>
                <w:webHidden/>
              </w:rPr>
              <w:fldChar w:fldCharType="end"/>
            </w:r>
          </w:hyperlink>
        </w:p>
        <w:p w14:paraId="5171357B" w14:textId="61FE8499"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79" w:history="1">
            <w:r w:rsidRPr="0027101D">
              <w:rPr>
                <w:rStyle w:val="Hyperlink"/>
                <w:noProof/>
              </w:rPr>
              <w:t>Lesson Outline</w:t>
            </w:r>
            <w:r>
              <w:rPr>
                <w:noProof/>
                <w:webHidden/>
              </w:rPr>
              <w:tab/>
            </w:r>
            <w:r>
              <w:rPr>
                <w:noProof/>
                <w:webHidden/>
              </w:rPr>
              <w:fldChar w:fldCharType="begin"/>
            </w:r>
            <w:r>
              <w:rPr>
                <w:noProof/>
                <w:webHidden/>
              </w:rPr>
              <w:instrText xml:space="preserve"> PAGEREF _Toc164420079 \h </w:instrText>
            </w:r>
            <w:r>
              <w:rPr>
                <w:noProof/>
                <w:webHidden/>
              </w:rPr>
            </w:r>
            <w:r>
              <w:rPr>
                <w:noProof/>
                <w:webHidden/>
              </w:rPr>
              <w:fldChar w:fldCharType="separate"/>
            </w:r>
            <w:r w:rsidR="00D30C23">
              <w:rPr>
                <w:noProof/>
                <w:webHidden/>
              </w:rPr>
              <w:t>226</w:t>
            </w:r>
            <w:r>
              <w:rPr>
                <w:noProof/>
                <w:webHidden/>
              </w:rPr>
              <w:fldChar w:fldCharType="end"/>
            </w:r>
          </w:hyperlink>
        </w:p>
        <w:p w14:paraId="7F1D88C5" w14:textId="1FDAF744"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80" w:history="1">
            <w:r w:rsidRPr="0027101D">
              <w:rPr>
                <w:rStyle w:val="Hyperlink"/>
                <w:noProof/>
                <w:lang w:val="fr-FR"/>
              </w:rPr>
              <w:t>Lesson Objectives</w:t>
            </w:r>
            <w:r>
              <w:rPr>
                <w:noProof/>
                <w:webHidden/>
              </w:rPr>
              <w:tab/>
            </w:r>
            <w:r>
              <w:rPr>
                <w:noProof/>
                <w:webHidden/>
              </w:rPr>
              <w:fldChar w:fldCharType="begin"/>
            </w:r>
            <w:r>
              <w:rPr>
                <w:noProof/>
                <w:webHidden/>
              </w:rPr>
              <w:instrText xml:space="preserve"> PAGEREF _Toc164420080 \h </w:instrText>
            </w:r>
            <w:r>
              <w:rPr>
                <w:noProof/>
                <w:webHidden/>
              </w:rPr>
            </w:r>
            <w:r>
              <w:rPr>
                <w:noProof/>
                <w:webHidden/>
              </w:rPr>
              <w:fldChar w:fldCharType="separate"/>
            </w:r>
            <w:r w:rsidR="00D30C23">
              <w:rPr>
                <w:noProof/>
                <w:webHidden/>
              </w:rPr>
              <w:t>226</w:t>
            </w:r>
            <w:r>
              <w:rPr>
                <w:noProof/>
                <w:webHidden/>
              </w:rPr>
              <w:fldChar w:fldCharType="end"/>
            </w:r>
          </w:hyperlink>
        </w:p>
        <w:p w14:paraId="2B14F81C" w14:textId="4C277D85"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81" w:history="1">
            <w:r w:rsidRPr="0027101D">
              <w:rPr>
                <w:rStyle w:val="Hyperlink"/>
                <w:noProof/>
              </w:rPr>
              <w:t>Topic 1: Book Chart of Ruth</w:t>
            </w:r>
            <w:r>
              <w:rPr>
                <w:noProof/>
                <w:webHidden/>
              </w:rPr>
              <w:tab/>
            </w:r>
            <w:r>
              <w:rPr>
                <w:noProof/>
                <w:webHidden/>
              </w:rPr>
              <w:fldChar w:fldCharType="begin"/>
            </w:r>
            <w:r>
              <w:rPr>
                <w:noProof/>
                <w:webHidden/>
              </w:rPr>
              <w:instrText xml:space="preserve"> PAGEREF _Toc164420081 \h </w:instrText>
            </w:r>
            <w:r>
              <w:rPr>
                <w:noProof/>
                <w:webHidden/>
              </w:rPr>
            </w:r>
            <w:r>
              <w:rPr>
                <w:noProof/>
                <w:webHidden/>
              </w:rPr>
              <w:fldChar w:fldCharType="separate"/>
            </w:r>
            <w:r w:rsidR="00D30C23">
              <w:rPr>
                <w:noProof/>
                <w:webHidden/>
              </w:rPr>
              <w:t>227</w:t>
            </w:r>
            <w:r>
              <w:rPr>
                <w:noProof/>
                <w:webHidden/>
              </w:rPr>
              <w:fldChar w:fldCharType="end"/>
            </w:r>
          </w:hyperlink>
        </w:p>
        <w:p w14:paraId="5E7F1E77" w14:textId="0B684103"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82" w:history="1">
            <w:r w:rsidRPr="0027101D">
              <w:rPr>
                <w:rStyle w:val="Hyperlink"/>
                <w:noProof/>
              </w:rPr>
              <w:t>Topic 2: Ruth—A Glimmer of Grace (Ruth 1–4)</w:t>
            </w:r>
            <w:r>
              <w:rPr>
                <w:noProof/>
                <w:webHidden/>
              </w:rPr>
              <w:tab/>
            </w:r>
            <w:r>
              <w:rPr>
                <w:noProof/>
                <w:webHidden/>
              </w:rPr>
              <w:fldChar w:fldCharType="begin"/>
            </w:r>
            <w:r>
              <w:rPr>
                <w:noProof/>
                <w:webHidden/>
              </w:rPr>
              <w:instrText xml:space="preserve"> PAGEREF _Toc164420082 \h </w:instrText>
            </w:r>
            <w:r>
              <w:rPr>
                <w:noProof/>
                <w:webHidden/>
              </w:rPr>
            </w:r>
            <w:r>
              <w:rPr>
                <w:noProof/>
                <w:webHidden/>
              </w:rPr>
              <w:fldChar w:fldCharType="separate"/>
            </w:r>
            <w:r w:rsidR="00D30C23">
              <w:rPr>
                <w:noProof/>
                <w:webHidden/>
              </w:rPr>
              <w:t>227</w:t>
            </w:r>
            <w:r>
              <w:rPr>
                <w:noProof/>
                <w:webHidden/>
              </w:rPr>
              <w:fldChar w:fldCharType="end"/>
            </w:r>
          </w:hyperlink>
        </w:p>
        <w:p w14:paraId="4DC0A255" w14:textId="51ACBD95"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83" w:history="1">
            <w:r w:rsidRPr="0027101D">
              <w:rPr>
                <w:rStyle w:val="Hyperlink"/>
                <w:noProof/>
              </w:rPr>
              <w:t>Topic 3: A Review of Genesis–Ruth</w:t>
            </w:r>
            <w:r>
              <w:rPr>
                <w:noProof/>
                <w:webHidden/>
              </w:rPr>
              <w:tab/>
            </w:r>
            <w:r>
              <w:rPr>
                <w:noProof/>
                <w:webHidden/>
              </w:rPr>
              <w:fldChar w:fldCharType="begin"/>
            </w:r>
            <w:r>
              <w:rPr>
                <w:noProof/>
                <w:webHidden/>
              </w:rPr>
              <w:instrText xml:space="preserve"> PAGEREF _Toc164420083 \h </w:instrText>
            </w:r>
            <w:r>
              <w:rPr>
                <w:noProof/>
                <w:webHidden/>
              </w:rPr>
            </w:r>
            <w:r>
              <w:rPr>
                <w:noProof/>
                <w:webHidden/>
              </w:rPr>
              <w:fldChar w:fldCharType="separate"/>
            </w:r>
            <w:r w:rsidR="00D30C23">
              <w:rPr>
                <w:noProof/>
                <w:webHidden/>
              </w:rPr>
              <w:t>233</w:t>
            </w:r>
            <w:r>
              <w:rPr>
                <w:noProof/>
                <w:webHidden/>
              </w:rPr>
              <w:fldChar w:fldCharType="end"/>
            </w:r>
          </w:hyperlink>
        </w:p>
        <w:p w14:paraId="72206E51" w14:textId="5E62D0A3" w:rsidR="000A4E78" w:rsidRDefault="000A4E78" w:rsidP="002D6C54">
          <w:pPr>
            <w:pStyle w:val="TOC3"/>
            <w:tabs>
              <w:tab w:val="right" w:leader="dot" w:pos="9350"/>
            </w:tabs>
            <w:spacing w:line="240" w:lineRule="auto"/>
            <w:rPr>
              <w:rFonts w:asciiTheme="minorHAnsi" w:eastAsiaTheme="minorEastAsia" w:hAnsiTheme="minorHAnsi"/>
              <w:noProof/>
              <w:color w:val="auto"/>
              <w:szCs w:val="24"/>
            </w:rPr>
          </w:pPr>
          <w:hyperlink w:anchor="_Toc164420084" w:history="1">
            <w:r w:rsidRPr="0027101D">
              <w:rPr>
                <w:rStyle w:val="Hyperlink"/>
                <w:noProof/>
              </w:rPr>
              <w:t>Topic 4: Messianic Prophecies and Typology</w:t>
            </w:r>
            <w:r>
              <w:rPr>
                <w:noProof/>
                <w:webHidden/>
              </w:rPr>
              <w:tab/>
            </w:r>
            <w:r>
              <w:rPr>
                <w:noProof/>
                <w:webHidden/>
              </w:rPr>
              <w:fldChar w:fldCharType="begin"/>
            </w:r>
            <w:r>
              <w:rPr>
                <w:noProof/>
                <w:webHidden/>
              </w:rPr>
              <w:instrText xml:space="preserve"> PAGEREF _Toc164420084 \h </w:instrText>
            </w:r>
            <w:r>
              <w:rPr>
                <w:noProof/>
                <w:webHidden/>
              </w:rPr>
            </w:r>
            <w:r>
              <w:rPr>
                <w:noProof/>
                <w:webHidden/>
              </w:rPr>
              <w:fldChar w:fldCharType="separate"/>
            </w:r>
            <w:r w:rsidR="00D30C23">
              <w:rPr>
                <w:noProof/>
                <w:webHidden/>
              </w:rPr>
              <w:t>237</w:t>
            </w:r>
            <w:r>
              <w:rPr>
                <w:noProof/>
                <w:webHidden/>
              </w:rPr>
              <w:fldChar w:fldCharType="end"/>
            </w:r>
          </w:hyperlink>
        </w:p>
        <w:p w14:paraId="613518A7" w14:textId="440BCEEC" w:rsidR="000A4E78" w:rsidRDefault="000A4E78" w:rsidP="002D6C54">
          <w:pPr>
            <w:pStyle w:val="TOC2"/>
            <w:tabs>
              <w:tab w:val="right" w:leader="dot" w:pos="9350"/>
            </w:tabs>
            <w:spacing w:line="240" w:lineRule="auto"/>
            <w:rPr>
              <w:rFonts w:asciiTheme="minorHAnsi" w:eastAsiaTheme="minorEastAsia" w:hAnsiTheme="minorHAnsi"/>
              <w:noProof/>
              <w:color w:val="auto"/>
              <w:szCs w:val="24"/>
            </w:rPr>
          </w:pPr>
          <w:hyperlink w:anchor="_Toc164420085" w:history="1">
            <w:r w:rsidRPr="0027101D">
              <w:rPr>
                <w:rStyle w:val="Hyperlink"/>
                <w:noProof/>
              </w:rPr>
              <w:t>Appendix One:  Significant Developments in ANE History in Relation to the Patriarchs</w:t>
            </w:r>
            <w:r>
              <w:rPr>
                <w:noProof/>
                <w:webHidden/>
              </w:rPr>
              <w:tab/>
            </w:r>
            <w:r>
              <w:rPr>
                <w:noProof/>
                <w:webHidden/>
              </w:rPr>
              <w:fldChar w:fldCharType="begin"/>
            </w:r>
            <w:r>
              <w:rPr>
                <w:noProof/>
                <w:webHidden/>
              </w:rPr>
              <w:instrText xml:space="preserve"> PAGEREF _Toc164420085 \h </w:instrText>
            </w:r>
            <w:r>
              <w:rPr>
                <w:noProof/>
                <w:webHidden/>
              </w:rPr>
            </w:r>
            <w:r>
              <w:rPr>
                <w:noProof/>
                <w:webHidden/>
              </w:rPr>
              <w:fldChar w:fldCharType="separate"/>
            </w:r>
            <w:r w:rsidR="00D30C23">
              <w:rPr>
                <w:noProof/>
                <w:webHidden/>
              </w:rPr>
              <w:t>245</w:t>
            </w:r>
            <w:r>
              <w:rPr>
                <w:noProof/>
                <w:webHidden/>
              </w:rPr>
              <w:fldChar w:fldCharType="end"/>
            </w:r>
          </w:hyperlink>
        </w:p>
        <w:p w14:paraId="4CFFA8FE" w14:textId="7CB534D8" w:rsidR="000A4E78" w:rsidRDefault="000A4E78" w:rsidP="002D6C54">
          <w:pPr>
            <w:pStyle w:val="TOC2"/>
            <w:tabs>
              <w:tab w:val="right" w:leader="dot" w:pos="9350"/>
            </w:tabs>
            <w:spacing w:line="240" w:lineRule="auto"/>
            <w:rPr>
              <w:rFonts w:asciiTheme="minorHAnsi" w:eastAsiaTheme="minorEastAsia" w:hAnsiTheme="minorHAnsi"/>
              <w:noProof/>
              <w:color w:val="auto"/>
              <w:szCs w:val="24"/>
            </w:rPr>
          </w:pPr>
          <w:hyperlink w:anchor="_Toc164420086" w:history="1">
            <w:r w:rsidRPr="0027101D">
              <w:rPr>
                <w:rStyle w:val="Hyperlink"/>
                <w:noProof/>
              </w:rPr>
              <w:t>Appendix Two:  Contemporary Views of Genesis 1:1-3</w:t>
            </w:r>
            <w:r>
              <w:rPr>
                <w:noProof/>
                <w:webHidden/>
              </w:rPr>
              <w:tab/>
            </w:r>
            <w:r>
              <w:rPr>
                <w:noProof/>
                <w:webHidden/>
              </w:rPr>
              <w:fldChar w:fldCharType="begin"/>
            </w:r>
            <w:r>
              <w:rPr>
                <w:noProof/>
                <w:webHidden/>
              </w:rPr>
              <w:instrText xml:space="preserve"> PAGEREF _Toc164420086 \h </w:instrText>
            </w:r>
            <w:r>
              <w:rPr>
                <w:noProof/>
                <w:webHidden/>
              </w:rPr>
            </w:r>
            <w:r>
              <w:rPr>
                <w:noProof/>
                <w:webHidden/>
              </w:rPr>
              <w:fldChar w:fldCharType="separate"/>
            </w:r>
            <w:r w:rsidR="00D30C23">
              <w:rPr>
                <w:noProof/>
                <w:webHidden/>
              </w:rPr>
              <w:t>253</w:t>
            </w:r>
            <w:r>
              <w:rPr>
                <w:noProof/>
                <w:webHidden/>
              </w:rPr>
              <w:fldChar w:fldCharType="end"/>
            </w:r>
          </w:hyperlink>
        </w:p>
        <w:p w14:paraId="0702E873" w14:textId="3296255F" w:rsidR="000A4E78" w:rsidRDefault="000A4E78" w:rsidP="002D6C54">
          <w:pPr>
            <w:pStyle w:val="TOC2"/>
            <w:tabs>
              <w:tab w:val="right" w:leader="dot" w:pos="9350"/>
            </w:tabs>
            <w:spacing w:line="240" w:lineRule="auto"/>
            <w:rPr>
              <w:rFonts w:asciiTheme="minorHAnsi" w:eastAsiaTheme="minorEastAsia" w:hAnsiTheme="minorHAnsi"/>
              <w:noProof/>
              <w:color w:val="auto"/>
              <w:szCs w:val="24"/>
            </w:rPr>
          </w:pPr>
          <w:hyperlink w:anchor="_Toc164420087" w:history="1">
            <w:r w:rsidRPr="0027101D">
              <w:rPr>
                <w:rStyle w:val="Hyperlink"/>
                <w:noProof/>
              </w:rPr>
              <w:t>Appendix Three:  Source Analysis of the Old Testament</w:t>
            </w:r>
            <w:r>
              <w:rPr>
                <w:noProof/>
                <w:webHidden/>
              </w:rPr>
              <w:tab/>
            </w:r>
            <w:r>
              <w:rPr>
                <w:noProof/>
                <w:webHidden/>
              </w:rPr>
              <w:fldChar w:fldCharType="begin"/>
            </w:r>
            <w:r>
              <w:rPr>
                <w:noProof/>
                <w:webHidden/>
              </w:rPr>
              <w:instrText xml:space="preserve"> PAGEREF _Toc164420087 \h </w:instrText>
            </w:r>
            <w:r>
              <w:rPr>
                <w:noProof/>
                <w:webHidden/>
              </w:rPr>
            </w:r>
            <w:r>
              <w:rPr>
                <w:noProof/>
                <w:webHidden/>
              </w:rPr>
              <w:fldChar w:fldCharType="separate"/>
            </w:r>
            <w:r w:rsidR="00D30C23">
              <w:rPr>
                <w:noProof/>
                <w:webHidden/>
              </w:rPr>
              <w:t>257</w:t>
            </w:r>
            <w:r>
              <w:rPr>
                <w:noProof/>
                <w:webHidden/>
              </w:rPr>
              <w:fldChar w:fldCharType="end"/>
            </w:r>
          </w:hyperlink>
        </w:p>
        <w:p w14:paraId="59FCE374" w14:textId="159C44E5" w:rsidR="000D6760" w:rsidRDefault="000D6760" w:rsidP="002D6C54">
          <w:pPr>
            <w:pStyle w:val="TOC2"/>
            <w:tabs>
              <w:tab w:val="right" w:leader="dot" w:pos="9350"/>
            </w:tabs>
            <w:spacing w:line="240" w:lineRule="auto"/>
          </w:pPr>
          <w:r>
            <w:rPr>
              <w:b/>
              <w:bCs/>
              <w:noProof/>
            </w:rPr>
            <w:fldChar w:fldCharType="end"/>
          </w:r>
        </w:p>
      </w:sdtContent>
    </w:sdt>
    <w:p w14:paraId="5E90AF4F" w14:textId="77777777" w:rsidR="000D6760" w:rsidRDefault="000D6760" w:rsidP="002D6C54">
      <w:pPr>
        <w:spacing w:line="240" w:lineRule="auto"/>
        <w:rPr>
          <w:rFonts w:asciiTheme="majorBidi" w:hAnsiTheme="majorBidi" w:cstheme="majorBidi"/>
          <w:szCs w:val="24"/>
        </w:rPr>
      </w:pPr>
    </w:p>
    <w:p w14:paraId="53EF5C70" w14:textId="2094D722" w:rsidR="00B74A7B" w:rsidRDefault="00B74A7B" w:rsidP="002D6C54">
      <w:pPr>
        <w:spacing w:line="240" w:lineRule="auto"/>
        <w:rPr>
          <w:rFonts w:asciiTheme="majorBidi" w:hAnsiTheme="majorBidi" w:cstheme="majorBidi"/>
          <w:szCs w:val="24"/>
        </w:rPr>
      </w:pPr>
      <w:r>
        <w:rPr>
          <w:rFonts w:asciiTheme="majorBidi" w:hAnsiTheme="majorBidi" w:cstheme="majorBidi"/>
          <w:szCs w:val="24"/>
        </w:rPr>
        <w:br w:type="page"/>
      </w:r>
    </w:p>
    <w:p w14:paraId="54ADA084" w14:textId="362D09A4" w:rsidR="00E32DB7" w:rsidRPr="00693925" w:rsidRDefault="00536200" w:rsidP="002D6C54">
      <w:pPr>
        <w:pStyle w:val="Heading2"/>
        <w:rPr>
          <w:rFonts w:eastAsia="SimSun"/>
          <w:color w:val="auto"/>
          <w:szCs w:val="24"/>
          <w:rtl/>
          <w:lang w:eastAsia="zh-CN"/>
          <w14:ligatures w14:val="none"/>
        </w:rPr>
      </w:pPr>
      <w:r w:rsidRPr="00693925">
        <w:rPr>
          <w:color w:val="auto"/>
          <w:rtl/>
          <w:lang w:bidi="ar-JO"/>
        </w:rPr>
        <w:lastRenderedPageBreak/>
        <w:t>مُقدِّمة المساق</w:t>
      </w:r>
      <w:r w:rsidRPr="00693925">
        <w:rPr>
          <w:color w:val="auto"/>
          <w:rtl/>
          <w:lang w:bidi="ar-JO"/>
        </w:rPr>
        <w:br/>
      </w:r>
    </w:p>
    <w:p w14:paraId="7F1307A4" w14:textId="77777777" w:rsidR="00693925" w:rsidRPr="00693925" w:rsidRDefault="00693925" w:rsidP="002D6C54">
      <w:pPr>
        <w:spacing w:line="240" w:lineRule="auto"/>
        <w:rPr>
          <w:lang w:eastAsia="zh-CN"/>
        </w:rPr>
      </w:pPr>
    </w:p>
    <w:p w14:paraId="23F3CEAF" w14:textId="42618F32" w:rsidR="00E32DB7" w:rsidRPr="00536200" w:rsidRDefault="00536200" w:rsidP="002D6C54">
      <w:pPr>
        <w:pStyle w:val="Heading3"/>
        <w:spacing w:line="240" w:lineRule="auto"/>
        <w:jc w:val="right"/>
        <w:rPr>
          <w:color w:val="auto"/>
        </w:rPr>
      </w:pPr>
      <w:r w:rsidRPr="00536200">
        <w:rPr>
          <w:rFonts w:hint="cs"/>
          <w:color w:val="auto"/>
          <w:szCs w:val="36"/>
          <w:rtl/>
          <w:lang w:bidi="ar-JO"/>
        </w:rPr>
        <w:t>مُقدِّمة عامّة إلى المساق</w:t>
      </w:r>
    </w:p>
    <w:p w14:paraId="4A6DE25E" w14:textId="4ADC042D" w:rsidR="005E7D26" w:rsidRDefault="004C0FC2" w:rsidP="002D6C54">
      <w:pPr>
        <w:tabs>
          <w:tab w:val="left" w:pos="1572"/>
        </w:tabs>
        <w:bidi/>
        <w:spacing w:line="240" w:lineRule="auto"/>
        <w:rPr>
          <w:rFonts w:cs="Times New Roman"/>
          <w:kern w:val="0"/>
          <w:szCs w:val="26"/>
          <w:rtl/>
          <w:lang w:bidi="ar-JO"/>
          <w14:ligatures w14:val="none"/>
        </w:rPr>
      </w:pPr>
      <w:bookmarkStart w:id="3" w:name="_Hlk178777689"/>
      <w:r w:rsidRPr="005D0F93">
        <w:rPr>
          <w:rFonts w:cs="Times New Roman" w:hint="cs"/>
          <w:kern w:val="0"/>
          <w:szCs w:val="26"/>
          <w:rtl/>
          <w:lang w:bidi="ar-JO"/>
          <w14:ligatures w14:val="none"/>
        </w:rPr>
        <w:t xml:space="preserve">هذا المساق، "أساس العهد القديم: التكوين إلى راعوث،" هو مسحٌ للأسفار الثمانية الأولى في الكتاب المُقدَّس. وهذا يشمل أسفار موسى الخمسة، مُضافًا إليها الأسفار التي تصف شعب إسرائيل في أرض الموعد قبل زمن حكم الملوك. تتألَّف الأسفار الخمسة من أسفار التكوين والخروج واللاويّين والعدد والتثنية. والأسفار الثلاثة التي تصف الشعب في أرض </w:t>
      </w:r>
      <w:r w:rsidR="006E2FFB">
        <w:rPr>
          <w:rFonts w:cs="Times New Roman" w:hint="cs"/>
          <w:kern w:val="0"/>
          <w:szCs w:val="26"/>
          <w:rtl/>
          <w:lang w:bidi="ar-JO"/>
          <w14:ligatures w14:val="none"/>
        </w:rPr>
        <w:t xml:space="preserve">الموعد </w:t>
      </w:r>
      <w:r w:rsidRPr="005D0F93">
        <w:rPr>
          <w:rFonts w:cs="Times New Roman" w:hint="cs"/>
          <w:kern w:val="0"/>
          <w:szCs w:val="26"/>
          <w:rtl/>
          <w:lang w:bidi="ar-JO"/>
          <w14:ligatures w14:val="none"/>
        </w:rPr>
        <w:t xml:space="preserve">هي يشوع والقضاة وراعوث. </w:t>
      </w:r>
    </w:p>
    <w:p w14:paraId="3DF58E93" w14:textId="46003822" w:rsidR="002B555C" w:rsidRDefault="005D0F93" w:rsidP="002D6C54">
      <w:pPr>
        <w:tabs>
          <w:tab w:val="left" w:pos="1572"/>
        </w:tabs>
        <w:bidi/>
        <w:spacing w:line="240" w:lineRule="auto"/>
        <w:rPr>
          <w:rFonts w:cs="Times New Roman"/>
          <w:kern w:val="0"/>
          <w:szCs w:val="26"/>
          <w:rtl/>
          <w:lang w:bidi="ar-JO"/>
          <w14:ligatures w14:val="none"/>
        </w:rPr>
      </w:pPr>
      <w:r>
        <w:rPr>
          <w:rFonts w:cs="Times New Roman" w:hint="cs"/>
          <w:kern w:val="0"/>
          <w:szCs w:val="26"/>
          <w:rtl/>
          <w:lang w:bidi="ar-JO"/>
          <w14:ligatures w14:val="none"/>
        </w:rPr>
        <w:t>أسفار موسى الخمسة بالغة الأهمّيّة لفهم كل</w:t>
      </w:r>
      <w:r w:rsidR="006E2FFB">
        <w:rPr>
          <w:rFonts w:cs="Times New Roman" w:hint="cs"/>
          <w:kern w:val="0"/>
          <w:szCs w:val="26"/>
          <w:rtl/>
          <w:lang w:bidi="ar-JO"/>
          <w14:ligatures w14:val="none"/>
        </w:rPr>
        <w:t>ّ</w:t>
      </w:r>
      <w:r>
        <w:rPr>
          <w:rFonts w:cs="Times New Roman" w:hint="cs"/>
          <w:kern w:val="0"/>
          <w:szCs w:val="26"/>
          <w:rtl/>
          <w:lang w:bidi="ar-JO"/>
          <w14:ligatures w14:val="none"/>
        </w:rPr>
        <w:t xml:space="preserve"> شيءٍ آخر يُقدَّم في الكتاب المُقدَّس. هذا يوضِّح أنّ إله إسرائيل (الذي اسمه يهوه) هو الإله خالق الكون. هو كلّيّ القوّة، وكلّيّ الح</w:t>
      </w:r>
      <w:r w:rsidR="006E2FFB">
        <w:rPr>
          <w:rFonts w:cs="Times New Roman" w:hint="cs"/>
          <w:kern w:val="0"/>
          <w:szCs w:val="26"/>
          <w:rtl/>
          <w:lang w:bidi="ar-JO"/>
          <w14:ligatures w14:val="none"/>
        </w:rPr>
        <w:t>ك</w:t>
      </w:r>
      <w:r>
        <w:rPr>
          <w:rFonts w:cs="Times New Roman" w:hint="cs"/>
          <w:kern w:val="0"/>
          <w:szCs w:val="26"/>
          <w:rtl/>
          <w:lang w:bidi="ar-JO"/>
          <w14:ligatures w14:val="none"/>
        </w:rPr>
        <w:t xml:space="preserve">مة، ويحكم بسيادته المُطلَقة على خليقته. وهو إله أخلاقيّ يدين الخطية، ويسيطر بسيادته على النظام الذي خلقه. </w:t>
      </w:r>
      <w:r w:rsidR="005A61D7">
        <w:rPr>
          <w:rFonts w:cs="Times New Roman" w:hint="cs"/>
          <w:kern w:val="0"/>
          <w:szCs w:val="26"/>
          <w:rtl/>
          <w:lang w:bidi="ar-JO"/>
          <w14:ligatures w14:val="none"/>
        </w:rPr>
        <w:t>ومع أنّ خليقته الأولى قد تعرّضت للفساد والخراب بسبب دخول الخطيّة، فقد تحرّك لمواجهتها بخطّته في التاريخ والخلاص (التاريخ الخلاصي). فبمقابل أمم العالم التي ضلّت فسقطت في الفساد وعبادة الأصنام الوثنيّة، اختار الله رجلًا، هو أبرام (الذي تغيَّر اسمه لاحقًا إلى "إبراهيم")، وبه بدأت أمّة جديدة ستأتي في النهاية ببركة الله على كل</w:t>
      </w:r>
      <w:r w:rsidR="006E2FFB">
        <w:rPr>
          <w:rFonts w:cs="Times New Roman" w:hint="cs"/>
          <w:kern w:val="0"/>
          <w:szCs w:val="26"/>
          <w:rtl/>
          <w:lang w:bidi="ar-JO"/>
          <w14:ligatures w14:val="none"/>
        </w:rPr>
        <w:t>ّ</w:t>
      </w:r>
      <w:r w:rsidR="005A61D7">
        <w:rPr>
          <w:rFonts w:cs="Times New Roman" w:hint="cs"/>
          <w:kern w:val="0"/>
          <w:szCs w:val="26"/>
          <w:rtl/>
          <w:lang w:bidi="ar-JO"/>
          <w14:ligatures w14:val="none"/>
        </w:rPr>
        <w:t xml:space="preserve"> شعوب وعشائر العالم. طبعًا، هذه الأمة هي إسرائيل، التي منها سيأتي المسيّا</w:t>
      </w:r>
      <w:r w:rsidR="006E2FFB">
        <w:rPr>
          <w:rFonts w:cs="Times New Roman" w:hint="cs"/>
          <w:kern w:val="0"/>
          <w:szCs w:val="26"/>
          <w:rtl/>
          <w:lang w:bidi="ar-JO"/>
          <w14:ligatures w14:val="none"/>
        </w:rPr>
        <w:t xml:space="preserve"> في وقتٍ لاحق</w:t>
      </w:r>
      <w:r w:rsidR="005A61D7">
        <w:rPr>
          <w:rFonts w:cs="Times New Roman" w:hint="cs"/>
          <w:kern w:val="0"/>
          <w:szCs w:val="26"/>
          <w:rtl/>
          <w:lang w:bidi="ar-JO"/>
          <w14:ligatures w14:val="none"/>
        </w:rPr>
        <w:t xml:space="preserve">. كما أسَّس الله عهدًا مع إبراهيم (العهد الإبراهيمي)، الذي به ارتبط بالأمّة التي ستخرج من صُلب إبراهيم. </w:t>
      </w:r>
      <w:r w:rsidR="002B555C">
        <w:rPr>
          <w:rFonts w:cs="Times New Roman" w:hint="cs"/>
          <w:kern w:val="0"/>
          <w:szCs w:val="26"/>
          <w:rtl/>
          <w:lang w:bidi="ar-JO"/>
          <w14:ligatures w14:val="none"/>
        </w:rPr>
        <w:t xml:space="preserve">جزءٌ من خطة الله وعده بأن يعطي شعب إسرائيل أرض كنعان ليسكنوا فيها. ومع هذا، يوضِّح الله أيضاً أنّ الذين هم في الإيمان هم الذين يتباركون مع "إبراهيم المؤمن." أي أنّه ليس كافيًا أن يكون الإنسان من نسل إبراهيم الجسدي، إذ ينبغي له أن يكون مؤمنًا أيضًا حتّى يكون مرتبطًا بالله ارتباطًا صحيحًا، مثلما كان إبراهيم (تكوين 15: 6). </w:t>
      </w:r>
    </w:p>
    <w:p w14:paraId="42DF28BD" w14:textId="04EA60F4" w:rsidR="00463E7F" w:rsidRDefault="00463E7F" w:rsidP="002D6C54">
      <w:pPr>
        <w:tabs>
          <w:tab w:val="left" w:pos="1572"/>
        </w:tabs>
        <w:bidi/>
        <w:spacing w:line="240" w:lineRule="auto"/>
        <w:rPr>
          <w:rFonts w:cs="Times New Roman"/>
          <w:kern w:val="0"/>
          <w:szCs w:val="26"/>
          <w:rtl/>
          <w:lang w:bidi="ar-JO"/>
          <w14:ligatures w14:val="none"/>
        </w:rPr>
      </w:pPr>
      <w:r>
        <w:rPr>
          <w:rFonts w:cs="Times New Roman" w:hint="cs"/>
          <w:kern w:val="0"/>
          <w:szCs w:val="26"/>
          <w:rtl/>
          <w:lang w:bidi="ar-JO"/>
          <w14:ligatures w14:val="none"/>
        </w:rPr>
        <w:t xml:space="preserve">تُظهِر بقية الأسفار الخمسة (الخروج </w:t>
      </w:r>
      <w:r>
        <w:rPr>
          <w:rFonts w:cs="Times New Roman"/>
          <w:kern w:val="0"/>
          <w:szCs w:val="26"/>
          <w:rtl/>
          <w:lang w:bidi="ar-JO"/>
          <w14:ligatures w14:val="none"/>
        </w:rPr>
        <w:t>–</w:t>
      </w:r>
      <w:r>
        <w:rPr>
          <w:rFonts w:cs="Times New Roman" w:hint="cs"/>
          <w:kern w:val="0"/>
          <w:szCs w:val="26"/>
          <w:rtl/>
          <w:lang w:bidi="ar-JO"/>
          <w14:ligatures w14:val="none"/>
        </w:rPr>
        <w:t xml:space="preserve"> التثنية) كيف عمل الله في إخراج نسل إبراهيم الجسديّ (الشعب العبري) من مصر، وهيّأهم وأعدّهم للاستيلاء على أرض كنعان. وفي هذه العمليّة، أتى الله بهم إلى جبل سيناء، وأعطاهم امتياز أن يكونوا شعب عهدِه، بشرط أن يلتزموا بحفظ شريعته وناموسه. وبموافقة شعب إسرائيل على أن يعملوا هذا، أعطاهم الناموس الموسويّ (أو "الشريعة الموسويّة"). وينبغي </w:t>
      </w:r>
      <w:r w:rsidR="007E12EF">
        <w:rPr>
          <w:rFonts w:cs="Times New Roman" w:hint="cs"/>
          <w:kern w:val="0"/>
          <w:szCs w:val="26"/>
          <w:rtl/>
          <w:lang w:bidi="ar-JO"/>
          <w14:ligatures w14:val="none"/>
        </w:rPr>
        <w:t>أن تكون هذه</w:t>
      </w:r>
      <w:r>
        <w:rPr>
          <w:rFonts w:cs="Times New Roman" w:hint="cs"/>
          <w:kern w:val="0"/>
          <w:szCs w:val="26"/>
          <w:rtl/>
          <w:lang w:bidi="ar-JO"/>
          <w14:ligatures w14:val="none"/>
        </w:rPr>
        <w:t xml:space="preserve"> الشريعة، التي تُعرَف باسم "العهد الموسوي"، الإطار</w:t>
      </w:r>
      <w:r w:rsidR="007E12EF">
        <w:rPr>
          <w:rFonts w:cs="Times New Roman" w:hint="cs"/>
          <w:kern w:val="0"/>
          <w:szCs w:val="26"/>
          <w:rtl/>
          <w:lang w:bidi="ar-JO"/>
          <w14:ligatures w14:val="none"/>
        </w:rPr>
        <w:t>َ</w:t>
      </w:r>
      <w:r>
        <w:rPr>
          <w:rFonts w:cs="Times New Roman" w:hint="cs"/>
          <w:kern w:val="0"/>
          <w:szCs w:val="26"/>
          <w:rtl/>
          <w:lang w:bidi="ar-JO"/>
          <w14:ligatures w14:val="none"/>
        </w:rPr>
        <w:t xml:space="preserve"> الذي يقرِّر كيف يعيش هذا الشعب بوصفه شعبَ الله (أي بوصفه شعب</w:t>
      </w:r>
      <w:r w:rsidR="007E12EF">
        <w:rPr>
          <w:rFonts w:cs="Times New Roman" w:hint="cs"/>
          <w:kern w:val="0"/>
          <w:szCs w:val="26"/>
          <w:rtl/>
          <w:lang w:bidi="ar-JO"/>
          <w14:ligatures w14:val="none"/>
        </w:rPr>
        <w:t>ًا</w:t>
      </w:r>
      <w:r>
        <w:rPr>
          <w:rFonts w:cs="Times New Roman" w:hint="cs"/>
          <w:kern w:val="0"/>
          <w:szCs w:val="26"/>
          <w:rtl/>
          <w:lang w:bidi="ar-JO"/>
          <w14:ligatures w14:val="none"/>
        </w:rPr>
        <w:t xml:space="preserve"> مُقدَّسًا). ولكنّهم يُحذَّرون بأنّ عدم حفظهم للشريعة (وخاصّة ارتكاب خطيّة عبادة الأوثان) سيؤدّي إلى تأديب الله، وقد يؤدّي أيضًا إلى هجوم قوى معادية وسبيهم من الأرض. وكجزءٍ من حفظ الشريعة الموسويّة، كان عليهم أن يكونوا شعبًا عابدًا بنظامٍ كهنوتي وتقديم ذبائح حيواني</w:t>
      </w:r>
      <w:r w:rsidR="007E12EF">
        <w:rPr>
          <w:rFonts w:cs="Times New Roman" w:hint="cs"/>
          <w:kern w:val="0"/>
          <w:szCs w:val="26"/>
          <w:rtl/>
          <w:lang w:bidi="ar-JO"/>
          <w14:ligatures w14:val="none"/>
        </w:rPr>
        <w:t>ّة</w:t>
      </w:r>
      <w:r>
        <w:rPr>
          <w:rFonts w:cs="Times New Roman" w:hint="cs"/>
          <w:kern w:val="0"/>
          <w:szCs w:val="26"/>
          <w:rtl/>
          <w:lang w:bidi="ar-JO"/>
          <w14:ligatures w14:val="none"/>
        </w:rPr>
        <w:t xml:space="preserve"> في خيمةٍ أرضيّة (والمقصود من كلّ ذلك هو إعدادهم لرئيس الكهنة الأعظم لله، الرب يسوع المسيح، وتقديمه نفسه لأجل خطايا العالم). </w:t>
      </w:r>
    </w:p>
    <w:p w14:paraId="0F0343D6" w14:textId="3ED13941" w:rsidR="00463E7F" w:rsidRPr="005D0F93" w:rsidRDefault="00463E7F" w:rsidP="002D6C54">
      <w:pPr>
        <w:tabs>
          <w:tab w:val="left" w:pos="1572"/>
        </w:tabs>
        <w:bidi/>
        <w:spacing w:line="240" w:lineRule="auto"/>
        <w:rPr>
          <w:rFonts w:cs="Times New Roman"/>
          <w:kern w:val="0"/>
          <w:szCs w:val="26"/>
          <w:rtl/>
          <w:lang w:bidi="ar-JO"/>
          <w14:ligatures w14:val="none"/>
        </w:rPr>
      </w:pPr>
      <w:r>
        <w:rPr>
          <w:rFonts w:cs="Times New Roman" w:hint="cs"/>
          <w:kern w:val="0"/>
          <w:szCs w:val="26"/>
          <w:rtl/>
          <w:lang w:bidi="ar-JO"/>
          <w14:ligatures w14:val="none"/>
        </w:rPr>
        <w:t>مع أن</w:t>
      </w:r>
      <w:r w:rsidR="007E12EF">
        <w:rPr>
          <w:rFonts w:cs="Times New Roman" w:hint="cs"/>
          <w:kern w:val="0"/>
          <w:szCs w:val="26"/>
          <w:rtl/>
          <w:lang w:bidi="ar-JO"/>
          <w14:ligatures w14:val="none"/>
        </w:rPr>
        <w:t>َّ</w:t>
      </w:r>
      <w:r>
        <w:rPr>
          <w:rFonts w:cs="Times New Roman" w:hint="cs"/>
          <w:kern w:val="0"/>
          <w:szCs w:val="26"/>
          <w:rtl/>
          <w:lang w:bidi="ar-JO"/>
          <w14:ligatures w14:val="none"/>
        </w:rPr>
        <w:t xml:space="preserve"> الجيل الذي خرج من مصر بقيادة موسى لم يتمك</w:t>
      </w:r>
      <w:r w:rsidR="007E12EF">
        <w:rPr>
          <w:rFonts w:cs="Times New Roman" w:hint="cs"/>
          <w:kern w:val="0"/>
          <w:szCs w:val="26"/>
          <w:rtl/>
          <w:lang w:bidi="ar-JO"/>
          <w14:ligatures w14:val="none"/>
        </w:rPr>
        <w:t>ّ</w:t>
      </w:r>
      <w:r>
        <w:rPr>
          <w:rFonts w:cs="Times New Roman" w:hint="cs"/>
          <w:kern w:val="0"/>
          <w:szCs w:val="26"/>
          <w:rtl/>
          <w:lang w:bidi="ar-JO"/>
          <w14:ligatures w14:val="none"/>
        </w:rPr>
        <w:t xml:space="preserve">ن من الدخول إلى أرض الموعد (بسبب تمرُّدهم وعدم إيمانهم)، فإنّ جيلًا جديدًا قاده يشوع في الدخول إلى الأرض والاستيلاء على الأرض. ولكنْ خلال القرون العديدة التالية، سقط الشعب بصورة متكرِّرة في العصيان وعبادة الأوثان. ويُظهِر سفر القضاة أنّ الله أرسل بصورة متكرِّرة </w:t>
      </w:r>
      <w:r w:rsidR="00E0144D">
        <w:rPr>
          <w:rFonts w:cs="Times New Roman" w:hint="cs"/>
          <w:kern w:val="0"/>
          <w:szCs w:val="26"/>
          <w:rtl/>
          <w:lang w:bidi="ar-JO"/>
          <w14:ligatures w14:val="none"/>
        </w:rPr>
        <w:t xml:space="preserve">قوى أجنبيّةً هزمتهم وأخضعتهم، وأنّهم حين كانوا يتوبون، كان يقيم "قضاةً" (أي "قادة كاريزماتيّين) لتخليصهم. ومع هذا، تُظهِر فترة حكم القضاة فشل الأمّة الرديء بأن تطيع شريعة الله. ولكن حتّى في هذا الوضع، لم يتخلَّ الله عنهم. </w:t>
      </w:r>
    </w:p>
    <w:p w14:paraId="074FDB85" w14:textId="77777777" w:rsidR="00E0144D" w:rsidRPr="00FA4281" w:rsidRDefault="00E0144D" w:rsidP="002D6C54">
      <w:pPr>
        <w:tabs>
          <w:tab w:val="left" w:pos="1572"/>
        </w:tabs>
        <w:spacing w:line="240" w:lineRule="auto"/>
        <w:rPr>
          <w:rFonts w:cs="Times New Roman"/>
          <w:kern w:val="0"/>
          <w:szCs w:val="20"/>
          <w14:ligatures w14:val="none"/>
        </w:rPr>
      </w:pPr>
    </w:p>
    <w:p w14:paraId="499E01BA" w14:textId="5D4B31B8" w:rsidR="00E32DB7" w:rsidRPr="00536200" w:rsidRDefault="00E0144D" w:rsidP="002D6C54">
      <w:pPr>
        <w:pStyle w:val="Heading3"/>
        <w:spacing w:line="240" w:lineRule="auto"/>
        <w:jc w:val="right"/>
        <w:rPr>
          <w:rFonts w:ascii="Simplified Arabic" w:hAnsi="Simplified Arabic" w:cs="Simplified Arabic"/>
          <w:color w:val="auto"/>
        </w:rPr>
      </w:pPr>
      <w:r>
        <w:rPr>
          <w:rFonts w:ascii="Simplified Arabic" w:hAnsi="Simplified Arabic" w:cs="Simplified Arabic" w:hint="cs"/>
          <w:color w:val="auto"/>
          <w:szCs w:val="36"/>
          <w:rtl/>
          <w:lang w:bidi="ar-JO"/>
        </w:rPr>
        <w:t>أ</w:t>
      </w:r>
      <w:r w:rsidR="00536200" w:rsidRPr="00536200">
        <w:rPr>
          <w:rFonts w:ascii="Simplified Arabic" w:hAnsi="Simplified Arabic" w:cs="Simplified Arabic"/>
          <w:color w:val="auto"/>
          <w:szCs w:val="36"/>
          <w:rtl/>
          <w:lang w:bidi="ar-JO"/>
        </w:rPr>
        <w:t>سباب لدراسة هذا المساق</w:t>
      </w:r>
    </w:p>
    <w:p w14:paraId="4FA0F755" w14:textId="7915EE95" w:rsidR="00E0144D" w:rsidRDefault="00D523A1" w:rsidP="002D6C54">
      <w:pPr>
        <w:tabs>
          <w:tab w:val="left" w:pos="1572"/>
        </w:tabs>
        <w:bidi/>
        <w:spacing w:line="240" w:lineRule="auto"/>
        <w:rPr>
          <w:rFonts w:ascii="Simplified Arabic" w:hAnsi="Simplified Arabic" w:cs="Simplified Arabic"/>
          <w:kern w:val="0"/>
          <w:sz w:val="26"/>
          <w:szCs w:val="26"/>
          <w:rtl/>
          <w:lang w:bidi="ar-JO"/>
          <w14:ligatures w14:val="none"/>
        </w:rPr>
      </w:pPr>
      <w:r>
        <w:rPr>
          <w:rFonts w:ascii="Simplified Arabic" w:hAnsi="Simplified Arabic" w:cs="Simplified Arabic" w:hint="cs"/>
          <w:kern w:val="0"/>
          <w:sz w:val="26"/>
          <w:szCs w:val="26"/>
          <w:rtl/>
          <w14:ligatures w14:val="none"/>
        </w:rPr>
        <w:lastRenderedPageBreak/>
        <w:t xml:space="preserve">تؤلِّف </w:t>
      </w:r>
      <w:r w:rsidR="00DF2A0C">
        <w:rPr>
          <w:rFonts w:ascii="Simplified Arabic" w:hAnsi="Simplified Arabic" w:cs="Simplified Arabic" w:hint="cs"/>
          <w:kern w:val="0"/>
          <w:sz w:val="26"/>
          <w:szCs w:val="26"/>
          <w:rtl/>
          <w:lang w:bidi="ar-JO"/>
          <w14:ligatures w14:val="none"/>
        </w:rPr>
        <w:t>أسفار العهد القديم التسعة والثلاثون الجزء الأكبر من الكتاب المُقدَّس. ويصعب عمليًّا فهم ما يحدث في العهد القديم من دون فهم الأصحاحات التي تمثِّل الأساس في أسفار التكوين إلى راعوث أوّلًا. نتعلَّم في هذه الأصحاحات أوّلًا أن ثمّة إلهًا وراء حقيقتنا</w:t>
      </w:r>
      <w:r w:rsidR="007E12EF">
        <w:rPr>
          <w:rFonts w:ascii="Simplified Arabic" w:hAnsi="Simplified Arabic" w:cs="Simplified Arabic" w:hint="cs"/>
          <w:kern w:val="0"/>
          <w:sz w:val="26"/>
          <w:szCs w:val="26"/>
          <w:rtl/>
          <w:lang w:bidi="ar-JO"/>
          <w14:ligatures w14:val="none"/>
        </w:rPr>
        <w:t xml:space="preserve">. هو </w:t>
      </w:r>
      <w:r w:rsidR="00DF2A0C">
        <w:rPr>
          <w:rFonts w:ascii="Simplified Arabic" w:hAnsi="Simplified Arabic" w:cs="Simplified Arabic" w:hint="cs"/>
          <w:kern w:val="0"/>
          <w:sz w:val="26"/>
          <w:szCs w:val="26"/>
          <w:rtl/>
          <w:lang w:bidi="ar-JO"/>
          <w14:ligatures w14:val="none"/>
        </w:rPr>
        <w:t xml:space="preserve">خالق الكون وفي الوقت نفسه إله النعمة والخلاص، الإله الذي يسعى إلى أن يبارك الناس. </w:t>
      </w:r>
    </w:p>
    <w:p w14:paraId="76CEB192" w14:textId="64A80966" w:rsidR="00DF2A0C" w:rsidRDefault="00DF2A0C" w:rsidP="002D6C54">
      <w:pPr>
        <w:tabs>
          <w:tab w:val="left" w:pos="1572"/>
        </w:tabs>
        <w:bidi/>
        <w:spacing w:line="240" w:lineRule="auto"/>
        <w:rPr>
          <w:rFonts w:ascii="Simplified Arabic" w:hAnsi="Simplified Arabic" w:cs="Simplified Arabic"/>
          <w:kern w:val="0"/>
          <w:sz w:val="26"/>
          <w:szCs w:val="26"/>
          <w:rtl/>
          <w:lang w:bidi="ar-JO"/>
          <w14:ligatures w14:val="none"/>
        </w:rPr>
      </w:pPr>
      <w:r>
        <w:rPr>
          <w:rFonts w:ascii="Simplified Arabic" w:hAnsi="Simplified Arabic" w:cs="Simplified Arabic" w:hint="cs"/>
          <w:kern w:val="0"/>
          <w:sz w:val="26"/>
          <w:szCs w:val="26"/>
          <w:rtl/>
          <w:lang w:bidi="ar-JO"/>
          <w14:ligatures w14:val="none"/>
        </w:rPr>
        <w:t xml:space="preserve">يُقدَّم </w:t>
      </w:r>
      <w:r w:rsidR="00A87ED5">
        <w:rPr>
          <w:rFonts w:ascii="Simplified Arabic" w:hAnsi="Simplified Arabic" w:cs="Simplified Arabic" w:hint="cs"/>
          <w:kern w:val="0"/>
          <w:sz w:val="26"/>
          <w:szCs w:val="26"/>
          <w:rtl/>
          <w:lang w:bidi="ar-JO"/>
          <w14:ligatures w14:val="none"/>
        </w:rPr>
        <w:t xml:space="preserve">في هذه الأسفار </w:t>
      </w:r>
      <w:r>
        <w:rPr>
          <w:rFonts w:ascii="Simplified Arabic" w:hAnsi="Simplified Arabic" w:cs="Simplified Arabic" w:hint="cs"/>
          <w:kern w:val="0"/>
          <w:sz w:val="26"/>
          <w:szCs w:val="26"/>
          <w:rtl/>
          <w:lang w:bidi="ar-JO"/>
          <w14:ligatures w14:val="none"/>
        </w:rPr>
        <w:t>عهدان من أهم العهود في الأسفار الثمانية الأولى، وهما العهد الإبراهيمي والعهد الموسوي. ومن أجل إدراك قيمة ما يعمله الله عبر التاريخ البشري، على الإنسان أن يفهم ما يدور هذان العهدان حوله، والمعاني التي يحملانها، وطبيعة علاقة مؤمني العهد الجديد اليوم به</w:t>
      </w:r>
      <w:r w:rsidR="008516DE">
        <w:rPr>
          <w:rFonts w:ascii="Simplified Arabic" w:hAnsi="Simplified Arabic" w:cs="Simplified Arabic" w:hint="cs"/>
          <w:kern w:val="0"/>
          <w:sz w:val="26"/>
          <w:szCs w:val="26"/>
          <w:rtl/>
          <w:lang w:bidi="ar-JO"/>
          <w14:ligatures w14:val="none"/>
        </w:rPr>
        <w:t>م</w:t>
      </w:r>
      <w:r>
        <w:rPr>
          <w:rFonts w:ascii="Simplified Arabic" w:hAnsi="Simplified Arabic" w:cs="Simplified Arabic" w:hint="cs"/>
          <w:kern w:val="0"/>
          <w:sz w:val="26"/>
          <w:szCs w:val="26"/>
          <w:rtl/>
          <w:lang w:bidi="ar-JO"/>
          <w14:ligatures w14:val="none"/>
        </w:rPr>
        <w:t xml:space="preserve">ا. </w:t>
      </w:r>
    </w:p>
    <w:p w14:paraId="2D8EC08C" w14:textId="636E6F3C" w:rsidR="00E0144D" w:rsidRDefault="00DF2A0C" w:rsidP="002D6C54">
      <w:pPr>
        <w:tabs>
          <w:tab w:val="left" w:pos="1572"/>
        </w:tabs>
        <w:bidi/>
        <w:spacing w:line="240" w:lineRule="auto"/>
        <w:rPr>
          <w:rFonts w:ascii="Simplified Arabic" w:hAnsi="Simplified Arabic" w:cs="Simplified Arabic"/>
          <w:kern w:val="0"/>
          <w:sz w:val="26"/>
          <w:szCs w:val="26"/>
          <w:rtl/>
          <w14:ligatures w14:val="none"/>
        </w:rPr>
      </w:pPr>
      <w:r>
        <w:rPr>
          <w:rFonts w:ascii="Simplified Arabic" w:hAnsi="Simplified Arabic" w:cs="Simplified Arabic" w:hint="cs"/>
          <w:kern w:val="0"/>
          <w:sz w:val="26"/>
          <w:szCs w:val="26"/>
          <w:rtl/>
          <w14:ligatures w14:val="none"/>
        </w:rPr>
        <w:t>في هذه الأ</w:t>
      </w:r>
      <w:r w:rsidR="000E711D">
        <w:rPr>
          <w:rFonts w:ascii="Simplified Arabic" w:hAnsi="Simplified Arabic" w:cs="Simplified Arabic" w:hint="cs"/>
          <w:kern w:val="0"/>
          <w:sz w:val="26"/>
          <w:szCs w:val="26"/>
          <w:rtl/>
          <w14:ligatures w14:val="none"/>
        </w:rPr>
        <w:t>س</w:t>
      </w:r>
      <w:r>
        <w:rPr>
          <w:rFonts w:ascii="Simplified Arabic" w:hAnsi="Simplified Arabic" w:cs="Simplified Arabic" w:hint="cs"/>
          <w:kern w:val="0"/>
          <w:sz w:val="26"/>
          <w:szCs w:val="26"/>
          <w:rtl/>
          <w14:ligatures w14:val="none"/>
        </w:rPr>
        <w:t xml:space="preserve">فار </w:t>
      </w:r>
      <w:r w:rsidR="000E711D">
        <w:rPr>
          <w:rFonts w:ascii="Simplified Arabic" w:hAnsi="Simplified Arabic" w:cs="Simplified Arabic" w:hint="cs"/>
          <w:kern w:val="0"/>
          <w:sz w:val="26"/>
          <w:szCs w:val="26"/>
          <w:rtl/>
          <w14:ligatures w14:val="none"/>
        </w:rPr>
        <w:t xml:space="preserve">الافتتاحية </w:t>
      </w:r>
      <w:r w:rsidR="009B50BD">
        <w:rPr>
          <w:rFonts w:ascii="Simplified Arabic" w:hAnsi="Simplified Arabic" w:cs="Simplified Arabic" w:hint="cs"/>
          <w:kern w:val="0"/>
          <w:sz w:val="26"/>
          <w:szCs w:val="26"/>
          <w:rtl/>
          <w14:ligatures w14:val="none"/>
        </w:rPr>
        <w:t xml:space="preserve">من </w:t>
      </w:r>
      <w:r w:rsidR="000E711D">
        <w:rPr>
          <w:rFonts w:ascii="Simplified Arabic" w:hAnsi="Simplified Arabic" w:cs="Simplified Arabic" w:hint="cs"/>
          <w:kern w:val="0"/>
          <w:sz w:val="26"/>
          <w:szCs w:val="26"/>
          <w:rtl/>
          <w14:ligatures w14:val="none"/>
        </w:rPr>
        <w:t>الكتاب المُقدَّس نتعلَّم عن الطريقة التي يعامل بها الله</w:t>
      </w:r>
      <w:r w:rsidR="009B50BD">
        <w:rPr>
          <w:rFonts w:ascii="Simplified Arabic" w:hAnsi="Simplified Arabic" w:cs="Simplified Arabic" w:hint="cs"/>
          <w:kern w:val="0"/>
          <w:sz w:val="26"/>
          <w:szCs w:val="26"/>
          <w:rtl/>
          <w14:ligatures w14:val="none"/>
        </w:rPr>
        <w:t>ُ</w:t>
      </w:r>
      <w:r w:rsidR="000E711D">
        <w:rPr>
          <w:rFonts w:ascii="Simplified Arabic" w:hAnsi="Simplified Arabic" w:cs="Simplified Arabic" w:hint="cs"/>
          <w:kern w:val="0"/>
          <w:sz w:val="26"/>
          <w:szCs w:val="26"/>
          <w:rtl/>
          <w14:ligatures w14:val="none"/>
        </w:rPr>
        <w:t xml:space="preserve"> الناس</w:t>
      </w:r>
      <w:r w:rsidR="009B50BD">
        <w:rPr>
          <w:rFonts w:ascii="Simplified Arabic" w:hAnsi="Simplified Arabic" w:cs="Simplified Arabic" w:hint="cs"/>
          <w:kern w:val="0"/>
          <w:sz w:val="26"/>
          <w:szCs w:val="26"/>
          <w:rtl/>
          <w14:ligatures w14:val="none"/>
        </w:rPr>
        <w:t>َ</w:t>
      </w:r>
      <w:r w:rsidR="000E711D">
        <w:rPr>
          <w:rFonts w:ascii="Simplified Arabic" w:hAnsi="Simplified Arabic" w:cs="Simplified Arabic" w:hint="cs"/>
          <w:kern w:val="0"/>
          <w:sz w:val="26"/>
          <w:szCs w:val="26"/>
          <w:rtl/>
          <w14:ligatures w14:val="none"/>
        </w:rPr>
        <w:t xml:space="preserve">. ومع أنّ الجميع خطاة، فهو صبور </w:t>
      </w:r>
      <w:r w:rsidR="009B50BD">
        <w:rPr>
          <w:rFonts w:ascii="Simplified Arabic" w:hAnsi="Simplified Arabic" w:cs="Simplified Arabic" w:hint="cs"/>
          <w:kern w:val="0"/>
          <w:sz w:val="26"/>
          <w:szCs w:val="26"/>
          <w:rtl/>
          <w14:ligatures w14:val="none"/>
        </w:rPr>
        <w:t xml:space="preserve">مع </w:t>
      </w:r>
      <w:r w:rsidR="000E711D">
        <w:rPr>
          <w:rFonts w:ascii="Simplified Arabic" w:hAnsi="Simplified Arabic" w:cs="Simplified Arabic" w:hint="cs"/>
          <w:kern w:val="0"/>
          <w:sz w:val="26"/>
          <w:szCs w:val="26"/>
          <w:rtl/>
          <w14:ligatures w14:val="none"/>
        </w:rPr>
        <w:t xml:space="preserve">الذين يلجأون إليه بالإيمان ويباركهم. أمّا الذين يرفضون </w:t>
      </w:r>
      <w:r w:rsidR="00AD7FFD">
        <w:rPr>
          <w:rFonts w:ascii="Simplified Arabic" w:hAnsi="Simplified Arabic" w:cs="Simplified Arabic" w:hint="cs"/>
          <w:kern w:val="0"/>
          <w:sz w:val="26"/>
          <w:szCs w:val="26"/>
          <w:rtl/>
          <w14:ligatures w14:val="none"/>
        </w:rPr>
        <w:t>طرقه</w:t>
      </w:r>
      <w:r w:rsidR="000E711D">
        <w:rPr>
          <w:rFonts w:ascii="Simplified Arabic" w:hAnsi="Simplified Arabic" w:cs="Simplified Arabic" w:hint="cs"/>
          <w:kern w:val="0"/>
          <w:sz w:val="26"/>
          <w:szCs w:val="26"/>
          <w:rtl/>
          <w14:ligatures w14:val="none"/>
        </w:rPr>
        <w:t xml:space="preserve"> ويبتعدون عنه</w:t>
      </w:r>
      <w:r w:rsidR="00AD7FFD">
        <w:rPr>
          <w:rFonts w:ascii="Simplified Arabic" w:hAnsi="Simplified Arabic" w:cs="Simplified Arabic" w:hint="cs"/>
          <w:kern w:val="0"/>
          <w:sz w:val="26"/>
          <w:szCs w:val="26"/>
          <w:rtl/>
          <w14:ligatures w14:val="none"/>
        </w:rPr>
        <w:t xml:space="preserve"> فسيأتي بهم إلى الدينونة. وكجزءٍ من الدراما الشاملة والكاملة، نتعلِّم كيف ينمّي الله إيمان الذين سيتبعونه، ويتعلَّمون من الأخطاء التي يقعون بهم (حتى </w:t>
      </w:r>
      <w:r w:rsidR="009B50BD">
        <w:rPr>
          <w:rFonts w:ascii="Simplified Arabic" w:hAnsi="Simplified Arabic" w:cs="Simplified Arabic" w:hint="cs"/>
          <w:kern w:val="0"/>
          <w:sz w:val="26"/>
          <w:szCs w:val="26"/>
          <w:rtl/>
          <w14:ligatures w14:val="none"/>
        </w:rPr>
        <w:t>يتجنَّبوها ونتجنَّبها</w:t>
      </w:r>
      <w:r w:rsidR="00AD7FFD">
        <w:rPr>
          <w:rFonts w:ascii="Simplified Arabic" w:hAnsi="Simplified Arabic" w:cs="Simplified Arabic" w:hint="cs"/>
          <w:kern w:val="0"/>
          <w:sz w:val="26"/>
          <w:szCs w:val="26"/>
          <w:rtl/>
          <w14:ligatures w14:val="none"/>
        </w:rPr>
        <w:t xml:space="preserve">). </w:t>
      </w:r>
    </w:p>
    <w:p w14:paraId="3A3CBF79" w14:textId="0B99482F" w:rsidR="00AD7FFD" w:rsidRDefault="00AD7FFD" w:rsidP="002D6C54">
      <w:pPr>
        <w:tabs>
          <w:tab w:val="left" w:pos="1572"/>
        </w:tabs>
        <w:bidi/>
        <w:spacing w:line="240" w:lineRule="auto"/>
        <w:rPr>
          <w:rFonts w:ascii="Simplified Arabic" w:hAnsi="Simplified Arabic" w:cs="Simplified Arabic"/>
          <w:kern w:val="0"/>
          <w:sz w:val="26"/>
          <w:szCs w:val="26"/>
          <w:rtl/>
          <w14:ligatures w14:val="none"/>
        </w:rPr>
      </w:pPr>
      <w:r>
        <w:rPr>
          <w:rFonts w:ascii="Simplified Arabic" w:hAnsi="Simplified Arabic" w:cs="Simplified Arabic" w:hint="cs"/>
          <w:kern w:val="0"/>
          <w:sz w:val="26"/>
          <w:szCs w:val="26"/>
          <w:rtl/>
          <w14:ligatures w14:val="none"/>
        </w:rPr>
        <w:t>ليس إعلان الرب يسوع محصور</w:t>
      </w:r>
      <w:r w:rsidR="009B50BD">
        <w:rPr>
          <w:rFonts w:ascii="Simplified Arabic" w:hAnsi="Simplified Arabic" w:cs="Simplified Arabic" w:hint="cs"/>
          <w:kern w:val="0"/>
          <w:sz w:val="26"/>
          <w:szCs w:val="26"/>
          <w:rtl/>
          <w14:ligatures w14:val="none"/>
        </w:rPr>
        <w:t>ًا</w:t>
      </w:r>
      <w:r>
        <w:rPr>
          <w:rFonts w:ascii="Simplified Arabic" w:hAnsi="Simplified Arabic" w:cs="Simplified Arabic" w:hint="cs"/>
          <w:kern w:val="0"/>
          <w:sz w:val="26"/>
          <w:szCs w:val="26"/>
          <w:rtl/>
          <w14:ligatures w14:val="none"/>
        </w:rPr>
        <w:t xml:space="preserve"> في زمن العهد الجديد. فمن اللحظات الأولى </w:t>
      </w:r>
      <w:r w:rsidR="009B50BD">
        <w:rPr>
          <w:rFonts w:ascii="Simplified Arabic" w:hAnsi="Simplified Arabic" w:cs="Simplified Arabic" w:hint="cs"/>
          <w:kern w:val="0"/>
          <w:sz w:val="26"/>
          <w:szCs w:val="26"/>
          <w:rtl/>
          <w14:ligatures w14:val="none"/>
        </w:rPr>
        <w:t>من</w:t>
      </w:r>
      <w:r>
        <w:rPr>
          <w:rFonts w:ascii="Simplified Arabic" w:hAnsi="Simplified Arabic" w:cs="Simplified Arabic" w:hint="cs"/>
          <w:kern w:val="0"/>
          <w:sz w:val="26"/>
          <w:szCs w:val="26"/>
          <w:rtl/>
          <w14:ligatures w14:val="none"/>
        </w:rPr>
        <w:t xml:space="preserve"> التاريخ البشري بدأ الله يُعلِن خطته النهائية بأن يبارك العالم الذي سيأتي بالمسيا، الرب يسوع. وسواء بالإعلانات النبويّة المباشرة أو بأسلوب الرموز والنماذج، تعمل أسفار العهد القديم هذه على إعداد الشعب العبرانيّ (وإعدادنا) لمجيء يسوع المسيح، مخلِّص العالم. وفهم خيمة الاجتماع والكهنوت ونظام الذبائح ضروريّ لفهم رسالة يسوع المسيح. </w:t>
      </w:r>
    </w:p>
    <w:p w14:paraId="001665A6" w14:textId="77777777" w:rsidR="00AD7FFD" w:rsidRPr="00E0144D" w:rsidRDefault="00AD7FFD" w:rsidP="002D6C54">
      <w:pPr>
        <w:tabs>
          <w:tab w:val="left" w:pos="1572"/>
        </w:tabs>
        <w:bidi/>
        <w:spacing w:line="240" w:lineRule="auto"/>
        <w:rPr>
          <w:rFonts w:ascii="Simplified Arabic" w:hAnsi="Simplified Arabic" w:cs="Simplified Arabic"/>
          <w:kern w:val="0"/>
          <w:sz w:val="26"/>
          <w:szCs w:val="26"/>
          <w:rtl/>
          <w14:ligatures w14:val="none"/>
        </w:rPr>
      </w:pPr>
    </w:p>
    <w:bookmarkEnd w:id="3"/>
    <w:p w14:paraId="402582D6" w14:textId="77777777" w:rsidR="00536200" w:rsidRPr="00536200" w:rsidRDefault="00536200" w:rsidP="002D6C54">
      <w:pPr>
        <w:bidi/>
        <w:spacing w:line="240" w:lineRule="auto"/>
        <w:rPr>
          <w:rFonts w:asciiTheme="minorHAnsi" w:hAnsiTheme="minorHAnsi" w:cs="Simplified Arabic"/>
          <w:b/>
          <w:bCs/>
          <w:color w:val="auto"/>
          <w:kern w:val="0"/>
          <w:sz w:val="22"/>
          <w:szCs w:val="36"/>
          <w:lang w:bidi="ar-JO"/>
          <w14:ligatures w14:val="none"/>
        </w:rPr>
      </w:pPr>
      <w:r w:rsidRPr="00536200">
        <w:rPr>
          <w:rFonts w:asciiTheme="minorHAnsi" w:hAnsiTheme="minorHAnsi" w:cs="Simplified Arabic" w:hint="cs"/>
          <w:b/>
          <w:bCs/>
          <w:color w:val="auto"/>
          <w:kern w:val="0"/>
          <w:sz w:val="22"/>
          <w:szCs w:val="36"/>
          <w:rtl/>
          <w:lang w:bidi="ar-JO"/>
          <w14:ligatures w14:val="none"/>
        </w:rPr>
        <w:t xml:space="preserve">مؤلِّف المساق </w:t>
      </w:r>
    </w:p>
    <w:p w14:paraId="7A1911B9" w14:textId="77777777" w:rsidR="00536200" w:rsidRPr="00536200" w:rsidRDefault="00536200" w:rsidP="002D6C54">
      <w:pPr>
        <w:bidi/>
        <w:spacing w:line="240" w:lineRule="auto"/>
        <w:rPr>
          <w:rFonts w:ascii="Simplified Arabic" w:hAnsi="Simplified Arabic" w:cs="Simplified Arabic"/>
          <w:color w:val="auto"/>
          <w:kern w:val="0"/>
          <w:sz w:val="26"/>
          <w:szCs w:val="26"/>
          <w:rtl/>
          <w:lang w:bidi="ar-JO"/>
          <w14:ligatures w14:val="none"/>
        </w:rPr>
      </w:pPr>
      <w:r w:rsidRPr="00536200">
        <w:rPr>
          <w:rFonts w:ascii="Simplified Arabic" w:hAnsi="Simplified Arabic" w:cs="Simplified Arabic"/>
          <w:color w:val="auto"/>
          <w:kern w:val="0"/>
          <w:sz w:val="26"/>
          <w:szCs w:val="26"/>
          <w:rtl/>
          <w:lang w:bidi="ar-JO"/>
          <w14:ligatures w14:val="none"/>
        </w:rPr>
        <w:t>ك</w:t>
      </w:r>
      <w:r w:rsidRPr="00536200">
        <w:rPr>
          <w:rFonts w:ascii="Simplified Arabic" w:hAnsi="Simplified Arabic" w:cs="Simplified Arabic" w:hint="cs"/>
          <w:color w:val="auto"/>
          <w:kern w:val="0"/>
          <w:sz w:val="26"/>
          <w:szCs w:val="26"/>
          <w:rtl/>
          <w:lang w:bidi="ar-JO"/>
          <w14:ligatures w14:val="none"/>
        </w:rPr>
        <w:t>ا</w:t>
      </w:r>
      <w:r w:rsidRPr="00536200">
        <w:rPr>
          <w:rFonts w:ascii="Simplified Arabic" w:hAnsi="Simplified Arabic" w:cs="Simplified Arabic"/>
          <w:color w:val="auto"/>
          <w:kern w:val="0"/>
          <w:sz w:val="26"/>
          <w:szCs w:val="26"/>
          <w:rtl/>
          <w:lang w:bidi="ar-JO"/>
          <w14:ligatures w14:val="none"/>
        </w:rPr>
        <w:t xml:space="preserve">تِب هذا المساق </w:t>
      </w:r>
      <w:r w:rsidRPr="00536200">
        <w:rPr>
          <w:rFonts w:ascii="Simplified Arabic" w:hAnsi="Simplified Arabic" w:cs="Simplified Arabic" w:hint="cs"/>
          <w:color w:val="auto"/>
          <w:kern w:val="0"/>
          <w:sz w:val="26"/>
          <w:szCs w:val="26"/>
          <w:rtl/>
          <w:lang w:bidi="ar-JO"/>
          <w14:ligatures w14:val="none"/>
        </w:rPr>
        <w:t>هو</w:t>
      </w:r>
      <w:r w:rsidRPr="00536200">
        <w:rPr>
          <w:rFonts w:ascii="Simplified Arabic" w:hAnsi="Simplified Arabic" w:cs="Simplified Arabic"/>
          <w:color w:val="auto"/>
          <w:kern w:val="0"/>
          <w:sz w:val="26"/>
          <w:szCs w:val="26"/>
          <w:rtl/>
          <w:lang w:bidi="ar-JO"/>
          <w14:ligatures w14:val="none"/>
        </w:rPr>
        <w:t xml:space="preserve"> الد</w:t>
      </w:r>
      <w:r w:rsidRPr="00536200">
        <w:rPr>
          <w:rFonts w:ascii="Simplified Arabic" w:hAnsi="Simplified Arabic" w:cs="Simplified Arabic" w:hint="cs"/>
          <w:color w:val="auto"/>
          <w:kern w:val="0"/>
          <w:sz w:val="26"/>
          <w:szCs w:val="26"/>
          <w:rtl/>
          <w:lang w:bidi="ar-JO"/>
          <w14:ligatures w14:val="none"/>
        </w:rPr>
        <w:t>ّ</w:t>
      </w:r>
      <w:r w:rsidRPr="00536200">
        <w:rPr>
          <w:rFonts w:ascii="Simplified Arabic" w:hAnsi="Simplified Arabic" w:cs="Simplified Arabic"/>
          <w:color w:val="auto"/>
          <w:kern w:val="0"/>
          <w:sz w:val="26"/>
          <w:szCs w:val="26"/>
          <w:rtl/>
          <w:lang w:bidi="ar-JO"/>
          <w14:ligatures w14:val="none"/>
        </w:rPr>
        <w:t>كتور ج. بول تانر. الد</w:t>
      </w:r>
      <w:r w:rsidRPr="00536200">
        <w:rPr>
          <w:rFonts w:ascii="Simplified Arabic" w:hAnsi="Simplified Arabic" w:cs="Simplified Arabic" w:hint="cs"/>
          <w:color w:val="auto"/>
          <w:kern w:val="0"/>
          <w:sz w:val="26"/>
          <w:szCs w:val="26"/>
          <w:rtl/>
          <w:lang w:bidi="ar-JO"/>
          <w14:ligatures w14:val="none"/>
        </w:rPr>
        <w:t>ّ</w:t>
      </w:r>
      <w:r w:rsidRPr="00536200">
        <w:rPr>
          <w:rFonts w:ascii="Simplified Arabic" w:hAnsi="Simplified Arabic" w:cs="Simplified Arabic"/>
          <w:color w:val="auto"/>
          <w:kern w:val="0"/>
          <w:sz w:val="26"/>
          <w:szCs w:val="26"/>
          <w:rtl/>
          <w:lang w:bidi="ar-JO"/>
          <w14:ligatures w14:val="none"/>
        </w:rPr>
        <w:t>كتور تانر حاصل على درجة الماجستير العالي في الل</w:t>
      </w:r>
      <w:r w:rsidRPr="00536200">
        <w:rPr>
          <w:rFonts w:ascii="Simplified Arabic" w:hAnsi="Simplified Arabic" w:cs="Simplified Arabic" w:hint="cs"/>
          <w:color w:val="auto"/>
          <w:kern w:val="0"/>
          <w:sz w:val="26"/>
          <w:szCs w:val="26"/>
          <w:rtl/>
          <w:lang w:bidi="ar-JO"/>
          <w14:ligatures w14:val="none"/>
        </w:rPr>
        <w:t>ّ</w:t>
      </w:r>
      <w:r w:rsidRPr="00536200">
        <w:rPr>
          <w:rFonts w:ascii="Simplified Arabic" w:hAnsi="Simplified Arabic" w:cs="Simplified Arabic"/>
          <w:color w:val="auto"/>
          <w:kern w:val="0"/>
          <w:sz w:val="26"/>
          <w:szCs w:val="26"/>
          <w:rtl/>
          <w:lang w:bidi="ar-JO"/>
          <w14:ligatures w14:val="none"/>
        </w:rPr>
        <w:t>اهوت (</w:t>
      </w:r>
      <w:r w:rsidRPr="00536200">
        <w:rPr>
          <w:rFonts w:ascii="Simplified Arabic" w:hAnsi="Simplified Arabic" w:cs="Simplified Arabic"/>
          <w:color w:val="auto"/>
          <w:kern w:val="0"/>
          <w:sz w:val="26"/>
          <w:szCs w:val="26"/>
          <w:lang w:bidi="he-IL"/>
          <w14:ligatures w14:val="none"/>
        </w:rPr>
        <w:t>ThM</w:t>
      </w:r>
      <w:r w:rsidRPr="00536200">
        <w:rPr>
          <w:rFonts w:ascii="Simplified Arabic" w:hAnsi="Simplified Arabic" w:cs="Simplified Arabic"/>
          <w:color w:val="auto"/>
          <w:kern w:val="0"/>
          <w:sz w:val="26"/>
          <w:szCs w:val="26"/>
          <w:rtl/>
          <w:lang w:bidi="ar-JO"/>
          <w14:ligatures w14:val="none"/>
        </w:rPr>
        <w:t>)، والد</w:t>
      </w:r>
      <w:r w:rsidRPr="00536200">
        <w:rPr>
          <w:rFonts w:ascii="Simplified Arabic" w:hAnsi="Simplified Arabic" w:cs="Simplified Arabic" w:hint="cs"/>
          <w:color w:val="auto"/>
          <w:kern w:val="0"/>
          <w:sz w:val="26"/>
          <w:szCs w:val="26"/>
          <w:rtl/>
          <w:lang w:bidi="ar-JO"/>
          <w14:ligatures w14:val="none"/>
        </w:rPr>
        <w:t>ّ</w:t>
      </w:r>
      <w:r w:rsidRPr="00536200">
        <w:rPr>
          <w:rFonts w:ascii="Simplified Arabic" w:hAnsi="Simplified Arabic" w:cs="Simplified Arabic"/>
          <w:color w:val="auto"/>
          <w:kern w:val="0"/>
          <w:sz w:val="26"/>
          <w:szCs w:val="26"/>
          <w:rtl/>
          <w:lang w:bidi="ar-JO"/>
          <w14:ligatures w14:val="none"/>
        </w:rPr>
        <w:t>كتوراة في الفلسفة في الل</w:t>
      </w:r>
      <w:r w:rsidRPr="00536200">
        <w:rPr>
          <w:rFonts w:ascii="Simplified Arabic" w:hAnsi="Simplified Arabic" w:cs="Simplified Arabic" w:hint="cs"/>
          <w:color w:val="auto"/>
          <w:kern w:val="0"/>
          <w:sz w:val="26"/>
          <w:szCs w:val="26"/>
          <w:rtl/>
          <w:lang w:bidi="ar-JO"/>
          <w14:ligatures w14:val="none"/>
        </w:rPr>
        <w:t>ّ</w:t>
      </w:r>
      <w:r w:rsidRPr="00536200">
        <w:rPr>
          <w:rFonts w:ascii="Simplified Arabic" w:hAnsi="Simplified Arabic" w:cs="Simplified Arabic"/>
          <w:color w:val="auto"/>
          <w:kern w:val="0"/>
          <w:sz w:val="26"/>
          <w:szCs w:val="26"/>
          <w:rtl/>
          <w:lang w:bidi="ar-JO"/>
          <w14:ligatures w14:val="none"/>
        </w:rPr>
        <w:t xml:space="preserve">غة العبرية ودراسات العهد القديم. الدكتور تانر متمكّن </w:t>
      </w:r>
      <w:r w:rsidRPr="00536200">
        <w:rPr>
          <w:rFonts w:ascii="Simplified Arabic" w:hAnsi="Simplified Arabic" w:cs="Simplified Arabic" w:hint="cs"/>
          <w:color w:val="auto"/>
          <w:kern w:val="0"/>
          <w:sz w:val="26"/>
          <w:szCs w:val="26"/>
          <w:rtl/>
          <w:lang w:bidi="ar-JO"/>
          <w14:ligatures w14:val="none"/>
        </w:rPr>
        <w:t xml:space="preserve">من </w:t>
      </w:r>
      <w:r w:rsidRPr="00536200">
        <w:rPr>
          <w:rFonts w:ascii="Simplified Arabic" w:hAnsi="Simplified Arabic" w:cs="Simplified Arabic"/>
          <w:color w:val="auto"/>
          <w:kern w:val="0"/>
          <w:sz w:val="26"/>
          <w:szCs w:val="26"/>
          <w:rtl/>
          <w:lang w:bidi="ar-JO"/>
          <w14:ligatures w14:val="none"/>
        </w:rPr>
        <w:t>الل</w:t>
      </w:r>
      <w:r w:rsidRPr="00536200">
        <w:rPr>
          <w:rFonts w:ascii="Simplified Arabic" w:hAnsi="Simplified Arabic" w:cs="Simplified Arabic" w:hint="cs"/>
          <w:color w:val="auto"/>
          <w:kern w:val="0"/>
          <w:sz w:val="26"/>
          <w:szCs w:val="26"/>
          <w:rtl/>
          <w:lang w:bidi="ar-JO"/>
          <w14:ligatures w14:val="none"/>
        </w:rPr>
        <w:t>ّ</w:t>
      </w:r>
      <w:r w:rsidRPr="00536200">
        <w:rPr>
          <w:rFonts w:ascii="Simplified Arabic" w:hAnsi="Simplified Arabic" w:cs="Simplified Arabic"/>
          <w:color w:val="auto"/>
          <w:kern w:val="0"/>
          <w:sz w:val="26"/>
          <w:szCs w:val="26"/>
          <w:rtl/>
          <w:lang w:bidi="ar-JO"/>
          <w14:ligatures w14:val="none"/>
        </w:rPr>
        <w:t>غات العبري</w:t>
      </w:r>
      <w:r w:rsidRPr="00536200">
        <w:rPr>
          <w:rFonts w:ascii="Simplified Arabic" w:hAnsi="Simplified Arabic" w:cs="Simplified Arabic" w:hint="cs"/>
          <w:color w:val="auto"/>
          <w:kern w:val="0"/>
          <w:sz w:val="26"/>
          <w:szCs w:val="26"/>
          <w:rtl/>
          <w:lang w:bidi="ar-JO"/>
          <w14:ligatures w14:val="none"/>
        </w:rPr>
        <w:t>ّ</w:t>
      </w:r>
      <w:r w:rsidRPr="00536200">
        <w:rPr>
          <w:rFonts w:ascii="Simplified Arabic" w:hAnsi="Simplified Arabic" w:cs="Simplified Arabic"/>
          <w:color w:val="auto"/>
          <w:kern w:val="0"/>
          <w:sz w:val="26"/>
          <w:szCs w:val="26"/>
          <w:rtl/>
          <w:lang w:bidi="ar-JO"/>
          <w14:ligatures w14:val="none"/>
        </w:rPr>
        <w:t xml:space="preserve">ة والآرامية واليونانية، وله أكثر من أربعين سنة </w:t>
      </w:r>
      <w:r w:rsidRPr="00536200">
        <w:rPr>
          <w:rFonts w:ascii="Simplified Arabic" w:hAnsi="Simplified Arabic" w:cs="Simplified Arabic" w:hint="cs"/>
          <w:color w:val="auto"/>
          <w:kern w:val="0"/>
          <w:sz w:val="26"/>
          <w:szCs w:val="26"/>
          <w:rtl/>
          <w:lang w:bidi="ar-JO"/>
          <w14:ligatures w14:val="none"/>
        </w:rPr>
        <w:t>في خدمة تعليم</w:t>
      </w:r>
      <w:r w:rsidRPr="00536200">
        <w:rPr>
          <w:rFonts w:ascii="Simplified Arabic" w:hAnsi="Simplified Arabic" w:cs="Simplified Arabic"/>
          <w:color w:val="auto"/>
          <w:kern w:val="0"/>
          <w:sz w:val="26"/>
          <w:szCs w:val="26"/>
          <w:rtl/>
          <w:lang w:bidi="ar-JO"/>
          <w14:ligatures w14:val="none"/>
        </w:rPr>
        <w:t xml:space="preserve"> الكتاب المُقدَّس في كلّيّات لاهوت مختلفة حول العالم. كتب العديد من المقالات </w:t>
      </w:r>
      <w:r w:rsidRPr="00536200">
        <w:rPr>
          <w:rFonts w:ascii="Simplified Arabic" w:hAnsi="Simplified Arabic" w:cs="Simplified Arabic" w:hint="cs"/>
          <w:color w:val="auto"/>
          <w:kern w:val="0"/>
          <w:sz w:val="26"/>
          <w:szCs w:val="26"/>
          <w:rtl/>
          <w:lang w:bidi="ar-JO"/>
          <w14:ligatures w14:val="none"/>
        </w:rPr>
        <w:t xml:space="preserve">المنشورة </w:t>
      </w:r>
      <w:r w:rsidRPr="00536200">
        <w:rPr>
          <w:rFonts w:ascii="Simplified Arabic" w:hAnsi="Simplified Arabic" w:cs="Simplified Arabic"/>
          <w:color w:val="auto"/>
          <w:kern w:val="0"/>
          <w:sz w:val="26"/>
          <w:szCs w:val="26"/>
          <w:rtl/>
          <w:lang w:bidi="ar-JO"/>
          <w14:ligatures w14:val="none"/>
        </w:rPr>
        <w:t>في الدوريّات المسيحية المتخصِّصة، وعدّة مساقاتٍ لخدمة "الت</w:t>
      </w:r>
      <w:r w:rsidRPr="00536200">
        <w:rPr>
          <w:rFonts w:ascii="Simplified Arabic" w:hAnsi="Simplified Arabic" w:cs="Simplified Arabic" w:hint="cs"/>
          <w:color w:val="auto"/>
          <w:kern w:val="0"/>
          <w:sz w:val="26"/>
          <w:szCs w:val="26"/>
          <w:rtl/>
          <w:lang w:bidi="ar-JO"/>
          <w14:ligatures w14:val="none"/>
        </w:rPr>
        <w:t>ّ</w:t>
      </w:r>
      <w:r w:rsidRPr="00536200">
        <w:rPr>
          <w:rFonts w:ascii="Simplified Arabic" w:hAnsi="Simplified Arabic" w:cs="Simplified Arabic"/>
          <w:color w:val="auto"/>
          <w:kern w:val="0"/>
          <w:sz w:val="26"/>
          <w:szCs w:val="26"/>
          <w:rtl/>
          <w:lang w:bidi="ar-JO"/>
          <w14:ligatures w14:val="none"/>
        </w:rPr>
        <w:t>عليم الكتابي بالامتداد" (</w:t>
      </w:r>
      <w:r w:rsidRPr="00536200">
        <w:rPr>
          <w:rFonts w:ascii="Simplified Arabic" w:hAnsi="Simplified Arabic" w:cs="Simplified Arabic"/>
          <w:color w:val="auto"/>
          <w:kern w:val="0"/>
          <w:sz w:val="26"/>
          <w:szCs w:val="26"/>
          <w:lang w:bidi="ar-JO"/>
          <w14:ligatures w14:val="none"/>
        </w:rPr>
        <w:t>BEE</w:t>
      </w:r>
      <w:r w:rsidRPr="00536200">
        <w:rPr>
          <w:rFonts w:ascii="Simplified Arabic" w:hAnsi="Simplified Arabic" w:cs="Simplified Arabic"/>
          <w:color w:val="auto"/>
          <w:kern w:val="0"/>
          <w:sz w:val="26"/>
          <w:szCs w:val="26"/>
          <w:rtl/>
          <w:lang w:bidi="ar-JO"/>
          <w14:ligatures w14:val="none"/>
        </w:rPr>
        <w:t>). كما أنّه كتب تفسيرًا معمّقًا لسفر دانيال ضمن سلسلة "الت</w:t>
      </w:r>
      <w:r w:rsidRPr="00536200">
        <w:rPr>
          <w:rFonts w:ascii="Simplified Arabic" w:hAnsi="Simplified Arabic" w:cs="Simplified Arabic" w:hint="cs"/>
          <w:color w:val="auto"/>
          <w:kern w:val="0"/>
          <w:sz w:val="26"/>
          <w:szCs w:val="26"/>
          <w:rtl/>
          <w:lang w:bidi="ar-JO"/>
          <w14:ligatures w14:val="none"/>
        </w:rPr>
        <w:t>ّ</w:t>
      </w:r>
      <w:r w:rsidRPr="00536200">
        <w:rPr>
          <w:rFonts w:ascii="Simplified Arabic" w:hAnsi="Simplified Arabic" w:cs="Simplified Arabic"/>
          <w:color w:val="auto"/>
          <w:kern w:val="0"/>
          <w:sz w:val="26"/>
          <w:szCs w:val="26"/>
          <w:rtl/>
          <w:lang w:bidi="ar-JO"/>
          <w14:ligatures w14:val="none"/>
        </w:rPr>
        <w:t>فسير الاستقصائي الإنجيلي</w:t>
      </w:r>
      <w:r w:rsidRPr="00536200">
        <w:rPr>
          <w:rFonts w:ascii="Simplified Arabic" w:hAnsi="Simplified Arabic" w:cs="Simplified Arabic" w:hint="cs"/>
          <w:color w:val="auto"/>
          <w:kern w:val="0"/>
          <w:sz w:val="26"/>
          <w:szCs w:val="26"/>
          <w:rtl/>
          <w:lang w:bidi="ar-JO"/>
          <w14:ligatures w14:val="none"/>
        </w:rPr>
        <w:t>ّ</w:t>
      </w:r>
      <w:r w:rsidRPr="00536200">
        <w:rPr>
          <w:rFonts w:ascii="Simplified Arabic" w:hAnsi="Simplified Arabic" w:cs="Simplified Arabic"/>
          <w:color w:val="auto"/>
          <w:kern w:val="0"/>
          <w:sz w:val="26"/>
          <w:szCs w:val="26"/>
          <w:rtl/>
          <w:lang w:bidi="ar-JO"/>
          <w14:ligatures w14:val="none"/>
        </w:rPr>
        <w:t>" (</w:t>
      </w:r>
      <w:r w:rsidRPr="00536200">
        <w:rPr>
          <w:rFonts w:ascii="Simplified Arabic" w:hAnsi="Simplified Arabic" w:cs="Simplified Arabic"/>
          <w:color w:val="auto"/>
          <w:kern w:val="0"/>
          <w:sz w:val="26"/>
          <w:szCs w:val="26"/>
          <w:lang w:bidi="ar-JO"/>
          <w14:ligatures w14:val="none"/>
        </w:rPr>
        <w:t>Evangelical Exegetical Commentary</w:t>
      </w:r>
      <w:r w:rsidRPr="00536200">
        <w:rPr>
          <w:rFonts w:ascii="Simplified Arabic" w:hAnsi="Simplified Arabic" w:cs="Simplified Arabic"/>
          <w:color w:val="auto"/>
          <w:kern w:val="0"/>
          <w:sz w:val="26"/>
          <w:szCs w:val="26"/>
          <w:rtl/>
          <w:lang w:bidi="ar-JO"/>
          <w14:ligatures w14:val="none"/>
        </w:rPr>
        <w:t>) الذي تمّ إصداره بالتعاون مع "برمجي</w:t>
      </w:r>
      <w:r w:rsidRPr="00536200">
        <w:rPr>
          <w:rFonts w:ascii="Simplified Arabic" w:hAnsi="Simplified Arabic" w:cs="Simplified Arabic" w:hint="cs"/>
          <w:color w:val="auto"/>
          <w:kern w:val="0"/>
          <w:sz w:val="26"/>
          <w:szCs w:val="26"/>
          <w:rtl/>
          <w:lang w:bidi="ar-JO"/>
          <w14:ligatures w14:val="none"/>
        </w:rPr>
        <w:t>ّ</w:t>
      </w:r>
      <w:r w:rsidRPr="00536200">
        <w:rPr>
          <w:rFonts w:ascii="Simplified Arabic" w:hAnsi="Simplified Arabic" w:cs="Simplified Arabic"/>
          <w:color w:val="auto"/>
          <w:kern w:val="0"/>
          <w:sz w:val="26"/>
          <w:szCs w:val="26"/>
          <w:rtl/>
          <w:lang w:bidi="ar-JO"/>
          <w14:ligatures w14:val="none"/>
        </w:rPr>
        <w:t>ات الل</w:t>
      </w:r>
      <w:r w:rsidRPr="00536200">
        <w:rPr>
          <w:rFonts w:ascii="Simplified Arabic" w:hAnsi="Simplified Arabic" w:cs="Simplified Arabic" w:hint="cs"/>
          <w:color w:val="auto"/>
          <w:kern w:val="0"/>
          <w:sz w:val="26"/>
          <w:szCs w:val="26"/>
          <w:rtl/>
          <w:lang w:bidi="ar-JO"/>
          <w14:ligatures w14:val="none"/>
        </w:rPr>
        <w:t>ّ</w:t>
      </w:r>
      <w:r w:rsidRPr="00536200">
        <w:rPr>
          <w:rFonts w:ascii="Simplified Arabic" w:hAnsi="Simplified Arabic" w:cs="Simplified Arabic"/>
          <w:color w:val="auto"/>
          <w:kern w:val="0"/>
          <w:sz w:val="26"/>
          <w:szCs w:val="26"/>
          <w:rtl/>
          <w:lang w:bidi="ar-JO"/>
          <w14:ligatures w14:val="none"/>
        </w:rPr>
        <w:t>وغوس للكتاب المُقدَّس" (</w:t>
      </w:r>
      <w:r w:rsidRPr="00536200">
        <w:rPr>
          <w:rFonts w:ascii="Simplified Arabic" w:hAnsi="Simplified Arabic" w:cs="Simplified Arabic"/>
          <w:color w:val="auto"/>
          <w:kern w:val="0"/>
          <w:sz w:val="26"/>
          <w:szCs w:val="26"/>
          <w:lang w:bidi="he-IL"/>
          <w14:ligatures w14:val="none"/>
        </w:rPr>
        <w:t>Logos Bible Software</w:t>
      </w:r>
      <w:r w:rsidRPr="00536200">
        <w:rPr>
          <w:rFonts w:ascii="Simplified Arabic" w:hAnsi="Simplified Arabic" w:cs="Simplified Arabic"/>
          <w:color w:val="auto"/>
          <w:kern w:val="0"/>
          <w:sz w:val="26"/>
          <w:szCs w:val="26"/>
          <w:rtl/>
          <w:lang w:bidi="ar-JO"/>
          <w14:ligatures w14:val="none"/>
        </w:rPr>
        <w:t xml:space="preserve">). </w:t>
      </w:r>
      <w:r w:rsidRPr="00536200">
        <w:rPr>
          <w:rFonts w:ascii="Simplified Arabic" w:hAnsi="Simplified Arabic" w:cs="Simplified Arabic" w:hint="cs"/>
          <w:color w:val="auto"/>
          <w:kern w:val="0"/>
          <w:sz w:val="26"/>
          <w:szCs w:val="26"/>
          <w:rtl/>
          <w:lang w:bidi="ar-JO"/>
          <w14:ligatures w14:val="none"/>
        </w:rPr>
        <w:t xml:space="preserve">وهو في الحاضر العميد الأكاديمي لـ"المركز العربي للدّراسات الكتابيّة". </w:t>
      </w:r>
    </w:p>
    <w:p w14:paraId="11136E89" w14:textId="77777777" w:rsidR="00E32DB7" w:rsidRDefault="00E32DB7" w:rsidP="002D6C54">
      <w:pPr>
        <w:tabs>
          <w:tab w:val="left" w:pos="1572"/>
        </w:tabs>
        <w:spacing w:line="240" w:lineRule="auto"/>
        <w:rPr>
          <w:rFonts w:asciiTheme="majorBidi" w:hAnsiTheme="majorBidi" w:cstheme="majorBidi"/>
          <w:szCs w:val="24"/>
          <w:lang w:bidi="ar-JO"/>
        </w:rPr>
      </w:pPr>
    </w:p>
    <w:p w14:paraId="4340CCE3" w14:textId="77777777" w:rsidR="009B0375" w:rsidRDefault="009B0375" w:rsidP="002D6C54">
      <w:pPr>
        <w:pStyle w:val="Heading3"/>
        <w:spacing w:line="240" w:lineRule="auto"/>
      </w:pPr>
      <w:bookmarkStart w:id="4" w:name="_Toc112646500"/>
      <w:bookmarkStart w:id="5" w:name="_Toc125548801"/>
      <w:r>
        <w:br w:type="page"/>
      </w:r>
    </w:p>
    <w:bookmarkEnd w:id="4"/>
    <w:bookmarkEnd w:id="5"/>
    <w:p w14:paraId="27F1890F" w14:textId="77777777" w:rsidR="00693925" w:rsidRPr="00693925" w:rsidRDefault="00693925" w:rsidP="002D6C54">
      <w:pPr>
        <w:bidi/>
        <w:spacing w:line="240" w:lineRule="auto"/>
        <w:jc w:val="both"/>
        <w:rPr>
          <w:rFonts w:asciiTheme="minorHAnsi" w:hAnsiTheme="minorHAnsi" w:cs="Simplified Arabic"/>
          <w:b/>
          <w:bCs/>
          <w:color w:val="auto"/>
          <w:kern w:val="0"/>
          <w:sz w:val="22"/>
          <w:szCs w:val="36"/>
          <w:rtl/>
          <w:lang w:bidi="ar-JO"/>
          <w14:ligatures w14:val="none"/>
        </w:rPr>
      </w:pPr>
      <w:r w:rsidRPr="00693925">
        <w:rPr>
          <w:rFonts w:asciiTheme="minorHAnsi" w:hAnsiTheme="minorHAnsi" w:cs="Simplified Arabic" w:hint="cs"/>
          <w:b/>
          <w:bCs/>
          <w:color w:val="auto"/>
          <w:kern w:val="0"/>
          <w:sz w:val="22"/>
          <w:szCs w:val="36"/>
          <w:rtl/>
          <w:lang w:bidi="ar-JO"/>
          <w14:ligatures w14:val="none"/>
        </w:rPr>
        <w:lastRenderedPageBreak/>
        <w:t xml:space="preserve">وحدات الدراسة </w:t>
      </w:r>
    </w:p>
    <w:p w14:paraId="47413131" w14:textId="77777777" w:rsidR="00693925" w:rsidRDefault="00693925" w:rsidP="002D6C54">
      <w:pPr>
        <w:spacing w:before="120" w:after="80" w:line="240" w:lineRule="auto"/>
        <w:jc w:val="right"/>
        <w:rPr>
          <w:rFonts w:asciiTheme="minorHAnsi" w:hAnsiTheme="minorHAnsi" w:cs="Simplified Arabic"/>
          <w:color w:val="auto"/>
          <w:kern w:val="0"/>
          <w:sz w:val="22"/>
          <w:szCs w:val="26"/>
          <w:rtl/>
          <w:lang w:bidi="ar-JO"/>
          <w14:ligatures w14:val="none"/>
        </w:rPr>
      </w:pPr>
      <w:r w:rsidRPr="00693925">
        <w:rPr>
          <w:rFonts w:asciiTheme="minorHAnsi" w:hAnsiTheme="minorHAnsi" w:cs="Simplified Arabic" w:hint="cs"/>
          <w:color w:val="auto"/>
          <w:kern w:val="0"/>
          <w:sz w:val="22"/>
          <w:szCs w:val="26"/>
          <w:rtl/>
          <w:lang w:bidi="ar-JO"/>
          <w14:ligatures w14:val="none"/>
        </w:rPr>
        <w:t>يتألَّف المساق من اثني عشر درسًا موزَّعة في أربع وحدات:</w:t>
      </w:r>
    </w:p>
    <w:p w14:paraId="4A141809" w14:textId="50E4B9EB" w:rsidR="00AD7FFD" w:rsidRPr="00AD7FFD" w:rsidRDefault="00AD7FFD" w:rsidP="002D6C54">
      <w:pPr>
        <w:bidi/>
        <w:spacing w:before="120" w:after="80" w:line="240" w:lineRule="auto"/>
        <w:rPr>
          <w:rFonts w:ascii="Simplified Arabic" w:hAnsi="Simplified Arabic" w:cs="Simplified Arabic"/>
          <w:bCs/>
          <w:kern w:val="0"/>
          <w:sz w:val="26"/>
          <w:szCs w:val="26"/>
          <w:rtl/>
          <w14:ligatures w14:val="none"/>
        </w:rPr>
      </w:pPr>
      <w:bookmarkStart w:id="6" w:name="_Hlk178777709"/>
      <w:r w:rsidRPr="00AD7FFD">
        <w:rPr>
          <w:rFonts w:ascii="Simplified Arabic" w:hAnsi="Simplified Arabic" w:cs="Simplified Arabic" w:hint="cs"/>
          <w:bCs/>
          <w:kern w:val="0"/>
          <w:sz w:val="26"/>
          <w:szCs w:val="26"/>
          <w:rtl/>
          <w14:ligatures w14:val="none"/>
        </w:rPr>
        <w:t xml:space="preserve">الوحدة 1: مُقدِّمة وخلفيّة إلى دعوة إبراهيم (تكوين 1: 1 </w:t>
      </w:r>
      <w:r w:rsidRPr="00AD7FFD">
        <w:rPr>
          <w:rFonts w:ascii="Simplified Arabic" w:hAnsi="Simplified Arabic" w:cs="Simplified Arabic"/>
          <w:bCs/>
          <w:kern w:val="0"/>
          <w:sz w:val="26"/>
          <w:szCs w:val="26"/>
          <w:rtl/>
          <w14:ligatures w14:val="none"/>
        </w:rPr>
        <w:t>–</w:t>
      </w:r>
      <w:r w:rsidRPr="00AD7FFD">
        <w:rPr>
          <w:rFonts w:ascii="Simplified Arabic" w:hAnsi="Simplified Arabic" w:cs="Simplified Arabic" w:hint="cs"/>
          <w:bCs/>
          <w:kern w:val="0"/>
          <w:sz w:val="26"/>
          <w:szCs w:val="26"/>
          <w:rtl/>
          <w14:ligatures w14:val="none"/>
        </w:rPr>
        <w:t xml:space="preserve"> 11: 26)</w:t>
      </w:r>
    </w:p>
    <w:p w14:paraId="05245854" w14:textId="696046FE" w:rsidR="00AD7FFD" w:rsidRPr="00AD7FFD" w:rsidRDefault="00AD7FFD" w:rsidP="002D6C54">
      <w:pPr>
        <w:bidi/>
        <w:spacing w:after="0" w:line="240" w:lineRule="auto"/>
        <w:ind w:left="1440" w:hanging="900"/>
        <w:contextualSpacing/>
        <w:rPr>
          <w:rFonts w:ascii="Simplified Arabic" w:hAnsi="Simplified Arabic" w:cs="Simplified Arabic"/>
          <w:b/>
          <w:kern w:val="0"/>
          <w:sz w:val="26"/>
          <w:szCs w:val="26"/>
          <w:rtl/>
          <w14:ligatures w14:val="none"/>
        </w:rPr>
      </w:pPr>
      <w:bookmarkStart w:id="7" w:name="_Hlk120710782"/>
      <w:r w:rsidRPr="00AD7FFD">
        <w:rPr>
          <w:rFonts w:ascii="Simplified Arabic" w:hAnsi="Simplified Arabic" w:cs="Simplified Arabic"/>
          <w:b/>
          <w:kern w:val="0"/>
          <w:sz w:val="26"/>
          <w:szCs w:val="26"/>
          <w:rtl/>
          <w14:ligatures w14:val="none"/>
        </w:rPr>
        <w:t>الدرس 1: مُقدِّمة إلى العهد القديم</w:t>
      </w:r>
    </w:p>
    <w:p w14:paraId="2D905BB6" w14:textId="0C23F4AB" w:rsidR="00AD7FFD" w:rsidRPr="00AD7FFD" w:rsidRDefault="00AD7FFD" w:rsidP="002D6C54">
      <w:pPr>
        <w:bidi/>
        <w:spacing w:after="0" w:line="240" w:lineRule="auto"/>
        <w:ind w:left="1440" w:hanging="900"/>
        <w:contextualSpacing/>
        <w:rPr>
          <w:rFonts w:ascii="Simplified Arabic" w:hAnsi="Simplified Arabic" w:cs="Simplified Arabic"/>
          <w:b/>
          <w:kern w:val="0"/>
          <w:sz w:val="26"/>
          <w:szCs w:val="26"/>
          <w:rtl/>
          <w14:ligatures w14:val="none"/>
        </w:rPr>
      </w:pPr>
      <w:r w:rsidRPr="00AD7FFD">
        <w:rPr>
          <w:rFonts w:ascii="Simplified Arabic" w:hAnsi="Simplified Arabic" w:cs="Simplified Arabic"/>
          <w:b/>
          <w:kern w:val="0"/>
          <w:sz w:val="26"/>
          <w:szCs w:val="26"/>
          <w:rtl/>
          <w14:ligatures w14:val="none"/>
        </w:rPr>
        <w:t>الدرس 2: رواية الخلق (تكوين 1: 1–2: 3)</w:t>
      </w:r>
    </w:p>
    <w:p w14:paraId="6584FF37" w14:textId="317FA41D" w:rsidR="00AD7FFD" w:rsidRPr="00AD7FFD" w:rsidRDefault="00AD7FFD" w:rsidP="002D6C54">
      <w:pPr>
        <w:bidi/>
        <w:spacing w:after="0" w:line="240" w:lineRule="auto"/>
        <w:ind w:left="1440" w:hanging="900"/>
        <w:contextualSpacing/>
        <w:rPr>
          <w:rFonts w:ascii="Simplified Arabic" w:hAnsi="Simplified Arabic" w:cs="Simplified Arabic"/>
          <w:b/>
          <w:kern w:val="0"/>
          <w:sz w:val="26"/>
          <w:szCs w:val="26"/>
          <w:rtl/>
          <w14:ligatures w14:val="none"/>
        </w:rPr>
      </w:pPr>
      <w:bookmarkStart w:id="8" w:name="_Hlk190403607"/>
      <w:r w:rsidRPr="00AD7FFD">
        <w:rPr>
          <w:rFonts w:ascii="Simplified Arabic" w:hAnsi="Simplified Arabic" w:cs="Simplified Arabic"/>
          <w:b/>
          <w:kern w:val="0"/>
          <w:sz w:val="26"/>
          <w:szCs w:val="26"/>
          <w:rtl/>
          <w14:ligatures w14:val="none"/>
        </w:rPr>
        <w:t xml:space="preserve">الدرس 3: </w:t>
      </w:r>
      <w:r w:rsidR="005F258D">
        <w:rPr>
          <w:rFonts w:ascii="Simplified Arabic" w:hAnsi="Simplified Arabic" w:cs="Simplified Arabic" w:hint="cs"/>
          <w:b/>
          <w:kern w:val="0"/>
          <w:sz w:val="26"/>
          <w:szCs w:val="26"/>
          <w:rtl/>
          <w:lang w:bidi="ar-JO"/>
          <w14:ligatures w14:val="none"/>
        </w:rPr>
        <w:t>قصّة</w:t>
      </w:r>
      <w:r w:rsidRPr="00AD7FFD">
        <w:rPr>
          <w:rFonts w:ascii="Simplified Arabic" w:hAnsi="Simplified Arabic" w:cs="Simplified Arabic"/>
          <w:b/>
          <w:kern w:val="0"/>
          <w:sz w:val="26"/>
          <w:szCs w:val="26"/>
          <w:rtl/>
          <w14:ligatures w14:val="none"/>
        </w:rPr>
        <w:t xml:space="preserve"> السقوط وانتشار الخطية والطوفان (تكوين 2: 4: 11: 26)</w:t>
      </w:r>
    </w:p>
    <w:bookmarkEnd w:id="7"/>
    <w:p w14:paraId="483F41FE" w14:textId="5205F0DE" w:rsidR="00AD7FFD" w:rsidRDefault="00AD7FFD" w:rsidP="002D6C54">
      <w:pPr>
        <w:bidi/>
        <w:spacing w:before="120" w:after="80" w:line="240" w:lineRule="auto"/>
        <w:ind w:left="1620" w:hanging="1620"/>
        <w:rPr>
          <w:rFonts w:ascii="Simplified Arabic" w:hAnsi="Simplified Arabic" w:cs="Simplified Arabic"/>
          <w:bCs/>
          <w:kern w:val="0"/>
          <w:sz w:val="26"/>
          <w:szCs w:val="26"/>
          <w:rtl/>
          <w14:ligatures w14:val="none"/>
        </w:rPr>
      </w:pPr>
      <w:r w:rsidRPr="00AD7FFD">
        <w:rPr>
          <w:rFonts w:ascii="Simplified Arabic" w:hAnsi="Simplified Arabic" w:cs="Simplified Arabic"/>
          <w:bCs/>
          <w:kern w:val="0"/>
          <w:sz w:val="26"/>
          <w:szCs w:val="26"/>
          <w:rtl/>
          <w14:ligatures w14:val="none"/>
        </w:rPr>
        <w:t>الوحدة 2: أساس إسرائيل في العهد والشريعة (تكوين 11: 27 – خروج 40: 38)</w:t>
      </w:r>
    </w:p>
    <w:p w14:paraId="2C955E6E" w14:textId="6CFB5365" w:rsidR="00AD7FFD" w:rsidRPr="00AD7FFD" w:rsidRDefault="00AD7FFD" w:rsidP="002D6C54">
      <w:pPr>
        <w:bidi/>
        <w:spacing w:after="0" w:line="240" w:lineRule="auto"/>
        <w:ind w:left="1440" w:hanging="900"/>
        <w:contextualSpacing/>
        <w:rPr>
          <w:rFonts w:ascii="Simplified Arabic" w:hAnsi="Simplified Arabic" w:cs="Simplified Arabic"/>
          <w:b/>
          <w:kern w:val="0"/>
          <w:sz w:val="26"/>
          <w:szCs w:val="26"/>
          <w:rtl/>
          <w14:ligatures w14:val="none"/>
        </w:rPr>
      </w:pPr>
      <w:r w:rsidRPr="00AD7FFD">
        <w:rPr>
          <w:rFonts w:ascii="Simplified Arabic" w:hAnsi="Simplified Arabic" w:cs="Simplified Arabic"/>
          <w:b/>
          <w:kern w:val="0"/>
          <w:sz w:val="26"/>
          <w:szCs w:val="26"/>
          <w:rtl/>
          <w14:ligatures w14:val="none"/>
        </w:rPr>
        <w:t xml:space="preserve">الدرس </w:t>
      </w:r>
      <w:r>
        <w:rPr>
          <w:rFonts w:ascii="Simplified Arabic" w:hAnsi="Simplified Arabic" w:cs="Simplified Arabic" w:hint="cs"/>
          <w:b/>
          <w:kern w:val="0"/>
          <w:sz w:val="26"/>
          <w:szCs w:val="26"/>
          <w:rtl/>
          <w14:ligatures w14:val="none"/>
        </w:rPr>
        <w:t>4</w:t>
      </w:r>
      <w:r w:rsidRPr="00AD7FFD">
        <w:rPr>
          <w:rFonts w:ascii="Simplified Arabic" w:hAnsi="Simplified Arabic" w:cs="Simplified Arabic"/>
          <w:b/>
          <w:kern w:val="0"/>
          <w:sz w:val="26"/>
          <w:szCs w:val="26"/>
          <w:rtl/>
          <w14:ligatures w14:val="none"/>
        </w:rPr>
        <w:t xml:space="preserve">: </w:t>
      </w:r>
      <w:r>
        <w:rPr>
          <w:rFonts w:ascii="Simplified Arabic" w:hAnsi="Simplified Arabic" w:cs="Simplified Arabic" w:hint="cs"/>
          <w:b/>
          <w:kern w:val="0"/>
          <w:sz w:val="26"/>
          <w:szCs w:val="26"/>
          <w:rtl/>
          <w14:ligatures w14:val="none"/>
        </w:rPr>
        <w:t>عهد الله مع إبراهيم وصراعات الآباء (تكوين 11: 27-</w:t>
      </w:r>
      <w:r w:rsidR="006E1FBD">
        <w:rPr>
          <w:rFonts w:ascii="Simplified Arabic" w:hAnsi="Simplified Arabic" w:cs="Simplified Arabic" w:hint="cs"/>
          <w:b/>
          <w:kern w:val="0"/>
          <w:sz w:val="26"/>
          <w:szCs w:val="26"/>
          <w:rtl/>
          <w14:ligatures w14:val="none"/>
        </w:rPr>
        <w:t xml:space="preserve">50: 26) </w:t>
      </w:r>
    </w:p>
    <w:p w14:paraId="79545A14" w14:textId="3EB90FA6" w:rsidR="00AD7FFD" w:rsidRPr="00AD7FFD" w:rsidRDefault="00AD7FFD" w:rsidP="002D6C54">
      <w:pPr>
        <w:bidi/>
        <w:spacing w:after="0" w:line="240" w:lineRule="auto"/>
        <w:ind w:left="1440" w:hanging="900"/>
        <w:contextualSpacing/>
        <w:rPr>
          <w:rFonts w:ascii="Simplified Arabic" w:hAnsi="Simplified Arabic" w:cs="Simplified Arabic"/>
          <w:b/>
          <w:kern w:val="0"/>
          <w:sz w:val="26"/>
          <w:szCs w:val="26"/>
          <w:rtl/>
          <w14:ligatures w14:val="none"/>
        </w:rPr>
      </w:pPr>
      <w:r w:rsidRPr="00AD7FFD">
        <w:rPr>
          <w:rFonts w:ascii="Simplified Arabic" w:hAnsi="Simplified Arabic" w:cs="Simplified Arabic"/>
          <w:b/>
          <w:kern w:val="0"/>
          <w:sz w:val="26"/>
          <w:szCs w:val="26"/>
          <w:rtl/>
          <w14:ligatures w14:val="none"/>
        </w:rPr>
        <w:t xml:space="preserve">الدرس </w:t>
      </w:r>
      <w:r>
        <w:rPr>
          <w:rFonts w:ascii="Simplified Arabic" w:hAnsi="Simplified Arabic" w:cs="Simplified Arabic" w:hint="cs"/>
          <w:b/>
          <w:kern w:val="0"/>
          <w:sz w:val="26"/>
          <w:szCs w:val="26"/>
          <w:rtl/>
          <w14:ligatures w14:val="none"/>
        </w:rPr>
        <w:t>5</w:t>
      </w:r>
      <w:r w:rsidRPr="00AD7FFD">
        <w:rPr>
          <w:rFonts w:ascii="Simplified Arabic" w:hAnsi="Simplified Arabic" w:cs="Simplified Arabic"/>
          <w:b/>
          <w:kern w:val="0"/>
          <w:sz w:val="26"/>
          <w:szCs w:val="26"/>
          <w:rtl/>
          <w14:ligatures w14:val="none"/>
        </w:rPr>
        <w:t>:</w:t>
      </w:r>
      <w:r>
        <w:rPr>
          <w:rFonts w:ascii="Simplified Arabic" w:hAnsi="Simplified Arabic" w:cs="Simplified Arabic" w:hint="cs"/>
          <w:b/>
          <w:kern w:val="0"/>
          <w:sz w:val="26"/>
          <w:szCs w:val="26"/>
          <w:rtl/>
          <w14:ligatures w14:val="none"/>
        </w:rPr>
        <w:t xml:space="preserve"> </w:t>
      </w:r>
      <w:r w:rsidR="006E1FBD">
        <w:rPr>
          <w:rFonts w:ascii="Simplified Arabic" w:hAnsi="Simplified Arabic" w:cs="Simplified Arabic" w:hint="cs"/>
          <w:b/>
          <w:kern w:val="0"/>
          <w:sz w:val="26"/>
          <w:szCs w:val="26"/>
          <w:rtl/>
          <w14:ligatures w14:val="none"/>
        </w:rPr>
        <w:t>تحرير إسرائيل من مصر (خروج 1: 1-18: 27)</w:t>
      </w:r>
    </w:p>
    <w:p w14:paraId="3410B358" w14:textId="3CFDD971" w:rsidR="00AD7FFD" w:rsidRPr="00AD7FFD" w:rsidRDefault="00AD7FFD" w:rsidP="002D6C54">
      <w:pPr>
        <w:bidi/>
        <w:spacing w:after="0" w:line="240" w:lineRule="auto"/>
        <w:ind w:left="1440" w:hanging="900"/>
        <w:contextualSpacing/>
        <w:rPr>
          <w:rFonts w:ascii="Simplified Arabic" w:hAnsi="Simplified Arabic" w:cs="Simplified Arabic"/>
          <w:b/>
          <w:kern w:val="0"/>
          <w:sz w:val="26"/>
          <w:szCs w:val="26"/>
          <w:rtl/>
          <w14:ligatures w14:val="none"/>
        </w:rPr>
      </w:pPr>
      <w:r w:rsidRPr="00AD7FFD">
        <w:rPr>
          <w:rFonts w:ascii="Simplified Arabic" w:hAnsi="Simplified Arabic" w:cs="Simplified Arabic"/>
          <w:b/>
          <w:kern w:val="0"/>
          <w:sz w:val="26"/>
          <w:szCs w:val="26"/>
          <w:rtl/>
          <w14:ligatures w14:val="none"/>
        </w:rPr>
        <w:t xml:space="preserve">الدرس </w:t>
      </w:r>
      <w:r>
        <w:rPr>
          <w:rFonts w:ascii="Simplified Arabic" w:hAnsi="Simplified Arabic" w:cs="Simplified Arabic" w:hint="cs"/>
          <w:b/>
          <w:kern w:val="0"/>
          <w:sz w:val="26"/>
          <w:szCs w:val="26"/>
          <w:rtl/>
          <w14:ligatures w14:val="none"/>
        </w:rPr>
        <w:t>6</w:t>
      </w:r>
      <w:r w:rsidRPr="00AD7FFD">
        <w:rPr>
          <w:rFonts w:ascii="Simplified Arabic" w:hAnsi="Simplified Arabic" w:cs="Simplified Arabic"/>
          <w:b/>
          <w:kern w:val="0"/>
          <w:sz w:val="26"/>
          <w:szCs w:val="26"/>
          <w:rtl/>
          <w14:ligatures w14:val="none"/>
        </w:rPr>
        <w:t xml:space="preserve">: </w:t>
      </w:r>
      <w:r w:rsidR="006E1FBD">
        <w:rPr>
          <w:rFonts w:ascii="Simplified Arabic" w:hAnsi="Simplified Arabic" w:cs="Simplified Arabic" w:hint="cs"/>
          <w:b/>
          <w:kern w:val="0"/>
          <w:sz w:val="26"/>
          <w:szCs w:val="26"/>
          <w:rtl/>
          <w14:ligatures w14:val="none"/>
        </w:rPr>
        <w:t>إعطاء الشريعة وصنع خيمة الاجتماع (خروج 19: 1-40: 38)</w:t>
      </w:r>
    </w:p>
    <w:p w14:paraId="275402BD" w14:textId="72A3128E" w:rsidR="006E1FBD" w:rsidRDefault="006E1FBD" w:rsidP="002D6C54">
      <w:pPr>
        <w:bidi/>
        <w:spacing w:before="120" w:after="80" w:line="240" w:lineRule="auto"/>
        <w:ind w:left="1620" w:hanging="1620"/>
        <w:rPr>
          <w:rFonts w:ascii="Simplified Arabic" w:hAnsi="Simplified Arabic" w:cs="Simplified Arabic"/>
          <w:bCs/>
          <w:kern w:val="0"/>
          <w:sz w:val="26"/>
          <w:szCs w:val="26"/>
          <w:rtl/>
          <w14:ligatures w14:val="none"/>
        </w:rPr>
      </w:pPr>
      <w:bookmarkStart w:id="9" w:name="_Hlk190591417"/>
      <w:bookmarkEnd w:id="8"/>
      <w:r w:rsidRPr="00AD7FFD">
        <w:rPr>
          <w:rFonts w:ascii="Simplified Arabic" w:hAnsi="Simplified Arabic" w:cs="Simplified Arabic"/>
          <w:bCs/>
          <w:kern w:val="0"/>
          <w:sz w:val="26"/>
          <w:szCs w:val="26"/>
          <w:rtl/>
          <w14:ligatures w14:val="none"/>
        </w:rPr>
        <w:t xml:space="preserve">الوحدة </w:t>
      </w:r>
      <w:r>
        <w:rPr>
          <w:rFonts w:ascii="Simplified Arabic" w:hAnsi="Simplified Arabic" w:cs="Simplified Arabic" w:hint="cs"/>
          <w:bCs/>
          <w:kern w:val="0"/>
          <w:sz w:val="26"/>
          <w:szCs w:val="26"/>
          <w:rtl/>
          <w14:ligatures w14:val="none"/>
        </w:rPr>
        <w:t>3</w:t>
      </w:r>
      <w:r w:rsidRPr="00AD7FFD">
        <w:rPr>
          <w:rFonts w:ascii="Simplified Arabic" w:hAnsi="Simplified Arabic" w:cs="Simplified Arabic"/>
          <w:bCs/>
          <w:kern w:val="0"/>
          <w:sz w:val="26"/>
          <w:szCs w:val="26"/>
          <w:rtl/>
          <w14:ligatures w14:val="none"/>
        </w:rPr>
        <w:t xml:space="preserve">: </w:t>
      </w:r>
      <w:r>
        <w:rPr>
          <w:rFonts w:ascii="Simplified Arabic" w:hAnsi="Simplified Arabic" w:cs="Simplified Arabic" w:hint="cs"/>
          <w:bCs/>
          <w:kern w:val="0"/>
          <w:sz w:val="26"/>
          <w:szCs w:val="26"/>
          <w:rtl/>
          <w14:ligatures w14:val="none"/>
        </w:rPr>
        <w:t xml:space="preserve">الإعداد والتجهيز لدخول الأرض (لاويّين </w:t>
      </w:r>
      <w:r>
        <w:rPr>
          <w:rFonts w:ascii="Simplified Arabic" w:hAnsi="Simplified Arabic" w:cs="Simplified Arabic"/>
          <w:bCs/>
          <w:kern w:val="0"/>
          <w:sz w:val="26"/>
          <w:szCs w:val="26"/>
          <w:rtl/>
          <w14:ligatures w14:val="none"/>
        </w:rPr>
        <w:t>–</w:t>
      </w:r>
      <w:r>
        <w:rPr>
          <w:rFonts w:ascii="Simplified Arabic" w:hAnsi="Simplified Arabic" w:cs="Simplified Arabic" w:hint="cs"/>
          <w:bCs/>
          <w:kern w:val="0"/>
          <w:sz w:val="26"/>
          <w:szCs w:val="26"/>
          <w:rtl/>
          <w14:ligatures w14:val="none"/>
        </w:rPr>
        <w:t xml:space="preserve"> تثنية) </w:t>
      </w:r>
    </w:p>
    <w:p w14:paraId="5CF9CCA6" w14:textId="37139D45" w:rsidR="006E1FBD" w:rsidRPr="00AD7FFD" w:rsidRDefault="006E1FBD" w:rsidP="002D6C54">
      <w:pPr>
        <w:bidi/>
        <w:spacing w:after="0" w:line="240" w:lineRule="auto"/>
        <w:ind w:left="1440" w:hanging="900"/>
        <w:contextualSpacing/>
        <w:rPr>
          <w:rFonts w:ascii="Simplified Arabic" w:hAnsi="Simplified Arabic" w:cs="Simplified Arabic"/>
          <w:b/>
          <w:kern w:val="0"/>
          <w:sz w:val="26"/>
          <w:szCs w:val="26"/>
          <w:rtl/>
          <w14:ligatures w14:val="none"/>
        </w:rPr>
      </w:pPr>
      <w:r w:rsidRPr="00AD7FFD">
        <w:rPr>
          <w:rFonts w:ascii="Simplified Arabic" w:hAnsi="Simplified Arabic" w:cs="Simplified Arabic"/>
          <w:b/>
          <w:kern w:val="0"/>
          <w:sz w:val="26"/>
          <w:szCs w:val="26"/>
          <w:rtl/>
          <w14:ligatures w14:val="none"/>
        </w:rPr>
        <w:t xml:space="preserve">الدرس </w:t>
      </w:r>
      <w:r>
        <w:rPr>
          <w:rFonts w:ascii="Simplified Arabic" w:hAnsi="Simplified Arabic" w:cs="Simplified Arabic" w:hint="cs"/>
          <w:b/>
          <w:kern w:val="0"/>
          <w:sz w:val="26"/>
          <w:szCs w:val="26"/>
          <w:rtl/>
          <w14:ligatures w14:val="none"/>
        </w:rPr>
        <w:t>7</w:t>
      </w:r>
      <w:r w:rsidRPr="00AD7FFD">
        <w:rPr>
          <w:rFonts w:ascii="Simplified Arabic" w:hAnsi="Simplified Arabic" w:cs="Simplified Arabic"/>
          <w:b/>
          <w:kern w:val="0"/>
          <w:sz w:val="26"/>
          <w:szCs w:val="26"/>
          <w:rtl/>
          <w14:ligatures w14:val="none"/>
        </w:rPr>
        <w:t xml:space="preserve">: </w:t>
      </w:r>
      <w:r>
        <w:rPr>
          <w:rFonts w:ascii="Simplified Arabic" w:hAnsi="Simplified Arabic" w:cs="Simplified Arabic" w:hint="cs"/>
          <w:b/>
          <w:kern w:val="0"/>
          <w:sz w:val="26"/>
          <w:szCs w:val="26"/>
          <w:rtl/>
          <w14:ligatures w14:val="none"/>
        </w:rPr>
        <w:t xml:space="preserve">ذبائح وأعياد عبادات العهد القديم (لاويين 1-23) </w:t>
      </w:r>
    </w:p>
    <w:p w14:paraId="762CDAC9" w14:textId="414D15A7" w:rsidR="006E1FBD" w:rsidRPr="00AD7FFD" w:rsidRDefault="006E1FBD" w:rsidP="002D6C54">
      <w:pPr>
        <w:bidi/>
        <w:spacing w:after="0" w:line="240" w:lineRule="auto"/>
        <w:ind w:left="1440" w:hanging="900"/>
        <w:contextualSpacing/>
        <w:rPr>
          <w:rFonts w:ascii="Simplified Arabic" w:hAnsi="Simplified Arabic" w:cs="Simplified Arabic"/>
          <w:b/>
          <w:kern w:val="0"/>
          <w:sz w:val="26"/>
          <w:szCs w:val="26"/>
          <w:rtl/>
          <w14:ligatures w14:val="none"/>
        </w:rPr>
      </w:pPr>
      <w:r w:rsidRPr="00AD7FFD">
        <w:rPr>
          <w:rFonts w:ascii="Simplified Arabic" w:hAnsi="Simplified Arabic" w:cs="Simplified Arabic"/>
          <w:b/>
          <w:kern w:val="0"/>
          <w:sz w:val="26"/>
          <w:szCs w:val="26"/>
          <w:rtl/>
          <w14:ligatures w14:val="none"/>
        </w:rPr>
        <w:t xml:space="preserve">الدرس </w:t>
      </w:r>
      <w:r>
        <w:rPr>
          <w:rFonts w:ascii="Simplified Arabic" w:hAnsi="Simplified Arabic" w:cs="Simplified Arabic" w:hint="cs"/>
          <w:b/>
          <w:kern w:val="0"/>
          <w:sz w:val="26"/>
          <w:szCs w:val="26"/>
          <w:rtl/>
          <w14:ligatures w14:val="none"/>
        </w:rPr>
        <w:t>8</w:t>
      </w:r>
      <w:r w:rsidRPr="00AD7FFD">
        <w:rPr>
          <w:rFonts w:ascii="Simplified Arabic" w:hAnsi="Simplified Arabic" w:cs="Simplified Arabic"/>
          <w:b/>
          <w:kern w:val="0"/>
          <w:sz w:val="26"/>
          <w:szCs w:val="26"/>
          <w:rtl/>
          <w14:ligatures w14:val="none"/>
        </w:rPr>
        <w:t>:</w:t>
      </w:r>
      <w:r>
        <w:rPr>
          <w:rFonts w:ascii="Simplified Arabic" w:hAnsi="Simplified Arabic" w:cs="Simplified Arabic" w:hint="cs"/>
          <w:b/>
          <w:kern w:val="0"/>
          <w:sz w:val="26"/>
          <w:szCs w:val="26"/>
          <w:rtl/>
          <w14:ligatures w14:val="none"/>
        </w:rPr>
        <w:t xml:space="preserve"> سنوات البرّيّة الأربعون (سفر العدد 1-36) </w:t>
      </w:r>
    </w:p>
    <w:p w14:paraId="31D25319" w14:textId="5E286DED" w:rsidR="006E1FBD" w:rsidRDefault="006E1FBD" w:rsidP="002D6C54">
      <w:pPr>
        <w:bidi/>
        <w:spacing w:after="0" w:line="240" w:lineRule="auto"/>
        <w:ind w:left="1440" w:hanging="900"/>
        <w:contextualSpacing/>
        <w:rPr>
          <w:rFonts w:ascii="Simplified Arabic" w:hAnsi="Simplified Arabic" w:cs="Simplified Arabic"/>
          <w:b/>
          <w:kern w:val="0"/>
          <w:sz w:val="26"/>
          <w:szCs w:val="26"/>
          <w:rtl/>
          <w:lang w:bidi="ar-JO"/>
          <w14:ligatures w14:val="none"/>
        </w:rPr>
      </w:pPr>
      <w:r w:rsidRPr="00AD7FFD">
        <w:rPr>
          <w:rFonts w:ascii="Simplified Arabic" w:hAnsi="Simplified Arabic" w:cs="Simplified Arabic"/>
          <w:b/>
          <w:kern w:val="0"/>
          <w:sz w:val="26"/>
          <w:szCs w:val="26"/>
          <w:rtl/>
          <w14:ligatures w14:val="none"/>
        </w:rPr>
        <w:t xml:space="preserve">الدرس </w:t>
      </w:r>
      <w:r>
        <w:rPr>
          <w:rFonts w:ascii="Simplified Arabic" w:hAnsi="Simplified Arabic" w:cs="Simplified Arabic" w:hint="cs"/>
          <w:b/>
          <w:kern w:val="0"/>
          <w:sz w:val="26"/>
          <w:szCs w:val="26"/>
          <w:rtl/>
          <w14:ligatures w14:val="none"/>
        </w:rPr>
        <w:t>9</w:t>
      </w:r>
      <w:r w:rsidRPr="00AD7FFD">
        <w:rPr>
          <w:rFonts w:ascii="Simplified Arabic" w:hAnsi="Simplified Arabic" w:cs="Simplified Arabic"/>
          <w:b/>
          <w:kern w:val="0"/>
          <w:sz w:val="26"/>
          <w:szCs w:val="26"/>
          <w:rtl/>
          <w14:ligatures w14:val="none"/>
        </w:rPr>
        <w:t xml:space="preserve">: </w:t>
      </w:r>
      <w:r w:rsidR="008D3B26">
        <w:rPr>
          <w:rFonts w:ascii="Simplified Arabic" w:hAnsi="Simplified Arabic" w:cs="Simplified Arabic" w:hint="cs"/>
          <w:b/>
          <w:kern w:val="0"/>
          <w:sz w:val="26"/>
          <w:szCs w:val="26"/>
          <w:rtl/>
          <w:lang w:bidi="ar-JO"/>
          <w14:ligatures w14:val="none"/>
        </w:rPr>
        <w:t>توصية الجيل الجديد (تثنية 1-34)</w:t>
      </w:r>
    </w:p>
    <w:bookmarkEnd w:id="9"/>
    <w:p w14:paraId="45C0E497" w14:textId="461B9556" w:rsidR="008D3B26" w:rsidRDefault="008D3B26" w:rsidP="002D6C54">
      <w:pPr>
        <w:bidi/>
        <w:spacing w:before="120" w:after="80" w:line="240" w:lineRule="auto"/>
        <w:ind w:left="1620" w:hanging="1620"/>
        <w:rPr>
          <w:rFonts w:ascii="Simplified Arabic" w:hAnsi="Simplified Arabic" w:cs="Simplified Arabic"/>
          <w:bCs/>
          <w:kern w:val="0"/>
          <w:sz w:val="26"/>
          <w:szCs w:val="26"/>
          <w:rtl/>
          <w14:ligatures w14:val="none"/>
        </w:rPr>
      </w:pPr>
      <w:r w:rsidRPr="00AD7FFD">
        <w:rPr>
          <w:rFonts w:ascii="Simplified Arabic" w:hAnsi="Simplified Arabic" w:cs="Simplified Arabic"/>
          <w:bCs/>
          <w:kern w:val="0"/>
          <w:sz w:val="26"/>
          <w:szCs w:val="26"/>
          <w:rtl/>
          <w14:ligatures w14:val="none"/>
        </w:rPr>
        <w:t xml:space="preserve">الوحدة </w:t>
      </w:r>
      <w:r>
        <w:rPr>
          <w:rFonts w:ascii="Simplified Arabic" w:hAnsi="Simplified Arabic" w:cs="Simplified Arabic" w:hint="cs"/>
          <w:bCs/>
          <w:kern w:val="0"/>
          <w:sz w:val="26"/>
          <w:szCs w:val="26"/>
          <w:rtl/>
          <w14:ligatures w14:val="none"/>
        </w:rPr>
        <w:t>4</w:t>
      </w:r>
      <w:r w:rsidRPr="00AD7FFD">
        <w:rPr>
          <w:rFonts w:ascii="Simplified Arabic" w:hAnsi="Simplified Arabic" w:cs="Simplified Arabic"/>
          <w:bCs/>
          <w:kern w:val="0"/>
          <w:sz w:val="26"/>
          <w:szCs w:val="26"/>
          <w:rtl/>
          <w14:ligatures w14:val="none"/>
        </w:rPr>
        <w:t xml:space="preserve">: </w:t>
      </w:r>
      <w:r>
        <w:rPr>
          <w:rFonts w:ascii="Simplified Arabic" w:hAnsi="Simplified Arabic" w:cs="Simplified Arabic" w:hint="cs"/>
          <w:bCs/>
          <w:kern w:val="0"/>
          <w:sz w:val="26"/>
          <w:szCs w:val="26"/>
          <w:rtl/>
          <w14:ligatures w14:val="none"/>
        </w:rPr>
        <w:t xml:space="preserve">فتح الأرض والصراعات في أرض الموعد (يشوع </w:t>
      </w:r>
      <w:r>
        <w:rPr>
          <w:rFonts w:ascii="Simplified Arabic" w:hAnsi="Simplified Arabic" w:cs="Simplified Arabic"/>
          <w:bCs/>
          <w:kern w:val="0"/>
          <w:sz w:val="26"/>
          <w:szCs w:val="26"/>
          <w:rtl/>
          <w14:ligatures w14:val="none"/>
        </w:rPr>
        <w:t>–</w:t>
      </w:r>
      <w:r>
        <w:rPr>
          <w:rFonts w:ascii="Simplified Arabic" w:hAnsi="Simplified Arabic" w:cs="Simplified Arabic" w:hint="cs"/>
          <w:bCs/>
          <w:kern w:val="0"/>
          <w:sz w:val="26"/>
          <w:szCs w:val="26"/>
          <w:rtl/>
          <w14:ligatures w14:val="none"/>
        </w:rPr>
        <w:t xml:space="preserve"> راعوث)</w:t>
      </w:r>
    </w:p>
    <w:p w14:paraId="140E3C57" w14:textId="500FA9C9" w:rsidR="008D3B26" w:rsidRPr="00AD7FFD" w:rsidRDefault="008D3B26" w:rsidP="002D6C54">
      <w:pPr>
        <w:bidi/>
        <w:spacing w:after="0" w:line="240" w:lineRule="auto"/>
        <w:ind w:left="1440" w:hanging="900"/>
        <w:contextualSpacing/>
        <w:rPr>
          <w:rFonts w:ascii="Simplified Arabic" w:hAnsi="Simplified Arabic" w:cs="Simplified Arabic"/>
          <w:b/>
          <w:kern w:val="0"/>
          <w:sz w:val="26"/>
          <w:szCs w:val="26"/>
          <w:rtl/>
          <w14:ligatures w14:val="none"/>
        </w:rPr>
      </w:pPr>
      <w:r w:rsidRPr="00AD7FFD">
        <w:rPr>
          <w:rFonts w:ascii="Simplified Arabic" w:hAnsi="Simplified Arabic" w:cs="Simplified Arabic"/>
          <w:b/>
          <w:kern w:val="0"/>
          <w:sz w:val="26"/>
          <w:szCs w:val="26"/>
          <w:rtl/>
          <w14:ligatures w14:val="none"/>
        </w:rPr>
        <w:t xml:space="preserve">الدرس </w:t>
      </w:r>
      <w:r>
        <w:rPr>
          <w:rFonts w:ascii="Simplified Arabic" w:hAnsi="Simplified Arabic" w:cs="Simplified Arabic" w:hint="cs"/>
          <w:b/>
          <w:kern w:val="0"/>
          <w:sz w:val="26"/>
          <w:szCs w:val="26"/>
          <w:rtl/>
          <w14:ligatures w14:val="none"/>
        </w:rPr>
        <w:t>10</w:t>
      </w:r>
      <w:r w:rsidRPr="00AD7FFD">
        <w:rPr>
          <w:rFonts w:ascii="Simplified Arabic" w:hAnsi="Simplified Arabic" w:cs="Simplified Arabic"/>
          <w:b/>
          <w:kern w:val="0"/>
          <w:sz w:val="26"/>
          <w:szCs w:val="26"/>
          <w:rtl/>
          <w14:ligatures w14:val="none"/>
        </w:rPr>
        <w:t xml:space="preserve">: </w:t>
      </w:r>
      <w:r w:rsidR="00BB54DC">
        <w:rPr>
          <w:rFonts w:ascii="Simplified Arabic" w:hAnsi="Simplified Arabic" w:cs="Simplified Arabic" w:hint="cs"/>
          <w:b/>
          <w:kern w:val="0"/>
          <w:sz w:val="26"/>
          <w:szCs w:val="26"/>
          <w:rtl/>
          <w14:ligatures w14:val="none"/>
        </w:rPr>
        <w:t xml:space="preserve">فتح الأرض وتوزيعها على الأسباط (يشوع 1-24) </w:t>
      </w:r>
    </w:p>
    <w:p w14:paraId="012D9406" w14:textId="44A7AC9D" w:rsidR="008D3B26" w:rsidRPr="00AD7FFD" w:rsidRDefault="008D3B26" w:rsidP="002D6C54">
      <w:pPr>
        <w:bidi/>
        <w:spacing w:after="0" w:line="240" w:lineRule="auto"/>
        <w:ind w:left="1440" w:hanging="900"/>
        <w:contextualSpacing/>
        <w:rPr>
          <w:rFonts w:ascii="Simplified Arabic" w:hAnsi="Simplified Arabic" w:cs="Simplified Arabic"/>
          <w:b/>
          <w:kern w:val="0"/>
          <w:sz w:val="26"/>
          <w:szCs w:val="26"/>
          <w:rtl/>
          <w14:ligatures w14:val="none"/>
        </w:rPr>
      </w:pPr>
      <w:r w:rsidRPr="00AD7FFD">
        <w:rPr>
          <w:rFonts w:ascii="Simplified Arabic" w:hAnsi="Simplified Arabic" w:cs="Simplified Arabic"/>
          <w:b/>
          <w:kern w:val="0"/>
          <w:sz w:val="26"/>
          <w:szCs w:val="26"/>
          <w:rtl/>
          <w14:ligatures w14:val="none"/>
        </w:rPr>
        <w:t xml:space="preserve">الدرس </w:t>
      </w:r>
      <w:r>
        <w:rPr>
          <w:rFonts w:ascii="Simplified Arabic" w:hAnsi="Simplified Arabic" w:cs="Simplified Arabic" w:hint="cs"/>
          <w:b/>
          <w:kern w:val="0"/>
          <w:sz w:val="26"/>
          <w:szCs w:val="26"/>
          <w:rtl/>
          <w14:ligatures w14:val="none"/>
        </w:rPr>
        <w:t>11</w:t>
      </w:r>
      <w:r w:rsidRPr="00AD7FFD">
        <w:rPr>
          <w:rFonts w:ascii="Simplified Arabic" w:hAnsi="Simplified Arabic" w:cs="Simplified Arabic"/>
          <w:b/>
          <w:kern w:val="0"/>
          <w:sz w:val="26"/>
          <w:szCs w:val="26"/>
          <w:rtl/>
          <w14:ligatures w14:val="none"/>
        </w:rPr>
        <w:t>:</w:t>
      </w:r>
      <w:r>
        <w:rPr>
          <w:rFonts w:ascii="Simplified Arabic" w:hAnsi="Simplified Arabic" w:cs="Simplified Arabic" w:hint="cs"/>
          <w:b/>
          <w:kern w:val="0"/>
          <w:sz w:val="26"/>
          <w:szCs w:val="26"/>
          <w:rtl/>
          <w14:ligatures w14:val="none"/>
        </w:rPr>
        <w:t xml:space="preserve"> </w:t>
      </w:r>
      <w:r w:rsidR="00BB54DC">
        <w:rPr>
          <w:rFonts w:ascii="Simplified Arabic" w:hAnsi="Simplified Arabic" w:cs="Simplified Arabic" w:hint="cs"/>
          <w:b/>
          <w:kern w:val="0"/>
          <w:sz w:val="26"/>
          <w:szCs w:val="26"/>
          <w:rtl/>
          <w14:ligatures w14:val="none"/>
        </w:rPr>
        <w:t>ضلال إسرائيل في فترة القضاة (قضاة 1-21)</w:t>
      </w:r>
    </w:p>
    <w:p w14:paraId="4C94696B" w14:textId="6891CDD9" w:rsidR="008D3B26" w:rsidRDefault="008D3B26" w:rsidP="002D6C54">
      <w:pPr>
        <w:bidi/>
        <w:spacing w:after="0" w:line="240" w:lineRule="auto"/>
        <w:ind w:left="1440" w:hanging="900"/>
        <w:contextualSpacing/>
        <w:rPr>
          <w:rFonts w:ascii="Simplified Arabic" w:hAnsi="Simplified Arabic" w:cs="Simplified Arabic"/>
          <w:b/>
          <w:kern w:val="0"/>
          <w:sz w:val="26"/>
          <w:szCs w:val="26"/>
          <w:rtl/>
          <w14:ligatures w14:val="none"/>
        </w:rPr>
      </w:pPr>
      <w:r w:rsidRPr="00AD7FFD">
        <w:rPr>
          <w:rFonts w:ascii="Simplified Arabic" w:hAnsi="Simplified Arabic" w:cs="Simplified Arabic"/>
          <w:b/>
          <w:kern w:val="0"/>
          <w:sz w:val="26"/>
          <w:szCs w:val="26"/>
          <w:rtl/>
          <w14:ligatures w14:val="none"/>
        </w:rPr>
        <w:t xml:space="preserve">الدرس </w:t>
      </w:r>
      <w:r>
        <w:rPr>
          <w:rFonts w:ascii="Simplified Arabic" w:hAnsi="Simplified Arabic" w:cs="Simplified Arabic" w:hint="cs"/>
          <w:b/>
          <w:kern w:val="0"/>
          <w:sz w:val="26"/>
          <w:szCs w:val="26"/>
          <w:rtl/>
          <w14:ligatures w14:val="none"/>
        </w:rPr>
        <w:t>12</w:t>
      </w:r>
      <w:r w:rsidRPr="00AD7FFD">
        <w:rPr>
          <w:rFonts w:ascii="Simplified Arabic" w:hAnsi="Simplified Arabic" w:cs="Simplified Arabic"/>
          <w:b/>
          <w:kern w:val="0"/>
          <w:sz w:val="26"/>
          <w:szCs w:val="26"/>
          <w:rtl/>
          <w14:ligatures w14:val="none"/>
        </w:rPr>
        <w:t xml:space="preserve">: </w:t>
      </w:r>
      <w:r w:rsidR="006A25EC">
        <w:rPr>
          <w:rFonts w:ascii="Simplified Arabic" w:hAnsi="Simplified Arabic" w:cs="Simplified Arabic" w:hint="cs"/>
          <w:b/>
          <w:kern w:val="0"/>
          <w:sz w:val="26"/>
          <w:szCs w:val="26"/>
          <w:rtl/>
          <w14:ligatures w14:val="none"/>
        </w:rPr>
        <w:t xml:space="preserve">سفر راعوث، نظرة عامّة والتوقُّعات المسيانيّة </w:t>
      </w:r>
    </w:p>
    <w:p w14:paraId="6DA716C2" w14:textId="599EB183" w:rsidR="006A25EC" w:rsidRDefault="006A25EC" w:rsidP="002D6C54">
      <w:pPr>
        <w:bidi/>
        <w:spacing w:before="120" w:after="80" w:line="240" w:lineRule="auto"/>
        <w:ind w:left="1620" w:hanging="1620"/>
        <w:rPr>
          <w:rFonts w:ascii="Simplified Arabic" w:hAnsi="Simplified Arabic" w:cs="Simplified Arabic"/>
          <w:bCs/>
          <w:kern w:val="0"/>
          <w:sz w:val="26"/>
          <w:szCs w:val="26"/>
          <w:rtl/>
          <w14:ligatures w14:val="none"/>
        </w:rPr>
      </w:pPr>
      <w:r>
        <w:rPr>
          <w:rFonts w:ascii="Simplified Arabic" w:hAnsi="Simplified Arabic" w:cs="Simplified Arabic" w:hint="cs"/>
          <w:bCs/>
          <w:kern w:val="0"/>
          <w:sz w:val="26"/>
          <w:szCs w:val="26"/>
          <w:rtl/>
          <w14:ligatures w14:val="none"/>
        </w:rPr>
        <w:t>الملاحق</w:t>
      </w:r>
      <w:r w:rsidRPr="00AD7FFD">
        <w:rPr>
          <w:rFonts w:ascii="Simplified Arabic" w:hAnsi="Simplified Arabic" w:cs="Simplified Arabic"/>
          <w:bCs/>
          <w:kern w:val="0"/>
          <w:sz w:val="26"/>
          <w:szCs w:val="26"/>
          <w:rtl/>
          <w14:ligatures w14:val="none"/>
        </w:rPr>
        <w:t>: أساس إسرائيل في العهد والشريعة (تكوين 11: 27 – خروج 40: 38)</w:t>
      </w:r>
    </w:p>
    <w:p w14:paraId="3E2109DC" w14:textId="414EEAB8" w:rsidR="006A25EC" w:rsidRPr="00AD7FFD" w:rsidRDefault="00425522" w:rsidP="002D6C54">
      <w:pPr>
        <w:bidi/>
        <w:spacing w:after="0" w:line="240" w:lineRule="auto"/>
        <w:ind w:left="1440" w:hanging="900"/>
        <w:contextualSpacing/>
        <w:rPr>
          <w:rFonts w:ascii="Simplified Arabic" w:hAnsi="Simplified Arabic" w:cs="Simplified Arabic"/>
          <w:b/>
          <w:kern w:val="0"/>
          <w:sz w:val="26"/>
          <w:szCs w:val="26"/>
          <w:rtl/>
          <w14:ligatures w14:val="none"/>
        </w:rPr>
      </w:pPr>
      <w:bookmarkStart w:id="10" w:name="_Hlk191437813"/>
      <w:r>
        <w:rPr>
          <w:rFonts w:ascii="Simplified Arabic" w:hAnsi="Simplified Arabic" w:cs="Simplified Arabic" w:hint="cs"/>
          <w:b/>
          <w:kern w:val="0"/>
          <w:sz w:val="26"/>
          <w:szCs w:val="26"/>
          <w:rtl/>
          <w14:ligatures w14:val="none"/>
        </w:rPr>
        <w:t>الملحق 1</w:t>
      </w:r>
      <w:r w:rsidR="006A25EC" w:rsidRPr="00AD7FFD">
        <w:rPr>
          <w:rFonts w:ascii="Simplified Arabic" w:hAnsi="Simplified Arabic" w:cs="Simplified Arabic"/>
          <w:b/>
          <w:kern w:val="0"/>
          <w:sz w:val="26"/>
          <w:szCs w:val="26"/>
          <w:rtl/>
          <w14:ligatures w14:val="none"/>
        </w:rPr>
        <w:t xml:space="preserve">: </w:t>
      </w:r>
      <w:r w:rsidR="009625E2">
        <w:rPr>
          <w:rFonts w:ascii="Simplified Arabic" w:hAnsi="Simplified Arabic" w:cs="Simplified Arabic" w:hint="cs"/>
          <w:b/>
          <w:kern w:val="0"/>
          <w:sz w:val="26"/>
          <w:szCs w:val="26"/>
          <w:rtl/>
          <w14:ligatures w14:val="none"/>
        </w:rPr>
        <w:t>تطوُّرات مهمّة مرتبطة بالآباء في تاريخ الشرق الأدنى القديم</w:t>
      </w:r>
    </w:p>
    <w:p w14:paraId="148420A8" w14:textId="7377E9AE" w:rsidR="006A25EC" w:rsidRPr="00AD7FFD" w:rsidRDefault="00425522" w:rsidP="002D6C54">
      <w:pPr>
        <w:bidi/>
        <w:spacing w:after="0" w:line="240" w:lineRule="auto"/>
        <w:ind w:left="1440" w:hanging="900"/>
        <w:contextualSpacing/>
        <w:rPr>
          <w:rFonts w:ascii="Simplified Arabic" w:hAnsi="Simplified Arabic" w:cs="Simplified Arabic"/>
          <w:b/>
          <w:kern w:val="0"/>
          <w:sz w:val="26"/>
          <w:szCs w:val="26"/>
          <w:rtl/>
          <w14:ligatures w14:val="none"/>
        </w:rPr>
      </w:pPr>
      <w:r>
        <w:rPr>
          <w:rFonts w:ascii="Simplified Arabic" w:hAnsi="Simplified Arabic" w:cs="Simplified Arabic" w:hint="cs"/>
          <w:b/>
          <w:kern w:val="0"/>
          <w:sz w:val="26"/>
          <w:szCs w:val="26"/>
          <w:rtl/>
          <w14:ligatures w14:val="none"/>
        </w:rPr>
        <w:t>الملحق 2</w:t>
      </w:r>
      <w:r w:rsidR="006A25EC" w:rsidRPr="00AD7FFD">
        <w:rPr>
          <w:rFonts w:ascii="Simplified Arabic" w:hAnsi="Simplified Arabic" w:cs="Simplified Arabic"/>
          <w:b/>
          <w:kern w:val="0"/>
          <w:sz w:val="26"/>
          <w:szCs w:val="26"/>
          <w:rtl/>
          <w14:ligatures w14:val="none"/>
        </w:rPr>
        <w:t>:</w:t>
      </w:r>
      <w:r w:rsidR="006A25EC">
        <w:rPr>
          <w:rFonts w:ascii="Simplified Arabic" w:hAnsi="Simplified Arabic" w:cs="Simplified Arabic" w:hint="cs"/>
          <w:b/>
          <w:kern w:val="0"/>
          <w:sz w:val="26"/>
          <w:szCs w:val="26"/>
          <w:rtl/>
          <w14:ligatures w14:val="none"/>
        </w:rPr>
        <w:t xml:space="preserve"> </w:t>
      </w:r>
      <w:r>
        <w:rPr>
          <w:rFonts w:ascii="Simplified Arabic" w:hAnsi="Simplified Arabic" w:cs="Simplified Arabic" w:hint="cs"/>
          <w:b/>
          <w:kern w:val="0"/>
          <w:sz w:val="26"/>
          <w:szCs w:val="26"/>
          <w:rtl/>
          <w14:ligatures w14:val="none"/>
        </w:rPr>
        <w:t xml:space="preserve">آراء </w:t>
      </w:r>
      <w:r w:rsidR="009625E2">
        <w:rPr>
          <w:rFonts w:ascii="Simplified Arabic" w:hAnsi="Simplified Arabic" w:cs="Simplified Arabic" w:hint="cs"/>
          <w:b/>
          <w:kern w:val="0"/>
          <w:sz w:val="26"/>
          <w:szCs w:val="26"/>
          <w:rtl/>
          <w14:ligatures w14:val="none"/>
        </w:rPr>
        <w:t xml:space="preserve">ونظريّات </w:t>
      </w:r>
      <w:r>
        <w:rPr>
          <w:rFonts w:ascii="Simplified Arabic" w:hAnsi="Simplified Arabic" w:cs="Simplified Arabic" w:hint="cs"/>
          <w:b/>
          <w:kern w:val="0"/>
          <w:sz w:val="26"/>
          <w:szCs w:val="26"/>
          <w:rtl/>
          <w14:ligatures w14:val="none"/>
        </w:rPr>
        <w:t>معاصرة بشأن تكوين 1: 1-3</w:t>
      </w:r>
    </w:p>
    <w:p w14:paraId="2BE57771" w14:textId="38229768" w:rsidR="006A25EC" w:rsidRPr="00AD7FFD" w:rsidRDefault="00425522" w:rsidP="002D6C54">
      <w:pPr>
        <w:bidi/>
        <w:spacing w:after="0" w:line="240" w:lineRule="auto"/>
        <w:ind w:left="1440" w:hanging="900"/>
        <w:contextualSpacing/>
        <w:rPr>
          <w:rFonts w:ascii="Simplified Arabic" w:hAnsi="Simplified Arabic" w:cs="Simplified Arabic"/>
          <w:b/>
          <w:kern w:val="0"/>
          <w:sz w:val="26"/>
          <w:szCs w:val="26"/>
          <w:rtl/>
          <w14:ligatures w14:val="none"/>
        </w:rPr>
      </w:pPr>
      <w:r>
        <w:rPr>
          <w:rFonts w:ascii="Simplified Arabic" w:hAnsi="Simplified Arabic" w:cs="Simplified Arabic" w:hint="cs"/>
          <w:b/>
          <w:kern w:val="0"/>
          <w:sz w:val="26"/>
          <w:szCs w:val="26"/>
          <w:rtl/>
          <w14:ligatures w14:val="none"/>
        </w:rPr>
        <w:t>الملحق 3</w:t>
      </w:r>
      <w:r w:rsidR="006A25EC" w:rsidRPr="00AD7FFD">
        <w:rPr>
          <w:rFonts w:ascii="Simplified Arabic" w:hAnsi="Simplified Arabic" w:cs="Simplified Arabic"/>
          <w:b/>
          <w:kern w:val="0"/>
          <w:sz w:val="26"/>
          <w:szCs w:val="26"/>
          <w:rtl/>
          <w14:ligatures w14:val="none"/>
        </w:rPr>
        <w:t xml:space="preserve">: </w:t>
      </w:r>
      <w:r>
        <w:rPr>
          <w:rFonts w:ascii="Simplified Arabic" w:hAnsi="Simplified Arabic" w:cs="Simplified Arabic" w:hint="cs"/>
          <w:b/>
          <w:kern w:val="0"/>
          <w:sz w:val="26"/>
          <w:szCs w:val="26"/>
          <w:rtl/>
          <w14:ligatures w14:val="none"/>
        </w:rPr>
        <w:t>تحليل مصدري للعهد القديم</w:t>
      </w:r>
    </w:p>
    <w:bookmarkEnd w:id="10"/>
    <w:p w14:paraId="3C92FAAA" w14:textId="77777777" w:rsidR="006A25EC" w:rsidRPr="00AD7FFD" w:rsidRDefault="006A25EC" w:rsidP="002D6C54">
      <w:pPr>
        <w:bidi/>
        <w:spacing w:after="0" w:line="240" w:lineRule="auto"/>
        <w:contextualSpacing/>
        <w:rPr>
          <w:rFonts w:ascii="Simplified Arabic" w:hAnsi="Simplified Arabic" w:cs="Simplified Arabic"/>
          <w:b/>
          <w:kern w:val="0"/>
          <w:sz w:val="26"/>
          <w:szCs w:val="26"/>
          <w:rtl/>
          <w14:ligatures w14:val="none"/>
        </w:rPr>
      </w:pPr>
    </w:p>
    <w:bookmarkEnd w:id="6"/>
    <w:p w14:paraId="457EAE25" w14:textId="6E4F0530" w:rsidR="005A6A45" w:rsidRPr="00C05506" w:rsidRDefault="00C05506" w:rsidP="002D6C54">
      <w:pPr>
        <w:bidi/>
        <w:spacing w:after="0" w:line="240" w:lineRule="auto"/>
        <w:contextualSpacing/>
        <w:rPr>
          <w:rFonts w:ascii="Simplified Arabic" w:hAnsi="Simplified Arabic" w:cs="Simplified Arabic"/>
          <w:b/>
          <w:kern w:val="0"/>
          <w:sz w:val="26"/>
          <w:szCs w:val="26"/>
          <w14:ligatures w14:val="none"/>
        </w:rPr>
      </w:pPr>
      <w:r w:rsidRPr="00C05506">
        <w:rPr>
          <w:rFonts w:ascii="Simplified Arabic" w:hAnsi="Simplified Arabic" w:cs="Simplified Arabic"/>
          <w:b/>
          <w:kern w:val="0"/>
          <w:sz w:val="26"/>
          <w:szCs w:val="26"/>
          <w:rtl/>
          <w14:ligatures w14:val="none"/>
        </w:rPr>
        <w:t>إن كنتَ تدرس</w:t>
      </w:r>
      <w:r>
        <w:rPr>
          <w:rFonts w:ascii="Simplified Arabic" w:hAnsi="Simplified Arabic" w:cs="Simplified Arabic" w:hint="cs"/>
          <w:b/>
          <w:kern w:val="0"/>
          <w:sz w:val="26"/>
          <w:szCs w:val="26"/>
          <w:rtl/>
          <w14:ligatures w14:val="none"/>
        </w:rPr>
        <w:t xml:space="preserve"> هذا المساق </w:t>
      </w:r>
      <w:r w:rsidR="009B50BD">
        <w:rPr>
          <w:rFonts w:ascii="Simplified Arabic" w:hAnsi="Simplified Arabic" w:cs="Simplified Arabic" w:hint="cs"/>
          <w:b/>
          <w:kern w:val="0"/>
          <w:sz w:val="26"/>
          <w:szCs w:val="26"/>
          <w:rtl/>
          <w14:ligatures w14:val="none"/>
        </w:rPr>
        <w:t>بإرشادٍ من</w:t>
      </w:r>
      <w:r>
        <w:rPr>
          <w:rFonts w:ascii="Simplified Arabic" w:hAnsi="Simplified Arabic" w:cs="Simplified Arabic" w:hint="cs"/>
          <w:b/>
          <w:kern w:val="0"/>
          <w:sz w:val="26"/>
          <w:szCs w:val="26"/>
          <w:rtl/>
          <w14:ligatures w14:val="none"/>
        </w:rPr>
        <w:t xml:space="preserve"> ميسِّر، فستُعطى جدولًا زمنيًّا يُظهِر متى ينبغي إتمام كلّ درس. في الوضع المثالي، الهدف هو إكمال درس في كلّ أسبوع. تختلف الدروس في أطوالها، ولكنّ عليك أن تخصِّص حوالي ثلاث </w:t>
      </w:r>
      <w:r>
        <w:rPr>
          <w:rFonts w:ascii="Simplified Arabic" w:hAnsi="Simplified Arabic" w:cs="Simplified Arabic" w:hint="cs"/>
          <w:b/>
          <w:kern w:val="0"/>
          <w:sz w:val="26"/>
          <w:szCs w:val="26"/>
          <w:rtl/>
          <w14:ligatures w14:val="none"/>
        </w:rPr>
        <w:lastRenderedPageBreak/>
        <w:t xml:space="preserve">ساعات إلى أربعة لكلّ درس. قد تختار أن تدرس درسًا واحدًا في جلسة واحدة، أو ربما تقسِّم دراستك </w:t>
      </w:r>
      <w:r w:rsidR="006B1BEA">
        <w:rPr>
          <w:rFonts w:ascii="Simplified Arabic" w:hAnsi="Simplified Arabic" w:cs="Simplified Arabic" w:hint="cs"/>
          <w:b/>
          <w:kern w:val="0"/>
          <w:sz w:val="26"/>
          <w:szCs w:val="26"/>
          <w:rtl/>
          <w14:ligatures w14:val="none"/>
        </w:rPr>
        <w:t>لإتمام</w:t>
      </w:r>
      <w:r>
        <w:rPr>
          <w:rFonts w:ascii="Simplified Arabic" w:hAnsi="Simplified Arabic" w:cs="Simplified Arabic" w:hint="cs"/>
          <w:b/>
          <w:kern w:val="0"/>
          <w:sz w:val="26"/>
          <w:szCs w:val="26"/>
          <w:rtl/>
          <w14:ligatures w14:val="none"/>
        </w:rPr>
        <w:t xml:space="preserve"> الدرس في يومين أو ثلاثة أيّام. وعلى جميع الأحوال، ينبغي أن تكمِل دراسة المساق في ثلاثة شهور إلى أربعة. </w:t>
      </w:r>
    </w:p>
    <w:p w14:paraId="1F42BE62" w14:textId="77777777" w:rsidR="006232DE" w:rsidRDefault="006232DE" w:rsidP="002D6C54">
      <w:pPr>
        <w:spacing w:line="240" w:lineRule="auto"/>
      </w:pPr>
      <w:bookmarkStart w:id="11" w:name="_Toc112646501"/>
      <w:bookmarkStart w:id="12" w:name="_Toc125548802"/>
    </w:p>
    <w:bookmarkEnd w:id="11"/>
    <w:bookmarkEnd w:id="12"/>
    <w:p w14:paraId="08D84157" w14:textId="77777777" w:rsidR="00693925" w:rsidRPr="00693925" w:rsidRDefault="00693925" w:rsidP="002D6C54">
      <w:pPr>
        <w:bidi/>
        <w:spacing w:line="240" w:lineRule="auto"/>
        <w:jc w:val="both"/>
        <w:rPr>
          <w:rFonts w:asciiTheme="minorHAnsi" w:hAnsiTheme="minorHAnsi" w:cs="Simplified Arabic"/>
          <w:b/>
          <w:bCs/>
          <w:color w:val="auto"/>
          <w:kern w:val="0"/>
          <w:sz w:val="36"/>
          <w:szCs w:val="36"/>
          <w:rtl/>
          <w14:ligatures w14:val="none"/>
        </w:rPr>
      </w:pPr>
      <w:r w:rsidRPr="00693925">
        <w:rPr>
          <w:rFonts w:asciiTheme="minorHAnsi" w:hAnsiTheme="minorHAnsi" w:cs="Simplified Arabic" w:hint="cs"/>
          <w:b/>
          <w:bCs/>
          <w:color w:val="auto"/>
          <w:kern w:val="0"/>
          <w:sz w:val="36"/>
          <w:szCs w:val="36"/>
          <w:rtl/>
          <w14:ligatures w14:val="none"/>
        </w:rPr>
        <w:t>تنظيم الدَّرس</w:t>
      </w:r>
    </w:p>
    <w:p w14:paraId="3185290F" w14:textId="04091D2D" w:rsidR="00C05506" w:rsidRPr="00693925" w:rsidRDefault="00693925" w:rsidP="002D6C54">
      <w:pPr>
        <w:bidi/>
        <w:spacing w:line="240" w:lineRule="auto"/>
        <w:jc w:val="both"/>
        <w:rPr>
          <w:rFonts w:asciiTheme="minorHAnsi" w:hAnsiTheme="minorHAnsi" w:cs="Simplified Arabic"/>
          <w:color w:val="auto"/>
          <w:kern w:val="0"/>
          <w:sz w:val="22"/>
          <w:szCs w:val="26"/>
          <w:rtl/>
          <w14:ligatures w14:val="none"/>
        </w:rPr>
      </w:pPr>
      <w:r w:rsidRPr="00693925">
        <w:rPr>
          <w:rFonts w:asciiTheme="minorHAnsi" w:hAnsiTheme="minorHAnsi" w:cs="Simplified Arabic" w:hint="cs"/>
          <w:color w:val="auto"/>
          <w:kern w:val="0"/>
          <w:sz w:val="22"/>
          <w:szCs w:val="26"/>
          <w:rtl/>
          <w14:ligatures w14:val="none"/>
        </w:rPr>
        <w:t xml:space="preserve">أرجو أن تنتبه جيدًا إلى كلِّ واحدٍ من أجزاء الدَّرس: </w:t>
      </w:r>
    </w:p>
    <w:p w14:paraId="3AFB8B25" w14:textId="617FD9A9" w:rsidR="00C05506" w:rsidRPr="00C05506" w:rsidRDefault="00C05506" w:rsidP="002D6C54">
      <w:pPr>
        <w:bidi/>
        <w:spacing w:before="120" w:after="80" w:line="240" w:lineRule="auto"/>
        <w:ind w:left="360"/>
        <w:rPr>
          <w:rFonts w:ascii="Simplified Arabic" w:hAnsi="Simplified Arabic" w:cs="Simplified Arabic"/>
          <w:b/>
          <w:kern w:val="0"/>
          <w:sz w:val="26"/>
          <w:szCs w:val="26"/>
          <w:rtl/>
          <w14:ligatures w14:val="none"/>
        </w:rPr>
      </w:pPr>
      <w:bookmarkStart w:id="13" w:name="_Hlk178777779"/>
      <w:r w:rsidRPr="00C05506">
        <w:rPr>
          <w:rFonts w:ascii="Simplified Arabic" w:hAnsi="Simplified Arabic" w:cs="Simplified Arabic"/>
          <w:b/>
          <w:kern w:val="0"/>
          <w:sz w:val="26"/>
          <w:szCs w:val="26"/>
          <w:rtl/>
          <w14:ligatures w14:val="none"/>
        </w:rPr>
        <w:t>العنوان</w:t>
      </w:r>
    </w:p>
    <w:p w14:paraId="00CE19D7" w14:textId="5BD89515" w:rsidR="00C05506" w:rsidRPr="00C05506" w:rsidRDefault="00C05506" w:rsidP="002D6C54">
      <w:pPr>
        <w:bidi/>
        <w:spacing w:before="120" w:after="80" w:line="240" w:lineRule="auto"/>
        <w:ind w:left="360"/>
        <w:rPr>
          <w:rFonts w:ascii="Simplified Arabic" w:hAnsi="Simplified Arabic" w:cs="Simplified Arabic"/>
          <w:b/>
          <w:kern w:val="0"/>
          <w:sz w:val="26"/>
          <w:szCs w:val="26"/>
          <w:rtl/>
          <w14:ligatures w14:val="none"/>
        </w:rPr>
      </w:pPr>
      <w:r w:rsidRPr="00C05506">
        <w:rPr>
          <w:rFonts w:ascii="Simplified Arabic" w:hAnsi="Simplified Arabic" w:cs="Simplified Arabic"/>
          <w:b/>
          <w:kern w:val="0"/>
          <w:sz w:val="26"/>
          <w:szCs w:val="26"/>
          <w:rtl/>
          <w14:ligatures w14:val="none"/>
        </w:rPr>
        <w:t xml:space="preserve">مُقدِّمة الدرس </w:t>
      </w:r>
    </w:p>
    <w:p w14:paraId="1EDC1B4D" w14:textId="162F2A21" w:rsidR="00C05506" w:rsidRPr="00C05506" w:rsidRDefault="00C05506" w:rsidP="002D6C54">
      <w:pPr>
        <w:bidi/>
        <w:spacing w:before="120" w:after="80" w:line="240" w:lineRule="auto"/>
        <w:ind w:left="360"/>
        <w:rPr>
          <w:rFonts w:ascii="Simplified Arabic" w:hAnsi="Simplified Arabic" w:cs="Simplified Arabic"/>
          <w:b/>
          <w:kern w:val="0"/>
          <w:sz w:val="26"/>
          <w:szCs w:val="26"/>
          <w:rtl/>
          <w14:ligatures w14:val="none"/>
        </w:rPr>
      </w:pPr>
      <w:r w:rsidRPr="00C05506">
        <w:rPr>
          <w:rFonts w:ascii="Simplified Arabic" w:hAnsi="Simplified Arabic" w:cs="Simplified Arabic"/>
          <w:b/>
          <w:kern w:val="0"/>
          <w:sz w:val="26"/>
          <w:szCs w:val="26"/>
          <w:rtl/>
          <w14:ligatures w14:val="none"/>
        </w:rPr>
        <w:t xml:space="preserve">مخطّط الدرس </w:t>
      </w:r>
    </w:p>
    <w:p w14:paraId="2A700357" w14:textId="6081313B" w:rsidR="00C05506" w:rsidRPr="00C05506" w:rsidRDefault="00C05506" w:rsidP="002D6C54">
      <w:pPr>
        <w:bidi/>
        <w:spacing w:before="120" w:after="80" w:line="240" w:lineRule="auto"/>
        <w:ind w:left="360"/>
        <w:rPr>
          <w:rFonts w:ascii="Simplified Arabic" w:hAnsi="Simplified Arabic" w:cs="Simplified Arabic"/>
          <w:b/>
          <w:kern w:val="0"/>
          <w:sz w:val="26"/>
          <w:szCs w:val="26"/>
          <w:rtl/>
          <w14:ligatures w14:val="none"/>
        </w:rPr>
      </w:pPr>
      <w:r w:rsidRPr="00C05506">
        <w:rPr>
          <w:rFonts w:ascii="Simplified Arabic" w:hAnsi="Simplified Arabic" w:cs="Simplified Arabic"/>
          <w:b/>
          <w:kern w:val="0"/>
          <w:sz w:val="26"/>
          <w:szCs w:val="26"/>
          <w:rtl/>
          <w14:ligatures w14:val="none"/>
        </w:rPr>
        <w:t xml:space="preserve">أهداف الدرس </w:t>
      </w:r>
    </w:p>
    <w:p w14:paraId="574A9BA5" w14:textId="3F82A3FC" w:rsidR="00C05506" w:rsidRPr="00C05506" w:rsidRDefault="00C05506" w:rsidP="002D6C54">
      <w:pPr>
        <w:bidi/>
        <w:spacing w:before="120" w:after="80" w:line="240" w:lineRule="auto"/>
        <w:ind w:left="360"/>
        <w:rPr>
          <w:rFonts w:ascii="Simplified Arabic" w:hAnsi="Simplified Arabic" w:cs="Simplified Arabic"/>
          <w:b/>
          <w:kern w:val="0"/>
          <w:sz w:val="26"/>
          <w:szCs w:val="26"/>
          <w:rtl/>
          <w14:ligatures w14:val="none"/>
        </w:rPr>
      </w:pPr>
      <w:r w:rsidRPr="00C05506">
        <w:rPr>
          <w:rFonts w:ascii="Simplified Arabic" w:hAnsi="Simplified Arabic" w:cs="Simplified Arabic"/>
          <w:b/>
          <w:kern w:val="0"/>
          <w:sz w:val="26"/>
          <w:szCs w:val="26"/>
          <w:rtl/>
          <w14:ligatures w14:val="none"/>
        </w:rPr>
        <w:t xml:space="preserve">واجبات القراءة الخاصّة بالدرس </w:t>
      </w:r>
    </w:p>
    <w:p w14:paraId="11D9CDCC" w14:textId="0B880CAD" w:rsidR="00C05506" w:rsidRDefault="00C05506" w:rsidP="002D6C54">
      <w:pPr>
        <w:bidi/>
        <w:spacing w:before="120" w:after="80" w:line="240" w:lineRule="auto"/>
        <w:ind w:left="360"/>
        <w:rPr>
          <w:rFonts w:ascii="Simplified Arabic" w:hAnsi="Simplified Arabic" w:cs="Simplified Arabic"/>
          <w:b/>
          <w:kern w:val="0"/>
          <w:sz w:val="26"/>
          <w:szCs w:val="26"/>
          <w:rtl/>
          <w14:ligatures w14:val="none"/>
        </w:rPr>
      </w:pPr>
      <w:r w:rsidRPr="00C05506">
        <w:rPr>
          <w:rFonts w:ascii="Simplified Arabic" w:hAnsi="Simplified Arabic" w:cs="Simplified Arabic"/>
          <w:b/>
          <w:kern w:val="0"/>
          <w:sz w:val="26"/>
          <w:szCs w:val="26"/>
          <w:rtl/>
          <w14:ligatures w14:val="none"/>
        </w:rPr>
        <w:t xml:space="preserve">محتوى الدرس </w:t>
      </w:r>
    </w:p>
    <w:p w14:paraId="7D5B0011" w14:textId="271E875C" w:rsidR="00C05506" w:rsidRDefault="00C05506" w:rsidP="002D6C54">
      <w:pPr>
        <w:bidi/>
        <w:spacing w:before="120" w:after="80" w:line="240" w:lineRule="auto"/>
        <w:rPr>
          <w:rFonts w:ascii="Simplified Arabic" w:hAnsi="Simplified Arabic" w:cs="Simplified Arabic"/>
          <w:b/>
          <w:kern w:val="0"/>
          <w:sz w:val="26"/>
          <w:szCs w:val="26"/>
          <w:rtl/>
          <w14:ligatures w14:val="none"/>
        </w:rPr>
      </w:pPr>
    </w:p>
    <w:p w14:paraId="593B9F93" w14:textId="4D531FA1" w:rsidR="00C05506" w:rsidRDefault="00C05506" w:rsidP="002D6C54">
      <w:pPr>
        <w:bidi/>
        <w:spacing w:before="120" w:after="80" w:line="240" w:lineRule="auto"/>
        <w:rPr>
          <w:rFonts w:ascii="Simplified Arabic" w:hAnsi="Simplified Arabic" w:cs="Simplified Arabic"/>
          <w:b/>
          <w:kern w:val="0"/>
          <w:sz w:val="26"/>
          <w:szCs w:val="26"/>
          <w:rtl/>
          <w14:ligatures w14:val="none"/>
        </w:rPr>
      </w:pPr>
      <w:r>
        <w:rPr>
          <w:rFonts w:ascii="Simplified Arabic" w:hAnsi="Simplified Arabic" w:cs="Simplified Arabic" w:hint="cs"/>
          <w:b/>
          <w:kern w:val="0"/>
          <w:sz w:val="26"/>
          <w:szCs w:val="26"/>
          <w:rtl/>
          <w14:ligatures w14:val="none"/>
        </w:rPr>
        <w:t>يقدِّم عنوان الدرس ومُقدِّمته ومخطَّطته وأهدافه نظرةً عامّة إلى الدرس. سيكون ذهنك أكثرَ يقظةً وتقبُّلًا، وستتعلَّم بصورةٍ بفعل هذا النظرة العامّة. تُوجِّه</w:t>
      </w:r>
      <w:r w:rsidR="00DB62B6">
        <w:rPr>
          <w:rFonts w:ascii="Simplified Arabic" w:hAnsi="Simplified Arabic" w:cs="Simplified Arabic" w:hint="cs"/>
          <w:b/>
          <w:kern w:val="0"/>
          <w:sz w:val="26"/>
          <w:szCs w:val="26"/>
          <w:rtl/>
          <w14:ligatures w14:val="none"/>
        </w:rPr>
        <w:t>ك</w:t>
      </w:r>
      <w:r>
        <w:rPr>
          <w:rFonts w:ascii="Simplified Arabic" w:hAnsi="Simplified Arabic" w:cs="Simplified Arabic" w:hint="cs"/>
          <w:b/>
          <w:kern w:val="0"/>
          <w:sz w:val="26"/>
          <w:szCs w:val="26"/>
          <w:rtl/>
          <w14:ligatures w14:val="none"/>
        </w:rPr>
        <w:t xml:space="preserve"> واجبات القراءة للدرس بشأن موادّ القراءة التي ينبغي أن تُكمِلها. </w:t>
      </w:r>
    </w:p>
    <w:p w14:paraId="5307C596" w14:textId="08F139CF" w:rsidR="00C05506" w:rsidRDefault="00C05506" w:rsidP="002D6C54">
      <w:pPr>
        <w:bidi/>
        <w:spacing w:before="120" w:after="80" w:line="240" w:lineRule="auto"/>
        <w:rPr>
          <w:rFonts w:ascii="Simplified Arabic" w:hAnsi="Simplified Arabic" w:cs="Simplified Arabic"/>
          <w:b/>
          <w:kern w:val="0"/>
          <w:sz w:val="26"/>
          <w:szCs w:val="26"/>
          <w:rtl/>
          <w:lang w:bidi="ar-JO"/>
          <w14:ligatures w14:val="none"/>
        </w:rPr>
      </w:pPr>
      <w:r>
        <w:rPr>
          <w:rFonts w:ascii="Simplified Arabic" w:hAnsi="Simplified Arabic" w:cs="Simplified Arabic" w:hint="cs"/>
          <w:b/>
          <w:kern w:val="0"/>
          <w:sz w:val="26"/>
          <w:szCs w:val="26"/>
          <w:rtl/>
          <w14:ligatures w14:val="none"/>
        </w:rPr>
        <w:t xml:space="preserve">يتبع محتوى الدرس مخطّط </w:t>
      </w:r>
      <w:r w:rsidR="004704FB">
        <w:rPr>
          <w:rFonts w:ascii="Simplified Arabic" w:hAnsi="Simplified Arabic" w:cs="Simplified Arabic" w:hint="cs"/>
          <w:b/>
          <w:kern w:val="0"/>
          <w:sz w:val="26"/>
          <w:szCs w:val="26"/>
          <w:rtl/>
          <w:lang w:bidi="ar-JO"/>
          <w14:ligatures w14:val="none"/>
        </w:rPr>
        <w:t>الدرس. الهدف من ملاحظات الدرس والتعليقات والشروحات والاقتراحات هو مساعدتك في فهم المادّة الدراسي</w:t>
      </w:r>
      <w:r w:rsidR="00DB62B6">
        <w:rPr>
          <w:rFonts w:ascii="Simplified Arabic" w:hAnsi="Simplified Arabic" w:cs="Simplified Arabic" w:hint="cs"/>
          <w:b/>
          <w:kern w:val="0"/>
          <w:sz w:val="26"/>
          <w:szCs w:val="26"/>
          <w:rtl/>
          <w:lang w:bidi="ar-JO"/>
          <w14:ligatures w14:val="none"/>
        </w:rPr>
        <w:t>ّ</w:t>
      </w:r>
      <w:r w:rsidR="004704FB">
        <w:rPr>
          <w:rFonts w:ascii="Simplified Arabic" w:hAnsi="Simplified Arabic" w:cs="Simplified Arabic" w:hint="cs"/>
          <w:b/>
          <w:kern w:val="0"/>
          <w:sz w:val="26"/>
          <w:szCs w:val="26"/>
          <w:rtl/>
          <w:lang w:bidi="ar-JO"/>
          <w14:ligatures w14:val="none"/>
        </w:rPr>
        <w:t xml:space="preserve">ة وتطبيق كلمة الله في حياتك. إن كنتَ تدرس هذا المساق بتوجيه من مُيسّر فقد تُعطى أيضًا أسئلة دراسة وامتحانات قصيرة بالإضافة إلى مادة هذا المساق. </w:t>
      </w:r>
    </w:p>
    <w:p w14:paraId="49369FA7" w14:textId="29437744" w:rsidR="004704FB" w:rsidRDefault="004704FB" w:rsidP="002D6C54">
      <w:pPr>
        <w:bidi/>
        <w:spacing w:before="120" w:after="80" w:line="240" w:lineRule="auto"/>
        <w:rPr>
          <w:rFonts w:ascii="Simplified Arabic" w:hAnsi="Simplified Arabic" w:cs="Simplified Arabic"/>
          <w:b/>
          <w:kern w:val="0"/>
          <w:sz w:val="26"/>
          <w:szCs w:val="26"/>
          <w:rtl/>
          <w:lang w:bidi="ar-JO"/>
          <w14:ligatures w14:val="none"/>
        </w:rPr>
      </w:pPr>
      <w:r>
        <w:rPr>
          <w:rFonts w:ascii="Simplified Arabic" w:hAnsi="Simplified Arabic" w:cs="Simplified Arabic" w:hint="cs"/>
          <w:b/>
          <w:kern w:val="0"/>
          <w:sz w:val="26"/>
          <w:szCs w:val="26"/>
          <w:rtl/>
          <w:lang w:bidi="ar-JO"/>
          <w14:ligatures w14:val="none"/>
        </w:rPr>
        <w:t>انتبه بصورة خاصّة إلى الخرائط والجداول والرسوم الإيضاحيّة الأخرى التي ترافق كل</w:t>
      </w:r>
      <w:r w:rsidR="00DB62B6">
        <w:rPr>
          <w:rFonts w:ascii="Simplified Arabic" w:hAnsi="Simplified Arabic" w:cs="Simplified Arabic" w:hint="cs"/>
          <w:b/>
          <w:kern w:val="0"/>
          <w:sz w:val="26"/>
          <w:szCs w:val="26"/>
          <w:rtl/>
          <w:lang w:bidi="ar-JO"/>
          <w14:ligatures w14:val="none"/>
        </w:rPr>
        <w:t>ّ</w:t>
      </w:r>
      <w:r>
        <w:rPr>
          <w:rFonts w:ascii="Simplified Arabic" w:hAnsi="Simplified Arabic" w:cs="Simplified Arabic" w:hint="cs"/>
          <w:b/>
          <w:kern w:val="0"/>
          <w:sz w:val="26"/>
          <w:szCs w:val="26"/>
          <w:rtl/>
          <w:lang w:bidi="ar-JO"/>
          <w14:ligatures w14:val="none"/>
        </w:rPr>
        <w:t xml:space="preserve"> درس. </w:t>
      </w:r>
    </w:p>
    <w:p w14:paraId="51A66AF0" w14:textId="77777777" w:rsidR="004704FB" w:rsidRPr="00C05506" w:rsidRDefault="004704FB" w:rsidP="002D6C54">
      <w:pPr>
        <w:bidi/>
        <w:spacing w:before="120" w:after="80" w:line="240" w:lineRule="auto"/>
        <w:rPr>
          <w:rFonts w:ascii="Simplified Arabic" w:hAnsi="Simplified Arabic" w:cs="Simplified Arabic"/>
          <w:b/>
          <w:kern w:val="0"/>
          <w:sz w:val="26"/>
          <w:szCs w:val="26"/>
          <w:rtl/>
          <w:lang w:bidi="ar-JO"/>
          <w14:ligatures w14:val="none"/>
        </w:rPr>
      </w:pPr>
    </w:p>
    <w:p w14:paraId="2DC11D36" w14:textId="77777777" w:rsidR="00C96BCA" w:rsidRPr="00C96BCA" w:rsidRDefault="00C96BCA" w:rsidP="002D6C54">
      <w:pPr>
        <w:spacing w:before="120" w:after="80" w:line="240" w:lineRule="auto"/>
        <w:rPr>
          <w:rFonts w:cs="Times New Roman"/>
          <w:bCs/>
          <w:kern w:val="0"/>
          <w14:ligatures w14:val="none"/>
        </w:rPr>
      </w:pPr>
    </w:p>
    <w:p w14:paraId="6CA93E85" w14:textId="568A4626" w:rsidR="004704FB" w:rsidRDefault="004704FB" w:rsidP="002D6C54">
      <w:pPr>
        <w:pStyle w:val="Heading3"/>
        <w:bidi/>
        <w:spacing w:line="240" w:lineRule="auto"/>
        <w:rPr>
          <w:rtl/>
        </w:rPr>
      </w:pPr>
      <w:bookmarkStart w:id="14" w:name="_Toc112646502"/>
      <w:bookmarkStart w:id="15" w:name="_Toc125548803"/>
      <w:bookmarkStart w:id="16" w:name="_Toc164419982"/>
      <w:r>
        <w:rPr>
          <w:rFonts w:hint="cs"/>
          <w:rtl/>
        </w:rPr>
        <w:t xml:space="preserve">ترجمات الكتاب المُقدَّس المُستخدمة في هذا المساق </w:t>
      </w:r>
    </w:p>
    <w:bookmarkEnd w:id="14"/>
    <w:bookmarkEnd w:id="15"/>
    <w:bookmarkEnd w:id="16"/>
    <w:p w14:paraId="779454A4" w14:textId="05F28A0B" w:rsidR="004704FB" w:rsidRPr="004704FB" w:rsidRDefault="004704FB" w:rsidP="002D6C54">
      <w:pPr>
        <w:bidi/>
        <w:spacing w:before="120" w:after="80" w:line="240" w:lineRule="auto"/>
        <w:rPr>
          <w:rFonts w:cs="Times New Roman"/>
          <w:b/>
          <w:kern w:val="0"/>
          <w:rtl/>
          <w14:ligatures w14:val="none"/>
        </w:rPr>
      </w:pPr>
      <w:r w:rsidRPr="004704FB">
        <w:rPr>
          <w:rFonts w:cs="Times New Roman" w:hint="cs"/>
          <w:b/>
          <w:kern w:val="0"/>
          <w:rtl/>
          <w14:ligatures w14:val="none"/>
        </w:rPr>
        <w:t xml:space="preserve">الاقتباسات </w:t>
      </w:r>
      <w:r>
        <w:rPr>
          <w:rFonts w:cs="Times New Roman" w:hint="cs"/>
          <w:b/>
          <w:kern w:val="0"/>
          <w:rtl/>
          <w14:ligatures w14:val="none"/>
        </w:rPr>
        <w:t xml:space="preserve">الكتابية الواردة في هذا المساق مأخوذة من ترجمة فاندايك </w:t>
      </w:r>
      <w:r>
        <w:rPr>
          <w:rFonts w:cs="Times New Roman"/>
          <w:b/>
          <w:kern w:val="0"/>
          <w:rtl/>
          <w14:ligatures w14:val="none"/>
        </w:rPr>
        <w:t>–</w:t>
      </w:r>
      <w:r>
        <w:rPr>
          <w:rFonts w:cs="Times New Roman" w:hint="cs"/>
          <w:b/>
          <w:kern w:val="0"/>
          <w:rtl/>
          <w14:ligatures w14:val="none"/>
        </w:rPr>
        <w:t xml:space="preserve"> البستاني إلا إذا أُشير إلى غير ذلك. قد تُستخدَم الترجمة اليسوعية الجديدة، والترجمة العربية المُشتركة، وترجمة كتاب الحياة والترجمة العربيّة المُبسّطة. إن حدث أن استُخدِمت أيّ من هذه الترجمات فسيُشار إلى ذلك. </w:t>
      </w:r>
    </w:p>
    <w:bookmarkEnd w:id="13"/>
    <w:p w14:paraId="1BF1D74B" w14:textId="77777777" w:rsidR="00C96BCA" w:rsidRPr="00693925" w:rsidRDefault="00C96BCA" w:rsidP="002D6C54">
      <w:pPr>
        <w:spacing w:before="120" w:after="80" w:line="240" w:lineRule="auto"/>
        <w:rPr>
          <w:rFonts w:ascii="Simplified Arabic" w:hAnsi="Simplified Arabic" w:cs="Simplified Arabic"/>
          <w:bCs/>
          <w:kern w:val="0"/>
          <w14:ligatures w14:val="none"/>
        </w:rPr>
      </w:pPr>
    </w:p>
    <w:p w14:paraId="6E303633" w14:textId="77777777" w:rsidR="00693925" w:rsidRPr="00E92B3E" w:rsidRDefault="00693925" w:rsidP="002D6C54">
      <w:pPr>
        <w:spacing w:before="120" w:after="80" w:line="240" w:lineRule="auto"/>
        <w:jc w:val="right"/>
        <w:rPr>
          <w:rFonts w:ascii="Simplified Arabic" w:hAnsi="Simplified Arabic" w:cs="Simplified Arabic"/>
          <w:bCs/>
          <w:color w:val="000000" w:themeColor="text1"/>
          <w:kern w:val="0"/>
          <w:rtl/>
          <w14:ligatures w14:val="none"/>
        </w:rPr>
      </w:pPr>
      <w:bookmarkStart w:id="17" w:name="_Hlk164155186"/>
      <w:r w:rsidRPr="00E92B3E">
        <w:rPr>
          <w:rFonts w:ascii="Simplified Arabic" w:hAnsi="Simplified Arabic" w:cs="Simplified Arabic"/>
          <w:b/>
          <w:bCs/>
          <w:color w:val="000000" w:themeColor="text1"/>
          <w:szCs w:val="36"/>
          <w:rtl/>
        </w:rPr>
        <w:t>تعليمات للطالب</w:t>
      </w:r>
      <w:r w:rsidRPr="00E92B3E">
        <w:rPr>
          <w:rFonts w:cs="Times New Roman"/>
          <w:bCs/>
          <w:color w:val="000000" w:themeColor="text1"/>
          <w:kern w:val="0"/>
          <w14:ligatures w14:val="none"/>
        </w:rPr>
        <w:t xml:space="preserve"> </w:t>
      </w:r>
    </w:p>
    <w:p w14:paraId="4F5962E6" w14:textId="1FF683F6" w:rsidR="00C96BCA" w:rsidRDefault="004704FB" w:rsidP="002D6C54">
      <w:pPr>
        <w:bidi/>
        <w:spacing w:before="120" w:after="80" w:line="240" w:lineRule="auto"/>
        <w:rPr>
          <w:rFonts w:cs="Times New Roman"/>
          <w:b/>
          <w:kern w:val="0"/>
          <w:rtl/>
          <w14:ligatures w14:val="none"/>
        </w:rPr>
      </w:pPr>
      <w:bookmarkStart w:id="18" w:name="_Hlk178777802"/>
      <w:bookmarkEnd w:id="17"/>
      <w:r w:rsidRPr="004704FB">
        <w:rPr>
          <w:rFonts w:cs="Times New Roman" w:hint="cs"/>
          <w:b/>
          <w:kern w:val="0"/>
          <w:rtl/>
          <w14:ligatures w14:val="none"/>
        </w:rPr>
        <w:lastRenderedPageBreak/>
        <w:t>يتأ</w:t>
      </w:r>
      <w:r>
        <w:rPr>
          <w:rFonts w:cs="Times New Roman" w:hint="cs"/>
          <w:b/>
          <w:kern w:val="0"/>
          <w:rtl/>
          <w14:ligatures w14:val="none"/>
        </w:rPr>
        <w:t xml:space="preserve">لَّف هذا المساق من اثني عشر درسًا مُصمَّمةً لمساعدتك </w:t>
      </w:r>
      <w:r w:rsidR="00567E83">
        <w:rPr>
          <w:rFonts w:cs="Times New Roman" w:hint="cs"/>
          <w:b/>
          <w:kern w:val="0"/>
          <w:rtl/>
          <w14:ligatures w14:val="none"/>
        </w:rPr>
        <w:t xml:space="preserve">على </w:t>
      </w:r>
      <w:r>
        <w:rPr>
          <w:rFonts w:cs="Times New Roman" w:hint="cs"/>
          <w:b/>
          <w:kern w:val="0"/>
          <w:rtl/>
          <w14:ligatures w14:val="none"/>
        </w:rPr>
        <w:t xml:space="preserve">فهم التطوُّرات الرئيسيّة في أسفار العهد القديم الثمانية الأولى (أي تكوين إلى راعوث) واللاهوت الذي تقدِّمه هذه الأسفار. كلُّ درسٍ مُصمَّم لإتمامه في حوالي 3 </w:t>
      </w:r>
      <w:r w:rsidR="00567E83">
        <w:rPr>
          <w:rFonts w:cs="Times New Roman" w:hint="cs"/>
          <w:b/>
          <w:kern w:val="0"/>
          <w:rtl/>
          <w14:ligatures w14:val="none"/>
        </w:rPr>
        <w:t xml:space="preserve">ساعات </w:t>
      </w:r>
      <w:r>
        <w:rPr>
          <w:rFonts w:cs="Times New Roman" w:hint="cs"/>
          <w:b/>
          <w:kern w:val="0"/>
          <w:rtl/>
          <w14:ligatures w14:val="none"/>
        </w:rPr>
        <w:t>إلى 5 ساعات. نوصي بشدّة بأن يكون لديك شريك دراسة لتدرسا معًا. من شأن هذا أن يساعدك في ضبط نفس</w:t>
      </w:r>
      <w:r w:rsidR="00567E83">
        <w:rPr>
          <w:rFonts w:cs="Times New Roman" w:hint="cs"/>
          <w:b/>
          <w:kern w:val="0"/>
          <w:rtl/>
          <w14:ligatures w14:val="none"/>
        </w:rPr>
        <w:t>ك</w:t>
      </w:r>
      <w:r>
        <w:rPr>
          <w:rFonts w:cs="Times New Roman" w:hint="cs"/>
          <w:b/>
          <w:kern w:val="0"/>
          <w:rtl/>
          <w14:ligatures w14:val="none"/>
        </w:rPr>
        <w:t xml:space="preserve"> والمساءلة، ويجعل عملية الدراسة أكثرَ متعةً وإثارة. </w:t>
      </w:r>
    </w:p>
    <w:p w14:paraId="63445692" w14:textId="4F313DF2" w:rsidR="004704FB" w:rsidRDefault="001B42C1" w:rsidP="002D6C54">
      <w:pPr>
        <w:bidi/>
        <w:spacing w:before="120" w:after="80" w:line="240" w:lineRule="auto"/>
        <w:rPr>
          <w:rFonts w:cs="Times New Roman"/>
          <w:b/>
          <w:kern w:val="0"/>
          <w:rtl/>
          <w14:ligatures w14:val="none"/>
        </w:rPr>
      </w:pPr>
      <w:r>
        <w:rPr>
          <w:rFonts w:cs="Times New Roman" w:hint="cs"/>
          <w:b/>
          <w:kern w:val="0"/>
          <w:rtl/>
          <w14:ligatures w14:val="none"/>
        </w:rPr>
        <w:t>ينبغي لك أنتَ وشريكك في الدراسة أن تخطِّطا لإتمام درسٍ في جلسةٍ معًا، إن كان هذا ممكنًا. ولتبدأ هذا، عليك أن تفتح إلى الدرس الأوَّل، وتبدأ بقراءة الدرس. يُقسَم كلّ درس إلى "مواضيع"، وعادةً ما يكون كلّ درسٍ مؤلَّفًا من أربع</w:t>
      </w:r>
      <w:r w:rsidR="00567E83">
        <w:rPr>
          <w:rFonts w:cs="Times New Roman" w:hint="cs"/>
          <w:b/>
          <w:kern w:val="0"/>
          <w:rtl/>
          <w14:ligatures w14:val="none"/>
        </w:rPr>
        <w:t>ة</w:t>
      </w:r>
      <w:r>
        <w:rPr>
          <w:rFonts w:cs="Times New Roman" w:hint="cs"/>
          <w:b/>
          <w:kern w:val="0"/>
          <w:rtl/>
          <w14:ligatures w14:val="none"/>
        </w:rPr>
        <w:t xml:space="preserve"> مواضيع (وفي بعض الأحيان أكثر). ينبغي أن تسير دراستك بالصورة التالية: </w:t>
      </w:r>
    </w:p>
    <w:p w14:paraId="1E142773" w14:textId="77777777" w:rsidR="004704FB" w:rsidRPr="004704FB" w:rsidRDefault="004704FB" w:rsidP="002D6C54">
      <w:pPr>
        <w:bidi/>
        <w:spacing w:before="120" w:after="80" w:line="240" w:lineRule="auto"/>
        <w:rPr>
          <w:rFonts w:cs="Times New Roman"/>
          <w:b/>
          <w:kern w:val="0"/>
          <w14:ligatures w14:val="none"/>
        </w:rPr>
      </w:pPr>
    </w:p>
    <w:p w14:paraId="1AEC6DDE" w14:textId="2F2254FE" w:rsidR="00C96BCA" w:rsidRPr="001B42C1" w:rsidRDefault="001B42C1" w:rsidP="002D6C54">
      <w:pPr>
        <w:numPr>
          <w:ilvl w:val="0"/>
          <w:numId w:val="1"/>
        </w:numPr>
        <w:bidi/>
        <w:spacing w:before="120" w:after="0" w:line="240" w:lineRule="auto"/>
        <w:ind w:left="990" w:hanging="450"/>
        <w:contextualSpacing/>
        <w:rPr>
          <w:rFonts w:cs="Times New Roman"/>
          <w:bCs/>
          <w:kern w:val="0"/>
          <w14:ligatures w14:val="none"/>
        </w:rPr>
      </w:pPr>
      <w:r>
        <w:rPr>
          <w:rFonts w:ascii="Simplified Arabic" w:hAnsi="Simplified Arabic" w:cs="Simplified Arabic" w:hint="cs"/>
          <w:b/>
          <w:kern w:val="0"/>
          <w:sz w:val="26"/>
          <w:szCs w:val="26"/>
          <w:rtl/>
          <w14:ligatures w14:val="none"/>
        </w:rPr>
        <w:t>في بداية كل</w:t>
      </w:r>
      <w:r w:rsidR="00567E83">
        <w:rPr>
          <w:rFonts w:ascii="Simplified Arabic" w:hAnsi="Simplified Arabic" w:cs="Simplified Arabic" w:hint="cs"/>
          <w:b/>
          <w:kern w:val="0"/>
          <w:sz w:val="26"/>
          <w:szCs w:val="26"/>
          <w:rtl/>
          <w14:ligatures w14:val="none"/>
        </w:rPr>
        <w:t>ّ</w:t>
      </w:r>
      <w:r>
        <w:rPr>
          <w:rFonts w:ascii="Simplified Arabic" w:hAnsi="Simplified Arabic" w:cs="Simplified Arabic" w:hint="cs"/>
          <w:b/>
          <w:kern w:val="0"/>
          <w:sz w:val="26"/>
          <w:szCs w:val="26"/>
          <w:rtl/>
          <w14:ligatures w14:val="none"/>
        </w:rPr>
        <w:t xml:space="preserve"> درس، اقضِ وقتًا في قراءة مُقدِّمة الدرس، وقائمة المواضيع التي ستُغطَّى في الدرس، وأهداف الدرس. من شأن هذا أن يساعدك في تهيئة ذهنك لما تُوشِك أن تدرسه وتتعلّمه. </w:t>
      </w:r>
    </w:p>
    <w:p w14:paraId="42E6043F" w14:textId="612D3547" w:rsidR="001B42C1" w:rsidRPr="00A800A8" w:rsidRDefault="001B42C1" w:rsidP="002D6C54">
      <w:pPr>
        <w:numPr>
          <w:ilvl w:val="0"/>
          <w:numId w:val="1"/>
        </w:numPr>
        <w:bidi/>
        <w:spacing w:before="120" w:after="0" w:line="240" w:lineRule="auto"/>
        <w:ind w:left="990" w:hanging="450"/>
        <w:contextualSpacing/>
        <w:rPr>
          <w:rFonts w:cs="Times New Roman"/>
          <w:bCs/>
          <w:kern w:val="0"/>
          <w14:ligatures w14:val="none"/>
        </w:rPr>
      </w:pPr>
      <w:r>
        <w:rPr>
          <w:rFonts w:ascii="Simplified Arabic" w:hAnsi="Simplified Arabic" w:cs="Simplified Arabic" w:hint="cs"/>
          <w:b/>
          <w:kern w:val="0"/>
          <w:sz w:val="26"/>
          <w:szCs w:val="26"/>
          <w:rtl/>
          <w14:ligatures w14:val="none"/>
        </w:rPr>
        <w:t xml:space="preserve">انتبه إلى أيّة واجبات قراءة خارجيّة عليك إتمامها قبل قراءة ملاحظات الدرس. قد تشمل هذه الواجبات قراءات من الكتاب المُقدَّس أو كتب أخرى، مثل "يوجين ميرل، </w:t>
      </w:r>
      <w:r w:rsidRPr="001B42C1">
        <w:rPr>
          <w:rFonts w:ascii="Simplified Arabic" w:hAnsi="Simplified Arabic" w:cs="Simplified Arabic" w:hint="cs"/>
          <w:b/>
          <w:kern w:val="0"/>
          <w:sz w:val="26"/>
          <w:szCs w:val="26"/>
          <w:u w:val="single"/>
          <w:rtl/>
          <w14:ligatures w14:val="none"/>
        </w:rPr>
        <w:t>لاهوت كتابي للعهد القديم</w:t>
      </w:r>
      <w:r>
        <w:rPr>
          <w:rFonts w:ascii="Simplified Arabic" w:hAnsi="Simplified Arabic" w:cs="Simplified Arabic" w:hint="cs"/>
          <w:b/>
          <w:kern w:val="0"/>
          <w:sz w:val="26"/>
          <w:szCs w:val="26"/>
          <w:rtl/>
          <w14:ligatures w14:val="none"/>
        </w:rPr>
        <w:t>،" أو كتابه "</w:t>
      </w:r>
      <w:r w:rsidRPr="001B42C1">
        <w:rPr>
          <w:rFonts w:ascii="Simplified Arabic" w:hAnsi="Simplified Arabic" w:cs="Simplified Arabic" w:hint="cs"/>
          <w:b/>
          <w:kern w:val="0"/>
          <w:sz w:val="26"/>
          <w:szCs w:val="26"/>
          <w:u w:val="single"/>
          <w:rtl/>
          <w14:ligatures w14:val="none"/>
        </w:rPr>
        <w:t>مملكة كهنة</w:t>
      </w:r>
      <w:r>
        <w:rPr>
          <w:rFonts w:ascii="Simplified Arabic" w:hAnsi="Simplified Arabic" w:cs="Simplified Arabic" w:hint="cs"/>
          <w:b/>
          <w:kern w:val="0"/>
          <w:sz w:val="26"/>
          <w:szCs w:val="26"/>
          <w:rtl/>
          <w14:ligatures w14:val="none"/>
        </w:rPr>
        <w:t>".</w:t>
      </w:r>
    </w:p>
    <w:p w14:paraId="1E61D5B7" w14:textId="1A7CAD71" w:rsidR="00A800A8" w:rsidRPr="00A800A8" w:rsidRDefault="00A800A8" w:rsidP="002D6C54">
      <w:pPr>
        <w:numPr>
          <w:ilvl w:val="0"/>
          <w:numId w:val="1"/>
        </w:numPr>
        <w:bidi/>
        <w:spacing w:before="120" w:after="0" w:line="240" w:lineRule="auto"/>
        <w:ind w:left="990" w:hanging="450"/>
        <w:contextualSpacing/>
        <w:rPr>
          <w:rFonts w:cs="Times New Roman"/>
          <w:bCs/>
          <w:kern w:val="0"/>
          <w14:ligatures w14:val="none"/>
        </w:rPr>
      </w:pPr>
      <w:r>
        <w:rPr>
          <w:rFonts w:ascii="Simplified Arabic" w:hAnsi="Simplified Arabic" w:cs="Simplified Arabic" w:hint="cs"/>
          <w:b/>
          <w:kern w:val="0"/>
          <w:sz w:val="26"/>
          <w:szCs w:val="26"/>
          <w:rtl/>
          <w14:ligatures w14:val="none"/>
        </w:rPr>
        <w:t xml:space="preserve">وبعد ذلك اقرأ ملاحظات الدرس الخاصّة بـ"الموضوع" الأوّل. </w:t>
      </w:r>
    </w:p>
    <w:p w14:paraId="3C16863E" w14:textId="3F31C666" w:rsidR="00A800A8" w:rsidRPr="00A800A8" w:rsidRDefault="00A800A8" w:rsidP="002D6C54">
      <w:pPr>
        <w:numPr>
          <w:ilvl w:val="0"/>
          <w:numId w:val="1"/>
        </w:numPr>
        <w:bidi/>
        <w:spacing w:before="120" w:after="0" w:line="240" w:lineRule="auto"/>
        <w:ind w:left="990" w:hanging="450"/>
        <w:contextualSpacing/>
        <w:rPr>
          <w:rFonts w:cs="Times New Roman"/>
          <w:bCs/>
          <w:kern w:val="0"/>
          <w14:ligatures w14:val="none"/>
        </w:rPr>
      </w:pPr>
      <w:r>
        <w:rPr>
          <w:rFonts w:ascii="Simplified Arabic" w:hAnsi="Simplified Arabic" w:cs="Simplified Arabic" w:hint="cs"/>
          <w:b/>
          <w:kern w:val="0"/>
          <w:sz w:val="26"/>
          <w:szCs w:val="26"/>
          <w:rtl/>
          <w14:ligatures w14:val="none"/>
        </w:rPr>
        <w:t>إن كنتَ تدرس هذا الدرس بتوجيٍه من مُيسِّر، فقد تُعطى أسئلة</w:t>
      </w:r>
      <w:r w:rsidR="00B70B57">
        <w:rPr>
          <w:rFonts w:ascii="Simplified Arabic" w:hAnsi="Simplified Arabic" w:cs="Simplified Arabic" w:hint="cs"/>
          <w:b/>
          <w:kern w:val="0"/>
          <w:sz w:val="26"/>
          <w:szCs w:val="26"/>
          <w:rtl/>
          <w14:ligatures w14:val="none"/>
        </w:rPr>
        <w:t>ً</w:t>
      </w:r>
      <w:r>
        <w:rPr>
          <w:rFonts w:ascii="Simplified Arabic" w:hAnsi="Simplified Arabic" w:cs="Simplified Arabic" w:hint="cs"/>
          <w:b/>
          <w:kern w:val="0"/>
          <w:sz w:val="26"/>
          <w:szCs w:val="26"/>
          <w:rtl/>
          <w14:ligatures w14:val="none"/>
        </w:rPr>
        <w:t xml:space="preserve"> دراسيّة عليك الإجابة عنها في دراستك الدرس. فإنْ كان الأمر كذلك، حين تصل إلى "سؤال،" توقَّف واكتب بحرص إجابتك في الفراغ المتاح. فإنْ أُعطيتَ "إجاباتٍ عن الأسئلة،" فعليك أن تحاول كتابة إجابتك عن كلّ سؤال في الدرس قبل أن تتأكَّد من صحّة إجاباتك بمقارنتها بالإجابات التي نُعطيها. </w:t>
      </w:r>
    </w:p>
    <w:p w14:paraId="3150590B" w14:textId="73951BFB" w:rsidR="00033C01" w:rsidRPr="00033C01" w:rsidRDefault="00033C01" w:rsidP="002D6C54">
      <w:pPr>
        <w:numPr>
          <w:ilvl w:val="0"/>
          <w:numId w:val="1"/>
        </w:numPr>
        <w:bidi/>
        <w:spacing w:before="120" w:after="0" w:line="240" w:lineRule="auto"/>
        <w:ind w:left="990" w:hanging="450"/>
        <w:contextualSpacing/>
        <w:rPr>
          <w:rFonts w:ascii="Simplified Arabic" w:hAnsi="Simplified Arabic" w:cs="Simplified Arabic"/>
          <w:b/>
          <w:kern w:val="0"/>
          <w:sz w:val="26"/>
          <w:szCs w:val="26"/>
          <w14:ligatures w14:val="none"/>
        </w:rPr>
      </w:pPr>
      <w:r w:rsidRPr="00033C01">
        <w:rPr>
          <w:rFonts w:ascii="Simplified Arabic" w:hAnsi="Simplified Arabic" w:cs="Simplified Arabic"/>
          <w:b/>
          <w:kern w:val="0"/>
          <w:sz w:val="26"/>
          <w:szCs w:val="26"/>
          <w:rtl/>
          <w14:ligatures w14:val="none"/>
        </w:rPr>
        <w:t>بعد أن تقرأ أنتَ وشريكك في الدراسة الإجابة، قد ترغبا</w:t>
      </w:r>
      <w:r>
        <w:rPr>
          <w:rFonts w:ascii="Simplified Arabic" w:hAnsi="Simplified Arabic" w:cs="Simplified Arabic" w:hint="cs"/>
          <w:b/>
          <w:kern w:val="0"/>
          <w:sz w:val="26"/>
          <w:szCs w:val="26"/>
          <w:rtl/>
          <w14:ligatures w14:val="none"/>
        </w:rPr>
        <w:t>ن ب</w:t>
      </w:r>
      <w:r w:rsidRPr="00033C01">
        <w:rPr>
          <w:rFonts w:ascii="Simplified Arabic" w:hAnsi="Simplified Arabic" w:cs="Simplified Arabic"/>
          <w:b/>
          <w:kern w:val="0"/>
          <w:sz w:val="26"/>
          <w:szCs w:val="26"/>
          <w:rtl/>
          <w14:ligatures w14:val="none"/>
        </w:rPr>
        <w:t>أن تناقِشا بصورة سريعة</w:t>
      </w:r>
      <w:r>
        <w:rPr>
          <w:rFonts w:ascii="Simplified Arabic" w:hAnsi="Simplified Arabic" w:cs="Simplified Arabic" w:hint="cs"/>
          <w:b/>
          <w:kern w:val="0"/>
          <w:sz w:val="26"/>
          <w:szCs w:val="26"/>
          <w:rtl/>
          <w14:ligatures w14:val="none"/>
        </w:rPr>
        <w:t xml:space="preserve"> السؤال وإجابته، وهذا يعتمد على مقدار ما يتبقّى لديكما من وقت. </w:t>
      </w:r>
    </w:p>
    <w:p w14:paraId="7DBD2CDC" w14:textId="3A5F5FB9" w:rsidR="00A800A8" w:rsidRPr="00033C01" w:rsidRDefault="00033C01" w:rsidP="002D6C54">
      <w:pPr>
        <w:numPr>
          <w:ilvl w:val="0"/>
          <w:numId w:val="1"/>
        </w:numPr>
        <w:bidi/>
        <w:spacing w:before="120" w:after="0" w:line="240" w:lineRule="auto"/>
        <w:ind w:left="990" w:hanging="450"/>
        <w:contextualSpacing/>
        <w:rPr>
          <w:rFonts w:cs="Times New Roman"/>
          <w:bCs/>
          <w:kern w:val="0"/>
          <w14:ligatures w14:val="none"/>
        </w:rPr>
      </w:pPr>
      <w:r>
        <w:rPr>
          <w:rFonts w:ascii="Simplified Arabic" w:hAnsi="Simplified Arabic" w:cs="Simplified Arabic" w:hint="cs"/>
          <w:b/>
          <w:kern w:val="0"/>
          <w:sz w:val="26"/>
          <w:szCs w:val="26"/>
          <w:rtl/>
          <w14:ligatures w14:val="none"/>
        </w:rPr>
        <w:t>بعد أن تكمِلا دراسة الموضوع الأو</w:t>
      </w:r>
      <w:r w:rsidR="00B70B57">
        <w:rPr>
          <w:rFonts w:ascii="Simplified Arabic" w:hAnsi="Simplified Arabic" w:cs="Simplified Arabic" w:hint="cs"/>
          <w:b/>
          <w:kern w:val="0"/>
          <w:sz w:val="26"/>
          <w:szCs w:val="26"/>
          <w:rtl/>
          <w14:ligatures w14:val="none"/>
        </w:rPr>
        <w:t>ّ</w:t>
      </w:r>
      <w:r>
        <w:rPr>
          <w:rFonts w:ascii="Simplified Arabic" w:hAnsi="Simplified Arabic" w:cs="Simplified Arabic" w:hint="cs"/>
          <w:b/>
          <w:kern w:val="0"/>
          <w:sz w:val="26"/>
          <w:szCs w:val="26"/>
          <w:rtl/>
          <w14:ligatures w14:val="none"/>
        </w:rPr>
        <w:t xml:space="preserve">ل يمكنكما الانتقال إلى دراسة المواضيع الأخرى في الدرس. </w:t>
      </w:r>
    </w:p>
    <w:p w14:paraId="486523E1" w14:textId="3795AEA4" w:rsidR="00033C01" w:rsidRDefault="007C5927" w:rsidP="002D6C54">
      <w:pPr>
        <w:numPr>
          <w:ilvl w:val="0"/>
          <w:numId w:val="1"/>
        </w:numPr>
        <w:bidi/>
        <w:spacing w:before="120" w:after="0" w:line="240" w:lineRule="auto"/>
        <w:ind w:left="990" w:hanging="450"/>
        <w:contextualSpacing/>
        <w:rPr>
          <w:rFonts w:cs="Times New Roman"/>
          <w:bCs/>
          <w:kern w:val="0"/>
          <w14:ligatures w14:val="none"/>
        </w:rPr>
      </w:pPr>
      <w:r>
        <w:rPr>
          <w:rFonts w:ascii="Simplified Arabic" w:hAnsi="Simplified Arabic" w:cs="Simplified Arabic" w:hint="cs"/>
          <w:b/>
          <w:kern w:val="0"/>
          <w:sz w:val="26"/>
          <w:szCs w:val="26"/>
          <w:rtl/>
          <w14:ligatures w14:val="none"/>
        </w:rPr>
        <w:t xml:space="preserve">بعد </w:t>
      </w:r>
      <w:r w:rsidR="00033C01">
        <w:rPr>
          <w:rFonts w:ascii="Simplified Arabic" w:hAnsi="Simplified Arabic" w:cs="Simplified Arabic" w:hint="cs"/>
          <w:b/>
          <w:kern w:val="0"/>
          <w:sz w:val="26"/>
          <w:szCs w:val="26"/>
          <w:rtl/>
          <w14:ligatures w14:val="none"/>
        </w:rPr>
        <w:t xml:space="preserve">أن تكمِلا أنتَ وشريكك في الدراسة كامل الدرس وتتأكّدا من صحّة إجاباتكما، قد تُعطيان </w:t>
      </w:r>
      <w:r w:rsidR="00B01458">
        <w:rPr>
          <w:rFonts w:ascii="Simplified Arabic" w:hAnsi="Simplified Arabic" w:cs="Simplified Arabic" w:hint="cs"/>
          <w:b/>
          <w:kern w:val="0"/>
          <w:sz w:val="26"/>
          <w:szCs w:val="26"/>
          <w:rtl/>
          <w14:ligatures w14:val="none"/>
        </w:rPr>
        <w:t xml:space="preserve">الامتحان الذاتي للدرس للإجابة عن أسئلته. سيساعدك هذا الامتحان في </w:t>
      </w:r>
      <w:r>
        <w:rPr>
          <w:rFonts w:ascii="Simplified Arabic" w:hAnsi="Simplified Arabic" w:cs="Simplified Arabic" w:hint="cs"/>
          <w:b/>
          <w:kern w:val="0"/>
          <w:sz w:val="26"/>
          <w:szCs w:val="26"/>
          <w:rtl/>
          <w14:ligatures w14:val="none"/>
        </w:rPr>
        <w:t>الاستعداد ل</w:t>
      </w:r>
      <w:r w:rsidR="00B01458">
        <w:rPr>
          <w:rFonts w:ascii="Simplified Arabic" w:hAnsi="Simplified Arabic" w:cs="Simplified Arabic" w:hint="cs"/>
          <w:b/>
          <w:kern w:val="0"/>
          <w:sz w:val="26"/>
          <w:szCs w:val="26"/>
          <w:rtl/>
          <w14:ligatures w14:val="none"/>
        </w:rPr>
        <w:t xml:space="preserve">أيّة امتحانات تالية قد يكون مطلوبًا منك </w:t>
      </w:r>
      <w:r>
        <w:rPr>
          <w:rFonts w:ascii="Simplified Arabic" w:hAnsi="Simplified Arabic" w:cs="Simplified Arabic" w:hint="cs"/>
          <w:b/>
          <w:kern w:val="0"/>
          <w:sz w:val="26"/>
          <w:szCs w:val="26"/>
          <w:rtl/>
          <w14:ligatures w14:val="none"/>
        </w:rPr>
        <w:t>الاستعداد لها</w:t>
      </w:r>
      <w:r w:rsidR="00B01458">
        <w:rPr>
          <w:rFonts w:ascii="Simplified Arabic" w:hAnsi="Simplified Arabic" w:cs="Simplified Arabic" w:hint="cs"/>
          <w:b/>
          <w:kern w:val="0"/>
          <w:sz w:val="26"/>
          <w:szCs w:val="26"/>
          <w:rtl/>
          <w14:ligatures w14:val="none"/>
        </w:rPr>
        <w:t xml:space="preserve">. </w:t>
      </w:r>
    </w:p>
    <w:p w14:paraId="61AB5599" w14:textId="77777777" w:rsidR="00B466FC" w:rsidRDefault="00B466FC" w:rsidP="002D6C54">
      <w:pPr>
        <w:spacing w:before="120" w:after="0" w:line="240" w:lineRule="auto"/>
        <w:contextualSpacing/>
        <w:rPr>
          <w:rFonts w:cs="Times New Roman"/>
          <w:bCs/>
          <w:kern w:val="0"/>
          <w14:ligatures w14:val="none"/>
        </w:rPr>
      </w:pPr>
    </w:p>
    <w:p w14:paraId="6F7E6067" w14:textId="009E4516" w:rsidR="00B01458" w:rsidRDefault="00B01458" w:rsidP="002D6C54">
      <w:pPr>
        <w:pStyle w:val="Heading3"/>
        <w:bidi/>
        <w:spacing w:line="240" w:lineRule="auto"/>
        <w:rPr>
          <w:rtl/>
        </w:rPr>
      </w:pPr>
      <w:bookmarkStart w:id="19" w:name="_Toc164419984"/>
      <w:r>
        <w:rPr>
          <w:rFonts w:hint="cs"/>
          <w:rtl/>
        </w:rPr>
        <w:t>الأشكال التوضيحيّة لأسفار العهد القديم</w:t>
      </w:r>
    </w:p>
    <w:bookmarkEnd w:id="19"/>
    <w:p w14:paraId="1D0C7F27" w14:textId="7C2EF28A" w:rsidR="00B01458" w:rsidRPr="00B01458" w:rsidRDefault="00B01458" w:rsidP="002D6C54">
      <w:pPr>
        <w:bidi/>
        <w:spacing w:before="120" w:after="0" w:line="240" w:lineRule="auto"/>
        <w:contextualSpacing/>
        <w:rPr>
          <w:rFonts w:ascii="Simplified Arabic" w:hAnsi="Simplified Arabic" w:cs="Simplified Arabic"/>
          <w:b/>
          <w:kern w:val="0"/>
          <w:sz w:val="26"/>
          <w:szCs w:val="26"/>
          <w:rtl/>
          <w:lang w:bidi="ar-JO"/>
          <w14:ligatures w14:val="none"/>
        </w:rPr>
      </w:pPr>
      <w:r w:rsidRPr="00B01458">
        <w:rPr>
          <w:rFonts w:ascii="Simplified Arabic" w:hAnsi="Simplified Arabic" w:cs="Simplified Arabic" w:hint="cs"/>
          <w:b/>
          <w:kern w:val="0"/>
          <w:sz w:val="26"/>
          <w:szCs w:val="26"/>
          <w:rtl/>
          <w14:ligatures w14:val="none"/>
        </w:rPr>
        <w:t xml:space="preserve">الأشكال التوضيحيّة الخاصّة بالأسفار، التي تجدها </w:t>
      </w:r>
      <w:r>
        <w:rPr>
          <w:rFonts w:ascii="Simplified Arabic" w:hAnsi="Simplified Arabic" w:cs="Simplified Arabic" w:hint="cs"/>
          <w:b/>
          <w:kern w:val="0"/>
          <w:sz w:val="26"/>
          <w:szCs w:val="26"/>
          <w:rtl/>
          <w14:ligatures w14:val="none"/>
        </w:rPr>
        <w:t>في هذا الكتاب متوفّرة مجانًا في الموقع الشخصي للمؤلِّف. وحيثُ أن هذه الأشكال صغيرة</w:t>
      </w:r>
      <w:r w:rsidR="007C5927">
        <w:rPr>
          <w:rFonts w:ascii="Simplified Arabic" w:hAnsi="Simplified Arabic" w:cs="Simplified Arabic" w:hint="cs"/>
          <w:b/>
          <w:kern w:val="0"/>
          <w:sz w:val="26"/>
          <w:szCs w:val="26"/>
          <w:rtl/>
          <w14:ligatures w14:val="none"/>
        </w:rPr>
        <w:t xml:space="preserve"> وقليلة</w:t>
      </w:r>
      <w:r>
        <w:rPr>
          <w:rFonts w:ascii="Simplified Arabic" w:hAnsi="Simplified Arabic" w:cs="Simplified Arabic" w:hint="cs"/>
          <w:b/>
          <w:kern w:val="0"/>
          <w:sz w:val="26"/>
          <w:szCs w:val="26"/>
          <w:rtl/>
          <w14:ligatures w14:val="none"/>
        </w:rPr>
        <w:t xml:space="preserve"> نسبيًا في هذا المساق، فقد ترغب بأن تنظر إلى الأشكال التوضيحيّة لكلّ واحدٍ من أسفار العهد القديم على موقع المؤلف (</w:t>
      </w:r>
      <w:r>
        <w:fldChar w:fldCharType="begin"/>
      </w:r>
      <w:r>
        <w:instrText>HYPERLINK "http://www.paultanner.org"</w:instrText>
      </w:r>
      <w:r>
        <w:fldChar w:fldCharType="separate"/>
      </w:r>
      <w:r w:rsidRPr="00B72B6A">
        <w:rPr>
          <w:rStyle w:val="Hyperlink"/>
          <w:rFonts w:ascii="Simplified Arabic" w:hAnsi="Simplified Arabic" w:cs="Simplified Arabic"/>
          <w:bCs/>
          <w:kern w:val="0"/>
          <w:sz w:val="26"/>
          <w:szCs w:val="26"/>
          <w14:ligatures w14:val="none"/>
        </w:rPr>
        <w:t>www.paultanner.org</w:t>
      </w:r>
      <w:r>
        <w:fldChar w:fldCharType="end"/>
      </w:r>
      <w:r>
        <w:rPr>
          <w:rFonts w:ascii="Simplified Arabic" w:hAnsi="Simplified Arabic" w:cs="Simplified Arabic" w:hint="cs"/>
          <w:b/>
          <w:kern w:val="0"/>
          <w:sz w:val="26"/>
          <w:szCs w:val="26"/>
          <w:rtl/>
          <w14:ligatures w14:val="none"/>
        </w:rPr>
        <w:t>)</w:t>
      </w:r>
      <w:r>
        <w:rPr>
          <w:rFonts w:ascii="Simplified Arabic" w:hAnsi="Simplified Arabic" w:cs="Simplified Arabic" w:hint="cs"/>
          <w:b/>
          <w:kern w:val="0"/>
          <w:sz w:val="26"/>
          <w:szCs w:val="26"/>
          <w:rtl/>
          <w:lang w:bidi="ar-JO"/>
          <w14:ligatures w14:val="none"/>
        </w:rPr>
        <w:t xml:space="preserve">. ستجد في هذا الموقع نسخًا من الأشكال التوضيحيّة لكلّ واحدٍ من أسفار العهد القديم، وهي متاحة للتحميل في صيغة </w:t>
      </w:r>
      <w:r w:rsidRPr="00B01458">
        <w:rPr>
          <w:rFonts w:ascii="Simplified Arabic" w:hAnsi="Simplified Arabic" w:cs="Simplified Arabic"/>
          <w:bCs/>
          <w:kern w:val="0"/>
          <w:sz w:val="26"/>
          <w:szCs w:val="26"/>
          <w:lang w:bidi="ar-JO"/>
          <w14:ligatures w14:val="none"/>
        </w:rPr>
        <w:t>PDF</w:t>
      </w:r>
      <w:r>
        <w:rPr>
          <w:rFonts w:ascii="Simplified Arabic" w:hAnsi="Simplified Arabic" w:cs="Simplified Arabic" w:hint="cs"/>
          <w:bCs/>
          <w:kern w:val="0"/>
          <w:sz w:val="26"/>
          <w:szCs w:val="26"/>
          <w:rtl/>
          <w:lang w:bidi="ar-JO"/>
          <w14:ligatures w14:val="none"/>
        </w:rPr>
        <w:t xml:space="preserve"> </w:t>
      </w:r>
      <w:r>
        <w:rPr>
          <w:rFonts w:ascii="Simplified Arabic" w:hAnsi="Simplified Arabic" w:cs="Simplified Arabic" w:hint="cs"/>
          <w:b/>
          <w:kern w:val="0"/>
          <w:sz w:val="26"/>
          <w:szCs w:val="26"/>
          <w:rtl/>
          <w:lang w:bidi="ar-JO"/>
          <w14:ligatures w14:val="none"/>
        </w:rPr>
        <w:t xml:space="preserve">مُلوَّنة وبحجمِ صفحةٍ كاملة. </w:t>
      </w:r>
    </w:p>
    <w:bookmarkEnd w:id="18"/>
    <w:p w14:paraId="0A227CE5" w14:textId="77777777" w:rsidR="00E32DB7" w:rsidRDefault="00E32DB7" w:rsidP="002D6C54">
      <w:pPr>
        <w:tabs>
          <w:tab w:val="left" w:pos="1572"/>
        </w:tabs>
        <w:spacing w:line="240" w:lineRule="auto"/>
        <w:rPr>
          <w:rFonts w:asciiTheme="majorBidi" w:hAnsiTheme="majorBidi" w:cstheme="majorBidi"/>
          <w:szCs w:val="24"/>
        </w:rPr>
      </w:pPr>
    </w:p>
    <w:p w14:paraId="2A9C1B2A" w14:textId="21371DF0" w:rsidR="007A4B15" w:rsidRDefault="007A4B15" w:rsidP="002D6C54">
      <w:pPr>
        <w:tabs>
          <w:tab w:val="left" w:pos="1572"/>
        </w:tabs>
        <w:spacing w:line="240" w:lineRule="auto"/>
        <w:rPr>
          <w:rFonts w:asciiTheme="majorBidi" w:hAnsiTheme="majorBidi" w:cstheme="majorBidi"/>
          <w:szCs w:val="24"/>
        </w:rPr>
      </w:pPr>
      <w:r>
        <w:rPr>
          <w:rFonts w:asciiTheme="majorBidi" w:hAnsiTheme="majorBidi" w:cstheme="majorBidi"/>
          <w:szCs w:val="24"/>
        </w:rPr>
        <w:br w:type="page"/>
      </w:r>
    </w:p>
    <w:p w14:paraId="2004F703" w14:textId="5C2234B1" w:rsidR="002D6C54" w:rsidRPr="002D6C54" w:rsidRDefault="002D6C54" w:rsidP="002D6C54">
      <w:pPr>
        <w:bidi/>
        <w:spacing w:before="120" w:after="80" w:line="240" w:lineRule="auto"/>
        <w:jc w:val="center"/>
        <w:rPr>
          <w:rFonts w:ascii="Simplified Arabic" w:hAnsi="Simplified Arabic" w:cs="Simplified Arabic"/>
          <w:bCs/>
          <w:kern w:val="0"/>
          <w:sz w:val="44"/>
          <w:szCs w:val="44"/>
          <w14:ligatures w14:val="none"/>
        </w:rPr>
      </w:pPr>
      <w:bookmarkStart w:id="20" w:name="_Hlk153291969"/>
      <w:bookmarkStart w:id="21" w:name="_Hlk178777833"/>
      <w:r w:rsidRPr="002D6C54">
        <w:rPr>
          <w:rFonts w:ascii="Simplified Arabic" w:hAnsi="Simplified Arabic" w:cs="Simplified Arabic" w:hint="cs"/>
          <w:bCs/>
          <w:kern w:val="0"/>
          <w:sz w:val="44"/>
          <w:szCs w:val="44"/>
          <w:rtl/>
          <w14:ligatures w14:val="none"/>
        </w:rPr>
        <w:lastRenderedPageBreak/>
        <w:t>الوحدة 1: مُقدِّمة وخلفيّة إلى دعوة إبراهيم</w:t>
      </w:r>
    </w:p>
    <w:p w14:paraId="0ED76401" w14:textId="782434A8" w:rsidR="002D6C54" w:rsidRPr="002D6C54" w:rsidRDefault="002D6C54" w:rsidP="002D6C54">
      <w:pPr>
        <w:bidi/>
        <w:spacing w:before="120" w:after="80" w:line="240" w:lineRule="auto"/>
        <w:jc w:val="center"/>
        <w:rPr>
          <w:rFonts w:ascii="Simplified Arabic" w:hAnsi="Simplified Arabic" w:cs="Simplified Arabic"/>
          <w:bCs/>
          <w:kern w:val="0"/>
          <w:sz w:val="44"/>
          <w:szCs w:val="44"/>
          <w:rtl/>
          <w14:ligatures w14:val="none"/>
        </w:rPr>
      </w:pPr>
      <w:r w:rsidRPr="002D6C54">
        <w:rPr>
          <w:rFonts w:ascii="Simplified Arabic" w:hAnsi="Simplified Arabic" w:cs="Simplified Arabic" w:hint="cs"/>
          <w:bCs/>
          <w:kern w:val="0"/>
          <w:sz w:val="44"/>
          <w:szCs w:val="44"/>
          <w:rtl/>
          <w14:ligatures w14:val="none"/>
        </w:rPr>
        <w:t xml:space="preserve">(تكوين 1: 1 </w:t>
      </w:r>
      <w:r w:rsidRPr="002D6C54">
        <w:rPr>
          <w:rFonts w:ascii="Simplified Arabic" w:hAnsi="Simplified Arabic" w:cs="Simplified Arabic"/>
          <w:bCs/>
          <w:kern w:val="0"/>
          <w:sz w:val="44"/>
          <w:szCs w:val="44"/>
          <w:rtl/>
          <w14:ligatures w14:val="none"/>
        </w:rPr>
        <w:t>–</w:t>
      </w:r>
      <w:r w:rsidRPr="002D6C54">
        <w:rPr>
          <w:rFonts w:ascii="Simplified Arabic" w:hAnsi="Simplified Arabic" w:cs="Simplified Arabic" w:hint="cs"/>
          <w:bCs/>
          <w:kern w:val="0"/>
          <w:sz w:val="44"/>
          <w:szCs w:val="44"/>
          <w:rtl/>
          <w14:ligatures w14:val="none"/>
        </w:rPr>
        <w:t xml:space="preserve"> 11: 26)</w:t>
      </w:r>
    </w:p>
    <w:p w14:paraId="3BC95602" w14:textId="5BE8D8F0" w:rsidR="007A4B15" w:rsidRPr="007A4B15" w:rsidRDefault="007A4B15" w:rsidP="002D6C54">
      <w:pPr>
        <w:pStyle w:val="Heading2"/>
      </w:pPr>
    </w:p>
    <w:p w14:paraId="06B24B31" w14:textId="5BF2B42F" w:rsidR="002D6C54" w:rsidRDefault="00B5299D" w:rsidP="002D6C54">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lang w:bidi="ar-JO"/>
          <w14:ligatures w14:val="none"/>
        </w:rPr>
      </w:pPr>
      <w:r>
        <w:rPr>
          <w:rFonts w:ascii="Simplified Arabic" w:eastAsia="Calibri" w:hAnsi="Simplified Arabic" w:cs="Simplified Arabic" w:hint="cs"/>
          <w:kern w:val="0"/>
          <w:sz w:val="26"/>
          <w:szCs w:val="26"/>
          <w:rtl/>
          <w:lang w:bidi="ar-JO"/>
          <w14:ligatures w14:val="none"/>
        </w:rPr>
        <w:t>يمكن تقسيم سفر التكوين إلى قسمَين رئيسيين: الأصحاحات 1-11</w:t>
      </w:r>
      <w:r w:rsidR="007C5927">
        <w:rPr>
          <w:rFonts w:ascii="Simplified Arabic" w:eastAsia="Calibri" w:hAnsi="Simplified Arabic" w:cs="Simplified Arabic" w:hint="cs"/>
          <w:kern w:val="0"/>
          <w:sz w:val="26"/>
          <w:szCs w:val="26"/>
          <w:rtl/>
          <w:lang w:bidi="ar-JO"/>
          <w14:ligatures w14:val="none"/>
        </w:rPr>
        <w:t>، التي تغطي</w:t>
      </w:r>
      <w:r>
        <w:rPr>
          <w:rFonts w:ascii="Simplified Arabic" w:eastAsia="Calibri" w:hAnsi="Simplified Arabic" w:cs="Simplified Arabic" w:hint="cs"/>
          <w:kern w:val="0"/>
          <w:sz w:val="26"/>
          <w:szCs w:val="26"/>
          <w:rtl/>
          <w:lang w:bidi="ar-JO"/>
          <w14:ligatures w14:val="none"/>
        </w:rPr>
        <w:t xml:space="preserve"> الفترة التي سبقت إبراهيم، والأصحاحات 12-50، التي تقدِّم قصّة إبراهيم ونسله (الآباء). تهيّئ الأصحاحات الأحد عشر الأولى من سفر التكوين مسرح الأحداث لزمن الآباء بمساعدة القرّاء على أن </w:t>
      </w:r>
      <w:r w:rsidR="007C5927">
        <w:rPr>
          <w:rFonts w:ascii="Simplified Arabic" w:eastAsia="Calibri" w:hAnsi="Simplified Arabic" w:cs="Simplified Arabic" w:hint="cs"/>
          <w:kern w:val="0"/>
          <w:sz w:val="26"/>
          <w:szCs w:val="26"/>
          <w:rtl/>
          <w:lang w:bidi="ar-JO"/>
          <w14:ligatures w14:val="none"/>
        </w:rPr>
        <w:t>ي</w:t>
      </w:r>
      <w:r>
        <w:rPr>
          <w:rFonts w:ascii="Simplified Arabic" w:eastAsia="Calibri" w:hAnsi="Simplified Arabic" w:cs="Simplified Arabic" w:hint="cs"/>
          <w:kern w:val="0"/>
          <w:sz w:val="26"/>
          <w:szCs w:val="26"/>
          <w:rtl/>
          <w:lang w:bidi="ar-JO"/>
          <w14:ligatures w14:val="none"/>
        </w:rPr>
        <w:t>فهموا الاحتياج إلى خطّة الله بأن يدعو إبراهيم وبأن يخلق أمّةً جديدة منه. فمع أنّ الله خلق كلَّ شيءٍ كاملًا، فقد دخلت الخطيّة بعدَ فترةٍ قصيرة إلى الصورة، وأفسدت خليقة الله. وقد استمرّت الخطية في الانتشار في كلّ البشريّة، ممّا أدّى إلى دينونة الله في طوفانٍ أ</w:t>
      </w:r>
      <w:r w:rsidR="008A1EC2">
        <w:rPr>
          <w:rFonts w:ascii="Simplified Arabic" w:eastAsia="Calibri" w:hAnsi="Simplified Arabic" w:cs="Simplified Arabic" w:hint="cs"/>
          <w:kern w:val="0"/>
          <w:sz w:val="26"/>
          <w:szCs w:val="26"/>
          <w:rtl/>
          <w:lang w:bidi="ar-JO"/>
          <w14:ligatures w14:val="none"/>
        </w:rPr>
        <w:t xml:space="preserve">باد كلّ البشر باستثناء نوح وعائلته القريبة. </w:t>
      </w:r>
      <w:r w:rsidR="00C865DC">
        <w:rPr>
          <w:rFonts w:ascii="Simplified Arabic" w:eastAsia="Calibri" w:hAnsi="Simplified Arabic" w:cs="Simplified Arabic" w:hint="cs"/>
          <w:kern w:val="0"/>
          <w:sz w:val="26"/>
          <w:szCs w:val="26"/>
          <w:rtl/>
          <w:lang w:bidi="ar-JO"/>
          <w14:ligatures w14:val="none"/>
        </w:rPr>
        <w:t xml:space="preserve">ولكنْ لم تعِش الأجيال التالية بصورة أفضل، بل تحوَّلت إلى عبادة الأصنام والانحلال الأخلاقي. </w:t>
      </w:r>
      <w:r w:rsidR="0097261B">
        <w:rPr>
          <w:rFonts w:ascii="Simplified Arabic" w:eastAsia="Calibri" w:hAnsi="Simplified Arabic" w:cs="Simplified Arabic" w:hint="cs"/>
          <w:kern w:val="0"/>
          <w:sz w:val="26"/>
          <w:szCs w:val="26"/>
          <w:rtl/>
          <w:lang w:bidi="ar-JO"/>
          <w14:ligatures w14:val="none"/>
        </w:rPr>
        <w:t>لم تكن إبادة البشر ثانيةً حلًّا للمشكلة. فكانت خطّة الله أن يدعو إبراهيم ليؤسِّس ويُنشئ أمّةً جديدةً يستطيع الله من خلالها أن ي</w:t>
      </w:r>
      <w:r w:rsidR="007C5927">
        <w:rPr>
          <w:rFonts w:ascii="Simplified Arabic" w:eastAsia="Calibri" w:hAnsi="Simplified Arabic" w:cs="Simplified Arabic" w:hint="cs"/>
          <w:kern w:val="0"/>
          <w:sz w:val="26"/>
          <w:szCs w:val="26"/>
          <w:rtl/>
          <w:lang w:bidi="ar-JO"/>
          <w14:ligatures w14:val="none"/>
        </w:rPr>
        <w:t>ُ</w:t>
      </w:r>
      <w:r w:rsidR="0097261B">
        <w:rPr>
          <w:rFonts w:ascii="Simplified Arabic" w:eastAsia="Calibri" w:hAnsi="Simplified Arabic" w:cs="Simplified Arabic" w:hint="cs"/>
          <w:kern w:val="0"/>
          <w:sz w:val="26"/>
          <w:szCs w:val="26"/>
          <w:rtl/>
          <w:lang w:bidi="ar-JO"/>
          <w14:ligatures w14:val="none"/>
        </w:rPr>
        <w:t xml:space="preserve">علِن المزيد عن نفسه للعالم، وفي النهاية أن يجتذب الناس بالنعمة من خلال الإيمان به. </w:t>
      </w:r>
    </w:p>
    <w:p w14:paraId="5BDBFA43" w14:textId="28C75C00" w:rsidR="0097261B" w:rsidRDefault="0097261B" w:rsidP="0097261B">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lang w:bidi="ar-JO"/>
          <w14:ligatures w14:val="none"/>
        </w:rPr>
      </w:pPr>
      <w:r>
        <w:rPr>
          <w:rFonts w:ascii="Simplified Arabic" w:eastAsia="Calibri" w:hAnsi="Simplified Arabic" w:cs="Simplified Arabic" w:hint="cs"/>
          <w:kern w:val="0"/>
          <w:sz w:val="26"/>
          <w:szCs w:val="26"/>
          <w:rtl/>
          <w:lang w:bidi="ar-JO"/>
          <w14:ligatures w14:val="none"/>
        </w:rPr>
        <w:t xml:space="preserve">في هذه الوحدة، سيكون الدرس الأوَّل مُقدَّمةً عامّة لدراسة العهد القديم. </w:t>
      </w:r>
      <w:r w:rsidR="00951E40">
        <w:rPr>
          <w:rFonts w:ascii="Simplified Arabic" w:eastAsia="Calibri" w:hAnsi="Simplified Arabic" w:cs="Simplified Arabic" w:hint="cs"/>
          <w:kern w:val="0"/>
          <w:sz w:val="26"/>
          <w:szCs w:val="26"/>
          <w:rtl/>
          <w:lang w:bidi="ar-JO"/>
          <w14:ligatures w14:val="none"/>
        </w:rPr>
        <w:t xml:space="preserve">ويركّز الدرس الثاني على قصّة الخلق، ليُتبَع بالدرس الثالث الذي يتتبّع قصّة ما حدث بعد أن دخلت الخطية وأفسدت خليقة الله الكاملة. </w:t>
      </w:r>
    </w:p>
    <w:p w14:paraId="03213463" w14:textId="77777777" w:rsidR="00951E40" w:rsidRDefault="00951E40" w:rsidP="00951E40">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lang w:bidi="ar-JO"/>
          <w14:ligatures w14:val="none"/>
        </w:rPr>
      </w:pPr>
    </w:p>
    <w:p w14:paraId="27CE5159" w14:textId="05E6D752" w:rsidR="007A4B15" w:rsidRPr="007A4B15" w:rsidRDefault="00951E40" w:rsidP="00951E40">
      <w:pPr>
        <w:pStyle w:val="Heading3"/>
        <w:bidi/>
        <w:spacing w:line="240" w:lineRule="auto"/>
      </w:pPr>
      <w:r>
        <w:rPr>
          <w:rFonts w:hint="cs"/>
          <w:rtl/>
        </w:rPr>
        <w:t xml:space="preserve">مخطّط </w:t>
      </w:r>
      <w:r w:rsidR="00C04279">
        <w:rPr>
          <w:rFonts w:hint="cs"/>
          <w:rtl/>
        </w:rPr>
        <w:t>الوحدة</w:t>
      </w:r>
    </w:p>
    <w:p w14:paraId="0E785DE9" w14:textId="77777777" w:rsidR="002D6C54" w:rsidRPr="00AD7FFD" w:rsidRDefault="002D6C54" w:rsidP="002D6C54">
      <w:pPr>
        <w:bidi/>
        <w:spacing w:after="0" w:line="240" w:lineRule="auto"/>
        <w:ind w:left="1440" w:hanging="900"/>
        <w:contextualSpacing/>
        <w:rPr>
          <w:rFonts w:ascii="Simplified Arabic" w:hAnsi="Simplified Arabic" w:cs="Simplified Arabic"/>
          <w:b/>
          <w:kern w:val="0"/>
          <w:sz w:val="26"/>
          <w:szCs w:val="26"/>
          <w:rtl/>
          <w14:ligatures w14:val="none"/>
        </w:rPr>
      </w:pPr>
      <w:bookmarkStart w:id="22" w:name="_Toc517779430"/>
      <w:bookmarkStart w:id="23" w:name="_Toc164419987"/>
      <w:r w:rsidRPr="00AD7FFD">
        <w:rPr>
          <w:rFonts w:ascii="Simplified Arabic" w:hAnsi="Simplified Arabic" w:cs="Simplified Arabic"/>
          <w:b/>
          <w:kern w:val="0"/>
          <w:sz w:val="26"/>
          <w:szCs w:val="26"/>
          <w:rtl/>
          <w14:ligatures w14:val="none"/>
        </w:rPr>
        <w:t>الدرس 1: مُقدِّمة إلى العهد القديم</w:t>
      </w:r>
    </w:p>
    <w:p w14:paraId="3AB77701" w14:textId="77777777" w:rsidR="002D6C54" w:rsidRPr="00AD7FFD" w:rsidRDefault="002D6C54" w:rsidP="002D6C54">
      <w:pPr>
        <w:bidi/>
        <w:spacing w:after="0" w:line="240" w:lineRule="auto"/>
        <w:ind w:left="1440" w:hanging="900"/>
        <w:contextualSpacing/>
        <w:rPr>
          <w:rFonts w:ascii="Simplified Arabic" w:hAnsi="Simplified Arabic" w:cs="Simplified Arabic"/>
          <w:b/>
          <w:kern w:val="0"/>
          <w:sz w:val="26"/>
          <w:szCs w:val="26"/>
          <w:rtl/>
          <w14:ligatures w14:val="none"/>
        </w:rPr>
      </w:pPr>
      <w:r w:rsidRPr="00AD7FFD">
        <w:rPr>
          <w:rFonts w:ascii="Simplified Arabic" w:hAnsi="Simplified Arabic" w:cs="Simplified Arabic"/>
          <w:b/>
          <w:kern w:val="0"/>
          <w:sz w:val="26"/>
          <w:szCs w:val="26"/>
          <w:rtl/>
          <w14:ligatures w14:val="none"/>
        </w:rPr>
        <w:t>الدرس 2: رواية الخلق (تكوين 1: 1–2: 3)</w:t>
      </w:r>
    </w:p>
    <w:p w14:paraId="2B5D4685" w14:textId="35CBD355" w:rsidR="002D6C54" w:rsidRDefault="002D6C54" w:rsidP="002D6C54">
      <w:pPr>
        <w:bidi/>
        <w:spacing w:after="0" w:line="240" w:lineRule="auto"/>
        <w:ind w:left="1440" w:hanging="900"/>
        <w:contextualSpacing/>
        <w:rPr>
          <w:rFonts w:ascii="Simplified Arabic" w:hAnsi="Simplified Arabic" w:cs="Simplified Arabic"/>
          <w:b/>
          <w:kern w:val="0"/>
          <w:sz w:val="26"/>
          <w:szCs w:val="26"/>
          <w:rtl/>
          <w14:ligatures w14:val="none"/>
        </w:rPr>
      </w:pPr>
      <w:r w:rsidRPr="00AD7FFD">
        <w:rPr>
          <w:rFonts w:ascii="Simplified Arabic" w:hAnsi="Simplified Arabic" w:cs="Simplified Arabic"/>
          <w:b/>
          <w:kern w:val="0"/>
          <w:sz w:val="26"/>
          <w:szCs w:val="26"/>
          <w:rtl/>
          <w14:ligatures w14:val="none"/>
        </w:rPr>
        <w:t xml:space="preserve">الدرس 3: </w:t>
      </w:r>
      <w:r w:rsidR="009D3B46">
        <w:rPr>
          <w:rFonts w:ascii="Simplified Arabic" w:hAnsi="Simplified Arabic" w:cs="Simplified Arabic" w:hint="cs"/>
          <w:b/>
          <w:kern w:val="0"/>
          <w:sz w:val="26"/>
          <w:szCs w:val="26"/>
          <w:rtl/>
          <w14:ligatures w14:val="none"/>
        </w:rPr>
        <w:t>قصّة</w:t>
      </w:r>
      <w:r w:rsidRPr="00AD7FFD">
        <w:rPr>
          <w:rFonts w:ascii="Simplified Arabic" w:hAnsi="Simplified Arabic" w:cs="Simplified Arabic"/>
          <w:b/>
          <w:kern w:val="0"/>
          <w:sz w:val="26"/>
          <w:szCs w:val="26"/>
          <w:rtl/>
          <w14:ligatures w14:val="none"/>
        </w:rPr>
        <w:t xml:space="preserve"> السقوط وانتشار الخطية والطوفان (تكوين 2: 4: 11: 26)</w:t>
      </w:r>
    </w:p>
    <w:p w14:paraId="0210A1CF" w14:textId="77777777" w:rsidR="00951E40" w:rsidRPr="00AD7FFD" w:rsidRDefault="00951E40" w:rsidP="00951E40">
      <w:pPr>
        <w:bidi/>
        <w:spacing w:after="0" w:line="240" w:lineRule="auto"/>
        <w:contextualSpacing/>
        <w:rPr>
          <w:rFonts w:ascii="Simplified Arabic" w:hAnsi="Simplified Arabic" w:cs="Simplified Arabic"/>
          <w:b/>
          <w:kern w:val="0"/>
          <w:sz w:val="26"/>
          <w:szCs w:val="26"/>
          <w:rtl/>
          <w14:ligatures w14:val="none"/>
        </w:rPr>
      </w:pPr>
    </w:p>
    <w:bookmarkEnd w:id="22"/>
    <w:bookmarkEnd w:id="23"/>
    <w:p w14:paraId="402DA0A5" w14:textId="7BCFABE0" w:rsidR="007A4B15" w:rsidRPr="00951E40" w:rsidRDefault="00951E40" w:rsidP="00951E40">
      <w:pPr>
        <w:pStyle w:val="Heading3"/>
        <w:bidi/>
        <w:spacing w:line="240" w:lineRule="auto"/>
        <w:rPr>
          <w:rFonts w:ascii="Simplified Arabic" w:hAnsi="Simplified Arabic" w:cs="Simplified Arabic"/>
        </w:rPr>
      </w:pPr>
      <w:r w:rsidRPr="00951E40">
        <w:rPr>
          <w:rFonts w:ascii="Simplified Arabic" w:hAnsi="Simplified Arabic" w:cs="Simplified Arabic"/>
          <w:rtl/>
        </w:rPr>
        <w:t>أهداف الوحدة</w:t>
      </w:r>
    </w:p>
    <w:p w14:paraId="3178C10B" w14:textId="16EAE9F5" w:rsidR="007A4B15" w:rsidRDefault="00951E40" w:rsidP="00951E40">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sidRPr="00951E40">
        <w:rPr>
          <w:rFonts w:ascii="Simplified Arabic" w:eastAsia="Calibri" w:hAnsi="Simplified Arabic" w:cs="Simplified Arabic"/>
          <w:kern w:val="0"/>
          <w:sz w:val="26"/>
          <w:szCs w:val="26"/>
          <w:rtl/>
          <w14:ligatures w14:val="none"/>
        </w:rPr>
        <w:t xml:space="preserve">بانتهائك </w:t>
      </w:r>
      <w:r>
        <w:rPr>
          <w:rFonts w:ascii="Simplified Arabic" w:eastAsia="Calibri" w:hAnsi="Simplified Arabic" w:cs="Simplified Arabic" w:hint="cs"/>
          <w:kern w:val="0"/>
          <w:sz w:val="26"/>
          <w:szCs w:val="26"/>
          <w:rtl/>
          <w14:ligatures w14:val="none"/>
        </w:rPr>
        <w:t xml:space="preserve">من دراسة هذه الوحدة، ستكون قادرًا على ما يلي: </w:t>
      </w:r>
    </w:p>
    <w:p w14:paraId="34BC77EF" w14:textId="44BC250F" w:rsidR="00951E40" w:rsidRDefault="00951E40" w:rsidP="00951E40">
      <w:pPr>
        <w:pStyle w:val="ListParagraph"/>
        <w:numPr>
          <w:ilvl w:val="0"/>
          <w:numId w:val="3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14:ligatures w14:val="none"/>
        </w:rPr>
      </w:pPr>
      <w:r>
        <w:rPr>
          <w:rFonts w:ascii="Simplified Arabic" w:eastAsia="Calibri" w:hAnsi="Simplified Arabic" w:cs="Simplified Arabic" w:hint="cs"/>
          <w:kern w:val="0"/>
          <w:sz w:val="26"/>
          <w:szCs w:val="26"/>
          <w:rtl/>
          <w14:ligatures w14:val="none"/>
        </w:rPr>
        <w:t xml:space="preserve">أن تتبَّع تسلسل الأحداث الرئيسيّة من إبراهيم وحتّى فترة القضاة. </w:t>
      </w:r>
    </w:p>
    <w:p w14:paraId="00E68905" w14:textId="5ECABBD9" w:rsidR="00951E40" w:rsidRDefault="00951E40" w:rsidP="00951E40">
      <w:pPr>
        <w:pStyle w:val="ListParagraph"/>
        <w:numPr>
          <w:ilvl w:val="0"/>
          <w:numId w:val="3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14:ligatures w14:val="none"/>
        </w:rPr>
      </w:pPr>
      <w:r>
        <w:rPr>
          <w:rFonts w:ascii="Simplified Arabic" w:eastAsia="Calibri" w:hAnsi="Simplified Arabic" w:cs="Simplified Arabic" w:hint="cs"/>
          <w:kern w:val="0"/>
          <w:sz w:val="26"/>
          <w:szCs w:val="26"/>
          <w:rtl/>
          <w14:ligatures w14:val="none"/>
        </w:rPr>
        <w:t xml:space="preserve">أن تدافع عن الرأي الحرفي بشأن قصّة الخلق التي يقدِّمها الكتاب المُقدَّس. </w:t>
      </w:r>
    </w:p>
    <w:p w14:paraId="229569EC" w14:textId="08F74B2A" w:rsidR="00951E40" w:rsidRDefault="00951E40" w:rsidP="00951E40">
      <w:pPr>
        <w:pStyle w:val="ListParagraph"/>
        <w:numPr>
          <w:ilvl w:val="0"/>
          <w:numId w:val="3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14:ligatures w14:val="none"/>
        </w:rPr>
      </w:pPr>
      <w:r>
        <w:rPr>
          <w:rFonts w:ascii="Simplified Arabic" w:eastAsia="Calibri" w:hAnsi="Simplified Arabic" w:cs="Simplified Arabic" w:hint="cs"/>
          <w:kern w:val="0"/>
          <w:sz w:val="26"/>
          <w:szCs w:val="26"/>
          <w:rtl/>
          <w14:ligatures w14:val="none"/>
        </w:rPr>
        <w:t>أن تشرح عواقب خطي</w:t>
      </w:r>
      <w:r w:rsidR="007C5927">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ة الجنس البشري وتأثيراته على الأجيال التالية. </w:t>
      </w:r>
    </w:p>
    <w:p w14:paraId="429A6986" w14:textId="06EB4690" w:rsidR="00951E40" w:rsidRPr="00951E40" w:rsidRDefault="00951E40" w:rsidP="00951E40">
      <w:pPr>
        <w:pStyle w:val="ListParagraph"/>
        <w:numPr>
          <w:ilvl w:val="0"/>
          <w:numId w:val="3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14:ligatures w14:val="none"/>
        </w:rPr>
      </w:pPr>
      <w:r>
        <w:rPr>
          <w:rFonts w:ascii="Simplified Arabic" w:eastAsia="Calibri" w:hAnsi="Simplified Arabic" w:cs="Simplified Arabic" w:hint="cs"/>
          <w:kern w:val="0"/>
          <w:sz w:val="26"/>
          <w:szCs w:val="26"/>
          <w:rtl/>
          <w14:ligatures w14:val="none"/>
        </w:rPr>
        <w:lastRenderedPageBreak/>
        <w:t xml:space="preserve">أن تدافع عن الرواية الكتابيّة بأن طوفان نوح كان طوفانًا كونيًّا. </w:t>
      </w:r>
    </w:p>
    <w:p w14:paraId="6D75CFDE" w14:textId="77777777" w:rsidR="003D7DFA" w:rsidRDefault="003D7DFA" w:rsidP="002D6C54">
      <w:pPr>
        <w:pStyle w:val="Heading2"/>
      </w:pPr>
      <w:bookmarkStart w:id="24" w:name="_Toc517779431"/>
      <w:bookmarkEnd w:id="20"/>
      <w:r>
        <w:br w:type="page"/>
      </w:r>
    </w:p>
    <w:p w14:paraId="6BFEFBB2" w14:textId="70AAC9B2" w:rsidR="00E10968" w:rsidRPr="00951E40" w:rsidRDefault="00951E40" w:rsidP="002D6C54">
      <w:pPr>
        <w:pStyle w:val="Heading2"/>
        <w:rPr>
          <w:rFonts w:ascii="Simplified Arabic" w:hAnsi="Simplified Arabic" w:cs="Simplified Arabic"/>
        </w:rPr>
      </w:pPr>
      <w:r w:rsidRPr="00951E40">
        <w:rPr>
          <w:rFonts w:ascii="Simplified Arabic" w:hAnsi="Simplified Arabic" w:cs="Simplified Arabic"/>
          <w:rtl/>
        </w:rPr>
        <w:lastRenderedPageBreak/>
        <w:t>الدرس 1: مُقدِّمة إلى العهد القديم</w:t>
      </w:r>
      <w:r w:rsidR="00CE6DA9" w:rsidRPr="00951E40">
        <w:rPr>
          <w:rFonts w:ascii="Simplified Arabic" w:hAnsi="Simplified Arabic" w:cs="Simplified Arabic"/>
        </w:rPr>
        <w:t xml:space="preserve"> </w:t>
      </w:r>
      <w:bookmarkStart w:id="25" w:name="_Toc517779432"/>
      <w:bookmarkEnd w:id="24"/>
    </w:p>
    <w:p w14:paraId="10B4EC05" w14:textId="77777777" w:rsidR="00311C51" w:rsidRPr="007A4B15" w:rsidRDefault="00311C51"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kern w:val="0"/>
          <w:szCs w:val="24"/>
          <w14:ligatures w14:val="none"/>
        </w:rPr>
      </w:pPr>
    </w:p>
    <w:bookmarkEnd w:id="25"/>
    <w:p w14:paraId="2E7EC2AA" w14:textId="1703944C" w:rsidR="007A4B15" w:rsidRPr="00951E40" w:rsidRDefault="00951E40" w:rsidP="00951E40">
      <w:pPr>
        <w:pStyle w:val="Heading3"/>
        <w:bidi/>
        <w:spacing w:line="240" w:lineRule="auto"/>
        <w:rPr>
          <w:rFonts w:ascii="Simplified Arabic" w:hAnsi="Simplified Arabic" w:cs="Simplified Arabic"/>
          <w:lang w:val="fr-FR"/>
        </w:rPr>
      </w:pPr>
      <w:r w:rsidRPr="00951E40">
        <w:rPr>
          <w:rFonts w:ascii="Simplified Arabic" w:hAnsi="Simplified Arabic" w:cs="Simplified Arabic"/>
          <w:rtl/>
          <w:lang w:val="fr-FR"/>
        </w:rPr>
        <w:t>مُقدِّمة الدرس</w:t>
      </w:r>
    </w:p>
    <w:p w14:paraId="4CDBFEE3" w14:textId="39A638CF" w:rsidR="00951E40" w:rsidRPr="00951E40" w:rsidRDefault="00951E40" w:rsidP="00951E40">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يهدف الدرس الأوّل إلى مساعدة الطلاب في أن يتعرَّفوا بعض الشيء إلى العهد القديم، بحيث يُقدَّم لهم الجو</w:t>
      </w:r>
      <w:r w:rsidR="007C5927">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والظروف الأساسي</w:t>
      </w:r>
      <w:r w:rsidR="007C5927">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ة للأحداث الموصوفة في الأسفار الثمانية الأولى. يُشرَح معنى المُصطلح "الأسفار الخمسة". وبعد ذلك يُوضَّح التسلسل الزمني للأحداث الرئيسيّة للفترة ما بين إبراهيم وحتى القضاة، بدءًا بولادة إبراهيم عام 2166 ق.م.، وحتى تتويج الملك الأو</w:t>
      </w:r>
      <w:r w:rsidR="007C5927">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ل لشعب إسرائيل عام 1051 ق.م. نتحدَّث عن تواريخ الخلق الأصلي والطوفان، مع الإشارة إلى التناقضات الظاهرة ما بين الأرقام الواردة في النص العبريّ مقارَنةً بتلك الموجودة في الترجمة اليونانيّة للعهد القديم التي أتت لاحقًا. وأخيرًا </w:t>
      </w:r>
      <w:r w:rsidR="00D7231E">
        <w:rPr>
          <w:rFonts w:ascii="Simplified Arabic" w:eastAsia="Calibri" w:hAnsi="Simplified Arabic" w:cs="Simplified Arabic" w:hint="cs"/>
          <w:kern w:val="0"/>
          <w:sz w:val="26"/>
          <w:szCs w:val="26"/>
          <w:rtl/>
          <w14:ligatures w14:val="none"/>
        </w:rPr>
        <w:t xml:space="preserve">تُقدَّم نظرة عامّة إلى جغرافيّة الشرق الأدنى القديم مع الحديث عن مواقع المدن الرئيسيّة في الحضارة القديمة. </w:t>
      </w:r>
    </w:p>
    <w:p w14:paraId="75BA302F" w14:textId="743536F4" w:rsidR="007A4B15" w:rsidRPr="00D7231E" w:rsidRDefault="00D7231E" w:rsidP="00D7231E">
      <w:pPr>
        <w:pStyle w:val="Heading3"/>
        <w:bidi/>
        <w:spacing w:line="240" w:lineRule="auto"/>
        <w:rPr>
          <w:rFonts w:ascii="Simplified Arabic" w:hAnsi="Simplified Arabic" w:cs="Simplified Arabic"/>
        </w:rPr>
      </w:pPr>
      <w:r w:rsidRPr="00D7231E">
        <w:rPr>
          <w:rFonts w:ascii="Simplified Arabic" w:hAnsi="Simplified Arabic" w:cs="Simplified Arabic"/>
          <w:rtl/>
        </w:rPr>
        <w:t>مخطَّط الدرس</w:t>
      </w:r>
    </w:p>
    <w:p w14:paraId="02D776A3" w14:textId="05696639" w:rsidR="007A4B15" w:rsidRPr="00D7231E" w:rsidRDefault="00D7231E" w:rsidP="00D7231E">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r w:rsidRPr="00D7231E">
        <w:rPr>
          <w:rFonts w:ascii="Simplified Arabic" w:eastAsia="Calibri" w:hAnsi="Simplified Arabic" w:cs="Simplified Arabic"/>
          <w:kern w:val="0"/>
          <w:sz w:val="26"/>
          <w:szCs w:val="26"/>
          <w:rtl/>
          <w14:ligatures w14:val="none"/>
        </w:rPr>
        <w:t xml:space="preserve">الموضوع 1: </w:t>
      </w:r>
      <w:r w:rsidRPr="00D7231E">
        <w:rPr>
          <w:rFonts w:ascii="Simplified Arabic" w:eastAsia="Calibri" w:hAnsi="Simplified Arabic" w:cs="Simplified Arabic"/>
          <w:kern w:val="0"/>
          <w:sz w:val="26"/>
          <w:szCs w:val="26"/>
          <w:rtl/>
          <w14:ligatures w14:val="none"/>
        </w:rPr>
        <w:tab/>
        <w:t xml:space="preserve">مُقدِّمة عامّة إلى العهد القديم </w:t>
      </w:r>
    </w:p>
    <w:p w14:paraId="37833FD2" w14:textId="62571AE1" w:rsidR="00D7231E" w:rsidRPr="00D7231E" w:rsidRDefault="00D7231E" w:rsidP="00D7231E">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r w:rsidRPr="00D7231E">
        <w:rPr>
          <w:rFonts w:ascii="Simplified Arabic" w:eastAsia="Calibri" w:hAnsi="Simplified Arabic" w:cs="Simplified Arabic"/>
          <w:kern w:val="0"/>
          <w:sz w:val="26"/>
          <w:szCs w:val="26"/>
          <w:rtl/>
          <w14:ligatures w14:val="none"/>
        </w:rPr>
        <w:t xml:space="preserve">الموضوع 2: </w:t>
      </w:r>
      <w:r>
        <w:rPr>
          <w:rFonts w:ascii="Simplified Arabic" w:eastAsia="Calibri" w:hAnsi="Simplified Arabic" w:cs="Simplified Arabic"/>
          <w:kern w:val="0"/>
          <w:sz w:val="26"/>
          <w:szCs w:val="26"/>
          <w:rtl/>
          <w14:ligatures w14:val="none"/>
        </w:rPr>
        <w:tab/>
      </w:r>
      <w:r w:rsidRPr="00D7231E">
        <w:rPr>
          <w:rFonts w:ascii="Simplified Arabic" w:eastAsia="Calibri" w:hAnsi="Simplified Arabic" w:cs="Simplified Arabic"/>
          <w:kern w:val="0"/>
          <w:sz w:val="26"/>
          <w:szCs w:val="26"/>
          <w:rtl/>
          <w14:ligatures w14:val="none"/>
        </w:rPr>
        <w:t>الخطّ الزمني للعهد القديم</w:t>
      </w:r>
    </w:p>
    <w:p w14:paraId="1144B50C" w14:textId="42AF18EF" w:rsidR="00D7231E" w:rsidRDefault="00D7231E" w:rsidP="00D7231E">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eastAsia="Calibri" w:cs="Times New Roman"/>
          <w:kern w:val="0"/>
          <w:szCs w:val="24"/>
          <w:rtl/>
          <w14:ligatures w14:val="none"/>
        </w:rPr>
      </w:pPr>
      <w:r w:rsidRPr="00D7231E">
        <w:rPr>
          <w:rFonts w:ascii="Simplified Arabic" w:eastAsia="Calibri" w:hAnsi="Simplified Arabic" w:cs="Simplified Arabic"/>
          <w:kern w:val="0"/>
          <w:sz w:val="26"/>
          <w:szCs w:val="26"/>
          <w:rtl/>
          <w14:ligatures w14:val="none"/>
        </w:rPr>
        <w:t xml:space="preserve">الموضوع 3: </w:t>
      </w:r>
      <w:r>
        <w:rPr>
          <w:rFonts w:ascii="Simplified Arabic" w:eastAsia="Calibri" w:hAnsi="Simplified Arabic" w:cs="Simplified Arabic"/>
          <w:kern w:val="0"/>
          <w:sz w:val="26"/>
          <w:szCs w:val="26"/>
          <w:rtl/>
          <w14:ligatures w14:val="none"/>
        </w:rPr>
        <w:tab/>
      </w:r>
      <w:r w:rsidRPr="00D7231E">
        <w:rPr>
          <w:rFonts w:ascii="Simplified Arabic" w:eastAsia="Calibri" w:hAnsi="Simplified Arabic" w:cs="Simplified Arabic"/>
          <w:kern w:val="0"/>
          <w:sz w:val="26"/>
          <w:szCs w:val="26"/>
          <w:rtl/>
          <w14:ligatures w14:val="none"/>
        </w:rPr>
        <w:t>جغرافيّة الشرق الأدنى القديم وخارطته</w:t>
      </w:r>
      <w:r>
        <w:rPr>
          <w:rFonts w:eastAsia="Calibri" w:cs="Times New Roman" w:hint="cs"/>
          <w:kern w:val="0"/>
          <w:szCs w:val="24"/>
          <w:rtl/>
          <w14:ligatures w14:val="none"/>
        </w:rPr>
        <w:t xml:space="preserve"> </w:t>
      </w:r>
    </w:p>
    <w:p w14:paraId="024DA536" w14:textId="77777777" w:rsidR="00D7231E" w:rsidRPr="007A4B15" w:rsidRDefault="00D7231E" w:rsidP="00D7231E">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eastAsia="Calibri" w:cs="Times New Roman"/>
          <w:kern w:val="0"/>
          <w:szCs w:val="24"/>
          <w14:ligatures w14:val="none"/>
        </w:rPr>
      </w:pPr>
    </w:p>
    <w:p w14:paraId="1EEEEC8F" w14:textId="17F067E4" w:rsidR="007A4B15" w:rsidRPr="00D7231E" w:rsidRDefault="00D7231E" w:rsidP="00D7231E">
      <w:pPr>
        <w:pStyle w:val="Heading3"/>
        <w:bidi/>
        <w:spacing w:line="240" w:lineRule="auto"/>
        <w:rPr>
          <w:rFonts w:ascii="Simplified Arabic" w:hAnsi="Simplified Arabic" w:cs="Simplified Arabic"/>
          <w:lang w:val="fr-FR"/>
        </w:rPr>
      </w:pPr>
      <w:r w:rsidRPr="00D7231E">
        <w:rPr>
          <w:rFonts w:ascii="Simplified Arabic" w:hAnsi="Simplified Arabic" w:cs="Simplified Arabic"/>
          <w:rtl/>
          <w:lang w:val="fr-FR"/>
        </w:rPr>
        <w:t>أهداف الدرس</w:t>
      </w:r>
    </w:p>
    <w:p w14:paraId="4EF5FD45" w14:textId="745C52B4" w:rsidR="007A4B15" w:rsidRPr="00D7231E" w:rsidRDefault="00D7231E" w:rsidP="00D7231E">
      <w:pPr>
        <w:bidi/>
        <w:spacing w:before="120" w:after="80" w:line="240" w:lineRule="auto"/>
        <w:rPr>
          <w:rFonts w:ascii="Simplified Arabic" w:eastAsia="Calibri" w:hAnsi="Simplified Arabic" w:cs="Simplified Arabic"/>
          <w:kern w:val="0"/>
          <w:sz w:val="26"/>
          <w:szCs w:val="26"/>
          <w14:ligatures w14:val="none"/>
        </w:rPr>
      </w:pPr>
      <w:r>
        <w:rPr>
          <w:rFonts w:ascii="Simplified Arabic" w:eastAsia="Calibri" w:hAnsi="Simplified Arabic" w:cs="Simplified Arabic" w:hint="cs"/>
          <w:kern w:val="0"/>
          <w:sz w:val="26"/>
          <w:szCs w:val="26"/>
          <w:rtl/>
          <w14:ligatures w14:val="none"/>
        </w:rPr>
        <w:t xml:space="preserve">بانتهائك من دراسة هذا الدرس، ستكون قادرًا على ما يلي: </w:t>
      </w:r>
    </w:p>
    <w:p w14:paraId="372C3441" w14:textId="6126F684" w:rsidR="003D7DFA" w:rsidRDefault="00D7231E" w:rsidP="00D7231E">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D7231E">
        <w:rPr>
          <w:rFonts w:ascii="Simplified Arabic" w:eastAsia="Calibri" w:hAnsi="Simplified Arabic" w:cs="Simplified Arabic"/>
          <w:kern w:val="0"/>
          <w:sz w:val="26"/>
          <w:szCs w:val="26"/>
          <w:rtl/>
          <w14:ligatures w14:val="none"/>
        </w:rPr>
        <w:t>أن تشرح معنى مُصطلح "الأسفار الخمسة".</w:t>
      </w:r>
    </w:p>
    <w:p w14:paraId="2ECC2183" w14:textId="74857A8D" w:rsidR="00D7231E" w:rsidRDefault="00D7231E" w:rsidP="00D7231E">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Pr>
          <w:rFonts w:ascii="Simplified Arabic" w:eastAsia="Calibri" w:hAnsi="Simplified Arabic" w:cs="Simplified Arabic" w:hint="cs"/>
          <w:kern w:val="0"/>
          <w:sz w:val="26"/>
          <w:szCs w:val="26"/>
          <w:rtl/>
          <w14:ligatures w14:val="none"/>
        </w:rPr>
        <w:t xml:space="preserve">أن تفهم كيف تُحدَّد التواريخ الرئيسيّة لحقبة الآباء باستخدام المعلومات والبيانات الكتابية، بحيث يُؤكَّد على أنّ ولادة إبراهيم حدثت عام 2166 ق.م. </w:t>
      </w:r>
    </w:p>
    <w:p w14:paraId="3FBB7779" w14:textId="56CD4545" w:rsidR="00D7231E" w:rsidRDefault="00D7231E" w:rsidP="00D7231E">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Pr>
          <w:rFonts w:ascii="Simplified Arabic" w:eastAsia="Calibri" w:hAnsi="Simplified Arabic" w:cs="Simplified Arabic" w:hint="cs"/>
          <w:kern w:val="0"/>
          <w:sz w:val="26"/>
          <w:szCs w:val="26"/>
          <w:rtl/>
          <w14:ligatures w14:val="none"/>
        </w:rPr>
        <w:t xml:space="preserve">أن تتبع التسلسل الزمني للأحداث الرئيسية من وقت إبراهيم وحتى تنصيب أوّل ملكٍ في إسرائيل (حول العام 1051 ق.م.) </w:t>
      </w:r>
    </w:p>
    <w:p w14:paraId="1BE75730" w14:textId="688507E7" w:rsidR="00D7231E" w:rsidRDefault="00D7231E" w:rsidP="00D7231E">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Pr>
          <w:rFonts w:ascii="Simplified Arabic" w:eastAsia="Calibri" w:hAnsi="Simplified Arabic" w:cs="Simplified Arabic" w:hint="cs"/>
          <w:kern w:val="0"/>
          <w:sz w:val="26"/>
          <w:szCs w:val="26"/>
          <w:rtl/>
          <w14:ligatures w14:val="none"/>
        </w:rPr>
        <w:t xml:space="preserve">أن تعرف المدن الرئيسية في الشرق الأدنى القديم وتحدِّد مواقعها في إطار المعالم الجغرافيّة الأساسيّة (خاصّة الأنهار والبحار الرئيسيّة) </w:t>
      </w:r>
    </w:p>
    <w:p w14:paraId="0467EE44" w14:textId="4E2F9B44" w:rsidR="007A4B15" w:rsidRPr="00D7231E" w:rsidRDefault="00D7231E" w:rsidP="00FC2AE6">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eastAsia="Calibri" w:cs="Times New Roman"/>
          <w:kern w:val="0"/>
          <w:szCs w:val="24"/>
          <w14:ligatures w14:val="none"/>
        </w:rPr>
      </w:pPr>
      <w:r w:rsidRPr="00D7231E">
        <w:rPr>
          <w:rFonts w:ascii="Simplified Arabic" w:eastAsia="Calibri" w:hAnsi="Simplified Arabic" w:cs="Simplified Arabic" w:hint="cs"/>
          <w:kern w:val="0"/>
          <w:sz w:val="26"/>
          <w:szCs w:val="26"/>
          <w:rtl/>
          <w14:ligatures w14:val="none"/>
        </w:rPr>
        <w:t xml:space="preserve">أن تتخيَّل هجرة إبراهيم وعائلته من أور الكلدانيّين إلى أرض كنعان. </w:t>
      </w:r>
      <w:r w:rsidR="007A4B15" w:rsidRPr="00D7231E">
        <w:rPr>
          <w:rFonts w:eastAsia="Calibri" w:cs="Times New Roman"/>
          <w:kern w:val="0"/>
          <w:szCs w:val="24"/>
          <w14:ligatures w14:val="none"/>
        </w:rPr>
        <w:br w:type="page"/>
      </w:r>
    </w:p>
    <w:p w14:paraId="745805C1" w14:textId="047CDDE4" w:rsidR="007A4B15" w:rsidRPr="005D2C35" w:rsidRDefault="005D2C35" w:rsidP="005D2C35">
      <w:pPr>
        <w:pStyle w:val="Heading3"/>
        <w:bidi/>
        <w:spacing w:line="240" w:lineRule="auto"/>
        <w:rPr>
          <w:rFonts w:ascii="Simplified Arabic" w:hAnsi="Simplified Arabic" w:cs="Simplified Arabic"/>
        </w:rPr>
      </w:pPr>
      <w:bookmarkStart w:id="26" w:name="_Hlk156383607"/>
      <w:bookmarkStart w:id="27" w:name="_Hlk156383679"/>
      <w:r>
        <w:rPr>
          <w:rFonts w:ascii="Simplified Arabic" w:hAnsi="Simplified Arabic" w:cs="Simplified Arabic" w:hint="cs"/>
          <w:rtl/>
        </w:rPr>
        <w:lastRenderedPageBreak/>
        <w:t>الموضوع 1: مُقدِّمة عامّة إلى العهد القديم</w:t>
      </w:r>
    </w:p>
    <w:p w14:paraId="4361F000" w14:textId="7645AE73" w:rsidR="007A4B15" w:rsidRPr="005D2C35" w:rsidRDefault="005D2C35" w:rsidP="005D2C35">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14:ligatures w14:val="none"/>
        </w:rPr>
      </w:pPr>
      <w:r w:rsidRPr="005D2C35">
        <w:rPr>
          <w:rFonts w:ascii="Simplified Arabic" w:eastAsia="Calibri" w:hAnsi="Simplified Arabic" w:cs="Simplified Arabic"/>
          <w:kern w:val="0"/>
          <w:sz w:val="26"/>
          <w:szCs w:val="26"/>
          <w:rtl/>
          <w14:ligatures w14:val="none"/>
        </w:rPr>
        <w:t>تُعرَف</w:t>
      </w:r>
      <w:r>
        <w:rPr>
          <w:rFonts w:ascii="Simplified Arabic" w:eastAsia="Calibri" w:hAnsi="Simplified Arabic" w:cs="Simplified Arabic" w:hint="cs"/>
          <w:kern w:val="0"/>
          <w:sz w:val="26"/>
          <w:szCs w:val="26"/>
          <w:rtl/>
          <w14:ligatures w14:val="none"/>
        </w:rPr>
        <w:t xml:space="preserve"> الأسفار الخمسة الأولى في العهد القديم باسم "أسفار موسى الخمسة" أو "الأسفار الخمسة" أو "البنتاتوك". يرى الرأي التقليدي أن موسى (1526-1406 ق.م.) هو مَن كتب هذه المادة. ولأنّ جزءًا كبيرًا من مادّة هذه الأسفار يتعلَّق بإعطاء الناموس الموسوي لشعب إسرائيل، تُدعى هذه الأسفار الخمسة أحيانًا "الناموس" أو "الشريعة" (أو في العبريّة "تُوراة" </w:t>
      </w:r>
      <w:r>
        <w:rPr>
          <w:rFonts w:ascii="Simplified Arabic" w:eastAsia="Calibri" w:hAnsi="Simplified Arabic" w:cs="Simplified Arabic"/>
          <w:kern w:val="0"/>
          <w:sz w:val="26"/>
          <w:szCs w:val="26"/>
          <w:rtl/>
          <w14:ligatures w14:val="none"/>
        </w:rPr>
        <w:t>–</w:t>
      </w:r>
      <w:r>
        <w:rPr>
          <w:rFonts w:ascii="Simplified Arabic" w:eastAsia="Calibri" w:hAnsi="Simplified Arabic" w:cs="Simplified Arabic" w:hint="cs"/>
          <w:kern w:val="0"/>
          <w:sz w:val="26"/>
          <w:szCs w:val="26"/>
          <w:rtl/>
          <w14:ligatures w14:val="none"/>
        </w:rPr>
        <w:t xml:space="preserve"> التوراة"). يعطينا سفر التكوين، وهو أول أسفار الكتاب المُقدَّس خلفيّة بشأن اختيار الله لإسرائيل ليكون شعبَ عهده. يبدأ سفر التكوين بتوضيح أن</w:t>
      </w:r>
      <w:r w:rsidR="008F4151">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إله إسرائيل هو خالق كل</w:t>
      </w:r>
      <w:r w:rsidR="008F4151">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الأشياء (تكوين 1-2). ولكنّ الخطية دخلتْ بعدَ فترةٍ قصيرة إلى خليقة الله الكاملة، وبدأت بسرعة تفسِدها (تكوين 3-6). </w:t>
      </w:r>
      <w:r w:rsidR="001B462A">
        <w:rPr>
          <w:rFonts w:ascii="Simplified Arabic" w:eastAsia="Calibri" w:hAnsi="Simplified Arabic" w:cs="Simplified Arabic" w:hint="cs"/>
          <w:kern w:val="0"/>
          <w:sz w:val="26"/>
          <w:szCs w:val="26"/>
          <w:rtl/>
          <w14:ligatures w14:val="none"/>
        </w:rPr>
        <w:t>وحتّى "البداية الجديدة" التي أتت بالطوفان الكوني لم تتمك</w:t>
      </w:r>
      <w:r w:rsidR="008F4151">
        <w:rPr>
          <w:rFonts w:ascii="Simplified Arabic" w:eastAsia="Calibri" w:hAnsi="Simplified Arabic" w:cs="Simplified Arabic" w:hint="cs"/>
          <w:kern w:val="0"/>
          <w:sz w:val="26"/>
          <w:szCs w:val="26"/>
          <w:rtl/>
          <w14:ligatures w14:val="none"/>
        </w:rPr>
        <w:t>َّ</w:t>
      </w:r>
      <w:r w:rsidR="001B462A">
        <w:rPr>
          <w:rFonts w:ascii="Simplified Arabic" w:eastAsia="Calibri" w:hAnsi="Simplified Arabic" w:cs="Simplified Arabic" w:hint="cs"/>
          <w:kern w:val="0"/>
          <w:sz w:val="26"/>
          <w:szCs w:val="26"/>
          <w:rtl/>
          <w14:ligatures w14:val="none"/>
        </w:rPr>
        <w:t xml:space="preserve">ن من إصلاح خليقة الله (تكوين 7-9). ونتيجةً لهذا، دعا الله رجلًا، هو إبراهيم، من أور الكلدانيّين (الجزء الجنوبي السفلي من العراق) ليشكِّل أمّة جديدةً سيبدأ الله بها برنامج التاريخ الخلاصي. </w:t>
      </w:r>
    </w:p>
    <w:p w14:paraId="11499C88" w14:textId="67188355" w:rsidR="00B82592" w:rsidRPr="00B82592" w:rsidRDefault="00B82592" w:rsidP="001B462A">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eastAsia="Calibri" w:cs="Times New Roman"/>
          <w:b/>
          <w:kern w:val="0"/>
          <w:szCs w:val="24"/>
          <w14:ligatures w14:val="none"/>
        </w:rPr>
      </w:pPr>
      <w:r w:rsidRPr="00B82592">
        <w:rPr>
          <w:rFonts w:eastAsia="Calibri" w:cs="Times New Roman"/>
          <w:b/>
          <w:noProof/>
          <w:kern w:val="0"/>
          <w:szCs w:val="24"/>
          <w14:ligatures w14:val="none"/>
        </w:rPr>
        <w:drawing>
          <wp:inline distT="0" distB="0" distL="0" distR="0" wp14:anchorId="3D5E85BC" wp14:editId="6E3D636C">
            <wp:extent cx="613692" cy="541464"/>
            <wp:effectExtent l="0" t="0" r="0" b="0"/>
            <wp:docPr id="296073289" name="Picture 296073289"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B82592">
        <w:rPr>
          <w:rFonts w:eastAsia="Calibri" w:cs="Times New Roman"/>
          <w:b/>
          <w:kern w:val="0"/>
          <w:szCs w:val="24"/>
          <w14:ligatures w14:val="none"/>
        </w:rPr>
        <w:t xml:space="preserve"> </w:t>
      </w:r>
      <w:r w:rsidR="001B462A" w:rsidRPr="001B462A">
        <w:rPr>
          <w:rFonts w:eastAsia="Calibri" w:cs="Times New Roman" w:hint="cs"/>
          <w:bCs/>
          <w:kern w:val="0"/>
          <w:szCs w:val="24"/>
          <w:u w:val="single"/>
          <w:rtl/>
          <w14:ligatures w14:val="none"/>
        </w:rPr>
        <w:t>القراءة:</w:t>
      </w:r>
    </w:p>
    <w:p w14:paraId="2C8D2203" w14:textId="219F1CEC" w:rsidR="00B82592" w:rsidRDefault="001B462A" w:rsidP="001B462A">
      <w:pPr>
        <w:numPr>
          <w:ilvl w:val="0"/>
          <w:numId w:val="5"/>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eastAsia="Calibri" w:cs="Times New Roman"/>
          <w:kern w:val="0"/>
          <w:szCs w:val="24"/>
          <w14:ligatures w14:val="none"/>
        </w:rPr>
      </w:pPr>
      <w:r>
        <w:rPr>
          <w:rFonts w:eastAsia="Calibri" w:cs="Times New Roman" w:hint="cs"/>
          <w:kern w:val="0"/>
          <w:szCs w:val="24"/>
          <w:rtl/>
          <w14:ligatures w14:val="none"/>
        </w:rPr>
        <w:t xml:space="preserve">اقرأ تكوين 1: 1 </w:t>
      </w:r>
      <w:r>
        <w:rPr>
          <w:rFonts w:eastAsia="Calibri" w:cs="Times New Roman"/>
          <w:kern w:val="0"/>
          <w:szCs w:val="24"/>
          <w:rtl/>
          <w14:ligatures w14:val="none"/>
        </w:rPr>
        <w:t>–</w:t>
      </w:r>
      <w:r>
        <w:rPr>
          <w:rFonts w:eastAsia="Calibri" w:cs="Times New Roman" w:hint="cs"/>
          <w:kern w:val="0"/>
          <w:szCs w:val="24"/>
          <w:rtl/>
          <w14:ligatures w14:val="none"/>
        </w:rPr>
        <w:t xml:space="preserve"> 11: 26 في كتابك المُقدَّس. </w:t>
      </w:r>
    </w:p>
    <w:p w14:paraId="70254500" w14:textId="419707DB" w:rsidR="001B462A" w:rsidRDefault="001B462A" w:rsidP="001B462A">
      <w:pPr>
        <w:numPr>
          <w:ilvl w:val="0"/>
          <w:numId w:val="5"/>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eastAsia="Calibri" w:cs="Times New Roman"/>
          <w:kern w:val="0"/>
          <w:szCs w:val="24"/>
          <w14:ligatures w14:val="none"/>
        </w:rPr>
      </w:pPr>
      <w:r>
        <w:rPr>
          <w:rFonts w:eastAsia="Calibri" w:cs="Times New Roman" w:hint="cs"/>
          <w:kern w:val="0"/>
          <w:szCs w:val="24"/>
          <w:rtl/>
          <w14:ligatures w14:val="none"/>
        </w:rPr>
        <w:t xml:space="preserve">اقرأ </w:t>
      </w:r>
      <w:r w:rsidR="002E0EDB">
        <w:rPr>
          <w:rFonts w:eastAsia="Calibri" w:cs="Times New Roman" w:hint="cs"/>
          <w:kern w:val="0"/>
          <w:szCs w:val="24"/>
          <w:rtl/>
          <w14:ligatures w14:val="none"/>
        </w:rPr>
        <w:t xml:space="preserve">فصل "الأصول" عند </w:t>
      </w:r>
      <w:r>
        <w:rPr>
          <w:rFonts w:eastAsia="Calibri" w:cs="Times New Roman" w:hint="cs"/>
          <w:kern w:val="0"/>
          <w:szCs w:val="24"/>
          <w:rtl/>
          <w14:ligatures w14:val="none"/>
        </w:rPr>
        <w:t>يوجين ميرل</w:t>
      </w:r>
      <w:r w:rsidR="002E0EDB">
        <w:rPr>
          <w:rFonts w:eastAsia="Calibri" w:cs="Times New Roman" w:hint="cs"/>
          <w:kern w:val="0"/>
          <w:szCs w:val="24"/>
          <w:rtl/>
          <w14:ligatures w14:val="none"/>
        </w:rPr>
        <w:t xml:space="preserve">، </w:t>
      </w:r>
      <w:r w:rsidR="002E0EDB" w:rsidRPr="002E0EDB">
        <w:rPr>
          <w:rFonts w:eastAsia="Calibri" w:cs="Times New Roman" w:hint="cs"/>
          <w:kern w:val="0"/>
          <w:szCs w:val="24"/>
          <w:u w:val="single"/>
          <w:rtl/>
          <w14:ligatures w14:val="none"/>
        </w:rPr>
        <w:t>مملكة كهنة</w:t>
      </w:r>
      <w:r w:rsidR="002E0EDB">
        <w:rPr>
          <w:rFonts w:eastAsia="Calibri" w:cs="Times New Roman" w:hint="cs"/>
          <w:kern w:val="0"/>
          <w:szCs w:val="24"/>
          <w:rtl/>
          <w14:ligatures w14:val="none"/>
        </w:rPr>
        <w:t xml:space="preserve"> (عن إبراهيم وإسحاق).</w:t>
      </w:r>
    </w:p>
    <w:p w14:paraId="5A152490" w14:textId="77777777" w:rsidR="002E0EDB" w:rsidRPr="00B82592" w:rsidRDefault="002E0EDB" w:rsidP="002E0EDB">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eastAsia="Calibri" w:cs="Times New Roman"/>
          <w:kern w:val="0"/>
          <w:szCs w:val="24"/>
          <w14:ligatures w14:val="none"/>
        </w:rPr>
      </w:pPr>
    </w:p>
    <w:p w14:paraId="4E09336C" w14:textId="7B751338" w:rsidR="009647E9" w:rsidRPr="002E0EDB" w:rsidRDefault="002E0EDB" w:rsidP="002E0EDB">
      <w:pPr>
        <w:pStyle w:val="Heading3"/>
        <w:bidi/>
        <w:spacing w:line="240" w:lineRule="auto"/>
        <w:rPr>
          <w:rFonts w:ascii="Simplified Arabic" w:hAnsi="Simplified Arabic" w:cs="Simplified Arabic"/>
        </w:rPr>
      </w:pPr>
      <w:bookmarkStart w:id="28" w:name="_Hlk153292197"/>
      <w:bookmarkEnd w:id="26"/>
      <w:bookmarkEnd w:id="27"/>
      <w:r w:rsidRPr="002E0EDB">
        <w:rPr>
          <w:rFonts w:ascii="Simplified Arabic" w:hAnsi="Simplified Arabic" w:cs="Simplified Arabic"/>
          <w:rtl/>
        </w:rPr>
        <w:t>الموضوع 2: الخط الزمني للعهد القديم</w:t>
      </w:r>
    </w:p>
    <w:p w14:paraId="764D849F" w14:textId="5BCD3FB9" w:rsidR="00600158" w:rsidRPr="002E0EDB" w:rsidRDefault="002E0EDB" w:rsidP="002E0EDB">
      <w:pPr>
        <w:pStyle w:val="Heading4RED"/>
        <w:bidi/>
        <w:rPr>
          <w:rFonts w:ascii="Simplified Arabic" w:hAnsi="Simplified Arabic" w:cs="Simplified Arabic"/>
        </w:rPr>
      </w:pPr>
      <w:r w:rsidRPr="002E0EDB">
        <w:rPr>
          <w:rFonts w:ascii="Simplified Arabic" w:hAnsi="Simplified Arabic" w:cs="Simplified Arabic"/>
          <w:rtl/>
        </w:rPr>
        <w:t xml:space="preserve">مُقدِّمة إلى كرونولوجيا العهد القديم </w:t>
      </w:r>
    </w:p>
    <w:p w14:paraId="62F9AD07" w14:textId="5D212376" w:rsidR="006A7197" w:rsidRDefault="002E0EDB" w:rsidP="002E0EDB">
      <w:pPr>
        <w:bidi/>
        <w:spacing w:line="240" w:lineRule="auto"/>
        <w:rPr>
          <w:rFonts w:ascii="Simplified Arabic" w:hAnsi="Simplified Arabic" w:cs="Simplified Arabic"/>
          <w:sz w:val="26"/>
          <w:szCs w:val="26"/>
          <w:rtl/>
        </w:rPr>
      </w:pPr>
      <w:r w:rsidRPr="002E0EDB">
        <w:rPr>
          <w:rFonts w:ascii="Simplified Arabic" w:hAnsi="Simplified Arabic" w:cs="Simplified Arabic"/>
          <w:sz w:val="26"/>
          <w:szCs w:val="26"/>
          <w:rtl/>
        </w:rPr>
        <w:t>ن</w:t>
      </w:r>
      <w:r>
        <w:rPr>
          <w:rFonts w:ascii="Simplified Arabic" w:hAnsi="Simplified Arabic" w:cs="Simplified Arabic" w:hint="cs"/>
          <w:sz w:val="26"/>
          <w:szCs w:val="26"/>
          <w:rtl/>
        </w:rPr>
        <w:t xml:space="preserve">قصد بالخط الزمني، أو الكرونولوجيا، تواريخ الأحداث حين حصلت. </w:t>
      </w:r>
      <w:r w:rsidR="0053119C">
        <w:rPr>
          <w:rFonts w:ascii="Simplified Arabic" w:hAnsi="Simplified Arabic" w:cs="Simplified Arabic" w:hint="cs"/>
          <w:sz w:val="26"/>
          <w:szCs w:val="26"/>
          <w:rtl/>
        </w:rPr>
        <w:t>مع أنّ لدي</w:t>
      </w:r>
      <w:r w:rsidR="008F4151">
        <w:rPr>
          <w:rFonts w:ascii="Simplified Arabic" w:hAnsi="Simplified Arabic" w:cs="Simplified Arabic" w:hint="cs"/>
          <w:sz w:val="26"/>
          <w:szCs w:val="26"/>
          <w:rtl/>
        </w:rPr>
        <w:t>نا</w:t>
      </w:r>
      <w:r w:rsidR="0053119C">
        <w:rPr>
          <w:rFonts w:ascii="Simplified Arabic" w:hAnsi="Simplified Arabic" w:cs="Simplified Arabic" w:hint="cs"/>
          <w:sz w:val="26"/>
          <w:szCs w:val="26"/>
          <w:rtl/>
        </w:rPr>
        <w:t xml:space="preserve"> فكرةً جيّدةً بشأن الزمن الذي عاش فيه يسوع على الأرض، فإنّه ليس سهلًا أن نحدِّد تواريخ خلق الكون والطوفان في زمن نوح. طبعًا يسخر المؤرّخون غير المؤمنين من الرواية الكتابية للخلق، ويُنكِرون فكرة حد</w:t>
      </w:r>
      <w:r w:rsidR="008F4151">
        <w:rPr>
          <w:rFonts w:ascii="Simplified Arabic" w:hAnsi="Simplified Arabic" w:cs="Simplified Arabic" w:hint="cs"/>
          <w:sz w:val="26"/>
          <w:szCs w:val="26"/>
          <w:rtl/>
        </w:rPr>
        <w:t>َ</w:t>
      </w:r>
      <w:r w:rsidR="0053119C">
        <w:rPr>
          <w:rFonts w:ascii="Simplified Arabic" w:hAnsi="Simplified Arabic" w:cs="Simplified Arabic" w:hint="cs"/>
          <w:sz w:val="26"/>
          <w:szCs w:val="26"/>
          <w:rtl/>
        </w:rPr>
        <w:t>ث</w:t>
      </w:r>
      <w:r w:rsidR="008F4151">
        <w:rPr>
          <w:rFonts w:ascii="Simplified Arabic" w:hAnsi="Simplified Arabic" w:cs="Simplified Arabic" w:hint="cs"/>
          <w:sz w:val="26"/>
          <w:szCs w:val="26"/>
          <w:rtl/>
        </w:rPr>
        <w:t>ِ</w:t>
      </w:r>
      <w:r w:rsidR="0053119C">
        <w:rPr>
          <w:rFonts w:ascii="Simplified Arabic" w:hAnsi="Simplified Arabic" w:cs="Simplified Arabic" w:hint="cs"/>
          <w:sz w:val="26"/>
          <w:szCs w:val="26"/>
          <w:rtl/>
        </w:rPr>
        <w:t xml:space="preserve"> الطوفان الكوني. واليوم، الراجح أن غير المؤمن المُعتقد بالفلسفة الإنسانيّة يؤمن بشكلٍ من أشكال التطوُّر، والوضع الطبيعي الاعتيادي أن يؤمن أنّ الكون تشكَّل قبل حوالي 14 بليون سنة، بينما تشكَّلت الأرض قبل بضعة بلايين من السنين.</w:t>
      </w:r>
    </w:p>
    <w:p w14:paraId="01BD534E" w14:textId="5ED0EF25" w:rsidR="00BC0BC2" w:rsidRPr="002E0EDB" w:rsidRDefault="006A7197" w:rsidP="006A7197">
      <w:pPr>
        <w:bidi/>
        <w:spacing w:line="240" w:lineRule="auto"/>
        <w:rPr>
          <w:rFonts w:ascii="Simplified Arabic" w:hAnsi="Simplified Arabic" w:cs="Simplified Arabic"/>
          <w:sz w:val="26"/>
          <w:szCs w:val="26"/>
          <w:rtl/>
          <w:lang w:bidi="ar-JO"/>
        </w:rPr>
      </w:pPr>
      <w:r>
        <w:rPr>
          <w:rFonts w:ascii="Simplified Arabic" w:hAnsi="Simplified Arabic" w:cs="Simplified Arabic" w:hint="cs"/>
          <w:sz w:val="26"/>
          <w:szCs w:val="26"/>
          <w:rtl/>
        </w:rPr>
        <w:t>ولكنّ الرواية الكتابية تقودنا إلى الإيمان بأنّ عمر الكون والأرض ليس بهذا القِدَم على الإطلاق. ومع هذا، يختلف العلماء الإنجيلي</w:t>
      </w:r>
      <w:r w:rsidR="008F4151">
        <w:rPr>
          <w:rFonts w:ascii="Simplified Arabic" w:hAnsi="Simplified Arabic" w:cs="Simplified Arabic" w:hint="cs"/>
          <w:sz w:val="26"/>
          <w:szCs w:val="26"/>
          <w:rtl/>
        </w:rPr>
        <w:t>ّ</w:t>
      </w:r>
      <w:r>
        <w:rPr>
          <w:rFonts w:ascii="Simplified Arabic" w:hAnsi="Simplified Arabic" w:cs="Simplified Arabic" w:hint="cs"/>
          <w:sz w:val="26"/>
          <w:szCs w:val="26"/>
          <w:rtl/>
        </w:rPr>
        <w:t xml:space="preserve">ون حول تاريخ الخلق. وفي ضوء الإشارات الزمنيّة الواردة في الكتاب المُقدَّس نفسه، يمكننا أن نكون على يقين بأنّ إبراهيم وُلِد حوالي العام 2166 ق.م. أمّا محاولة تحديد تاريخ حدث الطوفان والخلق فينطوي على تحدٍّ وصعوبةٍ أكبر. </w:t>
      </w:r>
      <w:r w:rsidR="00FA10F8">
        <w:rPr>
          <w:rFonts w:ascii="Simplified Arabic" w:hAnsi="Simplified Arabic" w:cs="Simplified Arabic" w:hint="cs"/>
          <w:sz w:val="26"/>
          <w:szCs w:val="26"/>
          <w:rtl/>
        </w:rPr>
        <w:t xml:space="preserve">فكبداية، ينبغي أن يقرِّر الدارس إن كان تكوين 1: 1 </w:t>
      </w:r>
      <w:r w:rsidR="00A73A88">
        <w:rPr>
          <w:rFonts w:ascii="Simplified Arabic" w:hAnsi="Simplified Arabic" w:cs="Simplified Arabic" w:hint="cs"/>
          <w:sz w:val="26"/>
          <w:szCs w:val="26"/>
          <w:rtl/>
        </w:rPr>
        <w:t>ي</w:t>
      </w:r>
      <w:r w:rsidR="00FA10F8">
        <w:rPr>
          <w:rFonts w:ascii="Simplified Arabic" w:hAnsi="Simplified Arabic" w:cs="Simplified Arabic" w:hint="cs"/>
          <w:sz w:val="26"/>
          <w:szCs w:val="26"/>
          <w:rtl/>
        </w:rPr>
        <w:t>ُشير إلى خلقٍ مُطلَق أم محدود ب</w:t>
      </w:r>
      <w:r w:rsidR="00A73A88">
        <w:rPr>
          <w:rFonts w:ascii="Simplified Arabic" w:hAnsi="Simplified Arabic" w:cs="Simplified Arabic" w:hint="cs"/>
          <w:sz w:val="26"/>
          <w:szCs w:val="26"/>
          <w:rtl/>
        </w:rPr>
        <w:t xml:space="preserve">كوكب </w:t>
      </w:r>
      <w:r w:rsidR="00FA10F8">
        <w:rPr>
          <w:rFonts w:ascii="Simplified Arabic" w:hAnsi="Simplified Arabic" w:cs="Simplified Arabic" w:hint="cs"/>
          <w:sz w:val="26"/>
          <w:szCs w:val="26"/>
          <w:rtl/>
        </w:rPr>
        <w:t>الأرض وبمكانها الأكثر تحديد</w:t>
      </w:r>
      <w:r w:rsidR="00A73A88">
        <w:rPr>
          <w:rFonts w:ascii="Simplified Arabic" w:hAnsi="Simplified Arabic" w:cs="Simplified Arabic" w:hint="cs"/>
          <w:sz w:val="26"/>
          <w:szCs w:val="26"/>
          <w:rtl/>
        </w:rPr>
        <w:t>ً</w:t>
      </w:r>
      <w:r w:rsidR="00FA10F8">
        <w:rPr>
          <w:rFonts w:ascii="Simplified Arabic" w:hAnsi="Simplified Arabic" w:cs="Simplified Arabic" w:hint="cs"/>
          <w:sz w:val="26"/>
          <w:szCs w:val="26"/>
          <w:rtl/>
        </w:rPr>
        <w:t>ا في النظام الشمسي. وبعد ذلك، ينبغي للمرء أن يقرِّر هل الك</w:t>
      </w:r>
      <w:r w:rsidR="00A73A88">
        <w:rPr>
          <w:rFonts w:ascii="Simplified Arabic" w:hAnsi="Simplified Arabic" w:cs="Simplified Arabic" w:hint="cs"/>
          <w:sz w:val="26"/>
          <w:szCs w:val="26"/>
          <w:rtl/>
        </w:rPr>
        <w:t>ل</w:t>
      </w:r>
      <w:r w:rsidR="00FA10F8">
        <w:rPr>
          <w:rFonts w:ascii="Simplified Arabic" w:hAnsi="Simplified Arabic" w:cs="Simplified Arabic" w:hint="cs"/>
          <w:sz w:val="26"/>
          <w:szCs w:val="26"/>
          <w:rtl/>
        </w:rPr>
        <w:t xml:space="preserve">مة "يوم" المُستخدمة في تكوين 1 تُشير إلى يومٍ مؤلَّف من 24 ساعة. [أنا شخصيًا أرى أن تكوين 1: 1 تُشير إلى خلقٍ مُطلَق، وأنّ "اليوم" يعني </w:t>
      </w:r>
      <w:r w:rsidR="00FA10F8">
        <w:rPr>
          <w:rFonts w:ascii="Simplified Arabic" w:hAnsi="Simplified Arabic" w:cs="Simplified Arabic" w:hint="cs"/>
          <w:sz w:val="26"/>
          <w:szCs w:val="26"/>
          <w:rtl/>
        </w:rPr>
        <w:lastRenderedPageBreak/>
        <w:t xml:space="preserve">يومًا مُؤلَّفًا من 24 ساعة]. </w:t>
      </w:r>
      <w:r w:rsidR="00B51C01">
        <w:rPr>
          <w:rFonts w:ascii="Simplified Arabic" w:hAnsi="Simplified Arabic" w:cs="Simplified Arabic" w:hint="cs"/>
          <w:sz w:val="26"/>
          <w:szCs w:val="26"/>
          <w:rtl/>
        </w:rPr>
        <w:t>ومن ثمّ، هناك مسألتان مهمّتان ينبغي التقرير بشأنهما. المسألة الأولى تتعلَّق بسلا</w:t>
      </w:r>
      <w:r w:rsidR="00A73A88">
        <w:rPr>
          <w:rFonts w:ascii="Simplified Arabic" w:hAnsi="Simplified Arabic" w:cs="Simplified Arabic" w:hint="cs"/>
          <w:sz w:val="26"/>
          <w:szCs w:val="26"/>
          <w:rtl/>
        </w:rPr>
        <w:t>س</w:t>
      </w:r>
      <w:r w:rsidR="00B51C01">
        <w:rPr>
          <w:rFonts w:ascii="Simplified Arabic" w:hAnsi="Simplified Arabic" w:cs="Simplified Arabic" w:hint="cs"/>
          <w:sz w:val="26"/>
          <w:szCs w:val="26"/>
          <w:rtl/>
        </w:rPr>
        <w:t xml:space="preserve">ل النسب الواردة في تكوين 5 و11، وهل هي سلاسل نسب مُغلَقة (أي أنّها لا تتضمَّن فجوات). </w:t>
      </w:r>
      <w:r w:rsidR="00E9703D">
        <w:rPr>
          <w:rFonts w:ascii="Simplified Arabic" w:hAnsi="Simplified Arabic" w:cs="Simplified Arabic" w:hint="cs"/>
          <w:sz w:val="26"/>
          <w:szCs w:val="26"/>
          <w:rtl/>
        </w:rPr>
        <w:t>[أنا شخصيًّا أومن أنّها سلاسل نسب مُغلَقة.] تتعلَّق المسألة الثانية بالأرقام الواردة في تكوين 5 و11. معظم ترجمات الكتاب المُقدَّس للعهد القديم اليوم مبنيّة على النص الماسوري العبري (أي الكتاب المُقدَّس العبري). وكما هو معروفٌ جيّدًا، فقد تُرجِم العهد القديم إلى اليونانيّة، وبدأ هذا العمل حوالي العام 275 ق.م. المشكلة التي لدينا هي أن</w:t>
      </w:r>
      <w:r w:rsidR="001E2C4C">
        <w:rPr>
          <w:rFonts w:ascii="Simplified Arabic" w:hAnsi="Simplified Arabic" w:cs="Simplified Arabic" w:hint="cs"/>
          <w:sz w:val="26"/>
          <w:szCs w:val="26"/>
          <w:rtl/>
        </w:rPr>
        <w:t>ّ</w:t>
      </w:r>
      <w:r w:rsidR="00E9703D">
        <w:rPr>
          <w:rFonts w:ascii="Simplified Arabic" w:hAnsi="Simplified Arabic" w:cs="Simplified Arabic" w:hint="cs"/>
          <w:sz w:val="26"/>
          <w:szCs w:val="26"/>
          <w:rtl/>
        </w:rPr>
        <w:t xml:space="preserve"> الأرقام الواردة في النص العبري لتكوين 5 و11 تختلف عن تلك الواردة في الترجمة السبعينيّة التي تُعرَف باسم "السبعينية" (وتُختصَر بالأرقام الرومانية </w:t>
      </w:r>
      <w:r w:rsidR="00E9703D">
        <w:rPr>
          <w:rFonts w:ascii="Simplified Arabic" w:hAnsi="Simplified Arabic" w:cs="Simplified Arabic"/>
          <w:sz w:val="26"/>
          <w:szCs w:val="26"/>
        </w:rPr>
        <w:t>LXX</w:t>
      </w:r>
      <w:r w:rsidR="00E9703D">
        <w:rPr>
          <w:rFonts w:ascii="Simplified Arabic" w:hAnsi="Simplified Arabic" w:cs="Simplified Arabic" w:hint="cs"/>
          <w:sz w:val="26"/>
          <w:szCs w:val="26"/>
          <w:rtl/>
        </w:rPr>
        <w:t>)</w:t>
      </w:r>
      <w:r w:rsidR="00E9703D">
        <w:rPr>
          <w:rFonts w:ascii="Simplified Arabic" w:hAnsi="Simplified Arabic" w:cs="Simplified Arabic" w:hint="cs"/>
          <w:sz w:val="26"/>
          <w:szCs w:val="26"/>
          <w:rtl/>
          <w:lang w:bidi="ar-JO"/>
        </w:rPr>
        <w:t>. إن كان المرء يؤمن بتسلسلٍ زمني مُغلَق ويقبل الأرقام الواردة في النصّ العبري، فسيكون تاريخ الخلق هو حوالي العام 4200 ق.م.، وتاريخ حدوث الطوفان هو حوالي العام 2550 ق.م. لكن إن كان المرء يؤمن بالتسلسل الزمني المُغلَق ولكنّه يقبل الأرقام الواردة في الترجمة السبعينية، فسيكون تاريخ الخلق حوالي العام 5500 ق.م.، وسيكون الطوفان قد حدث قبل حوالي 3400-3300 ق.م.</w:t>
      </w:r>
      <w:r w:rsidR="00E9703D">
        <w:rPr>
          <w:rStyle w:val="FootnoteReference"/>
          <w:rFonts w:ascii="Simplified Arabic" w:hAnsi="Simplified Arabic" w:cs="Simplified Arabic"/>
          <w:sz w:val="26"/>
          <w:szCs w:val="26"/>
          <w:rtl/>
          <w:lang w:bidi="ar-JO"/>
        </w:rPr>
        <w:footnoteReference w:id="1"/>
      </w:r>
      <w:r w:rsidR="00835AEB">
        <w:rPr>
          <w:rFonts w:ascii="Simplified Arabic" w:hAnsi="Simplified Arabic" w:cs="Simplified Arabic" w:hint="cs"/>
          <w:sz w:val="26"/>
          <w:szCs w:val="26"/>
          <w:rtl/>
          <w:lang w:bidi="ar-JO"/>
        </w:rPr>
        <w:t xml:space="preserve"> </w:t>
      </w:r>
      <w:r w:rsidR="00BD30D2">
        <w:rPr>
          <w:rFonts w:ascii="Simplified Arabic" w:hAnsi="Simplified Arabic" w:cs="Simplified Arabic" w:hint="cs"/>
          <w:sz w:val="26"/>
          <w:szCs w:val="26"/>
          <w:rtl/>
          <w:lang w:bidi="ar-JO"/>
        </w:rPr>
        <w:t>مع أن معظم العلماء المحافظين</w:t>
      </w:r>
      <w:r w:rsidR="001E2C4C">
        <w:rPr>
          <w:rFonts w:ascii="Simplified Arabic" w:hAnsi="Simplified Arabic" w:cs="Simplified Arabic" w:hint="cs"/>
          <w:sz w:val="26"/>
          <w:szCs w:val="26"/>
          <w:rtl/>
          <w:lang w:bidi="ar-JO"/>
        </w:rPr>
        <w:t xml:space="preserve"> يرون</w:t>
      </w:r>
      <w:r w:rsidR="00BD30D2">
        <w:rPr>
          <w:rFonts w:ascii="Simplified Arabic" w:hAnsi="Simplified Arabic" w:cs="Simplified Arabic" w:hint="cs"/>
          <w:sz w:val="26"/>
          <w:szCs w:val="26"/>
          <w:rtl/>
          <w:lang w:bidi="ar-JO"/>
        </w:rPr>
        <w:t xml:space="preserve"> أن</w:t>
      </w:r>
      <w:r w:rsidR="001E2C4C">
        <w:rPr>
          <w:rFonts w:ascii="Simplified Arabic" w:hAnsi="Simplified Arabic" w:cs="Simplified Arabic" w:hint="cs"/>
          <w:sz w:val="26"/>
          <w:szCs w:val="26"/>
          <w:rtl/>
          <w:lang w:bidi="ar-JO"/>
        </w:rPr>
        <w:t>ّ</w:t>
      </w:r>
      <w:r w:rsidR="00BD30D2">
        <w:rPr>
          <w:rFonts w:ascii="Simplified Arabic" w:hAnsi="Simplified Arabic" w:cs="Simplified Arabic" w:hint="cs"/>
          <w:sz w:val="26"/>
          <w:szCs w:val="26"/>
          <w:rtl/>
          <w:lang w:bidi="ar-JO"/>
        </w:rPr>
        <w:t xml:space="preserve"> النص العبري للكتاب المُقدَّس أكثر موثوقية ويمكن الاعتماد عليه أكثر من النص اليوناني، فإنّه يصعب التوف</w:t>
      </w:r>
      <w:r w:rsidR="001E2C4C">
        <w:rPr>
          <w:rFonts w:ascii="Simplified Arabic" w:hAnsi="Simplified Arabic" w:cs="Simplified Arabic" w:hint="cs"/>
          <w:sz w:val="26"/>
          <w:szCs w:val="26"/>
          <w:rtl/>
          <w:lang w:bidi="ar-JO"/>
        </w:rPr>
        <w:t>ي</w:t>
      </w:r>
      <w:r w:rsidR="00BD30D2">
        <w:rPr>
          <w:rFonts w:ascii="Simplified Arabic" w:hAnsi="Simplified Arabic" w:cs="Simplified Arabic" w:hint="cs"/>
          <w:sz w:val="26"/>
          <w:szCs w:val="26"/>
          <w:rtl/>
          <w:lang w:bidi="ar-JO"/>
        </w:rPr>
        <w:t xml:space="preserve">ق بين حدث الطوفان حوالي العامل 2550 ق.م. مع البيانات والمعلومات الأركيولوجيّة </w:t>
      </w:r>
      <w:r w:rsidR="001E2C4C">
        <w:rPr>
          <w:rFonts w:ascii="Simplified Arabic" w:hAnsi="Simplified Arabic" w:cs="Simplified Arabic" w:hint="cs"/>
          <w:sz w:val="26"/>
          <w:szCs w:val="26"/>
          <w:rtl/>
          <w:lang w:bidi="ar-JO"/>
        </w:rPr>
        <w:t>المتعارَف عليها</w:t>
      </w:r>
      <w:r w:rsidR="00BD30D2">
        <w:rPr>
          <w:rFonts w:ascii="Simplified Arabic" w:hAnsi="Simplified Arabic" w:cs="Simplified Arabic" w:hint="cs"/>
          <w:sz w:val="26"/>
          <w:szCs w:val="26"/>
          <w:rtl/>
          <w:lang w:bidi="ar-JO"/>
        </w:rPr>
        <w:t>. مؤكَّد أنّ الحذر واجب بغض</w:t>
      </w:r>
      <w:r w:rsidR="001E2C4C">
        <w:rPr>
          <w:rFonts w:ascii="Simplified Arabic" w:hAnsi="Simplified Arabic" w:cs="Simplified Arabic" w:hint="cs"/>
          <w:sz w:val="26"/>
          <w:szCs w:val="26"/>
          <w:rtl/>
          <w:lang w:bidi="ar-JO"/>
        </w:rPr>
        <w:t>ّ</w:t>
      </w:r>
      <w:r w:rsidR="00BD30D2">
        <w:rPr>
          <w:rFonts w:ascii="Simplified Arabic" w:hAnsi="Simplified Arabic" w:cs="Simplified Arabic" w:hint="cs"/>
          <w:sz w:val="26"/>
          <w:szCs w:val="26"/>
          <w:rtl/>
          <w:lang w:bidi="ar-JO"/>
        </w:rPr>
        <w:t xml:space="preserve"> النظر عن الموقف الذي يتبناه المرء، ولكن</w:t>
      </w:r>
      <w:r w:rsidR="001E2C4C">
        <w:rPr>
          <w:rFonts w:ascii="Simplified Arabic" w:hAnsi="Simplified Arabic" w:cs="Simplified Arabic" w:hint="cs"/>
          <w:sz w:val="26"/>
          <w:szCs w:val="26"/>
          <w:rtl/>
          <w:lang w:bidi="ar-JO"/>
        </w:rPr>
        <w:t>ْ</w:t>
      </w:r>
      <w:r w:rsidR="00BD30D2">
        <w:rPr>
          <w:rFonts w:ascii="Simplified Arabic" w:hAnsi="Simplified Arabic" w:cs="Simplified Arabic" w:hint="cs"/>
          <w:sz w:val="26"/>
          <w:szCs w:val="26"/>
          <w:rtl/>
          <w:lang w:bidi="ar-JO"/>
        </w:rPr>
        <w:t xml:space="preserve"> يمكن تقديم أدلّة جيّدة على أنّ عمر الأرض والكون أقل</w:t>
      </w:r>
      <w:r w:rsidR="001E2C4C">
        <w:rPr>
          <w:rFonts w:ascii="Simplified Arabic" w:hAnsi="Simplified Arabic" w:cs="Simplified Arabic" w:hint="cs"/>
          <w:sz w:val="26"/>
          <w:szCs w:val="26"/>
          <w:rtl/>
          <w:lang w:bidi="ar-JO"/>
        </w:rPr>
        <w:t>ّ</w:t>
      </w:r>
      <w:r w:rsidR="00BD30D2">
        <w:rPr>
          <w:rFonts w:ascii="Simplified Arabic" w:hAnsi="Simplified Arabic" w:cs="Simplified Arabic" w:hint="cs"/>
          <w:sz w:val="26"/>
          <w:szCs w:val="26"/>
          <w:rtl/>
          <w:lang w:bidi="ar-JO"/>
        </w:rPr>
        <w:t xml:space="preserve"> من 10 آلاف سنة. </w:t>
      </w:r>
    </w:p>
    <w:p w14:paraId="3A75E633" w14:textId="77777777" w:rsidR="002E0EDB" w:rsidRDefault="002E0EDB" w:rsidP="002E0EDB">
      <w:pPr>
        <w:bidi/>
        <w:spacing w:line="240" w:lineRule="auto"/>
      </w:pPr>
    </w:p>
    <w:p w14:paraId="262F2545" w14:textId="6F84223D" w:rsidR="00600158" w:rsidRPr="00BD30D2" w:rsidRDefault="00BD30D2" w:rsidP="00BD30D2">
      <w:pPr>
        <w:pStyle w:val="Heading4RED"/>
        <w:bidi/>
        <w:rPr>
          <w:rFonts w:ascii="Simplified Arabic" w:hAnsi="Simplified Arabic" w:cs="Simplified Arabic"/>
        </w:rPr>
      </w:pPr>
      <w:r w:rsidRPr="00BD30D2">
        <w:rPr>
          <w:rFonts w:ascii="Simplified Arabic" w:hAnsi="Simplified Arabic" w:cs="Simplified Arabic"/>
          <w:rtl/>
        </w:rPr>
        <w:t>تاريخ مُحدَّد وثابت في الخط الزمني في العهد القديم</w:t>
      </w:r>
    </w:p>
    <w:p w14:paraId="2078E724" w14:textId="40621362" w:rsidR="00BD30D2" w:rsidRDefault="003B5F95" w:rsidP="00BD30D2">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إ</w:t>
      </w:r>
      <w:r w:rsidR="001E2C4C">
        <w:rPr>
          <w:rFonts w:ascii="Simplified Arabic" w:hAnsi="Simplified Arabic" w:cs="Simplified Arabic" w:hint="cs"/>
          <w:sz w:val="26"/>
          <w:szCs w:val="26"/>
          <w:rtl/>
        </w:rPr>
        <w:t>لى أ</w:t>
      </w:r>
      <w:r>
        <w:rPr>
          <w:rFonts w:ascii="Simplified Arabic" w:hAnsi="Simplified Arabic" w:cs="Simplified Arabic" w:hint="cs"/>
          <w:sz w:val="26"/>
          <w:szCs w:val="26"/>
          <w:rtl/>
        </w:rPr>
        <w:t>ن يصير علم الآثار قادرًا على أن يزوّدنا بمعلوماتٍ مُحدَّدة وثابتة</w:t>
      </w:r>
      <w:r w:rsidR="001E2C4C">
        <w:rPr>
          <w:rFonts w:ascii="Simplified Arabic" w:hAnsi="Simplified Arabic" w:cs="Simplified Arabic" w:hint="cs"/>
          <w:sz w:val="26"/>
          <w:szCs w:val="26"/>
          <w:rtl/>
        </w:rPr>
        <w:t xml:space="preserve"> ومؤكّدة</w:t>
      </w:r>
      <w:r>
        <w:rPr>
          <w:rFonts w:ascii="Simplified Arabic" w:hAnsi="Simplified Arabic" w:cs="Simplified Arabic" w:hint="cs"/>
          <w:sz w:val="26"/>
          <w:szCs w:val="26"/>
          <w:rtl/>
        </w:rPr>
        <w:t>، يمكننا أن نرضى بعدم قدرتنا على أن نحدِّد تاريخ</w:t>
      </w:r>
      <w:r w:rsidR="001E2C4C">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حدثَي الخلق والطوفان. وبناءً على ما لدينا من معلومات الآن، نستطيع أن نستنتج أن الأرض "فتيّة نسبيًّا"، أيّ أنّ</w:t>
      </w:r>
      <w:r w:rsidR="001E2C4C">
        <w:rPr>
          <w:rFonts w:ascii="Simplified Arabic" w:hAnsi="Simplified Arabic" w:cs="Simplified Arabic" w:hint="cs"/>
          <w:sz w:val="26"/>
          <w:szCs w:val="26"/>
          <w:rtl/>
        </w:rPr>
        <w:t>ها</w:t>
      </w:r>
      <w:r>
        <w:rPr>
          <w:rFonts w:ascii="Simplified Arabic" w:hAnsi="Simplified Arabic" w:cs="Simplified Arabic" w:hint="cs"/>
          <w:sz w:val="26"/>
          <w:szCs w:val="26"/>
          <w:rtl/>
        </w:rPr>
        <w:t xml:space="preserve"> تعود إلى آلاف السنوات، لا ملايين السنين. </w:t>
      </w:r>
    </w:p>
    <w:p w14:paraId="599E5C9D" w14:textId="521BE8DF" w:rsidR="003B5F95" w:rsidRDefault="003B5F95" w:rsidP="003B5F95">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وباستثناء مسألة تحديد تاريخ</w:t>
      </w:r>
      <w:r w:rsidR="001E2C4C">
        <w:rPr>
          <w:rFonts w:ascii="Simplified Arabic" w:hAnsi="Simplified Arabic" w:cs="Simplified Arabic" w:hint="cs"/>
          <w:sz w:val="26"/>
          <w:szCs w:val="26"/>
          <w:rtl/>
        </w:rPr>
        <w:t>َ</w:t>
      </w:r>
      <w:r>
        <w:rPr>
          <w:rFonts w:ascii="Simplified Arabic" w:hAnsi="Simplified Arabic" w:cs="Simplified Arabic" w:hint="cs"/>
          <w:sz w:val="26"/>
          <w:szCs w:val="26"/>
          <w:rtl/>
        </w:rPr>
        <w:t xml:space="preserve">ي حدثَي الخلق والطوفان، يمكننا تحديد تواريخ أحداث العهد القديم بصورة دقيقة وصولًا إلى تاريخ ولادة إبراهيم. </w:t>
      </w:r>
      <w:r w:rsidR="00E26831">
        <w:rPr>
          <w:rFonts w:ascii="Simplified Arabic" w:hAnsi="Simplified Arabic" w:cs="Simplified Arabic" w:hint="cs"/>
          <w:sz w:val="26"/>
          <w:szCs w:val="26"/>
          <w:rtl/>
        </w:rPr>
        <w:t>هذا يتطلّب تاريخًا ثابتًا ليكون نقطة انطلاق، تاريخًا لا يتوافق مع الأحداث الكتابيّة فقط، بل ومع حضارات الشرق الأدنى القديم. نجد هذا في تاريخ "معركة قرقر" التي حدثت عام 853 ق.م.، وهو تاريخ يتوافق مع المعلومات الكتابية والتسلسل الزمني الأشوري. فإذْ نبدأ بهذا التاريخ، يمكننا استخدام المعلومات الكتابي</w:t>
      </w:r>
      <w:r w:rsidR="001E2C4C">
        <w:rPr>
          <w:rFonts w:ascii="Simplified Arabic" w:hAnsi="Simplified Arabic" w:cs="Simplified Arabic" w:hint="cs"/>
          <w:sz w:val="26"/>
          <w:szCs w:val="26"/>
          <w:rtl/>
        </w:rPr>
        <w:t>ّ</w:t>
      </w:r>
      <w:r w:rsidR="00E26831">
        <w:rPr>
          <w:rFonts w:ascii="Simplified Arabic" w:hAnsi="Simplified Arabic" w:cs="Simplified Arabic" w:hint="cs"/>
          <w:sz w:val="26"/>
          <w:szCs w:val="26"/>
          <w:rtl/>
        </w:rPr>
        <w:t xml:space="preserve">ة لتحديد وتقرير </w:t>
      </w:r>
      <w:r w:rsidR="001E2C4C">
        <w:rPr>
          <w:rFonts w:ascii="Simplified Arabic" w:hAnsi="Simplified Arabic" w:cs="Simplified Arabic" w:hint="cs"/>
          <w:sz w:val="26"/>
          <w:szCs w:val="26"/>
          <w:rtl/>
        </w:rPr>
        <w:t xml:space="preserve">التواريخ </w:t>
      </w:r>
      <w:r w:rsidR="00E26831">
        <w:rPr>
          <w:rFonts w:ascii="Simplified Arabic" w:hAnsi="Simplified Arabic" w:cs="Simplified Arabic" w:hint="cs"/>
          <w:sz w:val="26"/>
          <w:szCs w:val="26"/>
          <w:rtl/>
        </w:rPr>
        <w:t>الأخرى. في معركة قرقر، حارب الملك الأشور شلمنأسر الثالث ضد تحالفٍ مُكوَّنٍ من اثني عشرة ملكًا، كان من بينهم هدد عزر ملك دمشق وآخاب ملك إسرائيل. وقد مات الملك آخا</w:t>
      </w:r>
      <w:r w:rsidR="001E2C4C">
        <w:rPr>
          <w:rFonts w:ascii="Simplified Arabic" w:hAnsi="Simplified Arabic" w:cs="Simplified Arabic" w:hint="cs"/>
          <w:sz w:val="26"/>
          <w:szCs w:val="26"/>
          <w:rtl/>
        </w:rPr>
        <w:t>ب</w:t>
      </w:r>
      <w:r w:rsidR="00E26831">
        <w:rPr>
          <w:rFonts w:ascii="Simplified Arabic" w:hAnsi="Simplified Arabic" w:cs="Simplified Arabic" w:hint="cs"/>
          <w:sz w:val="26"/>
          <w:szCs w:val="26"/>
          <w:rtl/>
        </w:rPr>
        <w:t xml:space="preserve"> عام 853 ق.م. بعدَ المعركةِ بفترة قصيرة (1ملوك ملوك 22: 29-40). </w:t>
      </w:r>
      <w:r w:rsidR="00DF2A83">
        <w:rPr>
          <w:rFonts w:ascii="Simplified Arabic" w:hAnsi="Simplified Arabic" w:cs="Simplified Arabic" w:hint="cs"/>
          <w:sz w:val="26"/>
          <w:szCs w:val="26"/>
          <w:rtl/>
        </w:rPr>
        <w:t xml:space="preserve">يُدوَّن الانتصار العسكري للأشوريّين على مسلة الكرخ الحجريّة. </w:t>
      </w:r>
      <w:r w:rsidR="001E2C4C">
        <w:rPr>
          <w:rFonts w:ascii="Simplified Arabic" w:hAnsi="Simplified Arabic" w:cs="Simplified Arabic" w:hint="cs"/>
          <w:sz w:val="26"/>
          <w:szCs w:val="26"/>
          <w:rtl/>
        </w:rPr>
        <w:lastRenderedPageBreak/>
        <w:t>ب</w:t>
      </w:r>
      <w:r w:rsidR="00DF2A83">
        <w:rPr>
          <w:rFonts w:ascii="Simplified Arabic" w:hAnsi="Simplified Arabic" w:cs="Simplified Arabic" w:hint="cs"/>
          <w:sz w:val="26"/>
          <w:szCs w:val="26"/>
          <w:rtl/>
        </w:rPr>
        <w:t xml:space="preserve">الاعتماد على هذا الحدث التاريخي يمكننا أن نحسب تاريخ تنصيب رحبعام مقاليد الحكم، وهو العام 931 ق.م.، وذلك بالاعتماد على تاريخ موت آخاب والتواريخ المعطاة لملوك يهوذا في الكتاب المُقدَّس. وبهذا تكون سنة ارتقاء رحبعام للعرش هي تلك الممتدّة من 1 نيسان إلى 1 تشري في العام 931 ق.م. </w:t>
      </w:r>
    </w:p>
    <w:p w14:paraId="1709A13B" w14:textId="0A38C247" w:rsidR="00DF2A83" w:rsidRPr="00BD30D2" w:rsidRDefault="00976D5E" w:rsidP="00DF2A83">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ويجد هذا التاريخ دعمًا له في اجتياح شيشق، ملك مصر، عام 925 ق.م. (شيشق الأول الذي حكم في حوالي الفترة 943-922 ق.م.)، </w:t>
      </w:r>
      <w:r w:rsidR="001E2C4C">
        <w:rPr>
          <w:rFonts w:ascii="Simplified Arabic" w:hAnsi="Simplified Arabic" w:cs="Simplified Arabic" w:hint="cs"/>
          <w:sz w:val="26"/>
          <w:szCs w:val="26"/>
          <w:rtl/>
        </w:rPr>
        <w:t>الذي نقرأ عنه</w:t>
      </w:r>
      <w:r>
        <w:rPr>
          <w:rFonts w:ascii="Simplified Arabic" w:hAnsi="Simplified Arabic" w:cs="Simplified Arabic" w:hint="cs"/>
          <w:sz w:val="26"/>
          <w:szCs w:val="26"/>
          <w:rtl/>
        </w:rPr>
        <w:t xml:space="preserve"> في 2أخبار 12: 2-9. </w:t>
      </w:r>
      <w:r w:rsidR="007470D9">
        <w:rPr>
          <w:rFonts w:ascii="Simplified Arabic" w:hAnsi="Simplified Arabic" w:cs="Simplified Arabic" w:hint="cs"/>
          <w:sz w:val="26"/>
          <w:szCs w:val="26"/>
          <w:rtl/>
        </w:rPr>
        <w:t>فقد اجتاح كنعان في السنة الخامسة لرحبعام، والتي يُفهَم أنّها السنة الملكيّة الخامسة.</w:t>
      </w:r>
    </w:p>
    <w:p w14:paraId="700A4961" w14:textId="77777777" w:rsidR="000169B2" w:rsidRDefault="000169B2" w:rsidP="002D6C54">
      <w:pPr>
        <w:pStyle w:val="Heading4RED"/>
      </w:pPr>
      <w:r>
        <w:br w:type="page"/>
      </w:r>
    </w:p>
    <w:p w14:paraId="35AE6B33" w14:textId="48BA133A" w:rsidR="009647E9" w:rsidRPr="007470D9" w:rsidRDefault="007470D9" w:rsidP="007470D9">
      <w:pPr>
        <w:pStyle w:val="Heading4RED"/>
        <w:bidi/>
        <w:rPr>
          <w:rFonts w:ascii="Simplified Arabic" w:hAnsi="Simplified Arabic" w:cs="Simplified Arabic"/>
        </w:rPr>
      </w:pPr>
      <w:r>
        <w:rPr>
          <w:rFonts w:ascii="Simplified Arabic" w:hAnsi="Simplified Arabic" w:cs="Simplified Arabic" w:hint="cs"/>
          <w:rtl/>
        </w:rPr>
        <w:lastRenderedPageBreak/>
        <w:t>تحديد تواريخ العهد القديم وصولًا إلى إبراهيم</w:t>
      </w:r>
    </w:p>
    <w:p w14:paraId="63253B68" w14:textId="77777777" w:rsidR="002658F4" w:rsidRDefault="002658F4" w:rsidP="002D6C54">
      <w:pPr>
        <w:tabs>
          <w:tab w:val="left" w:pos="540"/>
          <w:tab w:val="left" w:pos="1080"/>
          <w:tab w:val="left" w:pos="1620"/>
          <w:tab w:val="left" w:pos="2160"/>
          <w:tab w:val="left" w:pos="2700"/>
          <w:tab w:val="left" w:pos="3240"/>
          <w:tab w:val="left" w:pos="3780"/>
          <w:tab w:val="left" w:pos="4320"/>
        </w:tabs>
        <w:spacing w:line="240" w:lineRule="auto"/>
      </w:pPr>
    </w:p>
    <w:p w14:paraId="77C69F6D" w14:textId="3E81CA00" w:rsidR="007470D9" w:rsidRPr="0001335B" w:rsidRDefault="007470D9" w:rsidP="007470D9">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rPr>
      </w:pPr>
      <w:r w:rsidRPr="0001335B">
        <w:rPr>
          <w:rFonts w:ascii="Simplified Arabic" w:hAnsi="Simplified Arabic" w:cs="Simplified Arabic"/>
          <w:sz w:val="26"/>
          <w:szCs w:val="26"/>
          <w:rtl/>
        </w:rPr>
        <w:t xml:space="preserve">931 ق.م. </w:t>
      </w:r>
      <w:r w:rsidR="00E741E1">
        <w:rPr>
          <w:rFonts w:ascii="Simplified Arabic" w:hAnsi="Simplified Arabic" w:cs="Simplified Arabic"/>
          <w:sz w:val="26"/>
          <w:szCs w:val="26"/>
          <w:rtl/>
        </w:rPr>
        <w:tab/>
      </w:r>
      <w:r w:rsidRPr="0001335B">
        <w:rPr>
          <w:rFonts w:ascii="Simplified Arabic" w:hAnsi="Simplified Arabic" w:cs="Simplified Arabic"/>
          <w:sz w:val="26"/>
          <w:szCs w:val="26"/>
          <w:rtl/>
        </w:rPr>
        <w:t xml:space="preserve"> </w:t>
      </w:r>
      <w:r w:rsidRPr="0001335B">
        <w:rPr>
          <w:rFonts w:ascii="Simplified Arabic" w:hAnsi="Simplified Arabic" w:cs="Simplified Arabic"/>
          <w:sz w:val="26"/>
          <w:szCs w:val="26"/>
          <w:rtl/>
        </w:rPr>
        <w:tab/>
        <w:t>تنصيب رحبعام ملكًا ليهوذا</w:t>
      </w:r>
    </w:p>
    <w:p w14:paraId="6E1CA7CF" w14:textId="64D90E4B" w:rsidR="0001335B" w:rsidRDefault="0001335B" w:rsidP="007470D9">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rPr>
      </w:pPr>
      <w:r w:rsidRPr="0001335B">
        <w:rPr>
          <w:rFonts w:ascii="Simplified Arabic" w:hAnsi="Simplified Arabic" w:cs="Simplified Arabic"/>
          <w:sz w:val="26"/>
          <w:szCs w:val="26"/>
          <w:rtl/>
        </w:rPr>
        <w:t>+ 40 سنة</w:t>
      </w:r>
      <w:r w:rsidRPr="0001335B">
        <w:rPr>
          <w:rFonts w:ascii="Simplified Arabic" w:hAnsi="Simplified Arabic" w:cs="Simplified Arabic"/>
          <w:sz w:val="26"/>
          <w:szCs w:val="26"/>
          <w:rtl/>
        </w:rPr>
        <w:tab/>
      </w:r>
      <w:r w:rsidR="00E741E1">
        <w:rPr>
          <w:rFonts w:ascii="Simplified Arabic" w:hAnsi="Simplified Arabic" w:cs="Simplified Arabic"/>
          <w:sz w:val="26"/>
          <w:szCs w:val="26"/>
          <w:rtl/>
        </w:rPr>
        <w:tab/>
      </w:r>
      <w:r w:rsidRPr="0001335B">
        <w:rPr>
          <w:rFonts w:ascii="Simplified Arabic" w:hAnsi="Simplified Arabic" w:cs="Simplified Arabic"/>
          <w:sz w:val="26"/>
          <w:szCs w:val="26"/>
          <w:rtl/>
        </w:rPr>
        <w:t>سنوات حكم سليمان (</w:t>
      </w:r>
      <w:r>
        <w:rPr>
          <w:rFonts w:ascii="Simplified Arabic" w:hAnsi="Simplified Arabic" w:cs="Simplified Arabic" w:hint="cs"/>
          <w:sz w:val="26"/>
          <w:szCs w:val="26"/>
          <w:rtl/>
        </w:rPr>
        <w:t xml:space="preserve">971-931 ق.م.). انظر 1ملوك 11: 41-43. </w:t>
      </w:r>
    </w:p>
    <w:p w14:paraId="655D8BE5" w14:textId="64A9A27D" w:rsidR="0001335B" w:rsidRDefault="0001335B" w:rsidP="0001335B">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rPr>
      </w:pPr>
      <w:r>
        <w:rPr>
          <w:rFonts w:ascii="Simplified Arabic" w:hAnsi="Simplified Arabic" w:cs="Simplified Arabic" w:hint="cs"/>
          <w:sz w:val="26"/>
          <w:szCs w:val="26"/>
          <w:rtl/>
        </w:rPr>
        <w:t xml:space="preserve">__________ </w:t>
      </w:r>
    </w:p>
    <w:p w14:paraId="5ACB85BA" w14:textId="7606377F" w:rsidR="0001335B" w:rsidRDefault="0001335B" w:rsidP="0001335B">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rPr>
      </w:pPr>
      <w:r>
        <w:rPr>
          <w:rFonts w:ascii="Simplified Arabic" w:hAnsi="Simplified Arabic" w:cs="Simplified Arabic" w:hint="cs"/>
          <w:sz w:val="26"/>
          <w:szCs w:val="26"/>
          <w:rtl/>
        </w:rPr>
        <w:t>971 ق.م.</w:t>
      </w:r>
      <w:r w:rsidR="00E741E1">
        <w:rPr>
          <w:rFonts w:ascii="Simplified Arabic" w:hAnsi="Simplified Arabic" w:cs="Simplified Arabic"/>
          <w:sz w:val="26"/>
          <w:szCs w:val="26"/>
          <w:rtl/>
        </w:rPr>
        <w:tab/>
      </w:r>
      <w:r>
        <w:rPr>
          <w:rFonts w:ascii="Simplified Arabic" w:hAnsi="Simplified Arabic" w:cs="Simplified Arabic" w:hint="cs"/>
          <w:sz w:val="26"/>
          <w:szCs w:val="26"/>
          <w:rtl/>
        </w:rPr>
        <w:t xml:space="preserve"> </w:t>
      </w:r>
      <w:r>
        <w:rPr>
          <w:rFonts w:ascii="Simplified Arabic" w:hAnsi="Simplified Arabic" w:cs="Simplified Arabic"/>
          <w:sz w:val="26"/>
          <w:szCs w:val="26"/>
          <w:rtl/>
        </w:rPr>
        <w:tab/>
      </w:r>
      <w:r>
        <w:rPr>
          <w:rFonts w:ascii="Simplified Arabic" w:hAnsi="Simplified Arabic" w:cs="Simplified Arabic" w:hint="cs"/>
          <w:sz w:val="26"/>
          <w:szCs w:val="26"/>
          <w:rtl/>
        </w:rPr>
        <w:t xml:space="preserve">تنصيب سليمان ملكًا </w:t>
      </w:r>
    </w:p>
    <w:p w14:paraId="19DE0B9B" w14:textId="678C04B0" w:rsidR="0001335B" w:rsidRDefault="0001335B" w:rsidP="0001335B">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rPr>
      </w:pPr>
      <w:r>
        <w:rPr>
          <w:rFonts w:ascii="Simplified Arabic" w:hAnsi="Simplified Arabic" w:cs="Simplified Arabic" w:hint="cs"/>
          <w:sz w:val="26"/>
          <w:szCs w:val="26"/>
          <w:rtl/>
        </w:rPr>
        <w:t xml:space="preserve">- 4 سنوات </w:t>
      </w:r>
      <w:r w:rsidR="00E741E1">
        <w:rPr>
          <w:rFonts w:ascii="Simplified Arabic" w:hAnsi="Simplified Arabic" w:cs="Simplified Arabic"/>
          <w:sz w:val="26"/>
          <w:szCs w:val="26"/>
          <w:rtl/>
        </w:rPr>
        <w:tab/>
      </w:r>
      <w:r>
        <w:rPr>
          <w:rFonts w:ascii="Simplified Arabic" w:hAnsi="Simplified Arabic" w:cs="Simplified Arabic"/>
          <w:sz w:val="26"/>
          <w:szCs w:val="26"/>
          <w:rtl/>
        </w:rPr>
        <w:tab/>
      </w:r>
      <w:r>
        <w:rPr>
          <w:rFonts w:ascii="Simplified Arabic" w:hAnsi="Simplified Arabic" w:cs="Simplified Arabic" w:hint="cs"/>
          <w:sz w:val="26"/>
          <w:szCs w:val="26"/>
          <w:rtl/>
        </w:rPr>
        <w:t xml:space="preserve">بدء بناء الهيكل في سنة سليمان الرابع. انظر 1ملوك 6: 1. </w:t>
      </w:r>
    </w:p>
    <w:p w14:paraId="5E834DD7" w14:textId="019CB007" w:rsidR="0001335B" w:rsidRDefault="0001335B" w:rsidP="0001335B">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rPr>
      </w:pPr>
      <w:r>
        <w:rPr>
          <w:rFonts w:ascii="Simplified Arabic" w:hAnsi="Simplified Arabic" w:cs="Simplified Arabic"/>
          <w:sz w:val="26"/>
          <w:szCs w:val="26"/>
          <w:rtl/>
        </w:rPr>
        <w:tab/>
      </w:r>
      <w:r w:rsidR="00E741E1">
        <w:rPr>
          <w:rFonts w:ascii="Simplified Arabic" w:hAnsi="Simplified Arabic" w:cs="Simplified Arabic"/>
          <w:sz w:val="26"/>
          <w:szCs w:val="26"/>
          <w:rtl/>
        </w:rPr>
        <w:tab/>
      </w:r>
      <w:r>
        <w:rPr>
          <w:rFonts w:ascii="Simplified Arabic" w:hAnsi="Simplified Arabic" w:cs="Simplified Arabic"/>
          <w:sz w:val="26"/>
          <w:szCs w:val="26"/>
          <w:rtl/>
        </w:rPr>
        <w:tab/>
      </w:r>
      <w:r>
        <w:rPr>
          <w:rFonts w:ascii="Simplified Arabic" w:hAnsi="Simplified Arabic" w:cs="Simplified Arabic" w:hint="cs"/>
          <w:sz w:val="26"/>
          <w:szCs w:val="26"/>
          <w:rtl/>
        </w:rPr>
        <w:t xml:space="preserve">كانت سنة حكم سليمان الأولى من 1 تشري 971 ق.م. إلى 1تشري 970 ق.م. </w:t>
      </w:r>
    </w:p>
    <w:p w14:paraId="2051B455" w14:textId="7319B915" w:rsidR="0001335B" w:rsidRDefault="0001335B" w:rsidP="0001335B">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rPr>
      </w:pPr>
      <w:r>
        <w:rPr>
          <w:rFonts w:ascii="Simplified Arabic" w:hAnsi="Simplified Arabic" w:cs="Simplified Arabic"/>
          <w:sz w:val="26"/>
          <w:szCs w:val="26"/>
          <w:rtl/>
        </w:rPr>
        <w:tab/>
      </w:r>
      <w:r w:rsidR="00E741E1">
        <w:rPr>
          <w:rFonts w:ascii="Simplified Arabic" w:hAnsi="Simplified Arabic" w:cs="Simplified Arabic"/>
          <w:sz w:val="26"/>
          <w:szCs w:val="26"/>
          <w:rtl/>
        </w:rPr>
        <w:tab/>
      </w:r>
      <w:r>
        <w:rPr>
          <w:rFonts w:ascii="Simplified Arabic" w:hAnsi="Simplified Arabic" w:cs="Simplified Arabic"/>
          <w:sz w:val="26"/>
          <w:szCs w:val="26"/>
          <w:rtl/>
        </w:rPr>
        <w:tab/>
      </w:r>
      <w:r>
        <w:rPr>
          <w:rFonts w:ascii="Simplified Arabic" w:hAnsi="Simplified Arabic" w:cs="Simplified Arabic" w:hint="cs"/>
          <w:sz w:val="26"/>
          <w:szCs w:val="26"/>
          <w:rtl/>
        </w:rPr>
        <w:t xml:space="preserve">بدء العمل في بناء الهيكل في الشهر الثاني من السنة الرابعة (سنة مُلكه الرابعة)، أي ربيع العام 967 ق.م. </w:t>
      </w:r>
    </w:p>
    <w:p w14:paraId="2FF1A392" w14:textId="611E2776" w:rsidR="0001335B" w:rsidRDefault="0001335B" w:rsidP="0001335B">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rPr>
      </w:pPr>
      <w:r>
        <w:rPr>
          <w:rFonts w:ascii="Simplified Arabic" w:hAnsi="Simplified Arabic" w:cs="Simplified Arabic" w:hint="cs"/>
          <w:sz w:val="26"/>
          <w:szCs w:val="26"/>
          <w:rtl/>
        </w:rPr>
        <w:t xml:space="preserve">___________ </w:t>
      </w:r>
    </w:p>
    <w:p w14:paraId="5CDCD4E6" w14:textId="3CB35C41" w:rsidR="0001335B" w:rsidRDefault="0001335B" w:rsidP="0001335B">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rPr>
      </w:pPr>
      <w:r>
        <w:rPr>
          <w:rFonts w:ascii="Simplified Arabic" w:hAnsi="Simplified Arabic" w:cs="Simplified Arabic" w:hint="cs"/>
          <w:sz w:val="26"/>
          <w:szCs w:val="26"/>
          <w:rtl/>
        </w:rPr>
        <w:t xml:space="preserve">967 ق.م. </w:t>
      </w:r>
      <w:r w:rsidR="00E741E1">
        <w:rPr>
          <w:rFonts w:ascii="Simplified Arabic" w:hAnsi="Simplified Arabic" w:cs="Simplified Arabic"/>
          <w:sz w:val="26"/>
          <w:szCs w:val="26"/>
          <w:rtl/>
        </w:rPr>
        <w:tab/>
      </w:r>
      <w:r>
        <w:rPr>
          <w:rFonts w:ascii="Simplified Arabic" w:hAnsi="Simplified Arabic" w:cs="Simplified Arabic"/>
          <w:sz w:val="26"/>
          <w:szCs w:val="26"/>
          <w:rtl/>
        </w:rPr>
        <w:tab/>
      </w:r>
      <w:r>
        <w:rPr>
          <w:rFonts w:ascii="Simplified Arabic" w:hAnsi="Simplified Arabic" w:cs="Simplified Arabic" w:hint="cs"/>
          <w:sz w:val="26"/>
          <w:szCs w:val="26"/>
          <w:rtl/>
        </w:rPr>
        <w:t xml:space="preserve">بدء بناء هيكل سليمان </w:t>
      </w:r>
    </w:p>
    <w:p w14:paraId="722AFD7A" w14:textId="47E70374" w:rsidR="0001335B" w:rsidRDefault="0001335B" w:rsidP="0001335B">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rPr>
      </w:pPr>
      <w:r>
        <w:rPr>
          <w:rFonts w:ascii="Simplified Arabic" w:hAnsi="Simplified Arabic" w:cs="Simplified Arabic" w:hint="cs"/>
          <w:sz w:val="26"/>
          <w:szCs w:val="26"/>
          <w:rtl/>
        </w:rPr>
        <w:t>+ 479 سنة</w:t>
      </w:r>
      <w:r>
        <w:rPr>
          <w:rFonts w:ascii="Simplified Arabic" w:hAnsi="Simplified Arabic" w:cs="Simplified Arabic"/>
          <w:sz w:val="26"/>
          <w:szCs w:val="26"/>
          <w:rtl/>
        </w:rPr>
        <w:tab/>
      </w:r>
      <w:r w:rsidR="00E741E1">
        <w:rPr>
          <w:rFonts w:ascii="Simplified Arabic" w:hAnsi="Simplified Arabic" w:cs="Simplified Arabic"/>
          <w:sz w:val="26"/>
          <w:szCs w:val="26"/>
          <w:rtl/>
        </w:rPr>
        <w:tab/>
      </w:r>
      <w:r>
        <w:rPr>
          <w:rFonts w:ascii="Simplified Arabic" w:hAnsi="Simplified Arabic" w:cs="Simplified Arabic" w:hint="cs"/>
          <w:sz w:val="26"/>
          <w:szCs w:val="26"/>
          <w:rtl/>
        </w:rPr>
        <w:t xml:space="preserve">السنوات من الخروج إلى بدء بناء الهيكل (بحسب 1ملوك 6: 1). </w:t>
      </w:r>
    </w:p>
    <w:p w14:paraId="585E8258" w14:textId="047C4AD1" w:rsidR="0001335B" w:rsidRDefault="0001335B" w:rsidP="0001335B">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rPr>
      </w:pPr>
      <w:r>
        <w:rPr>
          <w:rFonts w:ascii="Simplified Arabic" w:hAnsi="Simplified Arabic" w:cs="Simplified Arabic"/>
          <w:sz w:val="26"/>
          <w:szCs w:val="26"/>
          <w:rtl/>
        </w:rPr>
        <w:tab/>
      </w:r>
      <w:r>
        <w:rPr>
          <w:rFonts w:ascii="Simplified Arabic" w:hAnsi="Simplified Arabic" w:cs="Simplified Arabic"/>
          <w:sz w:val="26"/>
          <w:szCs w:val="26"/>
          <w:rtl/>
        </w:rPr>
        <w:tab/>
      </w:r>
      <w:r w:rsidR="00E741E1">
        <w:rPr>
          <w:rFonts w:ascii="Simplified Arabic" w:hAnsi="Simplified Arabic" w:cs="Simplified Arabic"/>
          <w:sz w:val="26"/>
          <w:szCs w:val="26"/>
          <w:rtl/>
        </w:rPr>
        <w:tab/>
      </w:r>
      <w:r>
        <w:rPr>
          <w:rFonts w:ascii="Simplified Arabic" w:hAnsi="Simplified Arabic" w:cs="Simplified Arabic" w:hint="cs"/>
          <w:sz w:val="26"/>
          <w:szCs w:val="26"/>
          <w:rtl/>
        </w:rPr>
        <w:t xml:space="preserve">لأنّه بُدئ ببناء الهيكل في السنة 480 لخروج الشعب من مصر، فقد اكتملت 479 سنة منذُ ذلك الوقت. </w:t>
      </w:r>
    </w:p>
    <w:p w14:paraId="3323CC8C" w14:textId="2F4EE6F4" w:rsidR="0001335B" w:rsidRDefault="0001335B" w:rsidP="0001335B">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rPr>
      </w:pPr>
      <w:r>
        <w:rPr>
          <w:rFonts w:ascii="Simplified Arabic" w:hAnsi="Simplified Arabic" w:cs="Simplified Arabic"/>
          <w:sz w:val="26"/>
          <w:szCs w:val="26"/>
          <w:rtl/>
        </w:rPr>
        <w:tab/>
      </w:r>
      <w:r w:rsidR="00E741E1">
        <w:rPr>
          <w:rFonts w:ascii="Simplified Arabic" w:hAnsi="Simplified Arabic" w:cs="Simplified Arabic"/>
          <w:sz w:val="26"/>
          <w:szCs w:val="26"/>
          <w:rtl/>
        </w:rPr>
        <w:tab/>
      </w:r>
      <w:r>
        <w:rPr>
          <w:rFonts w:ascii="Simplified Arabic" w:hAnsi="Simplified Arabic" w:cs="Simplified Arabic"/>
          <w:sz w:val="26"/>
          <w:szCs w:val="26"/>
          <w:rtl/>
        </w:rPr>
        <w:tab/>
      </w:r>
      <w:r>
        <w:rPr>
          <w:rFonts w:ascii="Simplified Arabic" w:hAnsi="Simplified Arabic" w:cs="Simplified Arabic" w:hint="cs"/>
          <w:sz w:val="26"/>
          <w:szCs w:val="26"/>
          <w:rtl/>
        </w:rPr>
        <w:t xml:space="preserve">[لاحظ أن الترجمة السبعينيّة تُشير إلى مرور 440 سنة بدلًا من 480 سنة.] </w:t>
      </w:r>
    </w:p>
    <w:p w14:paraId="0373E0F5" w14:textId="1BCB5A00" w:rsidR="0001335B" w:rsidRDefault="0001335B" w:rsidP="0001335B">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rPr>
      </w:pPr>
      <w:r>
        <w:rPr>
          <w:rFonts w:ascii="Simplified Arabic" w:hAnsi="Simplified Arabic" w:cs="Simplified Arabic" w:hint="cs"/>
          <w:sz w:val="26"/>
          <w:szCs w:val="26"/>
          <w:rtl/>
        </w:rPr>
        <w:t xml:space="preserve">_________ </w:t>
      </w:r>
    </w:p>
    <w:p w14:paraId="634878F5" w14:textId="00FEECDF" w:rsidR="0001335B" w:rsidRDefault="0001335B" w:rsidP="0001335B">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rPr>
      </w:pPr>
      <w:r>
        <w:rPr>
          <w:rFonts w:ascii="Simplified Arabic" w:hAnsi="Simplified Arabic" w:cs="Simplified Arabic" w:hint="cs"/>
          <w:sz w:val="26"/>
          <w:szCs w:val="26"/>
          <w:rtl/>
        </w:rPr>
        <w:t xml:space="preserve">1446 ق.م. </w:t>
      </w:r>
      <w:r w:rsidR="00E741E1">
        <w:rPr>
          <w:rFonts w:ascii="Simplified Arabic" w:hAnsi="Simplified Arabic" w:cs="Simplified Arabic"/>
          <w:sz w:val="26"/>
          <w:szCs w:val="26"/>
          <w:rtl/>
        </w:rPr>
        <w:tab/>
      </w:r>
      <w:r>
        <w:rPr>
          <w:rFonts w:ascii="Simplified Arabic" w:hAnsi="Simplified Arabic" w:cs="Simplified Arabic" w:hint="cs"/>
          <w:sz w:val="26"/>
          <w:szCs w:val="26"/>
          <w:rtl/>
        </w:rPr>
        <w:t xml:space="preserve">تاريخ الخروج. [في شهر نيسان، الذي يقابل الشهرين آذار/ نيسان من العام 1446 ق.م.] </w:t>
      </w:r>
    </w:p>
    <w:p w14:paraId="13F85960" w14:textId="22FAA291" w:rsidR="0001335B" w:rsidRDefault="00E741E1" w:rsidP="0001335B">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 xml:space="preserve">+ 430 سنة </w:t>
      </w:r>
      <w:r>
        <w:rPr>
          <w:rFonts w:ascii="Simplified Arabic" w:hAnsi="Simplified Arabic" w:cs="Simplified Arabic"/>
          <w:sz w:val="26"/>
          <w:szCs w:val="26"/>
          <w:rtl/>
          <w:lang w:bidi="ar-JO"/>
        </w:rPr>
        <w:tab/>
      </w:r>
      <w:r>
        <w:rPr>
          <w:rFonts w:ascii="Simplified Arabic" w:hAnsi="Simplified Arabic" w:cs="Simplified Arabic" w:hint="cs"/>
          <w:sz w:val="26"/>
          <w:szCs w:val="26"/>
          <w:rtl/>
          <w:lang w:bidi="ar-JO"/>
        </w:rPr>
        <w:t xml:space="preserve">السنوات التي قضاها "بنو إسرائيل" في مصر. انظر خروج 12: 40-41. </w:t>
      </w:r>
    </w:p>
    <w:p w14:paraId="043B600F" w14:textId="7C0E3447" w:rsidR="00E741E1" w:rsidRDefault="00E741E1" w:rsidP="00E741E1">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lang w:bidi="ar-JO"/>
        </w:rPr>
      </w:pPr>
      <w:r>
        <w:rPr>
          <w:rFonts w:ascii="Simplified Arabic" w:hAnsi="Simplified Arabic" w:cs="Simplified Arabic"/>
          <w:sz w:val="26"/>
          <w:szCs w:val="26"/>
          <w:rtl/>
          <w:lang w:bidi="ar-JO"/>
        </w:rPr>
        <w:tab/>
      </w:r>
      <w:r>
        <w:rPr>
          <w:rFonts w:ascii="Simplified Arabic" w:hAnsi="Simplified Arabic" w:cs="Simplified Arabic"/>
          <w:sz w:val="26"/>
          <w:szCs w:val="26"/>
          <w:rtl/>
          <w:lang w:bidi="ar-JO"/>
        </w:rPr>
        <w:tab/>
      </w:r>
      <w:r>
        <w:rPr>
          <w:rFonts w:ascii="Simplified Arabic" w:hAnsi="Simplified Arabic" w:cs="Simplified Arabic"/>
          <w:sz w:val="26"/>
          <w:szCs w:val="26"/>
          <w:rtl/>
          <w:lang w:bidi="ar-JO"/>
        </w:rPr>
        <w:tab/>
      </w:r>
      <w:r>
        <w:rPr>
          <w:rFonts w:ascii="Simplified Arabic" w:hAnsi="Simplified Arabic" w:cs="Simplified Arabic" w:hint="cs"/>
          <w:sz w:val="26"/>
          <w:szCs w:val="26"/>
          <w:rtl/>
          <w:lang w:bidi="ar-JO"/>
        </w:rPr>
        <w:t xml:space="preserve">تُضيف الترجمة السبعينيّة الكلمات "وفي أرض كنعان" في خروج 12: 40، وعلى هذا الأساس يستخدم بعض العلماء الرقم 215 سنة بدلاً من 430 باعتبارها الفترة التي قضوها في مصر. أنا أقبل النص الماسوري العبري، وأستخدم الرقم 430 سنة. </w:t>
      </w:r>
    </w:p>
    <w:p w14:paraId="47F879D5" w14:textId="09468A3D" w:rsidR="00E741E1" w:rsidRDefault="00E741E1" w:rsidP="00E741E1">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____________</w:t>
      </w:r>
    </w:p>
    <w:p w14:paraId="7231EE78" w14:textId="7FBCAE38" w:rsidR="00E741E1" w:rsidRDefault="00E741E1" w:rsidP="00E741E1">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 xml:space="preserve">1876 ق.م. </w:t>
      </w:r>
      <w:r w:rsidR="00012DCC">
        <w:rPr>
          <w:rFonts w:ascii="Simplified Arabic" w:hAnsi="Simplified Arabic" w:cs="Simplified Arabic"/>
          <w:sz w:val="26"/>
          <w:szCs w:val="26"/>
          <w:lang w:bidi="ar-JO"/>
        </w:rPr>
        <w:tab/>
      </w:r>
      <w:r w:rsidR="00012DCC">
        <w:rPr>
          <w:rFonts w:ascii="Simplified Arabic" w:hAnsi="Simplified Arabic" w:cs="Simplified Arabic" w:hint="cs"/>
          <w:sz w:val="26"/>
          <w:szCs w:val="26"/>
          <w:rtl/>
          <w:lang w:bidi="ar-JO"/>
        </w:rPr>
        <w:t xml:space="preserve">السنة التي دخل فيها العبرانيّون إلى مصر بصورة رسميّة. </w:t>
      </w:r>
    </w:p>
    <w:p w14:paraId="047487E5" w14:textId="2D17EDCB" w:rsidR="00012DCC" w:rsidRDefault="00012DCC" w:rsidP="00012DCC">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lang w:bidi="ar-JO"/>
        </w:rPr>
      </w:pPr>
      <w:r>
        <w:rPr>
          <w:rFonts w:ascii="Simplified Arabic" w:hAnsi="Simplified Arabic" w:cs="Simplified Arabic"/>
          <w:sz w:val="26"/>
          <w:szCs w:val="26"/>
          <w:rtl/>
          <w:lang w:bidi="ar-JO"/>
        </w:rPr>
        <w:lastRenderedPageBreak/>
        <w:tab/>
      </w:r>
      <w:r>
        <w:rPr>
          <w:rFonts w:ascii="Simplified Arabic" w:hAnsi="Simplified Arabic" w:cs="Simplified Arabic"/>
          <w:sz w:val="26"/>
          <w:szCs w:val="26"/>
          <w:rtl/>
          <w:lang w:bidi="ar-JO"/>
        </w:rPr>
        <w:tab/>
      </w:r>
      <w:r>
        <w:rPr>
          <w:rFonts w:ascii="Simplified Arabic" w:hAnsi="Simplified Arabic" w:cs="Simplified Arabic"/>
          <w:sz w:val="26"/>
          <w:szCs w:val="26"/>
          <w:rtl/>
          <w:lang w:bidi="ar-JO"/>
        </w:rPr>
        <w:tab/>
      </w:r>
      <w:r>
        <w:rPr>
          <w:rFonts w:ascii="Simplified Arabic" w:hAnsi="Simplified Arabic" w:cs="Simplified Arabic" w:hint="cs"/>
          <w:sz w:val="26"/>
          <w:szCs w:val="26"/>
          <w:rtl/>
          <w:lang w:bidi="ar-JO"/>
        </w:rPr>
        <w:t xml:space="preserve">هذا هو الوقت الذي فيه أتى يعقوب وكلّ عائلته إلى مصر، حين مثل يعقوب أمام فرعون. </w:t>
      </w:r>
    </w:p>
    <w:p w14:paraId="0A0A4BB5" w14:textId="55E7240D" w:rsidR="00012DCC" w:rsidRDefault="00012DCC" w:rsidP="00012DCC">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lang w:bidi="ar-JO"/>
        </w:rPr>
      </w:pPr>
      <w:r>
        <w:rPr>
          <w:rFonts w:ascii="Simplified Arabic" w:hAnsi="Simplified Arabic" w:cs="Simplified Arabic"/>
          <w:sz w:val="26"/>
          <w:szCs w:val="26"/>
          <w:rtl/>
          <w:lang w:bidi="ar-JO"/>
        </w:rPr>
        <w:tab/>
      </w:r>
      <w:r>
        <w:rPr>
          <w:rFonts w:ascii="Simplified Arabic" w:hAnsi="Simplified Arabic" w:cs="Simplified Arabic"/>
          <w:sz w:val="26"/>
          <w:szCs w:val="26"/>
          <w:rtl/>
          <w:lang w:bidi="ar-JO"/>
        </w:rPr>
        <w:tab/>
      </w:r>
      <w:r>
        <w:rPr>
          <w:rFonts w:ascii="Simplified Arabic" w:hAnsi="Simplified Arabic" w:cs="Simplified Arabic"/>
          <w:sz w:val="26"/>
          <w:szCs w:val="26"/>
          <w:rtl/>
          <w:lang w:bidi="ar-JO"/>
        </w:rPr>
        <w:tab/>
      </w:r>
      <w:r>
        <w:rPr>
          <w:rFonts w:ascii="Simplified Arabic" w:hAnsi="Simplified Arabic" w:cs="Simplified Arabic" w:hint="cs"/>
          <w:sz w:val="26"/>
          <w:szCs w:val="26"/>
          <w:rtl/>
          <w:lang w:bidi="ar-JO"/>
        </w:rPr>
        <w:t xml:space="preserve">انظر تكوين 47: 7-9، وقارن مع أعمال الرسال 7: 11-15. </w:t>
      </w:r>
    </w:p>
    <w:p w14:paraId="1F5EFA1D" w14:textId="27CF6D98" w:rsidR="00012DCC" w:rsidRDefault="00012DCC" w:rsidP="00012DCC">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 xml:space="preserve">+ 130 سنة </w:t>
      </w:r>
      <w:r>
        <w:rPr>
          <w:rFonts w:ascii="Simplified Arabic" w:hAnsi="Simplified Arabic" w:cs="Simplified Arabic"/>
          <w:sz w:val="26"/>
          <w:szCs w:val="26"/>
          <w:rtl/>
          <w:lang w:bidi="ar-JO"/>
        </w:rPr>
        <w:tab/>
      </w:r>
      <w:r>
        <w:rPr>
          <w:rFonts w:ascii="Simplified Arabic" w:hAnsi="Simplified Arabic" w:cs="Simplified Arabic" w:hint="cs"/>
          <w:sz w:val="26"/>
          <w:szCs w:val="26"/>
          <w:rtl/>
          <w:lang w:bidi="ar-JO"/>
        </w:rPr>
        <w:t xml:space="preserve">عمر يعقوب حين مثل أمام فرعون (تكوين 47: 7-9).  </w:t>
      </w:r>
    </w:p>
    <w:p w14:paraId="5BAC1D6F" w14:textId="7EC646E6" w:rsidR="00012DCC" w:rsidRDefault="00012DCC" w:rsidP="00012DCC">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 xml:space="preserve">_________ </w:t>
      </w:r>
    </w:p>
    <w:p w14:paraId="179ADB6B" w14:textId="377507DF" w:rsidR="00012DCC" w:rsidRDefault="00012DCC" w:rsidP="00012DCC">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 xml:space="preserve">2006 ق.م. </w:t>
      </w:r>
      <w:r>
        <w:rPr>
          <w:rFonts w:ascii="Simplified Arabic" w:hAnsi="Simplified Arabic" w:cs="Simplified Arabic"/>
          <w:sz w:val="26"/>
          <w:szCs w:val="26"/>
          <w:rtl/>
          <w:lang w:bidi="ar-JO"/>
        </w:rPr>
        <w:tab/>
      </w:r>
      <w:r>
        <w:rPr>
          <w:rFonts w:ascii="Simplified Arabic" w:hAnsi="Simplified Arabic" w:cs="Simplified Arabic" w:hint="cs"/>
          <w:sz w:val="26"/>
          <w:szCs w:val="26"/>
          <w:rtl/>
          <w:lang w:bidi="ar-JO"/>
        </w:rPr>
        <w:t xml:space="preserve">سنة ولادة يعقوب </w:t>
      </w:r>
    </w:p>
    <w:p w14:paraId="1FBBB541" w14:textId="0272897F" w:rsidR="00012DCC" w:rsidRDefault="00F942C7" w:rsidP="00012DCC">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 xml:space="preserve">+ 60 سنة </w:t>
      </w:r>
      <w:r>
        <w:rPr>
          <w:rFonts w:ascii="Simplified Arabic" w:hAnsi="Simplified Arabic" w:cs="Simplified Arabic"/>
          <w:sz w:val="26"/>
          <w:szCs w:val="26"/>
          <w:rtl/>
          <w:lang w:bidi="ar-JO"/>
        </w:rPr>
        <w:tab/>
      </w:r>
      <w:r>
        <w:rPr>
          <w:rFonts w:ascii="Simplified Arabic" w:hAnsi="Simplified Arabic" w:cs="Simplified Arabic"/>
          <w:sz w:val="26"/>
          <w:szCs w:val="26"/>
          <w:rtl/>
          <w:lang w:bidi="ar-JO"/>
        </w:rPr>
        <w:tab/>
      </w:r>
      <w:r>
        <w:rPr>
          <w:rFonts w:ascii="Simplified Arabic" w:hAnsi="Simplified Arabic" w:cs="Simplified Arabic" w:hint="cs"/>
          <w:sz w:val="26"/>
          <w:szCs w:val="26"/>
          <w:rtl/>
          <w:lang w:bidi="ar-JO"/>
        </w:rPr>
        <w:t xml:space="preserve">عمر إسحاق حين وُلِد يعقوب (انظر تكوين 25: 26) </w:t>
      </w:r>
    </w:p>
    <w:p w14:paraId="649CB891" w14:textId="536F591B" w:rsidR="00F942C7" w:rsidRPr="0001335B" w:rsidRDefault="00F942C7" w:rsidP="00F942C7">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lang w:bidi="ar-JO"/>
        </w:rPr>
      </w:pPr>
      <w:r>
        <w:rPr>
          <w:rFonts w:ascii="Simplified Arabic" w:hAnsi="Simplified Arabic" w:cs="Simplified Arabic" w:hint="cs"/>
          <w:sz w:val="26"/>
          <w:szCs w:val="26"/>
          <w:rtl/>
          <w:lang w:bidi="ar-JO"/>
        </w:rPr>
        <w:t xml:space="preserve">________ </w:t>
      </w:r>
    </w:p>
    <w:p w14:paraId="3668DF56" w14:textId="58BA0D89" w:rsidR="0001335B" w:rsidRDefault="00F942C7" w:rsidP="0001335B">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 xml:space="preserve">2066 ق.م. </w:t>
      </w:r>
      <w:r>
        <w:rPr>
          <w:rFonts w:ascii="Simplified Arabic" w:hAnsi="Simplified Arabic" w:cs="Simplified Arabic"/>
          <w:sz w:val="26"/>
          <w:szCs w:val="26"/>
          <w:rtl/>
          <w:lang w:bidi="ar-JO"/>
        </w:rPr>
        <w:tab/>
      </w:r>
      <w:r>
        <w:rPr>
          <w:rFonts w:ascii="Simplified Arabic" w:hAnsi="Simplified Arabic" w:cs="Simplified Arabic" w:hint="cs"/>
          <w:sz w:val="26"/>
          <w:szCs w:val="26"/>
          <w:rtl/>
          <w:lang w:bidi="ar-JO"/>
        </w:rPr>
        <w:t xml:space="preserve">سنة ولادة إسحاق </w:t>
      </w:r>
    </w:p>
    <w:p w14:paraId="74A62E63" w14:textId="537F47F9" w:rsidR="00F942C7" w:rsidRDefault="00F942C7" w:rsidP="00F942C7">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 xml:space="preserve">+ 100 سنة </w:t>
      </w:r>
      <w:r>
        <w:rPr>
          <w:rFonts w:ascii="Simplified Arabic" w:hAnsi="Simplified Arabic" w:cs="Simplified Arabic"/>
          <w:sz w:val="26"/>
          <w:szCs w:val="26"/>
          <w:rtl/>
          <w:lang w:bidi="ar-JO"/>
        </w:rPr>
        <w:tab/>
      </w:r>
      <w:r>
        <w:rPr>
          <w:rFonts w:ascii="Simplified Arabic" w:hAnsi="Simplified Arabic" w:cs="Simplified Arabic" w:hint="cs"/>
          <w:sz w:val="26"/>
          <w:szCs w:val="26"/>
          <w:rtl/>
          <w:lang w:bidi="ar-JO"/>
        </w:rPr>
        <w:t xml:space="preserve">عمر أبراهيم (الذي تغيَّر اسمه لاحقًا إلى إبراهيم) وقت ولادة إسحاق (انظر تكوين 21: 5) </w:t>
      </w:r>
    </w:p>
    <w:p w14:paraId="54F8FF43" w14:textId="0550287D" w:rsidR="00F942C7" w:rsidRDefault="00F942C7" w:rsidP="00F942C7">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 xml:space="preserve">________ </w:t>
      </w:r>
    </w:p>
    <w:p w14:paraId="6F2DF66F" w14:textId="1448CC04" w:rsidR="00F942C7" w:rsidRPr="0001335B" w:rsidRDefault="00F942C7" w:rsidP="00F942C7">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lang w:bidi="ar-JO"/>
        </w:rPr>
      </w:pPr>
      <w:r w:rsidRPr="002723B1">
        <w:rPr>
          <w:rFonts w:ascii="Simplified Arabic" w:hAnsi="Simplified Arabic" w:cs="Simplified Arabic" w:hint="cs"/>
          <w:b/>
          <w:bCs/>
          <w:sz w:val="26"/>
          <w:szCs w:val="26"/>
          <w:rtl/>
          <w:lang w:bidi="ar-JO"/>
        </w:rPr>
        <w:t xml:space="preserve">2166 ق.م. </w:t>
      </w:r>
      <w:r w:rsidRPr="002723B1">
        <w:rPr>
          <w:rFonts w:ascii="Simplified Arabic" w:hAnsi="Simplified Arabic" w:cs="Simplified Arabic"/>
          <w:b/>
          <w:bCs/>
          <w:sz w:val="26"/>
          <w:szCs w:val="26"/>
          <w:rtl/>
          <w:lang w:bidi="ar-JO"/>
        </w:rPr>
        <w:tab/>
      </w:r>
      <w:r w:rsidRPr="002723B1">
        <w:rPr>
          <w:rFonts w:ascii="Simplified Arabic" w:hAnsi="Simplified Arabic" w:cs="Simplified Arabic" w:hint="cs"/>
          <w:b/>
          <w:bCs/>
          <w:sz w:val="26"/>
          <w:szCs w:val="26"/>
          <w:rtl/>
          <w:lang w:bidi="ar-JO"/>
        </w:rPr>
        <w:t>سنة ولادة أبرام [عاش أبرام 175 سنوات</w:t>
      </w:r>
      <w:r>
        <w:rPr>
          <w:rFonts w:ascii="Simplified Arabic" w:hAnsi="Simplified Arabic" w:cs="Simplified Arabic" w:hint="cs"/>
          <w:sz w:val="26"/>
          <w:szCs w:val="26"/>
          <w:rtl/>
          <w:lang w:bidi="ar-JO"/>
        </w:rPr>
        <w:t xml:space="preserve"> (تكوين 25: 7)، 2166-1991 ق.م. </w:t>
      </w:r>
    </w:p>
    <w:p w14:paraId="4BCAD34B" w14:textId="77777777" w:rsidR="0001335B" w:rsidRPr="0001335B" w:rsidRDefault="0001335B" w:rsidP="0001335B">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rPr>
      </w:pPr>
    </w:p>
    <w:p w14:paraId="456D8135" w14:textId="6462E3E7" w:rsidR="00F942C7" w:rsidRDefault="00F942C7" w:rsidP="00F942C7">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lang w:bidi="ar-JO"/>
        </w:rPr>
      </w:pPr>
      <w:r w:rsidRPr="00F942C7">
        <w:rPr>
          <w:rFonts w:ascii="Simplified Arabic" w:hAnsi="Simplified Arabic" w:cs="Simplified Arabic"/>
          <w:b/>
          <w:bCs/>
          <w:sz w:val="26"/>
          <w:szCs w:val="26"/>
          <w:rtl/>
        </w:rPr>
        <w:t>مشكلة</w:t>
      </w:r>
      <w:r w:rsidRPr="00F942C7">
        <w:rPr>
          <w:rFonts w:ascii="Simplified Arabic" w:hAnsi="Simplified Arabic" w:cs="Simplified Arabic"/>
          <w:sz w:val="26"/>
          <w:szCs w:val="26"/>
          <w:rtl/>
        </w:rPr>
        <w:t xml:space="preserve">: </w:t>
      </w:r>
      <w:r w:rsidR="003403AE">
        <w:rPr>
          <w:rFonts w:ascii="Simplified Arabic" w:hAnsi="Simplified Arabic" w:cs="Simplified Arabic" w:hint="cs"/>
          <w:sz w:val="26"/>
          <w:szCs w:val="26"/>
          <w:rtl/>
          <w:lang w:bidi="ar-JO"/>
        </w:rPr>
        <w:t xml:space="preserve">لا نعرف كم كان عمر تارح، أبي أبرام، حين ولده. ليس النص الكتابي واضحًا بشأن متى ولد أبرام. </w:t>
      </w:r>
    </w:p>
    <w:p w14:paraId="226596ED" w14:textId="1B5F13E1" w:rsidR="003403AE" w:rsidRPr="00F942C7" w:rsidRDefault="003403AE" w:rsidP="003403AE">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 xml:space="preserve">يُشير تكوين 11: 26 إلى أن تارح كان بعمر السبعين حين صار أبا أبرام وناحور وهاران. ولكنْ لدينا هنا صعوبة إن افترضنا أن إبراهيم كان بكر تارح. فبحسب تكوين 12: 4، كان أبرام في الخامسة والسبعين من عمره حين ترك حاران ذاهبًا إلى كنعان، عام 2091 ق.م. ولكنْ بحسب سفر </w:t>
      </w:r>
      <w:r w:rsidR="002723B1">
        <w:rPr>
          <w:rFonts w:ascii="Simplified Arabic" w:hAnsi="Simplified Arabic" w:cs="Simplified Arabic" w:hint="cs"/>
          <w:sz w:val="26"/>
          <w:szCs w:val="26"/>
          <w:rtl/>
          <w:lang w:bidi="ar-JO"/>
        </w:rPr>
        <w:t>الأعمال</w:t>
      </w:r>
      <w:r>
        <w:rPr>
          <w:rFonts w:ascii="Simplified Arabic" w:hAnsi="Simplified Arabic" w:cs="Simplified Arabic" w:hint="cs"/>
          <w:sz w:val="26"/>
          <w:szCs w:val="26"/>
          <w:rtl/>
          <w:lang w:bidi="ar-JO"/>
        </w:rPr>
        <w:t xml:space="preserve"> 7: 4، ترك أبرام حاران بعد أنْ كان أبوه قد مات. ويُخبِرنا سفر التكوين 11: 32 أن</w:t>
      </w:r>
      <w:r w:rsidR="002723B1">
        <w:rPr>
          <w:rFonts w:ascii="Simplified Arabic" w:hAnsi="Simplified Arabic" w:cs="Simplified Arabic" w:hint="cs"/>
          <w:sz w:val="26"/>
          <w:szCs w:val="26"/>
          <w:rtl/>
          <w:lang w:bidi="ar-JO"/>
        </w:rPr>
        <w:t>ّ</w:t>
      </w:r>
      <w:r>
        <w:rPr>
          <w:rFonts w:ascii="Simplified Arabic" w:hAnsi="Simplified Arabic" w:cs="Simplified Arabic" w:hint="cs"/>
          <w:sz w:val="26"/>
          <w:szCs w:val="26"/>
          <w:rtl/>
          <w:lang w:bidi="ar-JO"/>
        </w:rPr>
        <w:t xml:space="preserve"> تارح مات بعمر 205 سنة. وبهذا، من غير الممكن أن تارح كان بعمر السبعين عند ولادة أبرام، ويكون أيضًا قد مات قبل أن غادر أبرام حاران. بالاعتم</w:t>
      </w:r>
      <w:r w:rsidR="002723B1">
        <w:rPr>
          <w:rFonts w:ascii="Simplified Arabic" w:hAnsi="Simplified Arabic" w:cs="Simplified Arabic" w:hint="cs"/>
          <w:sz w:val="26"/>
          <w:szCs w:val="26"/>
          <w:rtl/>
          <w:lang w:bidi="ar-JO"/>
        </w:rPr>
        <w:t>ا</w:t>
      </w:r>
      <w:r>
        <w:rPr>
          <w:rFonts w:ascii="Simplified Arabic" w:hAnsi="Simplified Arabic" w:cs="Simplified Arabic" w:hint="cs"/>
          <w:sz w:val="26"/>
          <w:szCs w:val="26"/>
          <w:rtl/>
          <w:lang w:bidi="ar-JO"/>
        </w:rPr>
        <w:t>د على هذه المعلومات، فإنّ آخر تاريخ يمكن أن يكون تارح قد وُلِد فيه سيكون قبل 205 سنة من مغادرة أبرام حاران، أي 2296 ق.م. (2091 ق.م. + 205 سنة). ولحسا</w:t>
      </w:r>
      <w:r w:rsidR="002723B1">
        <w:rPr>
          <w:rFonts w:ascii="Simplified Arabic" w:hAnsi="Simplified Arabic" w:cs="Simplified Arabic" w:hint="cs"/>
          <w:sz w:val="26"/>
          <w:szCs w:val="26"/>
          <w:rtl/>
          <w:lang w:bidi="ar-JO"/>
        </w:rPr>
        <w:t>ب</w:t>
      </w:r>
      <w:r>
        <w:rPr>
          <w:rFonts w:ascii="Simplified Arabic" w:hAnsi="Simplified Arabic" w:cs="Simplified Arabic" w:hint="cs"/>
          <w:sz w:val="26"/>
          <w:szCs w:val="26"/>
          <w:rtl/>
          <w:lang w:bidi="ar-JO"/>
        </w:rPr>
        <w:t xml:space="preserve"> أبكر وقت يمكن أن يكون تارح وُلِد فيه، نحتاج </w:t>
      </w:r>
      <w:r w:rsidR="002723B1">
        <w:rPr>
          <w:rFonts w:ascii="Simplified Arabic" w:hAnsi="Simplified Arabic" w:cs="Simplified Arabic" w:hint="cs"/>
          <w:sz w:val="26"/>
          <w:szCs w:val="26"/>
          <w:rtl/>
          <w:lang w:bidi="ar-JO"/>
        </w:rPr>
        <w:t xml:space="preserve">إلى </w:t>
      </w:r>
      <w:r>
        <w:rPr>
          <w:rFonts w:ascii="Simplified Arabic" w:hAnsi="Simplified Arabic" w:cs="Simplified Arabic" w:hint="cs"/>
          <w:sz w:val="26"/>
          <w:szCs w:val="26"/>
          <w:rtl/>
          <w:lang w:bidi="ar-JO"/>
        </w:rPr>
        <w:t>أن نضع في حسابنا سارة، زوجة أبرام. غادر تارح أور إلى حاران بعد أن تزوّج أبرام وسارة (بحسب تكوين 11: 31). ونعرف من تكوين 17: 17 أن</w:t>
      </w:r>
      <w:r w:rsidR="002723B1">
        <w:rPr>
          <w:rFonts w:ascii="Simplified Arabic" w:hAnsi="Simplified Arabic" w:cs="Simplified Arabic" w:hint="cs"/>
          <w:sz w:val="26"/>
          <w:szCs w:val="26"/>
          <w:rtl/>
          <w:lang w:bidi="ar-JO"/>
        </w:rPr>
        <w:t>ّ</w:t>
      </w:r>
      <w:r>
        <w:rPr>
          <w:rFonts w:ascii="Simplified Arabic" w:hAnsi="Simplified Arabic" w:cs="Simplified Arabic" w:hint="cs"/>
          <w:sz w:val="26"/>
          <w:szCs w:val="26"/>
          <w:rtl/>
          <w:lang w:bidi="ar-JO"/>
        </w:rPr>
        <w:t xml:space="preserve"> سارة كانت أصغر من أبرام بعشر سنوات، ونعرف من تكوين 23: 1 أنّها ماتت بعمر 127 سنة. فإن كان أبرام قد وُلِد عام 2166 ق.م.، فإن</w:t>
      </w:r>
      <w:r w:rsidR="002723B1">
        <w:rPr>
          <w:rFonts w:ascii="Simplified Arabic" w:hAnsi="Simplified Arabic" w:cs="Simplified Arabic" w:hint="cs"/>
          <w:sz w:val="26"/>
          <w:szCs w:val="26"/>
          <w:rtl/>
          <w:lang w:bidi="ar-JO"/>
        </w:rPr>
        <w:t>َّ</w:t>
      </w:r>
      <w:r>
        <w:rPr>
          <w:rFonts w:ascii="Simplified Arabic" w:hAnsi="Simplified Arabic" w:cs="Simplified Arabic" w:hint="cs"/>
          <w:sz w:val="26"/>
          <w:szCs w:val="26"/>
          <w:rtl/>
          <w:lang w:bidi="ar-JO"/>
        </w:rPr>
        <w:t xml:space="preserve"> سارة تكون قد عاشت في الفترة 2156-2029 ق.م. لا نعرف كم كان عمر سارة حين تزوّجت بأبرام، ولكنّ الراجح أنّنا نستطيع أن نفترض أنّها كانت بعمر الخمسة عشر على الأقلّ. ولذا، فقد تزوّج أبرام من سارة على الأقل في العام 2141 ق.م. (2156 ق.م. </w:t>
      </w:r>
      <w:r>
        <w:rPr>
          <w:rFonts w:ascii="Simplified Arabic" w:hAnsi="Simplified Arabic" w:cs="Simplified Arabic"/>
          <w:sz w:val="26"/>
          <w:szCs w:val="26"/>
          <w:rtl/>
          <w:lang w:bidi="ar-JO"/>
        </w:rPr>
        <w:t>–</w:t>
      </w:r>
      <w:r>
        <w:rPr>
          <w:rFonts w:ascii="Simplified Arabic" w:hAnsi="Simplified Arabic" w:cs="Simplified Arabic" w:hint="cs"/>
          <w:sz w:val="26"/>
          <w:szCs w:val="26"/>
          <w:rtl/>
          <w:lang w:bidi="ar-JO"/>
        </w:rPr>
        <w:t xml:space="preserve"> 15 سنة)، وانتقل تارح والعائلة إلى حاران في وقتٍ ما بعد العام 2141 (من المحتمل بعد عدّة سنوات). ولذا، نستنتج أن تارح مات في وقتٍ ما بين </w:t>
      </w:r>
      <w:r>
        <w:rPr>
          <w:rFonts w:ascii="Simplified Arabic" w:hAnsi="Simplified Arabic" w:cs="Simplified Arabic" w:hint="cs"/>
          <w:sz w:val="26"/>
          <w:szCs w:val="26"/>
          <w:rtl/>
          <w:lang w:bidi="ar-JO"/>
        </w:rPr>
        <w:lastRenderedPageBreak/>
        <w:t>العام 2141 ق.م. (أبكر وقت محتمل لزواج إبراهيم) والعام 2091</w:t>
      </w:r>
      <w:r w:rsidR="008A4F92">
        <w:rPr>
          <w:rFonts w:ascii="Simplified Arabic" w:hAnsi="Simplified Arabic" w:cs="Simplified Arabic" w:hint="cs"/>
          <w:sz w:val="26"/>
          <w:szCs w:val="26"/>
          <w:rtl/>
          <w:lang w:bidi="ar-JO"/>
        </w:rPr>
        <w:t xml:space="preserve"> ق.م. (حين غادر أبرام حاران إلى كنعان). ولأن تارح مات بعمر 205 سنوات (تكوين 11: 32)، فإن أبكر وقتٍ يمكن أن يكون قد وُلِد به هو 2346 ق.م. (2141 ق.م. + 205)، وآخر وقتٍ ممكن لولادته هو العام 2346 ق.م. (2091 ق.م. + 205 سنة)، أي بفارق 50 سنة. أو يمكننا أن نقول إن تارح وُلِد عام 2321 </w:t>
      </w:r>
      <w:r w:rsidR="00475F98" w:rsidRPr="00475F98">
        <w:rPr>
          <w:rFonts w:ascii="Simplified Arabic" w:eastAsia="Calibri" w:hAnsi="Simplified Arabic" w:cs="Simplified Arabic"/>
          <w:sz w:val="26"/>
          <w:szCs w:val="26"/>
        </w:rPr>
        <w:t>±</w:t>
      </w:r>
      <w:r w:rsidR="00475F98" w:rsidRPr="00475F98">
        <w:rPr>
          <w:rFonts w:ascii="Simplified Arabic" w:eastAsia="Calibri" w:hAnsi="Simplified Arabic" w:cs="Simplified Arabic"/>
          <w:sz w:val="26"/>
          <w:szCs w:val="26"/>
          <w:rtl/>
        </w:rPr>
        <w:t xml:space="preserve"> 25 سنة</w:t>
      </w:r>
      <w:r w:rsidR="00475F98">
        <w:rPr>
          <w:rFonts w:ascii="Simplified Arabic" w:eastAsia="Calibri" w:hAnsi="Simplified Arabic" w:cs="Simplified Arabic" w:hint="cs"/>
          <w:sz w:val="26"/>
          <w:szCs w:val="26"/>
          <w:rtl/>
        </w:rPr>
        <w:t xml:space="preserve"> (ما بين 2346 و2296 ق.م.). </w:t>
      </w:r>
    </w:p>
    <w:p w14:paraId="227BAC72" w14:textId="27815F21" w:rsidR="00F942C7" w:rsidRDefault="00F942C7" w:rsidP="00F942C7">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rPr>
      </w:pPr>
    </w:p>
    <w:p w14:paraId="292B4444" w14:textId="7520F307" w:rsidR="00475F98" w:rsidRPr="00475F98" w:rsidRDefault="00475F98" w:rsidP="00475F98">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b/>
          <w:bCs/>
          <w:sz w:val="26"/>
          <w:szCs w:val="26"/>
          <w:rtl/>
        </w:rPr>
      </w:pPr>
      <w:r w:rsidRPr="00475F98">
        <w:rPr>
          <w:rFonts w:ascii="Simplified Arabic" w:hAnsi="Simplified Arabic" w:cs="Simplified Arabic" w:hint="cs"/>
          <w:b/>
          <w:bCs/>
          <w:sz w:val="26"/>
          <w:szCs w:val="26"/>
          <w:rtl/>
        </w:rPr>
        <w:t>الاستنتاج</w:t>
      </w:r>
    </w:p>
    <w:p w14:paraId="160BAD66" w14:textId="2F6AA4AC" w:rsidR="00F942C7" w:rsidRPr="00F942C7" w:rsidRDefault="00475F98" w:rsidP="00F942C7">
      <w:pPr>
        <w:tabs>
          <w:tab w:val="left" w:pos="540"/>
          <w:tab w:val="left" w:pos="1080"/>
          <w:tab w:val="left" w:pos="1620"/>
          <w:tab w:val="left" w:pos="2160"/>
          <w:tab w:val="left" w:pos="2700"/>
          <w:tab w:val="left" w:pos="3240"/>
          <w:tab w:val="left" w:pos="3780"/>
          <w:tab w:val="left" w:pos="4320"/>
        </w:tabs>
        <w:bidi/>
        <w:spacing w:line="240" w:lineRule="auto"/>
        <w:ind w:right="-603"/>
        <w:rPr>
          <w:rFonts w:ascii="Simplified Arabic" w:hAnsi="Simplified Arabic" w:cs="Simplified Arabic"/>
          <w:sz w:val="26"/>
          <w:szCs w:val="26"/>
          <w:rtl/>
        </w:rPr>
      </w:pPr>
      <w:r>
        <w:rPr>
          <w:rFonts w:ascii="Simplified Arabic" w:hAnsi="Simplified Arabic" w:cs="Simplified Arabic" w:hint="cs"/>
          <w:sz w:val="26"/>
          <w:szCs w:val="26"/>
          <w:rtl/>
        </w:rPr>
        <w:t xml:space="preserve">بالاعتماد على الأسباب المذكورة أعلاه، يمكننا أن نقدِّر أن إبراهيم وُلِد عام 2166 ق.م.، وأنّه دخل إلى أرض كنعان حوالي العام 2091 ق.م. وقد حدث الخروج عام 1446 ق.م.، وبدأ سليمان في بناء الهيكل 967 ق.م. ويمكن تحديد تواريخ أحداث العهد القديم الأخرى وفترات حكم الملوك نتيجة لهذه المعلومات والبيانات. </w:t>
      </w:r>
    </w:p>
    <w:p w14:paraId="50EF01C7" w14:textId="0CC791C7" w:rsidR="00475F98" w:rsidRDefault="002658F4" w:rsidP="00475F98">
      <w:pPr>
        <w:tabs>
          <w:tab w:val="left" w:pos="540"/>
          <w:tab w:val="left" w:pos="1080"/>
          <w:tab w:val="left" w:pos="1620"/>
          <w:tab w:val="left" w:pos="2160"/>
          <w:tab w:val="left" w:pos="2700"/>
          <w:tab w:val="left" w:pos="3240"/>
          <w:tab w:val="left" w:pos="3780"/>
          <w:tab w:val="left" w:pos="4320"/>
        </w:tabs>
        <w:bidi/>
        <w:spacing w:line="240" w:lineRule="auto"/>
        <w:ind w:right="-603"/>
      </w:pPr>
      <w:r>
        <w:br/>
      </w:r>
    </w:p>
    <w:p w14:paraId="2DDB7389" w14:textId="293C3274" w:rsidR="00060AF9" w:rsidRDefault="00060AF9" w:rsidP="002D6C54">
      <w:pPr>
        <w:spacing w:line="240" w:lineRule="auto"/>
      </w:pPr>
    </w:p>
    <w:bookmarkEnd w:id="21"/>
    <w:p w14:paraId="34F8A2F7" w14:textId="44D4C0EB" w:rsidR="00301B31" w:rsidRDefault="004F04B0" w:rsidP="002D6C54">
      <w:pPr>
        <w:spacing w:line="240" w:lineRule="auto"/>
        <w:jc w:val="center"/>
      </w:pPr>
      <w:r>
        <w:object w:dxaOrig="5407" w:dyaOrig="7794" w14:anchorId="4A177C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9.8pt;height:634.2pt" o:ole="">
            <v:imagedata r:id="rId9" o:title=""/>
          </v:shape>
          <o:OLEObject Type="Embed" ProgID="PowerPoint.Show.12" ShapeID="_x0000_i1025" DrawAspect="Content" ObjectID="_1802157120" r:id="rId10"/>
        </w:object>
      </w:r>
    </w:p>
    <w:p w14:paraId="68C8033C" w14:textId="741B07AA" w:rsidR="00301B31" w:rsidRDefault="008B07C5" w:rsidP="002D6C54">
      <w:pPr>
        <w:spacing w:line="240" w:lineRule="auto"/>
      </w:pPr>
      <w:r>
        <w:object w:dxaOrig="7811" w:dyaOrig="5396" w14:anchorId="0967C6DB">
          <v:shape id="_x0000_i1026" type="#_x0000_t75" style="width:469.2pt;height:324.6pt" o:ole="">
            <v:imagedata r:id="rId11" o:title=""/>
          </v:shape>
          <o:OLEObject Type="Embed" ProgID="PowerPoint.Show.8" ShapeID="_x0000_i1026" DrawAspect="Content" ObjectID="_1802157121" r:id="rId12"/>
        </w:object>
      </w:r>
    </w:p>
    <w:p w14:paraId="54814328" w14:textId="4C8BBC53" w:rsidR="00C04279" w:rsidRPr="00C04279" w:rsidRDefault="00C04279" w:rsidP="00C04279">
      <w:pPr>
        <w:pStyle w:val="Heading3"/>
        <w:bidi/>
        <w:spacing w:line="240" w:lineRule="auto"/>
        <w:ind w:left="0" w:firstLine="0"/>
        <w:rPr>
          <w:rFonts w:ascii="Simplified Arabic" w:hAnsi="Simplified Arabic" w:cs="Simplified Arabic"/>
          <w:sz w:val="30"/>
          <w:szCs w:val="30"/>
          <w:rtl/>
        </w:rPr>
      </w:pPr>
      <w:bookmarkStart w:id="29" w:name="_Toc164419994"/>
      <w:bookmarkStart w:id="30" w:name="_Hlk178777859"/>
      <w:r w:rsidRPr="00C04279">
        <w:rPr>
          <w:rFonts w:ascii="Simplified Arabic" w:hAnsi="Simplified Arabic" w:cs="Simplified Arabic"/>
          <w:sz w:val="30"/>
          <w:szCs w:val="30"/>
          <w:rtl/>
        </w:rPr>
        <w:t xml:space="preserve">الموضوع 3: </w:t>
      </w:r>
      <w:r w:rsidRPr="00C04279">
        <w:rPr>
          <w:rFonts w:ascii="Simplified Arabic" w:eastAsia="Calibri" w:hAnsi="Simplified Arabic" w:cs="Simplified Arabic"/>
          <w:sz w:val="30"/>
          <w:szCs w:val="30"/>
          <w:rtl/>
          <w14:ligatures w14:val="none"/>
        </w:rPr>
        <w:t>جغرافيّة الشرق الأدنى القديم وخارطته</w:t>
      </w:r>
    </w:p>
    <w:bookmarkEnd w:id="29"/>
    <w:p w14:paraId="05C01913" w14:textId="36ED0679" w:rsidR="009647E9" w:rsidRPr="00C04279" w:rsidRDefault="00C04279" w:rsidP="00C04279">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14:ligatures w14:val="none"/>
        </w:rPr>
      </w:pPr>
      <w:r w:rsidRPr="00C04279">
        <w:rPr>
          <w:rFonts w:ascii="Simplified Arabic" w:eastAsia="Calibri" w:hAnsi="Simplified Arabic" w:cs="Simplified Arabic"/>
          <w:kern w:val="0"/>
          <w:sz w:val="26"/>
          <w:szCs w:val="26"/>
          <w:rtl/>
          <w14:ligatures w14:val="none"/>
        </w:rPr>
        <w:t xml:space="preserve">يتمحور معظم </w:t>
      </w:r>
      <w:r w:rsidR="00AC22AB">
        <w:rPr>
          <w:rFonts w:ascii="Simplified Arabic" w:eastAsia="Calibri" w:hAnsi="Simplified Arabic" w:cs="Simplified Arabic" w:hint="cs"/>
          <w:kern w:val="0"/>
          <w:sz w:val="26"/>
          <w:szCs w:val="26"/>
          <w:rtl/>
          <w14:ligatures w14:val="none"/>
        </w:rPr>
        <w:t>العهد القديم حول أرض كنعان (التي صارت لاحقًا تُعرَف باسم أرض يهوذا). ولكنّ الأصحاحات الأولى في الكتاب المُقدَّس (تكوين 1-11) حدثت في أراضٍ واقعةٍ إلى الشرق من كنعان. فبرج بابل (تكوين 11: 1-9) يُوجد في الجزء الجنوبي السفلي من العراق (ربما موقف إريدو، تل أبو شهرين). هذا يجعله قريبًا جدًا من موقع أور (تل المُقيَّر)، مكان ولادة إبراهيم. وثمّة أمرٌ تنبغي ملاحظ</w:t>
      </w:r>
      <w:r w:rsidR="002723B1">
        <w:rPr>
          <w:rFonts w:ascii="Simplified Arabic" w:eastAsia="Calibri" w:hAnsi="Simplified Arabic" w:cs="Simplified Arabic" w:hint="cs"/>
          <w:kern w:val="0"/>
          <w:sz w:val="26"/>
          <w:szCs w:val="26"/>
          <w:rtl/>
          <w14:ligatures w14:val="none"/>
        </w:rPr>
        <w:t>ته</w:t>
      </w:r>
      <w:r w:rsidR="00AC22AB">
        <w:rPr>
          <w:rFonts w:ascii="Simplified Arabic" w:eastAsia="Calibri" w:hAnsi="Simplified Arabic" w:cs="Simplified Arabic" w:hint="cs"/>
          <w:kern w:val="0"/>
          <w:sz w:val="26"/>
          <w:szCs w:val="26"/>
          <w:rtl/>
          <w14:ligatures w14:val="none"/>
        </w:rPr>
        <w:t xml:space="preserve">: كان شاطئ الخليج العربي/ الفارسي يقع إلى الشمال ممّا هو عليه اليوم، قريبًا من أور وإريدو (كما تُظهِر الخارطة التالية). </w:t>
      </w:r>
    </w:p>
    <w:bookmarkEnd w:id="30"/>
    <w:p w14:paraId="2E2E1237" w14:textId="4414BDF0" w:rsidR="005B28B7" w:rsidRPr="005B28B7" w:rsidRDefault="00FA3F55" w:rsidP="00E32D81">
      <w:pPr>
        <w:bidi/>
        <w:spacing w:line="240" w:lineRule="auto"/>
        <w:rPr>
          <w:b/>
          <w:bCs/>
        </w:rPr>
      </w:pPr>
      <w:r>
        <w:rPr>
          <w:rFonts w:eastAsia="Calibri" w:cs="Times New Roman"/>
          <w:noProof/>
          <w:kern w:val="0"/>
          <w:szCs w:val="24"/>
        </w:rPr>
        <w:lastRenderedPageBreak/>
        <w:drawing>
          <wp:anchor distT="0" distB="0" distL="114300" distR="114300" simplePos="0" relativeHeight="251646976" behindDoc="0" locked="0" layoutInCell="1" allowOverlap="1" wp14:anchorId="793871A3" wp14:editId="39F7F209">
            <wp:simplePos x="0" y="0"/>
            <wp:positionH relativeFrom="column">
              <wp:posOffset>2331720</wp:posOffset>
            </wp:positionH>
            <wp:positionV relativeFrom="paragraph">
              <wp:posOffset>316230</wp:posOffset>
            </wp:positionV>
            <wp:extent cx="3582035" cy="2487930"/>
            <wp:effectExtent l="19050" t="19050" r="0" b="7620"/>
            <wp:wrapSquare wrapText="bothSides"/>
            <wp:docPr id="754158151" name="Picture 2" descr="A map of the ancient city of babyl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158151" name="Picture 2" descr="A map of the ancient city of babylon&#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3582035" cy="248793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bookmarkStart w:id="31" w:name="_Hlk178777882"/>
      <w:r>
        <w:rPr>
          <w:b/>
          <w:bCs/>
        </w:rPr>
        <w:t xml:space="preserve">                </w:t>
      </w:r>
      <w:r w:rsidR="009D0995">
        <w:rPr>
          <w:b/>
          <w:bCs/>
        </w:rPr>
        <w:t xml:space="preserve">     </w:t>
      </w:r>
      <w:r w:rsidR="00E32D81">
        <w:rPr>
          <w:rFonts w:hint="cs"/>
          <w:b/>
          <w:bCs/>
          <w:rtl/>
        </w:rPr>
        <w:t>الساحل المحتمل للخليج العربي في القديم</w:t>
      </w:r>
      <w:r>
        <w:rPr>
          <w:b/>
          <w:bCs/>
        </w:rPr>
        <w:t xml:space="preserve">                      </w:t>
      </w:r>
      <w:bookmarkEnd w:id="31"/>
      <w:r w:rsidR="00E32D81">
        <w:rPr>
          <w:b/>
          <w:bCs/>
          <w:rtl/>
        </w:rPr>
        <w:tab/>
      </w:r>
      <w:r w:rsidR="00E32D81">
        <w:rPr>
          <w:b/>
          <w:bCs/>
          <w:rtl/>
        </w:rPr>
        <w:tab/>
      </w:r>
      <w:r w:rsidR="00E32D81">
        <w:rPr>
          <w:rFonts w:hint="cs"/>
          <w:b/>
          <w:bCs/>
          <w:rtl/>
          <w:lang w:bidi="ar-JO"/>
        </w:rPr>
        <w:t>جنوب العراق اليوم</w:t>
      </w:r>
    </w:p>
    <w:p w14:paraId="33124927" w14:textId="67A28732" w:rsidR="00765636" w:rsidRDefault="009D0995"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kern w:val="0"/>
          <w:szCs w:val="24"/>
          <w14:ligatures w14:val="none"/>
        </w:rPr>
      </w:pPr>
      <w:r>
        <w:rPr>
          <w:rFonts w:eastAsia="Calibri" w:cs="Times New Roman"/>
          <w:noProof/>
          <w:kern w:val="0"/>
          <w:szCs w:val="24"/>
        </w:rPr>
        <w:drawing>
          <wp:inline distT="0" distB="0" distL="0" distR="0" wp14:anchorId="029F4E78" wp14:editId="7FC94680">
            <wp:extent cx="2170430" cy="2719070"/>
            <wp:effectExtent l="0" t="0" r="0" b="0"/>
            <wp:docPr id="1975077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170430" cy="2719070"/>
                    </a:xfrm>
                    <a:prstGeom prst="rect">
                      <a:avLst/>
                    </a:prstGeom>
                    <a:noFill/>
                    <a:ln>
                      <a:noFill/>
                    </a:ln>
                  </pic:spPr>
                </pic:pic>
              </a:graphicData>
            </a:graphic>
          </wp:inline>
        </w:drawing>
      </w:r>
    </w:p>
    <w:bookmarkEnd w:id="28"/>
    <w:p w14:paraId="263EA448" w14:textId="77777777" w:rsidR="00FA3F55" w:rsidRDefault="00FA3F55"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b/>
          <w:bCs/>
          <w:kern w:val="0"/>
          <w:szCs w:val="24"/>
          <w14:ligatures w14:val="none"/>
        </w:rPr>
      </w:pPr>
    </w:p>
    <w:p w14:paraId="202135B5" w14:textId="7724ABE8" w:rsidR="008B07C5" w:rsidRDefault="00E32D81" w:rsidP="00E32D81">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eastAsia="Calibri" w:cs="Times New Roman"/>
          <w:b/>
          <w:bCs/>
          <w:kern w:val="0"/>
          <w:szCs w:val="24"/>
          <w14:ligatures w14:val="none"/>
        </w:rPr>
      </w:pPr>
      <w:bookmarkStart w:id="32" w:name="_Hlk178777900"/>
      <w:r>
        <w:rPr>
          <w:rFonts w:eastAsia="Calibri" w:cs="Times New Roman" w:hint="cs"/>
          <w:b/>
          <w:bCs/>
          <w:kern w:val="0"/>
          <w:szCs w:val="24"/>
          <w:rtl/>
          <w14:ligatures w14:val="none"/>
        </w:rPr>
        <w:t>الشرق الأدنى القديم</w:t>
      </w:r>
    </w:p>
    <w:bookmarkEnd w:id="32"/>
    <w:p w14:paraId="34E35E8B" w14:textId="56923C60" w:rsidR="007A4B15" w:rsidRPr="005B28B7" w:rsidRDefault="008B07C5"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b/>
          <w:bCs/>
          <w:kern w:val="0"/>
          <w:szCs w:val="24"/>
          <w14:ligatures w14:val="none"/>
        </w:rPr>
      </w:pPr>
      <w:r>
        <w:rPr>
          <w:rFonts w:eastAsia="Calibri" w:cs="Times New Roman"/>
          <w:b/>
          <w:bCs/>
          <w:kern w:val="0"/>
          <w:szCs w:val="24"/>
          <w14:ligatures w14:val="none"/>
        </w:rPr>
        <w:object w:dxaOrig="7811" w:dyaOrig="5396" w14:anchorId="61632041">
          <v:shape id="_x0000_i1027" type="#_x0000_t75" style="width:466.2pt;height:322.8pt" o:ole="">
            <v:imagedata r:id="rId15" o:title=""/>
          </v:shape>
          <o:OLEObject Type="Embed" ProgID="PowerPoint.Show.8" ShapeID="_x0000_i1027" DrawAspect="Content" ObjectID="_1802157122" r:id="rId16"/>
        </w:object>
      </w:r>
      <w:r w:rsidR="007A4B15" w:rsidRPr="005B28B7">
        <w:rPr>
          <w:rFonts w:eastAsia="Calibri" w:cs="Times New Roman"/>
          <w:b/>
          <w:bCs/>
          <w:kern w:val="0"/>
          <w:szCs w:val="24"/>
          <w14:ligatures w14:val="none"/>
        </w:rPr>
        <w:br w:type="page"/>
      </w:r>
    </w:p>
    <w:p w14:paraId="333935A5" w14:textId="77777777" w:rsidR="005B28B7" w:rsidRDefault="005B28B7"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kern w:val="0"/>
          <w:szCs w:val="24"/>
          <w14:ligatures w14:val="none"/>
        </w:rPr>
      </w:pPr>
    </w:p>
    <w:p w14:paraId="714D862A" w14:textId="77777777" w:rsidR="0017744A" w:rsidRDefault="0017744A" w:rsidP="0017744A">
      <w:pPr>
        <w:pStyle w:val="Heading2"/>
        <w:bidi/>
        <w:rPr>
          <w:rFonts w:ascii="Simplified Arabic" w:hAnsi="Simplified Arabic" w:cs="Simplified Arabic"/>
          <w:rtl/>
          <w14:ligatures w14:val="none"/>
        </w:rPr>
      </w:pPr>
      <w:bookmarkStart w:id="33" w:name="_Toc164419995"/>
      <w:bookmarkStart w:id="34" w:name="_Hlk178777920"/>
      <w:bookmarkStart w:id="35" w:name="_Hlk164432334"/>
      <w:r w:rsidRPr="0017744A">
        <w:rPr>
          <w:rFonts w:ascii="Simplified Arabic" w:hAnsi="Simplified Arabic" w:cs="Simplified Arabic"/>
          <w:rtl/>
        </w:rPr>
        <w:t xml:space="preserve">الدرس 2: </w:t>
      </w:r>
      <w:r w:rsidRPr="0017744A">
        <w:rPr>
          <w:rFonts w:ascii="Simplified Arabic" w:hAnsi="Simplified Arabic" w:cs="Simplified Arabic"/>
          <w:rtl/>
          <w14:ligatures w14:val="none"/>
        </w:rPr>
        <w:t xml:space="preserve">رواية الخلق </w:t>
      </w:r>
    </w:p>
    <w:p w14:paraId="257CEE60" w14:textId="07480752" w:rsidR="0017744A" w:rsidRPr="0017744A" w:rsidRDefault="0017744A" w:rsidP="0017744A">
      <w:pPr>
        <w:pStyle w:val="Heading2"/>
        <w:bidi/>
        <w:rPr>
          <w:rFonts w:ascii="Simplified Arabic" w:hAnsi="Simplified Arabic" w:cs="Simplified Arabic"/>
          <w:rtl/>
          <w14:ligatures w14:val="none"/>
        </w:rPr>
      </w:pPr>
      <w:r w:rsidRPr="0017744A">
        <w:rPr>
          <w:rFonts w:ascii="Simplified Arabic" w:hAnsi="Simplified Arabic" w:cs="Simplified Arabic"/>
          <w:rtl/>
          <w14:ligatures w14:val="none"/>
        </w:rPr>
        <w:t>(تكوين 1: 1–2: 3)</w:t>
      </w:r>
    </w:p>
    <w:bookmarkEnd w:id="33"/>
    <w:p w14:paraId="0909CAA2" w14:textId="77777777" w:rsidR="00311C51" w:rsidRPr="007A4B15" w:rsidRDefault="00311C51"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kern w:val="0"/>
          <w:szCs w:val="24"/>
          <w14:ligatures w14:val="none"/>
        </w:rPr>
      </w:pPr>
    </w:p>
    <w:p w14:paraId="5E6B5FC7" w14:textId="77777777" w:rsidR="0017744A" w:rsidRPr="0017744A" w:rsidRDefault="0017744A" w:rsidP="002723B1">
      <w:pPr>
        <w:pStyle w:val="Heading3"/>
        <w:bidi/>
        <w:spacing w:line="240" w:lineRule="auto"/>
        <w:rPr>
          <w:rFonts w:ascii="Simplified Arabic" w:hAnsi="Simplified Arabic" w:cs="Simplified Arabic"/>
          <w:rtl/>
          <w:lang w:val="fr-FR"/>
        </w:rPr>
      </w:pPr>
      <w:bookmarkStart w:id="36" w:name="_Toc164419996"/>
      <w:r w:rsidRPr="0017744A">
        <w:rPr>
          <w:rFonts w:ascii="Simplified Arabic" w:hAnsi="Simplified Arabic" w:cs="Simplified Arabic"/>
          <w:rtl/>
          <w:lang w:val="fr-FR"/>
        </w:rPr>
        <w:t>مُقدّمة</w:t>
      </w:r>
    </w:p>
    <w:bookmarkEnd w:id="36"/>
    <w:p w14:paraId="5E2BA431" w14:textId="5C2A5370" w:rsidR="00640FBA" w:rsidRDefault="0017744A" w:rsidP="0017744A">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lang w:bidi="ar-JO"/>
          <w14:ligatures w14:val="none"/>
        </w:rPr>
      </w:pPr>
      <w:r>
        <w:rPr>
          <w:rFonts w:ascii="Simplified Arabic" w:eastAsia="Calibri" w:hAnsi="Simplified Arabic" w:cs="Simplified Arabic" w:hint="cs"/>
          <w:kern w:val="0"/>
          <w:sz w:val="26"/>
          <w:szCs w:val="26"/>
          <w:rtl/>
          <w14:ligatures w14:val="none"/>
        </w:rPr>
        <w:t>كيف بدأت الحياة؟ هذا سؤال بالغ الأهمية لكلّ الجنس البشري. بالنسبة إلى المُشكّك</w:t>
      </w:r>
      <w:r w:rsidR="002723B1">
        <w:rPr>
          <w:rFonts w:ascii="Simplified Arabic" w:eastAsia="Calibri" w:hAnsi="Simplified Arabic" w:cs="Simplified Arabic" w:hint="cs"/>
          <w:kern w:val="0"/>
          <w:sz w:val="26"/>
          <w:szCs w:val="26"/>
          <w:rtl/>
          <w14:ligatures w14:val="none"/>
        </w:rPr>
        <w:t>ين</w:t>
      </w:r>
      <w:r>
        <w:rPr>
          <w:rFonts w:ascii="Simplified Arabic" w:eastAsia="Calibri" w:hAnsi="Simplified Arabic" w:cs="Simplified Arabic" w:hint="cs"/>
          <w:kern w:val="0"/>
          <w:sz w:val="26"/>
          <w:szCs w:val="26"/>
          <w:rtl/>
          <w14:ligatures w14:val="none"/>
        </w:rPr>
        <w:t xml:space="preserve"> غير المؤمنين (وحتى لبعض المؤمنين)، يُظَنّ أن الجواب موجود في نظريّة التطوُّر.</w:t>
      </w:r>
      <w:r w:rsidR="00640FBA">
        <w:rPr>
          <w:rFonts w:ascii="Simplified Arabic" w:eastAsia="Calibri" w:hAnsi="Simplified Arabic" w:cs="Simplified Arabic" w:hint="cs"/>
          <w:kern w:val="0"/>
          <w:sz w:val="26"/>
          <w:szCs w:val="26"/>
          <w:rtl/>
          <w:lang w:bidi="ar-JO"/>
          <w14:ligatures w14:val="none"/>
        </w:rPr>
        <w:t xml:space="preserve"> المشكلة التي تواجهها في نظريّة التطوُّر هو أن</w:t>
      </w:r>
      <w:r w:rsidR="002723B1">
        <w:rPr>
          <w:rFonts w:ascii="Simplified Arabic" w:eastAsia="Calibri" w:hAnsi="Simplified Arabic" w:cs="Simplified Arabic" w:hint="cs"/>
          <w:kern w:val="0"/>
          <w:sz w:val="26"/>
          <w:szCs w:val="26"/>
          <w:rtl/>
          <w:lang w:bidi="ar-JO"/>
          <w14:ligatures w14:val="none"/>
        </w:rPr>
        <w:t>َّ</w:t>
      </w:r>
      <w:r w:rsidR="00640FBA">
        <w:rPr>
          <w:rFonts w:ascii="Simplified Arabic" w:eastAsia="Calibri" w:hAnsi="Simplified Arabic" w:cs="Simplified Arabic" w:hint="cs"/>
          <w:kern w:val="0"/>
          <w:sz w:val="26"/>
          <w:szCs w:val="26"/>
          <w:rtl/>
          <w:lang w:bidi="ar-JO"/>
          <w14:ligatures w14:val="none"/>
        </w:rPr>
        <w:t>ك لا تستطيع ببساطة أن تحصل على شيءٍ من لاشيء. وهكذا، فإن</w:t>
      </w:r>
      <w:r w:rsidR="002723B1">
        <w:rPr>
          <w:rFonts w:ascii="Simplified Arabic" w:eastAsia="Calibri" w:hAnsi="Simplified Arabic" w:cs="Simplified Arabic" w:hint="cs"/>
          <w:kern w:val="0"/>
          <w:sz w:val="26"/>
          <w:szCs w:val="26"/>
          <w:rtl/>
          <w:lang w:bidi="ar-JO"/>
          <w14:ligatures w14:val="none"/>
        </w:rPr>
        <w:t>ّ</w:t>
      </w:r>
      <w:r w:rsidR="00640FBA">
        <w:rPr>
          <w:rFonts w:ascii="Simplified Arabic" w:eastAsia="Calibri" w:hAnsi="Simplified Arabic" w:cs="Simplified Arabic" w:hint="cs"/>
          <w:kern w:val="0"/>
          <w:sz w:val="26"/>
          <w:szCs w:val="26"/>
          <w:rtl/>
          <w:lang w:bidi="ar-JO"/>
          <w14:ligatures w14:val="none"/>
        </w:rPr>
        <w:t xml:space="preserve"> الشرح الذي يقدِّمه الكتاب المُقدَّس أعظم بما لا يُقاس: فوراء ما نراه ونلاحظه في الطبيعة وفي الكون عمومًا، هناك إلهٌ صمّم كلَّ شيءٍ وأتى به إلى الوجود بكلمته المنطوقة. يمتلك هذا الإله حكمة وقوّة لامحدودتَين، وهو قادر على أن يخلق أشياء من لا شيءٍ بمجرَّد أن يريد ذلك.</w:t>
      </w:r>
    </w:p>
    <w:p w14:paraId="07AC943D" w14:textId="4B0AA094" w:rsidR="009F556D" w:rsidRDefault="00D95E66" w:rsidP="00640FBA">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lang w:bidi="ar-JO"/>
          <w14:ligatures w14:val="none"/>
        </w:rPr>
      </w:pPr>
      <w:r>
        <w:rPr>
          <w:rFonts w:ascii="Simplified Arabic" w:eastAsia="Calibri" w:hAnsi="Simplified Arabic" w:cs="Simplified Arabic" w:hint="cs"/>
          <w:kern w:val="0"/>
          <w:sz w:val="26"/>
          <w:szCs w:val="26"/>
          <w:rtl/>
          <w:lang w:bidi="ar-JO"/>
          <w14:ligatures w14:val="none"/>
        </w:rPr>
        <w:t>طبيعيٌّ أن</w:t>
      </w:r>
      <w:r w:rsidR="002723B1">
        <w:rPr>
          <w:rFonts w:ascii="Simplified Arabic" w:eastAsia="Calibri" w:hAnsi="Simplified Arabic" w:cs="Simplified Arabic" w:hint="cs"/>
          <w:kern w:val="0"/>
          <w:sz w:val="26"/>
          <w:szCs w:val="26"/>
          <w:rtl/>
          <w:lang w:bidi="ar-JO"/>
          <w14:ligatures w14:val="none"/>
        </w:rPr>
        <w:t>َّ</w:t>
      </w:r>
      <w:r>
        <w:rPr>
          <w:rFonts w:ascii="Simplified Arabic" w:eastAsia="Calibri" w:hAnsi="Simplified Arabic" w:cs="Simplified Arabic" w:hint="cs"/>
          <w:kern w:val="0"/>
          <w:sz w:val="26"/>
          <w:szCs w:val="26"/>
          <w:rtl/>
          <w:lang w:bidi="ar-JO"/>
          <w14:ligatures w14:val="none"/>
        </w:rPr>
        <w:t xml:space="preserve"> الرواية الكتابية للخلق الواردة في تكوين 1: 1 </w:t>
      </w:r>
      <w:r>
        <w:rPr>
          <w:rFonts w:ascii="Simplified Arabic" w:eastAsia="Calibri" w:hAnsi="Simplified Arabic" w:cs="Simplified Arabic"/>
          <w:kern w:val="0"/>
          <w:sz w:val="26"/>
          <w:szCs w:val="26"/>
          <w:rtl/>
          <w:lang w:bidi="ar-JO"/>
          <w14:ligatures w14:val="none"/>
        </w:rPr>
        <w:t>–</w:t>
      </w:r>
      <w:r>
        <w:rPr>
          <w:rFonts w:ascii="Simplified Arabic" w:eastAsia="Calibri" w:hAnsi="Simplified Arabic" w:cs="Simplified Arabic" w:hint="cs"/>
          <w:kern w:val="0"/>
          <w:sz w:val="26"/>
          <w:szCs w:val="26"/>
          <w:rtl/>
          <w:lang w:bidi="ar-JO"/>
          <w14:ligatures w14:val="none"/>
        </w:rPr>
        <w:t xml:space="preserve"> 2: 3 قد تعرَّضت لهجومٍ كثير. فالمشكِّك غير المؤمن يسخر بها، معتبِرًا إيّاها مجرَّد أسطورة وخرافة. بل إن لاهوتيّين مسيحيّين كثيرين أيضًا يرفضون أن يقبلوا المعنى الحرفي لهذه الآيات (خاصّة فكرة أنّ الله خلق في ستّة أيّام حرفيّة). وبالرغم من هذا التشكيك بالرواية الكتابيّة، فإنّ هناك سببًا وجيهًا لفهم هذه الرواية بمعنى حرفي</w:t>
      </w:r>
      <w:r w:rsidR="002723B1">
        <w:rPr>
          <w:rFonts w:ascii="Simplified Arabic" w:eastAsia="Calibri" w:hAnsi="Simplified Arabic" w:cs="Simplified Arabic" w:hint="cs"/>
          <w:kern w:val="0"/>
          <w:sz w:val="26"/>
          <w:szCs w:val="26"/>
          <w:rtl/>
          <w:lang w:bidi="ar-JO"/>
          <w14:ligatures w14:val="none"/>
        </w:rPr>
        <w:t>ّ</w:t>
      </w:r>
      <w:r>
        <w:rPr>
          <w:rFonts w:ascii="Simplified Arabic" w:eastAsia="Calibri" w:hAnsi="Simplified Arabic" w:cs="Simplified Arabic" w:hint="cs"/>
          <w:kern w:val="0"/>
          <w:sz w:val="26"/>
          <w:szCs w:val="26"/>
          <w:rtl/>
          <w:lang w:bidi="ar-JO"/>
          <w14:ligatures w14:val="none"/>
        </w:rPr>
        <w:t>. والأمر الأكثر أهميّة هو أن</w:t>
      </w:r>
      <w:r w:rsidR="002723B1">
        <w:rPr>
          <w:rFonts w:ascii="Simplified Arabic" w:eastAsia="Calibri" w:hAnsi="Simplified Arabic" w:cs="Simplified Arabic" w:hint="cs"/>
          <w:kern w:val="0"/>
          <w:sz w:val="26"/>
          <w:szCs w:val="26"/>
          <w:rtl/>
          <w:lang w:bidi="ar-JO"/>
          <w14:ligatures w14:val="none"/>
        </w:rPr>
        <w:t>ّ</w:t>
      </w:r>
      <w:r>
        <w:rPr>
          <w:rFonts w:ascii="Simplified Arabic" w:eastAsia="Calibri" w:hAnsi="Simplified Arabic" w:cs="Simplified Arabic" w:hint="cs"/>
          <w:kern w:val="0"/>
          <w:sz w:val="26"/>
          <w:szCs w:val="26"/>
          <w:rtl/>
          <w:lang w:bidi="ar-JO"/>
          <w14:ligatures w14:val="none"/>
        </w:rPr>
        <w:t xml:space="preserve"> الجنس البشري لم يتطوَّر من أشكالٍ أدنى للحياة. فقد كان هناك زوجان أوّلان</w:t>
      </w:r>
      <w:r w:rsidR="002723B1">
        <w:rPr>
          <w:rFonts w:ascii="Simplified Arabic" w:eastAsia="Calibri" w:hAnsi="Simplified Arabic" w:cs="Simplified Arabic" w:hint="cs"/>
          <w:kern w:val="0"/>
          <w:sz w:val="26"/>
          <w:szCs w:val="26"/>
          <w:rtl/>
          <w:lang w:bidi="ar-JO"/>
          <w14:ligatures w14:val="none"/>
        </w:rPr>
        <w:t>،</w:t>
      </w:r>
      <w:r>
        <w:rPr>
          <w:rFonts w:ascii="Simplified Arabic" w:eastAsia="Calibri" w:hAnsi="Simplified Arabic" w:cs="Simplified Arabic" w:hint="cs"/>
          <w:kern w:val="0"/>
          <w:sz w:val="26"/>
          <w:szCs w:val="26"/>
          <w:rtl/>
          <w:lang w:bidi="ar-JO"/>
          <w14:ligatures w14:val="none"/>
        </w:rPr>
        <w:t xml:space="preserve"> هما آدم وحواء، لم ينشآ من </w:t>
      </w:r>
      <w:r w:rsidR="00820B3D">
        <w:rPr>
          <w:rFonts w:ascii="Simplified Arabic" w:eastAsia="Calibri" w:hAnsi="Simplified Arabic" w:cs="Simplified Arabic" w:hint="cs"/>
          <w:kern w:val="0"/>
          <w:sz w:val="26"/>
          <w:szCs w:val="26"/>
          <w:rtl/>
          <w:lang w:bidi="ar-JO"/>
          <w14:ligatures w14:val="none"/>
        </w:rPr>
        <w:t>"أسلافِ البشر" البدائيّين، ولكنّهما خل</w:t>
      </w:r>
      <w:r w:rsidR="002723B1">
        <w:rPr>
          <w:rFonts w:ascii="Simplified Arabic" w:eastAsia="Calibri" w:hAnsi="Simplified Arabic" w:cs="Simplified Arabic" w:hint="cs"/>
          <w:kern w:val="0"/>
          <w:sz w:val="26"/>
          <w:szCs w:val="26"/>
          <w:rtl/>
          <w:lang w:bidi="ar-JO"/>
          <w14:ligatures w14:val="none"/>
        </w:rPr>
        <w:t>ْ</w:t>
      </w:r>
      <w:r w:rsidR="00820B3D">
        <w:rPr>
          <w:rFonts w:ascii="Simplified Arabic" w:eastAsia="Calibri" w:hAnsi="Simplified Arabic" w:cs="Simplified Arabic" w:hint="cs"/>
          <w:kern w:val="0"/>
          <w:sz w:val="26"/>
          <w:szCs w:val="26"/>
          <w:rtl/>
          <w:lang w:bidi="ar-JO"/>
          <w14:ligatures w14:val="none"/>
        </w:rPr>
        <w:t>قٌ مباشر من إله سماوي مُحِبّ كان في فكره مقصدٌ لهما. كان ينبغي أن يحكما تحتَ الله وبارتباطٍ بإرادته على كلّ الخليقة. سيساعدنا هذا الدرس في شرح وتأكيد النظرة الحرفيّة للرواية الكتابي</w:t>
      </w:r>
      <w:r w:rsidR="002723B1">
        <w:rPr>
          <w:rFonts w:ascii="Simplified Arabic" w:eastAsia="Calibri" w:hAnsi="Simplified Arabic" w:cs="Simplified Arabic" w:hint="cs"/>
          <w:kern w:val="0"/>
          <w:sz w:val="26"/>
          <w:szCs w:val="26"/>
          <w:rtl/>
          <w:lang w:bidi="ar-JO"/>
          <w14:ligatures w14:val="none"/>
        </w:rPr>
        <w:t>ّ</w:t>
      </w:r>
      <w:r w:rsidR="00820B3D">
        <w:rPr>
          <w:rFonts w:ascii="Simplified Arabic" w:eastAsia="Calibri" w:hAnsi="Simplified Arabic" w:cs="Simplified Arabic" w:hint="cs"/>
          <w:kern w:val="0"/>
          <w:sz w:val="26"/>
          <w:szCs w:val="26"/>
          <w:rtl/>
          <w:lang w:bidi="ar-JO"/>
          <w14:ligatures w14:val="none"/>
        </w:rPr>
        <w:t xml:space="preserve">ة للخلق، مع تعريف القارئ بالمنهجيّات البديلة التي يتبناها مسيحيّون إنجيليّون آخرون. </w:t>
      </w:r>
    </w:p>
    <w:p w14:paraId="02361218" w14:textId="77777777" w:rsidR="00820B3D" w:rsidRPr="0017744A" w:rsidRDefault="00820B3D" w:rsidP="00820B3D">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lang w:bidi="ar-JO"/>
          <w14:ligatures w14:val="none"/>
        </w:rPr>
      </w:pPr>
    </w:p>
    <w:p w14:paraId="279AF8AE" w14:textId="32F93FE5" w:rsidR="00820B3D" w:rsidRPr="00820B3D" w:rsidRDefault="00820B3D" w:rsidP="00820B3D">
      <w:pPr>
        <w:pStyle w:val="Heading3"/>
        <w:bidi/>
        <w:spacing w:line="240" w:lineRule="auto"/>
        <w:rPr>
          <w:rFonts w:ascii="Simplified Arabic" w:hAnsi="Simplified Arabic" w:cs="Simplified Arabic"/>
          <w:rtl/>
        </w:rPr>
      </w:pPr>
      <w:bookmarkStart w:id="37" w:name="_Toc164419997"/>
      <w:r w:rsidRPr="00820B3D">
        <w:rPr>
          <w:rFonts w:ascii="Simplified Arabic" w:hAnsi="Simplified Arabic" w:cs="Simplified Arabic"/>
          <w:rtl/>
        </w:rPr>
        <w:t>مُخطَّط الدرس</w:t>
      </w:r>
    </w:p>
    <w:bookmarkEnd w:id="37"/>
    <w:p w14:paraId="21C62B84" w14:textId="77777777" w:rsidR="00820B3D" w:rsidRDefault="00820B3D" w:rsidP="00820B3D">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eastAsia="Calibri" w:cs="Times New Roman"/>
          <w:kern w:val="0"/>
          <w:szCs w:val="24"/>
          <w:rtl/>
          <w14:ligatures w14:val="none"/>
        </w:rPr>
      </w:pPr>
      <w:r>
        <w:rPr>
          <w:rFonts w:eastAsia="Calibri" w:cs="Times New Roman" w:hint="cs"/>
          <w:kern w:val="0"/>
          <w:szCs w:val="24"/>
          <w:rtl/>
          <w14:ligatures w14:val="none"/>
        </w:rPr>
        <w:t xml:space="preserve">الموضوع 1: </w:t>
      </w:r>
      <w:r>
        <w:rPr>
          <w:rFonts w:eastAsia="Calibri" w:cs="Times New Roman"/>
          <w:kern w:val="0"/>
          <w:szCs w:val="24"/>
          <w:rtl/>
          <w14:ligatures w14:val="none"/>
        </w:rPr>
        <w:tab/>
      </w:r>
      <w:bookmarkStart w:id="38" w:name="_Hlk190343676"/>
      <w:r>
        <w:rPr>
          <w:rFonts w:eastAsia="Calibri" w:cs="Times New Roman" w:hint="cs"/>
          <w:kern w:val="0"/>
          <w:szCs w:val="24"/>
          <w:rtl/>
          <w14:ligatures w14:val="none"/>
        </w:rPr>
        <w:t xml:space="preserve">مُقدِّمة إلى سفر التكوين </w:t>
      </w:r>
    </w:p>
    <w:p w14:paraId="07D28CC5" w14:textId="77777777" w:rsidR="00820B3D" w:rsidRDefault="00820B3D" w:rsidP="00820B3D">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eastAsia="Calibri" w:cs="Times New Roman"/>
          <w:kern w:val="0"/>
          <w:szCs w:val="24"/>
          <w:rtl/>
          <w14:ligatures w14:val="none"/>
        </w:rPr>
      </w:pPr>
      <w:r>
        <w:rPr>
          <w:rFonts w:eastAsia="Calibri" w:cs="Times New Roman" w:hint="cs"/>
          <w:kern w:val="0"/>
          <w:szCs w:val="24"/>
          <w:rtl/>
          <w14:ligatures w14:val="none"/>
        </w:rPr>
        <w:t xml:space="preserve">الموضوع 2: </w:t>
      </w:r>
      <w:r>
        <w:rPr>
          <w:rFonts w:eastAsia="Calibri" w:cs="Times New Roman"/>
          <w:kern w:val="0"/>
          <w:szCs w:val="24"/>
          <w:rtl/>
          <w14:ligatures w14:val="none"/>
        </w:rPr>
        <w:tab/>
      </w:r>
      <w:r>
        <w:rPr>
          <w:rFonts w:eastAsia="Calibri" w:cs="Times New Roman" w:hint="cs"/>
          <w:kern w:val="0"/>
          <w:szCs w:val="24"/>
          <w:rtl/>
          <w14:ligatures w14:val="none"/>
        </w:rPr>
        <w:t xml:space="preserve">البداية في البركة (تكوين 1: 1 </w:t>
      </w:r>
      <w:r>
        <w:rPr>
          <w:rFonts w:eastAsia="Calibri" w:cs="Times New Roman"/>
          <w:kern w:val="0"/>
          <w:szCs w:val="24"/>
          <w:rtl/>
          <w14:ligatures w14:val="none"/>
        </w:rPr>
        <w:t>–</w:t>
      </w:r>
      <w:r>
        <w:rPr>
          <w:rFonts w:eastAsia="Calibri" w:cs="Times New Roman" w:hint="cs"/>
          <w:kern w:val="0"/>
          <w:szCs w:val="24"/>
          <w:rtl/>
          <w14:ligatures w14:val="none"/>
        </w:rPr>
        <w:t xml:space="preserve"> 2: 3) </w:t>
      </w:r>
    </w:p>
    <w:p w14:paraId="534FAEEE" w14:textId="71BF35B0" w:rsidR="007A4B15" w:rsidRPr="007A4B15" w:rsidRDefault="00820B3D" w:rsidP="00820B3D">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eastAsia="Calibri" w:cs="Times New Roman"/>
          <w:kern w:val="0"/>
          <w:szCs w:val="24"/>
          <w14:ligatures w14:val="none"/>
        </w:rPr>
      </w:pPr>
      <w:r>
        <w:rPr>
          <w:rFonts w:eastAsia="Calibri" w:cs="Times New Roman" w:hint="cs"/>
          <w:kern w:val="0"/>
          <w:szCs w:val="24"/>
          <w:rtl/>
          <w14:ligatures w14:val="none"/>
        </w:rPr>
        <w:t xml:space="preserve">الموضوع 3: </w:t>
      </w:r>
      <w:r>
        <w:rPr>
          <w:rFonts w:eastAsia="Calibri" w:cs="Times New Roman"/>
          <w:kern w:val="0"/>
          <w:szCs w:val="24"/>
          <w:rtl/>
          <w14:ligatures w14:val="none"/>
        </w:rPr>
        <w:tab/>
      </w:r>
      <w:r>
        <w:rPr>
          <w:rFonts w:eastAsia="Calibri" w:cs="Times New Roman" w:hint="cs"/>
          <w:kern w:val="0"/>
          <w:szCs w:val="24"/>
          <w:rtl/>
          <w14:ligatures w14:val="none"/>
        </w:rPr>
        <w:t>منهجي</w:t>
      </w:r>
      <w:r w:rsidR="002723B1">
        <w:rPr>
          <w:rFonts w:eastAsia="Calibri" w:cs="Times New Roman" w:hint="cs"/>
          <w:kern w:val="0"/>
          <w:szCs w:val="24"/>
          <w:rtl/>
          <w14:ligatures w14:val="none"/>
        </w:rPr>
        <w:t>ّ</w:t>
      </w:r>
      <w:r>
        <w:rPr>
          <w:rFonts w:eastAsia="Calibri" w:cs="Times New Roman" w:hint="cs"/>
          <w:kern w:val="0"/>
          <w:szCs w:val="24"/>
          <w:rtl/>
          <w14:ligatures w14:val="none"/>
        </w:rPr>
        <w:t xml:space="preserve">ات </w:t>
      </w:r>
      <w:r w:rsidR="00271A35">
        <w:rPr>
          <w:rFonts w:eastAsia="Calibri" w:cs="Times New Roman" w:hint="cs"/>
          <w:kern w:val="0"/>
          <w:szCs w:val="24"/>
          <w:rtl/>
          <w14:ligatures w14:val="none"/>
        </w:rPr>
        <w:t>يتبنّاها إنجيليّون</w:t>
      </w:r>
      <w:r>
        <w:rPr>
          <w:rFonts w:eastAsia="Calibri" w:cs="Times New Roman" w:hint="cs"/>
          <w:kern w:val="0"/>
          <w:szCs w:val="24"/>
          <w:rtl/>
          <w14:ligatures w14:val="none"/>
        </w:rPr>
        <w:t xml:space="preserve"> في النظر إلى رواية الخلق </w:t>
      </w:r>
      <w:bookmarkEnd w:id="38"/>
      <w:r w:rsidR="007A4B15" w:rsidRPr="007A4B15">
        <w:rPr>
          <w:rFonts w:eastAsia="Calibri" w:cs="Times New Roman"/>
          <w:kern w:val="0"/>
          <w:szCs w:val="24"/>
          <w14:ligatures w14:val="none"/>
        </w:rPr>
        <w:br/>
      </w:r>
    </w:p>
    <w:p w14:paraId="446D2671" w14:textId="795F4C97" w:rsidR="00820B3D" w:rsidRPr="00820B3D" w:rsidRDefault="00820B3D" w:rsidP="00820B3D">
      <w:pPr>
        <w:pStyle w:val="Heading3"/>
        <w:bidi/>
        <w:spacing w:line="240" w:lineRule="auto"/>
        <w:rPr>
          <w:rFonts w:ascii="Simplified Arabic" w:hAnsi="Simplified Arabic" w:cs="Simplified Arabic"/>
          <w:rtl/>
          <w:lang w:val="fr-FR"/>
        </w:rPr>
      </w:pPr>
      <w:bookmarkStart w:id="39" w:name="_Toc164419998"/>
      <w:r w:rsidRPr="00820B3D">
        <w:rPr>
          <w:rFonts w:ascii="Simplified Arabic" w:hAnsi="Simplified Arabic" w:cs="Simplified Arabic"/>
          <w:rtl/>
          <w:lang w:val="fr-FR"/>
        </w:rPr>
        <w:t>أهداف الدرس</w:t>
      </w:r>
    </w:p>
    <w:bookmarkEnd w:id="39"/>
    <w:p w14:paraId="213FB00B" w14:textId="14DDCBB0" w:rsidR="00820B3D" w:rsidRPr="00820B3D" w:rsidRDefault="00820B3D" w:rsidP="00820B3D">
      <w:pPr>
        <w:bidi/>
        <w:spacing w:before="120" w:after="80" w:line="240" w:lineRule="auto"/>
        <w:rPr>
          <w:rFonts w:ascii="Simplified Arabic" w:eastAsia="Calibri" w:hAnsi="Simplified Arabic" w:cs="Simplified Arabic"/>
          <w:kern w:val="0"/>
          <w:sz w:val="26"/>
          <w:szCs w:val="26"/>
          <w:rtl/>
          <w14:ligatures w14:val="none"/>
        </w:rPr>
      </w:pPr>
      <w:r w:rsidRPr="00820B3D">
        <w:rPr>
          <w:rFonts w:ascii="Simplified Arabic" w:eastAsia="Calibri" w:hAnsi="Simplified Arabic" w:cs="Simplified Arabic"/>
          <w:kern w:val="0"/>
          <w:sz w:val="26"/>
          <w:szCs w:val="26"/>
          <w:rtl/>
          <w14:ligatures w14:val="none"/>
        </w:rPr>
        <w:lastRenderedPageBreak/>
        <w:t xml:space="preserve">بانتهائك من دراسة هذا الدرس، ستكون قادرًا على ما يلي: </w:t>
      </w:r>
    </w:p>
    <w:p w14:paraId="053F41CC" w14:textId="5482D82B" w:rsidR="00820B3D" w:rsidRPr="00820B3D" w:rsidRDefault="00820B3D" w:rsidP="00820B3D">
      <w:pPr>
        <w:pStyle w:val="ListParagraph"/>
        <w:numPr>
          <w:ilvl w:val="0"/>
          <w:numId w:val="32"/>
        </w:numPr>
        <w:bidi/>
        <w:spacing w:before="120" w:after="80" w:line="240" w:lineRule="auto"/>
        <w:rPr>
          <w:rFonts w:ascii="Simplified Arabic" w:eastAsia="Calibri" w:hAnsi="Simplified Arabic" w:cs="Simplified Arabic"/>
          <w:kern w:val="0"/>
          <w:sz w:val="26"/>
          <w:szCs w:val="26"/>
          <w14:ligatures w14:val="none"/>
        </w:rPr>
      </w:pPr>
      <w:r w:rsidRPr="00820B3D">
        <w:rPr>
          <w:rFonts w:ascii="Simplified Arabic" w:eastAsia="Calibri" w:hAnsi="Simplified Arabic" w:cs="Simplified Arabic"/>
          <w:kern w:val="0"/>
          <w:sz w:val="26"/>
          <w:szCs w:val="26"/>
          <w:rtl/>
          <w14:ligatures w14:val="none"/>
        </w:rPr>
        <w:t>أن تدافع عن النظرة الحرفية لرواية الخلق الكتابي</w:t>
      </w:r>
      <w:r w:rsidR="002723B1">
        <w:rPr>
          <w:rFonts w:ascii="Simplified Arabic" w:eastAsia="Calibri" w:hAnsi="Simplified Arabic" w:cs="Simplified Arabic" w:hint="cs"/>
          <w:kern w:val="0"/>
          <w:sz w:val="26"/>
          <w:szCs w:val="26"/>
          <w:rtl/>
          <w14:ligatures w14:val="none"/>
        </w:rPr>
        <w:t>ّ</w:t>
      </w:r>
      <w:r w:rsidRPr="00820B3D">
        <w:rPr>
          <w:rFonts w:ascii="Simplified Arabic" w:eastAsia="Calibri" w:hAnsi="Simplified Arabic" w:cs="Simplified Arabic"/>
          <w:kern w:val="0"/>
          <w:sz w:val="26"/>
          <w:szCs w:val="26"/>
          <w:rtl/>
          <w14:ligatures w14:val="none"/>
        </w:rPr>
        <w:t xml:space="preserve">ة، وتشرح سبب ضرورة فهم "اليوم" بمعنى فترة تتألَّف من أربع وعشرين ساعة. </w:t>
      </w:r>
    </w:p>
    <w:p w14:paraId="1BE26CD5" w14:textId="20F6551F" w:rsidR="00820B3D" w:rsidRPr="00820B3D" w:rsidRDefault="00820B3D" w:rsidP="00820B3D">
      <w:pPr>
        <w:pStyle w:val="ListParagraph"/>
        <w:numPr>
          <w:ilvl w:val="0"/>
          <w:numId w:val="32"/>
        </w:numPr>
        <w:bidi/>
        <w:spacing w:before="120" w:after="80" w:line="240" w:lineRule="auto"/>
        <w:rPr>
          <w:rFonts w:ascii="Simplified Arabic" w:eastAsia="Calibri" w:hAnsi="Simplified Arabic" w:cs="Simplified Arabic"/>
          <w:kern w:val="0"/>
          <w:sz w:val="26"/>
          <w:szCs w:val="26"/>
          <w14:ligatures w14:val="none"/>
        </w:rPr>
      </w:pPr>
      <w:r w:rsidRPr="00820B3D">
        <w:rPr>
          <w:rFonts w:ascii="Simplified Arabic" w:eastAsia="Calibri" w:hAnsi="Simplified Arabic" w:cs="Simplified Arabic"/>
          <w:kern w:val="0"/>
          <w:sz w:val="26"/>
          <w:szCs w:val="26"/>
          <w:rtl/>
          <w14:ligatures w14:val="none"/>
        </w:rPr>
        <w:t xml:space="preserve">أن تحدِّد الهدف الذي أُعطي للرجل والمرأة الأوَّلَين. </w:t>
      </w:r>
    </w:p>
    <w:p w14:paraId="252C5277" w14:textId="568918A1" w:rsidR="00820B3D" w:rsidRPr="00820B3D" w:rsidRDefault="00820B3D" w:rsidP="00820B3D">
      <w:pPr>
        <w:pStyle w:val="ListParagraph"/>
        <w:numPr>
          <w:ilvl w:val="0"/>
          <w:numId w:val="32"/>
        </w:numPr>
        <w:bidi/>
        <w:spacing w:before="120" w:after="80" w:line="240" w:lineRule="auto"/>
        <w:rPr>
          <w:rFonts w:ascii="Simplified Arabic" w:eastAsia="Calibri" w:hAnsi="Simplified Arabic" w:cs="Simplified Arabic"/>
          <w:kern w:val="0"/>
          <w:sz w:val="26"/>
          <w:szCs w:val="26"/>
          <w:rtl/>
          <w14:ligatures w14:val="none"/>
        </w:rPr>
      </w:pPr>
      <w:r w:rsidRPr="00820B3D">
        <w:rPr>
          <w:rFonts w:ascii="Simplified Arabic" w:eastAsia="Calibri" w:hAnsi="Simplified Arabic" w:cs="Simplified Arabic"/>
          <w:kern w:val="0"/>
          <w:sz w:val="26"/>
          <w:szCs w:val="26"/>
          <w:rtl/>
          <w14:ligatures w14:val="none"/>
        </w:rPr>
        <w:t xml:space="preserve">أن تسمِّي وتصف الآراء البديلة بشأن الخلق، والتي يعتنقها إنجيليّون آخرون في بعض الأحيان. </w:t>
      </w:r>
    </w:p>
    <w:p w14:paraId="03565EF4" w14:textId="77777777" w:rsidR="00820B3D" w:rsidRDefault="00820B3D" w:rsidP="00820B3D">
      <w:pPr>
        <w:bidi/>
        <w:spacing w:before="120" w:after="80" w:line="240" w:lineRule="auto"/>
        <w:rPr>
          <w:rFonts w:eastAsia="Calibri" w:cs="Times New Roman"/>
          <w:kern w:val="0"/>
          <w:szCs w:val="24"/>
          <w:rtl/>
          <w14:ligatures w14:val="none"/>
        </w:rPr>
      </w:pPr>
    </w:p>
    <w:p w14:paraId="1CB0C68E" w14:textId="486CB655" w:rsidR="00820B3D" w:rsidRDefault="00820B3D" w:rsidP="00820B3D">
      <w:pPr>
        <w:bidi/>
        <w:spacing w:before="120" w:after="80" w:line="240" w:lineRule="auto"/>
        <w:rPr>
          <w:rFonts w:eastAsia="Calibri" w:cs="Times New Roman"/>
          <w:kern w:val="0"/>
          <w:szCs w:val="24"/>
          <w:rtl/>
          <w14:ligatures w14:val="none"/>
        </w:rPr>
      </w:pPr>
    </w:p>
    <w:p w14:paraId="0D9BB313" w14:textId="77777777" w:rsidR="00820B3D" w:rsidRDefault="00820B3D" w:rsidP="00820B3D">
      <w:pPr>
        <w:bidi/>
        <w:spacing w:before="120" w:after="80" w:line="240" w:lineRule="auto"/>
        <w:rPr>
          <w:rFonts w:eastAsia="Calibri" w:cs="Times New Roman"/>
          <w:kern w:val="0"/>
          <w:szCs w:val="24"/>
          <w:rtl/>
          <w14:ligatures w14:val="none"/>
        </w:rPr>
      </w:pPr>
    </w:p>
    <w:p w14:paraId="0C3B5B31" w14:textId="73BCB511" w:rsidR="00820B3D" w:rsidRPr="00820B3D" w:rsidRDefault="00820B3D" w:rsidP="00820B3D">
      <w:pPr>
        <w:pStyle w:val="Heading3"/>
        <w:bidi/>
        <w:spacing w:line="240" w:lineRule="auto"/>
        <w:rPr>
          <w:rFonts w:ascii="Simplified Arabic" w:hAnsi="Simplified Arabic" w:cs="Simplified Arabic"/>
          <w:rtl/>
        </w:rPr>
      </w:pPr>
      <w:bookmarkStart w:id="40" w:name="_Toc164419999"/>
      <w:r w:rsidRPr="00820B3D">
        <w:rPr>
          <w:rFonts w:ascii="Simplified Arabic" w:hAnsi="Simplified Arabic" w:cs="Simplified Arabic"/>
          <w:rtl/>
        </w:rPr>
        <w:t xml:space="preserve">الموضوع 1: مُقدِّمة إلى سفر التكوين </w:t>
      </w:r>
    </w:p>
    <w:bookmarkEnd w:id="34"/>
    <w:bookmarkEnd w:id="40"/>
    <w:p w14:paraId="22236D3E" w14:textId="77777777" w:rsidR="00C252DA" w:rsidRPr="00C252DA" w:rsidRDefault="00C252DA" w:rsidP="002D6C54">
      <w:pPr>
        <w:bidi/>
        <w:spacing w:after="0" w:line="240" w:lineRule="auto"/>
        <w:jc w:val="center"/>
        <w:rPr>
          <w:rFonts w:eastAsia="Times New Roman" w:cs="DecoType Naskh"/>
          <w:bCs/>
          <w:color w:val="000080"/>
          <w:kern w:val="0"/>
          <w:szCs w:val="36"/>
          <w:rtl/>
          <w:lang w:bidi="ar-JO"/>
          <w14:ligatures w14:val="none"/>
        </w:rPr>
      </w:pPr>
    </w:p>
    <w:p w14:paraId="4422992C" w14:textId="77777777" w:rsidR="00C252DA" w:rsidRPr="00C252DA" w:rsidRDefault="00C252DA"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C252DA">
        <w:rPr>
          <w:rFonts w:eastAsia="Times New Roman" w:cs="DecoType Naskh" w:hint="cs"/>
          <w:bCs/>
          <w:color w:val="auto"/>
          <w:kern w:val="0"/>
          <w:szCs w:val="28"/>
          <w:rtl/>
          <w:lang w:bidi="ar-JO"/>
          <w14:ligatures w14:val="none"/>
        </w:rPr>
        <w:t>1.</w:t>
      </w:r>
      <w:r w:rsidRPr="00C252DA">
        <w:rPr>
          <w:rFonts w:eastAsia="Times New Roman" w:cs="DecoType Naskh" w:hint="cs"/>
          <w:bCs/>
          <w:color w:val="auto"/>
          <w:kern w:val="0"/>
          <w:szCs w:val="28"/>
          <w:rtl/>
          <w:lang w:bidi="ar-JO"/>
          <w14:ligatures w14:val="none"/>
        </w:rPr>
        <w:tab/>
        <w:t xml:space="preserve">خلفية لاهوتية </w:t>
      </w:r>
    </w:p>
    <w:p w14:paraId="7E5B08EB"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C252DA">
        <w:rPr>
          <w:rFonts w:eastAsia="Times New Roman" w:cs="DecoType Naskh" w:hint="cs"/>
          <w:color w:val="auto"/>
          <w:kern w:val="0"/>
          <w:szCs w:val="26"/>
          <w:rtl/>
          <w:lang w:bidi="ar-JO"/>
          <w14:ligatures w14:val="none"/>
        </w:rPr>
        <w:t>يظهر سفر التكوين كأول سفر في الأسفار القانونية من الكتاب المقدس.  ويتبع معظم الباحثين المحافظين الرأي المقبول عموماً أن موسى هو كاتب معظم الأسفار الخمسة، بما في ذلك سفر التكوين.  ولهذا، وعند تناولنا للمادة المُدوَّنة في سفر التكوين، يجب علينا أن نضع في اعتبارنا أن سفر التكوين يُكتب من منظور الأمّة العبرية التي تغادر مصر لتدخل أرض كنعان تحت قيادة موسى.  وعلى هذا فإن سفر التكوين شهادة لأمة إسرائيل الفتية حول أصلها وانتخابها لتكون جزءاً من برنامج الله.  لم يُكتب سفر التكوين إذاً ليقدّم لنا سجلاً علمياً أو تاريخياً عن أصل البشر (على الرغم من صحة المعلومات المقدمة تاريخياً).  فمضمون السفر هو في المقام الأول لاهوتي، كما تبيّن عملية قراءة سريعة له.</w:t>
      </w:r>
    </w:p>
    <w:p w14:paraId="05721AB5"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KW"/>
          <w14:ligatures w14:val="none"/>
        </w:rPr>
      </w:pPr>
    </w:p>
    <w:bookmarkStart w:id="41" w:name="_MON_1166264070"/>
    <w:bookmarkStart w:id="42" w:name="_MON_1166264092"/>
    <w:bookmarkEnd w:id="41"/>
    <w:bookmarkEnd w:id="42"/>
    <w:bookmarkStart w:id="43" w:name="_MON_1166264038"/>
    <w:bookmarkEnd w:id="43"/>
    <w:p w14:paraId="057744A2"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center"/>
        <w:rPr>
          <w:rFonts w:eastAsia="Times New Roman" w:cs="DecoType Naskh"/>
          <w:color w:val="auto"/>
          <w:kern w:val="0"/>
          <w:szCs w:val="26"/>
          <w:rtl/>
          <w14:ligatures w14:val="none"/>
        </w:rPr>
      </w:pPr>
      <w:r w:rsidRPr="00C252DA">
        <w:rPr>
          <w:rFonts w:eastAsia="Times New Roman" w:cs="DecoType Naskh"/>
          <w:color w:val="auto"/>
          <w:kern w:val="0"/>
          <w:szCs w:val="26"/>
          <w:lang w:bidi="ar-JO"/>
          <w14:ligatures w14:val="none"/>
        </w:rPr>
        <w:object w:dxaOrig="3945" w:dyaOrig="1075" w14:anchorId="3F636B70">
          <v:shape id="_x0000_i1028" type="#_x0000_t75" style="width:394.8pt;height:107.4pt" o:ole="" o:bordertopcolor="this" o:borderleftcolor="this" o:borderbottomcolor="this" o:borderrightcolor="this">
            <v:imagedata r:id="rId17" o:title=""/>
            <w10:bordertop type="single" width="4"/>
            <w10:borderleft type="single" width="4"/>
            <w10:borderbottom type="single" width="4"/>
            <w10:borderright type="single" width="4"/>
          </v:shape>
          <o:OLEObject Type="Embed" ProgID="PowerPoint.Show.8" ShapeID="_x0000_i1028" DrawAspect="Content" ObjectID="_1802157123" r:id="rId18"/>
        </w:object>
      </w:r>
    </w:p>
    <w:p w14:paraId="4B90BB24" w14:textId="77777777" w:rsidR="00C252DA" w:rsidRPr="00C252DA" w:rsidRDefault="00C252DA" w:rsidP="002D6C54">
      <w:pPr>
        <w:bidi/>
        <w:spacing w:after="0" w:line="240" w:lineRule="auto"/>
        <w:jc w:val="center"/>
        <w:rPr>
          <w:rFonts w:eastAsia="Times New Roman" w:cs="DecoType Naskh"/>
          <w:color w:val="auto"/>
          <w:kern w:val="0"/>
          <w:szCs w:val="18"/>
          <w:rtl/>
          <w14:ligatures w14:val="none"/>
        </w:rPr>
      </w:pPr>
    </w:p>
    <w:p w14:paraId="0A682814" w14:textId="77777777" w:rsidR="00C252DA" w:rsidRPr="00C252DA" w:rsidRDefault="00C252DA" w:rsidP="002D6C54">
      <w:pPr>
        <w:bidi/>
        <w:spacing w:after="0" w:line="240" w:lineRule="auto"/>
        <w:jc w:val="center"/>
        <w:rPr>
          <w:rFonts w:eastAsia="Times New Roman" w:cs="DecoType Naskh"/>
          <w:color w:val="auto"/>
          <w:kern w:val="0"/>
          <w:szCs w:val="18"/>
          <w:rtl/>
          <w14:ligatures w14:val="none"/>
        </w:rPr>
      </w:pPr>
    </w:p>
    <w:p w14:paraId="58D62C21" w14:textId="6FD424D4"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توحي طريقة تأليف السفر أن اهتمام الكاتب لا يقتصر على تقديم معلومات تاريخية.  فمن بين إصحاحات السفر الخمسين، يتناول 39 منها إبراهيم ونسله.  ومن الواضح أن</w:t>
      </w:r>
      <w:r w:rsidR="008C5865">
        <w:rPr>
          <w:rFonts w:eastAsia="Times New Roman" w:cs="DecoType Naskh" w:hint="cs"/>
          <w:color w:val="auto"/>
          <w:kern w:val="0"/>
          <w:szCs w:val="26"/>
          <w:rtl/>
          <w:lang w:bidi="ar-JO"/>
          <w14:ligatures w14:val="none"/>
        </w:rPr>
        <w:t>ّ</w:t>
      </w:r>
      <w:r w:rsidRPr="00C252DA">
        <w:rPr>
          <w:rFonts w:eastAsia="Times New Roman" w:cs="DecoType Naskh" w:hint="cs"/>
          <w:color w:val="auto"/>
          <w:kern w:val="0"/>
          <w:szCs w:val="26"/>
          <w:rtl/>
          <w:lang w:bidi="ar-JO"/>
          <w14:ligatures w14:val="none"/>
        </w:rPr>
        <w:t xml:space="preserve"> الأصحاح 12 يشكل مفتاح فهم الكتاب المقدس كلّه، ويتضمن دعوة إبراهيم لترك موطنه ليبدأ أمّة جديدة.  وتعطى هذه الدعوة لإبراهيم على شكل </w:t>
      </w:r>
      <w:r w:rsidRPr="00C252DA">
        <w:rPr>
          <w:rFonts w:eastAsia="Times New Roman" w:cs="DecoType Naskh" w:hint="cs"/>
          <w:color w:val="auto"/>
          <w:kern w:val="0"/>
          <w:szCs w:val="26"/>
          <w:u w:val="single"/>
          <w:rtl/>
          <w:lang w:bidi="ar-JO"/>
          <w14:ligatures w14:val="none"/>
        </w:rPr>
        <w:t>عهد</w:t>
      </w:r>
      <w:r w:rsidRPr="00C252DA">
        <w:rPr>
          <w:rFonts w:eastAsia="Times New Roman" w:cs="DecoType Naskh" w:hint="cs"/>
          <w:color w:val="auto"/>
          <w:kern w:val="0"/>
          <w:szCs w:val="26"/>
          <w:rtl/>
          <w:lang w:bidi="ar-JO"/>
          <w14:ligatures w14:val="none"/>
        </w:rPr>
        <w:t>.  فالله يقطع عهداً معه واعداً بأن يجعله أمّة جديدة وعظيمة وأن يبارك العالم من خلاله.</w:t>
      </w:r>
    </w:p>
    <w:p w14:paraId="2B67D5EA"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 xml:space="preserve">والتطبيق الفوري لهذا متعلق ببني إسرائيل الذين يرزحون تحت نير العبودية في مصر.  وعندما يشير موسى إليهم ليتركوا عبودية فرعون، ويتخلوا عن دور العبيد، والانطلاق في مغامرة إلى أرض جديدة، لا بد لهم أن يعرفوا من هذا الذي يدعوهم إلى هذه المهمة العظيمة.  إذْ لا "ينهض المرء ببساطة ويلقي عنه أصفاد فرعون مصر" دون سبب وجيه.  فقد تطلبت هذه الدعوة إجابة مشروعة عن عدة أسئلة.  أيّ إله هذا الذي يشكّلنا ويجعلنا أمّة جديدة؟ أي حق له في فرض إرادته على كل الآلهة الأخرى في العالم الوثني، خاصة مصر؟ وما الذي يعطينا </w:t>
      </w:r>
      <w:r w:rsidRPr="00C252DA">
        <w:rPr>
          <w:rFonts w:eastAsia="Times New Roman" w:cs="DecoType Naskh" w:hint="cs"/>
          <w:color w:val="auto"/>
          <w:kern w:val="0"/>
          <w:szCs w:val="26"/>
          <w:rtl/>
          <w:lang w:bidi="ar-JO"/>
          <w14:ligatures w14:val="none"/>
        </w:rPr>
        <w:lastRenderedPageBreak/>
        <w:t>الحق في أخذ أرض كنعان وإخضاع السكان هناك؟ وأهم من ذلك كلّه، أي ضمان لدينا أن الله سيكون معنا ليحقق هذا كلّه؟ أجاب سفر التكوين عن هذه الأسئلة.  ولهذا فإنَّ سفر التكوين لم يكتب كمجرد كتاب تاريخ، ولكنه كُتب أيضاً كأطروحة لاهوتية.  يقول آلن روس،</w:t>
      </w:r>
    </w:p>
    <w:p w14:paraId="49864960"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C252DA">
        <w:rPr>
          <w:rFonts w:eastAsia="Times New Roman" w:cs="DecoType Naskh" w:hint="cs"/>
          <w:color w:val="auto"/>
          <w:kern w:val="0"/>
          <w:szCs w:val="26"/>
          <w:rtl/>
          <w:lang w:bidi="ar-JO"/>
          <w14:ligatures w14:val="none"/>
        </w:rPr>
        <w:t>فلسفة التاريخ هذه لاهوتية بشكلٍ رئيسي.  فالكاتب مهتم بتقديم الخلفية التاريخية لعهد الله مع إسرائيل من منظوره اللاهوتي.  وهو لهذا لا يختار إلاّ الأحداث التي لها تأثير على هذا الموضوع تُختار لتكون جزءاً من الرواية الكتابية.</w:t>
      </w:r>
      <w:r w:rsidRPr="00C252DA">
        <w:rPr>
          <w:rFonts w:eastAsia="Times New Roman" w:cs="DecoType Naskh"/>
          <w:color w:val="auto"/>
          <w:kern w:val="0"/>
          <w:sz w:val="30"/>
          <w:szCs w:val="28"/>
          <w:vertAlign w:val="superscript"/>
          <w:rtl/>
          <w:lang w:bidi="ar-JO"/>
          <w14:ligatures w14:val="none"/>
        </w:rPr>
        <w:footnoteReference w:customMarkFollows="1" w:id="2"/>
        <w:t>1</w:t>
      </w:r>
      <w:r w:rsidRPr="00C252DA">
        <w:rPr>
          <w:rFonts w:eastAsia="Times New Roman" w:cs="DecoType Naskh" w:hint="cs"/>
          <w:color w:val="auto"/>
          <w:kern w:val="0"/>
          <w:szCs w:val="26"/>
          <w:rtl/>
          <w:lang w:bidi="ar-JO"/>
          <w14:ligatures w14:val="none"/>
        </w:rPr>
        <w:t xml:space="preserve"> </w:t>
      </w:r>
    </w:p>
    <w:p w14:paraId="3FB9B9C6"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318A8DC"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 xml:space="preserve">وهكذا يدور سفر التكوين حول </w:t>
      </w:r>
      <w:r w:rsidRPr="00C252DA">
        <w:rPr>
          <w:rFonts w:eastAsia="Times New Roman" w:cs="DecoType Naskh" w:hint="cs"/>
          <w:color w:val="auto"/>
          <w:kern w:val="0"/>
          <w:szCs w:val="26"/>
          <w:u w:val="single"/>
          <w:rtl/>
          <w:lang w:bidi="ar-JO"/>
          <w14:ligatures w14:val="none"/>
        </w:rPr>
        <w:t>العهد</w:t>
      </w:r>
      <w:r w:rsidRPr="00C252DA">
        <w:rPr>
          <w:rFonts w:eastAsia="Times New Roman" w:cs="DecoType Naskh" w:hint="cs"/>
          <w:color w:val="auto"/>
          <w:kern w:val="0"/>
          <w:szCs w:val="26"/>
          <w:rtl/>
          <w:lang w:bidi="ar-JO"/>
          <w14:ligatures w14:val="none"/>
        </w:rPr>
        <w:t xml:space="preserve"> و </w:t>
      </w:r>
      <w:r w:rsidRPr="00C252DA">
        <w:rPr>
          <w:rFonts w:eastAsia="Times New Roman" w:cs="DecoType Naskh" w:hint="cs"/>
          <w:color w:val="auto"/>
          <w:kern w:val="0"/>
          <w:szCs w:val="26"/>
          <w:u w:val="single"/>
          <w:rtl/>
          <w:lang w:bidi="ar-JO"/>
          <w14:ligatures w14:val="none"/>
        </w:rPr>
        <w:t>الأمّة</w:t>
      </w:r>
      <w:r w:rsidRPr="00C252DA">
        <w:rPr>
          <w:rFonts w:eastAsia="Times New Roman" w:cs="DecoType Naskh" w:hint="cs"/>
          <w:color w:val="auto"/>
          <w:kern w:val="0"/>
          <w:szCs w:val="26"/>
          <w:rtl/>
          <w:lang w:bidi="ar-JO"/>
          <w14:ligatures w14:val="none"/>
        </w:rPr>
        <w:t xml:space="preserve">.  فأي إله هذا الذي يدعو بني إسرائيل إلى الخروج من مصر إلى أرض أُخرى؟ إنه إله الخليقة الوحيد الفريد! لجأ المصريون إلى آلهة تمثل الطبيعة، أمّا إله إسرائيل فخلق عناصر الطبيعة.  فما يعبده الوثنيون ليس آلهة مطلقاً.  لكنهم يعبدون ما خلقه إله إسرائيل، ولهذا فإنه لا حاجة ببني إسرائيل أن يخشوا ما يتكل عليه الوثنيون.  وفضلاً عن ذلك، فإن إله إسرائيل </w:t>
      </w:r>
      <w:r w:rsidRPr="00C252DA">
        <w:rPr>
          <w:rFonts w:eastAsia="Times New Roman" w:cs="DecoType Naskh" w:hint="cs"/>
          <w:color w:val="auto"/>
          <w:kern w:val="0"/>
          <w:szCs w:val="26"/>
          <w:u w:val="single"/>
          <w:rtl/>
          <w:lang w:bidi="ar-JO"/>
          <w14:ligatures w14:val="none"/>
        </w:rPr>
        <w:t>يسيطر</w:t>
      </w:r>
      <w:r w:rsidRPr="00C252DA">
        <w:rPr>
          <w:rFonts w:eastAsia="Times New Roman" w:cs="DecoType Naskh" w:hint="cs"/>
          <w:color w:val="auto"/>
          <w:kern w:val="0"/>
          <w:szCs w:val="26"/>
          <w:rtl/>
          <w:lang w:bidi="ar-JO"/>
          <w14:ligatures w14:val="none"/>
        </w:rPr>
        <w:t xml:space="preserve"> على ما خلقه.  وهكذا فإن مغادرة أرض مصر التي ستؤدي إلى استياء فرعون ليس عملاً غير معقول، بل إنه </w:t>
      </w:r>
      <w:r w:rsidRPr="00C252DA">
        <w:rPr>
          <w:rFonts w:eastAsia="Times New Roman" w:cs="DecoType Naskh" w:hint="cs"/>
          <w:color w:val="auto"/>
          <w:kern w:val="0"/>
          <w:szCs w:val="26"/>
          <w:u w:val="single"/>
          <w:rtl/>
          <w:lang w:bidi="ar-JO"/>
          <w14:ligatures w14:val="none"/>
        </w:rPr>
        <w:t>التنفيذ الأمين</w:t>
      </w:r>
      <w:r w:rsidRPr="00C252DA">
        <w:rPr>
          <w:rFonts w:eastAsia="Times New Roman" w:cs="DecoType Naskh" w:hint="cs"/>
          <w:color w:val="auto"/>
          <w:kern w:val="0"/>
          <w:szCs w:val="26"/>
          <w:rtl/>
          <w:lang w:bidi="ar-JO"/>
          <w14:ligatures w14:val="none"/>
        </w:rPr>
        <w:t xml:space="preserve"> لخطة الله.  فقد سبق أن وعد بأن يصنع من إبراهيم أمّة ستُعطى أرض كنعان.  وكان انتخابهم كأمة أمراً قرره الله نفسه.  فكما خلق الكون المنظم وأوجد كل الخليقة، فإنه قادر على خلق أمَّتِه وأن يرسِّخها في أرض الموعد.</w:t>
      </w:r>
    </w:p>
    <w:p w14:paraId="7412E825"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460C6AF" w14:textId="666ABA4B"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وعندما يوعز موسى لبني إسرائيل بمغادرة مصر، فإنه يقول لهم إن يهوه أرسله.  فالدعوة إلى المغادرة ليست صادرة عن موسى، وإنما عن يهوه.  ويهوه هو الإله المتسي</w:t>
      </w:r>
      <w:r w:rsidR="008C5865">
        <w:rPr>
          <w:rFonts w:eastAsia="Times New Roman" w:cs="DecoType Naskh" w:hint="cs"/>
          <w:color w:val="auto"/>
          <w:kern w:val="0"/>
          <w:szCs w:val="26"/>
          <w:rtl/>
          <w:lang w:bidi="ar-JO"/>
          <w14:ligatures w14:val="none"/>
        </w:rPr>
        <w:t>ّ</w:t>
      </w:r>
      <w:r w:rsidRPr="00C252DA">
        <w:rPr>
          <w:rFonts w:eastAsia="Times New Roman" w:cs="DecoType Naskh" w:hint="cs"/>
          <w:color w:val="auto"/>
          <w:kern w:val="0"/>
          <w:szCs w:val="26"/>
          <w:rtl/>
          <w:lang w:bidi="ar-JO"/>
          <w14:ligatures w14:val="none"/>
        </w:rPr>
        <w:t>د الأسمى للخليقة، بالإضافة إلى أنه هو الذي اختار الأمة وأوجدها من خلال إبراهيم، وهو الذي يضمن مستقبلها! وهكذا فإن الحكومة الإلهية تؤسَّس على إله الخليقة المتسي</w:t>
      </w:r>
      <w:r w:rsidR="008C5865">
        <w:rPr>
          <w:rFonts w:eastAsia="Times New Roman" w:cs="DecoType Naskh" w:hint="cs"/>
          <w:color w:val="auto"/>
          <w:kern w:val="0"/>
          <w:szCs w:val="26"/>
          <w:rtl/>
          <w:lang w:bidi="ar-JO"/>
          <w14:ligatures w14:val="none"/>
        </w:rPr>
        <w:t>ّ</w:t>
      </w:r>
      <w:r w:rsidRPr="00C252DA">
        <w:rPr>
          <w:rFonts w:eastAsia="Times New Roman" w:cs="DecoType Naskh" w:hint="cs"/>
          <w:color w:val="auto"/>
          <w:kern w:val="0"/>
          <w:szCs w:val="26"/>
          <w:rtl/>
          <w:lang w:bidi="ar-JO"/>
          <w14:ligatures w14:val="none"/>
        </w:rPr>
        <w:t>د.</w:t>
      </w:r>
    </w:p>
    <w:p w14:paraId="5FB2E923"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DA6BB14"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 xml:space="preserve">عند دراستنا لمادة سفر التكوين، يجب أن نسعى إلى اكتشاف الفكرة اللاهوتية التي يطرحها الكاتب.  يجب أن نسأل لماذا يريد موسى أن تعرف أمّة إسرائيل الجديدة هذه المادة، ولماذا وصفها بهذه التعابير؟ وفضلاً عن ذلك، عندما نفهم قصده، يجب أن نسعى إلى فهم صلته بنا اليوم.  فعلى مستوى عام، يؤكد سفر التكوين هوية الإله الذي يدعو إسرائيل كشعب ليفعل إرادته وكقناة لبركته للعالم، كما يؤكد سلطته.  ويمكن أن يكون لهذا صلة بمأموريتنا في العصر الحاضر للانطلاق والمناداة بالبشارة.  ويتطلب القيام بهذا إحساساً بالدعوة والسلطة.  ومن وضعنا الأفضل، نرى أنَّ لدينا سلطة الله الذي هو إله الخليقة (وهو لهذا فوق الكل ومسيطر على الكل) بالإضافة إلى ضمان أن ربنا وعمله </w:t>
      </w:r>
      <w:r w:rsidRPr="00C252DA">
        <w:rPr>
          <w:rFonts w:eastAsia="Times New Roman" w:cs="DecoType Naskh" w:hint="cs"/>
          <w:i/>
          <w:iCs/>
          <w:color w:val="auto"/>
          <w:kern w:val="0"/>
          <w:szCs w:val="26"/>
          <w:rtl/>
          <w:lang w:bidi="ar-JO"/>
          <w14:ligatures w14:val="none"/>
        </w:rPr>
        <w:t xml:space="preserve">على الصليب قد نالا مصادقةً وتأكيداً عليهما </w:t>
      </w:r>
      <w:r w:rsidRPr="00C252DA">
        <w:rPr>
          <w:rFonts w:eastAsia="Times New Roman" w:cs="DecoType Naskh" w:hint="cs"/>
          <w:color w:val="auto"/>
          <w:kern w:val="0"/>
          <w:szCs w:val="26"/>
          <w:rtl/>
          <w:lang w:bidi="ar-JO"/>
          <w14:ligatures w14:val="none"/>
        </w:rPr>
        <w:t>بقيامة يسوع المسيح!</w:t>
      </w:r>
    </w:p>
    <w:p w14:paraId="35BC688E" w14:textId="77777777" w:rsidR="00C252DA" w:rsidRPr="00C252DA" w:rsidRDefault="00C252DA" w:rsidP="002D6C54">
      <w:pPr>
        <w:tabs>
          <w:tab w:val="left" w:pos="454"/>
        </w:tabs>
        <w:bidi/>
        <w:spacing w:after="60" w:line="240" w:lineRule="auto"/>
        <w:jc w:val="both"/>
        <w:rPr>
          <w:rFonts w:eastAsia="Times New Roman" w:cs="DecoType Naskh"/>
          <w:bCs/>
          <w:color w:val="auto"/>
          <w:kern w:val="0"/>
          <w:szCs w:val="28"/>
          <w:rtl/>
          <w:lang w:bidi="ar-JO"/>
          <w14:ligatures w14:val="none"/>
        </w:rPr>
      </w:pPr>
    </w:p>
    <w:p w14:paraId="1803D858" w14:textId="77777777" w:rsidR="00C252DA" w:rsidRPr="00C252DA" w:rsidRDefault="00C252DA"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C252DA">
        <w:rPr>
          <w:rFonts w:eastAsia="Times New Roman" w:cs="DecoType Naskh" w:hint="cs"/>
          <w:bCs/>
          <w:color w:val="auto"/>
          <w:kern w:val="0"/>
          <w:szCs w:val="28"/>
          <w:rtl/>
          <w:lang w:bidi="ar-JO"/>
          <w14:ligatures w14:val="none"/>
        </w:rPr>
        <w:t>2.</w:t>
      </w:r>
      <w:r w:rsidRPr="00C252DA">
        <w:rPr>
          <w:rFonts w:eastAsia="Times New Roman" w:cs="DecoType Naskh" w:hint="cs"/>
          <w:bCs/>
          <w:color w:val="auto"/>
          <w:kern w:val="0"/>
          <w:szCs w:val="28"/>
          <w:rtl/>
          <w:lang w:bidi="ar-JO"/>
          <w14:ligatures w14:val="none"/>
        </w:rPr>
        <w:tab/>
        <w:t xml:space="preserve">دور </w:t>
      </w:r>
      <w:r w:rsidRPr="00C252DA">
        <w:rPr>
          <w:rFonts w:eastAsia="Times New Roman" w:cs="DecoType Naskh" w:hint="cs"/>
          <w:bCs/>
          <w:color w:val="auto"/>
          <w:kern w:val="0"/>
          <w:szCs w:val="28"/>
          <w:rtl/>
          <w14:ligatures w14:val="none"/>
        </w:rPr>
        <w:t>سفر ال</w:t>
      </w:r>
      <w:r w:rsidRPr="00C252DA">
        <w:rPr>
          <w:rFonts w:eastAsia="Times New Roman" w:cs="DecoType Naskh" w:hint="cs"/>
          <w:bCs/>
          <w:color w:val="auto"/>
          <w:kern w:val="0"/>
          <w:szCs w:val="28"/>
          <w:rtl/>
          <w:lang w:bidi="ar-JO"/>
          <w14:ligatures w14:val="none"/>
        </w:rPr>
        <w:t>تكوين في الأدب التاريخي</w:t>
      </w:r>
    </w:p>
    <w:p w14:paraId="668F69C1"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يقول إليوت جونسون إن القصد من الأدب التاريخي للعهد القديم هو:</w:t>
      </w:r>
    </w:p>
    <w:p w14:paraId="26D8FD63"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"لتنمية الإيمان بيهوه</w:t>
      </w:r>
    </w:p>
    <w:p w14:paraId="6D7D847F"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الذي يعمل على ترسيخ حكمه على النسل الذي اختاره</w:t>
      </w:r>
    </w:p>
    <w:p w14:paraId="0350EB8F"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C252DA">
        <w:rPr>
          <w:rFonts w:eastAsia="Times New Roman" w:cs="DecoType Naskh" w:hint="cs"/>
          <w:color w:val="auto"/>
          <w:kern w:val="0"/>
          <w:szCs w:val="26"/>
          <w:rtl/>
          <w:lang w:bidi="ar-JO"/>
          <w14:ligatures w14:val="none"/>
        </w:rPr>
        <w:t>لكي يبارك العالم في نهاية الأمر من خلال هذا النسل."</w:t>
      </w:r>
      <w:r w:rsidRPr="00C252DA">
        <w:rPr>
          <w:rFonts w:eastAsia="Times New Roman" w:cs="DecoType Naskh"/>
          <w:color w:val="auto"/>
          <w:kern w:val="0"/>
          <w:sz w:val="30"/>
          <w:szCs w:val="28"/>
          <w:vertAlign w:val="superscript"/>
          <w:rtl/>
          <w:lang w:bidi="ar-JO"/>
          <w14:ligatures w14:val="none"/>
        </w:rPr>
        <w:footnoteReference w:customMarkFollows="1" w:id="3"/>
        <w:t>2</w:t>
      </w:r>
    </w:p>
    <w:p w14:paraId="52698452"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506208C" w14:textId="1F265FA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إن جزءاً أساسياً من قصد الله الشامل هو خلق "النسل" الذي سيعمل من خلاله. ولا</w:t>
      </w:r>
      <w:r w:rsidR="008C5865">
        <w:rPr>
          <w:rFonts w:eastAsia="Times New Roman" w:cs="DecoType Naskh" w:hint="cs"/>
          <w:color w:val="auto"/>
          <w:kern w:val="0"/>
          <w:szCs w:val="26"/>
          <w:rtl/>
          <w:lang w:bidi="ar-JO"/>
          <w14:ligatures w14:val="none"/>
        </w:rPr>
        <w:t xml:space="preserve"> </w:t>
      </w:r>
      <w:r w:rsidRPr="00C252DA">
        <w:rPr>
          <w:rFonts w:eastAsia="Times New Roman" w:cs="DecoType Naskh" w:hint="cs"/>
          <w:color w:val="auto"/>
          <w:kern w:val="0"/>
          <w:szCs w:val="26"/>
          <w:rtl/>
          <w:lang w:bidi="ar-JO"/>
          <w14:ligatures w14:val="none"/>
        </w:rPr>
        <w:t>شك</w:t>
      </w:r>
      <w:r w:rsidR="008C5865">
        <w:rPr>
          <w:rFonts w:eastAsia="Times New Roman" w:cs="DecoType Naskh" w:hint="cs"/>
          <w:color w:val="auto"/>
          <w:kern w:val="0"/>
          <w:szCs w:val="26"/>
          <w:rtl/>
          <w:lang w:bidi="ar-JO"/>
          <w14:ligatures w14:val="none"/>
        </w:rPr>
        <w:t>ّ</w:t>
      </w:r>
      <w:r w:rsidRPr="00C252DA">
        <w:rPr>
          <w:rFonts w:eastAsia="Times New Roman" w:cs="DecoType Naskh" w:hint="cs"/>
          <w:color w:val="auto"/>
          <w:kern w:val="0"/>
          <w:szCs w:val="26"/>
          <w:rtl/>
          <w:lang w:bidi="ar-JO"/>
          <w14:ligatures w14:val="none"/>
        </w:rPr>
        <w:t xml:space="preserve"> أن هنالك حاجة لمثل هذا النسل.  تضعنا الأصحاحات 1-11 من سفر التكوين في مواجهة الحقيقة المؤلمة للتأثير السرطاني للخطيّة.  لم يسع الإنسان وراء الله ولم يقترب من خالقه. لكن الإنسان تمرَّد على الله، مما أدى إلى اضطرار الله لإحباط هذا التمرُّد بتشتيت الأمم وتغريقها (تكوين 10-11).  نتيجةً لذلك فُقِدَت البركات.  وقد كانت نيّة الله هي أن يشرك الإنسان في سلطانه </w:t>
      </w:r>
      <w:r w:rsidRPr="00C252DA">
        <w:rPr>
          <w:rFonts w:eastAsia="Times New Roman" w:cs="DecoType Naskh"/>
          <w:color w:val="auto"/>
          <w:kern w:val="0"/>
          <w:szCs w:val="26"/>
          <w:rtl/>
          <w:lang w:bidi="ar-JO"/>
          <w14:ligatures w14:val="none"/>
        </w:rPr>
        <w:t>–</w:t>
      </w:r>
      <w:r w:rsidRPr="00C252DA">
        <w:rPr>
          <w:rFonts w:eastAsia="Times New Roman" w:cs="DecoType Naskh" w:hint="cs"/>
          <w:color w:val="auto"/>
          <w:kern w:val="0"/>
          <w:szCs w:val="26"/>
          <w:rtl/>
          <w:lang w:bidi="ar-JO"/>
          <w14:ligatures w14:val="none"/>
        </w:rPr>
        <w:t xml:space="preserve">أن يشترك الإنسان في ممارسة السلطة مع الله على الخليقة.  وباختصار، قصد الله </w:t>
      </w:r>
      <w:r w:rsidRPr="00C252DA">
        <w:rPr>
          <w:rFonts w:eastAsia="Times New Roman" w:cs="DecoType Naskh" w:hint="cs"/>
          <w:color w:val="auto"/>
          <w:kern w:val="0"/>
          <w:szCs w:val="26"/>
          <w:rtl/>
          <w:lang w:bidi="ar-JO"/>
          <w14:ligatures w14:val="none"/>
        </w:rPr>
        <w:lastRenderedPageBreak/>
        <w:t>أن يحكم الإنسان معه، لكن بأسلوب أقل أو خاضع له (انظر تكوين 1: 26-28).  أراد الله أن يشرك الإنسان المطيع الخاضع والعابد له في حكمه وبركاته.</w:t>
      </w:r>
    </w:p>
    <w:p w14:paraId="471B74C6"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035BA893" w14:textId="1E304889"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C252DA">
        <w:rPr>
          <w:rFonts w:eastAsia="Times New Roman" w:cs="DecoType Naskh" w:hint="cs"/>
          <w:color w:val="auto"/>
          <w:kern w:val="0"/>
          <w:szCs w:val="26"/>
          <w:rtl/>
          <w:lang w:bidi="ar-JO"/>
          <w14:ligatures w14:val="none"/>
        </w:rPr>
        <w:t xml:space="preserve">وفي ضوء تفرّق كل الأمم في تكوين 11، كان ضرورياً أن يقيم الله </w:t>
      </w:r>
      <w:r w:rsidRPr="00C252DA">
        <w:rPr>
          <w:rFonts w:eastAsia="Times New Roman" w:cs="DecoType Naskh" w:hint="cs"/>
          <w:color w:val="auto"/>
          <w:kern w:val="0"/>
          <w:szCs w:val="26"/>
          <w:u w:val="single"/>
          <w:rtl/>
          <w:lang w:bidi="ar-JO"/>
          <w14:ligatures w14:val="none"/>
        </w:rPr>
        <w:t>أمّة</w:t>
      </w:r>
      <w:r w:rsidRPr="00C252DA">
        <w:rPr>
          <w:rFonts w:eastAsia="Times New Roman" w:cs="DecoType Naskh" w:hint="cs"/>
          <w:color w:val="auto"/>
          <w:kern w:val="0"/>
          <w:szCs w:val="26"/>
          <w:rtl/>
          <w:lang w:bidi="ar-JO"/>
          <w14:ligatures w14:val="none"/>
        </w:rPr>
        <w:t xml:space="preserve"> </w:t>
      </w:r>
      <w:r w:rsidRPr="00C252DA">
        <w:rPr>
          <w:rFonts w:eastAsia="Times New Roman" w:cs="DecoType Naskh" w:hint="cs"/>
          <w:color w:val="auto"/>
          <w:kern w:val="0"/>
          <w:szCs w:val="26"/>
          <w:u w:val="single"/>
          <w:rtl/>
          <w:lang w:bidi="ar-JO"/>
          <w14:ligatures w14:val="none"/>
        </w:rPr>
        <w:t>واحدة</w:t>
      </w:r>
      <w:r w:rsidRPr="00C252DA">
        <w:rPr>
          <w:rFonts w:eastAsia="Times New Roman" w:cs="DecoType Naskh" w:hint="cs"/>
          <w:color w:val="auto"/>
          <w:kern w:val="0"/>
          <w:szCs w:val="26"/>
          <w:rtl/>
          <w:lang w:bidi="ar-JO"/>
          <w14:ligatures w14:val="none"/>
        </w:rPr>
        <w:t xml:space="preserve"> تخضع له وتصبح قناة بركته لكل شعوب العالم الأخرى.  هذه هي نقطة التركيز في الأسفار الخمسة.  ويعبر سيجال عن هذه الفكرة كما يلي: "... إن الفكرة المركزية للأسفار الخمسة هي اختيار إسرائيل من بين الأمم وتكريسها لخدمة الله وشرائعه في أرض معينه منه."</w:t>
      </w:r>
      <w:r w:rsidRPr="00C252DA">
        <w:rPr>
          <w:rFonts w:eastAsia="Times New Roman" w:cs="DecoType Naskh"/>
          <w:color w:val="auto"/>
          <w:kern w:val="0"/>
          <w:sz w:val="30"/>
          <w:szCs w:val="28"/>
          <w:vertAlign w:val="superscript"/>
          <w:rtl/>
          <w:lang w:bidi="ar-JO"/>
          <w14:ligatures w14:val="none"/>
        </w:rPr>
        <w:footnoteReference w:customMarkFollows="1" w:id="4"/>
        <w:t>3</w:t>
      </w:r>
      <w:r w:rsidRPr="00C252DA">
        <w:rPr>
          <w:rFonts w:eastAsia="Times New Roman" w:cs="DecoType Naskh" w:hint="cs"/>
          <w:color w:val="auto"/>
          <w:kern w:val="0"/>
          <w:szCs w:val="26"/>
          <w:rtl/>
          <w:lang w:bidi="ar-JO"/>
          <w14:ligatures w14:val="none"/>
        </w:rPr>
        <w:t xml:space="preserve"> ويتابع قوله: "إن الحدث المركزي في تطور هذه الفكرة أو الموضوع هو العهد الإلهي مع إبراهيم ووعده الثنائي بأن يجعل من ذريته </w:t>
      </w:r>
      <w:r w:rsidRPr="00C252DA">
        <w:rPr>
          <w:rFonts w:eastAsia="Times New Roman" w:cs="DecoType Naskh" w:hint="cs"/>
          <w:color w:val="auto"/>
          <w:kern w:val="0"/>
          <w:szCs w:val="26"/>
          <w:u w:val="single"/>
          <w:rtl/>
          <w:lang w:bidi="ar-JO"/>
          <w14:ligatures w14:val="none"/>
        </w:rPr>
        <w:t>شعب</w:t>
      </w:r>
      <w:r w:rsidRPr="00C252DA">
        <w:rPr>
          <w:rFonts w:eastAsia="Times New Roman" w:cs="DecoType Naskh" w:hint="cs"/>
          <w:color w:val="auto"/>
          <w:kern w:val="0"/>
          <w:szCs w:val="26"/>
          <w:rtl/>
          <w:lang w:bidi="ar-JO"/>
          <w14:ligatures w14:val="none"/>
        </w:rPr>
        <w:t xml:space="preserve"> الله وأن يعطيهم أرض كنعان كميراث أبدي."</w:t>
      </w:r>
      <w:r w:rsidRPr="00C252DA">
        <w:rPr>
          <w:rFonts w:eastAsia="Times New Roman" w:cs="DecoType Naskh"/>
          <w:color w:val="auto"/>
          <w:kern w:val="0"/>
          <w:sz w:val="30"/>
          <w:szCs w:val="28"/>
          <w:vertAlign w:val="superscript"/>
          <w:rtl/>
          <w:lang w:bidi="ar-JO"/>
          <w14:ligatures w14:val="none"/>
        </w:rPr>
        <w:footnoteReference w:customMarkFollows="1" w:id="5"/>
        <w:t>4</w:t>
      </w:r>
    </w:p>
    <w:p w14:paraId="6E5EBE4E"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43B7AB4D" w14:textId="77777777" w:rsidR="00C252DA" w:rsidRPr="00C252DA" w:rsidRDefault="00C252DA"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C252DA">
        <w:rPr>
          <w:rFonts w:eastAsia="Times New Roman" w:cs="DecoType Naskh" w:hint="cs"/>
          <w:bCs/>
          <w:color w:val="auto"/>
          <w:kern w:val="0"/>
          <w:szCs w:val="28"/>
          <w:rtl/>
          <w:lang w:bidi="ar-JO"/>
          <w14:ligatures w14:val="none"/>
        </w:rPr>
        <w:t>3.</w:t>
      </w:r>
      <w:r w:rsidRPr="00C252DA">
        <w:rPr>
          <w:rFonts w:eastAsia="Times New Roman" w:cs="DecoType Naskh" w:hint="cs"/>
          <w:bCs/>
          <w:color w:val="auto"/>
          <w:kern w:val="0"/>
          <w:szCs w:val="28"/>
          <w:rtl/>
          <w:lang w:bidi="ar-JO"/>
          <w14:ligatures w14:val="none"/>
        </w:rPr>
        <w:tab/>
        <w:t xml:space="preserve">غرض سفر التكوين </w:t>
      </w:r>
    </w:p>
    <w:p w14:paraId="78337146"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هدف سفر التكوين بشكل رئيسي هو تأسيس الثيوقراطية (الحكم الإلهي، الحكم الديني)، خاصة أن أصل الأمة يعود إلى علاقة العهد غير المشروط مع يهوه، الله الخالق.  وبالنسبة لجيل الخروج، كما هو الحال للأجيال التالية أيضاً، كان القصد هو فرزهم للإيمان والطاعة من خلال تعريفهم بأصول الأمة.  ويبيّن سفر التكوين لا شرعية وجود الأمة فحسب، بل أيضاً ضرورة تجاوبهم بالإيمان مع وعود يهوه.</w:t>
      </w:r>
    </w:p>
    <w:p w14:paraId="688D957F"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 xml:space="preserve">واختيار إسرائيل حسب العهد الإبراهيمي وتأسيسها فيه هما أساس مغادرتهم مصر إلى كنعان.  غير أن وسيلة الحصول على وعود يهوه هي </w:t>
      </w:r>
      <w:r w:rsidRPr="00C252DA">
        <w:rPr>
          <w:rFonts w:eastAsia="Times New Roman" w:cs="DecoType Naskh" w:hint="cs"/>
          <w:color w:val="auto"/>
          <w:kern w:val="0"/>
          <w:szCs w:val="26"/>
          <w:u w:val="single"/>
          <w:rtl/>
          <w:lang w:bidi="ar-JO"/>
          <w14:ligatures w14:val="none"/>
        </w:rPr>
        <w:t>الإيمان</w:t>
      </w:r>
      <w:r w:rsidRPr="00C252DA">
        <w:rPr>
          <w:rFonts w:eastAsia="Times New Roman" w:cs="DecoType Naskh" w:hint="cs"/>
          <w:color w:val="auto"/>
          <w:kern w:val="0"/>
          <w:szCs w:val="26"/>
          <w:rtl/>
          <w:lang w:bidi="ar-JO"/>
          <w14:ligatures w14:val="none"/>
        </w:rPr>
        <w:t>.  والإيمان هو الدرس العظيم الذي يعلّمنا إياه تكوين 12-50.  وفي ضوء هذا، يمكننا أن نصوغ ملخصاً لأطروحة سفر التكوين:</w:t>
      </w:r>
    </w:p>
    <w:p w14:paraId="1AAD07C6"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تعريف الأمة بأصلها في الاختيار والوعد.</w:t>
      </w:r>
    </w:p>
    <w:p w14:paraId="7B0FFA36"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2EFEEE2B"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C252DA">
        <w:rPr>
          <w:rFonts w:eastAsia="Times New Roman" w:cs="DecoType Naskh" w:hint="cs"/>
          <w:color w:val="auto"/>
          <w:kern w:val="0"/>
          <w:szCs w:val="26"/>
          <w:rtl/>
          <w:lang w:bidi="ar-JO"/>
          <w14:ligatures w14:val="none"/>
        </w:rPr>
        <w:t xml:space="preserve">تعرّف الأصحاحات 1-11 الأمة بأصلها في </w:t>
      </w:r>
      <w:r w:rsidRPr="00C252DA">
        <w:rPr>
          <w:rFonts w:eastAsia="Times New Roman" w:cs="DecoType Naskh" w:hint="cs"/>
          <w:color w:val="auto"/>
          <w:kern w:val="0"/>
          <w:szCs w:val="26"/>
          <w:u w:val="single"/>
          <w:rtl/>
          <w:lang w:bidi="ar-JO"/>
          <w14:ligatures w14:val="none"/>
        </w:rPr>
        <w:t>الاختيار</w:t>
      </w:r>
      <w:r w:rsidRPr="00C252DA">
        <w:rPr>
          <w:rFonts w:eastAsia="Times New Roman" w:cs="DecoType Naskh" w:hint="cs"/>
          <w:color w:val="auto"/>
          <w:kern w:val="0"/>
          <w:szCs w:val="26"/>
          <w:rtl/>
          <w:lang w:bidi="ar-JO"/>
          <w14:ligatures w14:val="none"/>
        </w:rPr>
        <w:t>.  ويبدو أن هذه الأصحاحات تهدف إلى شرح "سبب فرز عبادة شعب خاص، هو إسرائيل، لله في العالم، في أرض خاصة هي كنعان."</w:t>
      </w:r>
      <w:r w:rsidRPr="00C252DA">
        <w:rPr>
          <w:rFonts w:eastAsia="Times New Roman" w:cs="DecoType Naskh"/>
          <w:color w:val="auto"/>
          <w:kern w:val="0"/>
          <w:sz w:val="30"/>
          <w:szCs w:val="28"/>
          <w:vertAlign w:val="superscript"/>
          <w:rtl/>
          <w:lang w:bidi="ar-JO"/>
          <w14:ligatures w14:val="none"/>
        </w:rPr>
        <w:footnoteReference w:customMarkFollows="1" w:id="6"/>
        <w:t>5</w:t>
      </w:r>
    </w:p>
    <w:p w14:paraId="0503A78A"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C252DA">
        <w:rPr>
          <w:rFonts w:eastAsia="Times New Roman" w:cs="DecoType Naskh" w:hint="cs"/>
          <w:color w:val="auto"/>
          <w:kern w:val="0"/>
          <w:szCs w:val="26"/>
          <w:rtl/>
          <w:lang w:bidi="ar-JO"/>
          <w14:ligatures w14:val="none"/>
        </w:rPr>
        <w:t xml:space="preserve">تعرّف الأصحاحات 12-50 الأمة بأصلها في </w:t>
      </w:r>
      <w:r w:rsidRPr="00C252DA">
        <w:rPr>
          <w:rFonts w:eastAsia="Times New Roman" w:cs="DecoType Naskh" w:hint="cs"/>
          <w:color w:val="auto"/>
          <w:kern w:val="0"/>
          <w:szCs w:val="26"/>
          <w:u w:val="single"/>
          <w:rtl/>
          <w:lang w:bidi="ar-JO"/>
          <w14:ligatures w14:val="none"/>
        </w:rPr>
        <w:t>الوعد</w:t>
      </w:r>
      <w:r w:rsidRPr="00C252DA">
        <w:rPr>
          <w:rFonts w:eastAsia="Times New Roman" w:cs="DecoType Naskh" w:hint="cs"/>
          <w:color w:val="auto"/>
          <w:kern w:val="0"/>
          <w:szCs w:val="26"/>
          <w:rtl/>
          <w:lang w:bidi="ar-JO"/>
          <w14:ligatures w14:val="none"/>
        </w:rPr>
        <w:t>.  إذ يفرز يهوه الناس لنفسه بالوعد، أي أن البركة الموعودة تحصَّل بالإيمان الذي يُفرَز الناس من خلاله ليهوه.</w:t>
      </w:r>
    </w:p>
    <w:p w14:paraId="783F0A48"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KW"/>
          <w14:ligatures w14:val="none"/>
        </w:rPr>
      </w:pPr>
    </w:p>
    <w:p w14:paraId="257A725B" w14:textId="77777777" w:rsidR="00C252DA" w:rsidRPr="00C252DA" w:rsidRDefault="00C252DA"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C252DA">
        <w:rPr>
          <w:rFonts w:eastAsia="Times New Roman" w:cs="DecoType Naskh" w:hint="cs"/>
          <w:bCs/>
          <w:color w:val="auto"/>
          <w:kern w:val="0"/>
          <w:szCs w:val="28"/>
          <w:rtl/>
          <w:lang w:bidi="ar-JO"/>
          <w14:ligatures w14:val="none"/>
        </w:rPr>
        <w:t>4.</w:t>
      </w:r>
      <w:r w:rsidRPr="00C252DA">
        <w:rPr>
          <w:rFonts w:eastAsia="Times New Roman" w:cs="DecoType Naskh" w:hint="cs"/>
          <w:bCs/>
          <w:color w:val="auto"/>
          <w:kern w:val="0"/>
          <w:szCs w:val="28"/>
          <w:rtl/>
          <w:lang w:bidi="ar-JO"/>
          <w14:ligatures w14:val="none"/>
        </w:rPr>
        <w:tab/>
        <w:t xml:space="preserve">بنية سفر التكوين </w:t>
      </w:r>
    </w:p>
    <w:p w14:paraId="6581CCD2"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تعتمد بنية السفر على مخطط</w:t>
      </w:r>
      <w:r w:rsidRPr="00C252DA">
        <w:rPr>
          <w:rFonts w:eastAsia="Times New Roman" w:cs="DecoType Naskh" w:hint="cs"/>
          <w:color w:val="auto"/>
          <w:kern w:val="0"/>
          <w:szCs w:val="26"/>
          <w:rtl/>
          <w14:ligatures w14:val="none"/>
        </w:rPr>
        <w:t xml:space="preserve"> </w:t>
      </w:r>
      <w:r w:rsidRPr="00C252DA">
        <w:rPr>
          <w:rFonts w:ascii="Charis SIL" w:eastAsia="Times New Roman" w:hAnsi="Charis SIL" w:cs="Charis SIL"/>
          <w:bCs/>
          <w:i/>
          <w:iCs/>
          <w:color w:val="auto"/>
          <w:kern w:val="0"/>
          <w:szCs w:val="26"/>
          <w:lang w:bidi="ar-JO"/>
          <w14:ligatures w14:val="none"/>
        </w:rPr>
        <w:t>ṯôlᵊḏôṯ</w:t>
      </w:r>
      <w:r w:rsidRPr="00C252DA">
        <w:rPr>
          <w:rFonts w:eastAsia="Times New Roman" w:cs="DecoType Naskh" w:hint="cs"/>
          <w:color w:val="auto"/>
          <w:kern w:val="0"/>
          <w:szCs w:val="26"/>
          <w:rtl/>
          <w:lang w:bidi="ar-JO"/>
          <w14:ligatures w14:val="none"/>
        </w:rPr>
        <w:t xml:space="preserve"> (</w:t>
      </w:r>
      <w:r w:rsidRPr="00C252DA">
        <w:rPr>
          <w:rFonts w:eastAsia="Times New Roman" w:cs="DecoType Naskh" w:hint="cs"/>
          <w:color w:val="auto"/>
          <w:kern w:val="0"/>
          <w:szCs w:val="26"/>
          <w:u w:val="single"/>
          <w:rtl/>
          <w:lang w:bidi="ar-JO"/>
          <w14:ligatures w14:val="none"/>
        </w:rPr>
        <w:t>توليدوت)</w:t>
      </w:r>
      <w:r w:rsidRPr="00C252DA">
        <w:rPr>
          <w:rFonts w:eastAsia="Times New Roman" w:cs="DecoType Naskh" w:hint="cs"/>
          <w:color w:val="auto"/>
          <w:kern w:val="0"/>
          <w:szCs w:val="26"/>
          <w:rtl/>
          <w:lang w:bidi="ar-JO"/>
          <w14:ligatures w14:val="none"/>
        </w:rPr>
        <w:t>.  إن إحدى الملاحظات الهامّة حول سفر التكوين هي استخدام الكاتب المتكرر لهذه الكلمة الهامّة في بنية السفر،</w:t>
      </w:r>
      <w:r w:rsidRPr="00C252DA">
        <w:rPr>
          <w:rFonts w:eastAsia="Times New Roman" w:cs="DecoType Naskh" w:hint="cs"/>
          <w:color w:val="auto"/>
          <w:kern w:val="0"/>
          <w:szCs w:val="26"/>
          <w:rtl/>
          <w14:ligatures w14:val="none"/>
        </w:rPr>
        <w:t xml:space="preserve"> </w:t>
      </w:r>
      <w:r w:rsidRPr="00C252DA">
        <w:rPr>
          <w:rFonts w:ascii="Charis SIL" w:eastAsia="Times New Roman" w:hAnsi="Charis SIL" w:cs="Charis SIL"/>
          <w:bCs/>
          <w:i/>
          <w:iCs/>
          <w:color w:val="auto"/>
          <w:kern w:val="0"/>
          <w:szCs w:val="26"/>
          <w:lang w:bidi="ar-JO"/>
          <w14:ligatures w14:val="none"/>
        </w:rPr>
        <w:t>ṯôlᵊḏôṯ</w:t>
      </w:r>
      <w:r w:rsidRPr="00C252DA">
        <w:rPr>
          <w:rFonts w:eastAsia="Times New Roman" w:cs="DecoType Naskh" w:hint="cs"/>
          <w:color w:val="auto"/>
          <w:kern w:val="0"/>
          <w:szCs w:val="26"/>
          <w:rtl/>
          <w:lang w:bidi="ar-JO"/>
          <w14:ligatures w14:val="none"/>
        </w:rPr>
        <w:t xml:space="preserve"> </w:t>
      </w:r>
      <w:r w:rsidRPr="00C252DA">
        <w:rPr>
          <w:rFonts w:eastAsia="Times New Roman" w:cs="DecoType Naskh" w:hint="cs"/>
          <w:color w:val="auto"/>
          <w:kern w:val="0"/>
          <w:szCs w:val="26"/>
          <w:u w:val="single"/>
          <w:rtl/>
          <w:lang w:bidi="ar-JO"/>
          <w14:ligatures w14:val="none"/>
        </w:rPr>
        <w:t>توليدوت</w:t>
      </w:r>
      <w:r w:rsidRPr="00C252DA">
        <w:rPr>
          <w:rFonts w:eastAsia="Times New Roman" w:cs="DecoType Naskh" w:hint="cs"/>
          <w:color w:val="auto"/>
          <w:kern w:val="0"/>
          <w:szCs w:val="26"/>
          <w:rtl/>
          <w:lang w:bidi="ar-JO"/>
          <w14:ligatures w14:val="none"/>
        </w:rPr>
        <w:t>.  وهي تأتي عادة ضمن عبارة "هذه مواليد ...".  وصِيَغ</w:t>
      </w:r>
      <w:r w:rsidRPr="00C252DA">
        <w:rPr>
          <w:rFonts w:eastAsia="Times New Roman" w:cs="DecoType Naskh" w:hint="cs"/>
          <w:color w:val="auto"/>
          <w:kern w:val="0"/>
          <w:szCs w:val="26"/>
          <w:rtl/>
          <w14:ligatures w14:val="none"/>
        </w:rPr>
        <w:t xml:space="preserve"> </w:t>
      </w:r>
      <w:r w:rsidRPr="00C252DA">
        <w:rPr>
          <w:rFonts w:ascii="Charis SIL" w:eastAsia="Times New Roman" w:hAnsi="Charis SIL" w:cs="Charis SIL"/>
          <w:bCs/>
          <w:i/>
          <w:iCs/>
          <w:color w:val="auto"/>
          <w:kern w:val="0"/>
          <w:szCs w:val="26"/>
          <w:lang w:bidi="ar-JO"/>
          <w14:ligatures w14:val="none"/>
        </w:rPr>
        <w:t>ṯôlᵊḏôṯ</w:t>
      </w:r>
      <w:r w:rsidRPr="00C252DA">
        <w:rPr>
          <w:rFonts w:eastAsia="Times New Roman" w:cs="DecoType Naskh" w:hint="cs"/>
          <w:color w:val="auto"/>
          <w:kern w:val="0"/>
          <w:szCs w:val="26"/>
          <w:rtl/>
          <w:lang w:bidi="ar-JO"/>
          <w14:ligatures w14:val="none"/>
        </w:rPr>
        <w:t xml:space="preserve"> (توليدوت) هي أساس بنية هذا السفر.</w:t>
      </w:r>
    </w:p>
    <w:p w14:paraId="3F9B843B"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C2CB382"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إن كلمة</w:t>
      </w:r>
      <w:r w:rsidRPr="00C252DA">
        <w:rPr>
          <w:rFonts w:eastAsia="Times New Roman" w:cs="DecoType Naskh" w:hint="cs"/>
          <w:color w:val="auto"/>
          <w:kern w:val="0"/>
          <w:szCs w:val="26"/>
          <w:rtl/>
          <w14:ligatures w14:val="none"/>
        </w:rPr>
        <w:t xml:space="preserve"> </w:t>
      </w:r>
      <w:r w:rsidRPr="00C252DA">
        <w:rPr>
          <w:rFonts w:ascii="Charis SIL" w:eastAsia="Times New Roman" w:hAnsi="Charis SIL" w:cs="Charis SIL"/>
          <w:bCs/>
          <w:i/>
          <w:iCs/>
          <w:color w:val="auto"/>
          <w:kern w:val="0"/>
          <w:szCs w:val="26"/>
          <w:lang w:bidi="ar-JO"/>
          <w14:ligatures w14:val="none"/>
        </w:rPr>
        <w:t>ṯôlᵊḏôṯ</w:t>
      </w:r>
      <w:r w:rsidRPr="00C252DA">
        <w:rPr>
          <w:rFonts w:eastAsia="Times New Roman" w:cs="DecoType Naskh" w:hint="cs"/>
          <w:color w:val="auto"/>
          <w:kern w:val="0"/>
          <w:szCs w:val="26"/>
          <w:rtl/>
          <w:lang w:bidi="ar-JO"/>
          <w14:ligatures w14:val="none"/>
        </w:rPr>
        <w:t xml:space="preserve"> (توليدوت </w:t>
      </w:r>
      <w:r w:rsidRPr="00C252DA">
        <w:rPr>
          <w:rFonts w:eastAsia="Times New Roman" w:cs="DecoType Naskh"/>
          <w:color w:val="auto"/>
          <w:kern w:val="0"/>
          <w:szCs w:val="26"/>
          <w:rtl/>
          <w:lang w:bidi="ar-JO"/>
          <w14:ligatures w14:val="none"/>
        </w:rPr>
        <w:t>–</w:t>
      </w:r>
      <w:r w:rsidRPr="00C252DA">
        <w:rPr>
          <w:rFonts w:eastAsia="Times New Roman" w:cs="DecoType Naskh" w:hint="cs"/>
          <w:color w:val="auto"/>
          <w:kern w:val="0"/>
          <w:szCs w:val="26"/>
          <w:rtl/>
          <w:lang w:bidi="ar-JO"/>
          <w14:ligatures w14:val="none"/>
        </w:rPr>
        <w:t xml:space="preserve"> مواليد) مشتقة من الكلمة العبرية </w:t>
      </w:r>
      <w:r w:rsidRPr="00C252DA">
        <w:rPr>
          <w:rFonts w:eastAsia="Times New Roman" w:cs="DecoType Naskh" w:hint="cs"/>
          <w:i/>
          <w:iCs/>
          <w:color w:val="auto"/>
          <w:kern w:val="0"/>
          <w:szCs w:val="26"/>
          <w:rtl/>
          <w:lang w:bidi="ar-JO"/>
          <w14:ligatures w14:val="none"/>
        </w:rPr>
        <w:t>يالاد</w:t>
      </w:r>
      <w:r w:rsidRPr="00C252DA">
        <w:rPr>
          <w:rFonts w:eastAsia="Times New Roman" w:cs="DecoType Naskh" w:hint="cs"/>
          <w:i/>
          <w:iCs/>
          <w:color w:val="auto"/>
          <w:kern w:val="0"/>
          <w:szCs w:val="26"/>
          <w:rtl/>
          <w14:ligatures w14:val="none"/>
        </w:rPr>
        <w:t xml:space="preserve"> </w:t>
      </w:r>
      <w:proofErr w:type="spellStart"/>
      <w:r w:rsidRPr="00C252DA">
        <w:rPr>
          <w:rFonts w:ascii="Charis SIL" w:eastAsia="Times New Roman" w:hAnsi="Charis SIL" w:cs="Charis SIL"/>
          <w:bCs/>
          <w:i/>
          <w:iCs/>
          <w:color w:val="auto"/>
          <w:kern w:val="0"/>
          <w:szCs w:val="26"/>
          <w:lang w:bidi="ar-JO"/>
          <w14:ligatures w14:val="none"/>
        </w:rPr>
        <w:t>yālad</w:t>
      </w:r>
      <w:proofErr w:type="spellEnd"/>
      <w:r w:rsidRPr="00C252DA">
        <w:rPr>
          <w:rFonts w:ascii="Charis SIL" w:eastAsia="Times New Roman" w:hAnsi="Charis SIL" w:cs="Charis SIL"/>
          <w:bCs/>
          <w:i/>
          <w:iCs/>
          <w:color w:val="auto"/>
          <w:kern w:val="0"/>
          <w:szCs w:val="26"/>
          <w:lang w:bidi="ar-JO"/>
          <w14:ligatures w14:val="none"/>
        </w:rPr>
        <w:t>̱</w:t>
      </w:r>
      <w:r w:rsidRPr="00C252DA">
        <w:rPr>
          <w:rFonts w:eastAsia="Times New Roman" w:cs="DecoType Naskh" w:hint="cs"/>
          <w:i/>
          <w:iCs/>
          <w:color w:val="auto"/>
          <w:kern w:val="0"/>
          <w:szCs w:val="26"/>
          <w:rtl/>
          <w:lang w:bidi="ar-JO"/>
          <w14:ligatures w14:val="none"/>
        </w:rPr>
        <w:t xml:space="preserve"> </w:t>
      </w:r>
      <w:r w:rsidRPr="00C252DA">
        <w:rPr>
          <w:rFonts w:eastAsia="Times New Roman" w:cs="DecoType Naskh" w:hint="cs"/>
          <w:color w:val="auto"/>
          <w:kern w:val="0"/>
          <w:szCs w:val="26"/>
          <w:rtl/>
          <w:lang w:bidi="ar-JO"/>
          <w14:ligatures w14:val="none"/>
        </w:rPr>
        <w:t>التي تعني "يحمل أو يولِّد" مع جذر هِف</w:t>
      </w:r>
      <w:r w:rsidRPr="00C252DA">
        <w:rPr>
          <w:rFonts w:eastAsia="Times New Roman" w:cs="DecoType Naskh" w:hint="cs"/>
          <w:color w:val="auto"/>
          <w:kern w:val="0"/>
          <w:szCs w:val="26"/>
          <w:rtl/>
          <w14:ligatures w14:val="none"/>
        </w:rPr>
        <w:t>عي</w:t>
      </w:r>
      <w:r w:rsidRPr="00C252DA">
        <w:rPr>
          <w:rFonts w:eastAsia="Times New Roman" w:cs="DecoType Naskh" w:hint="cs"/>
          <w:color w:val="auto"/>
          <w:kern w:val="0"/>
          <w:szCs w:val="26"/>
          <w:rtl/>
          <w:lang w:bidi="ar-JO"/>
          <w14:ligatures w14:val="none"/>
        </w:rPr>
        <w:t>ِل (</w:t>
      </w:r>
      <w:proofErr w:type="spellStart"/>
      <w:r w:rsidRPr="00C252DA">
        <w:rPr>
          <w:rFonts w:eastAsia="Times New Roman" w:cs="DecoType Naskh"/>
          <w:i/>
          <w:iCs/>
          <w:color w:val="auto"/>
          <w:kern w:val="0"/>
          <w:szCs w:val="26"/>
          <w:u w:val="single"/>
          <w14:ligatures w14:val="none"/>
        </w:rPr>
        <w:t>hiphil</w:t>
      </w:r>
      <w:proofErr w:type="spellEnd"/>
      <w:r w:rsidRPr="00C252DA">
        <w:rPr>
          <w:rFonts w:eastAsia="Times New Roman" w:cs="DecoType Naskh" w:hint="cs"/>
          <w:color w:val="auto"/>
          <w:kern w:val="0"/>
          <w:szCs w:val="26"/>
          <w:u w:val="single"/>
          <w:rtl/>
          <w:lang w:bidi="ar-KW"/>
          <w14:ligatures w14:val="none"/>
        </w:rPr>
        <w:t>)</w:t>
      </w:r>
      <w:r w:rsidRPr="00C252DA">
        <w:rPr>
          <w:rFonts w:eastAsia="Times New Roman" w:cs="DecoType Naskh" w:hint="cs"/>
          <w:color w:val="auto"/>
          <w:kern w:val="0"/>
          <w:szCs w:val="26"/>
          <w:rtl/>
          <w:lang w:bidi="ar-JO"/>
          <w14:ligatures w14:val="none"/>
        </w:rPr>
        <w:t xml:space="preserve"> الذي يعبّر عن فكرة أن "يلِد، أن يُنجِب."  ويبدو أنها لا بد أن تشير إلى ما يُنتَج، وهكذا يصوّر كل عنوان جديد يحمل كلمة</w:t>
      </w:r>
      <w:r w:rsidRPr="00C252DA">
        <w:rPr>
          <w:rFonts w:eastAsia="Times New Roman" w:cs="DecoType Naskh" w:hint="cs"/>
          <w:color w:val="auto"/>
          <w:kern w:val="0"/>
          <w:szCs w:val="26"/>
          <w:rtl/>
          <w14:ligatures w14:val="none"/>
        </w:rPr>
        <w:t xml:space="preserve"> </w:t>
      </w:r>
      <w:r w:rsidRPr="00C252DA">
        <w:rPr>
          <w:rFonts w:ascii="Charis SIL" w:eastAsia="Times New Roman" w:hAnsi="Charis SIL" w:cs="Charis SIL"/>
          <w:bCs/>
          <w:i/>
          <w:iCs/>
          <w:color w:val="auto"/>
          <w:kern w:val="0"/>
          <w:szCs w:val="26"/>
          <w:lang w:bidi="ar-JO"/>
          <w14:ligatures w14:val="none"/>
        </w:rPr>
        <w:t>ṯôlᵊḏôṯ</w:t>
      </w:r>
      <w:r w:rsidRPr="00C252DA">
        <w:rPr>
          <w:rFonts w:eastAsia="Times New Roman" w:cs="DecoType Naskh" w:hint="cs"/>
          <w:color w:val="auto"/>
          <w:kern w:val="0"/>
          <w:szCs w:val="26"/>
          <w:rtl/>
          <w:lang w:bidi="ar-JO"/>
          <w14:ligatures w14:val="none"/>
        </w:rPr>
        <w:t xml:space="preserve"> (توليدوت) </w:t>
      </w:r>
      <w:r w:rsidRPr="00C252DA">
        <w:rPr>
          <w:rFonts w:eastAsia="Times New Roman" w:cs="DecoType Naskh" w:hint="cs"/>
          <w:color w:val="auto"/>
          <w:kern w:val="0"/>
          <w:szCs w:val="26"/>
          <w:u w:val="single"/>
          <w:rtl/>
          <w:lang w:bidi="ar-JO"/>
          <w14:ligatures w14:val="none"/>
        </w:rPr>
        <w:t>النتيجة</w:t>
      </w:r>
      <w:r w:rsidRPr="00C252DA">
        <w:rPr>
          <w:rFonts w:eastAsia="Times New Roman" w:cs="DecoType Naskh" w:hint="cs"/>
          <w:color w:val="auto"/>
          <w:kern w:val="0"/>
          <w:szCs w:val="26"/>
          <w:rtl/>
          <w:lang w:bidi="ar-JO"/>
          <w14:ligatures w14:val="none"/>
        </w:rPr>
        <w:t xml:space="preserve"> </w:t>
      </w:r>
      <w:r w:rsidRPr="00C252DA">
        <w:rPr>
          <w:rFonts w:eastAsia="Times New Roman" w:cs="DecoType Naskh" w:hint="cs"/>
          <w:color w:val="auto"/>
          <w:kern w:val="0"/>
          <w:szCs w:val="26"/>
          <w:u w:val="single"/>
          <w:rtl/>
          <w:lang w:bidi="ar-JO"/>
          <w14:ligatures w14:val="none"/>
        </w:rPr>
        <w:t>التاريخية</w:t>
      </w:r>
      <w:r w:rsidRPr="00C252DA">
        <w:rPr>
          <w:rFonts w:eastAsia="Times New Roman" w:cs="DecoType Naskh" w:hint="cs"/>
          <w:color w:val="auto"/>
          <w:kern w:val="0"/>
          <w:szCs w:val="26"/>
          <w:rtl/>
          <w:lang w:bidi="ar-JO"/>
          <w14:ligatures w14:val="none"/>
        </w:rPr>
        <w:t xml:space="preserve"> لسلف معين.  ويمكننا أن نعيد صياغة هذه العبارة على النحو التالي، "هذا هو ما حدث لـ...، أو هذا هو ما آل إليه مصير...." ويوضح روس هذه الفكرة في ما يتعلق بتكوين 2: 4:</w:t>
      </w:r>
    </w:p>
    <w:p w14:paraId="69EF6787"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C252DA">
        <w:rPr>
          <w:rFonts w:eastAsia="Times New Roman" w:cs="DecoType Naskh" w:hint="cs"/>
          <w:color w:val="auto"/>
          <w:kern w:val="0"/>
          <w:szCs w:val="26"/>
          <w:rtl/>
          <w:lang w:bidi="ar-JO"/>
          <w14:ligatures w14:val="none"/>
        </w:rPr>
        <w:t>إذاً يمكننا أن نفهم الإشارة إلى تكوين 2: 4 على أنها النتيجة التاريخية للعالم (</w:t>
      </w:r>
      <w:r w:rsidRPr="00C252DA">
        <w:rPr>
          <w:rFonts w:eastAsia="Times New Roman" w:cs="DecoType Naskh"/>
          <w:color w:val="auto"/>
          <w:kern w:val="0"/>
          <w:szCs w:val="26"/>
          <w14:ligatures w14:val="none"/>
        </w:rPr>
        <w:t>cosmos</w:t>
      </w:r>
      <w:r w:rsidRPr="00C252DA">
        <w:rPr>
          <w:rFonts w:eastAsia="Times New Roman" w:cs="DecoType Naskh" w:hint="cs"/>
          <w:color w:val="auto"/>
          <w:kern w:val="0"/>
          <w:szCs w:val="26"/>
          <w:rtl/>
          <w14:ligatures w14:val="none"/>
        </w:rPr>
        <w:t>)</w:t>
      </w:r>
      <w:r w:rsidRPr="00C252DA">
        <w:rPr>
          <w:rFonts w:eastAsia="Times New Roman" w:cs="DecoType Naskh" w:hint="cs"/>
          <w:color w:val="auto"/>
          <w:kern w:val="0"/>
          <w:szCs w:val="26"/>
          <w:rtl/>
          <w:lang w:bidi="ar-JO"/>
          <w14:ligatures w14:val="none"/>
        </w:rPr>
        <w:t xml:space="preserve">، وتقدم 2: 4-4: 26 للقارئ </w:t>
      </w:r>
      <w:r w:rsidRPr="00C252DA">
        <w:rPr>
          <w:rFonts w:eastAsia="Times New Roman" w:cs="DecoType Naskh" w:hint="cs"/>
          <w:color w:val="auto"/>
          <w:kern w:val="0"/>
          <w:szCs w:val="26"/>
          <w:u w:val="single"/>
          <w:rtl/>
          <w:lang w:bidi="ar-JO"/>
          <w14:ligatures w14:val="none"/>
        </w:rPr>
        <w:t>ما حدث</w:t>
      </w:r>
      <w:r w:rsidRPr="00C252DA">
        <w:rPr>
          <w:rFonts w:eastAsia="Times New Roman" w:cs="DecoType Naskh" w:hint="cs"/>
          <w:color w:val="auto"/>
          <w:kern w:val="0"/>
          <w:szCs w:val="26"/>
          <w:rtl/>
          <w:lang w:bidi="ar-JO"/>
          <w14:ligatures w14:val="none"/>
        </w:rPr>
        <w:t xml:space="preserve"> للسماء والأرض.  وطبعاً ما يتبع ذلك هو قصة السقوط، وقتل هابيل، وتطوّر الخطية </w:t>
      </w:r>
      <w:r w:rsidRPr="00C252DA">
        <w:rPr>
          <w:rFonts w:eastAsia="Times New Roman" w:cs="DecoType Naskh" w:hint="cs"/>
          <w:color w:val="auto"/>
          <w:kern w:val="0"/>
          <w:szCs w:val="26"/>
          <w:rtl/>
          <w:lang w:bidi="ar-JO"/>
          <w14:ligatures w14:val="none"/>
        </w:rPr>
        <w:lastRenderedPageBreak/>
        <w:t>مع الحضارة.  ولن تقدم القصة رواية خلق أخرى؛ وستُكمِل الرواية من نقطة ذروة الخليقة (التي تكرَّرت في تكوين 2) إلى فساد الخليقة بالخطية.  وهذا هو ما حدث لها.</w:t>
      </w:r>
      <w:r w:rsidRPr="00C252DA">
        <w:rPr>
          <w:rFonts w:eastAsia="Times New Roman" w:cs="DecoType Naskh"/>
          <w:color w:val="auto"/>
          <w:kern w:val="0"/>
          <w:sz w:val="30"/>
          <w:szCs w:val="28"/>
          <w:vertAlign w:val="superscript"/>
          <w:rtl/>
          <w:lang w:bidi="ar-JO"/>
          <w14:ligatures w14:val="none"/>
        </w:rPr>
        <w:footnoteReference w:customMarkFollows="1" w:id="7"/>
        <w:t>6</w:t>
      </w:r>
    </w:p>
    <w:p w14:paraId="20639610"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 xml:space="preserve">وهكذا تسبق كلمةُ </w:t>
      </w:r>
      <w:r w:rsidRPr="00C252DA">
        <w:rPr>
          <w:rFonts w:eastAsia="Times New Roman" w:cs="DecoType Naskh" w:hint="cs"/>
          <w:color w:val="auto"/>
          <w:kern w:val="0"/>
          <w:szCs w:val="26"/>
          <w:u w:val="single"/>
          <w:rtl/>
          <w:lang w:bidi="ar-JO"/>
          <w14:ligatures w14:val="none"/>
        </w:rPr>
        <w:t>توليدوت</w:t>
      </w:r>
      <w:r w:rsidRPr="00C252DA">
        <w:rPr>
          <w:rFonts w:eastAsia="Times New Roman" w:cs="DecoType Naskh" w:hint="cs"/>
          <w:color w:val="auto"/>
          <w:kern w:val="0"/>
          <w:szCs w:val="26"/>
          <w:rtl/>
          <w:lang w:bidi="ar-JO"/>
          <w14:ligatures w14:val="none"/>
        </w:rPr>
        <w:t xml:space="preserve"> قسماً جديداً وتشير إلى نقلة جديدة.  وليس صاحب المواليد </w:t>
      </w:r>
      <w:r w:rsidRPr="00C252DA">
        <w:rPr>
          <w:rFonts w:eastAsia="Times New Roman" w:cs="DecoType Naskh" w:hint="cs"/>
          <w:color w:val="auto"/>
          <w:kern w:val="0"/>
          <w:szCs w:val="26"/>
          <w:u w:val="single"/>
          <w:rtl/>
          <w:lang w:bidi="ar-JO"/>
          <w14:ligatures w14:val="none"/>
        </w:rPr>
        <w:t>توليدوت</w:t>
      </w:r>
      <w:r w:rsidRPr="00C252DA">
        <w:rPr>
          <w:rFonts w:eastAsia="Times New Roman" w:cs="DecoType Naskh" w:hint="cs"/>
          <w:color w:val="auto"/>
          <w:kern w:val="0"/>
          <w:szCs w:val="26"/>
          <w:rtl/>
          <w:lang w:bidi="ar-JO"/>
          <w14:ligatures w14:val="none"/>
        </w:rPr>
        <w:t xml:space="preserve"> بالضرورة الشخصية المركزية للرواية (مثل تارح في 11: 27) فإبراهيم هو الشخصية الأهم في هذا القسم.  والفكرة من كل </w:t>
      </w:r>
      <w:r w:rsidRPr="00C252DA">
        <w:rPr>
          <w:rFonts w:eastAsia="Times New Roman" w:cs="DecoType Naskh" w:hint="cs"/>
          <w:color w:val="auto"/>
          <w:kern w:val="0"/>
          <w:szCs w:val="26"/>
          <w:u w:val="single"/>
          <w:rtl/>
          <w:lang w:bidi="ar-JO"/>
          <w14:ligatures w14:val="none"/>
        </w:rPr>
        <w:t>توليدوت</w:t>
      </w:r>
      <w:r w:rsidRPr="00C252DA">
        <w:rPr>
          <w:rFonts w:eastAsia="Times New Roman" w:cs="DecoType Naskh" w:hint="cs"/>
          <w:color w:val="auto"/>
          <w:kern w:val="0"/>
          <w:szCs w:val="26"/>
          <w:rtl/>
          <w:lang w:bidi="ar-JO"/>
          <w14:ligatures w14:val="none"/>
        </w:rPr>
        <w:t xml:space="preserve"> هو القول: "هذا هو ما حدث لـ...." </w:t>
      </w:r>
    </w:p>
    <w:p w14:paraId="2780AC7F"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 xml:space="preserve">عندما ننظر للتوليدوت العديدة المذكورة، نلاحظ عملية تضييق:  نوح، سام، إلخ إلى إبراهيم إلى أن نصل إلى يعقوب ونسله.  من الواضح أن التركيز هو على النسل المختار الذي سينتهي في يسوع المسيح.  ومن حين إلى آخر تُذكر توليدوت شخصٍ معين خارج النسل المختار كمقابلةٍ مع النسل الوارث للموعد.  تُذكر هذه العائلات (أي إسماعيل وعيسو) بسبب ارتباطاتها التاريخية مع النسل المختار.  توضع توليدوت إسماعيل قبل توليدوت إسحق.  وكذلك ترد توليدوت عيسو (أبي الأدوميين الذي بعد فترةٍ صاروا أعداءً جداً لإسرائيل)  قبل توليدوت يعقوب.  يقدِّم الكاتب في هاتين الحالتين النسل الذي لن يحمل البركة الإبراهيمية وينقلها قبل إعطاء معالجة أوسع وأشمل للنسل المختار الذي يحمل البركة وينقلها. </w:t>
      </w:r>
    </w:p>
    <w:p w14:paraId="0E663EF5"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 xml:space="preserve">   </w:t>
      </w:r>
    </w:p>
    <w:p w14:paraId="038A0709"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توجد ملاحظة أخرى جديرة بالانتباه، ألا وهي التدهور الذي يحدث ضمن كل قسم يتضمن المواليد</w:t>
      </w:r>
      <w:r w:rsidRPr="00C252DA">
        <w:rPr>
          <w:rFonts w:eastAsia="Times New Roman" w:cs="DecoType Naskh" w:hint="cs"/>
          <w:color w:val="auto"/>
          <w:kern w:val="0"/>
          <w:szCs w:val="26"/>
          <w:rtl/>
          <w14:ligatures w14:val="none"/>
        </w:rPr>
        <w:t xml:space="preserve"> </w:t>
      </w:r>
      <w:r w:rsidRPr="00C252DA">
        <w:rPr>
          <w:rFonts w:eastAsia="Times New Roman" w:cs="DecoType Naskh" w:hint="cs"/>
          <w:color w:val="auto"/>
          <w:kern w:val="0"/>
          <w:szCs w:val="26"/>
          <w:rtl/>
          <w:lang w:bidi="ar-KW"/>
          <w14:ligatures w14:val="none"/>
        </w:rPr>
        <w:t>(</w:t>
      </w:r>
      <w:r w:rsidRPr="00C252DA">
        <w:rPr>
          <w:rFonts w:ascii="Charis SIL" w:eastAsia="Times New Roman" w:hAnsi="Charis SIL" w:cs="Charis SIL"/>
          <w:bCs/>
          <w:i/>
          <w:iCs/>
          <w:color w:val="auto"/>
          <w:kern w:val="0"/>
          <w:szCs w:val="26"/>
          <w:lang w:bidi="ar-JO"/>
          <w14:ligatures w14:val="none"/>
        </w:rPr>
        <w:t>ṯôlᵊḏôṯ</w:t>
      </w:r>
      <w:r w:rsidRPr="00C252DA">
        <w:rPr>
          <w:rFonts w:eastAsia="Times New Roman" w:cs="DecoType Naskh" w:hint="cs"/>
          <w:color w:val="auto"/>
          <w:kern w:val="0"/>
          <w:szCs w:val="26"/>
          <w:rtl/>
          <w:lang w:bidi="ar-JO"/>
          <w14:ligatures w14:val="none"/>
        </w:rPr>
        <w:t xml:space="preserve"> "</w:t>
      </w:r>
      <w:r w:rsidRPr="00C252DA">
        <w:rPr>
          <w:rFonts w:eastAsia="Times New Roman" w:cs="DecoType Naskh" w:hint="cs"/>
          <w:color w:val="auto"/>
          <w:kern w:val="0"/>
          <w:szCs w:val="26"/>
          <w:u w:val="single"/>
          <w:rtl/>
          <w:lang w:bidi="ar-JO"/>
          <w14:ligatures w14:val="none"/>
        </w:rPr>
        <w:t>توليدوت"</w:t>
      </w:r>
      <w:r w:rsidRPr="00C252DA">
        <w:rPr>
          <w:rFonts w:eastAsia="Times New Roman" w:cs="DecoType Naskh" w:hint="cs"/>
          <w:color w:val="auto"/>
          <w:kern w:val="0"/>
          <w:szCs w:val="26"/>
          <w:rtl/>
          <w:lang w:bidi="ar-JO"/>
          <w14:ligatures w14:val="none"/>
        </w:rPr>
        <w:t xml:space="preserve">).  إذ نجد بعد كل توليدوت تدهوراً.  فتوليدوت 2: 4 متعلق بسؤال "ماذا حدث للسماوات والأرض؟" والجواب هو أن الخطية دخلت الصورة مصحوبة بسقوط الإنسان والدينونة، ووقوع الأرض تحت لعنة.  ويستمر هذا النمط، حتى بعد تكوين 12: 1-2، مع توتر دائم بين فكرتي البركة واللعنة، حيث ترتبط البركة بشكل رئيسي بوعود الذرية والأرض.  ومن تكوين 12 فصاعداً، يوجد جهاد دائم للبلوغ إلى </w:t>
      </w:r>
      <w:r w:rsidRPr="00C252DA">
        <w:rPr>
          <w:rFonts w:eastAsia="Times New Roman" w:cs="DecoType Naskh" w:hint="cs"/>
          <w:color w:val="auto"/>
          <w:kern w:val="0"/>
          <w:szCs w:val="26"/>
          <w:u w:val="single"/>
          <w:rtl/>
          <w:lang w:bidi="ar-JO"/>
          <w14:ligatures w14:val="none"/>
        </w:rPr>
        <w:t>مكان</w:t>
      </w:r>
      <w:r w:rsidRPr="00C252DA">
        <w:rPr>
          <w:rFonts w:eastAsia="Times New Roman" w:cs="DecoType Naskh" w:hint="cs"/>
          <w:color w:val="auto"/>
          <w:kern w:val="0"/>
          <w:szCs w:val="26"/>
          <w:rtl/>
          <w:lang w:bidi="ar-JO"/>
          <w14:ligatures w14:val="none"/>
        </w:rPr>
        <w:t xml:space="preserve"> </w:t>
      </w:r>
      <w:r w:rsidRPr="00C252DA">
        <w:rPr>
          <w:rFonts w:eastAsia="Times New Roman" w:cs="DecoType Naskh" w:hint="cs"/>
          <w:color w:val="auto"/>
          <w:kern w:val="0"/>
          <w:szCs w:val="26"/>
          <w:u w:val="single"/>
          <w:rtl/>
          <w:lang w:bidi="ar-JO"/>
          <w14:ligatures w14:val="none"/>
        </w:rPr>
        <w:t>بركة الراحة</w:t>
      </w:r>
      <w:r w:rsidRPr="00C252DA">
        <w:rPr>
          <w:rFonts w:eastAsia="Times New Roman" w:cs="DecoType Naskh" w:hint="cs"/>
          <w:color w:val="auto"/>
          <w:kern w:val="0"/>
          <w:szCs w:val="26"/>
          <w:rtl/>
          <w:lang w:bidi="ar-JO"/>
          <w14:ligatures w14:val="none"/>
        </w:rPr>
        <w:t xml:space="preserve">، لكن التدهور يرافق كل رواية تالية، فالآباء التالون لا يرتفعون إلى مستوى الآباء الأولين.  وما يدهشنا هو الحالة غير المتوقعة للعائلة المختارة في نهاية سفر التكوين! فنحن نجد العائلة في مصر، لا في أرض البركة.  يعبّر كدنر عن مصيبتها على النحو التالي:  "لقد سافر الإنسان من جنة عدن إلى </w:t>
      </w:r>
      <w:r w:rsidRPr="00C252DA">
        <w:rPr>
          <w:rFonts w:eastAsia="Times New Roman" w:cs="DecoType Naskh" w:hint="cs"/>
          <w:color w:val="auto"/>
          <w:kern w:val="0"/>
          <w:szCs w:val="26"/>
          <w:u w:val="single"/>
          <w:rtl/>
          <w:lang w:bidi="ar-JO"/>
          <w14:ligatures w14:val="none"/>
        </w:rPr>
        <w:t>تابوت</w:t>
      </w:r>
      <w:r w:rsidRPr="00C252DA">
        <w:rPr>
          <w:rFonts w:eastAsia="Times New Roman" w:cs="DecoType Naskh" w:hint="cs"/>
          <w:color w:val="auto"/>
          <w:kern w:val="0"/>
          <w:szCs w:val="26"/>
          <w:rtl/>
          <w:lang w:bidi="ar-JO"/>
          <w14:ligatures w14:val="none"/>
        </w:rPr>
        <w:t>، وسافرت العائلة المختارة بعيداً عن كنعان إلى مصر.."</w:t>
      </w:r>
      <w:r w:rsidRPr="00C252DA">
        <w:rPr>
          <w:rFonts w:eastAsia="Times New Roman" w:cs="DecoType Naskh"/>
          <w:color w:val="auto"/>
          <w:kern w:val="0"/>
          <w:sz w:val="28"/>
          <w:szCs w:val="28"/>
          <w:vertAlign w:val="superscript"/>
          <w:rtl/>
          <w:lang w:bidi="ar-JO"/>
          <w14:ligatures w14:val="none"/>
        </w:rPr>
        <w:footnoteReference w:customMarkFollows="1" w:id="8"/>
        <w:t>7</w:t>
      </w:r>
      <w:r w:rsidRPr="00C252DA">
        <w:rPr>
          <w:rFonts w:eastAsia="Times New Roman" w:cs="DecoType Naskh" w:hint="cs"/>
          <w:color w:val="auto"/>
          <w:kern w:val="0"/>
          <w:szCs w:val="26"/>
          <w:rtl/>
          <w:lang w:bidi="ar-JO"/>
          <w14:ligatures w14:val="none"/>
        </w:rPr>
        <w:t xml:space="preserve"> بدأ الله برنامجه بإبراهيم.  وفي نهاية المطاف نما إيمان إبراهيم وبرهن نفسه، لكن مع انقضاء كل جيل من الآباء، كان هنالك انحدار أو انحطاط في علاقتهم الإيمانية بيهوه.  وينتهي سفر التكوين بملاحظة حزينة لوجود يعقوب في كفنه في مصر، بعيداً عن أرض الموعد والبركة.  وفي ختام سفر التكوين نجد النسل، لكننا لا نجد الأرض.</w:t>
      </w:r>
    </w:p>
    <w:p w14:paraId="6AB17E8D"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650D24C" w14:textId="77777777" w:rsidR="00C252DA" w:rsidRPr="00C252DA" w:rsidRDefault="00C252DA" w:rsidP="002D6C54">
      <w:pPr>
        <w:bidi/>
        <w:spacing w:after="0" w:line="240" w:lineRule="auto"/>
        <w:rPr>
          <w:rFonts w:eastAsia="Times New Roman" w:cs="DecoType Naskh"/>
          <w:color w:val="auto"/>
          <w:kern w:val="0"/>
          <w:szCs w:val="18"/>
          <w:rtl/>
          <w14:ligatures w14:val="none"/>
        </w:rPr>
      </w:pPr>
    </w:p>
    <w:p w14:paraId="55A076BD" w14:textId="77777777" w:rsidR="00C252DA" w:rsidRPr="00C252DA" w:rsidRDefault="00C252DA" w:rsidP="002D6C54">
      <w:pPr>
        <w:bidi/>
        <w:spacing w:after="0" w:line="240" w:lineRule="auto"/>
        <w:jc w:val="center"/>
        <w:rPr>
          <w:rFonts w:eastAsia="Times New Roman" w:cs="Traditional Arabic Backslanted"/>
          <w:bCs/>
          <w:color w:val="auto"/>
          <w:kern w:val="0"/>
          <w:szCs w:val="28"/>
          <w:u w:val="single"/>
          <w:rtl/>
          <w:lang w:bidi="ar-JO"/>
          <w14:ligatures w14:val="none"/>
        </w:rPr>
      </w:pPr>
      <w:r w:rsidRPr="00C252DA">
        <w:rPr>
          <w:rFonts w:eastAsia="Times New Roman" w:cs="Traditional Arabic Backslanted" w:hint="cs"/>
          <w:bCs/>
          <w:color w:val="auto"/>
          <w:kern w:val="0"/>
          <w:szCs w:val="28"/>
          <w:rtl/>
          <w:lang w:bidi="ar-JO"/>
          <w14:ligatures w14:val="none"/>
        </w:rPr>
        <w:t xml:space="preserve">تعتمد البنية على إشارات إلى المواليد </w:t>
      </w:r>
      <w:r w:rsidRPr="00C252DA">
        <w:rPr>
          <w:rFonts w:ascii="Charis SIL" w:eastAsia="Times New Roman" w:hAnsi="Charis SIL" w:cs="Charis SIL"/>
          <w:bCs/>
          <w:i/>
          <w:iCs/>
          <w:color w:val="auto"/>
          <w:kern w:val="0"/>
          <w:szCs w:val="28"/>
          <w:lang w:bidi="ar-JO"/>
          <w14:ligatures w14:val="none"/>
        </w:rPr>
        <w:t>ṯôlᵊḏôṯ</w:t>
      </w:r>
      <w:r w:rsidRPr="00C252DA">
        <w:rPr>
          <w:rFonts w:eastAsia="Times New Roman" w:cs="Traditional Arabic Backslanted" w:hint="cs"/>
          <w:bCs/>
          <w:color w:val="auto"/>
          <w:kern w:val="0"/>
          <w:szCs w:val="28"/>
          <w:rtl/>
          <w:lang w:bidi="ar-JO"/>
          <w14:ligatures w14:val="none"/>
        </w:rPr>
        <w:t xml:space="preserve"> (</w:t>
      </w:r>
      <w:r w:rsidRPr="00C252DA">
        <w:rPr>
          <w:rFonts w:eastAsia="Times New Roman" w:cs="Traditional Arabic Backslanted" w:hint="cs"/>
          <w:bCs/>
          <w:color w:val="auto"/>
          <w:kern w:val="0"/>
          <w:szCs w:val="28"/>
          <w:u w:val="single"/>
          <w:rtl/>
          <w:lang w:bidi="ar-JO"/>
          <w14:ligatures w14:val="none"/>
        </w:rPr>
        <w:t>توليدوت)</w:t>
      </w:r>
    </w:p>
    <w:p w14:paraId="07F8154B" w14:textId="77777777" w:rsidR="00C252DA" w:rsidRPr="00C252DA" w:rsidRDefault="00C252DA" w:rsidP="002D6C54">
      <w:pPr>
        <w:bidi/>
        <w:spacing w:after="0" w:line="240" w:lineRule="auto"/>
        <w:jc w:val="center"/>
        <w:rPr>
          <w:rFonts w:eastAsia="Times New Roman" w:cs="Traditional Arabic Backslanted"/>
          <w:bCs/>
          <w:color w:val="auto"/>
          <w:kern w:val="0"/>
          <w:szCs w:val="28"/>
          <w:u w:val="single"/>
          <w:rtl/>
          <w:lang w:bidi="ar-JO"/>
          <w14:ligatures w14:val="none"/>
        </w:rPr>
      </w:pPr>
    </w:p>
    <w:p w14:paraId="53558F8C"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2160"/>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1.</w:t>
      </w:r>
      <w:r w:rsidRPr="00C252DA">
        <w:rPr>
          <w:rFonts w:eastAsia="Times New Roman" w:cs="DecoType Naskh" w:hint="cs"/>
          <w:color w:val="auto"/>
          <w:kern w:val="0"/>
          <w:szCs w:val="26"/>
          <w:rtl/>
          <w:lang w:bidi="ar-JO"/>
          <w14:ligatures w14:val="none"/>
        </w:rPr>
        <w:tab/>
        <w:t>(الخلق)</w:t>
      </w:r>
      <w:r w:rsidRPr="00C252DA">
        <w:rPr>
          <w:rFonts w:eastAsia="Times New Roman" w:cs="DecoType Naskh" w:hint="cs"/>
          <w:color w:val="auto"/>
          <w:kern w:val="0"/>
          <w:szCs w:val="26"/>
          <w:rtl/>
          <w:lang w:bidi="ar-JO"/>
          <w14:ligatures w14:val="none"/>
        </w:rPr>
        <w:tab/>
      </w:r>
      <w:r w:rsidRPr="00C252DA">
        <w:rPr>
          <w:rFonts w:eastAsia="Times New Roman" w:cs="DecoType Naskh" w:hint="cs"/>
          <w:color w:val="auto"/>
          <w:kern w:val="0"/>
          <w:szCs w:val="26"/>
          <w:rtl/>
          <w:lang w:bidi="ar-JO"/>
          <w14:ligatures w14:val="none"/>
        </w:rPr>
        <w:tab/>
      </w:r>
      <w:r w:rsidRPr="00C252DA">
        <w:rPr>
          <w:rFonts w:eastAsia="Times New Roman" w:cs="DecoType Naskh" w:hint="cs"/>
          <w:color w:val="auto"/>
          <w:kern w:val="0"/>
          <w:szCs w:val="26"/>
          <w:rtl/>
          <w:lang w:bidi="ar-JO"/>
          <w14:ligatures w14:val="none"/>
        </w:rPr>
        <w:tab/>
      </w:r>
      <w:r w:rsidRPr="00C252DA">
        <w:rPr>
          <w:rFonts w:eastAsia="Times New Roman" w:cs="DecoType Naskh" w:hint="cs"/>
          <w:color w:val="auto"/>
          <w:kern w:val="0"/>
          <w:szCs w:val="26"/>
          <w:rtl/>
          <w:lang w:bidi="ar-JO"/>
          <w14:ligatures w14:val="none"/>
        </w:rPr>
        <w:tab/>
      </w:r>
      <w:r w:rsidRPr="00C252DA">
        <w:rPr>
          <w:rFonts w:eastAsia="Times New Roman" w:cs="DecoType Naskh" w:hint="cs"/>
          <w:color w:val="auto"/>
          <w:kern w:val="0"/>
          <w:szCs w:val="26"/>
          <w:rtl/>
          <w14:ligatures w14:val="none"/>
        </w:rPr>
        <w:tab/>
      </w:r>
      <w:r w:rsidRPr="00C252DA">
        <w:rPr>
          <w:rFonts w:eastAsia="Times New Roman" w:cs="DecoType Naskh" w:hint="cs"/>
          <w:color w:val="auto"/>
          <w:kern w:val="0"/>
          <w:szCs w:val="26"/>
          <w:rtl/>
          <w:lang w:bidi="ar-JO"/>
          <w14:ligatures w14:val="none"/>
        </w:rPr>
        <w:t>1: 1-2: 3</w:t>
      </w:r>
    </w:p>
    <w:p w14:paraId="1470DBA2"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2160"/>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2.</w:t>
      </w:r>
      <w:r w:rsidRPr="00C252DA">
        <w:rPr>
          <w:rFonts w:eastAsia="Times New Roman" w:cs="DecoType Naskh" w:hint="cs"/>
          <w:color w:val="auto"/>
          <w:kern w:val="0"/>
          <w:szCs w:val="26"/>
          <w:rtl/>
          <w:lang w:bidi="ar-JO"/>
          <w14:ligatures w14:val="none"/>
        </w:rPr>
        <w:tab/>
      </w:r>
      <w:r w:rsidRPr="00C252DA">
        <w:rPr>
          <w:rFonts w:ascii="Charis SIL" w:eastAsia="Times New Roman" w:hAnsi="Charis SIL" w:cs="Charis SIL"/>
          <w:bCs/>
          <w:i/>
          <w:iCs/>
          <w:color w:val="auto"/>
          <w:kern w:val="0"/>
          <w:szCs w:val="26"/>
          <w:lang w:bidi="ar-JO"/>
          <w14:ligatures w14:val="none"/>
        </w:rPr>
        <w:t>ṯôlᵊḏôṯ</w:t>
      </w:r>
      <w:r w:rsidRPr="00C252DA">
        <w:rPr>
          <w:rFonts w:eastAsia="Times New Roman" w:cs="DecoType Naskh" w:hint="cs"/>
          <w:color w:val="auto"/>
          <w:kern w:val="0"/>
          <w:szCs w:val="26"/>
          <w:rtl/>
          <w:lang w:bidi="ar-JO"/>
          <w14:ligatures w14:val="none"/>
        </w:rPr>
        <w:t xml:space="preserve"> </w:t>
      </w:r>
      <w:r w:rsidRPr="00C252DA">
        <w:rPr>
          <w:rFonts w:eastAsia="Times New Roman" w:cs="DecoType Naskh" w:hint="cs"/>
          <w:color w:val="auto"/>
          <w:kern w:val="0"/>
          <w:szCs w:val="26"/>
          <w:u w:val="single"/>
          <w:rtl/>
          <w:lang w:bidi="ar-JO"/>
          <w14:ligatures w14:val="none"/>
        </w:rPr>
        <w:t>توليدوت</w:t>
      </w:r>
      <w:r w:rsidRPr="00C252DA">
        <w:rPr>
          <w:rFonts w:eastAsia="Times New Roman" w:cs="DecoType Naskh" w:hint="cs"/>
          <w:color w:val="auto"/>
          <w:kern w:val="0"/>
          <w:szCs w:val="26"/>
          <w:rtl/>
          <w:lang w:bidi="ar-JO"/>
          <w14:ligatures w14:val="none"/>
        </w:rPr>
        <w:t xml:space="preserve"> السماوات والأرض</w:t>
      </w:r>
      <w:r w:rsidRPr="00C252DA">
        <w:rPr>
          <w:rFonts w:eastAsia="Times New Roman" w:cs="DecoType Naskh" w:hint="cs"/>
          <w:color w:val="auto"/>
          <w:kern w:val="0"/>
          <w:szCs w:val="26"/>
          <w:rtl/>
          <w:lang w:bidi="ar-JO"/>
          <w14:ligatures w14:val="none"/>
        </w:rPr>
        <w:tab/>
        <w:t>2: 4-4: 26</w:t>
      </w:r>
    </w:p>
    <w:p w14:paraId="48A68D4C"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2160"/>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3.</w:t>
      </w:r>
      <w:r w:rsidRPr="00C252DA">
        <w:rPr>
          <w:rFonts w:eastAsia="Times New Roman" w:cs="DecoType Naskh" w:hint="cs"/>
          <w:color w:val="auto"/>
          <w:kern w:val="0"/>
          <w:szCs w:val="26"/>
          <w:rtl/>
          <w:lang w:bidi="ar-JO"/>
          <w14:ligatures w14:val="none"/>
        </w:rPr>
        <w:tab/>
      </w:r>
      <w:r w:rsidRPr="00C252DA">
        <w:rPr>
          <w:rFonts w:ascii="Charis SIL" w:eastAsia="Times New Roman" w:hAnsi="Charis SIL" w:cs="Charis SIL"/>
          <w:bCs/>
          <w:i/>
          <w:iCs/>
          <w:color w:val="auto"/>
          <w:kern w:val="0"/>
          <w:szCs w:val="26"/>
          <w:lang w:bidi="ar-JO"/>
          <w14:ligatures w14:val="none"/>
        </w:rPr>
        <w:t>ṯôlᵊḏôṯ</w:t>
      </w:r>
      <w:r w:rsidRPr="00C252DA">
        <w:rPr>
          <w:rFonts w:eastAsia="Times New Roman" w:cs="DecoType Naskh" w:hint="cs"/>
          <w:color w:val="auto"/>
          <w:kern w:val="0"/>
          <w:szCs w:val="26"/>
          <w:rtl/>
          <w14:ligatures w14:val="none"/>
        </w:rPr>
        <w:t xml:space="preserve"> </w:t>
      </w:r>
      <w:r w:rsidRPr="00C252DA">
        <w:rPr>
          <w:rFonts w:eastAsia="Times New Roman" w:cs="DecoType Naskh" w:hint="cs"/>
          <w:color w:val="auto"/>
          <w:kern w:val="0"/>
          <w:szCs w:val="26"/>
          <w:rtl/>
          <w:lang w:bidi="ar-JO"/>
          <w14:ligatures w14:val="none"/>
        </w:rPr>
        <w:t>توليدوت آدم</w:t>
      </w:r>
      <w:r w:rsidRPr="00C252DA">
        <w:rPr>
          <w:rFonts w:eastAsia="Times New Roman" w:cs="DecoType Naskh" w:hint="cs"/>
          <w:color w:val="auto"/>
          <w:kern w:val="0"/>
          <w:szCs w:val="26"/>
          <w:rtl/>
          <w:lang w:bidi="ar-JO"/>
          <w14:ligatures w14:val="none"/>
        </w:rPr>
        <w:tab/>
      </w:r>
      <w:r w:rsidRPr="00C252DA">
        <w:rPr>
          <w:rFonts w:eastAsia="Times New Roman" w:cs="DecoType Naskh" w:hint="cs"/>
          <w:color w:val="auto"/>
          <w:kern w:val="0"/>
          <w:szCs w:val="26"/>
          <w:rtl/>
          <w:lang w:bidi="ar-JO"/>
          <w14:ligatures w14:val="none"/>
        </w:rPr>
        <w:tab/>
      </w:r>
      <w:r w:rsidRPr="00C252DA">
        <w:rPr>
          <w:rFonts w:eastAsia="Times New Roman" w:cs="DecoType Naskh" w:hint="cs"/>
          <w:color w:val="auto"/>
          <w:kern w:val="0"/>
          <w:szCs w:val="26"/>
          <w:rtl/>
          <w14:ligatures w14:val="none"/>
        </w:rPr>
        <w:tab/>
      </w:r>
      <w:r w:rsidRPr="00C252DA">
        <w:rPr>
          <w:rFonts w:eastAsia="Times New Roman" w:cs="DecoType Naskh" w:hint="cs"/>
          <w:color w:val="auto"/>
          <w:kern w:val="0"/>
          <w:szCs w:val="26"/>
          <w:rtl/>
          <w:lang w:bidi="ar-JO"/>
          <w14:ligatures w14:val="none"/>
        </w:rPr>
        <w:t>5: 1-6: 8</w:t>
      </w:r>
    </w:p>
    <w:p w14:paraId="38878655"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2160"/>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4.</w:t>
      </w:r>
      <w:r w:rsidRPr="00C252DA">
        <w:rPr>
          <w:rFonts w:eastAsia="Times New Roman" w:cs="DecoType Naskh" w:hint="cs"/>
          <w:color w:val="auto"/>
          <w:kern w:val="0"/>
          <w:szCs w:val="26"/>
          <w:rtl/>
          <w14:ligatures w14:val="none"/>
        </w:rPr>
        <w:tab/>
      </w:r>
      <w:r w:rsidRPr="00C252DA">
        <w:rPr>
          <w:rFonts w:ascii="Charis SIL" w:eastAsia="Times New Roman" w:hAnsi="Charis SIL" w:cs="Charis SIL"/>
          <w:bCs/>
          <w:i/>
          <w:iCs/>
          <w:color w:val="auto"/>
          <w:kern w:val="0"/>
          <w:szCs w:val="26"/>
          <w:lang w:bidi="ar-JO"/>
          <w14:ligatures w14:val="none"/>
        </w:rPr>
        <w:t>ṯôlᵊḏôṯ</w:t>
      </w:r>
      <w:r w:rsidRPr="00C252DA">
        <w:rPr>
          <w:rFonts w:eastAsia="Times New Roman" w:cs="DecoType Naskh" w:hint="cs"/>
          <w:color w:val="auto"/>
          <w:kern w:val="0"/>
          <w:szCs w:val="26"/>
          <w:rtl/>
          <w:lang w:bidi="ar-JO"/>
          <w14:ligatures w14:val="none"/>
        </w:rPr>
        <w:t xml:space="preserve"> توليدوت نوح</w:t>
      </w:r>
      <w:r w:rsidRPr="00C252DA">
        <w:rPr>
          <w:rFonts w:eastAsia="Times New Roman" w:cs="DecoType Naskh" w:hint="cs"/>
          <w:color w:val="auto"/>
          <w:kern w:val="0"/>
          <w:szCs w:val="26"/>
          <w:rtl/>
          <w:lang w:bidi="ar-JO"/>
          <w14:ligatures w14:val="none"/>
        </w:rPr>
        <w:tab/>
      </w:r>
      <w:r w:rsidRPr="00C252DA">
        <w:rPr>
          <w:rFonts w:eastAsia="Times New Roman" w:cs="DecoType Naskh" w:hint="cs"/>
          <w:color w:val="auto"/>
          <w:kern w:val="0"/>
          <w:szCs w:val="26"/>
          <w:rtl/>
          <w:lang w:bidi="ar-JO"/>
          <w14:ligatures w14:val="none"/>
        </w:rPr>
        <w:tab/>
      </w:r>
      <w:r w:rsidRPr="00C252DA">
        <w:rPr>
          <w:rFonts w:eastAsia="Times New Roman" w:cs="DecoType Naskh" w:hint="cs"/>
          <w:color w:val="auto"/>
          <w:kern w:val="0"/>
          <w:szCs w:val="26"/>
          <w:rtl/>
          <w14:ligatures w14:val="none"/>
        </w:rPr>
        <w:tab/>
      </w:r>
      <w:r w:rsidRPr="00C252DA">
        <w:rPr>
          <w:rFonts w:eastAsia="Times New Roman" w:cs="DecoType Naskh" w:hint="cs"/>
          <w:color w:val="auto"/>
          <w:kern w:val="0"/>
          <w:szCs w:val="26"/>
          <w:rtl/>
          <w:lang w:bidi="ar-JO"/>
          <w14:ligatures w14:val="none"/>
        </w:rPr>
        <w:t>6: 9-9: 29</w:t>
      </w:r>
    </w:p>
    <w:p w14:paraId="42395008"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2160"/>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5.</w:t>
      </w:r>
      <w:r w:rsidRPr="00C252DA">
        <w:rPr>
          <w:rFonts w:eastAsia="Times New Roman" w:cs="DecoType Naskh" w:hint="cs"/>
          <w:color w:val="auto"/>
          <w:kern w:val="0"/>
          <w:szCs w:val="26"/>
          <w:rtl/>
          <w14:ligatures w14:val="none"/>
        </w:rPr>
        <w:tab/>
      </w:r>
      <w:r w:rsidRPr="00C252DA">
        <w:rPr>
          <w:rFonts w:ascii="Charis SIL" w:eastAsia="Times New Roman" w:hAnsi="Charis SIL" w:cs="Charis SIL"/>
          <w:bCs/>
          <w:i/>
          <w:iCs/>
          <w:color w:val="auto"/>
          <w:kern w:val="0"/>
          <w:szCs w:val="26"/>
          <w:lang w:bidi="ar-JO"/>
          <w14:ligatures w14:val="none"/>
        </w:rPr>
        <w:t>ṯôlᵊḏôṯ</w:t>
      </w:r>
      <w:r w:rsidRPr="00C252DA">
        <w:rPr>
          <w:rFonts w:eastAsia="Times New Roman" w:cs="DecoType Naskh" w:hint="cs"/>
          <w:color w:val="auto"/>
          <w:kern w:val="0"/>
          <w:szCs w:val="26"/>
          <w:rtl/>
          <w:lang w:bidi="ar-JO"/>
          <w14:ligatures w14:val="none"/>
        </w:rPr>
        <w:t xml:space="preserve"> توليدوت سام وحام ويافث</w:t>
      </w:r>
      <w:r w:rsidRPr="00C252DA">
        <w:rPr>
          <w:rFonts w:eastAsia="Times New Roman" w:cs="DecoType Naskh" w:hint="cs"/>
          <w:color w:val="auto"/>
          <w:kern w:val="0"/>
          <w:szCs w:val="26"/>
          <w:rtl/>
          <w:lang w:bidi="ar-JO"/>
          <w14:ligatures w14:val="none"/>
        </w:rPr>
        <w:tab/>
      </w:r>
      <w:r w:rsidRPr="00C252DA">
        <w:rPr>
          <w:rFonts w:eastAsia="Times New Roman" w:cs="DecoType Naskh" w:hint="cs"/>
          <w:color w:val="auto"/>
          <w:kern w:val="0"/>
          <w:szCs w:val="26"/>
          <w:rtl/>
          <w:lang w:bidi="ar-JO"/>
          <w14:ligatures w14:val="none"/>
        </w:rPr>
        <w:tab/>
        <w:t>10: 1-11: 9</w:t>
      </w:r>
    </w:p>
    <w:p w14:paraId="2BC024FD"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2160"/>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6.</w:t>
      </w:r>
      <w:r w:rsidRPr="00C252DA">
        <w:rPr>
          <w:rFonts w:eastAsia="Times New Roman" w:cs="DecoType Naskh" w:hint="cs"/>
          <w:color w:val="auto"/>
          <w:kern w:val="0"/>
          <w:szCs w:val="26"/>
          <w:rtl/>
          <w14:ligatures w14:val="none"/>
        </w:rPr>
        <w:tab/>
      </w:r>
      <w:r w:rsidRPr="00C252DA">
        <w:rPr>
          <w:rFonts w:ascii="Charis SIL" w:eastAsia="Times New Roman" w:hAnsi="Charis SIL" w:cs="Charis SIL"/>
          <w:bCs/>
          <w:i/>
          <w:iCs/>
          <w:color w:val="auto"/>
          <w:kern w:val="0"/>
          <w:szCs w:val="26"/>
          <w:lang w:bidi="ar-JO"/>
          <w14:ligatures w14:val="none"/>
        </w:rPr>
        <w:t>ṯôlᵊḏôṯ</w:t>
      </w:r>
      <w:r w:rsidRPr="00C252DA">
        <w:rPr>
          <w:rFonts w:eastAsia="Times New Roman" w:cs="DecoType Naskh" w:hint="cs"/>
          <w:color w:val="auto"/>
          <w:kern w:val="0"/>
          <w:szCs w:val="26"/>
          <w:rtl/>
          <w:lang w:bidi="ar-JO"/>
          <w14:ligatures w14:val="none"/>
        </w:rPr>
        <w:t xml:space="preserve"> توليدوت سام</w:t>
      </w:r>
      <w:r w:rsidRPr="00C252DA">
        <w:rPr>
          <w:rFonts w:eastAsia="Times New Roman" w:cs="DecoType Naskh" w:hint="cs"/>
          <w:color w:val="auto"/>
          <w:kern w:val="0"/>
          <w:szCs w:val="26"/>
          <w:rtl/>
          <w:lang w:bidi="ar-JO"/>
          <w14:ligatures w14:val="none"/>
        </w:rPr>
        <w:tab/>
      </w:r>
      <w:r w:rsidRPr="00C252DA">
        <w:rPr>
          <w:rFonts w:eastAsia="Times New Roman" w:cs="DecoType Naskh" w:hint="cs"/>
          <w:color w:val="auto"/>
          <w:kern w:val="0"/>
          <w:szCs w:val="26"/>
          <w:rtl/>
          <w:lang w:bidi="ar-JO"/>
          <w14:ligatures w14:val="none"/>
        </w:rPr>
        <w:tab/>
      </w:r>
      <w:r w:rsidRPr="00C252DA">
        <w:rPr>
          <w:rFonts w:eastAsia="Times New Roman" w:cs="DecoType Naskh" w:hint="cs"/>
          <w:color w:val="auto"/>
          <w:kern w:val="0"/>
          <w:szCs w:val="26"/>
          <w:rtl/>
          <w14:ligatures w14:val="none"/>
        </w:rPr>
        <w:tab/>
      </w:r>
      <w:r w:rsidRPr="00C252DA">
        <w:rPr>
          <w:rFonts w:eastAsia="Times New Roman" w:cs="DecoType Naskh" w:hint="cs"/>
          <w:color w:val="auto"/>
          <w:kern w:val="0"/>
          <w:szCs w:val="26"/>
          <w:rtl/>
          <w:lang w:bidi="ar-JO"/>
          <w14:ligatures w14:val="none"/>
        </w:rPr>
        <w:t>11: 10-26</w:t>
      </w:r>
    </w:p>
    <w:p w14:paraId="0557CED6"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2160"/>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7.</w:t>
      </w:r>
      <w:r w:rsidRPr="00C252DA">
        <w:rPr>
          <w:rFonts w:eastAsia="Times New Roman" w:cs="DecoType Naskh" w:hint="cs"/>
          <w:color w:val="auto"/>
          <w:kern w:val="0"/>
          <w:szCs w:val="26"/>
          <w:rtl/>
          <w14:ligatures w14:val="none"/>
        </w:rPr>
        <w:tab/>
      </w:r>
      <w:r w:rsidRPr="00C252DA">
        <w:rPr>
          <w:rFonts w:ascii="Charis SIL" w:eastAsia="Times New Roman" w:hAnsi="Charis SIL" w:cs="Charis SIL"/>
          <w:bCs/>
          <w:i/>
          <w:iCs/>
          <w:color w:val="auto"/>
          <w:kern w:val="0"/>
          <w:szCs w:val="26"/>
          <w:lang w:bidi="ar-JO"/>
          <w14:ligatures w14:val="none"/>
        </w:rPr>
        <w:t>ṯôlᵊḏôṯ</w:t>
      </w:r>
      <w:r w:rsidRPr="00C252DA">
        <w:rPr>
          <w:rFonts w:eastAsia="Times New Roman" w:cs="DecoType Naskh" w:hint="cs"/>
          <w:color w:val="auto"/>
          <w:kern w:val="0"/>
          <w:szCs w:val="26"/>
          <w:rtl/>
          <w:lang w:bidi="ar-JO"/>
          <w14:ligatures w14:val="none"/>
        </w:rPr>
        <w:t xml:space="preserve"> توليدوت تارح</w:t>
      </w:r>
      <w:r w:rsidRPr="00C252DA">
        <w:rPr>
          <w:rFonts w:eastAsia="Times New Roman" w:cs="DecoType Naskh" w:hint="cs"/>
          <w:color w:val="auto"/>
          <w:kern w:val="0"/>
          <w:szCs w:val="26"/>
          <w:rtl/>
          <w:lang w:bidi="ar-JO"/>
          <w14:ligatures w14:val="none"/>
        </w:rPr>
        <w:tab/>
      </w:r>
      <w:r w:rsidRPr="00C252DA">
        <w:rPr>
          <w:rFonts w:eastAsia="Times New Roman" w:cs="DecoType Naskh" w:hint="cs"/>
          <w:color w:val="auto"/>
          <w:kern w:val="0"/>
          <w:szCs w:val="26"/>
          <w:rtl/>
          <w14:ligatures w14:val="none"/>
        </w:rPr>
        <w:tab/>
      </w:r>
      <w:r w:rsidRPr="00C252DA">
        <w:rPr>
          <w:rFonts w:eastAsia="Times New Roman" w:cs="DecoType Naskh" w:hint="cs"/>
          <w:color w:val="auto"/>
          <w:kern w:val="0"/>
          <w:szCs w:val="26"/>
          <w:rtl/>
          <w:lang w:bidi="ar-JO"/>
          <w14:ligatures w14:val="none"/>
        </w:rPr>
        <w:tab/>
        <w:t xml:space="preserve">11: 27-25: 11 </w:t>
      </w:r>
      <w:r w:rsidRPr="00C252DA">
        <w:rPr>
          <w:rFonts w:eastAsia="Times New Roman" w:cs="DecoType Naskh" w:hint="cs"/>
          <w:color w:val="auto"/>
          <w:kern w:val="0"/>
          <w:szCs w:val="26"/>
          <w:rtl/>
          <w:lang w:bidi="ar-JO"/>
          <w14:ligatures w14:val="none"/>
        </w:rPr>
        <w:tab/>
      </w:r>
    </w:p>
    <w:p w14:paraId="14A6A1D1"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2160"/>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8.</w:t>
      </w:r>
      <w:r w:rsidRPr="00C252DA">
        <w:rPr>
          <w:rFonts w:eastAsia="Times New Roman" w:cs="DecoType Naskh" w:hint="cs"/>
          <w:color w:val="auto"/>
          <w:kern w:val="0"/>
          <w:szCs w:val="26"/>
          <w:rtl/>
          <w14:ligatures w14:val="none"/>
        </w:rPr>
        <w:tab/>
      </w:r>
      <w:r w:rsidRPr="00C252DA">
        <w:rPr>
          <w:rFonts w:ascii="Charis SIL" w:eastAsia="Times New Roman" w:hAnsi="Charis SIL" w:cs="Charis SIL"/>
          <w:bCs/>
          <w:i/>
          <w:iCs/>
          <w:color w:val="auto"/>
          <w:kern w:val="0"/>
          <w:szCs w:val="26"/>
          <w:lang w:bidi="ar-JO"/>
          <w14:ligatures w14:val="none"/>
        </w:rPr>
        <w:t>ṯôlᵊḏôṯ</w:t>
      </w:r>
      <w:r w:rsidRPr="00C252DA">
        <w:rPr>
          <w:rFonts w:eastAsia="Times New Roman" w:cs="DecoType Naskh" w:hint="cs"/>
          <w:color w:val="auto"/>
          <w:kern w:val="0"/>
          <w:szCs w:val="26"/>
          <w:rtl/>
          <w:lang w:bidi="ar-JO"/>
          <w14:ligatures w14:val="none"/>
        </w:rPr>
        <w:t xml:space="preserve"> توليدوت إسماعيل </w:t>
      </w:r>
      <w:r w:rsidRPr="00C252DA">
        <w:rPr>
          <w:rFonts w:eastAsia="Times New Roman" w:cs="DecoType Naskh" w:hint="cs"/>
          <w:color w:val="auto"/>
          <w:kern w:val="0"/>
          <w:szCs w:val="26"/>
          <w:rtl/>
          <w:lang w:bidi="ar-JO"/>
          <w14:ligatures w14:val="none"/>
        </w:rPr>
        <w:tab/>
      </w:r>
      <w:r w:rsidRPr="00C252DA">
        <w:rPr>
          <w:rFonts w:eastAsia="Times New Roman" w:cs="DecoType Naskh" w:hint="cs"/>
          <w:color w:val="auto"/>
          <w:kern w:val="0"/>
          <w:szCs w:val="26"/>
          <w:rtl/>
          <w:lang w:bidi="ar-JO"/>
          <w14:ligatures w14:val="none"/>
        </w:rPr>
        <w:tab/>
      </w:r>
      <w:r w:rsidRPr="00C252DA">
        <w:rPr>
          <w:rFonts w:eastAsia="Times New Roman" w:cs="DecoType Naskh" w:hint="cs"/>
          <w:color w:val="auto"/>
          <w:kern w:val="0"/>
          <w:szCs w:val="26"/>
          <w:rtl/>
          <w:lang w:bidi="ar-JO"/>
          <w14:ligatures w14:val="none"/>
        </w:rPr>
        <w:tab/>
        <w:t>25: 12-18</w:t>
      </w:r>
    </w:p>
    <w:p w14:paraId="579A79A2"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lastRenderedPageBreak/>
        <w:t>9.</w:t>
      </w:r>
      <w:r w:rsidRPr="00C252DA">
        <w:rPr>
          <w:rFonts w:eastAsia="Times New Roman" w:cs="DecoType Naskh" w:hint="cs"/>
          <w:color w:val="auto"/>
          <w:kern w:val="0"/>
          <w:szCs w:val="26"/>
          <w:rtl/>
          <w14:ligatures w14:val="none"/>
        </w:rPr>
        <w:tab/>
      </w:r>
      <w:r w:rsidRPr="00C252DA">
        <w:rPr>
          <w:rFonts w:ascii="Charis SIL" w:eastAsia="Times New Roman" w:hAnsi="Charis SIL" w:cs="Charis SIL"/>
          <w:bCs/>
          <w:i/>
          <w:iCs/>
          <w:color w:val="auto"/>
          <w:kern w:val="0"/>
          <w:szCs w:val="26"/>
          <w:lang w:bidi="ar-JO"/>
          <w14:ligatures w14:val="none"/>
        </w:rPr>
        <w:t>ṯôlᵊḏôṯ</w:t>
      </w:r>
      <w:r w:rsidRPr="00C252DA">
        <w:rPr>
          <w:rFonts w:eastAsia="Times New Roman" w:cs="DecoType Naskh" w:hint="cs"/>
          <w:color w:val="auto"/>
          <w:kern w:val="0"/>
          <w:szCs w:val="26"/>
          <w:rtl/>
          <w:lang w:bidi="ar-JO"/>
          <w14:ligatures w14:val="none"/>
        </w:rPr>
        <w:t xml:space="preserve"> توليدوت إسحق</w:t>
      </w:r>
      <w:r w:rsidRPr="00C252DA">
        <w:rPr>
          <w:rFonts w:eastAsia="Times New Roman" w:cs="DecoType Naskh" w:hint="cs"/>
          <w:color w:val="auto"/>
          <w:kern w:val="0"/>
          <w:szCs w:val="26"/>
          <w:rtl/>
          <w:lang w:bidi="ar-JO"/>
          <w14:ligatures w14:val="none"/>
        </w:rPr>
        <w:tab/>
      </w:r>
      <w:r w:rsidRPr="00C252DA">
        <w:rPr>
          <w:rFonts w:eastAsia="Times New Roman" w:cs="DecoType Naskh" w:hint="cs"/>
          <w:color w:val="auto"/>
          <w:kern w:val="0"/>
          <w:szCs w:val="26"/>
          <w:rtl/>
          <w:lang w:bidi="ar-JO"/>
          <w14:ligatures w14:val="none"/>
        </w:rPr>
        <w:tab/>
      </w:r>
      <w:r w:rsidRPr="00C252DA">
        <w:rPr>
          <w:rFonts w:eastAsia="Times New Roman" w:cs="DecoType Naskh" w:hint="cs"/>
          <w:color w:val="auto"/>
          <w:kern w:val="0"/>
          <w:szCs w:val="26"/>
          <w:rtl/>
          <w:lang w:bidi="ar-JO"/>
          <w14:ligatures w14:val="none"/>
        </w:rPr>
        <w:tab/>
        <w:t>25: 19-35: 29</w:t>
      </w:r>
    </w:p>
    <w:p w14:paraId="5C392A38"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10.</w:t>
      </w:r>
      <w:r w:rsidRPr="00C252DA">
        <w:rPr>
          <w:rFonts w:eastAsia="Times New Roman" w:cs="DecoType Naskh" w:hint="cs"/>
          <w:color w:val="auto"/>
          <w:kern w:val="0"/>
          <w:szCs w:val="26"/>
          <w:rtl/>
          <w14:ligatures w14:val="none"/>
        </w:rPr>
        <w:tab/>
      </w:r>
      <w:r w:rsidRPr="00C252DA">
        <w:rPr>
          <w:rFonts w:ascii="Charis SIL" w:eastAsia="Times New Roman" w:hAnsi="Charis SIL" w:cs="Charis SIL"/>
          <w:bCs/>
          <w:i/>
          <w:iCs/>
          <w:color w:val="auto"/>
          <w:kern w:val="0"/>
          <w:szCs w:val="26"/>
          <w:lang w:bidi="ar-JO"/>
          <w14:ligatures w14:val="none"/>
        </w:rPr>
        <w:t>ṯôlᵊḏôṯ</w:t>
      </w:r>
      <w:r w:rsidRPr="00C252DA">
        <w:rPr>
          <w:rFonts w:eastAsia="Times New Roman" w:cs="DecoType Naskh" w:hint="cs"/>
          <w:color w:val="auto"/>
          <w:kern w:val="0"/>
          <w:szCs w:val="26"/>
          <w:rtl/>
          <w:lang w:bidi="ar-JO"/>
          <w14:ligatures w14:val="none"/>
        </w:rPr>
        <w:t xml:space="preserve"> توليدوت عيسو </w:t>
      </w:r>
      <w:r w:rsidRPr="00C252DA">
        <w:rPr>
          <w:rFonts w:eastAsia="Times New Roman" w:cs="DecoType Naskh" w:hint="cs"/>
          <w:color w:val="auto"/>
          <w:kern w:val="0"/>
          <w:szCs w:val="26"/>
          <w:rtl/>
          <w:lang w:bidi="ar-JO"/>
          <w14:ligatures w14:val="none"/>
        </w:rPr>
        <w:tab/>
      </w:r>
      <w:r w:rsidRPr="00C252DA">
        <w:rPr>
          <w:rFonts w:eastAsia="Times New Roman" w:cs="DecoType Naskh" w:hint="cs"/>
          <w:color w:val="auto"/>
          <w:kern w:val="0"/>
          <w:szCs w:val="26"/>
          <w:rtl/>
          <w:lang w:bidi="ar-JO"/>
          <w14:ligatures w14:val="none"/>
        </w:rPr>
        <w:tab/>
      </w:r>
      <w:r w:rsidRPr="00C252DA">
        <w:rPr>
          <w:rFonts w:eastAsia="Times New Roman" w:cs="DecoType Naskh" w:hint="cs"/>
          <w:color w:val="auto"/>
          <w:kern w:val="0"/>
          <w:szCs w:val="26"/>
          <w:rtl/>
          <w:lang w:bidi="ar-JO"/>
          <w14:ligatures w14:val="none"/>
        </w:rPr>
        <w:tab/>
        <w:t>36: 1-37: 1</w:t>
      </w:r>
    </w:p>
    <w:p w14:paraId="1815958A" w14:textId="77777777" w:rsid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lang w:bidi="ar-JO"/>
          <w14:ligatures w14:val="none"/>
        </w:rPr>
      </w:pPr>
      <w:r w:rsidRPr="00C252DA">
        <w:rPr>
          <w:rFonts w:eastAsia="Times New Roman" w:cs="DecoType Naskh" w:hint="cs"/>
          <w:color w:val="auto"/>
          <w:kern w:val="0"/>
          <w:szCs w:val="26"/>
          <w:rtl/>
          <w:lang w:bidi="ar-JO"/>
          <w14:ligatures w14:val="none"/>
        </w:rPr>
        <w:t>11.</w:t>
      </w:r>
      <w:r w:rsidRPr="00C252DA">
        <w:rPr>
          <w:rFonts w:eastAsia="Times New Roman" w:cs="DecoType Naskh" w:hint="cs"/>
          <w:color w:val="auto"/>
          <w:kern w:val="0"/>
          <w:szCs w:val="26"/>
          <w:rtl/>
          <w14:ligatures w14:val="none"/>
        </w:rPr>
        <w:tab/>
      </w:r>
      <w:r w:rsidRPr="00C252DA">
        <w:rPr>
          <w:rFonts w:ascii="Charis SIL" w:eastAsia="Times New Roman" w:hAnsi="Charis SIL" w:cs="Charis SIL"/>
          <w:bCs/>
          <w:i/>
          <w:iCs/>
          <w:color w:val="auto"/>
          <w:kern w:val="0"/>
          <w:szCs w:val="26"/>
          <w:lang w:bidi="ar-JO"/>
          <w14:ligatures w14:val="none"/>
        </w:rPr>
        <w:t>ṯôlᵊḏôṯ</w:t>
      </w:r>
      <w:r w:rsidRPr="00C252DA">
        <w:rPr>
          <w:rFonts w:eastAsia="Times New Roman" w:cs="DecoType Naskh" w:hint="cs"/>
          <w:color w:val="auto"/>
          <w:kern w:val="0"/>
          <w:szCs w:val="26"/>
          <w:rtl/>
          <w:lang w:bidi="ar-JO"/>
          <w14:ligatures w14:val="none"/>
        </w:rPr>
        <w:t xml:space="preserve"> توليدوت يعقوب </w:t>
      </w:r>
      <w:r w:rsidRPr="00C252DA">
        <w:rPr>
          <w:rFonts w:eastAsia="Times New Roman" w:cs="DecoType Naskh" w:hint="cs"/>
          <w:color w:val="auto"/>
          <w:kern w:val="0"/>
          <w:szCs w:val="26"/>
          <w:rtl/>
          <w:lang w:bidi="ar-JO"/>
          <w14:ligatures w14:val="none"/>
        </w:rPr>
        <w:tab/>
      </w:r>
      <w:r w:rsidRPr="00C252DA">
        <w:rPr>
          <w:rFonts w:eastAsia="Times New Roman" w:cs="DecoType Naskh" w:hint="cs"/>
          <w:color w:val="auto"/>
          <w:kern w:val="0"/>
          <w:szCs w:val="26"/>
          <w:rtl/>
          <w:lang w:bidi="ar-JO"/>
          <w14:ligatures w14:val="none"/>
        </w:rPr>
        <w:tab/>
      </w:r>
      <w:r w:rsidRPr="00C252DA">
        <w:rPr>
          <w:rFonts w:eastAsia="Times New Roman" w:cs="DecoType Naskh" w:hint="cs"/>
          <w:color w:val="auto"/>
          <w:kern w:val="0"/>
          <w:szCs w:val="26"/>
          <w:rtl/>
          <w:lang w:bidi="ar-JO"/>
          <w14:ligatures w14:val="none"/>
        </w:rPr>
        <w:tab/>
        <w:t>37: 2-50: 26</w:t>
      </w:r>
    </w:p>
    <w:p w14:paraId="540D5E86"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p>
    <w:p w14:paraId="0F1697E4" w14:textId="77777777" w:rsidR="00C252DA" w:rsidRPr="00C252DA" w:rsidRDefault="00C252DA"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C252DA">
        <w:rPr>
          <w:rFonts w:eastAsia="Times New Roman" w:cs="DecoType Naskh" w:hint="cs"/>
          <w:bCs/>
          <w:color w:val="auto"/>
          <w:kern w:val="0"/>
          <w:szCs w:val="28"/>
          <w:rtl/>
          <w:lang w:bidi="ar-JO"/>
          <w14:ligatures w14:val="none"/>
        </w:rPr>
        <w:t>5.</w:t>
      </w:r>
      <w:r w:rsidRPr="00C252DA">
        <w:rPr>
          <w:rFonts w:eastAsia="Times New Roman" w:cs="DecoType Naskh" w:hint="cs"/>
          <w:bCs/>
          <w:color w:val="auto"/>
          <w:kern w:val="0"/>
          <w:szCs w:val="28"/>
          <w:rtl/>
          <w:lang w:bidi="ar-JO"/>
          <w14:ligatures w14:val="none"/>
        </w:rPr>
        <w:tab/>
        <w:t>فكرة البركة/اللعنة</w:t>
      </w:r>
    </w:p>
    <w:p w14:paraId="70CDC79D"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يوجد عامل هام آخر في السفر، ألا وهو الحاجة إلى بركة من الله والرغبة في ذلك.  ففي البداية يختبر الإنسان ملء بركة الله.  فالإنسان مخلوق على صورة الله ويعطى السلطة ليحكم ويمارس السيادة على الخليقة حافظاً لـِ "راحة الله</w:t>
      </w:r>
      <w:r w:rsidRPr="00C252DA">
        <w:rPr>
          <w:rFonts w:eastAsia="Times New Roman" w:cs="DecoType Naskh" w:hint="cs"/>
          <w:color w:val="auto"/>
          <w:kern w:val="0"/>
          <w:szCs w:val="26"/>
          <w:rtl/>
          <w14:ligatures w14:val="none"/>
        </w:rPr>
        <w:t>.</w:t>
      </w:r>
      <w:r w:rsidRPr="00C252DA">
        <w:rPr>
          <w:rFonts w:eastAsia="Times New Roman" w:cs="DecoType Naskh" w:hint="cs"/>
          <w:color w:val="auto"/>
          <w:kern w:val="0"/>
          <w:szCs w:val="26"/>
          <w:rtl/>
          <w:lang w:bidi="ar-JO"/>
          <w14:ligatures w14:val="none"/>
        </w:rPr>
        <w:t>"  غير أن سقوط الإنسان يحرم الرجل والمرأة من هذه البركة الرائعة، وشوّهت طبيعة الخطية الفاسدة "الصورة" التي خُلق الإنسان عليها، ويخسر الإنسان سيادته وحكمه (انظر عبرانيين 2: 6-8).  ولهذا لابد أن تنتظر "راحة الله" عصراً مستقبلياً لكي تتحقق تحقيقاً كاملاً (انظر عبرانيين 4: 9).  وتتحرك الأصحاحات 1-11 باتجاه الأسفل، من لعنة إلى أخرى.  ويبرز السؤال: "هل يمكن أن يستعيد الإنسان بركة الله؟"</w:t>
      </w:r>
      <w:r w:rsidRPr="00C252DA">
        <w:rPr>
          <w:rFonts w:eastAsia="Times New Roman" w:cs="DecoType Naskh" w:hint="cs"/>
          <w:color w:val="auto"/>
          <w:kern w:val="0"/>
          <w:szCs w:val="26"/>
          <w:rtl/>
          <w14:ligatures w14:val="none"/>
        </w:rPr>
        <w:t xml:space="preserve"> </w:t>
      </w:r>
      <w:r w:rsidRPr="00C252DA">
        <w:rPr>
          <w:rFonts w:eastAsia="Times New Roman" w:cs="DecoType Naskh" w:hint="cs"/>
          <w:color w:val="auto"/>
          <w:kern w:val="0"/>
          <w:szCs w:val="26"/>
          <w:rtl/>
          <w:lang w:bidi="ar-JO"/>
          <w14:ligatures w14:val="none"/>
        </w:rPr>
        <w:t xml:space="preserve"> أم هل هو متروك ضحية للعنة بلا رجاء؟  يبقى رجاء البركة مع الوعد بأن "نسل المرأة" سينتصر على "نسل الحية" (تكوين 3: 15). . . . رجاءٌ مسياني!</w:t>
      </w:r>
    </w:p>
    <w:p w14:paraId="216FBE4F"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6E4A24E" w14:textId="77777777" w:rsidR="00C252DA" w:rsidRPr="00C252DA" w:rsidRDefault="00C252DA"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C252DA">
        <w:rPr>
          <w:rFonts w:eastAsia="Times New Roman" w:cs="DecoType Naskh" w:hint="cs"/>
          <w:color w:val="auto"/>
          <w:kern w:val="0"/>
          <w:szCs w:val="26"/>
          <w:rtl/>
          <w:lang w:bidi="ar-JO"/>
          <w14:ligatures w14:val="none"/>
        </w:rPr>
        <w:t xml:space="preserve">ومع ظهور إبراهيم وبداية العهد في تكوين 12، يأتي وعد البركة بشعاع أمل جديد للإنسان.  ومن تلك النقطة فصاعداً، يركّز اللاهوت الكتابي على تحقيق البركة الموعودة.  ورجاء بركة الله مزروعة الآن في صدر الإنسان.  وحسب المنظور الإلهي، يجب أن ينتظر التحقيق الكامل لوعد البركة مجيء يسوع المسيح، أولاً في الفداء، ثم في المجد.  غير أن تطوّر البركة الموعودة يبدأ في سفر التكوين، لأنه يجب أن يكون هنالك "نسل" تأتي البركة من خلاله.  ونتتبع البركة الموعودة في تكوين 12-50، على الرغم من أنها لم تتحقق قط، لأن الآباء استمروا في الصراع بين الخير والشر، وبين البركة واللعنة، إلى أن وجدوا أنفسهم أخيراً في مصر، خارج الأرض.  ويصل السفر إلى خاتمته ونسل إبراهيم ينتظرون افتقاداً لهم من الله يحررهم ويثبّتهم في الأرض. </w:t>
      </w:r>
    </w:p>
    <w:p w14:paraId="2663FB0B" w14:textId="51E7915F" w:rsidR="00835DA5" w:rsidRDefault="00820B3D" w:rsidP="00820B3D">
      <w:pPr>
        <w:pStyle w:val="Heading4RED"/>
        <w:bidi/>
      </w:pPr>
      <w:bookmarkStart w:id="44" w:name="_Hlk178777940"/>
      <w:r>
        <w:rPr>
          <w:rFonts w:hint="cs"/>
          <w:rtl/>
        </w:rPr>
        <w:lastRenderedPageBreak/>
        <w:t>لوحة توضيحيّة لسفر التكوين</w:t>
      </w:r>
    </w:p>
    <w:bookmarkEnd w:id="44"/>
    <w:p w14:paraId="5ACF4CB8" w14:textId="77777777" w:rsidR="00C252DA" w:rsidRDefault="00C252DA" w:rsidP="002D6C54">
      <w:pPr>
        <w:pStyle w:val="Heading4RED"/>
      </w:pPr>
    </w:p>
    <w:p w14:paraId="662596D3" w14:textId="5CEC638C" w:rsidR="00835DA5" w:rsidRDefault="00C252DA" w:rsidP="002D6C54">
      <w:pPr>
        <w:pStyle w:val="OTNotes"/>
        <w:spacing w:line="240" w:lineRule="auto"/>
      </w:pPr>
      <w:r>
        <w:object w:dxaOrig="7811" w:dyaOrig="5396" w14:anchorId="6977C85B">
          <v:shape id="_x0000_i1029" type="#_x0000_t75" style="width:441.6pt;height:305.4pt" o:ole="">
            <v:imagedata r:id="rId19" o:title=""/>
          </v:shape>
          <o:OLEObject Type="Embed" ProgID="PowerPoint.Show.12" ShapeID="_x0000_i1029" DrawAspect="Content" ObjectID="_1802157124" r:id="rId20"/>
        </w:object>
      </w:r>
    </w:p>
    <w:p w14:paraId="5B1E2B59" w14:textId="58F55837" w:rsidR="005B452F" w:rsidRPr="00820B3D" w:rsidRDefault="00820B3D" w:rsidP="00820B3D">
      <w:pPr>
        <w:pStyle w:val="Heading3"/>
        <w:bidi/>
        <w:spacing w:line="240" w:lineRule="auto"/>
        <w:rPr>
          <w:rFonts w:ascii="Simplified Arabic" w:hAnsi="Simplified Arabic" w:cs="Simplified Arabic"/>
        </w:rPr>
      </w:pPr>
      <w:bookmarkStart w:id="45" w:name="_Hlk178777966"/>
      <w:r w:rsidRPr="00820B3D">
        <w:rPr>
          <w:rFonts w:ascii="Simplified Arabic" w:hAnsi="Simplified Arabic" w:cs="Simplified Arabic"/>
          <w:rtl/>
        </w:rPr>
        <w:t xml:space="preserve">الموضوع 2: </w:t>
      </w:r>
      <w:r w:rsidRPr="00820B3D">
        <w:rPr>
          <w:rFonts w:ascii="Simplified Arabic" w:eastAsia="Calibri" w:hAnsi="Simplified Arabic" w:cs="Simplified Arabic"/>
          <w:rtl/>
          <w14:ligatures w14:val="none"/>
        </w:rPr>
        <w:t>البداية في البركة (تكوين 1: 1 – 2: 3)</w:t>
      </w:r>
    </w:p>
    <w:p w14:paraId="5DDBE38F" w14:textId="14B775E9" w:rsidR="003D138D" w:rsidRPr="007A4B15" w:rsidRDefault="003D138D" w:rsidP="00820B3D">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bookmarkStart w:id="46" w:name="_Hlk157165574"/>
      <w:bookmarkEnd w:id="45"/>
      <w:r w:rsidRPr="007A4B15">
        <w:rPr>
          <w:rFonts w:ascii="Verdana" w:eastAsia="Calibri" w:hAnsi="Verdana" w:cs="Times New Roman"/>
          <w:b/>
          <w:caps/>
          <w:noProof/>
          <w:color w:val="006699"/>
          <w:kern w:val="0"/>
          <w:sz w:val="21"/>
          <w:szCs w:val="24"/>
          <w14:ligatures w14:val="none"/>
        </w:rPr>
        <w:drawing>
          <wp:inline distT="0" distB="0" distL="0" distR="0" wp14:anchorId="0216D752" wp14:editId="414F1C76">
            <wp:extent cx="613692" cy="541464"/>
            <wp:effectExtent l="0" t="0" r="0" b="0"/>
            <wp:docPr id="1167719154" name="Picture 1167719154"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820B3D">
        <w:rPr>
          <w:rFonts w:ascii="Verdana" w:eastAsia="Calibri" w:hAnsi="Verdana" w:cs="Times New Roman" w:hint="cs"/>
          <w:b/>
          <w:caps/>
          <w:color w:val="006699"/>
          <w:kern w:val="0"/>
          <w:sz w:val="21"/>
          <w:szCs w:val="24"/>
          <w:u w:val="single"/>
          <w:rtl/>
          <w14:ligatures w14:val="none"/>
        </w:rPr>
        <w:t>القراءة</w:t>
      </w:r>
    </w:p>
    <w:p w14:paraId="57B5D8F0" w14:textId="4E18F7BC" w:rsidR="003D138D" w:rsidRDefault="003D138D" w:rsidP="00820B3D">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eastAsia="Calibri" w:cs="Times New Roman"/>
          <w:kern w:val="0"/>
          <w:szCs w:val="24"/>
          <w:rtl/>
          <w14:ligatures w14:val="none"/>
        </w:rPr>
      </w:pPr>
      <w:r>
        <w:rPr>
          <w:rFonts w:eastAsia="Calibri" w:cs="Times New Roman"/>
          <w:kern w:val="0"/>
          <w:szCs w:val="24"/>
          <w14:ligatures w14:val="none"/>
        </w:rPr>
        <w:tab/>
      </w:r>
      <w:r>
        <w:rPr>
          <w:rFonts w:eastAsia="Calibri" w:cs="Times New Roman"/>
          <w:kern w:val="0"/>
          <w:szCs w:val="24"/>
          <w14:ligatures w14:val="none"/>
        </w:rPr>
        <w:tab/>
      </w:r>
      <w:r w:rsidR="00820B3D">
        <w:rPr>
          <w:rFonts w:eastAsia="Calibri" w:cs="Times New Roman" w:hint="cs"/>
          <w:kern w:val="0"/>
          <w:szCs w:val="24"/>
          <w:rtl/>
          <w14:ligatures w14:val="none"/>
        </w:rPr>
        <w:t xml:space="preserve">اقرأ تكوين 1: 1 </w:t>
      </w:r>
      <w:r w:rsidR="00820B3D">
        <w:rPr>
          <w:rFonts w:eastAsia="Calibri" w:cs="Times New Roman"/>
          <w:kern w:val="0"/>
          <w:szCs w:val="24"/>
          <w:rtl/>
          <w14:ligatures w14:val="none"/>
        </w:rPr>
        <w:t>–</w:t>
      </w:r>
      <w:r w:rsidR="00820B3D">
        <w:rPr>
          <w:rFonts w:eastAsia="Calibri" w:cs="Times New Roman" w:hint="cs"/>
          <w:kern w:val="0"/>
          <w:szCs w:val="24"/>
          <w:rtl/>
          <w14:ligatures w14:val="none"/>
        </w:rPr>
        <w:t xml:space="preserve"> 2: 3 في كتابك المُقدَّس. </w:t>
      </w:r>
    </w:p>
    <w:p w14:paraId="2EE4C615" w14:textId="77777777" w:rsidR="00820B3D" w:rsidRPr="003D138D" w:rsidRDefault="00820B3D" w:rsidP="00820B3D">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eastAsia="Calibri" w:cs="Times New Roman"/>
          <w:kern w:val="0"/>
          <w:szCs w:val="24"/>
          <w14:ligatures w14:val="none"/>
        </w:rPr>
      </w:pPr>
    </w:p>
    <w:bookmarkEnd w:id="35"/>
    <w:bookmarkEnd w:id="46"/>
    <w:p w14:paraId="4E19F17B" w14:textId="77777777" w:rsidR="00E84DB1" w:rsidRPr="00E84DB1" w:rsidRDefault="00E84DB1" w:rsidP="002D6C54">
      <w:pPr>
        <w:bidi/>
        <w:spacing w:after="0" w:line="240" w:lineRule="auto"/>
        <w:jc w:val="center"/>
        <w:rPr>
          <w:rFonts w:eastAsia="Times New Roman" w:cs="Traditional Arabic Backslanted"/>
          <w:bCs/>
          <w:color w:val="auto"/>
          <w:kern w:val="0"/>
          <w:szCs w:val="28"/>
          <w:rtl/>
          <w:lang w:bidi="ar-JO"/>
          <w14:ligatures w14:val="none"/>
        </w:rPr>
      </w:pPr>
    </w:p>
    <w:p w14:paraId="5451E555" w14:textId="77777777" w:rsidR="00E84DB1" w:rsidRPr="00E84DB1" w:rsidRDefault="00E84DB1"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E84DB1">
        <w:rPr>
          <w:rFonts w:eastAsia="Times New Roman" w:cs="DecoType Naskh" w:hint="cs"/>
          <w:bCs/>
          <w:color w:val="auto"/>
          <w:kern w:val="0"/>
          <w:szCs w:val="28"/>
          <w:rtl/>
          <w:lang w:bidi="ar-JO"/>
          <w14:ligatures w14:val="none"/>
        </w:rPr>
        <w:t>1.</w:t>
      </w:r>
      <w:r w:rsidRPr="00E84DB1">
        <w:rPr>
          <w:rFonts w:eastAsia="Times New Roman" w:cs="DecoType Naskh" w:hint="cs"/>
          <w:bCs/>
          <w:color w:val="auto"/>
          <w:kern w:val="0"/>
          <w:szCs w:val="28"/>
          <w:rtl/>
          <w:lang w:bidi="ar-JO"/>
          <w14:ligatures w14:val="none"/>
        </w:rPr>
        <w:tab/>
        <w:t xml:space="preserve">مقدمة </w:t>
      </w:r>
    </w:p>
    <w:p w14:paraId="64D7CC10"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 xml:space="preserve">تشكل تكوين 1: 1-2: 3 أول قسم من السفر.  وبدلاً من استخدام كلمة توليدوت </w:t>
      </w:r>
      <w:r w:rsidRPr="00E84DB1">
        <w:rPr>
          <w:rFonts w:ascii="Charis SIL" w:eastAsia="Times New Roman" w:hAnsi="Charis SIL" w:cs="Charis SIL"/>
          <w:bCs/>
          <w:i/>
          <w:iCs/>
          <w:color w:val="auto"/>
          <w:kern w:val="0"/>
          <w:szCs w:val="26"/>
          <w:lang w:bidi="ar-JO"/>
          <w14:ligatures w14:val="none"/>
        </w:rPr>
        <w:t>ṯôlᵊḏôṯ</w:t>
      </w:r>
      <w:r w:rsidRPr="00E84DB1">
        <w:rPr>
          <w:rFonts w:eastAsia="Times New Roman" w:cs="DecoType Naskh" w:hint="cs"/>
          <w:color w:val="auto"/>
          <w:kern w:val="0"/>
          <w:szCs w:val="26"/>
          <w:rtl/>
          <w:lang w:bidi="ar-JO"/>
          <w14:ligatures w14:val="none"/>
        </w:rPr>
        <w:t xml:space="preserve">  في مستهل هذا القسم (انظر ملاحظات الدرس الثالث)، فإن لدينا التصريح البسيط ولكن العميق في تكوين 1: 1 أن الله خلق السماوات والأرض.  وما هو مخلوق في تكوين 1: 1-2 خرِب (غير مصقول) وخالٍ (غير مملوءة)، وهكذا تصف بقية القسم كيف أعد الله هذا لسكنى الإنسان.  لا يعلّمنا هذا القسم أن كل الخليقة تنبع من رغبة الله المعروف باسم يهوه وخطته الإراديتين فحسب، لكنه يعلّمنا أيضاً أن بداية الإنسان كانت في بركة الله.  يتمتع الإنسان المخلوق على صورة الله بالسيادة على المخلوقات الأرضية ويختبر راحة الله.  والفكرة الرئيسية هي أن الإنسان يبدأ في البركة،  ويلقي ضوءاً على هذا ممارسة الإنسان للسلطة المفوّضة إليه ليحكم وهو متمتع بـ "راحة الله</w:t>
      </w:r>
      <w:r w:rsidRPr="00E84DB1">
        <w:rPr>
          <w:rFonts w:eastAsia="Times New Roman" w:cs="DecoType Naskh" w:hint="cs"/>
          <w:color w:val="auto"/>
          <w:kern w:val="0"/>
          <w:szCs w:val="26"/>
          <w:rtl/>
          <w14:ligatures w14:val="none"/>
        </w:rPr>
        <w:t>.</w:t>
      </w:r>
      <w:r w:rsidRPr="00E84DB1">
        <w:rPr>
          <w:rFonts w:eastAsia="Times New Roman" w:cs="DecoType Naskh" w:hint="cs"/>
          <w:color w:val="auto"/>
          <w:kern w:val="0"/>
          <w:szCs w:val="26"/>
          <w:rtl/>
          <w:lang w:bidi="ar-JO"/>
          <w14:ligatures w14:val="none"/>
        </w:rPr>
        <w:t xml:space="preserve">"  وتأتي رواية </w:t>
      </w:r>
      <w:r w:rsidRPr="00E84DB1">
        <w:rPr>
          <w:rFonts w:eastAsia="Times New Roman" w:cs="DecoType Naskh" w:hint="cs"/>
          <w:color w:val="auto"/>
          <w:kern w:val="0"/>
          <w:szCs w:val="26"/>
          <w:rtl/>
          <w:lang w:bidi="ar-JO"/>
          <w14:ligatures w14:val="none"/>
        </w:rPr>
        <w:lastRenderedPageBreak/>
        <w:t xml:space="preserve">الخلق وأصل الإنسان على نقيض صارخ مع الروايات الوثنية للخليقة (مثلاً، الرواية البابلية للخليقة)، حيث </w:t>
      </w:r>
      <w:r w:rsidRPr="00E84DB1">
        <w:rPr>
          <w:rFonts w:eastAsia="Times New Roman" w:cs="DecoType Naskh" w:hint="cs"/>
          <w:color w:val="auto"/>
          <w:kern w:val="0"/>
          <w:szCs w:val="26"/>
          <w:rtl/>
          <w14:ligatures w14:val="none"/>
        </w:rPr>
        <w:t>ت</w:t>
      </w:r>
      <w:r w:rsidRPr="00E84DB1">
        <w:rPr>
          <w:rFonts w:eastAsia="Times New Roman" w:cs="DecoType Naskh" w:hint="cs"/>
          <w:color w:val="auto"/>
          <w:kern w:val="0"/>
          <w:szCs w:val="26"/>
          <w:rtl/>
          <w:lang w:bidi="ar-JO"/>
          <w14:ligatures w14:val="none"/>
        </w:rPr>
        <w:t>تح</w:t>
      </w:r>
      <w:r w:rsidRPr="00E84DB1">
        <w:rPr>
          <w:rFonts w:eastAsia="Times New Roman" w:cs="DecoType Naskh" w:hint="cs"/>
          <w:color w:val="auto"/>
          <w:kern w:val="0"/>
          <w:szCs w:val="26"/>
          <w:rtl/>
          <w14:ligatures w14:val="none"/>
        </w:rPr>
        <w:t>ا</w:t>
      </w:r>
      <w:r w:rsidRPr="00E84DB1">
        <w:rPr>
          <w:rFonts w:eastAsia="Times New Roman" w:cs="DecoType Naskh" w:hint="cs"/>
          <w:color w:val="auto"/>
          <w:kern w:val="0"/>
          <w:szCs w:val="26"/>
          <w:rtl/>
          <w:lang w:bidi="ar-JO"/>
          <w14:ligatures w14:val="none"/>
        </w:rPr>
        <w:t>رب آلهة كثيرة معاً، ومن خلال موت أحد الآلهة يُخلق الإنسان ليسدّ حاجات الآلهة.  أمّا في الرواية الكتابية، فللإنسان منزلة رفيعة ودور كريم يشترك فيه مع الله القدير المحب.</w:t>
      </w:r>
    </w:p>
    <w:p w14:paraId="45BC6804"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14:ligatures w14:val="none"/>
        </w:rPr>
      </w:pPr>
    </w:p>
    <w:p w14:paraId="67EF3200" w14:textId="77777777" w:rsidR="00E84DB1" w:rsidRPr="00E84DB1" w:rsidRDefault="00E84DB1"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E84DB1">
        <w:rPr>
          <w:rFonts w:eastAsia="Times New Roman" w:cs="DecoType Naskh" w:hint="cs"/>
          <w:bCs/>
          <w:color w:val="auto"/>
          <w:kern w:val="0"/>
          <w:szCs w:val="28"/>
          <w:rtl/>
          <w:lang w:bidi="ar-JO"/>
          <w14:ligatures w14:val="none"/>
        </w:rPr>
        <w:t>2.</w:t>
      </w:r>
      <w:r w:rsidRPr="00E84DB1">
        <w:rPr>
          <w:rFonts w:eastAsia="Times New Roman" w:cs="DecoType Naskh" w:hint="cs"/>
          <w:bCs/>
          <w:color w:val="auto"/>
          <w:kern w:val="0"/>
          <w:szCs w:val="28"/>
          <w:rtl/>
          <w:lang w:bidi="ar-JO"/>
          <w14:ligatures w14:val="none"/>
        </w:rPr>
        <w:tab/>
        <w:t>بنية 1: 1-2: 3</w:t>
      </w:r>
    </w:p>
    <w:p w14:paraId="5E5E0DF4"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righ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أ.</w:t>
      </w:r>
      <w:r w:rsidRPr="00E84DB1">
        <w:rPr>
          <w:rFonts w:eastAsia="Times New Roman" w:cs="DecoType Naskh" w:hint="cs"/>
          <w:color w:val="auto"/>
          <w:kern w:val="0"/>
          <w:szCs w:val="26"/>
          <w:rtl/>
          <w:lang w:bidi="ar-JO"/>
          <w14:ligatures w14:val="none"/>
        </w:rPr>
        <w:tab/>
        <w:t>نسبة الخلْق إلى الله الواحد الحقيقي (1: 1)</w:t>
      </w:r>
    </w:p>
    <w:p w14:paraId="594A2F51"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righ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ب.</w:t>
      </w:r>
      <w:r w:rsidRPr="00E84DB1">
        <w:rPr>
          <w:rFonts w:eastAsia="Times New Roman" w:cs="DecoType Naskh" w:hint="cs"/>
          <w:color w:val="auto"/>
          <w:kern w:val="0"/>
          <w:szCs w:val="26"/>
          <w:rtl/>
          <w:lang w:bidi="ar-JO"/>
          <w14:ligatures w14:val="none"/>
        </w:rPr>
        <w:tab/>
        <w:t>تفاصيل ظرفية عن الأرض الأولية تشير إلى أنها غير صالحة لسكنى الإنسان (1: 2)</w:t>
      </w:r>
    </w:p>
    <w:p w14:paraId="0E0622ED"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righ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جـ.</w:t>
      </w:r>
      <w:r w:rsidRPr="00E84DB1">
        <w:rPr>
          <w:rFonts w:eastAsia="Times New Roman" w:cs="DecoType Naskh" w:hint="cs"/>
          <w:color w:val="auto"/>
          <w:kern w:val="0"/>
          <w:szCs w:val="26"/>
          <w:rtl/>
          <w:lang w:bidi="ar-JO"/>
          <w14:ligatures w14:val="none"/>
        </w:rPr>
        <w:tab/>
        <w:t>سرد رواية الخلْق في تهيئة الأرض لتكون ملائمة للإنسان (1: 3-31)</w:t>
      </w:r>
    </w:p>
    <w:p w14:paraId="1C76922D"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righ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د.</w:t>
      </w:r>
      <w:r w:rsidRPr="00E84DB1">
        <w:rPr>
          <w:rFonts w:eastAsia="Times New Roman" w:cs="DecoType Naskh" w:hint="cs"/>
          <w:color w:val="auto"/>
          <w:kern w:val="0"/>
          <w:szCs w:val="26"/>
          <w:rtl/>
          <w:lang w:bidi="ar-JO"/>
          <w14:ligatures w14:val="none"/>
        </w:rPr>
        <w:tab/>
        <w:t>تصريحٌ ختامي تلخيصي لعملية الخلق (2: 1)</w:t>
      </w:r>
    </w:p>
    <w:p w14:paraId="0BD2850B"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righ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هـ.</w:t>
      </w:r>
      <w:r w:rsidRPr="00E84DB1">
        <w:rPr>
          <w:rFonts w:eastAsia="Times New Roman" w:cs="DecoType Naskh" w:hint="cs"/>
          <w:color w:val="auto"/>
          <w:kern w:val="0"/>
          <w:szCs w:val="26"/>
          <w:rtl/>
          <w:lang w:bidi="ar-JO"/>
          <w14:ligatures w14:val="none"/>
        </w:rPr>
        <w:tab/>
        <w:t>خاتمة: راحة السبت (2: 2-3)</w:t>
      </w:r>
    </w:p>
    <w:p w14:paraId="2646AF6B" w14:textId="77777777" w:rsidR="00E84DB1" w:rsidRPr="00E84DB1" w:rsidRDefault="00E84DB1" w:rsidP="002D6C54">
      <w:pPr>
        <w:tabs>
          <w:tab w:val="left" w:pos="454"/>
        </w:tabs>
        <w:bidi/>
        <w:spacing w:after="60" w:line="240" w:lineRule="auto"/>
        <w:jc w:val="both"/>
        <w:rPr>
          <w:rFonts w:eastAsia="Times New Roman" w:cs="DecoType Naskh"/>
          <w:bCs/>
          <w:color w:val="auto"/>
          <w:kern w:val="0"/>
          <w:szCs w:val="28"/>
          <w:rtl/>
          <w:lang w:bidi="ar-JO"/>
          <w14:ligatures w14:val="none"/>
        </w:rPr>
      </w:pPr>
    </w:p>
    <w:p w14:paraId="00C46D19" w14:textId="77777777" w:rsidR="00E84DB1" w:rsidRPr="00E84DB1" w:rsidRDefault="00E84DB1"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E84DB1">
        <w:rPr>
          <w:rFonts w:eastAsia="Times New Roman" w:cs="DecoType Naskh" w:hint="cs"/>
          <w:bCs/>
          <w:color w:val="auto"/>
          <w:kern w:val="0"/>
          <w:szCs w:val="28"/>
          <w:rtl/>
          <w:lang w:bidi="ar-JO"/>
          <w14:ligatures w14:val="none"/>
        </w:rPr>
        <w:t>3.</w:t>
      </w:r>
      <w:r w:rsidRPr="00E84DB1">
        <w:rPr>
          <w:rFonts w:eastAsia="Times New Roman" w:cs="DecoType Naskh" w:hint="cs"/>
          <w:bCs/>
          <w:color w:val="auto"/>
          <w:kern w:val="0"/>
          <w:szCs w:val="28"/>
          <w:rtl/>
          <w:lang w:bidi="ar-JO"/>
          <w14:ligatures w14:val="none"/>
        </w:rPr>
        <w:tab/>
        <w:t xml:space="preserve">الرسالة الرئيسية </w:t>
      </w:r>
    </w:p>
    <w:p w14:paraId="0A9A07AA"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يقوم الله المتسيد بخلق كل الأشياء بكلمته الإلهية (مبيناً أنه إله كل خليقة)، مهيّئاً الأرض لسكنى الإنسان لكي يؤسس </w:t>
      </w:r>
      <w:r w:rsidRPr="00E84DB1">
        <w:rPr>
          <w:rFonts w:eastAsia="Times New Roman" w:cs="DecoType Naskh" w:hint="cs"/>
          <w:color w:val="auto"/>
          <w:kern w:val="0"/>
          <w:szCs w:val="26"/>
          <w:u w:val="single"/>
          <w:rtl/>
          <w:lang w:bidi="ar-JO"/>
          <w14:ligatures w14:val="none"/>
        </w:rPr>
        <w:t>راحة</w:t>
      </w:r>
      <w:r w:rsidRPr="00E84DB1">
        <w:rPr>
          <w:rFonts w:eastAsia="Times New Roman" w:cs="DecoType Naskh" w:hint="cs"/>
          <w:color w:val="auto"/>
          <w:kern w:val="0"/>
          <w:szCs w:val="26"/>
          <w:rtl/>
          <w:lang w:bidi="ar-JO"/>
          <w14:ligatures w14:val="none"/>
        </w:rPr>
        <w:t xml:space="preserve"> الحكم الإلهي (الثيوقراطية) مع الإنسان الذي هو وسيط حُكمه على الخليقة.</w:t>
      </w:r>
    </w:p>
    <w:p w14:paraId="5224C559"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67B3BC56" w14:textId="77777777" w:rsidR="00E84DB1" w:rsidRPr="00E84DB1" w:rsidRDefault="00E84DB1"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E84DB1">
        <w:rPr>
          <w:rFonts w:eastAsia="Times New Roman" w:cs="DecoType Naskh" w:hint="cs"/>
          <w:bCs/>
          <w:color w:val="auto"/>
          <w:kern w:val="0"/>
          <w:szCs w:val="28"/>
          <w:rtl/>
          <w:lang w:bidi="ar-JO"/>
          <w14:ligatures w14:val="none"/>
        </w:rPr>
        <w:t>4.</w:t>
      </w:r>
      <w:r w:rsidRPr="00E84DB1">
        <w:rPr>
          <w:rFonts w:eastAsia="Times New Roman" w:cs="DecoType Naskh" w:hint="cs"/>
          <w:bCs/>
          <w:color w:val="auto"/>
          <w:kern w:val="0"/>
          <w:szCs w:val="28"/>
          <w:rtl/>
          <w:lang w:bidi="ar-JO"/>
          <w14:ligatures w14:val="none"/>
        </w:rPr>
        <w:tab/>
        <w:t>تطوّر القسم</w:t>
      </w:r>
    </w:p>
    <w:p w14:paraId="754D1F08" w14:textId="77777777" w:rsidR="00E84DB1" w:rsidRPr="00E84DB1" w:rsidRDefault="00E84DB1" w:rsidP="002D6C54">
      <w:pPr>
        <w:tabs>
          <w:tab w:val="left" w:pos="454"/>
        </w:tabs>
        <w:bidi/>
        <w:spacing w:after="60" w:line="240" w:lineRule="auto"/>
        <w:ind w:right="550" w:hanging="550"/>
        <w:jc w:val="both"/>
        <w:rPr>
          <w:rFonts w:eastAsia="Times New Roman" w:cs="DecoType Naskh"/>
          <w:bCs/>
          <w:color w:val="auto"/>
          <w:kern w:val="0"/>
          <w:szCs w:val="26"/>
          <w:rtl/>
          <w14:ligatures w14:val="none"/>
        </w:rPr>
      </w:pPr>
      <w:r w:rsidRPr="00E84DB1">
        <w:rPr>
          <w:rFonts w:eastAsia="Times New Roman" w:cs="DecoType Naskh" w:hint="cs"/>
          <w:bCs/>
          <w:color w:val="auto"/>
          <w:kern w:val="0"/>
          <w:szCs w:val="26"/>
          <w:rtl/>
          <w14:ligatures w14:val="none"/>
        </w:rPr>
        <w:t>أ.</w:t>
      </w:r>
      <w:r w:rsidRPr="00E84DB1">
        <w:rPr>
          <w:rFonts w:eastAsia="Times New Roman" w:cs="DecoType Naskh" w:hint="cs"/>
          <w:bCs/>
          <w:color w:val="auto"/>
          <w:kern w:val="0"/>
          <w:szCs w:val="26"/>
          <w:rtl/>
          <w14:ligatures w14:val="none"/>
        </w:rPr>
        <w:tab/>
        <w:t>نسبة الخلق إلى الله الواحد الحقيقي (1:1)</w:t>
      </w:r>
    </w:p>
    <w:p w14:paraId="2AAC7669"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على النقيض من الروايات الوثنية عن الخلق، تقول الرواية الكتابية إن الخليقة جاءت من الله الخالق الذي تعبده إسرائيل كيهوه.  ويجب أن نلاحظ أن لدينا روايتين للخلق (وهما ليستا روايتين مختلفتين، بل هما روايتان من منظورين مختلفين):</w:t>
      </w:r>
    </w:p>
    <w:p w14:paraId="35476167"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1: 1-2: 3</w:t>
      </w:r>
      <w:r w:rsidRPr="00E84DB1">
        <w:rPr>
          <w:rFonts w:eastAsia="Times New Roman" w:cs="DecoType Naskh" w:hint="cs"/>
          <w:color w:val="auto"/>
          <w:kern w:val="0"/>
          <w:szCs w:val="26"/>
          <w:rtl/>
          <w:lang w:bidi="ar-JO"/>
          <w14:ligatures w14:val="none"/>
        </w:rPr>
        <w:tab/>
        <w:t>تركّز على خلق الأرض لأجل الإنسان</w:t>
      </w:r>
    </w:p>
    <w:p w14:paraId="0E707C4B"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2: 4-25</w:t>
      </w:r>
      <w:r w:rsidRPr="00E84DB1">
        <w:rPr>
          <w:rFonts w:eastAsia="Times New Roman" w:cs="DecoType Naskh" w:hint="cs"/>
          <w:color w:val="auto"/>
          <w:kern w:val="0"/>
          <w:szCs w:val="26"/>
          <w:rtl/>
          <w:lang w:bidi="ar-JO"/>
          <w14:ligatures w14:val="none"/>
        </w:rPr>
        <w:tab/>
        <w:t>تركّز على خلق الإنسان نفسه وحالته الأولية وبيئته</w:t>
      </w:r>
    </w:p>
    <w:p w14:paraId="0C5D14DA"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69F5AD3C"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في الرواية الأولى يشكّل الإنسان غاية خليقة الله وذروتها.  وتصوّر هذه الرواية منزلة الإنسان الرفيعة </w:t>
      </w:r>
      <w:r w:rsidRPr="00E84DB1">
        <w:rPr>
          <w:rFonts w:eastAsia="Times New Roman" w:cs="DecoType Naskh" w:hint="cs"/>
          <w:color w:val="auto"/>
          <w:kern w:val="0"/>
          <w:szCs w:val="26"/>
          <w:u w:val="single"/>
          <w:rtl/>
          <w:lang w:bidi="ar-JO"/>
          <w14:ligatures w14:val="none"/>
        </w:rPr>
        <w:t>من حيث الترتيب الزمني</w:t>
      </w:r>
      <w:r w:rsidRPr="00E84DB1">
        <w:rPr>
          <w:rFonts w:eastAsia="Times New Roman" w:cs="DecoType Naskh" w:hint="cs"/>
          <w:color w:val="auto"/>
          <w:kern w:val="0"/>
          <w:szCs w:val="26"/>
          <w:rtl/>
          <w:lang w:bidi="ar-JO"/>
          <w14:ligatures w14:val="none"/>
        </w:rPr>
        <w:t xml:space="preserve"> (فهو أوج عمل الله الإبداعي).  وفي الرواية الثانية، تصوَّر منزلة الإنسان الرفيعة وكرامته </w:t>
      </w:r>
      <w:r w:rsidRPr="00E84DB1">
        <w:rPr>
          <w:rFonts w:eastAsia="Times New Roman" w:cs="DecoType Naskh" w:hint="cs"/>
          <w:color w:val="auto"/>
          <w:kern w:val="0"/>
          <w:szCs w:val="26"/>
          <w:u w:val="single"/>
          <w:rtl/>
          <w:lang w:bidi="ar-JO"/>
          <w14:ligatures w14:val="none"/>
        </w:rPr>
        <w:t>من منظور منطقي</w:t>
      </w:r>
      <w:r w:rsidRPr="00E84DB1">
        <w:rPr>
          <w:rFonts w:eastAsia="Times New Roman" w:cs="DecoType Naskh" w:hint="cs"/>
          <w:color w:val="auto"/>
          <w:kern w:val="0"/>
          <w:szCs w:val="26"/>
          <w:rtl/>
          <w:lang w:bidi="ar-JO"/>
          <w14:ligatures w14:val="none"/>
        </w:rPr>
        <w:t>.  فكل شيء مخلوق للإنسان: الجنّة والحيوانات والمرأة (ذروة عطايا الله للرجل).</w:t>
      </w:r>
    </w:p>
    <w:p w14:paraId="1103BFED"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righ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1.</w:t>
      </w:r>
      <w:r w:rsidRPr="00E84DB1">
        <w:rPr>
          <w:rFonts w:eastAsia="Times New Roman" w:cs="DecoType Naskh" w:hint="cs"/>
          <w:color w:val="auto"/>
          <w:kern w:val="0"/>
          <w:szCs w:val="26"/>
          <w:rtl/>
          <w:lang w:bidi="ar-JO"/>
          <w14:ligatures w14:val="none"/>
        </w:rPr>
        <w:tab/>
        <w:t>اسم الله</w:t>
      </w:r>
    </w:p>
    <w:p w14:paraId="57E69481"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أ.</w:t>
      </w:r>
      <w:r w:rsidRPr="00E84DB1">
        <w:rPr>
          <w:rFonts w:eastAsia="Times New Roman" w:cs="DecoType Naskh" w:hint="cs"/>
          <w:color w:val="auto"/>
          <w:kern w:val="0"/>
          <w:szCs w:val="26"/>
          <w:rtl/>
          <w:lang w:bidi="ar-JO"/>
          <w14:ligatures w14:val="none"/>
        </w:rPr>
        <w:tab/>
        <w:t>تكوين 1: 1= الله (إيلوهيم- (بالعبرية</w:t>
      </w:r>
      <w:r w:rsidRPr="00E84DB1">
        <w:rPr>
          <w:rFonts w:eastAsia="Times New Roman" w:cs="DecoType Naskh" w:hint="cs"/>
          <w:color w:val="auto"/>
          <w:kern w:val="0"/>
          <w:szCs w:val="26"/>
          <w:rtl/>
          <w14:ligatures w14:val="none"/>
        </w:rPr>
        <w:t xml:space="preserve"> </w:t>
      </w:r>
      <w:r w:rsidRPr="00E84DB1">
        <w:rPr>
          <w:rFonts w:ascii="Ezra SIL" w:eastAsia="Times New Roman" w:hAnsi="Ezra SIL" w:cs="Ezra SIL" w:hint="cs"/>
          <w:b/>
          <w:color w:val="auto"/>
          <w:kern w:val="0"/>
          <w:rtl/>
          <w:lang w:bidi="he-IL"/>
          <w14:ligatures w14:val="none"/>
        </w:rPr>
        <w:t>אֶלֹהִים</w:t>
      </w:r>
      <w:r w:rsidRPr="00E84DB1">
        <w:rPr>
          <w:rFonts w:eastAsia="Times New Roman" w:cs="DecoType Naskh" w:hint="cs"/>
          <w:color w:val="auto"/>
          <w:kern w:val="0"/>
          <w:szCs w:val="26"/>
          <w:rtl/>
          <w:lang w:bidi="ar-JO"/>
          <w14:ligatures w14:val="none"/>
        </w:rPr>
        <w:t>).  يؤكّد هذا التعبير على قوة الله كما تظهر بشكل بارز في الخليقة.</w:t>
      </w:r>
    </w:p>
    <w:p w14:paraId="43DBF58D"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ب.</w:t>
      </w:r>
      <w:r w:rsidRPr="00E84DB1">
        <w:rPr>
          <w:rFonts w:eastAsia="Times New Roman" w:cs="DecoType Naskh" w:hint="cs"/>
          <w:color w:val="auto"/>
          <w:kern w:val="0"/>
          <w:szCs w:val="26"/>
          <w:rtl/>
          <w:lang w:bidi="ar-JO"/>
          <w14:ligatures w14:val="none"/>
        </w:rPr>
        <w:tab/>
        <w:t xml:space="preserve">تكوين 2: 4= الرب الإله (يهوه إيلوهيم - (بالعبرية </w:t>
      </w:r>
      <w:r w:rsidRPr="00E84DB1">
        <w:rPr>
          <w:rFonts w:ascii="Ezra SIL" w:eastAsia="Times New Roman" w:hAnsi="Ezra SIL" w:cs="Ezra SIL" w:hint="cs"/>
          <w:b/>
          <w:color w:val="auto"/>
          <w:kern w:val="0"/>
          <w:rtl/>
          <w:lang w:bidi="he-IL"/>
          <w14:ligatures w14:val="none"/>
        </w:rPr>
        <w:t>יְהוָה</w:t>
      </w:r>
      <w:r w:rsidRPr="00E84DB1">
        <w:rPr>
          <w:rFonts w:ascii="Hebrew" w:eastAsia="Times New Roman" w:hAnsi="Hebrew" w:cs="DecoType Naskh"/>
          <w:bCs/>
          <w:color w:val="auto"/>
          <w:kern w:val="0"/>
          <w:szCs w:val="26"/>
          <w:lang w:bidi="ar-JO"/>
          <w14:ligatures w14:val="none"/>
        </w:rPr>
        <w:t xml:space="preserve"> </w:t>
      </w:r>
      <w:r w:rsidRPr="00E84DB1">
        <w:rPr>
          <w:rFonts w:ascii="Ezra SIL" w:eastAsia="Times New Roman" w:hAnsi="Ezra SIL" w:cs="Ezra SIL" w:hint="cs"/>
          <w:b/>
          <w:color w:val="auto"/>
          <w:kern w:val="0"/>
          <w:rtl/>
          <w:lang w:bidi="he-IL"/>
          <w14:ligatures w14:val="none"/>
        </w:rPr>
        <w:t>אֶלֹהִים</w:t>
      </w:r>
      <w:r w:rsidRPr="00E84DB1">
        <w:rPr>
          <w:rFonts w:eastAsia="Times New Roman" w:cs="DecoType Naskh" w:hint="cs"/>
          <w:color w:val="auto"/>
          <w:kern w:val="0"/>
          <w:szCs w:val="26"/>
          <w:rtl/>
          <w:lang w:bidi="ar-JO"/>
          <w14:ligatures w14:val="none"/>
        </w:rPr>
        <w:t>).  يؤكد اسم يهوه على استقلالية الله السياديِّة وعلاقته العهدية مع الإنسان وإسرائيل.</w:t>
      </w:r>
    </w:p>
    <w:p w14:paraId="6867F025" w14:textId="7842BF4D"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وإذا أُخذت هاتان الآيتان معاً، فإنهما تنسبان الخليقة إلى اللقبين (الله ويهوه).  ويؤكد هذا على أن الله الخالق مرتبط بشكل حاسم "بيهوه، إله العهد".  عندما أرسل الله موسى، كان عليه أن يذهب باسم يهوه (خروج 3: 13-17؛ 6: 2-9)، الذي هو إله الخليقة المتسي</w:t>
      </w:r>
      <w:r w:rsidR="008C5865">
        <w:rPr>
          <w:rFonts w:eastAsia="Times New Roman" w:cs="DecoType Naskh" w:hint="cs"/>
          <w:color w:val="auto"/>
          <w:kern w:val="0"/>
          <w:szCs w:val="26"/>
          <w:rtl/>
          <w:lang w:bidi="ar-JO"/>
          <w14:ligatures w14:val="none"/>
        </w:rPr>
        <w:t>ّ</w:t>
      </w:r>
      <w:r w:rsidRPr="00E84DB1">
        <w:rPr>
          <w:rFonts w:eastAsia="Times New Roman" w:cs="DecoType Naskh" w:hint="cs"/>
          <w:color w:val="auto"/>
          <w:kern w:val="0"/>
          <w:szCs w:val="26"/>
          <w:rtl/>
          <w:lang w:bidi="ar-JO"/>
          <w14:ligatures w14:val="none"/>
        </w:rPr>
        <w:t xml:space="preserve">د. فهذا هو الإله الذي دخل في علاقة </w:t>
      </w:r>
      <w:r w:rsidRPr="00E84DB1">
        <w:rPr>
          <w:rFonts w:eastAsia="Times New Roman" w:cs="DecoType Naskh" w:hint="cs"/>
          <w:color w:val="auto"/>
          <w:kern w:val="0"/>
          <w:szCs w:val="26"/>
          <w:u w:val="single"/>
          <w:rtl/>
          <w:lang w:bidi="ar-JO"/>
          <w14:ligatures w14:val="none"/>
        </w:rPr>
        <w:t>عهد</w:t>
      </w:r>
      <w:r w:rsidRPr="00E84DB1">
        <w:rPr>
          <w:rFonts w:eastAsia="Times New Roman" w:cs="DecoType Naskh" w:hint="cs"/>
          <w:color w:val="auto"/>
          <w:kern w:val="0"/>
          <w:szCs w:val="26"/>
          <w:rtl/>
          <w:lang w:bidi="ar-JO"/>
          <w14:ligatures w14:val="none"/>
        </w:rPr>
        <w:t xml:space="preserve"> مع إبراهيم الذي يهدف إلى تخليص إسرائيل وإخراجها من مصر.</w:t>
      </w:r>
    </w:p>
    <w:p w14:paraId="7674B80B"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588"/>
        <w:jc w:val="both"/>
        <w:rPr>
          <w:rFonts w:eastAsia="Times New Roman" w:cs="DecoType Naskh"/>
          <w:color w:val="auto"/>
          <w:kern w:val="0"/>
          <w:szCs w:val="26"/>
          <w:rtl/>
          <w:lang w:bidi="ar-JO"/>
          <w14:ligatures w14:val="none"/>
        </w:rPr>
      </w:pPr>
    </w:p>
    <w:p w14:paraId="76C580D1"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righ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2.</w:t>
      </w:r>
      <w:r w:rsidRPr="00E84DB1">
        <w:rPr>
          <w:rFonts w:eastAsia="Times New Roman" w:cs="DecoType Naskh" w:hint="cs"/>
          <w:color w:val="auto"/>
          <w:kern w:val="0"/>
          <w:szCs w:val="26"/>
          <w:rtl/>
          <w:lang w:bidi="ar-JO"/>
          <w14:ligatures w14:val="none"/>
        </w:rPr>
        <w:tab/>
        <w:t>"خلَق" الله (بارا- بالعبرية</w:t>
      </w:r>
      <w:r w:rsidRPr="00E84DB1">
        <w:rPr>
          <w:rFonts w:eastAsia="Times New Roman" w:cs="DecoType Naskh" w:hint="cs"/>
          <w:color w:val="auto"/>
          <w:kern w:val="0"/>
          <w:szCs w:val="26"/>
          <w:rtl/>
          <w14:ligatures w14:val="none"/>
        </w:rPr>
        <w:t xml:space="preserve"> </w:t>
      </w:r>
      <w:r w:rsidRPr="00E84DB1">
        <w:rPr>
          <w:rFonts w:ascii="Charis SIL" w:eastAsia="Times New Roman" w:hAnsi="Charis SIL" w:cs="Charis SIL"/>
          <w:bCs/>
          <w:i/>
          <w:iCs/>
          <w:color w:val="auto"/>
          <w:kern w:val="0"/>
          <w:szCs w:val="26"/>
          <w:lang w:bidi="he-IL"/>
          <w14:ligatures w14:val="none"/>
        </w:rPr>
        <w:t>bārā’</w:t>
      </w:r>
      <w:r w:rsidRPr="00E84DB1">
        <w:rPr>
          <w:rFonts w:eastAsia="Times New Roman" w:cs="DecoType Naskh"/>
          <w:color w:val="auto"/>
          <w:kern w:val="0"/>
          <w:szCs w:val="26"/>
          <w14:ligatures w14:val="none"/>
        </w:rPr>
        <w:t xml:space="preserve"> - </w:t>
      </w:r>
      <w:r w:rsidRPr="00E84DB1">
        <w:rPr>
          <w:rFonts w:eastAsia="Times New Roman" w:cs="Arial" w:hint="cs"/>
          <w:color w:val="auto"/>
          <w:kern w:val="0"/>
          <w:szCs w:val="26"/>
          <w:rtl/>
          <w:lang w:bidi="he-IL"/>
          <w14:ligatures w14:val="none"/>
        </w:rPr>
        <w:t xml:space="preserve"> ־ </w:t>
      </w:r>
      <w:r w:rsidRPr="00E84DB1">
        <w:rPr>
          <w:rFonts w:ascii="Ezra SIL" w:eastAsia="Times New Roman" w:hAnsi="Ezra SIL" w:cs="Ezra SIL" w:hint="cs"/>
          <w:b/>
          <w:color w:val="auto"/>
          <w:kern w:val="0"/>
          <w:rtl/>
          <w:lang w:bidi="he-IL"/>
          <w14:ligatures w14:val="none"/>
        </w:rPr>
        <w:t>בָּרָא</w:t>
      </w:r>
      <w:r w:rsidRPr="00E84DB1">
        <w:rPr>
          <w:rFonts w:eastAsia="Times New Roman" w:cs="DecoType Naskh" w:hint="cs"/>
          <w:color w:val="auto"/>
          <w:kern w:val="0"/>
          <w:szCs w:val="26"/>
          <w:rtl/>
          <w:lang w:bidi="ar-JO"/>
          <w14:ligatures w14:val="none"/>
        </w:rPr>
        <w:t>)</w:t>
      </w:r>
    </w:p>
    <w:p w14:paraId="11EBD7D3"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lastRenderedPageBreak/>
        <w:t xml:space="preserve">على الرغم من أن كلمة </w:t>
      </w:r>
      <w:r w:rsidRPr="00E84DB1">
        <w:rPr>
          <w:rFonts w:eastAsia="Times New Roman" w:cs="DecoType Naskh" w:hint="cs"/>
          <w:color w:val="auto"/>
          <w:kern w:val="0"/>
          <w:szCs w:val="26"/>
          <w:u w:val="single"/>
          <w:rtl/>
          <w:lang w:bidi="ar-JO"/>
          <w14:ligatures w14:val="none"/>
        </w:rPr>
        <w:t>بارا</w:t>
      </w:r>
      <w:r w:rsidRPr="00E84DB1">
        <w:rPr>
          <w:rFonts w:eastAsia="Times New Roman" w:cs="DecoType Naskh" w:hint="cs"/>
          <w:color w:val="auto"/>
          <w:kern w:val="0"/>
          <w:szCs w:val="26"/>
          <w:rtl/>
          <w:lang w:bidi="ar-JO"/>
          <w14:ligatures w14:val="none"/>
        </w:rPr>
        <w:t xml:space="preserve"> لا تعني بالضرورة "يخلق من العدم"، إلاّ أن هذا هو المعنى المتضمن المحتمل في هذا السياق  (قارن مزمور 33: 6، 9 ورومية 4: 17).</w:t>
      </w:r>
      <w:r w:rsidRPr="00E84DB1">
        <w:rPr>
          <w:rFonts w:eastAsia="Times New Roman" w:cs="DecoType Naskh"/>
          <w:color w:val="auto"/>
          <w:kern w:val="0"/>
          <w:sz w:val="30"/>
          <w:szCs w:val="28"/>
          <w:vertAlign w:val="superscript"/>
          <w:rtl/>
          <w:lang w:bidi="ar-JO"/>
          <w14:ligatures w14:val="none"/>
        </w:rPr>
        <w:footnoteReference w:customMarkFollows="1" w:id="9"/>
        <w:t>1</w:t>
      </w:r>
      <w:r w:rsidRPr="00E84DB1">
        <w:rPr>
          <w:rFonts w:eastAsia="Times New Roman" w:cs="DecoType Naskh" w:hint="cs"/>
          <w:color w:val="auto"/>
          <w:kern w:val="0"/>
          <w:szCs w:val="26"/>
          <w:rtl/>
          <w:lang w:bidi="ar-JO"/>
          <w14:ligatures w14:val="none"/>
        </w:rPr>
        <w:t xml:space="preserve">  </w:t>
      </w:r>
    </w:p>
    <w:p w14:paraId="1FC383E9"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JO"/>
          <w14:ligatures w14:val="none"/>
        </w:rPr>
      </w:pPr>
    </w:p>
    <w:p w14:paraId="2AA83559" w14:textId="1466EABA"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550" w:right="2155"/>
        <w:jc w:val="both"/>
        <w:rPr>
          <w:rFonts w:eastAsia="Times New Roman" w:cs="DecoType Naskh"/>
          <w:color w:val="auto"/>
          <w:kern w:val="0"/>
          <w:szCs w:val="26"/>
          <w:rtl/>
          <w:lang w:bidi="ar-JO"/>
          <w14:ligatures w14:val="none"/>
        </w:rPr>
      </w:pPr>
      <w:bookmarkStart w:id="47" w:name="_Hlk156221035"/>
      <w:r w:rsidRPr="00E84DB1">
        <w:rPr>
          <w:rFonts w:eastAsia="Times New Roman" w:cs="DecoType Naskh" w:hint="cs"/>
          <w:color w:val="auto"/>
          <w:kern w:val="0"/>
          <w:szCs w:val="26"/>
          <w:rtl/>
          <w:lang w:bidi="ar-JO"/>
          <w14:ligatures w14:val="none"/>
        </w:rPr>
        <w:t>(</w:t>
      </w:r>
      <w:r w:rsidRPr="00E84DB1">
        <w:rPr>
          <w:rFonts w:ascii="Charis SIL" w:eastAsia="Times New Roman" w:hAnsi="Charis SIL" w:cs="Charis SIL"/>
          <w:bCs/>
          <w:i/>
          <w:color w:val="auto"/>
          <w:kern w:val="0"/>
          <w:szCs w:val="28"/>
          <w:lang w:bidi="he-IL"/>
          <w14:ligatures w14:val="none"/>
        </w:rPr>
        <w:t>yāṣar</w:t>
      </w:r>
      <w:r w:rsidRPr="00E84DB1">
        <w:rPr>
          <w:rFonts w:eastAsia="Times New Roman" w:cs="DecoType Naskh" w:hint="cs"/>
          <w:color w:val="auto"/>
          <w:kern w:val="0"/>
          <w:szCs w:val="26"/>
          <w:rtl/>
          <w14:ligatures w14:val="none"/>
        </w:rPr>
        <w:t xml:space="preserve">  -</w:t>
      </w:r>
      <w:r w:rsidRPr="00E84DB1">
        <w:rPr>
          <w:rFonts w:eastAsia="Times New Roman" w:cs="DecoType Naskh"/>
          <w:color w:val="auto"/>
          <w:kern w:val="0"/>
          <w:szCs w:val="26"/>
          <w14:ligatures w14:val="none"/>
        </w:rPr>
        <w:t xml:space="preserve"> </w:t>
      </w:r>
      <w:r w:rsidRPr="00E84DB1">
        <w:rPr>
          <w:rFonts w:ascii="Ezra SIL" w:eastAsia="Times New Roman" w:hAnsi="Ezra SIL" w:cs="Ezra SIL" w:hint="cs"/>
          <w:b/>
          <w:i/>
          <w:color w:val="auto"/>
          <w:kern w:val="0"/>
          <w:rtl/>
          <w:lang w:bidi="he-IL"/>
          <w14:ligatures w14:val="none"/>
        </w:rPr>
        <w:t>יָצַר</w:t>
      </w:r>
      <w:r w:rsidRPr="00E84DB1">
        <w:rPr>
          <w:rFonts w:eastAsia="Times New Roman" w:cs="DecoType Naskh" w:hint="cs"/>
          <w:color w:val="auto"/>
          <w:kern w:val="0"/>
          <w:szCs w:val="26"/>
          <w:rtl/>
          <w:lang w:bidi="ar-JO"/>
          <w14:ligatures w14:val="none"/>
        </w:rPr>
        <w:t>)</w:t>
      </w:r>
      <w:bookmarkEnd w:id="47"/>
      <w:r w:rsidRPr="00E84DB1">
        <w:rPr>
          <w:rFonts w:eastAsia="Times New Roman" w:cs="DecoType Naskh" w:hint="cs"/>
          <w:color w:val="auto"/>
          <w:kern w:val="0"/>
          <w:szCs w:val="26"/>
          <w:rtl/>
          <w:lang w:bidi="ar-JO"/>
          <w14:ligatures w14:val="none"/>
        </w:rPr>
        <w:t xml:space="preserve"> </w:t>
      </w:r>
      <w:r w:rsidRPr="00E84DB1">
        <w:rPr>
          <w:rFonts w:eastAsia="Times New Roman" w:cs="DecoType Naskh"/>
          <w:color w:val="auto"/>
          <w:kern w:val="0"/>
          <w:szCs w:val="26"/>
          <w:rtl/>
          <w:lang w:bidi="ar-JO"/>
          <w14:ligatures w14:val="none"/>
        </w:rPr>
        <w:t>–</w:t>
      </w:r>
      <w:r w:rsidRPr="00E84DB1">
        <w:rPr>
          <w:rFonts w:eastAsia="Times New Roman" w:cs="DecoType Naskh" w:hint="cs"/>
          <w:color w:val="auto"/>
          <w:kern w:val="0"/>
          <w:szCs w:val="26"/>
          <w:rtl/>
          <w:lang w:bidi="ar-JO"/>
          <w14:ligatures w14:val="none"/>
        </w:rPr>
        <w:t xml:space="preserve"> </w:t>
      </w:r>
      <w:r w:rsidRPr="00E84DB1">
        <w:rPr>
          <w:rFonts w:eastAsia="Times New Roman" w:cs="DecoType Naskh" w:hint="cs"/>
          <w:i/>
          <w:iCs/>
          <w:color w:val="auto"/>
          <w:kern w:val="0"/>
          <w:szCs w:val="26"/>
          <w:rtl/>
          <w:lang w:bidi="ar-JO"/>
          <w14:ligatures w14:val="none"/>
        </w:rPr>
        <w:t>ياتسار</w:t>
      </w:r>
      <w:r w:rsidR="008C5865">
        <w:rPr>
          <w:rFonts w:eastAsia="Times New Roman" w:cs="DecoType Naskh" w:hint="cs"/>
          <w:i/>
          <w:iCs/>
          <w:color w:val="auto"/>
          <w:kern w:val="0"/>
          <w:szCs w:val="26"/>
          <w:rtl/>
          <w:lang w:bidi="ar-JO"/>
          <w14:ligatures w14:val="none"/>
        </w:rPr>
        <w:t>، ياصار</w:t>
      </w:r>
      <w:r w:rsidRPr="00E84DB1">
        <w:rPr>
          <w:rFonts w:eastAsia="Times New Roman" w:cs="DecoType Naskh" w:hint="cs"/>
          <w:color w:val="auto"/>
          <w:kern w:val="0"/>
          <w:szCs w:val="26"/>
          <w:rtl/>
          <w:lang w:bidi="ar-JO"/>
          <w14:ligatures w14:val="none"/>
        </w:rPr>
        <w:t xml:space="preserve"> </w:t>
      </w:r>
      <w:r w:rsidRPr="00E84DB1">
        <w:rPr>
          <w:rFonts w:eastAsia="Times New Roman" w:cs="DecoType Naskh" w:hint="cs"/>
          <w:color w:val="auto"/>
          <w:kern w:val="0"/>
          <w:szCs w:val="26"/>
          <w:rtl/>
          <w:lang w:bidi="ar-JO"/>
          <w14:ligatures w14:val="none"/>
        </w:rPr>
        <w:tab/>
        <w:t>- يشكّل (قارن تكوين 2: 7)</w:t>
      </w:r>
    </w:p>
    <w:p w14:paraId="1213578C" w14:textId="4CEFFCFE"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550" w:right="1021"/>
        <w:jc w:val="both"/>
        <w:rPr>
          <w:rFonts w:eastAsia="Times New Roman" w:cs="DecoType Naskh"/>
          <w:color w:val="auto"/>
          <w:kern w:val="0"/>
          <w:szCs w:val="26"/>
          <w:lang w:bidi="ar-JO"/>
          <w14:ligatures w14:val="none"/>
        </w:rPr>
      </w:pPr>
      <w:r w:rsidRPr="00E84DB1">
        <w:rPr>
          <w:rFonts w:eastAsia="Times New Roman" w:cs="DecoType Naskh" w:hint="cs"/>
          <w:color w:val="auto"/>
          <w:kern w:val="0"/>
          <w:szCs w:val="26"/>
          <w:rtl/>
          <w:lang w:bidi="ar-JO"/>
          <w14:ligatures w14:val="none"/>
        </w:rPr>
        <w:t>(</w:t>
      </w:r>
      <w:proofErr w:type="spellStart"/>
      <w:r w:rsidRPr="00E84DB1">
        <w:rPr>
          <w:rFonts w:ascii="Charis SIL" w:eastAsia="Times New Roman" w:hAnsi="Charis SIL" w:cs="Charis SIL"/>
          <w:bCs/>
          <w:i/>
          <w:color w:val="auto"/>
          <w:kern w:val="0"/>
          <w:szCs w:val="28"/>
          <w:lang w:bidi="ar-JO"/>
          <w14:ligatures w14:val="none"/>
        </w:rPr>
        <w:t>ʿāśāh</w:t>
      </w:r>
      <w:proofErr w:type="spellEnd"/>
      <w:r w:rsidRPr="00E84DB1">
        <w:rPr>
          <w:rFonts w:eastAsia="Times New Roman" w:cs="DecoType Naskh" w:hint="cs"/>
          <w:color w:val="auto"/>
          <w:kern w:val="0"/>
          <w:szCs w:val="26"/>
          <w:rtl/>
          <w14:ligatures w14:val="none"/>
        </w:rPr>
        <w:t xml:space="preserve">  -</w:t>
      </w:r>
      <w:r w:rsidRPr="00E84DB1">
        <w:rPr>
          <w:rFonts w:eastAsia="Times New Roman" w:cs="DecoType Naskh"/>
          <w:color w:val="auto"/>
          <w:kern w:val="0"/>
          <w:szCs w:val="26"/>
          <w14:ligatures w14:val="none"/>
        </w:rPr>
        <w:t xml:space="preserve"> </w:t>
      </w:r>
      <w:r w:rsidRPr="00E84DB1">
        <w:rPr>
          <w:rFonts w:ascii="Ezra SIL" w:eastAsia="Times New Roman" w:hAnsi="Ezra SIL" w:cs="Ezra SIL" w:hint="cs"/>
          <w:b/>
          <w:i/>
          <w:color w:val="auto"/>
          <w:kern w:val="0"/>
          <w:rtl/>
          <w:lang w:bidi="he-IL"/>
          <w14:ligatures w14:val="none"/>
        </w:rPr>
        <w:t>עָשָׂה</w:t>
      </w:r>
      <w:r w:rsidRPr="00E84DB1">
        <w:rPr>
          <w:rFonts w:eastAsia="Times New Roman" w:cs="DecoType Naskh" w:hint="cs"/>
          <w:color w:val="auto"/>
          <w:kern w:val="0"/>
          <w:szCs w:val="26"/>
          <w:rtl/>
          <w:lang w:bidi="ar-JO"/>
          <w14:ligatures w14:val="none"/>
        </w:rPr>
        <w:t>) عاس</w:t>
      </w:r>
      <w:r w:rsidR="008C5865">
        <w:rPr>
          <w:rFonts w:eastAsia="Times New Roman" w:cs="DecoType Naskh" w:hint="cs"/>
          <w:color w:val="auto"/>
          <w:kern w:val="0"/>
          <w:szCs w:val="26"/>
          <w:rtl/>
          <w:lang w:bidi="ar-JO"/>
          <w14:ligatures w14:val="none"/>
        </w:rPr>
        <w:t>ا</w:t>
      </w:r>
      <w:r w:rsidRPr="00E84DB1">
        <w:rPr>
          <w:rFonts w:eastAsia="Times New Roman" w:cs="DecoType Naskh" w:hint="cs"/>
          <w:color w:val="auto"/>
          <w:kern w:val="0"/>
          <w:szCs w:val="26"/>
          <w:rtl/>
          <w:lang w:bidi="ar-JO"/>
          <w14:ligatures w14:val="none"/>
        </w:rPr>
        <w:tab/>
      </w:r>
      <w:r w:rsidRPr="00E84DB1">
        <w:rPr>
          <w:rFonts w:eastAsia="Times New Roman" w:cs="DecoType Naskh" w:hint="cs"/>
          <w:color w:val="auto"/>
          <w:kern w:val="0"/>
          <w:szCs w:val="26"/>
          <w:rtl/>
          <w:lang w:bidi="ar-JO"/>
          <w14:ligatures w14:val="none"/>
        </w:rPr>
        <w:tab/>
        <w:t xml:space="preserve">- يصنع </w:t>
      </w:r>
    </w:p>
    <w:p w14:paraId="0B1262E4"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550" w:righ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w:t>
      </w:r>
      <w:proofErr w:type="spellStart"/>
      <w:r w:rsidRPr="00E84DB1">
        <w:rPr>
          <w:rFonts w:ascii="Charis SIL" w:eastAsia="Times New Roman" w:hAnsi="Charis SIL" w:cs="Charis SIL"/>
          <w:bCs/>
          <w:i/>
          <w:color w:val="auto"/>
          <w:kern w:val="0"/>
          <w:szCs w:val="28"/>
          <w:lang w:bidi="he-IL"/>
          <w14:ligatures w14:val="none"/>
        </w:rPr>
        <w:t>yāsad</w:t>
      </w:r>
      <w:proofErr w:type="spellEnd"/>
      <w:r w:rsidRPr="00E84DB1">
        <w:rPr>
          <w:rFonts w:ascii="Charis SIL" w:eastAsia="Times New Roman" w:hAnsi="Charis SIL" w:cs="Charis SIL"/>
          <w:bCs/>
          <w:i/>
          <w:color w:val="auto"/>
          <w:kern w:val="0"/>
          <w:szCs w:val="28"/>
          <w:lang w:bidi="he-IL"/>
          <w14:ligatures w14:val="none"/>
        </w:rPr>
        <w:t>̱</w:t>
      </w:r>
      <w:r w:rsidRPr="00E84DB1">
        <w:rPr>
          <w:rFonts w:eastAsia="Times New Roman" w:cs="DecoType Naskh" w:hint="cs"/>
          <w:color w:val="auto"/>
          <w:kern w:val="0"/>
          <w:szCs w:val="26"/>
          <w:rtl/>
          <w14:ligatures w14:val="none"/>
        </w:rPr>
        <w:t xml:space="preserve">  -</w:t>
      </w:r>
      <w:r w:rsidRPr="00E84DB1">
        <w:rPr>
          <w:rFonts w:eastAsia="Times New Roman" w:cs="DecoType Naskh"/>
          <w:color w:val="auto"/>
          <w:kern w:val="0"/>
          <w:szCs w:val="26"/>
          <w14:ligatures w14:val="none"/>
        </w:rPr>
        <w:t xml:space="preserve"> </w:t>
      </w:r>
      <w:r w:rsidRPr="00E84DB1">
        <w:rPr>
          <w:rFonts w:ascii="Ezra SIL" w:eastAsia="Times New Roman" w:hAnsi="Ezra SIL" w:cs="Ezra SIL" w:hint="cs"/>
          <w:b/>
          <w:i/>
          <w:color w:val="auto"/>
          <w:kern w:val="0"/>
          <w:rtl/>
          <w:lang w:bidi="he-IL"/>
          <w14:ligatures w14:val="none"/>
        </w:rPr>
        <w:t>יָסַד</w:t>
      </w:r>
      <w:r w:rsidRPr="00E84DB1">
        <w:rPr>
          <w:rFonts w:eastAsia="Times New Roman" w:cs="DecoType Naskh" w:hint="cs"/>
          <w:color w:val="auto"/>
          <w:kern w:val="0"/>
          <w:szCs w:val="26"/>
          <w:rtl/>
          <w:lang w:bidi="ar-JO"/>
          <w14:ligatures w14:val="none"/>
        </w:rPr>
        <w:t>) ياسد</w:t>
      </w:r>
      <w:r w:rsidRPr="00E84DB1">
        <w:rPr>
          <w:rFonts w:eastAsia="Times New Roman" w:cs="DecoType Naskh" w:hint="cs"/>
          <w:color w:val="auto"/>
          <w:kern w:val="0"/>
          <w:szCs w:val="26"/>
          <w:rtl/>
          <w:lang w:bidi="ar-JO"/>
          <w14:ligatures w14:val="none"/>
        </w:rPr>
        <w:tab/>
      </w:r>
      <w:r w:rsidRPr="00E84DB1">
        <w:rPr>
          <w:rFonts w:eastAsia="Times New Roman" w:cs="DecoType Naskh" w:hint="cs"/>
          <w:color w:val="auto"/>
          <w:kern w:val="0"/>
          <w:szCs w:val="26"/>
          <w:rtl/>
          <w:lang w:bidi="ar-JO"/>
          <w14:ligatures w14:val="none"/>
        </w:rPr>
        <w:tab/>
        <w:t>-يؤسس</w:t>
      </w:r>
    </w:p>
    <w:p w14:paraId="5B686DD0"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550" w:righ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w:t>
      </w:r>
      <w:proofErr w:type="spellStart"/>
      <w:r w:rsidRPr="00E84DB1">
        <w:rPr>
          <w:rFonts w:ascii="Charis SIL" w:eastAsia="Times New Roman" w:hAnsi="Charis SIL" w:cs="Charis SIL"/>
          <w:bCs/>
          <w:i/>
          <w:color w:val="auto"/>
          <w:kern w:val="0"/>
          <w:szCs w:val="28"/>
          <w:lang w:bidi="he-IL"/>
          <w14:ligatures w14:val="none"/>
        </w:rPr>
        <w:t>yālad</w:t>
      </w:r>
      <w:proofErr w:type="spellEnd"/>
      <w:r w:rsidRPr="00E84DB1">
        <w:rPr>
          <w:rFonts w:ascii="Charis SIL" w:eastAsia="Times New Roman" w:hAnsi="Charis SIL" w:cs="Charis SIL"/>
          <w:bCs/>
          <w:i/>
          <w:color w:val="auto"/>
          <w:kern w:val="0"/>
          <w:szCs w:val="28"/>
          <w:lang w:bidi="he-IL"/>
          <w14:ligatures w14:val="none"/>
        </w:rPr>
        <w:t>̱</w:t>
      </w:r>
      <w:r w:rsidRPr="00E84DB1">
        <w:rPr>
          <w:rFonts w:eastAsia="Times New Roman" w:cs="DecoType Naskh" w:hint="cs"/>
          <w:color w:val="auto"/>
          <w:kern w:val="0"/>
          <w:szCs w:val="26"/>
          <w:rtl/>
          <w14:ligatures w14:val="none"/>
        </w:rPr>
        <w:t xml:space="preserve"> -</w:t>
      </w:r>
      <w:r w:rsidRPr="00E84DB1">
        <w:rPr>
          <w:rFonts w:ascii="Ezra SIL" w:eastAsia="Times New Roman" w:hAnsi="Ezra SIL" w:cs="Ezra SIL" w:hint="cs"/>
          <w:b/>
          <w:i/>
          <w:color w:val="auto"/>
          <w:kern w:val="0"/>
          <w:rtl/>
          <w:lang w:bidi="he-IL"/>
          <w14:ligatures w14:val="none"/>
        </w:rPr>
        <w:t xml:space="preserve"> יָלַד</w:t>
      </w:r>
      <w:r w:rsidRPr="00E84DB1">
        <w:rPr>
          <w:rFonts w:eastAsia="Times New Roman" w:cs="DecoType Naskh" w:hint="cs"/>
          <w:color w:val="auto"/>
          <w:kern w:val="0"/>
          <w:szCs w:val="26"/>
          <w:rtl/>
          <w:lang w:bidi="ar-JO"/>
          <w14:ligatures w14:val="none"/>
        </w:rPr>
        <w:t>) يالاد</w:t>
      </w:r>
      <w:r w:rsidRPr="00E84DB1">
        <w:rPr>
          <w:rFonts w:eastAsia="Times New Roman" w:cs="DecoType Naskh" w:hint="cs"/>
          <w:color w:val="auto"/>
          <w:kern w:val="0"/>
          <w:szCs w:val="26"/>
          <w:rtl/>
          <w:lang w:bidi="ar-JO"/>
          <w14:ligatures w14:val="none"/>
        </w:rPr>
        <w:tab/>
      </w:r>
      <w:r w:rsidRPr="00E84DB1">
        <w:rPr>
          <w:rFonts w:eastAsia="Times New Roman" w:cs="DecoType Naskh" w:hint="cs"/>
          <w:color w:val="auto"/>
          <w:kern w:val="0"/>
          <w:szCs w:val="26"/>
          <w:rtl/>
          <w:lang w:bidi="ar-JO"/>
          <w14:ligatures w14:val="none"/>
        </w:rPr>
        <w:tab/>
        <w:t>- يُنجب</w:t>
      </w:r>
    </w:p>
    <w:p w14:paraId="5049AC1D" w14:textId="178098C1"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550" w:right="2155"/>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w:t>
      </w:r>
      <w:proofErr w:type="spellStart"/>
      <w:r w:rsidRPr="00E84DB1">
        <w:rPr>
          <w:rFonts w:ascii="Charis SIL" w:eastAsia="Times New Roman" w:hAnsi="Charis SIL" w:cs="Charis SIL"/>
          <w:bCs/>
          <w:i/>
          <w:color w:val="auto"/>
          <w:kern w:val="0"/>
          <w:szCs w:val="28"/>
          <w:lang w:bidi="he-IL"/>
          <w14:ligatures w14:val="none"/>
        </w:rPr>
        <w:t>bāna</w:t>
      </w:r>
      <w:proofErr w:type="spellEnd"/>
      <w:r w:rsidRPr="00E84DB1">
        <w:rPr>
          <w:rFonts w:ascii="Charis SIL" w:eastAsia="Times New Roman" w:hAnsi="Charis SIL" w:cs="Charis SIL"/>
          <w:bCs/>
          <w:i/>
          <w:color w:val="auto"/>
          <w:kern w:val="0"/>
          <w:szCs w:val="28"/>
          <w:lang w:bidi="he-IL"/>
          <w14:ligatures w14:val="none"/>
        </w:rPr>
        <w:t>̂</w:t>
      </w:r>
      <w:r w:rsidRPr="00E84DB1">
        <w:rPr>
          <w:rFonts w:eastAsia="Times New Roman" w:cs="DecoType Naskh" w:hint="cs"/>
          <w:color w:val="auto"/>
          <w:kern w:val="0"/>
          <w:szCs w:val="26"/>
          <w:rtl/>
          <w14:ligatures w14:val="none"/>
        </w:rPr>
        <w:t xml:space="preserve">  -</w:t>
      </w:r>
      <w:r w:rsidRPr="00E84DB1">
        <w:rPr>
          <w:rFonts w:eastAsia="Times New Roman" w:cs="DecoType Naskh"/>
          <w:color w:val="auto"/>
          <w:kern w:val="0"/>
          <w:szCs w:val="26"/>
          <w14:ligatures w14:val="none"/>
        </w:rPr>
        <w:t xml:space="preserve"> </w:t>
      </w:r>
      <w:r w:rsidRPr="00E84DB1">
        <w:rPr>
          <w:rFonts w:ascii="Ezra SIL" w:eastAsia="Times New Roman" w:hAnsi="Ezra SIL" w:cs="Ezra SIL" w:hint="cs"/>
          <w:b/>
          <w:i/>
          <w:color w:val="auto"/>
          <w:kern w:val="0"/>
          <w:rtl/>
          <w:lang w:bidi="he-IL"/>
          <w14:ligatures w14:val="none"/>
        </w:rPr>
        <w:t>בָּנָה</w:t>
      </w:r>
      <w:r w:rsidRPr="00E84DB1">
        <w:rPr>
          <w:rFonts w:eastAsia="Times New Roman" w:cs="DecoType Naskh" w:hint="cs"/>
          <w:color w:val="auto"/>
          <w:kern w:val="0"/>
          <w:szCs w:val="26"/>
          <w:rtl/>
          <w:lang w:bidi="ar-JO"/>
          <w14:ligatures w14:val="none"/>
        </w:rPr>
        <w:t>) بان</w:t>
      </w:r>
      <w:r w:rsidR="008C5865">
        <w:rPr>
          <w:rFonts w:eastAsia="Times New Roman" w:cs="DecoType Naskh" w:hint="cs"/>
          <w:color w:val="auto"/>
          <w:kern w:val="0"/>
          <w:szCs w:val="26"/>
          <w:rtl/>
          <w:lang w:bidi="ar-JO"/>
          <w14:ligatures w14:val="none"/>
        </w:rPr>
        <w:t>ا</w:t>
      </w:r>
      <w:r w:rsidRPr="00E84DB1">
        <w:rPr>
          <w:rFonts w:eastAsia="Times New Roman" w:cs="DecoType Naskh" w:hint="cs"/>
          <w:color w:val="auto"/>
          <w:kern w:val="0"/>
          <w:szCs w:val="26"/>
          <w:rtl/>
          <w:lang w:bidi="ar-JO"/>
          <w14:ligatures w14:val="none"/>
        </w:rPr>
        <w:tab/>
      </w:r>
      <w:r w:rsidRPr="00E84DB1">
        <w:rPr>
          <w:rFonts w:eastAsia="Times New Roman" w:cs="DecoType Naskh" w:hint="cs"/>
          <w:color w:val="auto"/>
          <w:kern w:val="0"/>
          <w:szCs w:val="26"/>
          <w:rtl/>
          <w:lang w:bidi="ar-JO"/>
          <w14:ligatures w14:val="none"/>
        </w:rPr>
        <w:tab/>
        <w:t>- يبني (انظر تكوين 2: 22)</w:t>
      </w:r>
    </w:p>
    <w:p w14:paraId="355CAF6D"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2155"/>
        <w:jc w:val="both"/>
        <w:rPr>
          <w:rFonts w:eastAsia="Times New Roman" w:cs="DecoType Naskh"/>
          <w:color w:val="auto"/>
          <w:kern w:val="0"/>
          <w:szCs w:val="26"/>
          <w:rtl/>
          <w:lang w:bidi="ar-JO"/>
          <w14:ligatures w14:val="none"/>
        </w:rPr>
      </w:pPr>
    </w:p>
    <w:p w14:paraId="3FC2A8BD"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 w:val="30"/>
          <w:szCs w:val="28"/>
          <w:rtl/>
          <w:lang w:bidi="ar-KW"/>
          <w14:ligatures w14:val="none"/>
        </w:rPr>
      </w:pPr>
      <w:r w:rsidRPr="00E84DB1">
        <w:rPr>
          <w:rFonts w:eastAsia="Times New Roman" w:cs="DecoType Naskh" w:hint="cs"/>
          <w:color w:val="auto"/>
          <w:kern w:val="0"/>
          <w:szCs w:val="26"/>
          <w:rtl/>
          <w:lang w:bidi="ar-JO"/>
          <w14:ligatures w14:val="none"/>
        </w:rPr>
        <w:t xml:space="preserve">إن السمة الفريدة لكلمة </w:t>
      </w:r>
      <w:r w:rsidRPr="00E84DB1">
        <w:rPr>
          <w:rFonts w:eastAsia="Times New Roman" w:cs="DecoType Naskh" w:hint="cs"/>
          <w:color w:val="auto"/>
          <w:kern w:val="0"/>
          <w:szCs w:val="26"/>
          <w:u w:val="single"/>
          <w:rtl/>
          <w:lang w:bidi="ar-JO"/>
          <w14:ligatures w14:val="none"/>
        </w:rPr>
        <w:t>بارا</w:t>
      </w:r>
      <w:r w:rsidRPr="00E84DB1">
        <w:rPr>
          <w:rFonts w:eastAsia="Times New Roman" w:cs="DecoType Naskh" w:hint="cs"/>
          <w:color w:val="auto"/>
          <w:kern w:val="0"/>
          <w:szCs w:val="26"/>
          <w:rtl/>
          <w:lang w:bidi="ar-JO"/>
          <w14:ligatures w14:val="none"/>
        </w:rPr>
        <w:t xml:space="preserve"> </w:t>
      </w:r>
      <w:r w:rsidRPr="00E84DB1">
        <w:rPr>
          <w:rFonts w:ascii="Charis SIL" w:eastAsia="Times New Roman" w:hAnsi="Charis SIL" w:cs="Charis SIL"/>
          <w:bCs/>
          <w:i/>
          <w:iCs/>
          <w:color w:val="auto"/>
          <w:kern w:val="0"/>
          <w:szCs w:val="26"/>
          <w:lang w:bidi="he-IL"/>
          <w14:ligatures w14:val="none"/>
        </w:rPr>
        <w:t>bārā’</w:t>
      </w:r>
      <w:r w:rsidRPr="00E84DB1">
        <w:rPr>
          <w:rFonts w:eastAsia="Times New Roman" w:cs="DecoType Naskh" w:hint="cs"/>
          <w:color w:val="auto"/>
          <w:kern w:val="0"/>
          <w:szCs w:val="26"/>
          <w:rtl/>
          <w14:ligatures w14:val="none"/>
        </w:rPr>
        <w:t xml:space="preserve"> </w:t>
      </w:r>
      <w:r w:rsidRPr="00E84DB1">
        <w:rPr>
          <w:rFonts w:eastAsia="Times New Roman" w:cs="DecoType Naskh" w:hint="cs"/>
          <w:color w:val="auto"/>
          <w:kern w:val="0"/>
          <w:szCs w:val="26"/>
          <w:rtl/>
          <w:lang w:bidi="ar-JO"/>
          <w14:ligatures w14:val="none"/>
        </w:rPr>
        <w:t>هي أن استخدامها مقصور على وصف عمل الله (ولا تصف أبداً عمل الإنسان).</w:t>
      </w:r>
      <w:r w:rsidRPr="00E84DB1">
        <w:rPr>
          <w:rFonts w:eastAsia="Times New Roman" w:cs="DecoType Naskh"/>
          <w:color w:val="auto"/>
          <w:kern w:val="0"/>
          <w:sz w:val="30"/>
          <w:szCs w:val="28"/>
          <w:vertAlign w:val="superscript"/>
          <w:rtl/>
          <w:lang w:bidi="ar-JO"/>
          <w14:ligatures w14:val="none"/>
        </w:rPr>
        <w:footnoteReference w:customMarkFollows="1" w:id="10"/>
        <w:t>2</w:t>
      </w:r>
    </w:p>
    <w:p w14:paraId="29D020B8"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KW"/>
          <w14:ligatures w14:val="none"/>
        </w:rPr>
      </w:pPr>
    </w:p>
    <w:p w14:paraId="30840651"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righ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3.</w:t>
      </w:r>
      <w:r w:rsidRPr="00E84DB1">
        <w:rPr>
          <w:rFonts w:eastAsia="Times New Roman" w:cs="DecoType Naskh" w:hint="cs"/>
          <w:color w:val="auto"/>
          <w:kern w:val="0"/>
          <w:szCs w:val="26"/>
          <w:rtl/>
          <w:lang w:bidi="ar-JO"/>
          <w14:ligatures w14:val="none"/>
        </w:rPr>
        <w:tab/>
        <w:t xml:space="preserve">تضمينات </w:t>
      </w:r>
    </w:p>
    <w:p w14:paraId="53F3123D"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إن الفكرة هنا هي أن إله الكتاب المقدس هو خالق الكون المنظم، بما في ذلك عناصر الطبيعة التي يعبدها الوثنيون كآلهة (مثلاً الشمس والقمر).  فإيلوهيم هو المتسيد المطلق على كل مادّة.  ولهذا تضمينان:</w:t>
      </w:r>
    </w:p>
    <w:p w14:paraId="2F0F8C92"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أ.</w:t>
      </w:r>
      <w:r w:rsidRPr="00E84DB1">
        <w:rPr>
          <w:rFonts w:eastAsia="Times New Roman" w:cs="DecoType Naskh" w:hint="cs"/>
          <w:color w:val="auto"/>
          <w:kern w:val="0"/>
          <w:szCs w:val="26"/>
          <w:rtl/>
          <w:lang w:bidi="ar-JO"/>
          <w14:ligatures w14:val="none"/>
        </w:rPr>
        <w:tab/>
        <w:t>إله الكتاب المقدس هو الأسمى منزلة وكلي السلطة فوق كل "الآلهة" الأخرى المزعومة.</w:t>
      </w:r>
    </w:p>
    <w:p w14:paraId="029091C9"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ب.</w:t>
      </w:r>
      <w:r w:rsidRPr="00E84DB1">
        <w:rPr>
          <w:rFonts w:eastAsia="Times New Roman" w:cs="DecoType Naskh" w:hint="cs"/>
          <w:color w:val="auto"/>
          <w:kern w:val="0"/>
          <w:szCs w:val="26"/>
          <w:rtl/>
          <w:lang w:bidi="ar-JO"/>
          <w14:ligatures w14:val="none"/>
        </w:rPr>
        <w:tab/>
        <w:t>تتطلب سيادته الولاء.  ويجب أن يطاع لا عند مغادرة مصر فحسب، بل أيضاً في الخضوع المستمر للتوراة التي هي إرادة الله المعلنة.</w:t>
      </w:r>
    </w:p>
    <w:p w14:paraId="7F359033" w14:textId="77777777" w:rsidR="00E84DB1" w:rsidRPr="00E84DB1" w:rsidRDefault="00E84DB1" w:rsidP="002D6C54">
      <w:pPr>
        <w:tabs>
          <w:tab w:val="left" w:pos="454"/>
        </w:tabs>
        <w:bidi/>
        <w:spacing w:after="60" w:line="240" w:lineRule="auto"/>
        <w:ind w:right="550" w:hanging="550"/>
        <w:jc w:val="both"/>
        <w:rPr>
          <w:rFonts w:eastAsia="Times New Roman" w:cs="DecoType Naskh"/>
          <w:bCs/>
          <w:color w:val="auto"/>
          <w:kern w:val="0"/>
          <w:szCs w:val="26"/>
          <w:rtl/>
          <w:lang w:bidi="ar-KW"/>
          <w14:ligatures w14:val="none"/>
        </w:rPr>
      </w:pPr>
    </w:p>
    <w:p w14:paraId="44E9FFF9" w14:textId="77777777" w:rsidR="00E84DB1" w:rsidRPr="00E84DB1" w:rsidRDefault="00E84DB1" w:rsidP="002D6C54">
      <w:pPr>
        <w:tabs>
          <w:tab w:val="left" w:pos="454"/>
        </w:tabs>
        <w:bidi/>
        <w:spacing w:after="60" w:line="240" w:lineRule="auto"/>
        <w:ind w:right="550" w:hanging="550"/>
        <w:jc w:val="both"/>
        <w:rPr>
          <w:rFonts w:eastAsia="Times New Roman" w:cs="DecoType Naskh"/>
          <w:bCs/>
          <w:color w:val="auto"/>
          <w:kern w:val="0"/>
          <w:szCs w:val="26"/>
          <w:rtl/>
          <w14:ligatures w14:val="none"/>
        </w:rPr>
      </w:pPr>
      <w:r w:rsidRPr="00E84DB1">
        <w:rPr>
          <w:rFonts w:eastAsia="Times New Roman" w:cs="DecoType Naskh" w:hint="cs"/>
          <w:bCs/>
          <w:color w:val="auto"/>
          <w:kern w:val="0"/>
          <w:szCs w:val="26"/>
          <w:rtl/>
          <w14:ligatures w14:val="none"/>
        </w:rPr>
        <w:t>ب.</w:t>
      </w:r>
      <w:r w:rsidRPr="00E84DB1">
        <w:rPr>
          <w:rFonts w:eastAsia="Times New Roman" w:cs="DecoType Naskh" w:hint="cs"/>
          <w:bCs/>
          <w:color w:val="auto"/>
          <w:kern w:val="0"/>
          <w:szCs w:val="26"/>
          <w:rtl/>
          <w14:ligatures w14:val="none"/>
        </w:rPr>
        <w:tab/>
        <w:t>تفاصيل ظرفية حول عمل الخلق الأولي (1: 2)</w:t>
      </w:r>
    </w:p>
    <w:p w14:paraId="600DBF35"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righ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1.</w:t>
      </w:r>
      <w:r w:rsidRPr="00E84DB1">
        <w:rPr>
          <w:rFonts w:eastAsia="Times New Roman" w:cs="DecoType Naskh" w:hint="cs"/>
          <w:color w:val="auto"/>
          <w:kern w:val="0"/>
          <w:szCs w:val="26"/>
          <w:rtl/>
          <w:lang w:bidi="ar-JO"/>
          <w14:ligatures w14:val="none"/>
        </w:rPr>
        <w:tab/>
        <w:t>خربة وخالية (بلا شكل وغير مملوءة)</w:t>
      </w:r>
    </w:p>
    <w:p w14:paraId="0A6D4699"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يجب أن تترجم الآية الثانية كجملة ظرفية، "</w:t>
      </w:r>
      <w:r w:rsidRPr="00E84DB1">
        <w:rPr>
          <w:rFonts w:eastAsia="Times New Roman" w:cs="DecoType Naskh" w:hint="cs"/>
          <w:color w:val="auto"/>
          <w:kern w:val="0"/>
          <w:szCs w:val="26"/>
          <w:u w:val="single"/>
          <w:rtl/>
          <w:lang w:bidi="ar-JO"/>
          <w14:ligatures w14:val="none"/>
        </w:rPr>
        <w:t>والآن</w:t>
      </w:r>
      <w:r w:rsidRPr="00E84DB1">
        <w:rPr>
          <w:rFonts w:eastAsia="Times New Roman" w:cs="DecoType Naskh" w:hint="cs"/>
          <w:color w:val="auto"/>
          <w:kern w:val="0"/>
          <w:szCs w:val="26"/>
          <w:rtl/>
          <w:lang w:bidi="ar-JO"/>
          <w14:ligatures w14:val="none"/>
        </w:rPr>
        <w:t xml:space="preserve"> (أي في ذلك الحين) كانت الأرض....." فمع أن الأرض نتجت عن العمل الإبداعي لله (</w:t>
      </w:r>
      <w:r w:rsidRPr="00E84DB1">
        <w:rPr>
          <w:rFonts w:eastAsia="Times New Roman" w:cs="DecoType Naskh" w:hint="cs"/>
          <w:color w:val="auto"/>
          <w:kern w:val="0"/>
          <w:szCs w:val="26"/>
          <w:u w:val="single"/>
          <w:rtl/>
          <w:lang w:bidi="ar-JO"/>
          <w14:ligatures w14:val="none"/>
        </w:rPr>
        <w:t>الكامل</w:t>
      </w:r>
      <w:r w:rsidRPr="00E84DB1">
        <w:rPr>
          <w:rFonts w:eastAsia="Times New Roman" w:cs="DecoType Naskh" w:hint="cs"/>
          <w:color w:val="auto"/>
          <w:kern w:val="0"/>
          <w:szCs w:val="26"/>
          <w:rtl/>
          <w:lang w:bidi="ar-JO"/>
          <w14:ligatures w14:val="none"/>
        </w:rPr>
        <w:t xml:space="preserve">) إلاّ أنها لم تكن في حالة تسمّى معها "حسنة".  والسبب في ذلك هو أنها كانت تُعتَبَر </w:t>
      </w:r>
      <w:r w:rsidRPr="00E84DB1">
        <w:rPr>
          <w:rFonts w:eastAsia="Times New Roman" w:cs="DecoType Naskh" w:hint="cs"/>
          <w:i/>
          <w:iCs/>
          <w:color w:val="auto"/>
          <w:kern w:val="0"/>
          <w:szCs w:val="26"/>
          <w:rtl/>
          <w:lang w:bidi="ar-JO"/>
          <w14:ligatures w14:val="none"/>
        </w:rPr>
        <w:t>توهو وفوهو</w:t>
      </w:r>
      <w:r w:rsidRPr="00E84DB1">
        <w:rPr>
          <w:rFonts w:eastAsia="Times New Roman" w:cs="DecoType Naskh" w:hint="cs"/>
          <w:color w:val="auto"/>
          <w:kern w:val="0"/>
          <w:szCs w:val="26"/>
          <w:rtl/>
          <w:lang w:bidi="ar-JO"/>
          <w14:ligatures w14:val="none"/>
        </w:rPr>
        <w:t xml:space="preserve"> </w:t>
      </w:r>
      <w:r w:rsidRPr="00E84DB1">
        <w:rPr>
          <w:rFonts w:ascii="Charis SIL" w:eastAsia="Times New Roman" w:hAnsi="Charis SIL" w:cs="Charis SIL"/>
          <w:i/>
          <w:iCs/>
          <w:color w:val="auto"/>
          <w:kern w:val="0"/>
          <w:szCs w:val="26"/>
          <w:lang w:bidi="ar-JO"/>
          <w14:ligatures w14:val="none"/>
        </w:rPr>
        <w:t>ṯōhû wāḇōhû</w:t>
      </w:r>
      <w:r w:rsidRPr="00E84DB1">
        <w:rPr>
          <w:rFonts w:eastAsia="Times New Roman" w:cs="DecoType Naskh" w:hint="cs"/>
          <w:color w:val="auto"/>
          <w:kern w:val="0"/>
          <w:szCs w:val="26"/>
          <w:rtl/>
          <w:lang w:bidi="ar-JO"/>
          <w14:ligatures w14:val="none"/>
        </w:rPr>
        <w:t xml:space="preserve"> (الآية 2)، الذي يحمل على الأرجح فكرة أن الأرض كانت في الأصل بلا شك</w:t>
      </w:r>
      <w:r w:rsidRPr="00E84DB1">
        <w:rPr>
          <w:rFonts w:eastAsia="Times New Roman" w:cs="DecoType Naskh" w:hint="cs"/>
          <w:color w:val="auto"/>
          <w:kern w:val="0"/>
          <w:szCs w:val="26"/>
          <w:rtl/>
          <w14:ligatures w14:val="none"/>
        </w:rPr>
        <w:t>ل</w:t>
      </w:r>
      <w:r w:rsidRPr="00E84DB1">
        <w:rPr>
          <w:rFonts w:eastAsia="Times New Roman" w:cs="DecoType Naskh" w:hint="cs"/>
          <w:color w:val="auto"/>
          <w:kern w:val="0"/>
          <w:szCs w:val="26"/>
          <w:rtl/>
          <w:lang w:bidi="ar-JO"/>
          <w14:ligatures w14:val="none"/>
        </w:rPr>
        <w:t xml:space="preserve"> (أو غير مثمرة) وخالية (غير مملوءة).  وهذا يعني أن الأرض لم تكن صالحة لسكنى الإنسان.  وفضلاً عن ذلك، فإنه لا يوجد إلاّ الظلمة.  وبدءاً بالآية 3، يبدأ الله بمعالجة هذا الوضع.</w:t>
      </w:r>
    </w:p>
    <w:p w14:paraId="1D3A161A"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JO"/>
          <w14:ligatures w14:val="none"/>
        </w:rPr>
      </w:pPr>
    </w:p>
    <w:p w14:paraId="586EB7F7"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JO"/>
          <w14:ligatures w14:val="none"/>
        </w:rPr>
      </w:pPr>
    </w:p>
    <w:p w14:paraId="2A945460"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JO"/>
          <w14:ligatures w14:val="none"/>
        </w:rPr>
      </w:pPr>
    </w:p>
    <w:p w14:paraId="1775B1F5"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JO"/>
          <w14:ligatures w14:val="none"/>
        </w:rPr>
      </w:pPr>
    </w:p>
    <w:p w14:paraId="1938B7A2"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righ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2.</w:t>
      </w:r>
      <w:r w:rsidRPr="00E84DB1">
        <w:rPr>
          <w:rFonts w:eastAsia="Times New Roman" w:cs="DecoType Naskh" w:hint="cs"/>
          <w:color w:val="auto"/>
          <w:kern w:val="0"/>
          <w:szCs w:val="26"/>
          <w:rtl/>
          <w:lang w:bidi="ar-JO"/>
          <w14:ligatures w14:val="none"/>
        </w:rPr>
        <w:tab/>
        <w:t>روح الله</w:t>
      </w:r>
    </w:p>
    <w:p w14:paraId="2FE97B19"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على الرغم من ظلمة الأرض وخلوها من الحياة، إلا أنه يوجد رجاء، لأن روح الله موجود.  فالله مسيطر يرف على وجه المياه.  يُستخدَم هذا الفعل في تثنية 32: 11 لوصف حركة النسر وهو يرفرف بجناحيه فوق صغاره في عشِّها وهو يهتم بها ويرعاها.  يتسم نشاط روح الله بجوّ البحث والرعاية والملاحظة.  إنه روح الله الخالقُ الواهَبُ الحياة الذي ينتظر أن يهيئ الأرض لبرنامج الله مع الإنسان.</w:t>
      </w:r>
    </w:p>
    <w:p w14:paraId="2B243F3B"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JO"/>
          <w14:ligatures w14:val="none"/>
        </w:rPr>
      </w:pPr>
    </w:p>
    <w:p w14:paraId="289A8969"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righ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lastRenderedPageBreak/>
        <w:t>3.</w:t>
      </w:r>
      <w:r w:rsidRPr="00E84DB1">
        <w:rPr>
          <w:rFonts w:eastAsia="Times New Roman" w:cs="DecoType Naskh" w:hint="cs"/>
          <w:color w:val="auto"/>
          <w:kern w:val="0"/>
          <w:szCs w:val="26"/>
          <w:rtl/>
          <w:lang w:bidi="ar-JO"/>
          <w14:ligatures w14:val="none"/>
        </w:rPr>
        <w:tab/>
        <w:t>صورة فدائية</w:t>
      </w:r>
    </w:p>
    <w:p w14:paraId="4B9645DA"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على الرغم من أن المادة المسمّاة بالأرض جاءت نتيجة لعمل الله الإبداعي، إلاّ أن شكلها الأولي يتوقع عالماً شريراً ستحكم  فيه الخطية والموت.  فلا حياة هناك، والظلمة غامرة.  لا يوجد أي تمتع بعلاقة مع الله، أو إعجاب بمجده.  بل يوجد اختلاط لعناصر دون أن يكون بينها نظام.  غير أن الله سيستخدم هذا لكي يعرض نموذجاً لعمله الفدائي في الخلاص، </w:t>
      </w:r>
      <w:r w:rsidRPr="00E84DB1">
        <w:rPr>
          <w:rFonts w:eastAsia="Times New Roman" w:cs="DecoType Naskh" w:hint="cs"/>
          <w:color w:val="auto"/>
          <w:kern w:val="0"/>
          <w:szCs w:val="26"/>
          <w:u w:val="single"/>
          <w:rtl/>
          <w:lang w:bidi="ar-JO"/>
          <w14:ligatures w14:val="none"/>
        </w:rPr>
        <w:t>نموذجاً أولياً</w:t>
      </w:r>
      <w:r w:rsidRPr="00E84DB1">
        <w:rPr>
          <w:rFonts w:eastAsia="Times New Roman" w:cs="DecoType Naskh" w:hint="cs"/>
          <w:color w:val="auto"/>
          <w:kern w:val="0"/>
          <w:szCs w:val="26"/>
          <w:rtl/>
          <w:lang w:bidi="ar-JO"/>
          <w14:ligatures w14:val="none"/>
        </w:rPr>
        <w:t xml:space="preserve"> لأعمال خلاصه الكثيرة التالية.  فنحن نرى هنا، حتى في البداية مذاقاً أولياً أو صورة مسبقة لما يريد أن يفعله الله مع الإنسان الخاطئ:</w:t>
      </w:r>
    </w:p>
    <w:p w14:paraId="5F02ABB0"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"لأن الله الذي قال ’أن يشرق نور من ظلمة‘، هو الذي أشرق في قلوبنا لإنارة معرفة مجد الله في وجه يسوع المسيح."            (2 كورنثوس 4: 6؛ انظر 5: 17)</w:t>
      </w:r>
    </w:p>
    <w:p w14:paraId="04816392"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ففي وسط ظلمة حياتنا التي تسيطر عليها الخطية، يرف روح الله فوقنا بكل حرص، منتظراً اللحظة الثمينة لجلب النور وخلق حياة روحية فينا لكي يفرزنا لنفسه.</w:t>
      </w:r>
    </w:p>
    <w:p w14:paraId="72D58957"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0502BC61"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55018CC2" w14:textId="77777777" w:rsidR="00E84DB1" w:rsidRPr="00E84DB1" w:rsidRDefault="00E84DB1" w:rsidP="002D6C54">
      <w:pPr>
        <w:tabs>
          <w:tab w:val="left" w:pos="454"/>
        </w:tabs>
        <w:bidi/>
        <w:spacing w:after="60" w:line="240" w:lineRule="auto"/>
        <w:ind w:right="550" w:hanging="550"/>
        <w:jc w:val="both"/>
        <w:rPr>
          <w:rFonts w:eastAsia="Times New Roman" w:cs="DecoType Naskh"/>
          <w:bCs/>
          <w:color w:val="auto"/>
          <w:kern w:val="0"/>
          <w:szCs w:val="26"/>
          <w:rtl/>
          <w14:ligatures w14:val="none"/>
        </w:rPr>
      </w:pPr>
      <w:r w:rsidRPr="00E84DB1">
        <w:rPr>
          <w:rFonts w:eastAsia="Times New Roman" w:cs="DecoType Naskh" w:hint="cs"/>
          <w:bCs/>
          <w:color w:val="auto"/>
          <w:kern w:val="0"/>
          <w:szCs w:val="26"/>
          <w:rtl/>
          <w14:ligatures w14:val="none"/>
        </w:rPr>
        <w:t>جـ.</w:t>
      </w:r>
      <w:r w:rsidRPr="00E84DB1">
        <w:rPr>
          <w:rFonts w:eastAsia="Times New Roman" w:cs="DecoType Naskh" w:hint="cs"/>
          <w:bCs/>
          <w:color w:val="auto"/>
          <w:kern w:val="0"/>
          <w:szCs w:val="26"/>
          <w:rtl/>
          <w14:ligatures w14:val="none"/>
        </w:rPr>
        <w:tab/>
        <w:t>رواية الخلق في إعداد الأرض (1: 3-31)</w:t>
      </w:r>
    </w:p>
    <w:p w14:paraId="3781DF2B"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righ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1.</w:t>
      </w:r>
      <w:r w:rsidRPr="00E84DB1">
        <w:rPr>
          <w:rFonts w:eastAsia="Times New Roman" w:cs="DecoType Naskh" w:hint="cs"/>
          <w:color w:val="auto"/>
          <w:kern w:val="0"/>
          <w:szCs w:val="26"/>
          <w:rtl/>
          <w:lang w:bidi="ar-JO"/>
          <w14:ligatures w14:val="none"/>
        </w:rPr>
        <w:tab/>
        <w:t xml:space="preserve">إلهنا منظَّم </w:t>
      </w:r>
    </w:p>
    <w:p w14:paraId="0C5B55A8"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KW"/>
          <w14:ligatures w14:val="none"/>
        </w:rPr>
      </w:pPr>
      <w:r w:rsidRPr="00E84DB1">
        <w:rPr>
          <w:rFonts w:eastAsia="Times New Roman" w:cs="DecoType Naskh" w:hint="cs"/>
          <w:color w:val="auto"/>
          <w:kern w:val="0"/>
          <w:szCs w:val="26"/>
          <w:rtl/>
          <w:lang w:bidi="ar-JO"/>
          <w14:ligatures w14:val="none"/>
        </w:rPr>
        <w:t xml:space="preserve">يبدأ الله العمل من ذلك المكان الزاخر بالظلمة لكي يجلب النظام بذكاء لا ينافس.  والفكرة هنا هي أن يحوّل الأرض من حالتها غير الصالحة للسكن إلى حالة تصلح فيها لسكن الإنسان (إشعياء 45: 18).  وبهذا يتم تجاوز حالة </w:t>
      </w:r>
      <w:r w:rsidRPr="00E84DB1">
        <w:rPr>
          <w:rFonts w:eastAsia="Times New Roman" w:cs="DecoType Naskh" w:hint="cs"/>
          <w:i/>
          <w:iCs/>
          <w:color w:val="auto"/>
          <w:kern w:val="0"/>
          <w:szCs w:val="26"/>
          <w:rtl/>
          <w:lang w:bidi="ar-JO"/>
          <w14:ligatures w14:val="none"/>
        </w:rPr>
        <w:t xml:space="preserve">توهو وفوهو </w:t>
      </w:r>
      <w:r w:rsidRPr="00E84DB1">
        <w:rPr>
          <w:rFonts w:ascii="Hebrewtl" w:eastAsia="Times New Roman" w:hAnsi="Hebrewtl" w:cs="DecoType Naskh"/>
          <w:color w:val="auto"/>
          <w:kern w:val="0"/>
          <w:szCs w:val="26"/>
          <w14:ligatures w14:val="none"/>
        </w:rPr>
        <w:t>t)</w:t>
      </w:r>
      <w:proofErr w:type="spellStart"/>
      <w:r w:rsidRPr="00E84DB1">
        <w:rPr>
          <w:rFonts w:ascii="Hebrewtl" w:eastAsia="Times New Roman" w:hAnsi="Hebrewtl" w:cs="DecoType Naskh"/>
          <w:color w:val="auto"/>
          <w:kern w:val="0"/>
          <w:szCs w:val="26"/>
          <w14:ligatures w14:val="none"/>
        </w:rPr>
        <w:t>hW</w:t>
      </w:r>
      <w:proofErr w:type="spellEnd"/>
      <w:r w:rsidRPr="00E84DB1">
        <w:rPr>
          <w:rFonts w:ascii="Hebrewtl" w:eastAsia="Times New Roman" w:hAnsi="Hebrewtl" w:cs="DecoType Naskh"/>
          <w:color w:val="auto"/>
          <w:kern w:val="0"/>
          <w:szCs w:val="26"/>
          <w14:ligatures w14:val="none"/>
        </w:rPr>
        <w:t xml:space="preserve"> w*b)</w:t>
      </w:r>
      <w:proofErr w:type="spellStart"/>
      <w:r w:rsidRPr="00E84DB1">
        <w:rPr>
          <w:rFonts w:ascii="Hebrewtl" w:eastAsia="Times New Roman" w:hAnsi="Hebrewtl" w:cs="DecoType Naskh"/>
          <w:color w:val="auto"/>
          <w:kern w:val="0"/>
          <w:szCs w:val="26"/>
          <w14:ligatures w14:val="none"/>
        </w:rPr>
        <w:t>hW</w:t>
      </w:r>
      <w:proofErr w:type="spellEnd"/>
      <w:r w:rsidRPr="00E84DB1">
        <w:rPr>
          <w:rFonts w:eastAsia="Times New Roman" w:cs="DecoType Naskh" w:hint="cs"/>
          <w:color w:val="auto"/>
          <w:kern w:val="0"/>
          <w:szCs w:val="26"/>
          <w:rtl/>
          <w:lang w:bidi="ar-JO"/>
          <w14:ligatures w14:val="none"/>
        </w:rPr>
        <w:t xml:space="preserve"> (خربة خالية) </w:t>
      </w:r>
      <w:r w:rsidRPr="00E84DB1">
        <w:rPr>
          <w:rFonts w:eastAsia="Times New Roman" w:cs="DecoType Naskh"/>
          <w:color w:val="auto"/>
          <w:kern w:val="0"/>
          <w:szCs w:val="26"/>
          <w:rtl/>
          <w:lang w:bidi="ar-JO"/>
          <w14:ligatures w14:val="none"/>
        </w:rPr>
        <w:t>–</w:t>
      </w:r>
      <w:r w:rsidRPr="00E84DB1">
        <w:rPr>
          <w:rFonts w:eastAsia="Times New Roman" w:cs="DecoType Naskh" w:hint="cs"/>
          <w:color w:val="auto"/>
          <w:kern w:val="0"/>
          <w:szCs w:val="26"/>
          <w:rtl/>
          <w14:ligatures w14:val="none"/>
        </w:rPr>
        <w:t xml:space="preserve"> </w:t>
      </w:r>
      <w:r w:rsidRPr="00E84DB1">
        <w:rPr>
          <w:rFonts w:eastAsia="Times New Roman" w:cs="DecoType Naskh" w:hint="cs"/>
          <w:color w:val="auto"/>
          <w:kern w:val="0"/>
          <w:szCs w:val="26"/>
          <w:rtl/>
          <w:lang w:bidi="ar-JO"/>
          <w14:ligatures w14:val="none"/>
        </w:rPr>
        <w:t>لأن الله سيشكل الأرض ويملؤها.  لنلاحظ بحرص بنية هذا الفصل:</w:t>
      </w:r>
    </w:p>
    <w:p w14:paraId="26F1CA20"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KW"/>
          <w14:ligatures w14:val="none"/>
        </w:rPr>
      </w:pPr>
    </w:p>
    <w:p w14:paraId="24E3FB07" w14:textId="535FA12B"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right"/>
        <w:rPr>
          <w:rFonts w:eastAsia="Times New Roman" w:cs="DecoType Naskh"/>
          <w:color w:val="auto"/>
          <w:kern w:val="0"/>
          <w:szCs w:val="26"/>
          <w:rtl/>
          <w:lang w:bidi="ar-KW"/>
          <w14:ligatures w14:val="none"/>
        </w:rPr>
      </w:pPr>
      <w:r w:rsidRPr="00E84DB1">
        <w:rPr>
          <w:rFonts w:eastAsia="Times New Roman" w:cs="DecoType Naskh" w:hint="cs"/>
          <w:noProof/>
          <w:color w:val="auto"/>
          <w:kern w:val="0"/>
          <w:szCs w:val="26"/>
          <w:lang w:bidi="ar-KW"/>
          <w14:ligatures w14:val="none"/>
        </w:rPr>
        <w:drawing>
          <wp:inline distT="0" distB="0" distL="0" distR="0" wp14:anchorId="6CDC1BE5" wp14:editId="30D0BFEC">
            <wp:extent cx="5943600" cy="3343275"/>
            <wp:effectExtent l="0" t="0" r="0" b="0"/>
            <wp:docPr id="1656645717" name="Picture 1"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645717" name="Picture 1" descr="A table with text on it&#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5922075F"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KW"/>
          <w14:ligatures w14:val="none"/>
        </w:rPr>
      </w:pPr>
    </w:p>
    <w:p w14:paraId="5184DFB4" w14:textId="77777777" w:rsidR="00E84DB1" w:rsidRPr="00E84DB1" w:rsidRDefault="00E84DB1" w:rsidP="002D6C54">
      <w:pPr>
        <w:bidi/>
        <w:spacing w:after="0" w:line="240" w:lineRule="auto"/>
        <w:rPr>
          <w:rFonts w:eastAsia="Times New Roman" w:cs="DecoType Naskh"/>
          <w:color w:val="auto"/>
          <w:kern w:val="0"/>
          <w:szCs w:val="18"/>
          <w:rtl/>
          <w:lang w:bidi="ar-KW"/>
          <w14:ligatures w14:val="none"/>
        </w:rPr>
      </w:pPr>
    </w:p>
    <w:p w14:paraId="7186D939"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righ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2.</w:t>
      </w:r>
      <w:r w:rsidRPr="00E84DB1">
        <w:rPr>
          <w:rFonts w:eastAsia="Times New Roman" w:cs="DecoType Naskh" w:hint="cs"/>
          <w:color w:val="auto"/>
          <w:kern w:val="0"/>
          <w:szCs w:val="26"/>
          <w:rtl/>
          <w:lang w:bidi="ar-JO"/>
          <w14:ligatures w14:val="none"/>
        </w:rPr>
        <w:tab/>
        <w:t>الكلمة الخلاّقة</w:t>
      </w:r>
    </w:p>
    <w:p w14:paraId="5D4861E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إن كلمة بسيطة من الله هي التي توجد الأشياء في هذا العمل الإبداعي الإلهي.  وهذه الفكرة هامة، لأن قوة كلمة الله كانت هامّة لإسرائيل.  إذ يمكن الاعتماد عليها، وهي تعطيهم التوكيد والضمان حين يتحركون </w:t>
      </w:r>
      <w:r w:rsidRPr="00E84DB1">
        <w:rPr>
          <w:rFonts w:eastAsia="Times New Roman" w:cs="DecoType Naskh" w:hint="cs"/>
          <w:color w:val="auto"/>
          <w:kern w:val="0"/>
          <w:szCs w:val="26"/>
          <w:rtl/>
          <w:lang w:bidi="ar-JO"/>
          <w14:ligatures w14:val="none"/>
        </w:rPr>
        <w:lastRenderedPageBreak/>
        <w:t>بالإيمان.  فما نطق به يهوه كان قوياً وأكيداً في نفس الوقت.  وهو قادر على أن يفي بما وعد به.  ولهذا لا بد أن يستجيبوا لكلمة الله بالطاعة المطلقة والثقة الكاملة.</w:t>
      </w:r>
    </w:p>
    <w:p w14:paraId="3CE1DBFA"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14:ligatures w14:val="none"/>
        </w:rPr>
      </w:pPr>
    </w:p>
    <w:p w14:paraId="3FC0CA9B"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righ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3.</w:t>
      </w:r>
      <w:r w:rsidRPr="00E84DB1">
        <w:rPr>
          <w:rFonts w:eastAsia="Times New Roman" w:cs="DecoType Naskh" w:hint="cs"/>
          <w:color w:val="auto"/>
          <w:kern w:val="0"/>
          <w:szCs w:val="26"/>
          <w:rtl/>
          <w:lang w:bidi="ar-JO"/>
          <w14:ligatures w14:val="none"/>
        </w:rPr>
        <w:tab/>
        <w:t>فكرة النور</w:t>
      </w:r>
    </w:p>
    <w:p w14:paraId="62296C68"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مع خلق النور، يُبدِّد الله الظلمة.  وسيصير النور والظلمة رمزين رئيسيين في الكتاب المقدس للخير والشر.  وسيكون النور سمة للفداء وقداسة الله (مزمور 18: 28-29، 1 يوحنا 1: 5-6).  وعندما نأتي إلى يسوع، فإننا نرى تطبيق هذه الفكرة عليه: "</w:t>
      </w:r>
      <w:r w:rsidRPr="00E84DB1">
        <w:rPr>
          <w:rFonts w:eastAsia="Times New Roman" w:cs="DecoType Naskh" w:hint="cs"/>
          <w:i/>
          <w:iCs/>
          <w:color w:val="auto"/>
          <w:kern w:val="0"/>
          <w:szCs w:val="26"/>
          <w:rtl/>
          <w:lang w:bidi="ar-JO"/>
          <w14:ligatures w14:val="none"/>
        </w:rPr>
        <w:t>فيه كانت الحياة، والحياة كانت نور الناس، والنور يضيء في الظلمة، والظلمة لم تدركه</w:t>
      </w:r>
      <w:r w:rsidRPr="00E84DB1">
        <w:rPr>
          <w:rFonts w:eastAsia="Times New Roman" w:cs="DecoType Naskh" w:hint="cs"/>
          <w:color w:val="auto"/>
          <w:kern w:val="0"/>
          <w:szCs w:val="26"/>
          <w:rtl/>
          <w:lang w:bidi="ar-JO"/>
          <w14:ligatures w14:val="none"/>
        </w:rPr>
        <w:t>."</w:t>
      </w:r>
    </w:p>
    <w:p w14:paraId="6A30B249"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JO"/>
          <w14:ligatures w14:val="none"/>
        </w:rPr>
      </w:pPr>
    </w:p>
    <w:p w14:paraId="693498EC"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righ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4.</w:t>
      </w:r>
      <w:r w:rsidRPr="00E84DB1">
        <w:rPr>
          <w:rFonts w:eastAsia="Times New Roman" w:cs="DecoType Naskh" w:hint="cs"/>
          <w:color w:val="auto"/>
          <w:kern w:val="0"/>
          <w:szCs w:val="26"/>
          <w:rtl/>
          <w:lang w:bidi="ar-JO"/>
          <w14:ligatures w14:val="none"/>
        </w:rPr>
        <w:tab/>
        <w:t>تقويم عمل الله</w:t>
      </w:r>
    </w:p>
    <w:p w14:paraId="21DB7FFC"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بعد كل يوم من عمل الله، توجد عملية تقويم من الله بصيغة: "ورأى الله أنه حسن".  وهذا أمر غائب عن اليوم الثاني لأن الله بدأ بعملية "فصل مكانية" في ذلك اليوم لكنه لم ينهها إلاّ في اليوم الثالث.  ومن الواضح أن الله يقصد أن تتركز دراما الخلق على الإنسان، فالله يقول بعد خلقه للإنسان، "</w:t>
      </w:r>
      <w:r w:rsidRPr="00E84DB1">
        <w:rPr>
          <w:rFonts w:eastAsia="Times New Roman" w:cs="DecoType Naskh" w:hint="cs"/>
          <w:i/>
          <w:iCs/>
          <w:color w:val="auto"/>
          <w:kern w:val="0"/>
          <w:szCs w:val="26"/>
          <w:rtl/>
          <w:lang w:bidi="ar-JO"/>
          <w14:ligatures w14:val="none"/>
        </w:rPr>
        <w:t>فإذا هو حسن جداً</w:t>
      </w:r>
      <w:r w:rsidRPr="00E84DB1">
        <w:rPr>
          <w:rFonts w:eastAsia="Times New Roman" w:cs="DecoType Naskh" w:hint="cs"/>
          <w:color w:val="auto"/>
          <w:kern w:val="0"/>
          <w:szCs w:val="26"/>
          <w:rtl/>
          <w:lang w:bidi="ar-JO"/>
          <w14:ligatures w14:val="none"/>
        </w:rPr>
        <w:t>".  وما كل هذا العمل الإبداعي إلاّ إعداد للرجل والمرأة.</w:t>
      </w:r>
    </w:p>
    <w:p w14:paraId="7CC9AFC0"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JO"/>
          <w14:ligatures w14:val="none"/>
        </w:rPr>
      </w:pPr>
    </w:p>
    <w:p w14:paraId="3DD6C885"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JO"/>
          <w14:ligatures w14:val="none"/>
        </w:rPr>
      </w:pPr>
    </w:p>
    <w:p w14:paraId="73D7709A"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righ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5.</w:t>
      </w:r>
      <w:r w:rsidRPr="00E84DB1">
        <w:rPr>
          <w:rFonts w:eastAsia="Times New Roman" w:cs="DecoType Naskh" w:hint="cs"/>
          <w:color w:val="auto"/>
          <w:kern w:val="0"/>
          <w:szCs w:val="26"/>
          <w:rtl/>
          <w:lang w:bidi="ar-JO"/>
          <w14:ligatures w14:val="none"/>
        </w:rPr>
        <w:tab/>
        <w:t xml:space="preserve">السلطة للرجل </w:t>
      </w:r>
    </w:p>
    <w:p w14:paraId="2B07BF6E" w14:textId="482C6732"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إن ذروة هذا الفصل في خلق الرجل والمرأة.</w:t>
      </w:r>
      <w:r w:rsidRPr="00E84DB1">
        <w:rPr>
          <w:rFonts w:eastAsia="Times New Roman" w:cs="DecoType Naskh"/>
          <w:color w:val="auto"/>
          <w:kern w:val="0"/>
          <w:sz w:val="28"/>
          <w:szCs w:val="28"/>
          <w:vertAlign w:val="superscript"/>
          <w:rtl/>
          <w:lang w:bidi="ar-JO"/>
          <w14:ligatures w14:val="none"/>
        </w:rPr>
        <w:footnoteReference w:customMarkFollows="1" w:id="11"/>
        <w:t>3</w:t>
      </w:r>
      <w:r w:rsidRPr="00E84DB1">
        <w:rPr>
          <w:rFonts w:eastAsia="Times New Roman" w:cs="DecoType Naskh" w:hint="cs"/>
          <w:color w:val="auto"/>
          <w:kern w:val="0"/>
          <w:szCs w:val="26"/>
          <w:rtl/>
          <w:lang w:bidi="ar-JO"/>
          <w14:ligatures w14:val="none"/>
        </w:rPr>
        <w:t xml:space="preserve"> لنلاحظ النقلة من "ليكن" إلى "نعمل" (بمعنى "لنعمل").</w:t>
      </w:r>
      <w:r w:rsidRPr="00E84DB1">
        <w:rPr>
          <w:rFonts w:eastAsia="Times New Roman" w:cs="DecoType Naskh"/>
          <w:color w:val="auto"/>
          <w:kern w:val="0"/>
          <w:sz w:val="30"/>
          <w:szCs w:val="28"/>
          <w:vertAlign w:val="superscript"/>
          <w:rtl/>
          <w:lang w:bidi="ar-JO"/>
          <w14:ligatures w14:val="none"/>
        </w:rPr>
        <w:footnoteReference w:customMarkFollows="1" w:id="12"/>
        <w:t>4</w:t>
      </w:r>
      <w:r w:rsidRPr="00E84DB1">
        <w:rPr>
          <w:rFonts w:eastAsia="Times New Roman" w:cs="DecoType Naskh" w:hint="cs"/>
          <w:color w:val="auto"/>
          <w:kern w:val="0"/>
          <w:szCs w:val="26"/>
          <w:rtl/>
          <w:lang w:bidi="ar-JO"/>
          <w14:ligatures w14:val="none"/>
        </w:rPr>
        <w:t xml:space="preserve"> ليس الرجل والمرأة الجانب النهائي لعمل الله، لكن الله قصد لهما أن يحكما ويمارسا السلطة على الخليقة.  كان آدم الإداري الثيوقراطي عند الله.  وكانت لديه "سلطة مفوضة" كوسيط لدور الله.  وبمعنى ما فإن الله يشرك الإنسان في هذا الحكم الذي هو حق الله وامتيازه الفريدان.</w:t>
      </w:r>
    </w:p>
    <w:p w14:paraId="63479F9F"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588"/>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lastRenderedPageBreak/>
        <w:t>هذا هو الإنسان كما خُلق ليكون ... مشاركاً في حكم الله على الأرض.  وإنه لأمر محزن أن الإنسان سيفوّت هذا الامتياز بعصيانه وسقوطه (انظر مزمور 8: عبرانيين 2: 6-8).  لكنه، بنعمة الله، سيُرد للإنسان في المسيح ويتحقق في تأسيس ملكوت الرب للأمناء له.</w:t>
      </w:r>
    </w:p>
    <w:p w14:paraId="4DC38D99"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588"/>
        <w:jc w:val="both"/>
        <w:rPr>
          <w:rFonts w:eastAsia="Times New Roman" w:cs="DecoType Naskh"/>
          <w:color w:val="auto"/>
          <w:kern w:val="0"/>
          <w:szCs w:val="26"/>
          <w:rtl/>
          <w14:ligatures w14:val="none"/>
        </w:rPr>
      </w:pPr>
    </w:p>
    <w:p w14:paraId="621C0391" w14:textId="18E42D27" w:rsidR="00E84DB1" w:rsidRPr="00E84DB1" w:rsidRDefault="00E83954" w:rsidP="002D6C54">
      <w:pPr>
        <w:bidi/>
        <w:spacing w:after="0" w:line="240" w:lineRule="auto"/>
        <w:rPr>
          <w:rFonts w:eastAsia="Times New Roman" w:cs="DecoType Naskh"/>
          <w:color w:val="auto"/>
          <w:kern w:val="0"/>
          <w:szCs w:val="18"/>
          <w:rtl/>
          <w:lang w:bidi="ar-JO"/>
          <w14:ligatures w14:val="none"/>
        </w:rPr>
      </w:pPr>
      <w:r>
        <w:rPr>
          <w:rFonts w:eastAsia="Times New Roman" w:cs="DecoType Naskh"/>
          <w:noProof/>
          <w:color w:val="auto"/>
          <w:kern w:val="0"/>
          <w:sz w:val="20"/>
          <w:szCs w:val="18"/>
          <w:rtl/>
          <w:lang w:val="ar-SA"/>
          <w14:ligatures w14:val="none"/>
        </w:rPr>
        <mc:AlternateContent>
          <mc:Choice Requires="wps">
            <w:drawing>
              <wp:anchor distT="0" distB="0" distL="114300" distR="114300" simplePos="0" relativeHeight="251664384" behindDoc="1" locked="0" layoutInCell="1" allowOverlap="1" wp14:anchorId="268C3BBA" wp14:editId="5C648F8E">
                <wp:simplePos x="0" y="0"/>
                <wp:positionH relativeFrom="column">
                  <wp:align>center</wp:align>
                </wp:positionH>
                <wp:positionV relativeFrom="paragraph">
                  <wp:posOffset>635</wp:posOffset>
                </wp:positionV>
                <wp:extent cx="4909820" cy="1839595"/>
                <wp:effectExtent l="5080" t="8255" r="9525" b="9525"/>
                <wp:wrapTight wrapText="bothSides">
                  <wp:wrapPolygon edited="0">
                    <wp:start x="-42" y="0"/>
                    <wp:lineTo x="-42" y="21600"/>
                    <wp:lineTo x="21642" y="21600"/>
                    <wp:lineTo x="21642" y="0"/>
                    <wp:lineTo x="-42" y="0"/>
                  </wp:wrapPolygon>
                </wp:wrapTight>
                <wp:docPr id="46"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9820" cy="1839595"/>
                        </a:xfrm>
                        <a:prstGeom prst="rect">
                          <a:avLst/>
                        </a:prstGeom>
                        <a:solidFill>
                          <a:srgbClr val="FFFFFF"/>
                        </a:solidFill>
                        <a:ln w="9525">
                          <a:solidFill>
                            <a:srgbClr val="000000"/>
                          </a:solidFill>
                          <a:miter lim="800000"/>
                          <a:headEnd/>
                          <a:tailEnd/>
                        </a:ln>
                      </wps:spPr>
                      <wps:txbx>
                        <w:txbxContent>
                          <w:p w14:paraId="53270B6A" w14:textId="77777777" w:rsidR="00E84DB1" w:rsidRDefault="00E84DB1" w:rsidP="00E84DB1">
                            <w:pPr>
                              <w:pStyle w:val="Head3"/>
                              <w:rPr>
                                <w:rtl/>
                              </w:rPr>
                            </w:pPr>
                            <w:r>
                              <w:rPr>
                                <w:rFonts w:hint="cs"/>
                                <w:rtl/>
                              </w:rPr>
                              <w:t>خطة الله في إشراك الإنسان في هيمنته</w:t>
                            </w:r>
                          </w:p>
                          <w:p w14:paraId="1BEDB8A7" w14:textId="77777777" w:rsidR="00E84DB1" w:rsidRDefault="00E84DB1" w:rsidP="00E84DB1">
                            <w:pPr>
                              <w:pStyle w:val="BodyTxt"/>
                              <w:ind w:left="0" w:right="454"/>
                              <w:rPr>
                                <w:rtl/>
                              </w:rPr>
                            </w:pPr>
                            <w:r>
                              <w:rPr>
                                <w:rFonts w:hint="cs"/>
                                <w:rtl/>
                              </w:rPr>
                              <w:t>1.</w:t>
                            </w:r>
                            <w:r>
                              <w:rPr>
                                <w:rFonts w:hint="cs"/>
                                <w:rtl/>
                              </w:rPr>
                              <w:tab/>
                              <w:t>قصد الله الأصلي</w:t>
                            </w:r>
                            <w:r>
                              <w:rPr>
                                <w:rFonts w:hint="cs"/>
                                <w:rtl/>
                              </w:rPr>
                              <w:tab/>
                            </w:r>
                            <w:r>
                              <w:rPr>
                                <w:rFonts w:hint="cs"/>
                                <w:rtl/>
                              </w:rPr>
                              <w:tab/>
                            </w:r>
                            <w:r>
                              <w:rPr>
                                <w:rFonts w:hint="cs"/>
                                <w:rtl/>
                              </w:rPr>
                              <w:tab/>
                            </w:r>
                            <w:r>
                              <w:rPr>
                                <w:rFonts w:hint="cs"/>
                                <w:rtl/>
                              </w:rPr>
                              <w:tab/>
                              <w:t>تكوين 1: 26-28</w:t>
                            </w:r>
                          </w:p>
                          <w:p w14:paraId="09D19BAA" w14:textId="77777777" w:rsidR="00E84DB1" w:rsidRDefault="00E84DB1" w:rsidP="00E84DB1">
                            <w:pPr>
                              <w:pStyle w:val="BodyTxt"/>
                              <w:ind w:left="0" w:right="454"/>
                              <w:rPr>
                                <w:rtl/>
                              </w:rPr>
                            </w:pPr>
                            <w:r>
                              <w:rPr>
                                <w:rFonts w:hint="cs"/>
                                <w:rtl/>
                              </w:rPr>
                              <w:t>2.</w:t>
                            </w:r>
                            <w:r>
                              <w:rPr>
                                <w:rFonts w:hint="cs"/>
                                <w:rtl/>
                              </w:rPr>
                              <w:tab/>
                              <w:t xml:space="preserve">هلاك الإنسان من خلال السقوط </w:t>
                            </w:r>
                            <w:r>
                              <w:rPr>
                                <w:rFonts w:hint="cs"/>
                                <w:rtl/>
                              </w:rPr>
                              <w:tab/>
                            </w:r>
                            <w:r>
                              <w:rPr>
                                <w:rFonts w:hint="cs"/>
                                <w:rtl/>
                              </w:rPr>
                              <w:tab/>
                            </w:r>
                            <w:r>
                              <w:rPr>
                                <w:rFonts w:hint="cs"/>
                                <w:rtl/>
                              </w:rPr>
                              <w:tab/>
                              <w:t>عبرانيين 2: 8</w:t>
                            </w:r>
                          </w:p>
                          <w:p w14:paraId="494D76B0" w14:textId="77777777" w:rsidR="00E84DB1" w:rsidRDefault="00E84DB1" w:rsidP="00E84DB1">
                            <w:pPr>
                              <w:pStyle w:val="BodyTxt"/>
                              <w:ind w:left="0" w:right="454"/>
                              <w:rPr>
                                <w:rtl/>
                              </w:rPr>
                            </w:pPr>
                            <w:r>
                              <w:rPr>
                                <w:rFonts w:hint="cs"/>
                                <w:rtl/>
                              </w:rPr>
                              <w:t>3.</w:t>
                            </w:r>
                            <w:r>
                              <w:rPr>
                                <w:rFonts w:hint="cs"/>
                                <w:rtl/>
                              </w:rPr>
                              <w:tab/>
                              <w:t xml:space="preserve">رد الإنسان لله من خلال المسيح </w:t>
                            </w:r>
                            <w:r>
                              <w:rPr>
                                <w:rFonts w:hint="cs"/>
                                <w:rtl/>
                              </w:rPr>
                              <w:tab/>
                            </w:r>
                            <w:r>
                              <w:rPr>
                                <w:rFonts w:hint="cs"/>
                                <w:rtl/>
                              </w:rPr>
                              <w:tab/>
                            </w:r>
                            <w:r>
                              <w:rPr>
                                <w:rFonts w:hint="cs"/>
                                <w:rtl/>
                              </w:rPr>
                              <w:tab/>
                              <w:t>مزمور 72: 8؛ 11: 2</w:t>
                            </w:r>
                          </w:p>
                          <w:p w14:paraId="3BCF250A" w14:textId="77777777" w:rsidR="00E84DB1" w:rsidRDefault="00E84DB1" w:rsidP="00E84DB1">
                            <w:pPr>
                              <w:pStyle w:val="BodyTxt"/>
                              <w:ind w:left="0" w:right="454"/>
                              <w:rPr>
                                <w:rtl/>
                              </w:rPr>
                            </w:pPr>
                            <w:r>
                              <w:rPr>
                                <w:rFonts w:hint="cs"/>
                                <w:rtl/>
                              </w:rPr>
                              <w:t>4.</w:t>
                            </w:r>
                            <w:r>
                              <w:rPr>
                                <w:rFonts w:hint="cs"/>
                                <w:rtl/>
                              </w:rPr>
                              <w:tab/>
                              <w:t xml:space="preserve">متاح لكل الذين يحتملون بصبر </w:t>
                            </w:r>
                            <w:r>
                              <w:rPr>
                                <w:rFonts w:hint="cs"/>
                                <w:rtl/>
                              </w:rPr>
                              <w:tab/>
                            </w:r>
                            <w:r>
                              <w:rPr>
                                <w:rFonts w:hint="cs"/>
                                <w:rtl/>
                              </w:rPr>
                              <w:tab/>
                            </w:r>
                            <w:r>
                              <w:rPr>
                                <w:rFonts w:hint="cs"/>
                                <w:rtl/>
                              </w:rPr>
                              <w:tab/>
                              <w:t>2ثيموثاوس 2: 12؛ عبرانيين 10: 36</w:t>
                            </w:r>
                          </w:p>
                          <w:p w14:paraId="14CCC814" w14:textId="77777777" w:rsidR="00E84DB1" w:rsidRDefault="00E84DB1" w:rsidP="00E84DB1">
                            <w:pPr>
                              <w:bidi/>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8C3BBA" id="_x0000_t202" coordsize="21600,21600" o:spt="202" path="m,l,21600r21600,l21600,xe">
                <v:stroke joinstyle="miter"/>
                <v:path gradientshapeok="t" o:connecttype="rect"/>
              </v:shapetype>
              <v:shape id="Text Box 58" o:spid="_x0000_s1026" type="#_x0000_t202" style="position:absolute;left:0;text-align:left;margin-left:0;margin-top:.05pt;width:386.6pt;height:144.85pt;z-index:-251652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">
                <v:textbox>
                  <w:txbxContent>
                    <w:p w14:paraId="53270B6A" w14:textId="77777777" w:rsidR="00E84DB1" w:rsidRDefault="00E84DB1" w:rsidP="00E84DB1">
                      <w:pPr>
                        <w:pStyle w:val="Head3"/>
                        <w:rPr>
                          <w:rtl/>
                        </w:rPr>
                      </w:pPr>
                      <w:r>
                        <w:rPr>
                          <w:rFonts w:hint="cs"/>
                          <w:rtl/>
                        </w:rPr>
                        <w:t>خطة الله في إشراك الإنسان في هيمنته</w:t>
                      </w:r>
                    </w:p>
                    <w:p w14:paraId="1BEDB8A7" w14:textId="77777777" w:rsidR="00E84DB1" w:rsidRDefault="00E84DB1" w:rsidP="00E84DB1">
                      <w:pPr>
                        <w:pStyle w:val="BodyTxt"/>
                        <w:ind w:left="0" w:right="454"/>
                        <w:rPr>
                          <w:rtl/>
                        </w:rPr>
                      </w:pPr>
                      <w:r>
                        <w:rPr>
                          <w:rFonts w:hint="cs"/>
                          <w:rtl/>
                        </w:rPr>
                        <w:t>1.</w:t>
                      </w:r>
                      <w:r>
                        <w:rPr>
                          <w:rFonts w:hint="cs"/>
                          <w:rtl/>
                        </w:rPr>
                        <w:tab/>
                        <w:t>قصد الله الأصلي</w:t>
                      </w:r>
                      <w:r>
                        <w:rPr>
                          <w:rFonts w:hint="cs"/>
                          <w:rtl/>
                        </w:rPr>
                        <w:tab/>
                      </w:r>
                      <w:r>
                        <w:rPr>
                          <w:rFonts w:hint="cs"/>
                          <w:rtl/>
                        </w:rPr>
                        <w:tab/>
                      </w:r>
                      <w:r>
                        <w:rPr>
                          <w:rFonts w:hint="cs"/>
                          <w:rtl/>
                        </w:rPr>
                        <w:tab/>
                      </w:r>
                      <w:r>
                        <w:rPr>
                          <w:rFonts w:hint="cs"/>
                          <w:rtl/>
                        </w:rPr>
                        <w:tab/>
                        <w:t>تكوين 1: 26-28</w:t>
                      </w:r>
                    </w:p>
                    <w:p w14:paraId="09D19BAA" w14:textId="77777777" w:rsidR="00E84DB1" w:rsidRDefault="00E84DB1" w:rsidP="00E84DB1">
                      <w:pPr>
                        <w:pStyle w:val="BodyTxt"/>
                        <w:ind w:left="0" w:right="454"/>
                        <w:rPr>
                          <w:rtl/>
                        </w:rPr>
                      </w:pPr>
                      <w:r>
                        <w:rPr>
                          <w:rFonts w:hint="cs"/>
                          <w:rtl/>
                        </w:rPr>
                        <w:t>2.</w:t>
                      </w:r>
                      <w:r>
                        <w:rPr>
                          <w:rFonts w:hint="cs"/>
                          <w:rtl/>
                        </w:rPr>
                        <w:tab/>
                        <w:t xml:space="preserve">هلاك الإنسان من خلال السقوط </w:t>
                      </w:r>
                      <w:r>
                        <w:rPr>
                          <w:rFonts w:hint="cs"/>
                          <w:rtl/>
                        </w:rPr>
                        <w:tab/>
                      </w:r>
                      <w:r>
                        <w:rPr>
                          <w:rFonts w:hint="cs"/>
                          <w:rtl/>
                        </w:rPr>
                        <w:tab/>
                      </w:r>
                      <w:r>
                        <w:rPr>
                          <w:rFonts w:hint="cs"/>
                          <w:rtl/>
                        </w:rPr>
                        <w:tab/>
                        <w:t>عبرانيين 2: 8</w:t>
                      </w:r>
                    </w:p>
                    <w:p w14:paraId="494D76B0" w14:textId="77777777" w:rsidR="00E84DB1" w:rsidRDefault="00E84DB1" w:rsidP="00E84DB1">
                      <w:pPr>
                        <w:pStyle w:val="BodyTxt"/>
                        <w:ind w:left="0" w:right="454"/>
                        <w:rPr>
                          <w:rtl/>
                        </w:rPr>
                      </w:pPr>
                      <w:r>
                        <w:rPr>
                          <w:rFonts w:hint="cs"/>
                          <w:rtl/>
                        </w:rPr>
                        <w:t>3.</w:t>
                      </w:r>
                      <w:r>
                        <w:rPr>
                          <w:rFonts w:hint="cs"/>
                          <w:rtl/>
                        </w:rPr>
                        <w:tab/>
                        <w:t xml:space="preserve">رد الإنسان لله من خلال المسيح </w:t>
                      </w:r>
                      <w:r>
                        <w:rPr>
                          <w:rFonts w:hint="cs"/>
                          <w:rtl/>
                        </w:rPr>
                        <w:tab/>
                      </w:r>
                      <w:r>
                        <w:rPr>
                          <w:rFonts w:hint="cs"/>
                          <w:rtl/>
                        </w:rPr>
                        <w:tab/>
                      </w:r>
                      <w:r>
                        <w:rPr>
                          <w:rFonts w:hint="cs"/>
                          <w:rtl/>
                        </w:rPr>
                        <w:tab/>
                        <w:t>مزمور 72: 8؛ 11: 2</w:t>
                      </w:r>
                    </w:p>
                    <w:p w14:paraId="3BCF250A" w14:textId="77777777" w:rsidR="00E84DB1" w:rsidRDefault="00E84DB1" w:rsidP="00E84DB1">
                      <w:pPr>
                        <w:pStyle w:val="BodyTxt"/>
                        <w:ind w:left="0" w:right="454"/>
                        <w:rPr>
                          <w:rtl/>
                        </w:rPr>
                      </w:pPr>
                      <w:r>
                        <w:rPr>
                          <w:rFonts w:hint="cs"/>
                          <w:rtl/>
                        </w:rPr>
                        <w:t>4.</w:t>
                      </w:r>
                      <w:r>
                        <w:rPr>
                          <w:rFonts w:hint="cs"/>
                          <w:rtl/>
                        </w:rPr>
                        <w:tab/>
                        <w:t xml:space="preserve">متاح لكل الذين يحتملون بصبر </w:t>
                      </w:r>
                      <w:r>
                        <w:rPr>
                          <w:rFonts w:hint="cs"/>
                          <w:rtl/>
                        </w:rPr>
                        <w:tab/>
                      </w:r>
                      <w:r>
                        <w:rPr>
                          <w:rFonts w:hint="cs"/>
                          <w:rtl/>
                        </w:rPr>
                        <w:tab/>
                      </w:r>
                      <w:r>
                        <w:rPr>
                          <w:rFonts w:hint="cs"/>
                          <w:rtl/>
                        </w:rPr>
                        <w:tab/>
                        <w:t>2ثيموثاوس 2: 12؛ عبرانيين 10: 36</w:t>
                      </w:r>
                    </w:p>
                    <w:p w14:paraId="14CCC814" w14:textId="77777777" w:rsidR="00E84DB1" w:rsidRDefault="00E84DB1" w:rsidP="00E84DB1">
                      <w:pPr>
                        <w:bidi/>
                      </w:pPr>
                    </w:p>
                  </w:txbxContent>
                </v:textbox>
                <w10:wrap type="tight"/>
              </v:shape>
            </w:pict>
          </mc:Fallback>
        </mc:AlternateContent>
      </w:r>
    </w:p>
    <w:p w14:paraId="67C1BB79" w14:textId="77777777" w:rsidR="00E84DB1" w:rsidRPr="00E84DB1" w:rsidRDefault="00E84DB1" w:rsidP="002D6C54">
      <w:pPr>
        <w:bidi/>
        <w:spacing w:after="0" w:line="240" w:lineRule="auto"/>
        <w:rPr>
          <w:rFonts w:eastAsia="Times New Roman" w:cs="DecoType Naskh"/>
          <w:color w:val="auto"/>
          <w:kern w:val="0"/>
          <w:szCs w:val="18"/>
          <w:rtl/>
          <w14:ligatures w14:val="none"/>
        </w:rPr>
      </w:pPr>
    </w:p>
    <w:p w14:paraId="0E41FD15" w14:textId="77777777" w:rsidR="00E84DB1" w:rsidRPr="00E84DB1" w:rsidRDefault="00E84DB1" w:rsidP="002D6C54">
      <w:pPr>
        <w:bidi/>
        <w:spacing w:after="0" w:line="240" w:lineRule="auto"/>
        <w:rPr>
          <w:rFonts w:eastAsia="Times New Roman" w:cs="DecoType Naskh"/>
          <w:color w:val="auto"/>
          <w:kern w:val="0"/>
          <w:szCs w:val="18"/>
          <w:rtl/>
          <w14:ligatures w14:val="none"/>
        </w:rPr>
      </w:pPr>
    </w:p>
    <w:p w14:paraId="1496C63B" w14:textId="77777777" w:rsidR="00E84DB1" w:rsidRPr="00E84DB1" w:rsidRDefault="00E84DB1" w:rsidP="002D6C54">
      <w:pPr>
        <w:bidi/>
        <w:spacing w:after="0" w:line="240" w:lineRule="auto"/>
        <w:rPr>
          <w:rFonts w:eastAsia="Times New Roman" w:cs="DecoType Naskh"/>
          <w:color w:val="auto"/>
          <w:kern w:val="0"/>
          <w:szCs w:val="18"/>
          <w:rtl/>
          <w14:ligatures w14:val="none"/>
        </w:rPr>
      </w:pPr>
    </w:p>
    <w:p w14:paraId="773F705D" w14:textId="77777777" w:rsidR="00E84DB1" w:rsidRPr="00E84DB1" w:rsidRDefault="00E84DB1" w:rsidP="002D6C54">
      <w:pPr>
        <w:bidi/>
        <w:spacing w:after="0" w:line="240" w:lineRule="auto"/>
        <w:rPr>
          <w:rFonts w:eastAsia="Times New Roman" w:cs="DecoType Naskh"/>
          <w:color w:val="auto"/>
          <w:kern w:val="0"/>
          <w:szCs w:val="18"/>
          <w:rtl/>
          <w14:ligatures w14:val="none"/>
        </w:rPr>
      </w:pPr>
    </w:p>
    <w:p w14:paraId="57C6A30F" w14:textId="77777777" w:rsidR="00E84DB1" w:rsidRPr="00E84DB1" w:rsidRDefault="00E84DB1" w:rsidP="002D6C54">
      <w:pPr>
        <w:bidi/>
        <w:spacing w:after="0" w:line="240" w:lineRule="auto"/>
        <w:rPr>
          <w:rFonts w:eastAsia="Times New Roman" w:cs="DecoType Naskh"/>
          <w:color w:val="auto"/>
          <w:kern w:val="0"/>
          <w:szCs w:val="18"/>
          <w:rtl/>
          <w14:ligatures w14:val="none"/>
        </w:rPr>
      </w:pPr>
    </w:p>
    <w:p w14:paraId="7A6A5947" w14:textId="77777777" w:rsidR="00E84DB1" w:rsidRPr="00E84DB1" w:rsidRDefault="00E84DB1" w:rsidP="002D6C54">
      <w:pPr>
        <w:bidi/>
        <w:spacing w:after="0" w:line="240" w:lineRule="auto"/>
        <w:rPr>
          <w:rFonts w:eastAsia="Times New Roman" w:cs="DecoType Naskh"/>
          <w:color w:val="auto"/>
          <w:kern w:val="0"/>
          <w:szCs w:val="18"/>
          <w:rtl/>
          <w14:ligatures w14:val="none"/>
        </w:rPr>
      </w:pPr>
    </w:p>
    <w:p w14:paraId="5CEFE909" w14:textId="77777777" w:rsidR="00E84DB1" w:rsidRPr="00E84DB1" w:rsidRDefault="00E84DB1" w:rsidP="002D6C54">
      <w:pPr>
        <w:bidi/>
        <w:spacing w:after="0" w:line="240" w:lineRule="auto"/>
        <w:rPr>
          <w:rFonts w:eastAsia="Times New Roman" w:cs="DecoType Naskh"/>
          <w:color w:val="auto"/>
          <w:kern w:val="0"/>
          <w:szCs w:val="18"/>
          <w:rtl/>
          <w14:ligatures w14:val="none"/>
        </w:rPr>
      </w:pPr>
    </w:p>
    <w:p w14:paraId="7ACBDC00" w14:textId="77777777" w:rsidR="00E84DB1" w:rsidRPr="00E84DB1" w:rsidRDefault="00E84DB1" w:rsidP="002D6C54">
      <w:pPr>
        <w:bidi/>
        <w:spacing w:after="0" w:line="240" w:lineRule="auto"/>
        <w:rPr>
          <w:rFonts w:eastAsia="Times New Roman" w:cs="DecoType Naskh"/>
          <w:color w:val="auto"/>
          <w:kern w:val="0"/>
          <w:szCs w:val="18"/>
          <w:rtl/>
          <w14:ligatures w14:val="none"/>
        </w:rPr>
      </w:pPr>
    </w:p>
    <w:p w14:paraId="79C3F51E" w14:textId="77777777" w:rsidR="00E84DB1" w:rsidRPr="00E84DB1" w:rsidRDefault="00E84DB1" w:rsidP="002D6C54">
      <w:pPr>
        <w:bidi/>
        <w:spacing w:after="0" w:line="240" w:lineRule="auto"/>
        <w:rPr>
          <w:rFonts w:eastAsia="Times New Roman" w:cs="DecoType Naskh"/>
          <w:color w:val="auto"/>
          <w:kern w:val="0"/>
          <w:szCs w:val="18"/>
          <w:rtl/>
          <w14:ligatures w14:val="none"/>
        </w:rPr>
      </w:pPr>
    </w:p>
    <w:p w14:paraId="6460961A" w14:textId="77777777" w:rsidR="00E84DB1" w:rsidRPr="00E84DB1" w:rsidRDefault="00E84DB1" w:rsidP="002D6C54">
      <w:pPr>
        <w:tabs>
          <w:tab w:val="left" w:pos="454"/>
        </w:tabs>
        <w:bidi/>
        <w:spacing w:after="60" w:line="240" w:lineRule="auto"/>
        <w:ind w:right="550" w:hanging="550"/>
        <w:jc w:val="both"/>
        <w:rPr>
          <w:rFonts w:eastAsia="Times New Roman" w:cs="DecoType Naskh"/>
          <w:bCs/>
          <w:color w:val="auto"/>
          <w:kern w:val="0"/>
          <w:szCs w:val="26"/>
          <w:rtl/>
          <w:lang w:bidi="ar-KW"/>
          <w14:ligatures w14:val="none"/>
        </w:rPr>
      </w:pPr>
      <w:r w:rsidRPr="00E84DB1">
        <w:rPr>
          <w:rFonts w:eastAsia="Times New Roman" w:cs="DecoType Naskh" w:hint="cs"/>
          <w:bCs/>
          <w:color w:val="auto"/>
          <w:kern w:val="0"/>
          <w:szCs w:val="26"/>
          <w:rtl/>
          <w14:ligatures w14:val="none"/>
        </w:rPr>
        <w:t>د.</w:t>
      </w:r>
      <w:r w:rsidRPr="00E84DB1">
        <w:rPr>
          <w:rFonts w:eastAsia="Times New Roman" w:cs="DecoType Naskh" w:hint="cs"/>
          <w:bCs/>
          <w:color w:val="auto"/>
          <w:kern w:val="0"/>
          <w:szCs w:val="26"/>
          <w:rtl/>
          <w14:ligatures w14:val="none"/>
        </w:rPr>
        <w:tab/>
        <w:t xml:space="preserve">تصريح ختامي تلخيصي لعملية الخلق </w:t>
      </w:r>
    </w:p>
    <w:p w14:paraId="686B5FF9" w14:textId="77777777" w:rsidR="00E84DB1" w:rsidRPr="00E84DB1" w:rsidRDefault="00E84DB1" w:rsidP="002D6C54">
      <w:pPr>
        <w:tabs>
          <w:tab w:val="left" w:pos="454"/>
        </w:tabs>
        <w:bidi/>
        <w:spacing w:after="60" w:line="240" w:lineRule="auto"/>
        <w:ind w:right="550" w:hanging="550"/>
        <w:jc w:val="both"/>
        <w:rPr>
          <w:rFonts w:eastAsia="Times New Roman" w:cs="DecoType Naskh"/>
          <w:bCs/>
          <w:color w:val="auto"/>
          <w:kern w:val="0"/>
          <w:szCs w:val="26"/>
          <w:rtl/>
          <w:lang w:bidi="ar-KW"/>
          <w14:ligatures w14:val="none"/>
        </w:rPr>
      </w:pPr>
    </w:p>
    <w:p w14:paraId="7A4DCF4F" w14:textId="77777777" w:rsidR="00E84DB1" w:rsidRPr="00E84DB1" w:rsidRDefault="00E84DB1" w:rsidP="002D6C54">
      <w:pPr>
        <w:tabs>
          <w:tab w:val="left" w:pos="454"/>
        </w:tabs>
        <w:bidi/>
        <w:spacing w:after="60" w:line="240" w:lineRule="auto"/>
        <w:ind w:right="550" w:hanging="550"/>
        <w:jc w:val="both"/>
        <w:rPr>
          <w:rFonts w:eastAsia="Times New Roman" w:cs="DecoType Naskh"/>
          <w:bCs/>
          <w:color w:val="auto"/>
          <w:kern w:val="0"/>
          <w:szCs w:val="26"/>
          <w:rtl/>
          <w14:ligatures w14:val="none"/>
        </w:rPr>
      </w:pPr>
      <w:r w:rsidRPr="00E84DB1">
        <w:rPr>
          <w:rFonts w:eastAsia="Times New Roman" w:cs="DecoType Naskh" w:hint="cs"/>
          <w:bCs/>
          <w:color w:val="auto"/>
          <w:kern w:val="0"/>
          <w:szCs w:val="26"/>
          <w:rtl/>
          <w14:ligatures w14:val="none"/>
        </w:rPr>
        <w:t>هـ.</w:t>
      </w:r>
      <w:r w:rsidRPr="00E84DB1">
        <w:rPr>
          <w:rFonts w:eastAsia="Times New Roman" w:cs="DecoType Naskh" w:hint="cs"/>
          <w:bCs/>
          <w:color w:val="auto"/>
          <w:kern w:val="0"/>
          <w:szCs w:val="26"/>
          <w:rtl/>
          <w14:ligatures w14:val="none"/>
        </w:rPr>
        <w:tab/>
        <w:t>الخاتمة: راحة السبت (2: 2-3)</w:t>
      </w:r>
    </w:p>
    <w:p w14:paraId="16171392"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righ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1.</w:t>
      </w:r>
      <w:r w:rsidRPr="00E84DB1">
        <w:rPr>
          <w:rFonts w:eastAsia="Times New Roman" w:cs="DecoType Naskh" w:hint="cs"/>
          <w:color w:val="auto"/>
          <w:kern w:val="0"/>
          <w:szCs w:val="26"/>
          <w:rtl/>
          <w:lang w:bidi="ar-JO"/>
          <w14:ligatures w14:val="none"/>
        </w:rPr>
        <w:tab/>
        <w:t>من الواضح أن الله لم يعانِ من أي تعب عند انتهاء أيام الخليقة الستة (إشعياء 40: 48).  غير أن راحة السبت فكرة رئيسية من أفكار الكتاب المقدس، حيث تعادَل مع تحقيق البركة الموعودة.  ففي عبرانيين 4، تتوقع "الراحة" عصر الملكوت عندما يأتي الله بالإنسان إلى تحقيق البركة الموعودة ويعيد ترسيخ حقّه في الحكم على خليقته.</w:t>
      </w:r>
    </w:p>
    <w:p w14:paraId="0E5683E9"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كان حفظ السبت علامة على عهد سيناء ودليلاً صريحاً على طاعة الرب واتّباعه.</w:t>
      </w:r>
    </w:p>
    <w:p w14:paraId="280F3A24"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JO"/>
          <w14:ligatures w14:val="none"/>
        </w:rPr>
      </w:pPr>
    </w:p>
    <w:p w14:paraId="6B364F44"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righ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2.</w:t>
      </w:r>
      <w:r w:rsidRPr="00E84DB1">
        <w:rPr>
          <w:rFonts w:eastAsia="Times New Roman" w:cs="DecoType Naskh" w:hint="cs"/>
          <w:color w:val="auto"/>
          <w:kern w:val="0"/>
          <w:szCs w:val="26"/>
          <w:rtl/>
          <w:lang w:bidi="ar-JO"/>
          <w14:ligatures w14:val="none"/>
        </w:rPr>
        <w:tab/>
        <w:t>البركة</w:t>
      </w:r>
    </w:p>
    <w:p w14:paraId="1D8BDBE4"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تقول تكوين 1: 1-2: 3 إن الله يبارك في ثلاث نواحٍ:</w:t>
      </w:r>
    </w:p>
    <w:p w14:paraId="197F7ACB"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أ.</w:t>
      </w:r>
      <w:r w:rsidRPr="00E84DB1">
        <w:rPr>
          <w:rFonts w:eastAsia="Times New Roman" w:cs="DecoType Naskh" w:hint="cs"/>
          <w:color w:val="auto"/>
          <w:kern w:val="0"/>
          <w:szCs w:val="26"/>
          <w:rtl/>
          <w:lang w:bidi="ar-JO"/>
          <w14:ligatures w14:val="none"/>
        </w:rPr>
        <w:tab/>
        <w:t>الإثمار والتكاثر (1: 22)</w:t>
      </w:r>
    </w:p>
    <w:p w14:paraId="4A9683BB"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ب.</w:t>
      </w:r>
      <w:r w:rsidRPr="00E84DB1">
        <w:rPr>
          <w:rFonts w:eastAsia="Times New Roman" w:cs="DecoType Naskh" w:hint="cs"/>
          <w:color w:val="auto"/>
          <w:kern w:val="0"/>
          <w:szCs w:val="26"/>
          <w:rtl/>
          <w:lang w:bidi="ar-JO"/>
          <w14:ligatures w14:val="none"/>
        </w:rPr>
        <w:tab/>
        <w:t>السلطة (1: 28)</w:t>
      </w:r>
    </w:p>
    <w:p w14:paraId="0B486970"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جـ.</w:t>
      </w:r>
      <w:r w:rsidRPr="00E84DB1">
        <w:rPr>
          <w:rFonts w:eastAsia="Times New Roman" w:cs="DecoType Naskh" w:hint="cs"/>
          <w:color w:val="auto"/>
          <w:kern w:val="0"/>
          <w:szCs w:val="26"/>
          <w:rtl/>
          <w:lang w:bidi="ar-JO"/>
          <w14:ligatures w14:val="none"/>
        </w:rPr>
        <w:tab/>
        <w:t>الراحة (2: 3)</w:t>
      </w:r>
    </w:p>
    <w:p w14:paraId="7401B29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588"/>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كان يفترض أن يتمتع بنو إسرائيل ببركة الله في هذه النواحي الثلاث في أرض الموعد كشعب الله الثيوقراطي (الذي يحكمه الله).  وستتناول بقية الكتاب المقدَّس عملية ترسيخ نعيم الراحة الثيوقراطية.  والعهد الإبراهيمي في تكوين 12 هام جداً لهذه العملية.</w:t>
      </w:r>
    </w:p>
    <w:p w14:paraId="002E5BCD"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588"/>
        <w:jc w:val="both"/>
        <w:rPr>
          <w:rFonts w:eastAsia="Times New Roman" w:cs="DecoType Naskh"/>
          <w:color w:val="auto"/>
          <w:kern w:val="0"/>
          <w:szCs w:val="26"/>
          <w:rtl/>
          <w:lang w:bidi="ar-KW"/>
          <w14:ligatures w14:val="none"/>
        </w:rPr>
      </w:pPr>
    </w:p>
    <w:p w14:paraId="2E34108A"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588"/>
        <w:jc w:val="both"/>
        <w:rPr>
          <w:rFonts w:eastAsia="Times New Roman" w:cs="DecoType Naskh"/>
          <w:color w:val="auto"/>
          <w:kern w:val="0"/>
          <w:szCs w:val="26"/>
          <w:rtl/>
          <w:lang w:bidi="ar-KW"/>
          <w14:ligatures w14:val="none"/>
        </w:rPr>
      </w:pPr>
    </w:p>
    <w:p w14:paraId="1E6B4539" w14:textId="77777777" w:rsidR="00E84DB1" w:rsidRPr="00E84DB1" w:rsidRDefault="00E84DB1"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E84DB1">
        <w:rPr>
          <w:rFonts w:eastAsia="Times New Roman" w:cs="DecoType Naskh" w:hint="cs"/>
          <w:bCs/>
          <w:color w:val="auto"/>
          <w:kern w:val="0"/>
          <w:szCs w:val="28"/>
          <w:rtl/>
          <w:lang w:bidi="ar-JO"/>
          <w14:ligatures w14:val="none"/>
        </w:rPr>
        <w:t>5.</w:t>
      </w:r>
      <w:r w:rsidRPr="00E84DB1">
        <w:rPr>
          <w:rFonts w:eastAsia="Times New Roman" w:cs="DecoType Naskh" w:hint="cs"/>
          <w:bCs/>
          <w:color w:val="auto"/>
          <w:kern w:val="0"/>
          <w:szCs w:val="28"/>
          <w:rtl/>
          <w:lang w:bidi="ar-JO"/>
          <w14:ligatures w14:val="none"/>
        </w:rPr>
        <w:tab/>
        <w:t>تأكيدات لاهوتية معلنة في تكوين 1</w:t>
      </w:r>
    </w:p>
    <w:p w14:paraId="144B6584"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righ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أ.</w:t>
      </w:r>
      <w:r w:rsidRPr="00E84DB1">
        <w:rPr>
          <w:rFonts w:eastAsia="Times New Roman" w:cs="DecoType Naskh" w:hint="cs"/>
          <w:color w:val="auto"/>
          <w:kern w:val="0"/>
          <w:szCs w:val="26"/>
          <w:rtl/>
          <w:lang w:bidi="ar-JO"/>
          <w14:ligatures w14:val="none"/>
        </w:rPr>
        <w:tab/>
        <w:t>طبيعة الله بصفته الخالق المتسيد.  كل ما هو موجود من صنع الله، ولهذا يجب أن يكون تحت سيطرته.</w:t>
      </w:r>
    </w:p>
    <w:p w14:paraId="2B822935"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right="1004" w:hanging="550"/>
        <w:jc w:val="both"/>
        <w:rPr>
          <w:rFonts w:eastAsia="Times New Roman" w:cs="DecoType Naskh"/>
          <w:color w:val="auto"/>
          <w:kern w:val="0"/>
          <w:szCs w:val="26"/>
          <w14:ligatures w14:val="none"/>
        </w:rPr>
      </w:pPr>
      <w:r w:rsidRPr="00E84DB1">
        <w:rPr>
          <w:rFonts w:eastAsia="Times New Roman" w:cs="DecoType Naskh" w:hint="cs"/>
          <w:color w:val="auto"/>
          <w:kern w:val="0"/>
          <w:szCs w:val="26"/>
          <w:rtl/>
          <w:lang w:bidi="ar-JO"/>
          <w14:ligatures w14:val="none"/>
        </w:rPr>
        <w:t>ب.</w:t>
      </w:r>
      <w:r w:rsidRPr="00E84DB1">
        <w:rPr>
          <w:rFonts w:eastAsia="Times New Roman" w:cs="DecoType Naskh" w:hint="cs"/>
          <w:color w:val="auto"/>
          <w:kern w:val="0"/>
          <w:szCs w:val="26"/>
          <w:rtl/>
          <w:lang w:bidi="ar-JO"/>
          <w14:ligatures w14:val="none"/>
        </w:rPr>
        <w:tab/>
        <w:t>أساس التوراة</w:t>
      </w:r>
    </w:p>
    <w:p w14:paraId="3B73AF32"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إن كان الله حقاً موجوداً قبل كل شيء وهو الذي خلق كل شيء بما في ذلك الأشياء التي يعبدها الوثنيون </w:t>
      </w:r>
      <w:r w:rsidRPr="00E84DB1">
        <w:rPr>
          <w:rFonts w:eastAsia="Times New Roman" w:cs="DecoType Naskh"/>
          <w:color w:val="auto"/>
          <w:kern w:val="0"/>
          <w:szCs w:val="26"/>
          <w:rtl/>
          <w:lang w:bidi="ar-JO"/>
          <w14:ligatures w14:val="none"/>
        </w:rPr>
        <w:t>–</w:t>
      </w:r>
      <w:r w:rsidRPr="00E84DB1">
        <w:rPr>
          <w:rFonts w:eastAsia="Times New Roman" w:cs="DecoType Naskh" w:hint="cs"/>
          <w:color w:val="auto"/>
          <w:kern w:val="0"/>
          <w:szCs w:val="26"/>
          <w:rtl/>
          <w:lang w:bidi="ar-JO"/>
          <w14:ligatures w14:val="none"/>
        </w:rPr>
        <w:t xml:space="preserve"> فإن من الحمق أن يعبد الإنسان آلهة أخرى غيره.</w:t>
      </w:r>
    </w:p>
    <w:p w14:paraId="6014DBF1"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righ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جـ.</w:t>
      </w:r>
      <w:r w:rsidRPr="00E84DB1">
        <w:rPr>
          <w:rFonts w:eastAsia="Times New Roman" w:cs="DecoType Naskh" w:hint="cs"/>
          <w:color w:val="auto"/>
          <w:kern w:val="0"/>
          <w:szCs w:val="26"/>
          <w:rtl/>
          <w:lang w:bidi="ar-JO"/>
          <w14:ligatures w14:val="none"/>
        </w:rPr>
        <w:tab/>
        <w:t xml:space="preserve">عمَل الله في الفداء </w:t>
      </w:r>
    </w:p>
    <w:p w14:paraId="1B469108"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righ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د.</w:t>
      </w:r>
      <w:r w:rsidRPr="00E84DB1">
        <w:rPr>
          <w:rFonts w:eastAsia="Times New Roman" w:cs="DecoType Naskh" w:hint="cs"/>
          <w:color w:val="auto"/>
          <w:kern w:val="0"/>
          <w:szCs w:val="26"/>
          <w:rtl/>
          <w:lang w:bidi="ar-JO"/>
          <w14:ligatures w14:val="none"/>
        </w:rPr>
        <w:tab/>
        <w:t>قصد الله أن يجعل الإنسان يقيم في البركة عاملاً كوسيطٍ لإتمام حكم الله.</w:t>
      </w:r>
    </w:p>
    <w:p w14:paraId="7D36A9A2" w14:textId="77777777" w:rsidR="00E84DB1" w:rsidRPr="00E84DB1" w:rsidRDefault="00E84DB1" w:rsidP="002D6C54">
      <w:pPr>
        <w:tabs>
          <w:tab w:val="left" w:pos="454"/>
        </w:tabs>
        <w:bidi/>
        <w:spacing w:after="60" w:line="240" w:lineRule="auto"/>
        <w:jc w:val="both"/>
        <w:rPr>
          <w:rFonts w:eastAsia="Times New Roman" w:cs="DecoType Naskh"/>
          <w:bCs/>
          <w:color w:val="auto"/>
          <w:kern w:val="0"/>
          <w:szCs w:val="28"/>
          <w:rtl/>
          <w:lang w:bidi="ar-JO"/>
          <w14:ligatures w14:val="none"/>
        </w:rPr>
      </w:pPr>
    </w:p>
    <w:p w14:paraId="3516A1DD" w14:textId="77777777" w:rsidR="00E84DB1" w:rsidRPr="00E84DB1" w:rsidRDefault="00E84DB1"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E84DB1">
        <w:rPr>
          <w:rFonts w:eastAsia="Times New Roman" w:cs="DecoType Naskh" w:hint="cs"/>
          <w:bCs/>
          <w:color w:val="auto"/>
          <w:kern w:val="0"/>
          <w:szCs w:val="28"/>
          <w:rtl/>
          <w:lang w:bidi="ar-JO"/>
          <w14:ligatures w14:val="none"/>
        </w:rPr>
        <w:lastRenderedPageBreak/>
        <w:t xml:space="preserve">درس لحياتنا </w:t>
      </w:r>
    </w:p>
    <w:p w14:paraId="404C786C"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يخبرنا الأصحاح الأول من سفر التكوين أن الطبيعة كانت من إبداع يهوه إيلوهيم المتسيد.  ونحن نكتشف في يوحنا 1: 1-3 وكولوسي 1: 16 أن هذا الله الخالق ما هو إلاّ الربّ يسوع المسيح.  وهذا أمر هام، لأنه يكشف لنا بشكل بديع نعمة الله: فنفس الذي خلقك ذهب إلى الجلجثة من أجل خطاياك.  وهذا هو ما يجعل محبة الله لا تقاوم! هل يمكنك أن تفكر بسبب يجعلك تقاوم محبة الله لك؟ تأمل رومية 8: 36-39.</w:t>
      </w:r>
    </w:p>
    <w:p w14:paraId="50B4989B"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14:ligatures w14:val="none"/>
        </w:rPr>
      </w:pPr>
    </w:p>
    <w:p w14:paraId="55394795" w14:textId="77777777" w:rsidR="005B452F" w:rsidRPr="005B452F" w:rsidRDefault="005B452F" w:rsidP="002D6C54">
      <w:pPr>
        <w:tabs>
          <w:tab w:val="left" w:pos="0"/>
          <w:tab w:val="left" w:pos="547"/>
          <w:tab w:val="left" w:pos="1094"/>
          <w:tab w:val="left" w:pos="1642"/>
          <w:tab w:val="left" w:pos="2160"/>
          <w:tab w:val="left" w:pos="2700"/>
          <w:tab w:val="left" w:pos="3240"/>
          <w:tab w:val="left" w:pos="3780"/>
          <w:tab w:val="left" w:pos="4320"/>
          <w:tab w:val="left" w:pos="4860"/>
        </w:tabs>
        <w:spacing w:before="120" w:after="200" w:line="240" w:lineRule="auto"/>
        <w:rPr>
          <w:rFonts w:eastAsia="Calibri" w:cs="Times New Roman"/>
          <w:bCs/>
          <w:kern w:val="0"/>
          <w:szCs w:val="24"/>
          <w:lang w:bidi="ar-JO"/>
          <w14:ligatures w14:val="none"/>
        </w:rPr>
      </w:pPr>
    </w:p>
    <w:p w14:paraId="21FD7762" w14:textId="77777777" w:rsidR="005B452F" w:rsidRDefault="005B452F"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kern w:val="0"/>
          <w:szCs w:val="24"/>
          <w14:ligatures w14:val="none"/>
        </w:rPr>
      </w:pPr>
    </w:p>
    <w:p w14:paraId="1EDCF394" w14:textId="235D5027" w:rsidR="005B452F" w:rsidRPr="00271A35" w:rsidRDefault="00271A35" w:rsidP="00271A35">
      <w:pPr>
        <w:pStyle w:val="Heading3"/>
        <w:bidi/>
        <w:spacing w:line="240" w:lineRule="auto"/>
        <w:rPr>
          <w:rFonts w:ascii="Simplified Arabic" w:hAnsi="Simplified Arabic" w:cs="Simplified Arabic"/>
        </w:rPr>
      </w:pPr>
      <w:bookmarkStart w:id="48" w:name="_Hlk178778001"/>
      <w:r w:rsidRPr="00271A35">
        <w:rPr>
          <w:rFonts w:ascii="Simplified Arabic" w:hAnsi="Simplified Arabic" w:cs="Simplified Arabic"/>
          <w:rtl/>
        </w:rPr>
        <w:t xml:space="preserve">الموضوع 3: </w:t>
      </w:r>
      <w:r w:rsidRPr="00271A35">
        <w:rPr>
          <w:rFonts w:ascii="Simplified Arabic" w:eastAsia="Calibri" w:hAnsi="Simplified Arabic" w:cs="Simplified Arabic"/>
          <w:rtl/>
          <w14:ligatures w14:val="none"/>
        </w:rPr>
        <w:t>منهجيات يتبنّاها إنجيليون في النظر إلى رواية الخلق</w:t>
      </w:r>
    </w:p>
    <w:p w14:paraId="539B4922" w14:textId="3A045AF2" w:rsidR="002C23D1" w:rsidRPr="007A4B15" w:rsidRDefault="002C23D1" w:rsidP="00DE4095">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r w:rsidRPr="007A4B15">
        <w:rPr>
          <w:rFonts w:ascii="Verdana" w:eastAsia="Calibri" w:hAnsi="Verdana" w:cs="Times New Roman"/>
          <w:b/>
          <w:caps/>
          <w:noProof/>
          <w:color w:val="006699"/>
          <w:kern w:val="0"/>
          <w:sz w:val="21"/>
          <w:szCs w:val="24"/>
          <w14:ligatures w14:val="none"/>
        </w:rPr>
        <w:drawing>
          <wp:inline distT="0" distB="0" distL="0" distR="0" wp14:anchorId="5C8FB660" wp14:editId="1054656F">
            <wp:extent cx="613692" cy="541464"/>
            <wp:effectExtent l="0" t="0" r="0" b="0"/>
            <wp:docPr id="1215541823" name="Picture 1215541823"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DE4095" w:rsidRPr="00DE4095">
        <w:rPr>
          <w:rFonts w:ascii="Simplified Arabic" w:eastAsia="Calibri" w:hAnsi="Simplified Arabic" w:cs="Simplified Arabic"/>
          <w:bCs/>
          <w:caps/>
          <w:color w:val="006699"/>
          <w:kern w:val="0"/>
          <w:sz w:val="26"/>
          <w:szCs w:val="26"/>
          <w:u w:val="single"/>
          <w:rtl/>
          <w14:ligatures w14:val="none"/>
        </w:rPr>
        <w:t>القراءة:</w:t>
      </w:r>
    </w:p>
    <w:p w14:paraId="3255CDB8" w14:textId="2B532ECE" w:rsidR="00DB66ED" w:rsidRPr="00DE4095" w:rsidRDefault="00DE4095" w:rsidP="00DE4095">
      <w:pPr>
        <w:pStyle w:val="ListParagraph"/>
        <w:numPr>
          <w:ilvl w:val="0"/>
          <w:numId w:val="33"/>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14:ligatures w14:val="none"/>
        </w:rPr>
      </w:pPr>
      <w:r w:rsidRPr="00DE4095">
        <w:rPr>
          <w:rFonts w:ascii="Simplified Arabic" w:eastAsia="Calibri" w:hAnsi="Simplified Arabic" w:cs="Simplified Arabic"/>
          <w:kern w:val="0"/>
          <w:sz w:val="26"/>
          <w:szCs w:val="26"/>
          <w:rtl/>
          <w14:ligatures w14:val="none"/>
        </w:rPr>
        <w:t xml:space="preserve">اقرأ تكوين 1: 1 – 2: 3 في كتابك المُقدَّس. </w:t>
      </w:r>
    </w:p>
    <w:p w14:paraId="313761A3" w14:textId="6728D525" w:rsidR="00DE4095" w:rsidRPr="00DE4095" w:rsidRDefault="00DE4095" w:rsidP="00DE4095">
      <w:pPr>
        <w:pStyle w:val="ListParagraph"/>
        <w:numPr>
          <w:ilvl w:val="0"/>
          <w:numId w:val="33"/>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14:ligatures w14:val="none"/>
        </w:rPr>
      </w:pPr>
      <w:r w:rsidRPr="00DE4095">
        <w:rPr>
          <w:rFonts w:ascii="Simplified Arabic" w:eastAsia="Calibri" w:hAnsi="Simplified Arabic" w:cs="Simplified Arabic"/>
          <w:kern w:val="0"/>
          <w:sz w:val="26"/>
          <w:szCs w:val="26"/>
          <w:rtl/>
          <w14:ligatures w14:val="none"/>
        </w:rPr>
        <w:t xml:space="preserve">اقرأ المُلحَق </w:t>
      </w:r>
      <w:r w:rsidR="00E26173">
        <w:rPr>
          <w:rFonts w:ascii="Simplified Arabic" w:eastAsia="Calibri" w:hAnsi="Simplified Arabic" w:cs="Simplified Arabic" w:hint="cs"/>
          <w:kern w:val="0"/>
          <w:sz w:val="26"/>
          <w:szCs w:val="26"/>
          <w:rtl/>
          <w14:ligatures w14:val="none"/>
        </w:rPr>
        <w:t>2</w:t>
      </w:r>
      <w:r w:rsidRPr="00DE4095">
        <w:rPr>
          <w:rFonts w:ascii="Simplified Arabic" w:eastAsia="Calibri" w:hAnsi="Simplified Arabic" w:cs="Simplified Arabic"/>
          <w:kern w:val="0"/>
          <w:sz w:val="26"/>
          <w:szCs w:val="26"/>
          <w:rtl/>
          <w14:ligatures w14:val="none"/>
        </w:rPr>
        <w:t>: "آراء</w:t>
      </w:r>
      <w:r w:rsidR="00E26173">
        <w:rPr>
          <w:rFonts w:ascii="Simplified Arabic" w:eastAsia="Calibri" w:hAnsi="Simplified Arabic" w:cs="Simplified Arabic" w:hint="cs"/>
          <w:kern w:val="0"/>
          <w:sz w:val="26"/>
          <w:szCs w:val="26"/>
          <w:rtl/>
          <w14:ligatures w14:val="none"/>
        </w:rPr>
        <w:t xml:space="preserve"> ونظريات</w:t>
      </w:r>
      <w:r w:rsidRPr="00DE4095">
        <w:rPr>
          <w:rFonts w:ascii="Simplified Arabic" w:eastAsia="Calibri" w:hAnsi="Simplified Arabic" w:cs="Simplified Arabic"/>
          <w:kern w:val="0"/>
          <w:sz w:val="26"/>
          <w:szCs w:val="26"/>
          <w:rtl/>
          <w14:ligatures w14:val="none"/>
        </w:rPr>
        <w:t xml:space="preserve"> معاصرة بشأن تكوين 1: 1-3". </w:t>
      </w:r>
    </w:p>
    <w:p w14:paraId="4978D790" w14:textId="1DE2AE0D" w:rsidR="00DB66ED" w:rsidRPr="00DE4095" w:rsidRDefault="00DE4095" w:rsidP="00DE4095">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14:ligatures w14:val="none"/>
        </w:rPr>
      </w:pPr>
      <w:r w:rsidRPr="00DE4095">
        <w:rPr>
          <w:rFonts w:ascii="Simplified Arabic" w:eastAsia="Calibri" w:hAnsi="Simplified Arabic" w:cs="Simplified Arabic"/>
          <w:kern w:val="0"/>
          <w:sz w:val="26"/>
          <w:szCs w:val="26"/>
          <w:rtl/>
          <w14:ligatures w14:val="none"/>
        </w:rPr>
        <w:t xml:space="preserve">ملاحظة: </w:t>
      </w:r>
      <w:r w:rsidR="00FF57E1">
        <w:rPr>
          <w:rFonts w:ascii="Simplified Arabic" w:eastAsia="Calibri" w:hAnsi="Simplified Arabic" w:cs="Simplified Arabic" w:hint="cs"/>
          <w:kern w:val="0"/>
          <w:sz w:val="26"/>
          <w:szCs w:val="26"/>
          <w:rtl/>
          <w14:ligatures w14:val="none"/>
        </w:rPr>
        <w:t xml:space="preserve">تركّز المادّة التالية على ثلاثة آراء فقط من المذكورة في المُلحَق، وتستنتج أن "الرأي التقليدي" هو الموقف الذي يجد أكبر قدرٍ من الدفاع والتأييد له. </w:t>
      </w:r>
    </w:p>
    <w:bookmarkEnd w:id="48"/>
    <w:p w14:paraId="025271FA" w14:textId="77777777" w:rsidR="00E84DB1" w:rsidRPr="00BD2389" w:rsidRDefault="00E84DB1" w:rsidP="002D6C54">
      <w:pPr>
        <w:bidi/>
        <w:spacing w:after="0" w:line="240" w:lineRule="auto"/>
        <w:jc w:val="center"/>
        <w:rPr>
          <w:rFonts w:eastAsia="Times New Roman" w:cs="Traditional Arabic Backslanted"/>
          <w:bCs/>
          <w:color w:val="auto"/>
          <w:kern w:val="0"/>
          <w:szCs w:val="28"/>
          <w:rtl/>
          <w:lang w:bidi="ar-JO"/>
          <w14:ligatures w14:val="none"/>
        </w:rPr>
      </w:pPr>
    </w:p>
    <w:p w14:paraId="2FEB247E" w14:textId="77777777" w:rsidR="00E84DB1" w:rsidRPr="00E84DB1" w:rsidRDefault="00E84DB1"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E84DB1">
        <w:rPr>
          <w:rFonts w:eastAsia="Times New Roman" w:cs="DecoType Naskh" w:hint="cs"/>
          <w:bCs/>
          <w:color w:val="auto"/>
          <w:kern w:val="0"/>
          <w:szCs w:val="28"/>
          <w:rtl/>
          <w:lang w:bidi="ar-JO"/>
          <w14:ligatures w14:val="none"/>
        </w:rPr>
        <w:t>1.</w:t>
      </w:r>
      <w:r w:rsidRPr="00E84DB1">
        <w:rPr>
          <w:rFonts w:eastAsia="Times New Roman" w:cs="DecoType Naskh" w:hint="cs"/>
          <w:bCs/>
          <w:color w:val="auto"/>
          <w:kern w:val="0"/>
          <w:szCs w:val="28"/>
          <w:rtl/>
          <w:lang w:bidi="ar-JO"/>
          <w14:ligatures w14:val="none"/>
        </w:rPr>
        <w:tab/>
        <w:t>فرادة الرواية الكتابية</w:t>
      </w:r>
    </w:p>
    <w:p w14:paraId="6AE3B0B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30"/>
          <w:szCs w:val="28"/>
          <w:rtl/>
          <w:lang w:bidi="ar-KW"/>
          <w14:ligatures w14:val="none"/>
        </w:rPr>
      </w:pPr>
      <w:r w:rsidRPr="00E84DB1">
        <w:rPr>
          <w:rFonts w:eastAsia="Times New Roman" w:cs="DecoType Naskh" w:hint="cs"/>
          <w:color w:val="auto"/>
          <w:kern w:val="0"/>
          <w:szCs w:val="26"/>
          <w:rtl/>
          <w:lang w:bidi="ar-JO"/>
          <w14:ligatures w14:val="none"/>
        </w:rPr>
        <w:t xml:space="preserve">لكي يقدّر المرء قوّة رواية الخلق الكتابية، فإن عليه أن يقابلها مع نظريتي نشأة الكون في مصر ومنطقة ما بين النهرين.  [وإنه لمن المفيد في هذه المرحلة أن يرجع الطالب إلى </w:t>
      </w:r>
      <w:r w:rsidRPr="00E84DB1">
        <w:rPr>
          <w:rFonts w:eastAsia="Times New Roman" w:cs="DecoType Naskh"/>
          <w:color w:val="auto"/>
          <w:kern w:val="0"/>
          <w:szCs w:val="26"/>
          <w:lang w:bidi="ar-JO"/>
          <w14:ligatures w14:val="none"/>
        </w:rPr>
        <w:t>ISBE 4:101</w:t>
      </w:r>
      <w:r w:rsidRPr="00E84DB1">
        <w:rPr>
          <w:rFonts w:eastAsia="Times New Roman" w:cs="DecoType Naskh" w:hint="cs"/>
          <w:color w:val="auto"/>
          <w:kern w:val="0"/>
          <w:szCs w:val="26"/>
          <w:rtl/>
          <w:lang w:bidi="ar-JO"/>
          <w14:ligatures w14:val="none"/>
        </w:rPr>
        <w:t>، و</w:t>
      </w:r>
      <w:r w:rsidRPr="00E84DB1">
        <w:rPr>
          <w:rFonts w:eastAsia="Times New Roman" w:cs="DecoType Naskh"/>
          <w:color w:val="auto"/>
          <w:kern w:val="0"/>
          <w:szCs w:val="26"/>
          <w:lang w:bidi="ar-JO"/>
          <w14:ligatures w14:val="none"/>
        </w:rPr>
        <w:t xml:space="preserve">Noah Kramer, </w:t>
      </w:r>
      <w:r w:rsidRPr="00E84DB1">
        <w:rPr>
          <w:rFonts w:eastAsia="Times New Roman" w:cs="DecoType Naskh"/>
          <w:i/>
          <w:iCs/>
          <w:color w:val="auto"/>
          <w:kern w:val="0"/>
          <w:szCs w:val="26"/>
          <w:lang w:bidi="ar-JO"/>
          <w14:ligatures w14:val="none"/>
        </w:rPr>
        <w:t>Mythologies of the Ancient World</w:t>
      </w:r>
      <w:r w:rsidRPr="00E84DB1">
        <w:rPr>
          <w:rFonts w:eastAsia="Times New Roman" w:cs="DecoType Naskh"/>
          <w:color w:val="auto"/>
          <w:kern w:val="0"/>
          <w:szCs w:val="26"/>
          <w:lang w:bidi="ar-JO"/>
          <w14:ligatures w14:val="none"/>
        </w:rPr>
        <w:t xml:space="preserve"> (Grand City, NY: Doubleday, 1961)</w:t>
      </w:r>
      <w:r w:rsidRPr="00E84DB1">
        <w:rPr>
          <w:rFonts w:eastAsia="Times New Roman" w:cs="DecoType Naskh" w:hint="cs"/>
          <w:color w:val="auto"/>
          <w:kern w:val="0"/>
          <w:szCs w:val="26"/>
          <w:rtl/>
          <w:lang w:bidi="ar-JO"/>
          <w14:ligatures w14:val="none"/>
        </w:rPr>
        <w:t>. "كان الاعتقاد بالله كخالق منفصلاً عن خليقته وسامياً عليها ’السمة الجوهرية للإيمان الموسوي‘ وقد ’وقد ميّز هذا الاعتقاد إيمان إسرائيل عن كل الديانات الأخرى.,"</w:t>
      </w:r>
      <w:r w:rsidRPr="00E84DB1">
        <w:rPr>
          <w:rFonts w:eastAsia="Times New Roman" w:cs="DecoType Naskh"/>
          <w:color w:val="auto"/>
          <w:kern w:val="0"/>
          <w:sz w:val="30"/>
          <w:szCs w:val="28"/>
          <w:vertAlign w:val="superscript"/>
          <w:rtl/>
          <w:lang w:bidi="ar-JO"/>
          <w14:ligatures w14:val="none"/>
        </w:rPr>
        <w:footnoteReference w:customMarkFollows="1" w:id="13"/>
        <w:t>1</w:t>
      </w:r>
    </w:p>
    <w:p w14:paraId="3C0057FE" w14:textId="77777777" w:rsidR="00E84DB1" w:rsidRPr="00E84DB1" w:rsidRDefault="00E84DB1"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E84DB1">
        <w:rPr>
          <w:rFonts w:eastAsia="Times New Roman" w:cs="DecoType Naskh" w:hint="cs"/>
          <w:bCs/>
          <w:color w:val="auto"/>
          <w:kern w:val="0"/>
          <w:szCs w:val="28"/>
          <w:rtl/>
          <w:lang w:bidi="ar-JO"/>
          <w14:ligatures w14:val="none"/>
        </w:rPr>
        <w:t>2.</w:t>
      </w:r>
      <w:r w:rsidRPr="00E84DB1">
        <w:rPr>
          <w:rFonts w:eastAsia="Times New Roman" w:cs="DecoType Naskh" w:hint="cs"/>
          <w:bCs/>
          <w:color w:val="auto"/>
          <w:kern w:val="0"/>
          <w:szCs w:val="28"/>
          <w:rtl/>
          <w:lang w:bidi="ar-JO"/>
          <w14:ligatures w14:val="none"/>
        </w:rPr>
        <w:tab/>
        <w:t>مقدمة</w:t>
      </w:r>
    </w:p>
    <w:p w14:paraId="743C858F"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وُضعت نظريات كثيرة لتفسير مصدر الإنسان والكون.  ويوجد جدل حتى بين المسيحيّين حول كيفية فهم رواية سفر التكوين.  وأنا أود في هذا الملحق أن أجري تقويماً لثلاث نظريات رئيسية يتبنّاها الإنجيليون المحافظون وهي:</w:t>
      </w:r>
    </w:p>
    <w:p w14:paraId="50DCBA6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1.</w:t>
      </w:r>
      <w:r w:rsidRPr="00E84DB1">
        <w:rPr>
          <w:rFonts w:eastAsia="Times New Roman" w:cs="DecoType Naskh" w:hint="cs"/>
          <w:color w:val="auto"/>
          <w:kern w:val="0"/>
          <w:szCs w:val="26"/>
          <w:rtl/>
          <w:lang w:bidi="ar-JO"/>
          <w14:ligatures w14:val="none"/>
        </w:rPr>
        <w:tab/>
        <w:t>نظرية الإصلاح أو الرد (= نظرية الثغرة)</w:t>
      </w:r>
    </w:p>
    <w:p w14:paraId="3EE8F4FD"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2.</w:t>
      </w:r>
      <w:r w:rsidRPr="00E84DB1">
        <w:rPr>
          <w:rFonts w:eastAsia="Times New Roman" w:cs="DecoType Naskh" w:hint="cs"/>
          <w:color w:val="auto"/>
          <w:kern w:val="0"/>
          <w:szCs w:val="26"/>
          <w:rtl/>
          <w:lang w:bidi="ar-JO"/>
          <w14:ligatures w14:val="none"/>
        </w:rPr>
        <w:tab/>
        <w:t>نظرية الفوضى الأولية (النظرة التقليدية)</w:t>
      </w:r>
    </w:p>
    <w:p w14:paraId="0A0B5E63"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3.</w:t>
      </w:r>
      <w:r w:rsidRPr="00E84DB1">
        <w:rPr>
          <w:rFonts w:eastAsia="Times New Roman" w:cs="DecoType Naskh" w:hint="cs"/>
          <w:color w:val="auto"/>
          <w:kern w:val="0"/>
          <w:szCs w:val="26"/>
          <w:rtl/>
          <w:lang w:bidi="ar-JO"/>
          <w14:ligatures w14:val="none"/>
        </w:rPr>
        <w:tab/>
        <w:t>نظرية فوضى ما قبل الخلق</w:t>
      </w:r>
    </w:p>
    <w:p w14:paraId="7130B296" w14:textId="77777777" w:rsidR="00E84DB1" w:rsidRPr="00E84DB1" w:rsidRDefault="00E84DB1"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E84DB1">
        <w:rPr>
          <w:rFonts w:eastAsia="Times New Roman" w:cs="DecoType Naskh" w:hint="cs"/>
          <w:bCs/>
          <w:color w:val="auto"/>
          <w:kern w:val="0"/>
          <w:szCs w:val="28"/>
          <w:rtl/>
          <w:lang w:bidi="ar-JO"/>
          <w14:ligatures w14:val="none"/>
        </w:rPr>
        <w:t>3.</w:t>
      </w:r>
      <w:r w:rsidRPr="00E84DB1">
        <w:rPr>
          <w:rFonts w:eastAsia="Times New Roman" w:cs="DecoType Naskh" w:hint="cs"/>
          <w:bCs/>
          <w:color w:val="auto"/>
          <w:kern w:val="0"/>
          <w:szCs w:val="28"/>
          <w:rtl/>
          <w:lang w:bidi="ar-JO"/>
          <w14:ligatures w14:val="none"/>
        </w:rPr>
        <w:tab/>
        <w:t xml:space="preserve">تلخيص مختصر للنظريات </w:t>
      </w:r>
    </w:p>
    <w:p w14:paraId="74400E4A" w14:textId="77777777" w:rsidR="00E84DB1" w:rsidRPr="00E84DB1" w:rsidRDefault="00E84DB1"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E84DB1">
        <w:rPr>
          <w:rFonts w:eastAsia="Times New Roman" w:cs="DecoType Naskh" w:hint="cs"/>
          <w:bCs/>
          <w:color w:val="auto"/>
          <w:kern w:val="0"/>
          <w:szCs w:val="26"/>
          <w:rtl/>
          <w14:ligatures w14:val="none"/>
        </w:rPr>
        <w:t>أ.</w:t>
      </w:r>
      <w:r w:rsidRPr="00E84DB1">
        <w:rPr>
          <w:rFonts w:eastAsia="Times New Roman" w:cs="DecoType Naskh" w:hint="cs"/>
          <w:bCs/>
          <w:color w:val="auto"/>
          <w:kern w:val="0"/>
          <w:szCs w:val="26"/>
          <w:rtl/>
          <w14:ligatures w14:val="none"/>
        </w:rPr>
        <w:tab/>
        <w:t xml:space="preserve">نظرية الإصلاح أو الرد (كثيراً ما تُدعى "نظرية الثغرة") </w:t>
      </w:r>
    </w:p>
    <w:p w14:paraId="58711901"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1.</w:t>
      </w:r>
      <w:r w:rsidRPr="00E84DB1">
        <w:rPr>
          <w:rFonts w:eastAsia="Times New Roman" w:cs="DecoType Naskh" w:hint="cs"/>
          <w:color w:val="auto"/>
          <w:kern w:val="0"/>
          <w:szCs w:val="26"/>
          <w:rtl/>
          <w:lang w:bidi="ar-JO"/>
          <w14:ligatures w14:val="none"/>
        </w:rPr>
        <w:tab/>
        <w:t>وصفها</w:t>
      </w:r>
    </w:p>
    <w:p w14:paraId="05D91967"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lastRenderedPageBreak/>
        <w:t>تقدم تكوين 1: 1 رواية لخليقة كاملة في الأصل.  كان الشيطان حاكم هذا العالم، لكن بسبب تمرّده المذكور في إشعياء 14: 12-17، دخلت الخطية إلى الكون.  ونتيجة لذلك أدان الله العالم وجعله في حالة الفوضى المذكورة في تكوين 1: 2.  وفيما بعد أعاد الله خلق العالم حسب الوصف المذكور في تكوين 1: 3-31.  وهكذا توجد ثغرة زمنية غير معروفة الطول بين الآيتين الأولى والثانية.</w:t>
      </w:r>
    </w:p>
    <w:p w14:paraId="74B03651"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2.</w:t>
      </w:r>
      <w:r w:rsidRPr="00E84DB1">
        <w:rPr>
          <w:rFonts w:eastAsia="Times New Roman" w:cs="DecoType Naskh" w:hint="cs"/>
          <w:color w:val="auto"/>
          <w:kern w:val="0"/>
          <w:szCs w:val="26"/>
          <w:rtl/>
          <w:lang w:bidi="ar-JO"/>
          <w14:ligatures w14:val="none"/>
        </w:rPr>
        <w:tab/>
        <w:t xml:space="preserve">دعاة هذه النظرية </w:t>
      </w:r>
      <w:r w:rsidRPr="00E84DB1">
        <w:rPr>
          <w:rFonts w:eastAsia="Times New Roman" w:cs="DecoType Naskh"/>
          <w:color w:val="auto"/>
          <w:kern w:val="0"/>
          <w:szCs w:val="26"/>
          <w:lang w:bidi="ar-JO"/>
          <w14:ligatures w14:val="none"/>
        </w:rPr>
        <w:t>Merril Unger, The New Scofield Reference Bible (1976 ed.), Arthur C. Custance.</w:t>
      </w:r>
      <w:r w:rsidRPr="00E84DB1">
        <w:rPr>
          <w:rFonts w:eastAsia="Times New Roman" w:cs="DecoType Naskh"/>
          <w:color w:val="auto"/>
          <w:kern w:val="0"/>
          <w:szCs w:val="26"/>
          <w:vertAlign w:val="superscript"/>
          <w:lang w:bidi="ar-JO"/>
          <w14:ligatures w14:val="none"/>
        </w:rPr>
        <w:footnoteReference w:customMarkFollows="1" w:id="14"/>
        <w:t>2</w:t>
      </w:r>
      <w:r w:rsidRPr="00E84DB1">
        <w:rPr>
          <w:rFonts w:eastAsia="Times New Roman" w:cs="DecoType Naskh"/>
          <w:color w:val="auto"/>
          <w:kern w:val="0"/>
          <w:szCs w:val="26"/>
          <w:lang w:bidi="ar-JO"/>
          <w14:ligatures w14:val="none"/>
        </w:rPr>
        <w:t xml:space="preserve">   </w:t>
      </w:r>
    </w:p>
    <w:p w14:paraId="2720C095"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p>
    <w:p w14:paraId="2E88D10C"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3.</w:t>
      </w:r>
      <w:r w:rsidRPr="00E84DB1">
        <w:rPr>
          <w:rFonts w:eastAsia="Times New Roman" w:cs="DecoType Naskh" w:hint="cs"/>
          <w:color w:val="auto"/>
          <w:kern w:val="0"/>
          <w:szCs w:val="26"/>
          <w:rtl/>
          <w:lang w:bidi="ar-JO"/>
          <w14:ligatures w14:val="none"/>
        </w:rPr>
        <w:tab/>
        <w:t>حجج داعمة لهذه النظرية:</w:t>
      </w:r>
    </w:p>
    <w:p w14:paraId="51C886AF"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أ.</w:t>
      </w:r>
      <w:r w:rsidRPr="00E84DB1">
        <w:rPr>
          <w:rFonts w:eastAsia="Times New Roman" w:cs="DecoType Naskh" w:hint="cs"/>
          <w:color w:val="auto"/>
          <w:kern w:val="0"/>
          <w:szCs w:val="26"/>
          <w:rtl/>
          <w:lang w:bidi="ar-JO"/>
          <w14:ligatures w14:val="none"/>
        </w:rPr>
        <w:tab/>
        <w:t>مقنعة منطقياً</w:t>
      </w:r>
    </w:p>
    <w:p w14:paraId="14E3D2CD"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بما أن السماوات والأرض "في الآية الأولى تعني" الكون المنظَّم"، وبما أن الآية الثانية تتحدث عن الأرض في حالة فوضى، وبما أن الآية 3-31 تتحدث عن عملية إعادة تنظيم الكون، فإنه يبدو أمراً معقولاً أن تتحدث الآيات 1-3 عن ثلاث مراحل متعاقبة من تاريخ الأرض.</w:t>
      </w:r>
    </w:p>
    <w:p w14:paraId="031AB32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ب.</w:t>
      </w:r>
      <w:r w:rsidRPr="00E84DB1">
        <w:rPr>
          <w:rFonts w:eastAsia="Times New Roman" w:cs="DecoType Naskh" w:hint="cs"/>
          <w:color w:val="auto"/>
          <w:kern w:val="0"/>
          <w:szCs w:val="26"/>
          <w:rtl/>
          <w:lang w:bidi="ar-JO"/>
          <w14:ligatures w14:val="none"/>
        </w:rPr>
        <w:tab/>
        <w:t>يمكن أن يعني الفعل (</w:t>
      </w:r>
      <w:proofErr w:type="spellStart"/>
      <w:r w:rsidRPr="00E84DB1">
        <w:rPr>
          <w:rFonts w:ascii="Hebrew" w:eastAsia="Times New Roman" w:hAnsi="Hebrew" w:cs="DecoType Naskh"/>
          <w:color w:val="auto"/>
          <w:kern w:val="0"/>
          <w:szCs w:val="26"/>
          <w14:ligatures w14:val="none"/>
        </w:rPr>
        <w:t>hyh</w:t>
      </w:r>
      <w:proofErr w:type="spellEnd"/>
      <w:r w:rsidRPr="00E84DB1">
        <w:rPr>
          <w:rFonts w:eastAsia="Times New Roman" w:cs="DecoType Naskh" w:hint="cs"/>
          <w:color w:val="auto"/>
          <w:kern w:val="0"/>
          <w:szCs w:val="26"/>
          <w:rtl/>
          <w:lang w:bidi="ar-JO"/>
          <w14:ligatures w14:val="none"/>
        </w:rPr>
        <w:t>) في الآية 2 "صارت" (قارن تكوين 3: 20).</w:t>
      </w:r>
    </w:p>
    <w:p w14:paraId="3258A1BC"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إن الفكرة هنا هي أن الكون خُلق في الأصل حسب الآية الأولى، ثم "صار" فيما بعد في حلة فوضى.</w:t>
      </w:r>
    </w:p>
    <w:p w14:paraId="0D4181B8"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جـ.</w:t>
      </w:r>
      <w:r w:rsidRPr="00E84DB1">
        <w:rPr>
          <w:rFonts w:eastAsia="Times New Roman" w:cs="DecoType Naskh" w:hint="cs"/>
          <w:color w:val="auto"/>
          <w:kern w:val="0"/>
          <w:szCs w:val="26"/>
          <w:rtl/>
          <w:lang w:bidi="ar-JO"/>
          <w14:ligatures w14:val="none"/>
        </w:rPr>
        <w:tab/>
        <w:t>يستخدم تعبير "خربة وخالية" في مواضع أخرى (إرميا 4: 23 وإشعياء 34: 11) مرتبطاً بفكرة دينونة الله.</w:t>
      </w:r>
    </w:p>
    <w:p w14:paraId="251A20D9" w14:textId="77777777" w:rsidR="00E84DB1" w:rsidRPr="00E84DB1" w:rsidRDefault="00E84DB1" w:rsidP="002D6C54">
      <w:pPr>
        <w:numPr>
          <w:ilvl w:val="0"/>
          <w:numId w:val="26"/>
        </w:numPr>
        <w:tabs>
          <w:tab w:val="left" w:pos="550"/>
          <w:tab w:val="left" w:pos="1100"/>
          <w:tab w:val="left" w:pos="1650"/>
          <w:tab w:val="left" w:pos="2200"/>
          <w:tab w:val="left" w:pos="2750"/>
          <w:tab w:val="left" w:pos="3300"/>
          <w:tab w:val="left" w:pos="3850"/>
          <w:tab w:val="left" w:pos="4400"/>
        </w:tabs>
        <w:bidi/>
        <w:spacing w:after="0" w:line="240" w:lineRule="auto"/>
        <w:jc w:val="both"/>
        <w:rPr>
          <w:rFonts w:eastAsia="Times New Roman" w:cs="DecoType Naskh"/>
          <w:color w:val="auto"/>
          <w:kern w:val="0"/>
          <w:sz w:val="30"/>
          <w:szCs w:val="28"/>
          <w:rtl/>
          <w:lang w:bidi="ar-KW"/>
          <w14:ligatures w14:val="none"/>
        </w:rPr>
      </w:pPr>
      <w:r w:rsidRPr="00E84DB1">
        <w:rPr>
          <w:rFonts w:eastAsia="Times New Roman" w:cs="DecoType Naskh" w:hint="cs"/>
          <w:color w:val="auto"/>
          <w:kern w:val="0"/>
          <w:szCs w:val="26"/>
          <w:rtl/>
          <w:lang w:bidi="ar-JO"/>
          <w14:ligatures w14:val="none"/>
        </w:rPr>
        <w:t>توضح هذه النظرية دور الشيطان الذي يظهر فجأة في تكوين 3 دون مقدمات.</w:t>
      </w:r>
      <w:r w:rsidRPr="00E84DB1">
        <w:rPr>
          <w:rFonts w:eastAsia="Times New Roman" w:cs="DecoType Naskh"/>
          <w:color w:val="auto"/>
          <w:kern w:val="0"/>
          <w:sz w:val="30"/>
          <w:szCs w:val="28"/>
          <w:vertAlign w:val="superscript"/>
          <w:rtl/>
          <w:lang w:bidi="ar-JO"/>
          <w14:ligatures w14:val="none"/>
        </w:rPr>
        <w:footnoteReference w:customMarkFollows="1" w:id="15"/>
        <w:t>3</w:t>
      </w:r>
    </w:p>
    <w:p w14:paraId="766AF6BA"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KW"/>
          <w14:ligatures w14:val="none"/>
        </w:rPr>
      </w:pPr>
    </w:p>
    <w:p w14:paraId="00882BD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KW"/>
          <w14:ligatures w14:val="none"/>
        </w:rPr>
      </w:pPr>
    </w:p>
    <w:p w14:paraId="0307A584" w14:textId="77777777" w:rsidR="00E84DB1" w:rsidRPr="00E84DB1" w:rsidRDefault="00E84DB1"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E84DB1">
        <w:rPr>
          <w:rFonts w:eastAsia="Times New Roman" w:cs="DecoType Naskh" w:hint="cs"/>
          <w:bCs/>
          <w:color w:val="auto"/>
          <w:kern w:val="0"/>
          <w:szCs w:val="26"/>
          <w:rtl/>
          <w14:ligatures w14:val="none"/>
        </w:rPr>
        <w:t>ب.</w:t>
      </w:r>
      <w:r w:rsidRPr="00E84DB1">
        <w:rPr>
          <w:rFonts w:eastAsia="Times New Roman" w:cs="DecoType Naskh" w:hint="cs"/>
          <w:bCs/>
          <w:color w:val="auto"/>
          <w:kern w:val="0"/>
          <w:szCs w:val="26"/>
          <w:rtl/>
          <w14:ligatures w14:val="none"/>
        </w:rPr>
        <w:tab/>
        <w:t>نظرية الفوضى الأولية (النظرة التقليدية)</w:t>
      </w:r>
    </w:p>
    <w:p w14:paraId="57655F77"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1.</w:t>
      </w:r>
      <w:r w:rsidRPr="00E84DB1">
        <w:rPr>
          <w:rFonts w:eastAsia="Times New Roman" w:cs="DecoType Naskh" w:hint="cs"/>
          <w:color w:val="auto"/>
          <w:kern w:val="0"/>
          <w:szCs w:val="26"/>
          <w:rtl/>
          <w:lang w:bidi="ar-JO"/>
          <w14:ligatures w14:val="none"/>
        </w:rPr>
        <w:tab/>
        <w:t>وصفُها</w:t>
      </w:r>
    </w:p>
    <w:p w14:paraId="670C4B81"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تفسر هذه النظرية تكوين 1: 1 كإعلان أن الله خلق الكتلة الأصلية المسمّاة السماء والأرض من العدم، وتفسّر 1: 2 </w:t>
      </w:r>
      <w:r w:rsidRPr="00E84DB1">
        <w:rPr>
          <w:rFonts w:eastAsia="Times New Roman" w:cs="DecoType Naskh" w:hint="cs"/>
          <w:color w:val="auto"/>
          <w:kern w:val="0"/>
          <w:szCs w:val="26"/>
          <w:u w:val="single"/>
          <w:rtl/>
          <w:lang w:bidi="ar-JO"/>
          <w14:ligatures w14:val="none"/>
        </w:rPr>
        <w:t xml:space="preserve">كتوضيح </w:t>
      </w:r>
      <w:r w:rsidRPr="00E84DB1">
        <w:rPr>
          <w:rFonts w:eastAsia="Times New Roman" w:cs="DecoType Naskh" w:hint="cs"/>
          <w:color w:val="auto"/>
          <w:kern w:val="0"/>
          <w:szCs w:val="26"/>
          <w:rtl/>
          <w:lang w:bidi="ar-JO"/>
          <w14:ligatures w14:val="none"/>
        </w:rPr>
        <w:t>لفكرة أنه عندما خرجت هذه الكتلة من يد الخالق، كانت بلا شكل وغير مملوءة.  ومن هنا،تشير الآية الثانية إلى المادة الأصلية التي بدأ الله يخلق منها العناصر المنظمة المذكورة في الآيات 3-31، وهي ليست سيئة أو شريرة بالضرورة، بل ناقصة أو غير كاملة.</w:t>
      </w:r>
    </w:p>
    <w:p w14:paraId="5DB97B56"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 w:val="30"/>
          <w:szCs w:val="28"/>
          <w:rtl/>
          <w:lang w:bidi="ar-KW"/>
          <w14:ligatures w14:val="none"/>
        </w:rPr>
      </w:pPr>
      <w:r w:rsidRPr="00E84DB1">
        <w:rPr>
          <w:rFonts w:eastAsia="Times New Roman" w:cs="DecoType Naskh" w:hint="cs"/>
          <w:color w:val="auto"/>
          <w:kern w:val="0"/>
          <w:szCs w:val="26"/>
          <w:rtl/>
          <w:lang w:bidi="ar-JO"/>
          <w14:ligatures w14:val="none"/>
        </w:rPr>
        <w:t>2.</w:t>
      </w:r>
      <w:r w:rsidRPr="00E84DB1">
        <w:rPr>
          <w:rFonts w:eastAsia="Times New Roman" w:cs="DecoType Naskh" w:hint="cs"/>
          <w:color w:val="auto"/>
          <w:kern w:val="0"/>
          <w:szCs w:val="26"/>
          <w:rtl/>
          <w:lang w:bidi="ar-JO"/>
          <w14:ligatures w14:val="none"/>
        </w:rPr>
        <w:tab/>
        <w:t>دعاة هذه النظرية: لوثر، كالفن، كيل، كاسوتو، ليوبولد، يونغ، رايري، مارك روكر.</w:t>
      </w:r>
      <w:r w:rsidRPr="00E84DB1">
        <w:rPr>
          <w:rFonts w:eastAsia="Times New Roman" w:cs="DecoType Naskh"/>
          <w:color w:val="auto"/>
          <w:kern w:val="0"/>
          <w:sz w:val="30"/>
          <w:szCs w:val="28"/>
          <w:vertAlign w:val="superscript"/>
          <w:rtl/>
          <w:lang w:bidi="ar-JO"/>
          <w14:ligatures w14:val="none"/>
        </w:rPr>
        <w:footnoteReference w:customMarkFollows="1" w:id="16"/>
        <w:t>4</w:t>
      </w:r>
    </w:p>
    <w:p w14:paraId="15C4DB4E"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KW"/>
          <w14:ligatures w14:val="none"/>
        </w:rPr>
      </w:pPr>
    </w:p>
    <w:p w14:paraId="3C1E0505"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3.</w:t>
      </w:r>
      <w:r w:rsidRPr="00E84DB1">
        <w:rPr>
          <w:rFonts w:eastAsia="Times New Roman" w:cs="DecoType Naskh" w:hint="cs"/>
          <w:color w:val="auto"/>
          <w:kern w:val="0"/>
          <w:szCs w:val="26"/>
          <w:rtl/>
          <w:lang w:bidi="ar-JO"/>
          <w14:ligatures w14:val="none"/>
        </w:rPr>
        <w:tab/>
        <w:t>حجج داعمة لهذه النظرية:</w:t>
      </w:r>
    </w:p>
    <w:p w14:paraId="66B367C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أ.</w:t>
      </w:r>
      <w:r w:rsidRPr="00E84DB1">
        <w:rPr>
          <w:rFonts w:eastAsia="Times New Roman" w:cs="DecoType Naskh" w:hint="cs"/>
          <w:color w:val="auto"/>
          <w:kern w:val="0"/>
          <w:szCs w:val="26"/>
          <w:rtl/>
          <w:lang w:bidi="ar-JO"/>
          <w14:ligatures w14:val="none"/>
        </w:rPr>
        <w:tab/>
        <w:t>كانت هذه على الدوام النظرية التقليدية لدى المسيحيّين.</w:t>
      </w:r>
    </w:p>
    <w:p w14:paraId="0BA2459F"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KW"/>
          <w14:ligatures w14:val="none"/>
        </w:rPr>
      </w:pPr>
      <w:r w:rsidRPr="00E84DB1">
        <w:rPr>
          <w:rFonts w:eastAsia="Times New Roman" w:cs="DecoType Naskh" w:hint="cs"/>
          <w:color w:val="auto"/>
          <w:kern w:val="0"/>
          <w:szCs w:val="26"/>
          <w:rtl/>
          <w:lang w:bidi="ar-JO"/>
          <w14:ligatures w14:val="none"/>
        </w:rPr>
        <w:t>ب.</w:t>
      </w:r>
      <w:r w:rsidRPr="00E84DB1">
        <w:rPr>
          <w:rFonts w:eastAsia="Times New Roman" w:cs="DecoType Naskh" w:hint="cs"/>
          <w:color w:val="auto"/>
          <w:kern w:val="0"/>
          <w:szCs w:val="26"/>
          <w:rtl/>
          <w:lang w:bidi="ar-JO"/>
          <w14:ligatures w14:val="none"/>
        </w:rPr>
        <w:tab/>
        <w:t xml:space="preserve">تدعم هذه النظرية قواعد اللغة العبرية كما هي في كتاب </w:t>
      </w:r>
      <w:r w:rsidRPr="00E84DB1">
        <w:rPr>
          <w:rFonts w:eastAsia="Times New Roman" w:cs="DecoType Naskh"/>
          <w:i/>
          <w:iCs/>
          <w:color w:val="auto"/>
          <w:kern w:val="0"/>
          <w:szCs w:val="26"/>
          <w14:ligatures w14:val="none"/>
        </w:rPr>
        <w:t>Gesenius-Kautzsch-Cowley</w:t>
      </w:r>
      <w:r w:rsidRPr="00E84DB1">
        <w:rPr>
          <w:rFonts w:eastAsia="Times New Roman" w:cs="DecoType Naskh"/>
          <w:color w:val="auto"/>
          <w:kern w:val="0"/>
          <w:szCs w:val="26"/>
          <w14:ligatures w14:val="none"/>
        </w:rPr>
        <w:t xml:space="preserve"> (Paragraph 142c) </w:t>
      </w:r>
      <w:r w:rsidRPr="00E84DB1">
        <w:rPr>
          <w:rFonts w:eastAsia="Times New Roman" w:cs="DecoType Naskh" w:hint="cs"/>
          <w:color w:val="auto"/>
          <w:kern w:val="0"/>
          <w:szCs w:val="26"/>
          <w:rtl/>
          <w:lang w:bidi="ar-KW"/>
          <w14:ligatures w14:val="none"/>
        </w:rPr>
        <w:t xml:space="preserve"> الذي حول القواعد العبرية.</w:t>
      </w:r>
    </w:p>
    <w:p w14:paraId="6B559AEF"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جـ.</w:t>
      </w:r>
      <w:r w:rsidRPr="00E84DB1">
        <w:rPr>
          <w:rFonts w:eastAsia="Times New Roman" w:cs="DecoType Naskh" w:hint="cs"/>
          <w:color w:val="auto"/>
          <w:kern w:val="0"/>
          <w:szCs w:val="26"/>
          <w:rtl/>
          <w:lang w:bidi="ar-JO"/>
          <w14:ligatures w14:val="none"/>
        </w:rPr>
        <w:tab/>
        <w:t>مقنعة لاهوتياً.  إذ تؤكد هذه النظرية أن الله موجود قبل كل شيء، ثم قام بخلق المادة بإمكاناتها للحياة.</w:t>
      </w:r>
    </w:p>
    <w:p w14:paraId="4E25A92D"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د.</w:t>
      </w:r>
      <w:r w:rsidRPr="00E84DB1">
        <w:rPr>
          <w:rFonts w:eastAsia="Times New Roman" w:cs="DecoType Naskh" w:hint="cs"/>
          <w:color w:val="auto"/>
          <w:kern w:val="0"/>
          <w:szCs w:val="26"/>
          <w:rtl/>
          <w:lang w:bidi="ar-JO"/>
          <w14:ligatures w14:val="none"/>
        </w:rPr>
        <w:tab/>
        <w:t>إن التعابير المستخدمة في الآية الثانية لا توحي بالشر بالضرورة، ولا يلزم أن تشير إلى الدينونة.</w:t>
      </w:r>
    </w:p>
    <w:p w14:paraId="15D801FC"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i/>
          <w:iCs/>
          <w:color w:val="auto"/>
          <w:kern w:val="0"/>
          <w:szCs w:val="26"/>
          <w:rtl/>
          <w14:ligatures w14:val="none"/>
        </w:rPr>
      </w:pPr>
      <w:r w:rsidRPr="00E84DB1">
        <w:rPr>
          <w:rFonts w:eastAsia="Times New Roman" w:cs="DecoType Naskh" w:hint="cs"/>
          <w:color w:val="auto"/>
          <w:kern w:val="0"/>
          <w:szCs w:val="26"/>
          <w:rtl/>
          <w:lang w:bidi="ar-JO"/>
          <w14:ligatures w14:val="none"/>
        </w:rPr>
        <w:t>ملاحظة: سأقدم حججاً داعمة أخرى في النقاش التالي.</w:t>
      </w:r>
      <w:r w:rsidRPr="00E84DB1">
        <w:rPr>
          <w:rFonts w:eastAsia="Times New Roman" w:cs="DecoType Naskh"/>
          <w:i/>
          <w:iCs/>
          <w:color w:val="auto"/>
          <w:kern w:val="0"/>
          <w:szCs w:val="26"/>
          <w14:ligatures w14:val="none"/>
        </w:rPr>
        <w:t xml:space="preserve"> </w:t>
      </w:r>
    </w:p>
    <w:p w14:paraId="1AD0E3D6"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p>
    <w:p w14:paraId="5AC14090" w14:textId="77777777" w:rsidR="00E84DB1" w:rsidRPr="00E84DB1" w:rsidRDefault="00E84DB1"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E84DB1">
        <w:rPr>
          <w:rFonts w:eastAsia="Times New Roman" w:cs="DecoType Naskh" w:hint="cs"/>
          <w:bCs/>
          <w:color w:val="auto"/>
          <w:kern w:val="0"/>
          <w:szCs w:val="26"/>
          <w:rtl/>
          <w14:ligatures w14:val="none"/>
        </w:rPr>
        <w:lastRenderedPageBreak/>
        <w:t>ج.</w:t>
      </w:r>
      <w:r w:rsidRPr="00E84DB1">
        <w:rPr>
          <w:rFonts w:eastAsia="Times New Roman" w:cs="DecoType Naskh" w:hint="cs"/>
          <w:bCs/>
          <w:color w:val="auto"/>
          <w:kern w:val="0"/>
          <w:szCs w:val="26"/>
          <w:rtl/>
          <w14:ligatures w14:val="none"/>
        </w:rPr>
        <w:tab/>
        <w:t xml:space="preserve">نظرية فوضى ما قبل الخلق </w:t>
      </w:r>
    </w:p>
    <w:p w14:paraId="42D6BA84"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1.</w:t>
      </w:r>
      <w:r w:rsidRPr="00E84DB1">
        <w:rPr>
          <w:rFonts w:eastAsia="Times New Roman" w:cs="DecoType Naskh" w:hint="cs"/>
          <w:color w:val="auto"/>
          <w:kern w:val="0"/>
          <w:szCs w:val="26"/>
          <w:rtl/>
          <w:lang w:bidi="ar-JO"/>
          <w14:ligatures w14:val="none"/>
        </w:rPr>
        <w:tab/>
        <w:t>وصفها: تَعتبر هذه النظرية تكوين 1: 1 جملة تلخيصية أو مقدمة رسمية يتم شرحها وتفسيرها في بقية الرواية (وليست خطوة أولى في الخلق، بل تلخيص للأصحاح الأول كله).  تمثّل الآية الثانية حالة فوضوية موجودة قبل قيام الله بعملية الخلق المذكورة في الأصحاح الأول. أمّا عملية الخلق الفعلية فلا تبدأ إلاّ بالآية الثالثة.</w:t>
      </w:r>
    </w:p>
    <w:p w14:paraId="42BE2A80"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2.</w:t>
      </w:r>
      <w:r w:rsidRPr="00E84DB1">
        <w:rPr>
          <w:rFonts w:eastAsia="Times New Roman" w:cs="DecoType Naskh" w:hint="cs"/>
          <w:color w:val="auto"/>
          <w:kern w:val="0"/>
          <w:szCs w:val="26"/>
          <w:rtl/>
          <w:lang w:bidi="ar-JO"/>
          <w14:ligatures w14:val="none"/>
        </w:rPr>
        <w:tab/>
        <w:t>دعاة هذه النظرية: بروس، والكي</w:t>
      </w:r>
      <w:r w:rsidRPr="00E84DB1">
        <w:rPr>
          <w:rFonts w:eastAsia="Times New Roman" w:cs="DecoType Naskh"/>
          <w:color w:val="auto"/>
          <w:kern w:val="0"/>
          <w:sz w:val="28"/>
          <w:szCs w:val="28"/>
          <w:vertAlign w:val="superscript"/>
          <w:rtl/>
          <w:lang w:bidi="ar-JO"/>
          <w14:ligatures w14:val="none"/>
        </w:rPr>
        <w:footnoteReference w:customMarkFollows="1" w:id="17"/>
        <w:t>5</w:t>
      </w:r>
      <w:r w:rsidRPr="00E84DB1">
        <w:rPr>
          <w:rFonts w:eastAsia="Times New Roman" w:cs="DecoType Naskh" w:hint="cs"/>
          <w:color w:val="auto"/>
          <w:kern w:val="0"/>
          <w:szCs w:val="26"/>
          <w:rtl/>
          <w:lang w:bidi="ar-JO"/>
          <w14:ligatures w14:val="none"/>
        </w:rPr>
        <w:t>، آلان روس</w:t>
      </w:r>
      <w:r w:rsidRPr="00E84DB1">
        <w:rPr>
          <w:rFonts w:eastAsia="Times New Roman" w:cs="DecoType Naskh" w:hint="cs"/>
          <w:color w:val="auto"/>
          <w:kern w:val="0"/>
          <w:szCs w:val="26"/>
          <w:rtl/>
          <w14:ligatures w14:val="none"/>
        </w:rPr>
        <w:t>.</w:t>
      </w:r>
      <w:r w:rsidRPr="00E84DB1">
        <w:rPr>
          <w:rFonts w:eastAsia="Times New Roman" w:cs="DecoType Naskh"/>
          <w:color w:val="auto"/>
          <w:kern w:val="0"/>
          <w:sz w:val="30"/>
          <w:szCs w:val="28"/>
          <w:vertAlign w:val="superscript"/>
          <w:rtl/>
          <w:lang w:bidi="ar-JO"/>
          <w14:ligatures w14:val="none"/>
        </w:rPr>
        <w:footnoteReference w:customMarkFollows="1" w:id="18"/>
        <w:t>6</w:t>
      </w:r>
    </w:p>
    <w:p w14:paraId="14715475"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3.</w:t>
      </w:r>
      <w:r w:rsidRPr="00E84DB1">
        <w:rPr>
          <w:rFonts w:eastAsia="Times New Roman" w:cs="DecoType Naskh" w:hint="cs"/>
          <w:color w:val="auto"/>
          <w:kern w:val="0"/>
          <w:szCs w:val="26"/>
          <w:rtl/>
          <w:lang w:bidi="ar-JO"/>
          <w14:ligatures w14:val="none"/>
        </w:rPr>
        <w:tab/>
        <w:t xml:space="preserve">حجج داعمة </w:t>
      </w:r>
    </w:p>
    <w:p w14:paraId="5AC1CBD1"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أ.</w:t>
      </w:r>
      <w:r w:rsidRPr="00E84DB1">
        <w:rPr>
          <w:rFonts w:eastAsia="Times New Roman" w:cs="DecoType Naskh" w:hint="cs"/>
          <w:color w:val="auto"/>
          <w:kern w:val="0"/>
          <w:szCs w:val="26"/>
          <w:rtl/>
          <w:lang w:bidi="ar-JO"/>
          <w14:ligatures w14:val="none"/>
        </w:rPr>
        <w:tab/>
        <w:t>تشكل تكوين 1: 1 جملة تلخيصية.</w:t>
      </w:r>
    </w:p>
    <w:p w14:paraId="57B4FD6C"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ب.</w:t>
      </w:r>
      <w:r w:rsidRPr="00E84DB1">
        <w:rPr>
          <w:rFonts w:eastAsia="Times New Roman" w:cs="DecoType Naskh" w:hint="cs"/>
          <w:color w:val="auto"/>
          <w:kern w:val="0"/>
          <w:szCs w:val="26"/>
          <w:rtl/>
          <w:lang w:bidi="ar-JO"/>
          <w14:ligatures w14:val="none"/>
        </w:rPr>
        <w:tab/>
        <w:t xml:space="preserve">لا يجب أن يُفهَم الفعل العبري </w:t>
      </w:r>
      <w:r w:rsidRPr="00E84DB1">
        <w:rPr>
          <w:rFonts w:eastAsia="Times New Roman" w:cs="DecoType Naskh" w:hint="cs"/>
          <w:i/>
          <w:iCs/>
          <w:color w:val="auto"/>
          <w:kern w:val="0"/>
          <w:szCs w:val="26"/>
          <w:rtl/>
          <w:lang w:bidi="ar-JO"/>
          <w14:ligatures w14:val="none"/>
        </w:rPr>
        <w:t>بارا</w:t>
      </w:r>
      <w:r w:rsidRPr="00E84DB1">
        <w:rPr>
          <w:rFonts w:eastAsia="Times New Roman" w:cs="DecoType Naskh" w:hint="cs"/>
          <w:color w:val="auto"/>
          <w:kern w:val="0"/>
          <w:szCs w:val="26"/>
          <w:rtl/>
          <w:lang w:bidi="ar-JO"/>
          <w14:ligatures w14:val="none"/>
        </w:rPr>
        <w:t xml:space="preserve"> (</w:t>
      </w:r>
      <w:proofErr w:type="spellStart"/>
      <w:r w:rsidRPr="00E84DB1">
        <w:rPr>
          <w:rFonts w:ascii="Hebrew" w:eastAsia="Times New Roman" w:hAnsi="Hebrew" w:cs="DecoType Naskh"/>
          <w:color w:val="auto"/>
          <w:kern w:val="0"/>
          <w:szCs w:val="26"/>
          <w14:ligatures w14:val="none"/>
        </w:rPr>
        <w:t>ar</w:t>
      </w:r>
      <w:proofErr w:type="spellEnd"/>
      <w:r w:rsidRPr="00E84DB1">
        <w:rPr>
          <w:rFonts w:ascii="Hebrew" w:eastAsia="Times New Roman" w:hAnsi="Hebrew" w:cs="DecoType Naskh"/>
          <w:color w:val="auto"/>
          <w:kern w:val="0"/>
          <w:szCs w:val="26"/>
          <w14:ligatures w14:val="none"/>
        </w:rPr>
        <w:t>*B*</w:t>
      </w:r>
      <w:r w:rsidRPr="00E84DB1">
        <w:rPr>
          <w:rFonts w:eastAsia="Times New Roman" w:cs="DecoType Naskh"/>
          <w:color w:val="auto"/>
          <w:kern w:val="0"/>
          <w:szCs w:val="26"/>
          <w14:ligatures w14:val="none"/>
        </w:rPr>
        <w:t xml:space="preserve"> (</w:t>
      </w:r>
      <w:r w:rsidRPr="00E84DB1">
        <w:rPr>
          <w:rFonts w:ascii="Hebrewtl" w:eastAsia="Times New Roman" w:hAnsi="Hebrewtl" w:cs="DecoType Naskh"/>
          <w:color w:val="auto"/>
          <w:kern w:val="0"/>
          <w:szCs w:val="26"/>
          <w14:ligatures w14:val="none"/>
        </w:rPr>
        <w:t>B*r*a</w:t>
      </w:r>
      <w:r w:rsidRPr="00E84DB1">
        <w:rPr>
          <w:rFonts w:eastAsia="Times New Roman" w:cs="DecoType Naskh"/>
          <w:color w:val="auto"/>
          <w:kern w:val="0"/>
          <w:szCs w:val="26"/>
          <w14:ligatures w14:val="none"/>
        </w:rPr>
        <w:t>)</w:t>
      </w:r>
      <w:r w:rsidRPr="00E84DB1">
        <w:rPr>
          <w:rFonts w:eastAsia="Times New Roman" w:cs="DecoType Naskh" w:hint="cs"/>
          <w:color w:val="auto"/>
          <w:kern w:val="0"/>
          <w:szCs w:val="26"/>
          <w:rtl/>
          <w:lang w:bidi="ar-JO"/>
          <w14:ligatures w14:val="none"/>
        </w:rPr>
        <w:t>) في تكوين 1: 1 على أنها خلق من العدم</w:t>
      </w:r>
      <w:r w:rsidRPr="00E84DB1">
        <w:rPr>
          <w:rFonts w:eastAsia="Times New Roman" w:cs="DecoType Naskh" w:hint="cs"/>
          <w:color w:val="auto"/>
          <w:kern w:val="0"/>
          <w:szCs w:val="26"/>
          <w:rtl/>
          <w14:ligatures w14:val="none"/>
        </w:rPr>
        <w:t xml:space="preserve"> </w:t>
      </w:r>
      <w:r w:rsidRPr="00E84DB1">
        <w:rPr>
          <w:rFonts w:eastAsia="Times New Roman" w:cs="DecoType Naskh"/>
          <w:color w:val="auto"/>
          <w:kern w:val="0"/>
          <w:szCs w:val="26"/>
          <w14:ligatures w14:val="none"/>
        </w:rPr>
        <w:t>(</w:t>
      </w:r>
      <w:proofErr w:type="spellStart"/>
      <w:r w:rsidRPr="00E84DB1">
        <w:rPr>
          <w:rFonts w:eastAsia="Times New Roman" w:cs="DecoType Naskh"/>
          <w:i/>
          <w:iCs/>
          <w:color w:val="auto"/>
          <w:kern w:val="0"/>
          <w:szCs w:val="26"/>
          <w14:ligatures w14:val="none"/>
        </w:rPr>
        <w:t>creatio</w:t>
      </w:r>
      <w:proofErr w:type="spellEnd"/>
      <w:r w:rsidRPr="00E84DB1">
        <w:rPr>
          <w:rFonts w:eastAsia="Times New Roman" w:cs="DecoType Naskh"/>
          <w:i/>
          <w:iCs/>
          <w:color w:val="auto"/>
          <w:kern w:val="0"/>
          <w:szCs w:val="26"/>
          <w14:ligatures w14:val="none"/>
        </w:rPr>
        <w:t xml:space="preserve"> ex nihilo</w:t>
      </w:r>
      <w:r w:rsidRPr="00E84DB1">
        <w:rPr>
          <w:rFonts w:eastAsia="Times New Roman" w:cs="DecoType Naskh"/>
          <w:color w:val="auto"/>
          <w:kern w:val="0"/>
          <w:szCs w:val="26"/>
          <w14:ligatures w14:val="none"/>
        </w:rPr>
        <w:t>)</w:t>
      </w:r>
      <w:r w:rsidRPr="00E84DB1">
        <w:rPr>
          <w:rFonts w:eastAsia="Times New Roman" w:cs="DecoType Naskh" w:hint="cs"/>
          <w:color w:val="auto"/>
          <w:kern w:val="0"/>
          <w:szCs w:val="26"/>
          <w:rtl/>
          <w:lang w:bidi="ar-JO"/>
          <w14:ligatures w14:val="none"/>
        </w:rPr>
        <w:t>.</w:t>
      </w:r>
    </w:p>
    <w:p w14:paraId="556AF2AC"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جـ.</w:t>
      </w:r>
      <w:r w:rsidRPr="00E84DB1">
        <w:rPr>
          <w:rFonts w:eastAsia="Times New Roman" w:cs="DecoType Naskh" w:hint="cs"/>
          <w:color w:val="auto"/>
          <w:kern w:val="0"/>
          <w:szCs w:val="26"/>
          <w:rtl/>
          <w:lang w:bidi="ar-JO"/>
          <w14:ligatures w14:val="none"/>
        </w:rPr>
        <w:tab/>
        <w:t>تتحدث تكوين 1: 2 ليس عن شيء غير حسن فحسب، لكن شرّير أيضاً (كما يدّعي البعض).</w:t>
      </w:r>
    </w:p>
    <w:p w14:paraId="02EC938B"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p>
    <w:p w14:paraId="1DB29425"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p>
    <w:p w14:paraId="66EA19C5" w14:textId="77777777" w:rsidR="00E84DB1" w:rsidRPr="00E84DB1" w:rsidRDefault="00E84DB1"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E84DB1">
        <w:rPr>
          <w:rFonts w:eastAsia="Times New Roman" w:cs="DecoType Naskh" w:hint="cs"/>
          <w:bCs/>
          <w:color w:val="auto"/>
          <w:kern w:val="0"/>
          <w:szCs w:val="28"/>
          <w:rtl/>
          <w:lang w:bidi="ar-JO"/>
          <w14:ligatures w14:val="none"/>
        </w:rPr>
        <w:t>4.</w:t>
      </w:r>
      <w:r w:rsidRPr="00E84DB1">
        <w:rPr>
          <w:rFonts w:eastAsia="Times New Roman" w:cs="DecoType Naskh" w:hint="cs"/>
          <w:bCs/>
          <w:color w:val="auto"/>
          <w:kern w:val="0"/>
          <w:szCs w:val="28"/>
          <w:rtl/>
          <w:lang w:bidi="ar-JO"/>
          <w14:ligatures w14:val="none"/>
        </w:rPr>
        <w:tab/>
        <w:t>تقويم نظريات الخليقة</w:t>
      </w:r>
    </w:p>
    <w:p w14:paraId="3DEB7B99" w14:textId="77777777" w:rsidR="00E84DB1" w:rsidRPr="00E84DB1" w:rsidRDefault="00E84DB1"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E84DB1">
        <w:rPr>
          <w:rFonts w:eastAsia="Times New Roman" w:cs="DecoType Naskh" w:hint="cs"/>
          <w:bCs/>
          <w:color w:val="auto"/>
          <w:kern w:val="0"/>
          <w:szCs w:val="26"/>
          <w:rtl/>
          <w14:ligatures w14:val="none"/>
        </w:rPr>
        <w:t>أ.</w:t>
      </w:r>
      <w:r w:rsidRPr="00E84DB1">
        <w:rPr>
          <w:rFonts w:eastAsia="Times New Roman" w:cs="DecoType Naskh" w:hint="cs"/>
          <w:bCs/>
          <w:color w:val="auto"/>
          <w:kern w:val="0"/>
          <w:szCs w:val="26"/>
          <w:rtl/>
          <w14:ligatures w14:val="none"/>
        </w:rPr>
        <w:tab/>
        <w:t>"السماوات والأرض" (الآية 1)</w:t>
      </w:r>
    </w:p>
    <w:p w14:paraId="0DF17F0B"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يزعم والكي أن تكوين 1: 1 لا تصف الخليقة الأصلية (أي خليقة سابقة لتلك المذكورة في 1: 3 فصاعداً) ولا تتحدث عن خطوة أولى في عملية الخلق.  لكنه يقول إن تكوين 1: 1 جملة تلخيصية لكل عملية الخلق المذكورة في 1: 3-31.</w:t>
      </w:r>
      <w:r w:rsidRPr="00E84DB1">
        <w:rPr>
          <w:rFonts w:eastAsia="Times New Roman" w:cs="DecoType Naskh"/>
          <w:color w:val="auto"/>
          <w:kern w:val="0"/>
          <w:szCs w:val="26"/>
          <w14:ligatures w14:val="none"/>
        </w:rPr>
        <w:t xml:space="preserve"> </w:t>
      </w:r>
      <w:r w:rsidRPr="00E84DB1">
        <w:rPr>
          <w:rFonts w:eastAsia="Times New Roman" w:cs="DecoType Naskh"/>
          <w:color w:val="auto"/>
          <w:kern w:val="0"/>
          <w:sz w:val="30"/>
          <w:szCs w:val="28"/>
          <w:vertAlign w:val="superscript"/>
          <w:rtl/>
          <w:lang w:bidi="ar-JO"/>
          <w14:ligatures w14:val="none"/>
        </w:rPr>
        <w:footnoteReference w:customMarkFollows="1" w:id="19"/>
        <w:t>7</w:t>
      </w:r>
      <w:r w:rsidRPr="00E84DB1">
        <w:rPr>
          <w:rFonts w:eastAsia="Times New Roman" w:cs="DecoType Naskh" w:hint="cs"/>
          <w:color w:val="auto"/>
          <w:kern w:val="0"/>
          <w:sz w:val="30"/>
          <w:szCs w:val="28"/>
          <w:rtl/>
          <w:lang w:bidi="ar-KW"/>
          <w14:ligatures w14:val="none"/>
        </w:rPr>
        <w:t xml:space="preserve">  </w:t>
      </w:r>
      <w:r w:rsidRPr="00E84DB1">
        <w:rPr>
          <w:rFonts w:eastAsia="Times New Roman" w:cs="DecoType Naskh" w:hint="cs"/>
          <w:color w:val="auto"/>
          <w:kern w:val="0"/>
          <w:szCs w:val="26"/>
          <w:rtl/>
          <w:lang w:bidi="ar-JO"/>
          <w14:ligatures w14:val="none"/>
        </w:rPr>
        <w:t>تشكّل هاتان الكلمتان (السماوات والأرض) طباقاً، أي كلمتين متقابلتين من أجل الإشارة إلى الشمولية أو الكلية (قارن مزمور 139: 2).  وبهذه الصفة فإن العبارة لا تشير إلى جانب واحد من الخليقة، بل إلى الخليقة كلّها.  ويشير والكي دعماً لرأيه إلى استخدام نفس العبارة في تكوين 2: 1 التي تتحدث عن كل عمل الخلق في الأصحاح الأول.  وفضلاً عن ذلك، فإن تعبير "السماوات والأرض" يشير إلى عمل كل الأيام الستة (لا إلى المرحلة الأولى فحسب)، وتبرهن خروج 31: 17 على ذلك، "... لأنه في ستة أيام صنع الرب السماوات والأرض."  وردّاً على ذلك، يمكننا أن نبيين أن تكوين 2: 1 ليست مطابقة تماماً: "فأُكملت السماوات والأرض وكل جندها."</w:t>
      </w:r>
    </w:p>
    <w:p w14:paraId="04A3700A"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0D0DD51A"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يقول والكي إن تعبير "السماوات والأرض" يشير إلى الكون المنظّم (كوزموس)، ذاك الذي نتج عن عمل الله مدة ستة أيام.  ويبيّن أن الكلم</w:t>
      </w:r>
      <w:r w:rsidRPr="00E84DB1">
        <w:rPr>
          <w:rFonts w:eastAsia="Times New Roman" w:cs="DecoType Naskh" w:hint="cs"/>
          <w:color w:val="auto"/>
          <w:kern w:val="0"/>
          <w:szCs w:val="26"/>
          <w:rtl/>
          <w14:ligatures w14:val="none"/>
        </w:rPr>
        <w:t>ة</w:t>
      </w:r>
      <w:r w:rsidRPr="00E84DB1">
        <w:rPr>
          <w:rFonts w:eastAsia="Times New Roman" w:cs="DecoType Naskh" w:hint="cs"/>
          <w:color w:val="auto"/>
          <w:kern w:val="0"/>
          <w:szCs w:val="26"/>
          <w:rtl/>
          <w:lang w:bidi="ar-JO"/>
          <w14:ligatures w14:val="none"/>
        </w:rPr>
        <w:t xml:space="preserve"> اليوناني</w:t>
      </w:r>
      <w:r w:rsidRPr="00E84DB1">
        <w:rPr>
          <w:rFonts w:eastAsia="Times New Roman" w:cs="DecoType Naskh" w:hint="cs"/>
          <w:color w:val="auto"/>
          <w:kern w:val="0"/>
          <w:szCs w:val="26"/>
          <w:rtl/>
          <w14:ligatures w14:val="none"/>
        </w:rPr>
        <w:t>ة</w:t>
      </w:r>
      <w:r w:rsidRPr="00E84DB1">
        <w:rPr>
          <w:rFonts w:eastAsia="Times New Roman" w:cs="DecoType Naskh" w:hint="cs"/>
          <w:color w:val="auto"/>
          <w:kern w:val="0"/>
          <w:szCs w:val="26"/>
          <w:rtl/>
          <w:lang w:bidi="ar-JO"/>
          <w14:ligatures w14:val="none"/>
        </w:rPr>
        <w:t xml:space="preserve"> (</w:t>
      </w:r>
      <w:proofErr w:type="spellStart"/>
      <w:r w:rsidRPr="00E84DB1">
        <w:rPr>
          <w:rFonts w:ascii="Greek" w:eastAsia="Times New Roman" w:hAnsi="Greek" w:cs="DecoType Naskh"/>
          <w:color w:val="auto"/>
          <w:kern w:val="0"/>
          <w:szCs w:val="26"/>
          <w14:ligatures w14:val="none"/>
        </w:rPr>
        <w:t>oJ</w:t>
      </w:r>
      <w:proofErr w:type="spellEnd"/>
      <w:r w:rsidRPr="00E84DB1">
        <w:rPr>
          <w:rFonts w:ascii="Greek" w:eastAsia="Times New Roman" w:hAnsi="Greek" w:cs="DecoType Naskh"/>
          <w:color w:val="auto"/>
          <w:kern w:val="0"/>
          <w:szCs w:val="26"/>
          <w14:ligatures w14:val="none"/>
        </w:rPr>
        <w:t xml:space="preserve"> </w:t>
      </w:r>
      <w:proofErr w:type="spellStart"/>
      <w:r w:rsidRPr="00E84DB1">
        <w:rPr>
          <w:rFonts w:ascii="Greek" w:eastAsia="Times New Roman" w:hAnsi="Greek" w:cs="DecoType Naskh"/>
          <w:color w:val="auto"/>
          <w:kern w:val="0"/>
          <w:szCs w:val="26"/>
          <w14:ligatures w14:val="none"/>
        </w:rPr>
        <w:t>kosmo</w:t>
      </w:r>
      <w:proofErr w:type="spellEnd"/>
      <w:r w:rsidRPr="00E84DB1">
        <w:rPr>
          <w:rFonts w:ascii="Greek" w:eastAsia="Times New Roman" w:hAnsi="Greek" w:cs="DecoType Naskh"/>
          <w:color w:val="auto"/>
          <w:kern w:val="0"/>
          <w:szCs w:val="26"/>
          <w14:ligatures w14:val="none"/>
        </w:rPr>
        <w:t>"</w:t>
      </w:r>
      <w:r w:rsidRPr="00E84DB1">
        <w:rPr>
          <w:rFonts w:eastAsia="Times New Roman" w:cs="DecoType Naskh" w:hint="cs"/>
          <w:color w:val="auto"/>
          <w:kern w:val="0"/>
          <w:szCs w:val="26"/>
          <w:rtl/>
          <w:lang w:bidi="ar-JO"/>
          <w14:ligatures w14:val="none"/>
        </w:rPr>
        <w:t xml:space="preserve">) المستخدمتين في حكمة سليمان 11: 17 تشيران إلى تكوين 1: 1.  وردّاً على هذا نقول إن الترجمة السبعينية </w:t>
      </w:r>
      <w:r w:rsidRPr="00E84DB1">
        <w:rPr>
          <w:rFonts w:eastAsia="Times New Roman" w:cs="DecoType Naskh" w:hint="cs"/>
          <w:color w:val="auto"/>
          <w:kern w:val="0"/>
          <w:szCs w:val="26"/>
          <w:u w:val="single"/>
          <w:rtl/>
          <w:lang w:bidi="ar-JO"/>
          <w14:ligatures w14:val="none"/>
        </w:rPr>
        <w:t xml:space="preserve">لا </w:t>
      </w:r>
      <w:r w:rsidRPr="00E84DB1">
        <w:rPr>
          <w:rFonts w:eastAsia="Times New Roman" w:cs="DecoType Naskh" w:hint="cs"/>
          <w:color w:val="auto"/>
          <w:kern w:val="0"/>
          <w:szCs w:val="26"/>
          <w:rtl/>
          <w:lang w:bidi="ar-JO"/>
          <w14:ligatures w14:val="none"/>
        </w:rPr>
        <w:t xml:space="preserve"> تترجم تكوين 1: 1 إلى الكلم</w:t>
      </w:r>
      <w:r w:rsidRPr="00E84DB1">
        <w:rPr>
          <w:rFonts w:eastAsia="Times New Roman" w:cs="DecoType Naskh" w:hint="cs"/>
          <w:color w:val="auto"/>
          <w:kern w:val="0"/>
          <w:szCs w:val="26"/>
          <w:rtl/>
          <w14:ligatures w14:val="none"/>
        </w:rPr>
        <w:t>ة</w:t>
      </w:r>
      <w:r w:rsidRPr="00E84DB1">
        <w:rPr>
          <w:rFonts w:eastAsia="Times New Roman" w:cs="DecoType Naskh" w:hint="cs"/>
          <w:color w:val="auto"/>
          <w:kern w:val="0"/>
          <w:szCs w:val="26"/>
          <w:rtl/>
          <w:lang w:bidi="ar-JO"/>
          <w14:ligatures w14:val="none"/>
        </w:rPr>
        <w:t xml:space="preserve"> (</w:t>
      </w:r>
      <w:proofErr w:type="spellStart"/>
      <w:r w:rsidRPr="00E84DB1">
        <w:rPr>
          <w:rFonts w:ascii="Greek" w:eastAsia="Times New Roman" w:hAnsi="Greek" w:cs="DecoType Naskh"/>
          <w:color w:val="auto"/>
          <w:kern w:val="0"/>
          <w:szCs w:val="26"/>
          <w14:ligatures w14:val="none"/>
        </w:rPr>
        <w:t>oJ</w:t>
      </w:r>
      <w:proofErr w:type="spellEnd"/>
      <w:r w:rsidRPr="00E84DB1">
        <w:rPr>
          <w:rFonts w:ascii="Greek" w:eastAsia="Times New Roman" w:hAnsi="Greek" w:cs="DecoType Naskh"/>
          <w:color w:val="auto"/>
          <w:kern w:val="0"/>
          <w:szCs w:val="26"/>
          <w14:ligatures w14:val="none"/>
        </w:rPr>
        <w:t xml:space="preserve"> </w:t>
      </w:r>
      <w:proofErr w:type="spellStart"/>
      <w:r w:rsidRPr="00E84DB1">
        <w:rPr>
          <w:rFonts w:ascii="Greek" w:eastAsia="Times New Roman" w:hAnsi="Greek" w:cs="DecoType Naskh"/>
          <w:color w:val="auto"/>
          <w:kern w:val="0"/>
          <w:szCs w:val="26"/>
          <w14:ligatures w14:val="none"/>
        </w:rPr>
        <w:t>kosmo</w:t>
      </w:r>
      <w:proofErr w:type="spellEnd"/>
      <w:r w:rsidRPr="00E84DB1">
        <w:rPr>
          <w:rFonts w:ascii="Greek" w:eastAsia="Times New Roman" w:hAnsi="Greek" w:cs="DecoType Naskh"/>
          <w:color w:val="auto"/>
          <w:kern w:val="0"/>
          <w:szCs w:val="26"/>
          <w14:ligatures w14:val="none"/>
        </w:rPr>
        <w:t>"</w:t>
      </w:r>
      <w:r w:rsidRPr="00E84DB1">
        <w:rPr>
          <w:rFonts w:eastAsia="Times New Roman" w:cs="DecoType Naskh" w:hint="cs"/>
          <w:color w:val="auto"/>
          <w:kern w:val="0"/>
          <w:szCs w:val="26"/>
          <w:rtl/>
          <w:lang w:bidi="ar-JO"/>
          <w14:ligatures w14:val="none"/>
        </w:rPr>
        <w:t>).</w:t>
      </w:r>
    </w:p>
    <w:p w14:paraId="66B4F307"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6DC304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14:ligatures w14:val="none"/>
        </w:rPr>
      </w:pPr>
      <w:r w:rsidRPr="00E84DB1">
        <w:rPr>
          <w:rFonts w:eastAsia="Times New Roman" w:cs="DecoType Naskh" w:hint="cs"/>
          <w:color w:val="auto"/>
          <w:kern w:val="0"/>
          <w:szCs w:val="26"/>
          <w:rtl/>
          <w:lang w:bidi="ar-JO"/>
          <w14:ligatures w14:val="none"/>
        </w:rPr>
        <w:t xml:space="preserve">إن كان والكي على صواب في أن تكوين 1: 1 تشكل تلخيصاً للأصحاح كله (وليس مرحلة في نشاط الخلق)، فإنه سيكون لرأيه تضمينات سلبية على النظريتين الأخريين: (1) لا يمكن أن تكون الآية الأولى عملية خلق أصلية كما تقول نظرية الثغرة، و(2) لا يمكن أن تكون الآية الأولى أول مرحلة في عملية الخلق كما تقول النظرة التقليدية (أي نظرية الفوضى الأولية).  ولا يعني هذا أن النظرية التقليدية مستحيلة، لكنها ستحتاج إلى تعديل.  فلا بد لها أن تعترف بأن "الأرض" المذكورة في الآية 2 تظهر فجأة في الصورة دون أية إشارة صريحة </w:t>
      </w:r>
      <w:r w:rsidRPr="00E84DB1">
        <w:rPr>
          <w:rFonts w:eastAsia="Times New Roman" w:cs="DecoType Naskh" w:hint="cs"/>
          <w:color w:val="auto"/>
          <w:kern w:val="0"/>
          <w:szCs w:val="26"/>
          <w:rtl/>
          <w:lang w:bidi="ar-JO"/>
          <w14:ligatures w14:val="none"/>
        </w:rPr>
        <w:lastRenderedPageBreak/>
        <w:t>إلى خلقها (أي يجب افتراض خلق المادة الأصلية قبل تكوين 1: 3).  غير أن حجّة "الجملة التلخيصية" ليست مقنعة بالدرجة التي أراد أن يظهرها والكي (انظر النقاش الفني في القسم التالي).</w:t>
      </w:r>
      <w:r w:rsidRPr="00E84DB1">
        <w:rPr>
          <w:rFonts w:eastAsia="Times New Roman" w:cs="DecoType Naskh"/>
          <w:color w:val="auto"/>
          <w:kern w:val="0"/>
          <w:sz w:val="30"/>
          <w:szCs w:val="28"/>
          <w:vertAlign w:val="superscript"/>
          <w:rtl/>
          <w:lang w:bidi="ar-JO"/>
          <w14:ligatures w14:val="none"/>
        </w:rPr>
        <w:footnoteReference w:customMarkFollows="1" w:id="20"/>
        <w:t>8</w:t>
      </w:r>
    </w:p>
    <w:p w14:paraId="0835F53C"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إذا كانت النظرية التقليدية صحيحة في أن تكوين 1: 1 تمثّل المرحلة الأولى في عملية الخلق، عندئذ يوحي تعبير "السماوات والأرض" فوضى وغياب النظام (في ضوء الآية الثانية).  غير أن والتك يقول إن التعبير يعني عالماً كامل التنظيم، لا فوضى وغياب النظام.  لكن يمكن القول ردّاً على والتك إن هذا حدث فريد ويمكن رؤيته كمرحلة أولى من مراحل الخلق.</w:t>
      </w:r>
    </w:p>
    <w:p w14:paraId="190DAA8F"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C54E66C" w14:textId="77777777" w:rsidR="00E84DB1" w:rsidRPr="00E84DB1" w:rsidRDefault="00E84DB1"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E84DB1">
        <w:rPr>
          <w:rFonts w:eastAsia="Times New Roman" w:cs="DecoType Naskh" w:hint="cs"/>
          <w:bCs/>
          <w:color w:val="auto"/>
          <w:kern w:val="0"/>
          <w:szCs w:val="26"/>
          <w:rtl/>
          <w14:ligatures w14:val="none"/>
        </w:rPr>
        <w:t>ب.</w:t>
      </w:r>
      <w:r w:rsidRPr="00E84DB1">
        <w:rPr>
          <w:rFonts w:eastAsia="Times New Roman" w:cs="DecoType Naskh" w:hint="cs"/>
          <w:bCs/>
          <w:color w:val="auto"/>
          <w:kern w:val="0"/>
          <w:szCs w:val="26"/>
          <w:rtl/>
          <w14:ligatures w14:val="none"/>
        </w:rPr>
        <w:tab/>
        <w:t>العلاقة بين الآيات الثلاث الأولى من سفر التكوين (1: 1-3)</w:t>
      </w:r>
    </w:p>
    <w:p w14:paraId="20189919"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جرى بحث طويل حول العلاقة التركيبية الدقيقة للآيات الثلاث الأولى من سفر التكوين.  وتعتمد "نظرية الثغرة" على الرأي القائل إن الآية الثانية جملة تدل على الترتيب أو النتيجة بعد الآية الأولى، وتعتبر نظرية "الفوضى الأولية" الآية الثانية على أنها جملة ظرفية للجمل الرئيسية في الآية الأولى.  وتعتبر "نظرية فوضى ما قبل </w:t>
      </w:r>
      <w:r w:rsidRPr="00E84DB1">
        <w:rPr>
          <w:rFonts w:eastAsia="Times New Roman" w:cs="DecoType Naskh" w:hint="cs"/>
          <w:color w:val="auto"/>
          <w:kern w:val="0"/>
          <w:szCs w:val="26"/>
          <w:rtl/>
          <w14:ligatures w14:val="none"/>
        </w:rPr>
        <w:t>ال</w:t>
      </w:r>
      <w:r w:rsidRPr="00E84DB1">
        <w:rPr>
          <w:rFonts w:eastAsia="Times New Roman" w:cs="DecoType Naskh" w:hint="cs"/>
          <w:color w:val="auto"/>
          <w:kern w:val="0"/>
          <w:szCs w:val="26"/>
          <w:rtl/>
          <w:lang w:bidi="ar-JO"/>
          <w14:ligatures w14:val="none"/>
        </w:rPr>
        <w:t>خلق" الآية 2 على أنها جملة ظرفية ترتبط بالآية الثالثة.</w:t>
      </w:r>
    </w:p>
    <w:p w14:paraId="6AB62215"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8465CD6"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من منظور قواعد اللغة لا يمكن أن تكون الآية الثانية جملة دالة على الترتيب أو النتيجة بعد الآية الأولى.  تفترض "نظرية الثغرة" أن حرف "الواو" في بداية الآيتين 2 و3 متطابقان في المعنى، وأن كليهما يحمل فكرة التعاقب (بمعنى "وبعد ذلك").  غير أن "</w:t>
      </w:r>
      <w:r w:rsidRPr="00E84DB1">
        <w:rPr>
          <w:rFonts w:eastAsia="Times New Roman" w:cs="DecoType Naskh" w:hint="cs"/>
          <w:i/>
          <w:iCs/>
          <w:color w:val="auto"/>
          <w:kern w:val="0"/>
          <w:szCs w:val="26"/>
          <w:rtl/>
          <w:lang w:bidi="ar-JO"/>
          <w14:ligatures w14:val="none"/>
        </w:rPr>
        <w:t>الواو</w:t>
      </w:r>
      <w:r w:rsidRPr="00E84DB1">
        <w:rPr>
          <w:rFonts w:eastAsia="Times New Roman" w:cs="DecoType Naskh" w:hint="cs"/>
          <w:color w:val="auto"/>
          <w:kern w:val="0"/>
          <w:szCs w:val="26"/>
          <w:rtl/>
          <w:lang w:bidi="ar-JO"/>
          <w14:ligatures w14:val="none"/>
        </w:rPr>
        <w:t>" في الآية الثانية تفيد الفصل، ولا تقدم جملة مستقلة تفيد التعاقب.  فالآية الثانية هي جملة ظرفية (مرتبطة إمّا بالآية الأولى أو الثالثة).  و"</w:t>
      </w:r>
      <w:r w:rsidRPr="00E84DB1">
        <w:rPr>
          <w:rFonts w:eastAsia="Times New Roman" w:cs="DecoType Naskh" w:hint="cs"/>
          <w:i/>
          <w:iCs/>
          <w:color w:val="auto"/>
          <w:kern w:val="0"/>
          <w:szCs w:val="26"/>
          <w:rtl/>
          <w:lang w:bidi="ar-JO"/>
          <w14:ligatures w14:val="none"/>
        </w:rPr>
        <w:t>الواو</w:t>
      </w:r>
      <w:r w:rsidRPr="00E84DB1">
        <w:rPr>
          <w:rFonts w:eastAsia="Times New Roman" w:cs="DecoType Naskh" w:hint="cs"/>
          <w:color w:val="auto"/>
          <w:kern w:val="0"/>
          <w:szCs w:val="26"/>
          <w:rtl/>
          <w:lang w:bidi="ar-JO"/>
          <w14:ligatures w14:val="none"/>
        </w:rPr>
        <w:t>" في الآية الثالثة هي واو التتابع.  وهذا يجعل "نظرية الثغرة" بعيدة الاحتمال.</w:t>
      </w:r>
    </w:p>
    <w:p w14:paraId="6E647C72"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  </w:t>
      </w:r>
    </w:p>
    <w:p w14:paraId="2007012D"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يوجد ضعف آخر في "نظرية الثغرة"، ألا وهو محاولة ترجمة (</w:t>
      </w:r>
      <w:proofErr w:type="spellStart"/>
      <w:r w:rsidRPr="00E84DB1">
        <w:rPr>
          <w:rFonts w:ascii="Hebrew" w:eastAsia="Times New Roman" w:hAnsi="Hebrew" w:cs="DecoType Naskh"/>
          <w:color w:val="auto"/>
          <w:kern w:val="0"/>
          <w:szCs w:val="26"/>
          <w14:ligatures w14:val="none"/>
        </w:rPr>
        <w:t>hyh</w:t>
      </w:r>
      <w:proofErr w:type="spellEnd"/>
      <w:r w:rsidRPr="00E84DB1">
        <w:rPr>
          <w:rFonts w:eastAsia="Times New Roman" w:cs="DecoType Naskh" w:hint="cs"/>
          <w:color w:val="auto"/>
          <w:kern w:val="0"/>
          <w:szCs w:val="26"/>
          <w:rtl/>
          <w:lang w:bidi="ar-JO"/>
          <w14:ligatures w14:val="none"/>
        </w:rPr>
        <w:t>) إلى "كان قد أصبح</w:t>
      </w:r>
      <w:r w:rsidRPr="00E84DB1">
        <w:rPr>
          <w:rFonts w:eastAsia="Times New Roman" w:cs="DecoType Naskh" w:hint="cs"/>
          <w:color w:val="auto"/>
          <w:kern w:val="0"/>
          <w:szCs w:val="26"/>
          <w:rtl/>
          <w14:ligatures w14:val="none"/>
        </w:rPr>
        <w:t>.</w:t>
      </w:r>
      <w:r w:rsidRPr="00E84DB1">
        <w:rPr>
          <w:rFonts w:eastAsia="Times New Roman" w:cs="DecoType Naskh" w:hint="cs"/>
          <w:color w:val="auto"/>
          <w:kern w:val="0"/>
          <w:szCs w:val="26"/>
          <w:rtl/>
          <w:lang w:bidi="ar-JO"/>
          <w14:ligatures w14:val="none"/>
        </w:rPr>
        <w:t>"</w:t>
      </w:r>
      <w:r w:rsidRPr="00E84DB1">
        <w:rPr>
          <w:rFonts w:eastAsia="Times New Roman" w:cs="DecoType Naskh"/>
          <w:color w:val="auto"/>
          <w:kern w:val="0"/>
          <w:sz w:val="30"/>
          <w:szCs w:val="28"/>
          <w:vertAlign w:val="superscript"/>
          <w:rtl/>
          <w:lang w:bidi="ar-JO"/>
          <w14:ligatures w14:val="none"/>
        </w:rPr>
        <w:footnoteReference w:customMarkFollows="1" w:id="21"/>
        <w:t>9</w:t>
      </w:r>
      <w:r w:rsidRPr="00E84DB1">
        <w:rPr>
          <w:rFonts w:eastAsia="Times New Roman" w:cs="DecoType Naskh" w:hint="cs"/>
          <w:color w:val="auto"/>
          <w:kern w:val="0"/>
          <w:szCs w:val="26"/>
          <w:rtl/>
          <w:lang w:bidi="ar-JO"/>
          <w14:ligatures w14:val="none"/>
        </w:rPr>
        <w:t xml:space="preserve"> وهم يقومون بهذا في محاولة للتخفيف من المشكلة السابقة الذكر.  وعلى الرغم من أن هذه الفكرة ممكنة، إلاّ أنها بعيدة الاحتمال: (1) تحمل الجملة الظرفية المتشابهة في 2: 5 و3: 1 معنى الحالة ("كان")؛ و (2) لم تفهم أية ترجمة قديمة أو حديثة الفعل بمعنى "كان قد صار."</w:t>
      </w:r>
    </w:p>
    <w:p w14:paraId="47C4D438"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50E3D03"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ومن هنا، ومن منطلق قواعد اللغة، فإن النظريتين الأخريين تبدوان أكثر معقولية.  وكلاهما يقرّ بأن الآية الثانية جملة ظرفية، فالنظرة التقليدية (نظرية الفوضى الأولية) تعتبر الآية 2 جملة ظرفية مرتبطة بالآية 1، بينما تعتبرها نظرية فوضى ما قبل الخلق ظرفية مرتبطة بالآية 3.  وكلا الأمرين ممكن من ناحية قواعد اللغة.  ويفضل د. والكي (من دعاة نظرية ما قبل الخلق) اعتبار الآية 2 جملة ظرفية مرتبطة بالآية 3 بدلاً من الآية الأولى.  وهو يقدّم الأسباب التالية لذلك:</w:t>
      </w:r>
    </w:p>
    <w:p w14:paraId="6E477FAB"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1.</w:t>
      </w:r>
      <w:r w:rsidRPr="00E84DB1">
        <w:rPr>
          <w:rFonts w:eastAsia="Times New Roman" w:cs="DecoType Naskh" w:hint="cs"/>
          <w:color w:val="auto"/>
          <w:kern w:val="0"/>
          <w:szCs w:val="26"/>
          <w:rtl/>
          <w:lang w:bidi="ar-JO"/>
          <w14:ligatures w14:val="none"/>
        </w:rPr>
        <w:tab/>
        <w:t>إن اعتبار تعبير "السماوات والأرض" إشارة إلى العالم المنظم المكتمل أمر غير منطقي (أن يكون لدينا الكل المخلوق قبل الجزء).  وبطبيعة الحال فإن هذه النقطة لا تكون مشروعة إلا إذا اعتُبرت الآية الأولى تضادّاً يشير إلى الكل (انظر القسم السابق).</w:t>
      </w:r>
    </w:p>
    <w:p w14:paraId="47F9AC52"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2.</w:t>
      </w:r>
      <w:r w:rsidRPr="00E84DB1">
        <w:rPr>
          <w:rFonts w:eastAsia="Times New Roman" w:cs="DecoType Naskh" w:hint="cs"/>
          <w:color w:val="auto"/>
          <w:kern w:val="0"/>
          <w:szCs w:val="26"/>
          <w:rtl/>
          <w:lang w:bidi="ar-JO"/>
          <w14:ligatures w14:val="none"/>
        </w:rPr>
        <w:tab/>
        <w:t>إن القول بأن الله لم يخلق الأرض "خربة" (</w:t>
      </w:r>
      <w:proofErr w:type="spellStart"/>
      <w:r w:rsidRPr="00E84DB1">
        <w:rPr>
          <w:rFonts w:ascii="Hebrew" w:eastAsia="Times New Roman" w:hAnsi="Hebrew" w:cs="DecoType Naskh"/>
          <w:color w:val="auto"/>
          <w:kern w:val="0"/>
          <w:szCs w:val="26"/>
          <w14:ligatures w14:val="none"/>
        </w:rPr>
        <w:t>Wht</w:t>
      </w:r>
      <w:proofErr w:type="spellEnd"/>
      <w:r w:rsidRPr="00E84DB1">
        <w:rPr>
          <w:rFonts w:ascii="Hebrew" w:eastAsia="Times New Roman" w:hAnsi="Hebrew" w:cs="DecoType Naskh"/>
          <w:color w:val="auto"/>
          <w:kern w:val="0"/>
          <w:szCs w:val="26"/>
          <w14:ligatures w14:val="none"/>
        </w:rPr>
        <w:t>)</w:t>
      </w:r>
      <w:r w:rsidRPr="00E84DB1">
        <w:rPr>
          <w:rFonts w:eastAsia="Times New Roman" w:cs="DecoType Naskh" w:hint="cs"/>
          <w:color w:val="auto"/>
          <w:kern w:val="0"/>
          <w:szCs w:val="26"/>
          <w:rtl/>
          <w:lang w:bidi="ar-JO"/>
          <w14:ligatures w14:val="none"/>
        </w:rPr>
        <w:t>) (إشعياء 45: 18) لا يسمح مطلقاً باعتبار الآية 2 جملة ظرفية مرتبطة بالآية 1 (لكن انظر التعليقات حول إشعياء 45: 18 لرأي بديل).</w:t>
      </w:r>
    </w:p>
    <w:p w14:paraId="5054A087"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3.</w:t>
      </w:r>
      <w:r w:rsidRPr="00E84DB1">
        <w:rPr>
          <w:rFonts w:eastAsia="Times New Roman" w:cs="DecoType Naskh" w:hint="cs"/>
          <w:color w:val="auto"/>
          <w:kern w:val="0"/>
          <w:szCs w:val="26"/>
          <w:rtl/>
          <w:lang w:bidi="ar-JO"/>
          <w14:ligatures w14:val="none"/>
        </w:rPr>
        <w:tab/>
        <w:t>يجد الرأي القائل باعتبار الآية الأولى جملة تقديمية تلخيصية، والآية الثانية كجملة ظرفية مرتبطة بالآية 3، توازياً مع تكوين 2: 4-7 حيث نجد نفس التركيب:</w:t>
      </w:r>
    </w:p>
    <w:p w14:paraId="599F339B"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2: 4</w:t>
      </w:r>
      <w:r w:rsidRPr="00E84DB1">
        <w:rPr>
          <w:rFonts w:eastAsia="Times New Roman" w:cs="DecoType Naskh" w:hint="cs"/>
          <w:color w:val="auto"/>
          <w:kern w:val="0"/>
          <w:szCs w:val="26"/>
          <w:rtl/>
          <w:lang w:bidi="ar-JO"/>
          <w14:ligatures w14:val="none"/>
        </w:rPr>
        <w:tab/>
      </w:r>
      <w:r w:rsidRPr="00E84DB1">
        <w:rPr>
          <w:rFonts w:eastAsia="Times New Roman" w:cs="DecoType Naskh" w:hint="cs"/>
          <w:color w:val="auto"/>
          <w:kern w:val="0"/>
          <w:szCs w:val="26"/>
          <w:rtl/>
          <w:lang w:bidi="ar-JO"/>
          <w14:ligatures w14:val="none"/>
        </w:rPr>
        <w:tab/>
        <w:t>جملة تلخيصية</w:t>
      </w:r>
    </w:p>
    <w:p w14:paraId="4B8BB5F9"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2: 5-6  </w:t>
      </w:r>
      <w:r w:rsidRPr="00E84DB1">
        <w:rPr>
          <w:rFonts w:eastAsia="Times New Roman" w:cs="DecoType Naskh" w:hint="cs"/>
          <w:color w:val="auto"/>
          <w:kern w:val="0"/>
          <w:szCs w:val="26"/>
          <w:rtl/>
          <w:lang w:bidi="ar-JO"/>
          <w14:ligatures w14:val="none"/>
        </w:rPr>
        <w:tab/>
        <w:t xml:space="preserve">جملة ظرفية </w:t>
      </w:r>
    </w:p>
    <w:p w14:paraId="49D0E42D"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lastRenderedPageBreak/>
        <w:t>2: 7</w:t>
      </w:r>
      <w:r w:rsidRPr="00E84DB1">
        <w:rPr>
          <w:rFonts w:eastAsia="Times New Roman" w:cs="DecoType Naskh" w:hint="cs"/>
          <w:color w:val="auto"/>
          <w:kern w:val="0"/>
          <w:szCs w:val="26"/>
          <w:rtl/>
          <w:lang w:bidi="ar-JO"/>
          <w14:ligatures w14:val="none"/>
        </w:rPr>
        <w:tab/>
      </w:r>
      <w:r w:rsidRPr="00E84DB1">
        <w:rPr>
          <w:rFonts w:eastAsia="Times New Roman" w:cs="DecoType Naskh" w:hint="cs"/>
          <w:color w:val="auto"/>
          <w:kern w:val="0"/>
          <w:szCs w:val="26"/>
          <w:rtl/>
          <w:lang w:bidi="ar-JO"/>
          <w14:ligatures w14:val="none"/>
        </w:rPr>
        <w:tab/>
        <w:t>الجملة الرئيسية</w:t>
      </w:r>
    </w:p>
    <w:p w14:paraId="6DCE8091"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وفضلاً عن ذلك، يذكر يونغ أمثلة كثيرة تتقدم فيها الجملة الظرفية على الفعل الأساسي.</w:t>
      </w:r>
      <w:r w:rsidRPr="00E84DB1">
        <w:rPr>
          <w:rFonts w:eastAsia="Times New Roman" w:cs="DecoType Naskh"/>
          <w:color w:val="auto"/>
          <w:kern w:val="0"/>
          <w:sz w:val="30"/>
          <w:szCs w:val="28"/>
          <w:vertAlign w:val="superscript"/>
          <w:rtl/>
          <w:lang w:bidi="ar-JO"/>
          <w14:ligatures w14:val="none"/>
        </w:rPr>
        <w:footnoteReference w:customMarkFollows="1" w:id="22"/>
        <w:t>10</w:t>
      </w:r>
    </w:p>
    <w:p w14:paraId="26271BEF"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56770F9"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يرد روكر (الذي يمثل وجهة النظر التقليدية) على مزاعم والكي هذه بالقول إنه رغم أن لهاتين الفقرتين تركيباً </w:t>
      </w:r>
      <w:r w:rsidRPr="00E84DB1">
        <w:rPr>
          <w:rFonts w:eastAsia="Times New Roman" w:cs="DecoType Naskh" w:hint="cs"/>
          <w:i/>
          <w:iCs/>
          <w:color w:val="auto"/>
          <w:kern w:val="0"/>
          <w:szCs w:val="26"/>
          <w:rtl/>
          <w:lang w:bidi="ar-JO"/>
          <w14:ligatures w14:val="none"/>
        </w:rPr>
        <w:t>متشابهاً</w:t>
      </w:r>
      <w:r w:rsidRPr="00E84DB1">
        <w:rPr>
          <w:rFonts w:eastAsia="Times New Roman" w:cs="DecoType Naskh" w:hint="cs"/>
          <w:color w:val="auto"/>
          <w:kern w:val="0"/>
          <w:szCs w:val="26"/>
          <w:rtl/>
          <w:lang w:bidi="ar-JO"/>
          <w14:ligatures w14:val="none"/>
        </w:rPr>
        <w:t>، إلاّ أنهما ليستا متطابقتين.  وفضلاً عن ذلك، لا يمكن للمرء أن يحسم المسألة على أساس أن كلا الفقرتين تحتوي على جملة ظرفية.  ويوضح روكر أن أيّاً من الأمثلة التي ذكرها يونغ لا يحمل نفس التركيب الموجود في تكوين 1: 2-3، أي جملة تتضمن "</w:t>
      </w:r>
      <w:r w:rsidRPr="00E84DB1">
        <w:rPr>
          <w:rFonts w:eastAsia="Times New Roman" w:cs="DecoType Naskh" w:hint="cs"/>
          <w:i/>
          <w:iCs/>
          <w:color w:val="auto"/>
          <w:kern w:val="0"/>
          <w:szCs w:val="26"/>
          <w:rtl/>
          <w:lang w:bidi="ar-JO"/>
          <w14:ligatures w14:val="none"/>
        </w:rPr>
        <w:t>واو</w:t>
      </w:r>
      <w:r w:rsidRPr="00E84DB1">
        <w:rPr>
          <w:rFonts w:eastAsia="Times New Roman" w:cs="DecoType Naskh" w:hint="cs"/>
          <w:color w:val="auto"/>
          <w:kern w:val="0"/>
          <w:szCs w:val="26"/>
          <w:rtl/>
          <w:lang w:bidi="ar-JO"/>
          <w14:ligatures w14:val="none"/>
        </w:rPr>
        <w:t>" الاستدراك متبوعة بواو التتابع الدالة على التعاقب مرتبطة بكلمة تالية.  ولا يقف الأمر عند هذا، لكن قضاة 8: 11 ويونان 3: 3 تتضمنان وضعين أكثر توازياً مع تكوين 1: 1-3 من تكوين 2: 4-7.  يقول روكر:</w:t>
      </w:r>
    </w:p>
    <w:p w14:paraId="2C65CF6F"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0"/>
          <w:szCs w:val="28"/>
          <w:rtl/>
          <w:lang w:bidi="ar-JO"/>
          <w14:ligatures w14:val="none"/>
        </w:rPr>
      </w:pPr>
      <w:r w:rsidRPr="00E84DB1">
        <w:rPr>
          <w:rFonts w:eastAsia="Times New Roman" w:cs="DecoType Naskh" w:hint="cs"/>
          <w:color w:val="auto"/>
          <w:kern w:val="0"/>
          <w:szCs w:val="26"/>
          <w:rtl/>
          <w:lang w:bidi="ar-JO"/>
          <w14:ligatures w14:val="none"/>
        </w:rPr>
        <w:t>ومن ناحية أخرى يبدو أن آية مثل قضاة 8: 11 ويونان 3: 3 تحملان خطوط توازٍ أكثر فائدة للتركيب النحوي الموجود في تكوين 1: 1-2، حيث نجد فعلاً عادياً (ليس مصدراً أو اسم فاعل أو مفعول) متبوعاً بجملة تتضمن واو الاستدراك وفعل "هيا"               (</w:t>
      </w:r>
      <w:proofErr w:type="spellStart"/>
      <w:r w:rsidRPr="00E84DB1">
        <w:rPr>
          <w:rFonts w:ascii="Hebrew" w:eastAsia="Times New Roman" w:hAnsi="Hebrew" w:cs="DecoType Naskh"/>
          <w:color w:val="auto"/>
          <w:kern w:val="0"/>
          <w:szCs w:val="26"/>
          <w14:ligatures w14:val="none"/>
        </w:rPr>
        <w:t>hy`h</w:t>
      </w:r>
      <w:proofErr w:type="spellEnd"/>
      <w:r w:rsidRPr="00E84DB1">
        <w:rPr>
          <w:rFonts w:ascii="Hebrew" w:eastAsia="Times New Roman" w:hAnsi="Hebrew" w:cs="DecoType Naskh"/>
          <w:color w:val="auto"/>
          <w:kern w:val="0"/>
          <w:szCs w:val="26"/>
          <w14:ligatures w14:val="none"/>
        </w:rPr>
        <w:t>*</w:t>
      </w:r>
      <w:r w:rsidRPr="00E84DB1">
        <w:rPr>
          <w:rFonts w:eastAsia="Times New Roman" w:cs="DecoType Naskh" w:hint="cs"/>
          <w:color w:val="auto"/>
          <w:kern w:val="0"/>
          <w:szCs w:val="26"/>
          <w:rtl/>
          <w:lang w:bidi="ar-JO"/>
          <w14:ligatures w14:val="none"/>
        </w:rPr>
        <w:t>). وتصف هذه الجملة لفظاً</w:t>
      </w:r>
      <w:r w:rsidRPr="00E84DB1">
        <w:rPr>
          <w:rFonts w:eastAsia="Times New Roman" w:cs="DecoType Naskh"/>
          <w:color w:val="auto"/>
          <w:kern w:val="0"/>
          <w:szCs w:val="26"/>
          <w14:ligatures w14:val="none"/>
        </w:rPr>
        <w:t xml:space="preserve"> </w:t>
      </w:r>
      <w:r w:rsidRPr="00E84DB1">
        <w:rPr>
          <w:rFonts w:eastAsia="Times New Roman" w:cs="DecoType Naskh" w:hint="cs"/>
          <w:color w:val="auto"/>
          <w:kern w:val="0"/>
          <w:szCs w:val="26"/>
          <w:rtl/>
          <w:lang w:bidi="ar-JO"/>
          <w14:ligatures w14:val="none"/>
        </w:rPr>
        <w:t>في الجملة الرئيسية السابقة لها مباشرة. فالجملة الرئيسية تقدم فكرة، بينما تصف الجملة الظرفية (كجملة معترضة) عنصراً في الجملة الرئيسية. ومن شأن هذا أن يؤكد التفسير التقليدي على أن الآية الأولى تحتوي على الجملة الرئيسية، حيث تتألف 1: 2 من ثلاث جمل ظرفية تابعة (غير رئيسية) تصف حالة الأرض المذكورة للتو بعد خلقِها.</w:t>
      </w:r>
      <w:r w:rsidRPr="00E84DB1">
        <w:rPr>
          <w:rFonts w:eastAsia="Times New Roman" w:cs="DecoType Naskh"/>
          <w:color w:val="auto"/>
          <w:kern w:val="0"/>
          <w:sz w:val="30"/>
          <w:szCs w:val="28"/>
          <w:vertAlign w:val="superscript"/>
          <w:rtl/>
          <w:lang w:bidi="ar-JO"/>
          <w14:ligatures w14:val="none"/>
        </w:rPr>
        <w:footnoteReference w:customMarkFollows="1" w:id="23"/>
        <w:t>11</w:t>
      </w:r>
    </w:p>
    <w:p w14:paraId="58D39A08"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05DE4346" w14:textId="77777777" w:rsidR="00E84DB1" w:rsidRPr="00E84DB1" w:rsidRDefault="00E84DB1"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E84DB1">
        <w:rPr>
          <w:rFonts w:eastAsia="Times New Roman" w:cs="DecoType Naskh" w:hint="cs"/>
          <w:bCs/>
          <w:color w:val="auto"/>
          <w:kern w:val="0"/>
          <w:szCs w:val="26"/>
          <w:rtl/>
          <w14:ligatures w14:val="none"/>
        </w:rPr>
        <w:t>جـ.</w:t>
      </w:r>
      <w:r w:rsidRPr="00E84DB1">
        <w:rPr>
          <w:rFonts w:eastAsia="Times New Roman" w:cs="DecoType Naskh" w:hint="cs"/>
          <w:bCs/>
          <w:color w:val="auto"/>
          <w:kern w:val="0"/>
          <w:szCs w:val="26"/>
          <w:rtl/>
          <w14:ligatures w14:val="none"/>
        </w:rPr>
        <w:tab/>
        <w:t>تضمينات الوضع الموصوف في تكوين 1: 2</w:t>
      </w:r>
    </w:p>
    <w:p w14:paraId="3AC797CA"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1.</w:t>
      </w:r>
      <w:r w:rsidRPr="00E84DB1">
        <w:rPr>
          <w:rFonts w:eastAsia="Times New Roman" w:cs="DecoType Naskh" w:hint="cs"/>
          <w:color w:val="auto"/>
          <w:kern w:val="0"/>
          <w:szCs w:val="26"/>
          <w:rtl/>
          <w:lang w:bidi="ar-JO"/>
          <w14:ligatures w14:val="none"/>
        </w:rPr>
        <w:tab/>
        <w:t xml:space="preserve">إن إحدى المسائل الهامّة هي كيف يتوجب أن نفهم حالة الأرض كما هي موصوفة في 1: 2.  فهل هي مجرد خطوة أولية في نشاط الله الإبداعي، أي عملية الخلق (حسب النظرية التقليدية)، أم أنها حالة فوضوية سلبية (الدينونة/الشيطان؟) لا يمكن نسبتها مباشرة إلى عمل الله في الخلق؟ </w:t>
      </w:r>
    </w:p>
    <w:p w14:paraId="1617058A"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p>
    <w:p w14:paraId="0C3C3ADB"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2.</w:t>
      </w:r>
      <w:r w:rsidRPr="00E84DB1">
        <w:rPr>
          <w:rFonts w:eastAsia="Times New Roman" w:cs="DecoType Naskh" w:hint="cs"/>
          <w:color w:val="auto"/>
          <w:kern w:val="0"/>
          <w:szCs w:val="26"/>
          <w:rtl/>
          <w:lang w:bidi="ar-JO"/>
          <w14:ligatures w14:val="none"/>
        </w:rPr>
        <w:tab/>
        <w:t xml:space="preserve">التعابير المستخدمة </w:t>
      </w:r>
    </w:p>
    <w:p w14:paraId="7DAA8E1D"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i/>
          <w:iCs/>
          <w:color w:val="auto"/>
          <w:kern w:val="0"/>
          <w:szCs w:val="26"/>
          <w:rtl/>
          <w:lang w:bidi="ar-JO"/>
          <w14:ligatures w14:val="none"/>
        </w:rPr>
      </w:pPr>
      <w:r w:rsidRPr="00E84DB1">
        <w:rPr>
          <w:rFonts w:eastAsia="Times New Roman" w:cs="DecoType Naskh" w:hint="cs"/>
          <w:color w:val="auto"/>
          <w:kern w:val="0"/>
          <w:szCs w:val="26"/>
          <w:rtl/>
          <w:lang w:bidi="ar-JO"/>
          <w14:ligatures w14:val="none"/>
        </w:rPr>
        <w:t>أ.</w:t>
      </w:r>
      <w:r w:rsidRPr="00E84DB1">
        <w:rPr>
          <w:rFonts w:eastAsia="Times New Roman" w:cs="DecoType Naskh" w:hint="cs"/>
          <w:color w:val="auto"/>
          <w:kern w:val="0"/>
          <w:szCs w:val="26"/>
          <w:rtl/>
          <w:lang w:bidi="ar-JO"/>
          <w14:ligatures w14:val="none"/>
        </w:rPr>
        <w:tab/>
        <w:t xml:space="preserve">و(الآن) كانت الأرض توهو و فوهو </w:t>
      </w:r>
      <w:proofErr w:type="spellStart"/>
      <w:r w:rsidRPr="00E84DB1">
        <w:rPr>
          <w:rFonts w:ascii="Hebrew" w:eastAsia="Times New Roman" w:hAnsi="Hebrew" w:cs="DecoType Naskh"/>
          <w:color w:val="auto"/>
          <w:kern w:val="0"/>
          <w:szCs w:val="26"/>
          <w14:ligatures w14:val="none"/>
        </w:rPr>
        <w:t>Whb</w:t>
      </w:r>
      <w:proofErr w:type="spellEnd"/>
      <w:r w:rsidRPr="00E84DB1">
        <w:rPr>
          <w:rFonts w:ascii="Hebrew" w:eastAsia="Times New Roman" w:hAnsi="Hebrew" w:cs="DecoType Naskh"/>
          <w:color w:val="auto"/>
          <w:kern w:val="0"/>
          <w:szCs w:val="26"/>
          <w14:ligatures w14:val="none"/>
        </w:rPr>
        <w:t xml:space="preserve">)w` </w:t>
      </w:r>
      <w:proofErr w:type="spellStart"/>
      <w:r w:rsidRPr="00E84DB1">
        <w:rPr>
          <w:rFonts w:ascii="Hebrew" w:eastAsia="Times New Roman" w:hAnsi="Hebrew" w:cs="DecoType Naskh"/>
          <w:color w:val="auto"/>
          <w:kern w:val="0"/>
          <w:szCs w:val="26"/>
          <w14:ligatures w14:val="none"/>
        </w:rPr>
        <w:t>Wht</w:t>
      </w:r>
      <w:proofErr w:type="spellEnd"/>
      <w:r w:rsidRPr="00E84DB1">
        <w:rPr>
          <w:rFonts w:ascii="Hebrew" w:eastAsia="Times New Roman" w:hAnsi="Hebrew" w:cs="DecoType Naskh"/>
          <w:color w:val="auto"/>
          <w:kern w:val="0"/>
          <w:szCs w:val="26"/>
          <w14:ligatures w14:val="none"/>
        </w:rPr>
        <w:t>)</w:t>
      </w:r>
      <w:r w:rsidRPr="00E84DB1">
        <w:rPr>
          <w:rFonts w:ascii="Hebrewbk" w:eastAsia="Times New Roman" w:hAnsi="Hebrewbk" w:cs="DecoType Naskh"/>
          <w:color w:val="auto"/>
          <w:kern w:val="0"/>
          <w:szCs w:val="26"/>
          <w14:ligatures w14:val="none"/>
        </w:rPr>
        <w:t xml:space="preserve">  </w:t>
      </w:r>
      <w:r w:rsidRPr="00E84DB1">
        <w:rPr>
          <w:rFonts w:eastAsia="Times New Roman" w:cs="DecoType Naskh"/>
          <w:color w:val="auto"/>
          <w:kern w:val="0"/>
          <w:szCs w:val="26"/>
          <w14:ligatures w14:val="none"/>
        </w:rPr>
        <w:t>(</w:t>
      </w:r>
      <w:r w:rsidRPr="00E84DB1">
        <w:rPr>
          <w:rFonts w:ascii="Hebrewtl" w:eastAsia="Times New Roman" w:hAnsi="Hebrewtl" w:cs="DecoType Naskh"/>
          <w:color w:val="auto"/>
          <w:kern w:val="0"/>
          <w:szCs w:val="26"/>
          <w14:ligatures w14:val="none"/>
        </w:rPr>
        <w:t>t)</w:t>
      </w:r>
      <w:proofErr w:type="spellStart"/>
      <w:r w:rsidRPr="00E84DB1">
        <w:rPr>
          <w:rFonts w:ascii="Hebrewtl" w:eastAsia="Times New Roman" w:hAnsi="Hebrewtl" w:cs="DecoType Naskh"/>
          <w:color w:val="auto"/>
          <w:kern w:val="0"/>
          <w:szCs w:val="26"/>
          <w14:ligatures w14:val="none"/>
        </w:rPr>
        <w:t>hW</w:t>
      </w:r>
      <w:proofErr w:type="spellEnd"/>
      <w:r w:rsidRPr="00E84DB1">
        <w:rPr>
          <w:rFonts w:ascii="Hebrewtl" w:eastAsia="Times New Roman" w:hAnsi="Hebrewtl" w:cs="DecoType Naskh"/>
          <w:color w:val="auto"/>
          <w:kern w:val="0"/>
          <w:szCs w:val="26"/>
          <w14:ligatures w14:val="none"/>
        </w:rPr>
        <w:t xml:space="preserve"> w*b)</w:t>
      </w:r>
      <w:proofErr w:type="spellStart"/>
      <w:r w:rsidRPr="00E84DB1">
        <w:rPr>
          <w:rFonts w:ascii="Hebrewtl" w:eastAsia="Times New Roman" w:hAnsi="Hebrewtl" w:cs="DecoType Naskh"/>
          <w:color w:val="auto"/>
          <w:kern w:val="0"/>
          <w:szCs w:val="26"/>
          <w14:ligatures w14:val="none"/>
        </w:rPr>
        <w:t>hW</w:t>
      </w:r>
      <w:proofErr w:type="spellEnd"/>
      <w:r w:rsidRPr="00E84DB1">
        <w:rPr>
          <w:rFonts w:eastAsia="Times New Roman" w:cs="DecoType Naskh"/>
          <w:color w:val="auto"/>
          <w:kern w:val="0"/>
          <w:szCs w:val="26"/>
          <w14:ligatures w14:val="none"/>
        </w:rPr>
        <w:t>)</w:t>
      </w:r>
    </w:p>
    <w:p w14:paraId="131AF556"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هذا هو التعبير المترجم إلى "خربة وخالية".  وهذا التعبير نادر الاستخدام، لكننا نجده في أماكن أُخرى كما هو في إرميا 4: 23 وإشعياء 34: 11.</w:t>
      </w:r>
    </w:p>
    <w:p w14:paraId="0C428F08"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1)</w:t>
      </w:r>
      <w:r w:rsidRPr="00E84DB1">
        <w:rPr>
          <w:rFonts w:eastAsia="Times New Roman" w:cs="DecoType Naskh" w:hint="cs"/>
          <w:color w:val="auto"/>
          <w:kern w:val="0"/>
          <w:szCs w:val="26"/>
          <w:rtl/>
          <w:lang w:bidi="ar-JO"/>
          <w14:ligatures w14:val="none"/>
        </w:rPr>
        <w:tab/>
        <w:t>إرميا 4: 23</w:t>
      </w:r>
    </w:p>
    <w:p w14:paraId="7075CE84"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ليست الآية إرميا 4: 23 مجرد نظير لتكوين 1: 2، لكنها عودة بالعالم إلى حالة </w:t>
      </w:r>
      <w:r w:rsidRPr="00E84DB1">
        <w:rPr>
          <w:rFonts w:eastAsia="Times New Roman" w:cs="DecoType Naskh" w:hint="cs"/>
          <w:color w:val="auto"/>
          <w:kern w:val="0"/>
          <w:szCs w:val="26"/>
          <w:u w:val="single"/>
          <w:rtl/>
          <w:lang w:bidi="ar-JO"/>
          <w14:ligatures w14:val="none"/>
        </w:rPr>
        <w:t>الفوضى</w:t>
      </w:r>
      <w:r w:rsidRPr="00E84DB1">
        <w:rPr>
          <w:rFonts w:eastAsia="Times New Roman" w:cs="DecoType Naskh" w:hint="cs"/>
          <w:color w:val="auto"/>
          <w:kern w:val="0"/>
          <w:szCs w:val="26"/>
          <w:rtl/>
          <w:lang w:bidi="ar-JO"/>
          <w14:ligatures w14:val="none"/>
        </w:rPr>
        <w:t>.  "إن الفكرة هنا هي أن الدينونة الآتية على الأرض تأخذ شكل تفكيك الخليقة وحلّها أو إبطالها.  لكن من الواضح أنه لا يترتب على ذلك أن حالة ما قبل الخلق كانت نتيجة غضب الله."</w:t>
      </w:r>
      <w:r w:rsidRPr="00E84DB1">
        <w:rPr>
          <w:rFonts w:eastAsia="Times New Roman" w:cs="DecoType Naskh"/>
          <w:color w:val="auto"/>
          <w:kern w:val="0"/>
          <w:sz w:val="30"/>
          <w:szCs w:val="28"/>
          <w:vertAlign w:val="superscript"/>
          <w:rtl/>
          <w:lang w:bidi="ar-JO"/>
          <w14:ligatures w14:val="none"/>
        </w:rPr>
        <w:footnoteReference w:customMarkFollows="1" w:id="24"/>
        <w:t>12</w:t>
      </w:r>
      <w:r w:rsidRPr="00E84DB1">
        <w:rPr>
          <w:rFonts w:eastAsia="Times New Roman" w:cs="DecoType Naskh" w:hint="cs"/>
          <w:color w:val="auto"/>
          <w:kern w:val="0"/>
          <w:szCs w:val="26"/>
          <w:rtl/>
          <w:lang w:bidi="ar-JO"/>
          <w14:ligatures w14:val="none"/>
        </w:rPr>
        <w:t xml:space="preserve">  لا يمكن استخدام إرميا 4: 23 للبرهنة على أن تكوين 1: 2 هي نتيجة لغضب الله ودينونته (كما تقول "نظرية الثغرة").</w:t>
      </w:r>
    </w:p>
    <w:p w14:paraId="72808906"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2)</w:t>
      </w:r>
      <w:r w:rsidRPr="00E84DB1">
        <w:rPr>
          <w:rFonts w:eastAsia="Times New Roman" w:cs="DecoType Naskh" w:hint="cs"/>
          <w:color w:val="auto"/>
          <w:kern w:val="0"/>
          <w:szCs w:val="26"/>
          <w:rtl/>
          <w:lang w:bidi="ar-JO"/>
          <w14:ligatures w14:val="none"/>
        </w:rPr>
        <w:tab/>
        <w:t>إشعياء 34: 11</w:t>
      </w:r>
    </w:p>
    <w:p w14:paraId="48159ABF"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وفي هذه الحالة لا تسفر دينونة الله عن العودة بموضوع غضبه إلى حالته الأصلية قبل خلقه، أي العدم، أو حالة من عدم التشكّل.</w:t>
      </w:r>
    </w:p>
    <w:p w14:paraId="7FDE7D0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3)</w:t>
      </w:r>
      <w:r w:rsidRPr="00E84DB1">
        <w:rPr>
          <w:rFonts w:eastAsia="Times New Roman" w:cs="DecoType Naskh" w:hint="cs"/>
          <w:color w:val="auto"/>
          <w:kern w:val="0"/>
          <w:szCs w:val="26"/>
          <w:rtl/>
          <w:lang w:bidi="ar-JO"/>
          <w14:ligatures w14:val="none"/>
        </w:rPr>
        <w:tab/>
        <w:t>إشعياء 45: 18</w:t>
      </w:r>
    </w:p>
    <w:p w14:paraId="157082F7"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lastRenderedPageBreak/>
        <w:t xml:space="preserve">يستخدم تعبير </w:t>
      </w:r>
      <w:r w:rsidRPr="00E84DB1">
        <w:rPr>
          <w:rFonts w:eastAsia="Times New Roman" w:cs="DecoType Naskh" w:hint="cs"/>
          <w:i/>
          <w:iCs/>
          <w:color w:val="auto"/>
          <w:kern w:val="0"/>
          <w:szCs w:val="26"/>
          <w:rtl/>
          <w:lang w:bidi="ar-JO"/>
          <w14:ligatures w14:val="none"/>
        </w:rPr>
        <w:t>توهو</w:t>
      </w:r>
      <w:r w:rsidRPr="00E84DB1">
        <w:rPr>
          <w:rFonts w:eastAsia="Times New Roman" w:cs="DecoType Naskh" w:hint="cs"/>
          <w:color w:val="auto"/>
          <w:kern w:val="0"/>
          <w:szCs w:val="26"/>
          <w:rtl/>
          <w:lang w:bidi="ar-JO"/>
          <w14:ligatures w14:val="none"/>
        </w:rPr>
        <w:t xml:space="preserve"> </w:t>
      </w:r>
      <w:r w:rsidRPr="00E84DB1">
        <w:rPr>
          <w:rFonts w:ascii="Hebrewtl" w:eastAsia="Times New Roman" w:hAnsi="Hebrewtl" w:cs="DecoType Naskh"/>
          <w:color w:val="auto"/>
          <w:kern w:val="0"/>
          <w:szCs w:val="26"/>
          <w14:ligatures w14:val="none"/>
        </w:rPr>
        <w:t>t)</w:t>
      </w:r>
      <w:proofErr w:type="spellStart"/>
      <w:r w:rsidRPr="00E84DB1">
        <w:rPr>
          <w:rFonts w:ascii="Hebrewtl" w:eastAsia="Times New Roman" w:hAnsi="Hebrewtl" w:cs="DecoType Naskh"/>
          <w:color w:val="auto"/>
          <w:kern w:val="0"/>
          <w:szCs w:val="26"/>
          <w14:ligatures w14:val="none"/>
        </w:rPr>
        <w:t>hW</w:t>
      </w:r>
      <w:proofErr w:type="spellEnd"/>
      <w:r w:rsidRPr="00E84DB1">
        <w:rPr>
          <w:rFonts w:eastAsia="Times New Roman" w:cs="DecoType Naskh" w:hint="cs"/>
          <w:color w:val="auto"/>
          <w:kern w:val="0"/>
          <w:szCs w:val="26"/>
          <w:rtl/>
          <w:lang w:bidi="ar-JO"/>
          <w14:ligatures w14:val="none"/>
        </w:rPr>
        <w:t xml:space="preserve"> في إشعياء 45: 18 حيث يقال إن الرب لم يخلق الأرض </w:t>
      </w:r>
      <w:r w:rsidRPr="00E84DB1">
        <w:rPr>
          <w:rFonts w:eastAsia="Times New Roman" w:cs="DecoType Naskh" w:hint="cs"/>
          <w:i/>
          <w:iCs/>
          <w:color w:val="auto"/>
          <w:kern w:val="0"/>
          <w:szCs w:val="26"/>
          <w:rtl/>
          <w:lang w:bidi="ar-JO"/>
          <w14:ligatures w14:val="none"/>
        </w:rPr>
        <w:t>توهو</w:t>
      </w:r>
      <w:r w:rsidRPr="00E84DB1">
        <w:rPr>
          <w:rFonts w:eastAsia="Times New Roman" w:cs="DecoType Naskh" w:hint="cs"/>
          <w:color w:val="auto"/>
          <w:kern w:val="0"/>
          <w:szCs w:val="26"/>
          <w:rtl/>
          <w:lang w:bidi="ar-JO"/>
          <w14:ligatures w14:val="none"/>
        </w:rPr>
        <w:t>، أي أنه لم يخلقها كتلة بلا شكل.</w:t>
      </w:r>
      <w:r w:rsidRPr="00E84DB1">
        <w:rPr>
          <w:rFonts w:eastAsia="Times New Roman" w:cs="DecoType Naskh"/>
          <w:color w:val="auto"/>
          <w:kern w:val="0"/>
          <w:sz w:val="30"/>
          <w:szCs w:val="28"/>
          <w:vertAlign w:val="superscript"/>
          <w:rtl/>
          <w:lang w:bidi="ar-JO"/>
          <w14:ligatures w14:val="none"/>
        </w:rPr>
        <w:footnoteReference w:customMarkFollows="1" w:id="25"/>
        <w:t>13</w:t>
      </w:r>
    </w:p>
    <w:p w14:paraId="185D0165"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يقول والكي على أساس إشعياء 45: 18 إنه لا يمكن نسبة حالة الأرض كما هي موصوفة في 1: 2 إلى الله، سواء فهمنا</w:t>
      </w:r>
      <w:r w:rsidRPr="00E84DB1">
        <w:rPr>
          <w:rFonts w:eastAsia="Times New Roman" w:cs="DecoType Naskh" w:hint="cs"/>
          <w:color w:val="auto"/>
          <w:kern w:val="0"/>
          <w:szCs w:val="26"/>
          <w:rtl/>
          <w14:ligatures w14:val="none"/>
        </w:rPr>
        <w:t xml:space="preserve"> </w:t>
      </w:r>
      <w:r w:rsidRPr="00E84DB1">
        <w:rPr>
          <w:rFonts w:ascii="Hebrewtl" w:eastAsia="Times New Roman" w:hAnsi="Hebrewtl" w:cs="DecoType Naskh"/>
          <w:color w:val="auto"/>
          <w:kern w:val="0"/>
          <w:szCs w:val="26"/>
          <w14:ligatures w14:val="none"/>
        </w:rPr>
        <w:t>t)</w:t>
      </w:r>
      <w:proofErr w:type="spellStart"/>
      <w:r w:rsidRPr="00E84DB1">
        <w:rPr>
          <w:rFonts w:ascii="Hebrewtl" w:eastAsia="Times New Roman" w:hAnsi="Hebrewtl" w:cs="DecoType Naskh"/>
          <w:color w:val="auto"/>
          <w:kern w:val="0"/>
          <w:szCs w:val="26"/>
          <w14:ligatures w14:val="none"/>
        </w:rPr>
        <w:t>hW</w:t>
      </w:r>
      <w:proofErr w:type="spellEnd"/>
      <w:r w:rsidRPr="00E84DB1">
        <w:rPr>
          <w:rFonts w:eastAsia="Times New Roman" w:cs="DecoType Naskh" w:hint="cs"/>
          <w:color w:val="auto"/>
          <w:kern w:val="0"/>
          <w:szCs w:val="26"/>
          <w:rtl/>
          <w:lang w:bidi="ar-JO"/>
          <w14:ligatures w14:val="none"/>
        </w:rPr>
        <w:t xml:space="preserve"> </w:t>
      </w:r>
      <w:r w:rsidRPr="00E84DB1">
        <w:rPr>
          <w:rFonts w:eastAsia="Times New Roman" w:cs="DecoType Naskh" w:hint="cs"/>
          <w:i/>
          <w:iCs/>
          <w:color w:val="auto"/>
          <w:kern w:val="0"/>
          <w:szCs w:val="26"/>
          <w:rtl/>
          <w:lang w:bidi="ar-JO"/>
          <w14:ligatures w14:val="none"/>
        </w:rPr>
        <w:t>توهو</w:t>
      </w:r>
      <w:r w:rsidRPr="00E84DB1">
        <w:rPr>
          <w:rFonts w:eastAsia="Times New Roman" w:cs="DecoType Naskh" w:hint="cs"/>
          <w:color w:val="auto"/>
          <w:kern w:val="0"/>
          <w:szCs w:val="26"/>
          <w:rtl/>
          <w:lang w:bidi="ar-JO"/>
          <w14:ligatures w14:val="none"/>
        </w:rPr>
        <w:t xml:space="preserve"> بمعنى </w:t>
      </w:r>
      <w:r w:rsidRPr="00E84DB1">
        <w:rPr>
          <w:rFonts w:eastAsia="Times New Roman" w:cs="DecoType Naskh" w:hint="cs"/>
          <w:i/>
          <w:iCs/>
          <w:color w:val="auto"/>
          <w:kern w:val="0"/>
          <w:szCs w:val="26"/>
          <w:rtl/>
          <w:lang w:bidi="ar-JO"/>
          <w14:ligatures w14:val="none"/>
        </w:rPr>
        <w:t>فوضى</w:t>
      </w:r>
      <w:r w:rsidRPr="00E84DB1">
        <w:rPr>
          <w:rFonts w:eastAsia="Times New Roman" w:cs="DecoType Naskh" w:hint="cs"/>
          <w:color w:val="auto"/>
          <w:kern w:val="0"/>
          <w:szCs w:val="26"/>
          <w:rtl/>
          <w:lang w:bidi="ar-JO"/>
          <w14:ligatures w14:val="none"/>
        </w:rPr>
        <w:t xml:space="preserve">، أو بمعنى غير مشكّلة (أي ناقصة، غير مكتملة).  ويرد أصحاب النظرة التقليدية بالقول إن إشعياء 45: 18 لم يقصد بها أن تكون تصريحاً مطلقاً.  بل إنها تدل على </w:t>
      </w:r>
      <w:r w:rsidRPr="00E84DB1">
        <w:rPr>
          <w:rFonts w:eastAsia="Times New Roman" w:cs="DecoType Naskh" w:hint="cs"/>
          <w:color w:val="auto"/>
          <w:kern w:val="0"/>
          <w:szCs w:val="26"/>
          <w:u w:val="single"/>
          <w:rtl/>
          <w:lang w:bidi="ar-JO"/>
          <w14:ligatures w14:val="none"/>
        </w:rPr>
        <w:t>القصد</w:t>
      </w:r>
      <w:r w:rsidRPr="00E84DB1">
        <w:rPr>
          <w:rFonts w:eastAsia="Times New Roman" w:cs="DecoType Naskh" w:hint="cs"/>
          <w:color w:val="auto"/>
          <w:kern w:val="0"/>
          <w:szCs w:val="26"/>
          <w:rtl/>
          <w:lang w:bidi="ar-JO"/>
          <w14:ligatures w14:val="none"/>
        </w:rPr>
        <w:t>:</w:t>
      </w:r>
    </w:p>
    <w:p w14:paraId="430B33F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722"/>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فالله لم يخلق الأرض لغرض أن تكون</w:t>
      </w:r>
      <w:r w:rsidRPr="00E84DB1">
        <w:rPr>
          <w:rFonts w:eastAsia="Times New Roman" w:cs="DecoType Naskh" w:hint="cs"/>
          <w:color w:val="auto"/>
          <w:kern w:val="0"/>
          <w:szCs w:val="26"/>
          <w:rtl/>
          <w14:ligatures w14:val="none"/>
        </w:rPr>
        <w:t xml:space="preserve"> </w:t>
      </w:r>
      <w:r w:rsidRPr="00E84DB1">
        <w:rPr>
          <w:rFonts w:ascii="Hebrewtl" w:eastAsia="Times New Roman" w:hAnsi="Hebrewtl" w:cs="DecoType Naskh"/>
          <w:color w:val="auto"/>
          <w:kern w:val="0"/>
          <w:szCs w:val="26"/>
          <w14:ligatures w14:val="none"/>
        </w:rPr>
        <w:t>t)</w:t>
      </w:r>
      <w:proofErr w:type="spellStart"/>
      <w:r w:rsidRPr="00E84DB1">
        <w:rPr>
          <w:rFonts w:ascii="Hebrewtl" w:eastAsia="Times New Roman" w:hAnsi="Hebrewtl" w:cs="DecoType Naskh"/>
          <w:color w:val="auto"/>
          <w:kern w:val="0"/>
          <w:szCs w:val="26"/>
          <w14:ligatures w14:val="none"/>
        </w:rPr>
        <w:t>hW</w:t>
      </w:r>
      <w:proofErr w:type="spellEnd"/>
      <w:r w:rsidRPr="00E84DB1">
        <w:rPr>
          <w:rFonts w:eastAsia="Times New Roman" w:cs="DecoType Naskh" w:hint="cs"/>
          <w:color w:val="auto"/>
          <w:kern w:val="0"/>
          <w:szCs w:val="26"/>
          <w:rtl/>
          <w:lang w:bidi="ar-JO"/>
          <w14:ligatures w14:val="none"/>
        </w:rPr>
        <w:t xml:space="preserve"> </w:t>
      </w:r>
      <w:r w:rsidRPr="00E84DB1">
        <w:rPr>
          <w:rFonts w:eastAsia="Times New Roman" w:cs="DecoType Naskh" w:hint="cs"/>
          <w:i/>
          <w:iCs/>
          <w:color w:val="auto"/>
          <w:kern w:val="0"/>
          <w:szCs w:val="26"/>
          <w:rtl/>
          <w:lang w:bidi="ar-JO"/>
          <w14:ligatures w14:val="none"/>
        </w:rPr>
        <w:t>توهو</w:t>
      </w:r>
      <w:r w:rsidRPr="00E84DB1">
        <w:rPr>
          <w:rFonts w:eastAsia="Times New Roman" w:cs="DecoType Naskh" w:hint="cs"/>
          <w:color w:val="auto"/>
          <w:kern w:val="0"/>
          <w:szCs w:val="26"/>
          <w:rtl/>
          <w:lang w:bidi="ar-JO"/>
          <w14:ligatures w14:val="none"/>
        </w:rPr>
        <w:t xml:space="preserve">، وإنما لكي تُسكن.  ولا يرى والكي أن هذا هو أفضل خيار من ناحية نحوية (أي أن حالة النصب المزدوجة بعد الأفعال الدالة على الخلق أو الصنع لا تعطي عادة معنى </w:t>
      </w:r>
      <w:r w:rsidRPr="00E84DB1">
        <w:rPr>
          <w:rFonts w:eastAsia="Times New Roman" w:cs="DecoType Naskh" w:hint="cs"/>
          <w:i/>
          <w:iCs/>
          <w:color w:val="auto"/>
          <w:kern w:val="0"/>
          <w:szCs w:val="26"/>
          <w:rtl/>
          <w:lang w:bidi="ar-JO"/>
          <w14:ligatures w14:val="none"/>
        </w:rPr>
        <w:t>القصد</w:t>
      </w:r>
      <w:r w:rsidRPr="00E84DB1">
        <w:rPr>
          <w:rFonts w:eastAsia="Times New Roman" w:cs="DecoType Naskh" w:hint="cs"/>
          <w:color w:val="auto"/>
          <w:kern w:val="0"/>
          <w:szCs w:val="26"/>
          <w:rtl/>
          <w:lang w:bidi="ar-JO"/>
          <w14:ligatures w14:val="none"/>
        </w:rPr>
        <w:t>).  لكن يمكن أن يقال أمران دفاعاً عن النظرية التقليدية:</w:t>
      </w:r>
    </w:p>
    <w:p w14:paraId="1FD668DF"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705"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أ)</w:t>
      </w:r>
      <w:r w:rsidRPr="00E84DB1">
        <w:rPr>
          <w:rFonts w:eastAsia="Times New Roman" w:cs="DecoType Naskh" w:hint="cs"/>
          <w:color w:val="auto"/>
          <w:kern w:val="0"/>
          <w:szCs w:val="26"/>
          <w:rtl/>
          <w:lang w:bidi="ar-JO"/>
          <w14:ligatures w14:val="none"/>
        </w:rPr>
        <w:tab/>
        <w:t>حالة النصب الثانية مسبوقة بنفي، الأمر الذي قد يغيّر الوضع.</w:t>
      </w:r>
    </w:p>
    <w:p w14:paraId="7F82056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705"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ب)</w:t>
      </w:r>
      <w:r w:rsidRPr="00E84DB1">
        <w:rPr>
          <w:rFonts w:eastAsia="Times New Roman" w:cs="DecoType Naskh" w:hint="cs"/>
          <w:color w:val="auto"/>
          <w:kern w:val="0"/>
          <w:szCs w:val="26"/>
          <w:rtl/>
          <w:lang w:bidi="ar-JO"/>
          <w14:ligatures w14:val="none"/>
        </w:rPr>
        <w:tab/>
        <w:t xml:space="preserve">العبارة التالية (المقابلة مع </w:t>
      </w:r>
      <w:r w:rsidRPr="00E84DB1">
        <w:rPr>
          <w:rFonts w:ascii="Hebrewtl" w:eastAsia="Times New Roman" w:hAnsi="Hebrewtl" w:cs="DecoType Naskh"/>
          <w:color w:val="auto"/>
          <w:kern w:val="0"/>
          <w:szCs w:val="26"/>
          <w14:ligatures w14:val="none"/>
        </w:rPr>
        <w:t>t)</w:t>
      </w:r>
      <w:proofErr w:type="spellStart"/>
      <w:r w:rsidRPr="00E84DB1">
        <w:rPr>
          <w:rFonts w:ascii="Hebrewtl" w:eastAsia="Times New Roman" w:hAnsi="Hebrewtl" w:cs="DecoType Naskh"/>
          <w:color w:val="auto"/>
          <w:kern w:val="0"/>
          <w:szCs w:val="26"/>
          <w14:ligatures w14:val="none"/>
        </w:rPr>
        <w:t>hW</w:t>
      </w:r>
      <w:proofErr w:type="spellEnd"/>
      <w:r w:rsidRPr="00E84DB1">
        <w:rPr>
          <w:rFonts w:ascii="Hebrewtl" w:eastAsia="Times New Roman" w:hAnsi="Hebrewtl" w:cs="DecoType Naskh" w:hint="cs"/>
          <w:color w:val="auto"/>
          <w:kern w:val="0"/>
          <w:szCs w:val="26"/>
          <w:rtl/>
          <w:lang w:bidi="ar-JO"/>
          <w14:ligatures w14:val="none"/>
        </w:rPr>
        <w:t xml:space="preserve"> </w:t>
      </w:r>
      <w:r w:rsidRPr="00E84DB1">
        <w:rPr>
          <w:rFonts w:eastAsia="Times New Roman" w:cs="DecoType Naskh" w:hint="cs"/>
          <w:color w:val="auto"/>
          <w:kern w:val="0"/>
          <w:szCs w:val="26"/>
          <w:rtl/>
          <w:lang w:bidi="ar-JO"/>
          <w14:ligatures w14:val="none"/>
        </w:rPr>
        <w:t xml:space="preserve"> </w:t>
      </w:r>
      <w:r w:rsidRPr="00E84DB1">
        <w:rPr>
          <w:rFonts w:eastAsia="Times New Roman" w:cs="DecoType Naskh" w:hint="cs"/>
          <w:i/>
          <w:iCs/>
          <w:color w:val="auto"/>
          <w:kern w:val="0"/>
          <w:szCs w:val="26"/>
          <w:rtl/>
          <w:lang w:bidi="ar-JO"/>
          <w14:ligatures w14:val="none"/>
        </w:rPr>
        <w:t>توهو</w:t>
      </w:r>
      <w:r w:rsidRPr="00E84DB1">
        <w:rPr>
          <w:rFonts w:eastAsia="Times New Roman" w:cs="DecoType Naskh" w:hint="cs"/>
          <w:color w:val="auto"/>
          <w:kern w:val="0"/>
          <w:szCs w:val="26"/>
          <w:rtl/>
          <w:lang w:bidi="ar-JO"/>
          <w14:ligatures w14:val="none"/>
        </w:rPr>
        <w:t xml:space="preserve">) جملة دالة على القصد.  </w:t>
      </w:r>
    </w:p>
    <w:p w14:paraId="3A1745AC"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722"/>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لنلاحظ ترجمة </w:t>
      </w:r>
      <w:r w:rsidRPr="00E84DB1">
        <w:rPr>
          <w:rFonts w:eastAsia="Times New Roman" w:cs="DecoType Naskh"/>
          <w:color w:val="auto"/>
          <w:kern w:val="0"/>
          <w:szCs w:val="26"/>
          <w14:ligatures w14:val="none"/>
        </w:rPr>
        <w:t>NIV</w:t>
      </w:r>
      <w:r w:rsidRPr="00E84DB1">
        <w:rPr>
          <w:rFonts w:eastAsia="Times New Roman" w:cs="DecoType Naskh" w:hint="cs"/>
          <w:color w:val="auto"/>
          <w:kern w:val="0"/>
          <w:szCs w:val="26"/>
          <w:rtl/>
          <w:lang w:bidi="ar-JO"/>
          <w14:ligatures w14:val="none"/>
        </w:rPr>
        <w:t xml:space="preserve"> مثلاً، "لم يخلقها لتكون فارغة، بل صوّرها لكي تُسكن."  ومن هنا فإن إشعياء 45: 18 لا تؤكد أو تنفي أن الله خلق حالة</w:t>
      </w:r>
      <w:r w:rsidRPr="00E84DB1">
        <w:rPr>
          <w:rFonts w:eastAsia="Times New Roman" w:cs="DecoType Naskh" w:hint="cs"/>
          <w:color w:val="auto"/>
          <w:kern w:val="0"/>
          <w:szCs w:val="26"/>
          <w:rtl/>
          <w14:ligatures w14:val="none"/>
        </w:rPr>
        <w:t xml:space="preserve"> </w:t>
      </w:r>
      <w:r w:rsidRPr="00E84DB1">
        <w:rPr>
          <w:rFonts w:ascii="Hebrewtl" w:eastAsia="Times New Roman" w:hAnsi="Hebrewtl" w:cs="DecoType Naskh"/>
          <w:color w:val="auto"/>
          <w:kern w:val="0"/>
          <w:szCs w:val="26"/>
          <w14:ligatures w14:val="none"/>
        </w:rPr>
        <w:t>t)</w:t>
      </w:r>
      <w:proofErr w:type="spellStart"/>
      <w:r w:rsidRPr="00E84DB1">
        <w:rPr>
          <w:rFonts w:ascii="Hebrewtl" w:eastAsia="Times New Roman" w:hAnsi="Hebrewtl" w:cs="DecoType Naskh"/>
          <w:color w:val="auto"/>
          <w:kern w:val="0"/>
          <w:szCs w:val="26"/>
          <w14:ligatures w14:val="none"/>
        </w:rPr>
        <w:t>hW</w:t>
      </w:r>
      <w:proofErr w:type="spellEnd"/>
      <w:r w:rsidRPr="00E84DB1">
        <w:rPr>
          <w:rFonts w:eastAsia="Times New Roman" w:cs="DecoType Naskh" w:hint="cs"/>
          <w:color w:val="auto"/>
          <w:kern w:val="0"/>
          <w:szCs w:val="26"/>
          <w:rtl/>
          <w:lang w:bidi="ar-JO"/>
          <w14:ligatures w14:val="none"/>
        </w:rPr>
        <w:t xml:space="preserve"> </w:t>
      </w:r>
      <w:r w:rsidRPr="00E84DB1">
        <w:rPr>
          <w:rFonts w:eastAsia="Times New Roman" w:cs="DecoType Naskh" w:hint="cs"/>
          <w:i/>
          <w:iCs/>
          <w:color w:val="auto"/>
          <w:kern w:val="0"/>
          <w:szCs w:val="26"/>
          <w:rtl/>
          <w:lang w:bidi="ar-JO"/>
          <w14:ligatures w14:val="none"/>
        </w:rPr>
        <w:t>توهو</w:t>
      </w:r>
      <w:r w:rsidRPr="00E84DB1">
        <w:rPr>
          <w:rFonts w:eastAsia="Times New Roman" w:cs="DecoType Naskh" w:hint="cs"/>
          <w:color w:val="auto"/>
          <w:kern w:val="0"/>
          <w:szCs w:val="26"/>
          <w:rtl/>
          <w:lang w:bidi="ar-JO"/>
          <w14:ligatures w14:val="none"/>
        </w:rPr>
        <w:t xml:space="preserve"> المذكورة في تكوين 1: 2؛ فهي توضح أن الله فعل شيئاً بخصوص هذا الأمر، أي أنه خلق الأرض لكي تُسكن، لا لتُترك في حالة</w:t>
      </w:r>
      <w:r w:rsidRPr="00E84DB1">
        <w:rPr>
          <w:rFonts w:eastAsia="Times New Roman" w:cs="DecoType Naskh" w:hint="cs"/>
          <w:color w:val="auto"/>
          <w:kern w:val="0"/>
          <w:szCs w:val="26"/>
          <w:rtl/>
          <w14:ligatures w14:val="none"/>
        </w:rPr>
        <w:t xml:space="preserve"> </w:t>
      </w:r>
      <w:r w:rsidRPr="00E84DB1">
        <w:rPr>
          <w:rFonts w:ascii="Hebrewtl" w:eastAsia="Times New Roman" w:hAnsi="Hebrewtl" w:cs="DecoType Naskh"/>
          <w:color w:val="auto"/>
          <w:kern w:val="0"/>
          <w:szCs w:val="26"/>
          <w14:ligatures w14:val="none"/>
        </w:rPr>
        <w:t>t)</w:t>
      </w:r>
      <w:proofErr w:type="spellStart"/>
      <w:r w:rsidRPr="00E84DB1">
        <w:rPr>
          <w:rFonts w:ascii="Hebrewtl" w:eastAsia="Times New Roman" w:hAnsi="Hebrewtl" w:cs="DecoType Naskh"/>
          <w:color w:val="auto"/>
          <w:kern w:val="0"/>
          <w:szCs w:val="26"/>
          <w14:ligatures w14:val="none"/>
        </w:rPr>
        <w:t>hW</w:t>
      </w:r>
      <w:proofErr w:type="spellEnd"/>
      <w:r w:rsidRPr="00E84DB1">
        <w:rPr>
          <w:rFonts w:eastAsia="Times New Roman" w:cs="DecoType Naskh" w:hint="cs"/>
          <w:color w:val="auto"/>
          <w:kern w:val="0"/>
          <w:szCs w:val="26"/>
          <w:rtl/>
          <w:lang w:bidi="ar-JO"/>
          <w14:ligatures w14:val="none"/>
        </w:rPr>
        <w:t xml:space="preserve"> </w:t>
      </w:r>
      <w:r w:rsidRPr="00E84DB1">
        <w:rPr>
          <w:rFonts w:eastAsia="Times New Roman" w:cs="DecoType Naskh" w:hint="cs"/>
          <w:i/>
          <w:iCs/>
          <w:color w:val="auto"/>
          <w:kern w:val="0"/>
          <w:szCs w:val="26"/>
          <w:rtl/>
          <w:lang w:bidi="ar-JO"/>
          <w14:ligatures w14:val="none"/>
        </w:rPr>
        <w:t>توهو</w:t>
      </w:r>
      <w:r w:rsidRPr="00E84DB1">
        <w:rPr>
          <w:rFonts w:eastAsia="Times New Roman" w:cs="DecoType Naskh" w:hint="cs"/>
          <w:color w:val="auto"/>
          <w:kern w:val="0"/>
          <w:szCs w:val="26"/>
          <w:rtl/>
          <w:lang w:bidi="ar-JO"/>
          <w14:ligatures w14:val="none"/>
        </w:rPr>
        <w:t xml:space="preserve"> المقفرة.</w:t>
      </w:r>
    </w:p>
    <w:p w14:paraId="29D8A2F0"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4)</w:t>
      </w:r>
      <w:r w:rsidRPr="00E84DB1">
        <w:rPr>
          <w:rFonts w:eastAsia="Times New Roman" w:cs="DecoType Naskh" w:hint="cs"/>
          <w:color w:val="auto"/>
          <w:kern w:val="0"/>
          <w:szCs w:val="26"/>
          <w:rtl/>
          <w:lang w:bidi="ar-JO"/>
          <w14:ligatures w14:val="none"/>
        </w:rPr>
        <w:tab/>
        <w:t xml:space="preserve">استنتاجات حول </w:t>
      </w:r>
      <w:r w:rsidRPr="00E84DB1">
        <w:rPr>
          <w:rFonts w:ascii="Hebrewtl" w:eastAsia="Times New Roman" w:hAnsi="Hebrewtl" w:cs="DecoType Naskh"/>
          <w:color w:val="auto"/>
          <w:kern w:val="0"/>
          <w:szCs w:val="26"/>
          <w14:ligatures w14:val="none"/>
        </w:rPr>
        <w:t>t)</w:t>
      </w:r>
      <w:proofErr w:type="spellStart"/>
      <w:r w:rsidRPr="00E84DB1">
        <w:rPr>
          <w:rFonts w:ascii="Hebrewtl" w:eastAsia="Times New Roman" w:hAnsi="Hebrewtl" w:cs="DecoType Naskh"/>
          <w:color w:val="auto"/>
          <w:kern w:val="0"/>
          <w:szCs w:val="26"/>
          <w14:ligatures w14:val="none"/>
        </w:rPr>
        <w:t>hW</w:t>
      </w:r>
      <w:proofErr w:type="spellEnd"/>
      <w:r w:rsidRPr="00E84DB1">
        <w:rPr>
          <w:rFonts w:ascii="Hebrewtl" w:eastAsia="Times New Roman" w:hAnsi="Hebrewtl" w:cs="DecoType Naskh"/>
          <w:color w:val="auto"/>
          <w:kern w:val="0"/>
          <w:szCs w:val="26"/>
          <w14:ligatures w14:val="none"/>
        </w:rPr>
        <w:t xml:space="preserve"> w*b)</w:t>
      </w:r>
      <w:proofErr w:type="spellStart"/>
      <w:r w:rsidRPr="00E84DB1">
        <w:rPr>
          <w:rFonts w:ascii="Hebrewtl" w:eastAsia="Times New Roman" w:hAnsi="Hebrewtl" w:cs="DecoType Naskh"/>
          <w:color w:val="auto"/>
          <w:kern w:val="0"/>
          <w:szCs w:val="26"/>
          <w14:ligatures w14:val="none"/>
        </w:rPr>
        <w:t>hW</w:t>
      </w:r>
      <w:proofErr w:type="spellEnd"/>
      <w:r w:rsidRPr="00E84DB1">
        <w:rPr>
          <w:rFonts w:eastAsia="Times New Roman" w:cs="DecoType Naskh" w:hint="cs"/>
          <w:color w:val="auto"/>
          <w:kern w:val="0"/>
          <w:szCs w:val="26"/>
          <w:rtl/>
          <w:lang w:bidi="ar-JO"/>
          <w14:ligatures w14:val="none"/>
        </w:rPr>
        <w:t xml:space="preserve">  </w:t>
      </w:r>
      <w:r w:rsidRPr="00E84DB1">
        <w:rPr>
          <w:rFonts w:eastAsia="Times New Roman" w:cs="DecoType Naskh" w:hint="cs"/>
          <w:i/>
          <w:iCs/>
          <w:color w:val="auto"/>
          <w:kern w:val="0"/>
          <w:szCs w:val="26"/>
          <w:rtl/>
          <w:lang w:bidi="ar-JO"/>
          <w14:ligatures w14:val="none"/>
        </w:rPr>
        <w:t>توهو وفوهو</w:t>
      </w:r>
    </w:p>
    <w:p w14:paraId="76EFA7A7"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 w:val="30"/>
          <w:szCs w:val="28"/>
          <w:rtl/>
          <w:lang w:bidi="ar-JO"/>
          <w14:ligatures w14:val="none"/>
        </w:rPr>
      </w:pPr>
      <w:r w:rsidRPr="00E84DB1">
        <w:rPr>
          <w:rFonts w:eastAsia="Times New Roman" w:cs="DecoType Naskh" w:hint="cs"/>
          <w:color w:val="auto"/>
          <w:kern w:val="0"/>
          <w:szCs w:val="26"/>
          <w:rtl/>
          <w:lang w:bidi="ar-JO"/>
          <w14:ligatures w14:val="none"/>
        </w:rPr>
        <w:t xml:space="preserve">يجب أن نعترف أنه من الصعب التحقق من المعنى القاموسي الدقيق لتعبير </w:t>
      </w:r>
      <w:r w:rsidRPr="00E84DB1">
        <w:rPr>
          <w:rFonts w:ascii="Hebrewtl" w:eastAsia="Times New Roman" w:hAnsi="Hebrewtl" w:cs="DecoType Naskh"/>
          <w:color w:val="auto"/>
          <w:kern w:val="0"/>
          <w:szCs w:val="26"/>
          <w14:ligatures w14:val="none"/>
        </w:rPr>
        <w:t>t)</w:t>
      </w:r>
      <w:proofErr w:type="spellStart"/>
      <w:r w:rsidRPr="00E84DB1">
        <w:rPr>
          <w:rFonts w:ascii="Hebrewtl" w:eastAsia="Times New Roman" w:hAnsi="Hebrewtl" w:cs="DecoType Naskh"/>
          <w:color w:val="auto"/>
          <w:kern w:val="0"/>
          <w:szCs w:val="26"/>
          <w14:ligatures w14:val="none"/>
        </w:rPr>
        <w:t>hW</w:t>
      </w:r>
      <w:proofErr w:type="spellEnd"/>
      <w:r w:rsidRPr="00E84DB1">
        <w:rPr>
          <w:rFonts w:ascii="Hebrewtl" w:eastAsia="Times New Roman" w:hAnsi="Hebrewtl" w:cs="DecoType Naskh"/>
          <w:color w:val="auto"/>
          <w:kern w:val="0"/>
          <w:szCs w:val="26"/>
          <w14:ligatures w14:val="none"/>
        </w:rPr>
        <w:t xml:space="preserve"> w*b)</w:t>
      </w:r>
      <w:proofErr w:type="spellStart"/>
      <w:r w:rsidRPr="00E84DB1">
        <w:rPr>
          <w:rFonts w:ascii="Hebrewtl" w:eastAsia="Times New Roman" w:hAnsi="Hebrewtl" w:cs="DecoType Naskh"/>
          <w:color w:val="auto"/>
          <w:kern w:val="0"/>
          <w:szCs w:val="26"/>
          <w14:ligatures w14:val="none"/>
        </w:rPr>
        <w:t>hW</w:t>
      </w:r>
      <w:proofErr w:type="spellEnd"/>
      <w:r w:rsidRPr="00E84DB1">
        <w:rPr>
          <w:rFonts w:eastAsia="Times New Roman" w:cs="DecoType Naskh" w:hint="cs"/>
          <w:color w:val="auto"/>
          <w:kern w:val="0"/>
          <w:szCs w:val="26"/>
          <w:rtl/>
          <w:lang w:bidi="ar-JO"/>
          <w14:ligatures w14:val="none"/>
        </w:rPr>
        <w:t xml:space="preserve"> </w:t>
      </w:r>
      <w:r w:rsidRPr="00E84DB1">
        <w:rPr>
          <w:rFonts w:eastAsia="Times New Roman" w:cs="DecoType Naskh" w:hint="cs"/>
          <w:i/>
          <w:iCs/>
          <w:color w:val="auto"/>
          <w:kern w:val="0"/>
          <w:szCs w:val="26"/>
          <w:rtl/>
          <w:lang w:bidi="ar-JO"/>
          <w14:ligatures w14:val="none"/>
        </w:rPr>
        <w:t>توهو وفوهو</w:t>
      </w:r>
      <w:r w:rsidRPr="00E84DB1">
        <w:rPr>
          <w:rFonts w:eastAsia="Times New Roman" w:cs="DecoType Naskh" w:hint="cs"/>
          <w:color w:val="auto"/>
          <w:kern w:val="0"/>
          <w:szCs w:val="26"/>
          <w:rtl/>
          <w:lang w:bidi="ar-JO"/>
          <w14:ligatures w14:val="none"/>
        </w:rPr>
        <w:t xml:space="preserve">.  وبما أن الاستخدام الكتابي لهذا التعبير نادر ولا يوجد له شبه أو نسب مع تعابير من لغات أخرى، فإنه ليست لدينا أدلة كثيرة نعتمد عليها.  يفهم </w:t>
      </w:r>
      <w:r w:rsidRPr="00E84DB1">
        <w:rPr>
          <w:rFonts w:eastAsia="Times New Roman" w:cs="DecoType Naskh" w:hint="cs"/>
          <w:color w:val="auto"/>
          <w:kern w:val="0"/>
          <w:szCs w:val="26"/>
          <w:rtl/>
          <w14:ligatures w14:val="none"/>
        </w:rPr>
        <w:t>البعض</w:t>
      </w:r>
      <w:r w:rsidRPr="00E84DB1">
        <w:rPr>
          <w:rFonts w:eastAsia="Times New Roman" w:cs="DecoType Naskh" w:hint="cs"/>
          <w:color w:val="auto"/>
          <w:kern w:val="0"/>
          <w:szCs w:val="26"/>
          <w:rtl/>
          <w:lang w:bidi="ar-JO"/>
          <w14:ligatures w14:val="none"/>
        </w:rPr>
        <w:t xml:space="preserve"> هذا التعبير على أنه يعني "فوضى"، حالة سلبية جداً، ومن هنا، فإنه لا يمكن أن يكون مما يصدر عن الله.  ويرى آخرون أن هذا التعبير يوحي بحالة أكثر حياداً من عدم التشكّل.  يقول ديفيد تسومورا في بحثه الشامل إن هذا التعبير يعني حالة من "عدم الإنتاجية والخواء."</w:t>
      </w:r>
      <w:r w:rsidRPr="00E84DB1">
        <w:rPr>
          <w:rFonts w:eastAsia="Times New Roman" w:cs="DecoType Naskh"/>
          <w:color w:val="auto"/>
          <w:kern w:val="0"/>
          <w:sz w:val="30"/>
          <w:szCs w:val="28"/>
          <w:vertAlign w:val="superscript"/>
          <w:rtl/>
          <w:lang w:bidi="ar-JO"/>
          <w14:ligatures w14:val="none"/>
        </w:rPr>
        <w:footnoteReference w:customMarkFollows="1" w:id="26"/>
        <w:t>14</w:t>
      </w:r>
    </w:p>
    <w:p w14:paraId="62FFA308"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14:ligatures w14:val="none"/>
        </w:rPr>
      </w:pPr>
    </w:p>
    <w:p w14:paraId="041E635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ويتحدث جيكوب نيابة عن الذين يأخذون التعبير بمعنى سلبي، فيقول: "حيثما يرد تعبير</w:t>
      </w:r>
      <w:r w:rsidRPr="00E84DB1">
        <w:rPr>
          <w:rFonts w:eastAsia="Times New Roman" w:cs="DecoType Naskh" w:hint="cs"/>
          <w:color w:val="auto"/>
          <w:kern w:val="0"/>
          <w:szCs w:val="26"/>
          <w:rtl/>
          <w14:ligatures w14:val="none"/>
        </w:rPr>
        <w:t xml:space="preserve"> </w:t>
      </w:r>
      <w:r w:rsidRPr="00E84DB1">
        <w:rPr>
          <w:rFonts w:ascii="Hebrewtl" w:eastAsia="Times New Roman" w:hAnsi="Hebrewtl" w:cs="DecoType Naskh"/>
          <w:color w:val="auto"/>
          <w:kern w:val="0"/>
          <w:szCs w:val="26"/>
          <w14:ligatures w14:val="none"/>
        </w:rPr>
        <w:t>t)</w:t>
      </w:r>
      <w:proofErr w:type="spellStart"/>
      <w:r w:rsidRPr="00E84DB1">
        <w:rPr>
          <w:rFonts w:ascii="Hebrewtl" w:eastAsia="Times New Roman" w:hAnsi="Hebrewtl" w:cs="DecoType Naskh"/>
          <w:color w:val="auto"/>
          <w:kern w:val="0"/>
          <w:szCs w:val="26"/>
          <w14:ligatures w14:val="none"/>
        </w:rPr>
        <w:t>hW</w:t>
      </w:r>
      <w:proofErr w:type="spellEnd"/>
      <w:r w:rsidRPr="00E84DB1">
        <w:rPr>
          <w:rFonts w:ascii="Hebrewtl" w:eastAsia="Times New Roman" w:hAnsi="Hebrewtl" w:cs="DecoType Naskh"/>
          <w:color w:val="auto"/>
          <w:kern w:val="0"/>
          <w:szCs w:val="26"/>
          <w14:ligatures w14:val="none"/>
        </w:rPr>
        <w:t xml:space="preserve"> w*b)</w:t>
      </w:r>
      <w:proofErr w:type="spellStart"/>
      <w:r w:rsidRPr="00E84DB1">
        <w:rPr>
          <w:rFonts w:ascii="Hebrewtl" w:eastAsia="Times New Roman" w:hAnsi="Hebrewtl" w:cs="DecoType Naskh"/>
          <w:color w:val="auto"/>
          <w:kern w:val="0"/>
          <w:szCs w:val="26"/>
          <w14:ligatures w14:val="none"/>
        </w:rPr>
        <w:t>hW</w:t>
      </w:r>
      <w:proofErr w:type="spellEnd"/>
      <w:r w:rsidRPr="00E84DB1">
        <w:rPr>
          <w:rFonts w:eastAsia="Times New Roman" w:cs="DecoType Naskh" w:hint="cs"/>
          <w:color w:val="auto"/>
          <w:kern w:val="0"/>
          <w:szCs w:val="26"/>
          <w:rtl/>
          <w:lang w:bidi="ar-JO"/>
          <w14:ligatures w14:val="none"/>
        </w:rPr>
        <w:t xml:space="preserve"> </w:t>
      </w:r>
      <w:r w:rsidRPr="00E84DB1">
        <w:rPr>
          <w:rFonts w:eastAsia="Times New Roman" w:cs="DecoType Naskh" w:hint="cs"/>
          <w:i/>
          <w:iCs/>
          <w:color w:val="auto"/>
          <w:kern w:val="0"/>
          <w:szCs w:val="26"/>
          <w:rtl/>
          <w:lang w:bidi="ar-JO"/>
          <w14:ligatures w14:val="none"/>
        </w:rPr>
        <w:t>توهو وفوهو</w:t>
      </w:r>
      <w:r w:rsidRPr="00E84DB1">
        <w:rPr>
          <w:rFonts w:eastAsia="Times New Roman" w:cs="DecoType Naskh" w:hint="cs"/>
          <w:color w:val="auto"/>
          <w:kern w:val="0"/>
          <w:szCs w:val="26"/>
          <w:rtl/>
          <w:lang w:bidi="ar-JO"/>
          <w14:ligatures w14:val="none"/>
        </w:rPr>
        <w:t xml:space="preserve"> (إشعياء 34: 11؛ إرميا 4: 23)، فإنه يشير إلى نقيض الخلق، لا إلى مجرد مرحلة أدنى من الخلق."</w:t>
      </w:r>
      <w:r w:rsidRPr="00E84DB1">
        <w:rPr>
          <w:rFonts w:eastAsia="Times New Roman" w:cs="DecoType Naskh"/>
          <w:color w:val="auto"/>
          <w:kern w:val="0"/>
          <w:sz w:val="30"/>
          <w:szCs w:val="28"/>
          <w:vertAlign w:val="superscript"/>
          <w:rtl/>
          <w:lang w:bidi="ar-JO"/>
          <w14:ligatures w14:val="none"/>
        </w:rPr>
        <w:footnoteReference w:customMarkFollows="1" w:id="27"/>
        <w:t>15</w:t>
      </w:r>
      <w:r w:rsidRPr="00E84DB1">
        <w:rPr>
          <w:rFonts w:eastAsia="Times New Roman" w:cs="DecoType Naskh" w:hint="cs"/>
          <w:color w:val="auto"/>
          <w:kern w:val="0"/>
          <w:szCs w:val="26"/>
          <w:rtl/>
          <w:lang w:bidi="ar-JO"/>
          <w14:ligatures w14:val="none"/>
        </w:rPr>
        <w:t xml:space="preserve"> يشير هذا التعبير إلى حالة مادةٍ خاليةٍ من النظام، أو دون أن تشكّل أو تصاغ شيئاً محدّداً لكنه ليس عمل الله الإبداعي (إشعياء 45: 18).</w:t>
      </w:r>
    </w:p>
    <w:p w14:paraId="1CD6D17C"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 </w:t>
      </w:r>
    </w:p>
    <w:p w14:paraId="782F4EB2"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ونلاحظ أيضاً أن النص لا ينسب أبداً الحالة المذكورة في الآية الثانية إلى الخالق.  ولا نجد تصريحاً أن الله أوجد الحالة المذكورة في الآية الثانية بكلمته ("وقال الله، ’ليكن......,").  ورداً على ذلك يمكن القول إنه إذا كانت كل الآيات 1-5 تمثل اليوم الأول، فإنه لا يجدر بنا أن نتوقع الإعلان "ورأى الله أنه حسن" إلا بعد اكتمال كل عمل الخلق في اليوم الأول.</w:t>
      </w:r>
    </w:p>
    <w:p w14:paraId="49EAFBE6"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p>
    <w:p w14:paraId="56CE7C7F"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ب.</w:t>
      </w:r>
      <w:r w:rsidRPr="00E84DB1">
        <w:rPr>
          <w:rFonts w:eastAsia="Times New Roman" w:cs="DecoType Naskh" w:hint="cs"/>
          <w:color w:val="auto"/>
          <w:kern w:val="0"/>
          <w:szCs w:val="26"/>
          <w:rtl/>
          <w:lang w:bidi="ar-JO"/>
          <w14:ligatures w14:val="none"/>
        </w:rPr>
        <w:tab/>
      </w:r>
      <w:r w:rsidRPr="00E84DB1">
        <w:rPr>
          <w:rFonts w:ascii="Hebrew" w:eastAsia="Times New Roman" w:hAnsi="Hebrew" w:cs="DecoType Naskh"/>
          <w:color w:val="auto"/>
          <w:kern w:val="0"/>
          <w:szCs w:val="26"/>
          <w14:ligatures w14:val="none"/>
        </w:rPr>
        <w:t>&lt;</w:t>
      </w:r>
      <w:proofErr w:type="spellStart"/>
      <w:r w:rsidRPr="00E84DB1">
        <w:rPr>
          <w:rFonts w:ascii="Hebrew" w:eastAsia="Times New Roman" w:hAnsi="Hebrew" w:cs="DecoType Naskh"/>
          <w:color w:val="auto"/>
          <w:kern w:val="0"/>
          <w:szCs w:val="26"/>
          <w14:ligatures w14:val="none"/>
        </w:rPr>
        <w:t>oht</w:t>
      </w:r>
      <w:proofErr w:type="spellEnd"/>
      <w:r w:rsidRPr="00E84DB1">
        <w:rPr>
          <w:rFonts w:ascii="Hebrew" w:eastAsia="Times New Roman" w:hAnsi="Hebrew" w:cs="DecoType Naskh"/>
          <w:color w:val="auto"/>
          <w:kern w:val="0"/>
          <w:szCs w:val="26"/>
          <w14:ligatures w14:val="none"/>
        </w:rPr>
        <w:t>=</w:t>
      </w:r>
      <w:r w:rsidRPr="00E84DB1">
        <w:rPr>
          <w:rFonts w:eastAsia="Times New Roman" w:cs="DecoType Naskh" w:hint="cs"/>
          <w:color w:val="auto"/>
          <w:kern w:val="0"/>
          <w:szCs w:val="26"/>
          <w:rtl/>
          <w:lang w:bidi="ar-JO"/>
          <w14:ligatures w14:val="none"/>
        </w:rPr>
        <w:t xml:space="preserve"> </w:t>
      </w:r>
      <w:r w:rsidRPr="00E84DB1">
        <w:rPr>
          <w:rFonts w:eastAsia="Times New Roman" w:cs="DecoType Naskh"/>
          <w:color w:val="auto"/>
          <w:kern w:val="0"/>
          <w:szCs w:val="26"/>
          <w:rtl/>
          <w:lang w:bidi="ar-JO"/>
          <w14:ligatures w14:val="none"/>
        </w:rPr>
        <w:t>–</w:t>
      </w:r>
      <w:r w:rsidRPr="00E84DB1">
        <w:rPr>
          <w:rFonts w:eastAsia="Times New Roman" w:cs="DecoType Naskh" w:hint="cs"/>
          <w:color w:val="auto"/>
          <w:kern w:val="0"/>
          <w:szCs w:val="26"/>
          <w:rtl/>
          <w:lang w:bidi="ar-JO"/>
          <w14:ligatures w14:val="none"/>
        </w:rPr>
        <w:t xml:space="preserve"> "الغمر"</w:t>
      </w:r>
    </w:p>
    <w:p w14:paraId="4A8AFB16"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lastRenderedPageBreak/>
        <w:t>لا يفضي الماء المالح أو الغمر إلى الحياة، وهو يمثّل الهاوية.  وفي الكون الكامل الجديد لن يكون هنالك بحر (رؤيا 21: 1)</w:t>
      </w:r>
    </w:p>
    <w:p w14:paraId="50CF6ADC"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p>
    <w:p w14:paraId="40435B07"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جـ.</w:t>
      </w:r>
      <w:r w:rsidRPr="00E84DB1">
        <w:rPr>
          <w:rFonts w:eastAsia="Times New Roman" w:cs="DecoType Naskh" w:hint="cs"/>
          <w:color w:val="auto"/>
          <w:kern w:val="0"/>
          <w:szCs w:val="26"/>
          <w:rtl/>
          <w:lang w:bidi="ar-JO"/>
          <w14:ligatures w14:val="none"/>
        </w:rPr>
        <w:tab/>
      </w:r>
      <w:proofErr w:type="spellStart"/>
      <w:r w:rsidRPr="00E84DB1">
        <w:rPr>
          <w:rFonts w:ascii="Hebrew" w:eastAsia="Times New Roman" w:hAnsi="Hebrew" w:cs="DecoType Naskh"/>
          <w:color w:val="auto"/>
          <w:kern w:val="0"/>
          <w:szCs w:val="26"/>
          <w14:ligatures w14:val="none"/>
        </w:rPr>
        <w:t>Ev#j</w:t>
      </w:r>
      <w:proofErr w:type="spellEnd"/>
      <w:r w:rsidRPr="00E84DB1">
        <w:rPr>
          <w:rFonts w:ascii="Hebrew" w:eastAsia="Times New Roman" w:hAnsi="Hebrew" w:cs="DecoType Naskh"/>
          <w:color w:val="auto"/>
          <w:kern w:val="0"/>
          <w:szCs w:val="26"/>
          <w14:ligatures w14:val="none"/>
        </w:rPr>
        <w:t>)</w:t>
      </w:r>
      <w:r w:rsidRPr="00E84DB1">
        <w:rPr>
          <w:rFonts w:eastAsia="Times New Roman" w:cs="DecoType Naskh" w:hint="cs"/>
          <w:color w:val="auto"/>
          <w:kern w:val="0"/>
          <w:szCs w:val="26"/>
          <w:rtl/>
          <w:lang w:bidi="ar-JO"/>
          <w14:ligatures w14:val="none"/>
        </w:rPr>
        <w:t xml:space="preserve"> </w:t>
      </w:r>
      <w:r w:rsidRPr="00E84DB1">
        <w:rPr>
          <w:rFonts w:eastAsia="Times New Roman" w:cs="DecoType Naskh"/>
          <w:color w:val="auto"/>
          <w:kern w:val="0"/>
          <w:szCs w:val="26"/>
          <w:rtl/>
          <w:lang w:bidi="ar-JO"/>
          <w14:ligatures w14:val="none"/>
        </w:rPr>
        <w:t>–</w:t>
      </w:r>
      <w:r w:rsidRPr="00E84DB1">
        <w:rPr>
          <w:rFonts w:eastAsia="Times New Roman" w:cs="DecoType Naskh" w:hint="cs"/>
          <w:color w:val="auto"/>
          <w:kern w:val="0"/>
          <w:szCs w:val="26"/>
          <w:rtl/>
          <w:lang w:bidi="ar-JO"/>
          <w14:ligatures w14:val="none"/>
        </w:rPr>
        <w:t xml:space="preserve"> "ظلمة"</w:t>
      </w:r>
    </w:p>
    <w:p w14:paraId="730804F7"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الظلمة رمز في الكتاب المقدس للشر، وهي تصوّر ذلك المجال الذي لم يدخله النور ليُنيرَهُ.  وغالباً ما يستخدم بمعنى يتضمن "لعنة" أو "دينونة" (أيوب 3: 4؛ مزمور 35: 6؛ إشعياء 47: 5؛ 59: 9).</w:t>
      </w:r>
    </w:p>
    <w:p w14:paraId="15B36760"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p>
    <w:p w14:paraId="1E919A3B"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وكنقيض للنور يمكن اعتبار الظلمة "شرّاً" (إشعياء 5: 20).  وغالباً ما ترتبط الظلمة ببرنامج الله كما هو الحال في يوم الرب (إشعياء 13: 10؛ يوئيل 2: 31) وموت المسيح (متّى 27: 45).  وفي العهد الجديد يستخدم يوحنا الظلمة لتمثّل ما هو نقيض الله والشركة معه (1 يوحنا 1: 5، 6).  وأخيراً، نرى أنه لن تكون هنالك ظلمة في الحالة الأبدية (رؤيا 21: 25؛ 22: 5).  والظلمة من منظور كتابي ليست تعبيراً محايداً، لكنه تعبير مضاد لقداسة الله.</w:t>
      </w:r>
    </w:p>
    <w:p w14:paraId="52D6806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p>
    <w:p w14:paraId="0A09E23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تميل هذه الملاحظات إلى دعم رأي والكي حول "نظرية فوضى ما قبل الخلق".  لكن روكر يقدّم لنا تحذيراً:</w:t>
      </w:r>
    </w:p>
    <w:p w14:paraId="383915AD"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إن من شأن إلغاء الربط بين الظلمة المادية المذكورة في تكوين 1: 2 وبين الله، على أساس أن الظلمة صارت رمزاً للشر والخطيّة، أن يخلط ما بين الرمز والشيء المرموز إليه.  والأمر أشبه بالقول إن الخميرة شريرة لأنها صارت تمثّل الشر الروحي.</w:t>
      </w:r>
      <w:r w:rsidRPr="00E84DB1">
        <w:rPr>
          <w:rFonts w:eastAsia="Times New Roman" w:cs="DecoType Naskh"/>
          <w:color w:val="auto"/>
          <w:kern w:val="0"/>
          <w:sz w:val="30"/>
          <w:szCs w:val="28"/>
          <w:vertAlign w:val="superscript"/>
          <w:rtl/>
          <w:lang w:bidi="ar-JO"/>
          <w14:ligatures w14:val="none"/>
        </w:rPr>
        <w:footnoteReference w:customMarkFollows="1" w:id="28"/>
        <w:t>16</w:t>
      </w:r>
    </w:p>
    <w:p w14:paraId="01016DAF"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وفضلاً عن ذلك، فإن الله يتحمَّل مسؤولية خلق "الظلمة": "(أنا) مصوّر النور </w:t>
      </w:r>
      <w:r w:rsidRPr="00E84DB1">
        <w:rPr>
          <w:rFonts w:eastAsia="Times New Roman" w:cs="DecoType Naskh" w:hint="cs"/>
          <w:color w:val="auto"/>
          <w:kern w:val="0"/>
          <w:szCs w:val="26"/>
          <w:u w:val="single"/>
          <w:rtl/>
          <w:lang w:bidi="ar-JO"/>
          <w14:ligatures w14:val="none"/>
        </w:rPr>
        <w:t>وخالق الظلمة</w:t>
      </w:r>
      <w:r w:rsidRPr="00E84DB1">
        <w:rPr>
          <w:rFonts w:eastAsia="Times New Roman" w:cs="DecoType Naskh" w:hint="cs"/>
          <w:color w:val="auto"/>
          <w:kern w:val="0"/>
          <w:szCs w:val="26"/>
          <w:rtl/>
          <w:lang w:bidi="ar-JO"/>
          <w14:ligatures w14:val="none"/>
        </w:rPr>
        <w:t xml:space="preserve">                             (</w:t>
      </w:r>
      <w:proofErr w:type="spellStart"/>
      <w:r w:rsidRPr="00E84DB1">
        <w:rPr>
          <w:rFonts w:ascii="Hebrew" w:eastAsia="Times New Roman" w:hAnsi="Hebrew" w:cs="DecoType Naskh"/>
          <w:color w:val="auto"/>
          <w:kern w:val="0"/>
          <w:szCs w:val="26"/>
          <w14:ligatures w14:val="none"/>
        </w:rPr>
        <w:t>Ev#j</w:t>
      </w:r>
      <w:proofErr w:type="spellEnd"/>
      <w:r w:rsidRPr="00E84DB1">
        <w:rPr>
          <w:rFonts w:ascii="Hebrew" w:eastAsia="Times New Roman" w:hAnsi="Hebrew" w:cs="DecoType Naskh"/>
          <w:color w:val="auto"/>
          <w:kern w:val="0"/>
          <w:szCs w:val="26"/>
          <w14:ligatures w14:val="none"/>
        </w:rPr>
        <w:t xml:space="preserve">) </w:t>
      </w:r>
      <w:proofErr w:type="spellStart"/>
      <w:r w:rsidRPr="00E84DB1">
        <w:rPr>
          <w:rFonts w:ascii="Hebrew" w:eastAsia="Times New Roman" w:hAnsi="Hebrew" w:cs="DecoType Naskh"/>
          <w:color w:val="auto"/>
          <w:kern w:val="0"/>
          <w:szCs w:val="26"/>
          <w14:ligatures w14:val="none"/>
        </w:rPr>
        <w:t>ar@obW</w:t>
      </w:r>
      <w:proofErr w:type="spellEnd"/>
      <w:r w:rsidRPr="00E84DB1">
        <w:rPr>
          <w:rFonts w:eastAsia="Times New Roman" w:cs="DecoType Naskh" w:hint="cs"/>
          <w:color w:val="auto"/>
          <w:kern w:val="0"/>
          <w:szCs w:val="26"/>
          <w:rtl/>
          <w:lang w:bidi="ar-JO"/>
          <w14:ligatures w14:val="none"/>
        </w:rPr>
        <w:t>)، أنا الرب صانع كل هذه" (إشعياء 45: 7).</w:t>
      </w:r>
    </w:p>
    <w:p w14:paraId="2ED99244"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p>
    <w:p w14:paraId="6BCCFD50"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p>
    <w:p w14:paraId="321EDDC3"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3.</w:t>
      </w:r>
      <w:r w:rsidRPr="00E84DB1">
        <w:rPr>
          <w:rFonts w:eastAsia="Times New Roman" w:cs="DecoType Naskh" w:hint="cs"/>
          <w:color w:val="auto"/>
          <w:kern w:val="0"/>
          <w:szCs w:val="26"/>
          <w:rtl/>
          <w:lang w:bidi="ar-JO"/>
          <w14:ligatures w14:val="none"/>
        </w:rPr>
        <w:tab/>
        <w:t xml:space="preserve">استنتاج حول الآية الثانية </w:t>
      </w:r>
    </w:p>
    <w:p w14:paraId="652E4F17"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عندما نأتي إلى الآية الثانية يفاجئنا وضع محير.  ونتعجب كيف يمكن أن يأتي مثل هذا الوضع من يد الله، بما أن كل ما يفعله الله كامل.  ولا يوجد إعلان أن الله قال "ليكن" (انظر عبرانيين 11: 3) أو توكيد منه على أنه كان "حسناً".  وإنه لأمر ممكن أن تعبيري</w:t>
      </w:r>
      <w:r w:rsidRPr="00E84DB1">
        <w:rPr>
          <w:rFonts w:eastAsia="Times New Roman" w:cs="DecoType Naskh" w:hint="cs"/>
          <w:color w:val="auto"/>
          <w:kern w:val="0"/>
          <w:szCs w:val="26"/>
          <w:rtl/>
          <w14:ligatures w14:val="none"/>
        </w:rPr>
        <w:t xml:space="preserve"> </w:t>
      </w:r>
      <w:r w:rsidRPr="00E84DB1">
        <w:rPr>
          <w:rFonts w:ascii="Hebrewtl" w:eastAsia="Times New Roman" w:hAnsi="Hebrewtl" w:cs="DecoType Naskh"/>
          <w:color w:val="auto"/>
          <w:kern w:val="0"/>
          <w:szCs w:val="26"/>
          <w14:ligatures w14:val="none"/>
        </w:rPr>
        <w:t>t)</w:t>
      </w:r>
      <w:proofErr w:type="spellStart"/>
      <w:r w:rsidRPr="00E84DB1">
        <w:rPr>
          <w:rFonts w:ascii="Hebrewtl" w:eastAsia="Times New Roman" w:hAnsi="Hebrewtl" w:cs="DecoType Naskh"/>
          <w:color w:val="auto"/>
          <w:kern w:val="0"/>
          <w:szCs w:val="26"/>
          <w14:ligatures w14:val="none"/>
        </w:rPr>
        <w:t>hW</w:t>
      </w:r>
      <w:proofErr w:type="spellEnd"/>
      <w:r w:rsidRPr="00E84DB1">
        <w:rPr>
          <w:rFonts w:ascii="Hebrewtl" w:eastAsia="Times New Roman" w:hAnsi="Hebrewtl" w:cs="DecoType Naskh"/>
          <w:color w:val="auto"/>
          <w:kern w:val="0"/>
          <w:szCs w:val="26"/>
          <w14:ligatures w14:val="none"/>
        </w:rPr>
        <w:t xml:space="preserve"> w*b)</w:t>
      </w:r>
      <w:proofErr w:type="spellStart"/>
      <w:r w:rsidRPr="00E84DB1">
        <w:rPr>
          <w:rFonts w:ascii="Hebrewtl" w:eastAsia="Times New Roman" w:hAnsi="Hebrewtl" w:cs="DecoType Naskh"/>
          <w:color w:val="auto"/>
          <w:kern w:val="0"/>
          <w:szCs w:val="26"/>
          <w14:ligatures w14:val="none"/>
        </w:rPr>
        <w:t>hW</w:t>
      </w:r>
      <w:proofErr w:type="spellEnd"/>
      <w:r w:rsidRPr="00E84DB1">
        <w:rPr>
          <w:rFonts w:eastAsia="Times New Roman" w:cs="DecoType Naskh" w:hint="cs"/>
          <w:color w:val="auto"/>
          <w:kern w:val="0"/>
          <w:szCs w:val="26"/>
          <w:rtl/>
          <w:lang w:bidi="ar-JO"/>
          <w14:ligatures w14:val="none"/>
        </w:rPr>
        <w:t xml:space="preserve"> </w:t>
      </w:r>
      <w:r w:rsidRPr="00E84DB1">
        <w:rPr>
          <w:rFonts w:eastAsia="Times New Roman" w:cs="DecoType Naskh" w:hint="cs"/>
          <w:i/>
          <w:iCs/>
          <w:color w:val="auto"/>
          <w:kern w:val="0"/>
          <w:szCs w:val="26"/>
          <w:rtl/>
          <w:lang w:bidi="ar-JO"/>
          <w14:ligatures w14:val="none"/>
        </w:rPr>
        <w:t xml:space="preserve">توهو وفوهو </w:t>
      </w:r>
      <w:r w:rsidRPr="00E84DB1">
        <w:rPr>
          <w:rFonts w:eastAsia="Times New Roman" w:cs="DecoType Naskh" w:hint="cs"/>
          <w:color w:val="auto"/>
          <w:kern w:val="0"/>
          <w:szCs w:val="26"/>
          <w:rtl/>
          <w:lang w:bidi="ar-JO"/>
          <w14:ligatures w14:val="none"/>
        </w:rPr>
        <w:t>يعكسان حالة فوضوية سلبية، أي شيئاً لم يكن نتيجة عمل الله الإبداعي (كما يرى والكي).  ومن ناحية أخرى، يمكن أن يشير هذان التعبيران إلى الحالة التي لم تكتمل بعد.  ويستخدم تعبيرا "الظلمة" و"البحر" (الغمر) في مواضع أخرى من الكتاب المقدس بمعنى شرير، لكن هذا لا يقدم برهاناً قاطعاً على أن هذه هي الكيفية التي يجب أن نفهم تكوين 1: 2 بها (حيث نرى أن هذين التعبيرين يستخدمان في الكتاب المقدس أيضاً بطريقة محايدة). وإن تعليقات روكر حول الرموز الكتابية بالإضافة إلى قول الكتاب المقدس إن الله خلق "الظلمة" (إشعياء 45: 7) أسباب وجيهة تجعلنا لا نرى في تكوين 1: 2 أكثر مما يجب.</w:t>
      </w:r>
    </w:p>
    <w:p w14:paraId="3C9D099C"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6F8680DB"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160A53F0" w14:textId="77777777" w:rsidR="00E84DB1" w:rsidRPr="00E84DB1" w:rsidRDefault="00E84DB1"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E84DB1">
        <w:rPr>
          <w:rFonts w:eastAsia="Times New Roman" w:cs="DecoType Naskh" w:hint="cs"/>
          <w:bCs/>
          <w:color w:val="auto"/>
          <w:kern w:val="0"/>
          <w:szCs w:val="26"/>
          <w:rtl/>
          <w14:ligatures w14:val="none"/>
        </w:rPr>
        <w:t>د.</w:t>
      </w:r>
      <w:r w:rsidRPr="00E84DB1">
        <w:rPr>
          <w:rFonts w:eastAsia="Times New Roman" w:cs="DecoType Naskh" w:hint="cs"/>
          <w:bCs/>
          <w:color w:val="auto"/>
          <w:kern w:val="0"/>
          <w:szCs w:val="26"/>
          <w:rtl/>
          <w14:ligatures w14:val="none"/>
        </w:rPr>
        <w:tab/>
        <w:t xml:space="preserve">تعليقات ختامية </w:t>
      </w:r>
    </w:p>
    <w:p w14:paraId="2542D3C3"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أعتقد أن "نظرية الثغرة" تعاني من عدة نقاط ضعف تجعلها مُستبعدة.</w:t>
      </w:r>
      <w:r w:rsidRPr="00E84DB1">
        <w:rPr>
          <w:rFonts w:eastAsia="Times New Roman" w:cs="DecoType Naskh"/>
          <w:color w:val="auto"/>
          <w:kern w:val="0"/>
          <w:sz w:val="30"/>
          <w:szCs w:val="28"/>
          <w:vertAlign w:val="superscript"/>
          <w:rtl/>
          <w:lang w:bidi="ar-JO"/>
          <w14:ligatures w14:val="none"/>
        </w:rPr>
        <w:footnoteReference w:customMarkFollows="1" w:id="29"/>
        <w:t>17</w:t>
      </w:r>
      <w:r w:rsidRPr="00E84DB1">
        <w:rPr>
          <w:rFonts w:eastAsia="Times New Roman" w:cs="DecoType Naskh" w:hint="cs"/>
          <w:color w:val="auto"/>
          <w:kern w:val="0"/>
          <w:sz w:val="30"/>
          <w:szCs w:val="28"/>
          <w:rtl/>
          <w14:ligatures w14:val="none"/>
        </w:rPr>
        <w:t xml:space="preserve"> </w:t>
      </w:r>
      <w:r w:rsidRPr="00E84DB1">
        <w:rPr>
          <w:rFonts w:eastAsia="Times New Roman" w:cs="DecoType Naskh" w:hint="cs"/>
          <w:color w:val="auto"/>
          <w:kern w:val="0"/>
          <w:szCs w:val="26"/>
          <w:rtl/>
          <w:lang w:bidi="ar-JO"/>
          <w14:ligatures w14:val="none"/>
        </w:rPr>
        <w:t xml:space="preserve"> أمّا من ناحية قواعدية نحوية فإن نظرية "الفوضى الأولية" (الرأي التقليدي) ونظرية "فوضى ما قبل الخلق" ممكنتان.  وعلى الرغم من أنه أمر محتمل بالفعل أن تكون تكوين 1: 1 آية تلخيصية للآيات 3-31 (كما يقول والكي)، فإن هذا أمر</w:t>
      </w:r>
      <w:r w:rsidRPr="00E84DB1">
        <w:rPr>
          <w:rFonts w:eastAsia="Times New Roman" w:cs="DecoType Naskh" w:hint="cs"/>
          <w:color w:val="auto"/>
          <w:kern w:val="0"/>
          <w:szCs w:val="26"/>
          <w:rtl/>
          <w14:ligatures w14:val="none"/>
        </w:rPr>
        <w:t>ٌ</w:t>
      </w:r>
      <w:r w:rsidRPr="00E84DB1">
        <w:rPr>
          <w:rFonts w:eastAsia="Times New Roman" w:cs="DecoType Naskh" w:hint="cs"/>
          <w:color w:val="auto"/>
          <w:kern w:val="0"/>
          <w:szCs w:val="26"/>
          <w:rtl/>
          <w:lang w:bidi="ar-JO"/>
          <w14:ligatures w14:val="none"/>
        </w:rPr>
        <w:t xml:space="preserve"> لا يمكن الجزم فيه </w:t>
      </w:r>
      <w:r w:rsidRPr="00E84DB1">
        <w:rPr>
          <w:rFonts w:eastAsia="Times New Roman" w:cs="DecoType Naskh" w:hint="cs"/>
          <w:color w:val="auto"/>
          <w:kern w:val="0"/>
          <w:szCs w:val="26"/>
          <w:rtl/>
          <w:lang w:bidi="ar-JO"/>
          <w14:ligatures w14:val="none"/>
        </w:rPr>
        <w:lastRenderedPageBreak/>
        <w:t>بعيداً عن الشك.  وإنه لأمر ممكن من ناحية نظرية أن تكون تكوين 1: 1 آية تلخيصية وأن توحي في نفس الوقت مع الآية الثانية بأن "الأرض" كانت في المرحلة الأولية من عمل الله الإبداعي لها.  ومن ناحية أخرى، فإن الرأي التقليدي الذي يرى أن تكوين 1: 1-2 تتحدثان عن المرحلة الأولية لخليقة الله الشخصية ممكنٌ ومشروع تماماً.  أمّا الاعتراضات القائمة على تكوين 1: 2، فلا يمكن أن تصمد (انظر التعليقات السابقة).</w:t>
      </w:r>
    </w:p>
    <w:p w14:paraId="22146ED2"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04EC38C6"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i/>
          <w:iCs/>
          <w:color w:val="auto"/>
          <w:kern w:val="0"/>
          <w:szCs w:val="26"/>
          <w:rtl/>
          <w:lang w:bidi="ar-JO"/>
          <w14:ligatures w14:val="none"/>
        </w:rPr>
      </w:pPr>
      <w:r w:rsidRPr="00E84DB1">
        <w:rPr>
          <w:rFonts w:eastAsia="Times New Roman" w:cs="DecoType Naskh" w:hint="cs"/>
          <w:color w:val="auto"/>
          <w:kern w:val="0"/>
          <w:szCs w:val="26"/>
          <w:rtl/>
          <w:lang w:bidi="ar-JO"/>
          <w14:ligatures w14:val="none"/>
        </w:rPr>
        <w:t>غير أني أجد نفسي، بعد طرح النظريات وتقويمها، ميّالاً نوعاً ما إلى الرأي التقليدي أكثر من نظرية "فوضى ما قبل الخلق".  توحي نظرية "فوضى ما قبل الخلق" (التي يروّج لها والكي وروس) أنه كان هنالك شكل من أشكال الخليقة الموجودة قبل عملية الخلق المعينة المذكورة في تكوين 1: 3-31.  وعندما يقرأ المرء يوحنا 1: 1-5، فإنه يأخذ انطباعاً أن يوحنا يشير بوضوح إلى تكوين 1: 1 عندما يقول: "في البدء كان الكلمة، والكلمة كان عند الله، وكان الكلمة الله."  نلاحظ أن يوحنا يبدأ الإنجيل المسمّى باسمه بكلمتي (</w:t>
      </w:r>
      <w:proofErr w:type="spellStart"/>
      <w:r w:rsidRPr="00E84DB1">
        <w:rPr>
          <w:rFonts w:ascii="Greek" w:eastAsia="Times New Roman" w:hAnsi="Greek" w:cs="DecoType Naskh"/>
          <w:color w:val="auto"/>
          <w:kern w:val="0"/>
          <w:szCs w:val="26"/>
          <w14:ligatures w14:val="none"/>
        </w:rPr>
        <w:t>jEn</w:t>
      </w:r>
      <w:proofErr w:type="spellEnd"/>
      <w:r w:rsidRPr="00E84DB1">
        <w:rPr>
          <w:rFonts w:ascii="Greek" w:eastAsia="Times New Roman" w:hAnsi="Greek" w:cs="DecoType Naskh"/>
          <w:color w:val="auto"/>
          <w:kern w:val="0"/>
          <w:szCs w:val="26"/>
          <w14:ligatures w14:val="none"/>
        </w:rPr>
        <w:t xml:space="preserve"> </w:t>
      </w:r>
      <w:proofErr w:type="spellStart"/>
      <w:r w:rsidRPr="00E84DB1">
        <w:rPr>
          <w:rFonts w:ascii="Greek" w:eastAsia="Times New Roman" w:hAnsi="Greek" w:cs="DecoType Naskh"/>
          <w:color w:val="auto"/>
          <w:kern w:val="0"/>
          <w:szCs w:val="26"/>
          <w14:ligatures w14:val="none"/>
        </w:rPr>
        <w:t>ajrch</w:t>
      </w:r>
      <w:proofErr w:type="spellEnd"/>
      <w:r w:rsidRPr="00E84DB1">
        <w:rPr>
          <w:rFonts w:ascii="Greek" w:eastAsia="Times New Roman" w:hAnsi="Greek" w:cs="DecoType Naskh"/>
          <w:color w:val="auto"/>
          <w:kern w:val="0"/>
          <w:szCs w:val="26"/>
          <w14:ligatures w14:val="none"/>
        </w:rPr>
        <w:t>/'</w:t>
      </w:r>
      <w:r w:rsidRPr="00E84DB1">
        <w:rPr>
          <w:rFonts w:eastAsia="Times New Roman" w:cs="DecoType Naskh" w:hint="cs"/>
          <w:color w:val="auto"/>
          <w:kern w:val="0"/>
          <w:szCs w:val="26"/>
          <w:rtl/>
          <w:lang w:bidi="ar-JO"/>
          <w14:ligatures w14:val="none"/>
        </w:rPr>
        <w:t>)، أي في "البدء"، تماماً كما تبدأ الترجمة السبعينية لتكوين 1: 1 بكلمتي (</w:t>
      </w:r>
      <w:proofErr w:type="spellStart"/>
      <w:r w:rsidRPr="00E84DB1">
        <w:rPr>
          <w:rFonts w:ascii="Greek" w:eastAsia="Times New Roman" w:hAnsi="Greek" w:cs="DecoType Naskh"/>
          <w:color w:val="auto"/>
          <w:kern w:val="0"/>
          <w:szCs w:val="26"/>
          <w14:ligatures w14:val="none"/>
        </w:rPr>
        <w:t>jEn</w:t>
      </w:r>
      <w:proofErr w:type="spellEnd"/>
      <w:r w:rsidRPr="00E84DB1">
        <w:rPr>
          <w:rFonts w:ascii="Greek" w:eastAsia="Times New Roman" w:hAnsi="Greek" w:cs="DecoType Naskh"/>
          <w:color w:val="auto"/>
          <w:kern w:val="0"/>
          <w:szCs w:val="26"/>
          <w14:ligatures w14:val="none"/>
        </w:rPr>
        <w:t xml:space="preserve"> </w:t>
      </w:r>
      <w:proofErr w:type="spellStart"/>
      <w:r w:rsidRPr="00E84DB1">
        <w:rPr>
          <w:rFonts w:ascii="Greek" w:eastAsia="Times New Roman" w:hAnsi="Greek" w:cs="DecoType Naskh"/>
          <w:color w:val="auto"/>
          <w:kern w:val="0"/>
          <w:szCs w:val="26"/>
          <w14:ligatures w14:val="none"/>
        </w:rPr>
        <w:t>ajrch</w:t>
      </w:r>
      <w:proofErr w:type="spellEnd"/>
      <w:r w:rsidRPr="00E84DB1">
        <w:rPr>
          <w:rFonts w:ascii="Greek" w:eastAsia="Times New Roman" w:hAnsi="Greek" w:cs="DecoType Naskh"/>
          <w:color w:val="auto"/>
          <w:kern w:val="0"/>
          <w:szCs w:val="26"/>
          <w14:ligatures w14:val="none"/>
        </w:rPr>
        <w:t>/'</w:t>
      </w:r>
      <w:r w:rsidRPr="00E84DB1">
        <w:rPr>
          <w:rFonts w:eastAsia="Times New Roman" w:cs="DecoType Naskh" w:hint="cs"/>
          <w:color w:val="auto"/>
          <w:kern w:val="0"/>
          <w:szCs w:val="26"/>
          <w:rtl/>
          <w:lang w:bidi="ar-JO"/>
          <w14:ligatures w14:val="none"/>
        </w:rPr>
        <w:t xml:space="preserve">).  ويبدو أن فكرته هي أن الكلمة (يسوع المسيح) قد كان موجوداً قبل الخليقة، وأن الخليقة جاءت منه مباشرة.  وتريد نظرية "فوضى ما قبل التكوين" أن تقلل من أهمية هذه الحقيقة وذلك بالقول بوجود شكل من الخليقة قبل خليقة سفر التكوين.  أمّا يوحنا فيريد أن يؤكد أن "كل شيء به كان، وبغيره لم يكن شيء مما كان"، وأن يصرّح بهذا وفي ذهنه تكوين 1: 1.  </w:t>
      </w:r>
    </w:p>
    <w:p w14:paraId="754AA62B"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14:ligatures w14:val="none"/>
        </w:rPr>
      </w:pPr>
    </w:p>
    <w:p w14:paraId="6997C57A" w14:textId="4AEB9CEF" w:rsidR="00F05A86" w:rsidRPr="00FF57E1" w:rsidRDefault="00FF57E1" w:rsidP="00FF57E1">
      <w:pPr>
        <w:pStyle w:val="Heading4RED"/>
        <w:bidi/>
        <w:rPr>
          <w:rFonts w:ascii="Simplified Arabic" w:hAnsi="Simplified Arabic" w:cs="Simplified Arabic"/>
        </w:rPr>
      </w:pPr>
      <w:bookmarkStart w:id="49" w:name="_Hlk178778030"/>
      <w:r w:rsidRPr="00FF57E1">
        <w:rPr>
          <w:rFonts w:ascii="Simplified Arabic" w:hAnsi="Simplified Arabic" w:cs="Simplified Arabic"/>
          <w:rtl/>
        </w:rPr>
        <w:t xml:space="preserve">آراء </w:t>
      </w:r>
      <w:r w:rsidR="00E26173">
        <w:rPr>
          <w:rFonts w:ascii="Simplified Arabic" w:hAnsi="Simplified Arabic" w:cs="Simplified Arabic" w:hint="cs"/>
          <w:rtl/>
        </w:rPr>
        <w:t xml:space="preserve">ونظريّات </w:t>
      </w:r>
      <w:r w:rsidRPr="00FF57E1">
        <w:rPr>
          <w:rFonts w:ascii="Simplified Arabic" w:hAnsi="Simplified Arabic" w:cs="Simplified Arabic"/>
          <w:rtl/>
        </w:rPr>
        <w:t>مختلفة يتبنّاها إنجيليّون بش</w:t>
      </w:r>
      <w:r w:rsidR="00C478C2">
        <w:rPr>
          <w:rFonts w:ascii="Simplified Arabic" w:hAnsi="Simplified Arabic" w:cs="Simplified Arabic" w:hint="cs"/>
          <w:rtl/>
        </w:rPr>
        <w:t>أ</w:t>
      </w:r>
      <w:r w:rsidRPr="00FF57E1">
        <w:rPr>
          <w:rFonts w:ascii="Simplified Arabic" w:hAnsi="Simplified Arabic" w:cs="Simplified Arabic"/>
          <w:rtl/>
        </w:rPr>
        <w:t xml:space="preserve">ن رواية الخلق </w:t>
      </w:r>
    </w:p>
    <w:p w14:paraId="7CAFD3AA" w14:textId="5F16F9CE" w:rsidR="00D30C23" w:rsidRPr="00B07864" w:rsidRDefault="005266BC" w:rsidP="00B07864">
      <w:pPr>
        <w:bidi/>
        <w:spacing w:line="240" w:lineRule="auto"/>
        <w:rPr>
          <w:rFonts w:ascii="Simplified Arabic" w:hAnsi="Simplified Arabic" w:cs="Simplified Arabic"/>
          <w:sz w:val="26"/>
          <w:szCs w:val="26"/>
        </w:rPr>
      </w:pPr>
      <w:r>
        <w:br/>
      </w:r>
      <w:r w:rsidR="00B07864">
        <w:rPr>
          <w:rFonts w:ascii="Simplified Arabic" w:hAnsi="Simplified Arabic" w:cs="Simplified Arabic" w:hint="cs"/>
          <w:sz w:val="26"/>
          <w:szCs w:val="26"/>
          <w:rtl/>
        </w:rPr>
        <w:t xml:space="preserve">الرأي الذي يتبنّاه </w:t>
      </w:r>
      <w:r w:rsidR="00E26173">
        <w:rPr>
          <w:rFonts w:ascii="Simplified Arabic" w:hAnsi="Simplified Arabic" w:cs="Simplified Arabic" w:hint="cs"/>
          <w:sz w:val="26"/>
          <w:szCs w:val="26"/>
          <w:rtl/>
        </w:rPr>
        <w:t xml:space="preserve">كاتب </w:t>
      </w:r>
      <w:r w:rsidR="00B07864">
        <w:rPr>
          <w:rFonts w:ascii="Simplified Arabic" w:hAnsi="Simplified Arabic" w:cs="Simplified Arabic" w:hint="cs"/>
          <w:sz w:val="26"/>
          <w:szCs w:val="26"/>
          <w:rtl/>
        </w:rPr>
        <w:t xml:space="preserve">هذا المساق بشأن تكوين 1-2 هو ما يُعرَف بـ"نظرة الأرض الفتيّة". تتعامل هذه النظرة بحرفيّة كبيرة مع رواية الخلق، وهو الفهم التقليدي الذي تبنته الكنيسة. بحسب هذه النظرة، خلق الله الكون في ستّة أيّام. ولكن هناك بعض العلماء الإنجيليّين الذين يتبنّون آراء مختلفة بشأن رواية الخلق. والقائمة التالية تذكر ثمانية آراء ونظرات بشأن </w:t>
      </w:r>
      <w:r w:rsidR="00123E49">
        <w:rPr>
          <w:rFonts w:ascii="Simplified Arabic" w:hAnsi="Simplified Arabic" w:cs="Simplified Arabic" w:hint="cs"/>
          <w:sz w:val="26"/>
          <w:szCs w:val="26"/>
          <w:rtl/>
        </w:rPr>
        <w:t xml:space="preserve">رواية الخلق تبنّاها عالمٌ إنجيليٌّ أو أكثر. وتبدأ هذه القائمة بالرأي الأكثر حرفيّةً، ثم تنتقل إلى الأقل حرفيّة بصورة تدريجيّة. </w:t>
      </w:r>
    </w:p>
    <w:p w14:paraId="5E9A2A61" w14:textId="1EA3F41B" w:rsidR="005266BC" w:rsidRPr="00123E49" w:rsidRDefault="00123E49" w:rsidP="00123E49">
      <w:pPr>
        <w:tabs>
          <w:tab w:val="left" w:pos="540"/>
        </w:tabs>
        <w:bidi/>
        <w:spacing w:line="240" w:lineRule="auto"/>
        <w:rPr>
          <w:rFonts w:ascii="Simplified Arabic" w:hAnsi="Simplified Arabic" w:cs="Simplified Arabic"/>
          <w:sz w:val="26"/>
          <w:szCs w:val="26"/>
        </w:rPr>
      </w:pPr>
      <w:r w:rsidRPr="00123E49">
        <w:rPr>
          <w:rFonts w:ascii="Simplified Arabic" w:hAnsi="Simplified Arabic" w:cs="Simplified Arabic"/>
          <w:sz w:val="26"/>
          <w:szCs w:val="26"/>
          <w:rtl/>
        </w:rPr>
        <w:t>1.</w:t>
      </w:r>
      <w:r w:rsidR="005266BC" w:rsidRPr="00123E49">
        <w:rPr>
          <w:rFonts w:ascii="Simplified Arabic" w:hAnsi="Simplified Arabic" w:cs="Simplified Arabic"/>
          <w:sz w:val="26"/>
          <w:szCs w:val="26"/>
        </w:rPr>
        <w:tab/>
      </w:r>
      <w:r w:rsidRPr="00123E49">
        <w:rPr>
          <w:rFonts w:ascii="Simplified Arabic" w:hAnsi="Simplified Arabic" w:cs="Simplified Arabic"/>
          <w:b/>
          <w:bCs/>
          <w:sz w:val="26"/>
          <w:szCs w:val="26"/>
          <w:rtl/>
        </w:rPr>
        <w:t>نظرة الأرض الفتية</w:t>
      </w:r>
      <w:r w:rsidRPr="00123E49">
        <w:rPr>
          <w:rFonts w:ascii="Simplified Arabic" w:hAnsi="Simplified Arabic" w:cs="Simplified Arabic"/>
          <w:sz w:val="26"/>
          <w:szCs w:val="26"/>
          <w:rtl/>
        </w:rPr>
        <w:t xml:space="preserve"> </w:t>
      </w:r>
    </w:p>
    <w:p w14:paraId="1A5E0F38" w14:textId="36B1E955" w:rsidR="005266BC" w:rsidRPr="00123E49" w:rsidRDefault="00123E49" w:rsidP="00123E49">
      <w:pPr>
        <w:pStyle w:val="Quote"/>
        <w:tabs>
          <w:tab w:val="left" w:pos="540"/>
        </w:tabs>
        <w:bidi/>
        <w:rPr>
          <w:rFonts w:ascii="Simplified Arabic" w:hAnsi="Simplified Arabic" w:cs="Simplified Arabic"/>
          <w:i/>
          <w:iCs w:val="0"/>
          <w:color w:val="C00000"/>
          <w:sz w:val="26"/>
          <w:szCs w:val="26"/>
        </w:rPr>
      </w:pPr>
      <w:r w:rsidRPr="00123E49">
        <w:rPr>
          <w:rFonts w:ascii="Simplified Arabic" w:hAnsi="Simplified Arabic" w:cs="Simplified Arabic" w:hint="cs"/>
          <w:i/>
          <w:iCs w:val="0"/>
          <w:color w:val="C00000"/>
          <w:sz w:val="26"/>
          <w:szCs w:val="26"/>
          <w:rtl/>
        </w:rPr>
        <w:t>هذا هو الرأي</w:t>
      </w:r>
      <w:r>
        <w:rPr>
          <w:rFonts w:ascii="Simplified Arabic" w:hAnsi="Simplified Arabic" w:cs="Simplified Arabic" w:hint="cs"/>
          <w:i/>
          <w:iCs w:val="0"/>
          <w:color w:val="C00000"/>
          <w:sz w:val="26"/>
          <w:szCs w:val="26"/>
          <w:rtl/>
        </w:rPr>
        <w:t xml:space="preserve"> التقليدي بشأن الخلق. بحسب هذا الرأي، خلق الله كلَّ شيءٍ في ستّة أيّام حرفيّة متتالية، بدءًا بتكوين 1: 1. تصوِّر الآية 2 الأرض في مرحلتها غير المكتملة، قبل أن يكون الله قد شكَّل السماء والأرض وملأهما (في الآية 3 وما يليها). يُعتقَد بأن هذا الخلق الأوّل قد حدث قبل بضعة آلافٍ من السنين (وليس ملايين السنين). </w:t>
      </w:r>
    </w:p>
    <w:p w14:paraId="307623D4" w14:textId="56FD07D8" w:rsidR="00946A6A" w:rsidRPr="00123E49" w:rsidRDefault="00123E49" w:rsidP="00123E49">
      <w:pPr>
        <w:tabs>
          <w:tab w:val="left" w:pos="540"/>
        </w:tabs>
        <w:bidi/>
        <w:spacing w:line="240" w:lineRule="auto"/>
        <w:rPr>
          <w:rFonts w:ascii="Simplified Arabic" w:hAnsi="Simplified Arabic" w:cs="Simplified Arabic"/>
          <w:sz w:val="26"/>
          <w:szCs w:val="26"/>
        </w:rPr>
      </w:pPr>
      <w:r w:rsidRPr="00123E49">
        <w:rPr>
          <w:rFonts w:ascii="Simplified Arabic" w:hAnsi="Simplified Arabic" w:cs="Simplified Arabic"/>
          <w:sz w:val="26"/>
          <w:szCs w:val="26"/>
          <w:rtl/>
        </w:rPr>
        <w:t>2.</w:t>
      </w:r>
      <w:r w:rsidR="00946A6A" w:rsidRPr="00123E49">
        <w:rPr>
          <w:rFonts w:ascii="Simplified Arabic" w:hAnsi="Simplified Arabic" w:cs="Simplified Arabic"/>
          <w:sz w:val="26"/>
          <w:szCs w:val="26"/>
        </w:rPr>
        <w:tab/>
      </w:r>
      <w:r w:rsidRPr="00123E49">
        <w:rPr>
          <w:rFonts w:ascii="Simplified Arabic" w:hAnsi="Simplified Arabic" w:cs="Simplified Arabic"/>
          <w:b/>
          <w:bCs/>
          <w:sz w:val="26"/>
          <w:szCs w:val="26"/>
          <w:rtl/>
        </w:rPr>
        <w:t>نظرية الفجوة</w:t>
      </w:r>
    </w:p>
    <w:p w14:paraId="757C2700" w14:textId="4C32845B" w:rsidR="00946A6A" w:rsidRPr="00123E49" w:rsidRDefault="00123E49" w:rsidP="00123E49">
      <w:pPr>
        <w:pStyle w:val="Quote"/>
        <w:bidi/>
        <w:rPr>
          <w:rFonts w:ascii="Simplified Arabic" w:hAnsi="Simplified Arabic" w:cs="Simplified Arabic"/>
          <w:i/>
          <w:iCs w:val="0"/>
          <w:color w:val="C00000"/>
          <w:sz w:val="26"/>
          <w:szCs w:val="26"/>
        </w:rPr>
      </w:pPr>
      <w:r>
        <w:rPr>
          <w:rFonts w:ascii="Simplified Arabic" w:hAnsi="Simplified Arabic" w:cs="Simplified Arabic" w:hint="cs"/>
          <w:i/>
          <w:iCs w:val="0"/>
          <w:color w:val="C00000"/>
          <w:sz w:val="26"/>
          <w:szCs w:val="26"/>
          <w:rtl/>
        </w:rPr>
        <w:t>هذا رأيٌ حرفيّ بدرجة معقولة بشأن الخلق، إلا أنّه يفترض وجود فجوة زمنية (ربما تمتدّ إلى بلايين السنين) ما بين الخلق الأصلي في تكوين 1: 1 وما يُرى في الآية 2. يُفترَض في هذه النظرية أن الآية 2 تصوِّر "أرضًا مُدانة" نتيجةً لتمرُّد الشيطان، ولا تصوِّر الحالة الأولى لخلق الله، كما تُفهَم في "نظرة الأرض الفتيّة". ولذا، فإنّه بدءًا بالآية 3، نلاحظ إعادة خلقٍ من جديد في ستّة أيّام</w:t>
      </w:r>
      <w:r w:rsidR="00E26173">
        <w:rPr>
          <w:rFonts w:ascii="Simplified Arabic" w:hAnsi="Simplified Arabic" w:cs="Simplified Arabic" w:hint="cs"/>
          <w:i/>
          <w:iCs w:val="0"/>
          <w:color w:val="C00000"/>
          <w:sz w:val="26"/>
          <w:szCs w:val="26"/>
          <w:rtl/>
        </w:rPr>
        <w:t xml:space="preserve"> حرفيّة</w:t>
      </w:r>
      <w:r>
        <w:rPr>
          <w:rFonts w:ascii="Simplified Arabic" w:hAnsi="Simplified Arabic" w:cs="Simplified Arabic" w:hint="cs"/>
          <w:i/>
          <w:iCs w:val="0"/>
          <w:color w:val="C00000"/>
          <w:sz w:val="26"/>
          <w:szCs w:val="26"/>
          <w:rtl/>
        </w:rPr>
        <w:t xml:space="preserve">. </w:t>
      </w:r>
    </w:p>
    <w:p w14:paraId="58DD6A68" w14:textId="2F71B505" w:rsidR="00946A6A" w:rsidRPr="00123E49" w:rsidRDefault="00123E49" w:rsidP="00123E49">
      <w:pPr>
        <w:tabs>
          <w:tab w:val="left" w:pos="540"/>
        </w:tabs>
        <w:bidi/>
        <w:spacing w:line="240" w:lineRule="auto"/>
        <w:rPr>
          <w:rFonts w:ascii="Simplified Arabic" w:hAnsi="Simplified Arabic" w:cs="Simplified Arabic"/>
          <w:sz w:val="26"/>
          <w:szCs w:val="26"/>
        </w:rPr>
      </w:pPr>
      <w:r w:rsidRPr="00123E49">
        <w:rPr>
          <w:rFonts w:ascii="Simplified Arabic" w:hAnsi="Simplified Arabic" w:cs="Simplified Arabic"/>
          <w:sz w:val="26"/>
          <w:szCs w:val="26"/>
          <w:rtl/>
        </w:rPr>
        <w:lastRenderedPageBreak/>
        <w:t>3.</w:t>
      </w:r>
      <w:r w:rsidR="00946A6A" w:rsidRPr="00123E49">
        <w:rPr>
          <w:rFonts w:ascii="Simplified Arabic" w:hAnsi="Simplified Arabic" w:cs="Simplified Arabic"/>
          <w:sz w:val="26"/>
          <w:szCs w:val="26"/>
        </w:rPr>
        <w:tab/>
      </w:r>
      <w:r w:rsidRPr="00673151">
        <w:rPr>
          <w:rFonts w:ascii="Simplified Arabic" w:hAnsi="Simplified Arabic" w:cs="Simplified Arabic"/>
          <w:b/>
          <w:bCs/>
          <w:sz w:val="26"/>
          <w:szCs w:val="26"/>
          <w:rtl/>
        </w:rPr>
        <w:t>نظرية فوضى</w:t>
      </w:r>
      <w:r w:rsidR="00E26173">
        <w:rPr>
          <w:rFonts w:ascii="Simplified Arabic" w:hAnsi="Simplified Arabic" w:cs="Simplified Arabic" w:hint="cs"/>
          <w:b/>
          <w:bCs/>
          <w:sz w:val="26"/>
          <w:szCs w:val="26"/>
          <w:rtl/>
        </w:rPr>
        <w:t xml:space="preserve"> ما</w:t>
      </w:r>
      <w:r w:rsidRPr="00673151">
        <w:rPr>
          <w:rFonts w:ascii="Simplified Arabic" w:hAnsi="Simplified Arabic" w:cs="Simplified Arabic"/>
          <w:b/>
          <w:bCs/>
          <w:sz w:val="26"/>
          <w:szCs w:val="26"/>
          <w:rtl/>
        </w:rPr>
        <w:t xml:space="preserve"> قبل الخلق</w:t>
      </w:r>
      <w:r w:rsidRPr="00123E49">
        <w:rPr>
          <w:rFonts w:ascii="Simplified Arabic" w:hAnsi="Simplified Arabic" w:cs="Simplified Arabic"/>
          <w:sz w:val="26"/>
          <w:szCs w:val="26"/>
          <w:rtl/>
        </w:rPr>
        <w:t xml:space="preserve"> </w:t>
      </w:r>
    </w:p>
    <w:p w14:paraId="3E8BA38A" w14:textId="058BE8EA" w:rsidR="00946A6A" w:rsidRPr="00CD4BE9" w:rsidRDefault="00CD4BE9" w:rsidP="00CD4BE9">
      <w:pPr>
        <w:pStyle w:val="Quote"/>
        <w:bidi/>
        <w:rPr>
          <w:rFonts w:ascii="Simplified Arabic" w:hAnsi="Simplified Arabic" w:cs="Simplified Arabic"/>
          <w:i/>
          <w:iCs w:val="0"/>
          <w:color w:val="C00000"/>
          <w:sz w:val="26"/>
          <w:szCs w:val="26"/>
        </w:rPr>
      </w:pPr>
      <w:r w:rsidRPr="00CD4BE9">
        <w:rPr>
          <w:rFonts w:ascii="Simplified Arabic" w:hAnsi="Simplified Arabic" w:cs="Simplified Arabic" w:hint="cs"/>
          <w:i/>
          <w:iCs w:val="0"/>
          <w:color w:val="C00000"/>
          <w:sz w:val="26"/>
          <w:szCs w:val="26"/>
          <w:rtl/>
        </w:rPr>
        <w:t xml:space="preserve">بحسب </w:t>
      </w:r>
      <w:r>
        <w:rPr>
          <w:rFonts w:ascii="Simplified Arabic" w:hAnsi="Simplified Arabic" w:cs="Simplified Arabic" w:hint="cs"/>
          <w:i/>
          <w:iCs w:val="0"/>
          <w:color w:val="C00000"/>
          <w:sz w:val="26"/>
          <w:szCs w:val="26"/>
          <w:rtl/>
        </w:rPr>
        <w:t xml:space="preserve">هذه النظريّة، يمثِّل تكوين 1: 1 مُلخَّصًا لكامل الأصحاح لا المرحلة الأولى في الخلق. </w:t>
      </w:r>
    </w:p>
    <w:p w14:paraId="59892D48" w14:textId="552F08CF" w:rsidR="00946A6A" w:rsidRPr="00123E49" w:rsidRDefault="00123E49" w:rsidP="00123E49">
      <w:pPr>
        <w:tabs>
          <w:tab w:val="left" w:pos="540"/>
        </w:tabs>
        <w:bidi/>
        <w:spacing w:line="240" w:lineRule="auto"/>
        <w:rPr>
          <w:rFonts w:ascii="Simplified Arabic" w:hAnsi="Simplified Arabic" w:cs="Simplified Arabic"/>
          <w:sz w:val="26"/>
          <w:szCs w:val="26"/>
        </w:rPr>
      </w:pPr>
      <w:r w:rsidRPr="00123E49">
        <w:rPr>
          <w:rFonts w:ascii="Simplified Arabic" w:hAnsi="Simplified Arabic" w:cs="Simplified Arabic"/>
          <w:sz w:val="26"/>
          <w:szCs w:val="26"/>
          <w:rtl/>
        </w:rPr>
        <w:t>4.</w:t>
      </w:r>
      <w:r w:rsidR="00946A6A" w:rsidRPr="00123E49">
        <w:rPr>
          <w:rFonts w:ascii="Simplified Arabic" w:hAnsi="Simplified Arabic" w:cs="Simplified Arabic"/>
          <w:sz w:val="26"/>
          <w:szCs w:val="26"/>
        </w:rPr>
        <w:tab/>
      </w:r>
      <w:r w:rsidRPr="00673151">
        <w:rPr>
          <w:rFonts w:ascii="Simplified Arabic" w:hAnsi="Simplified Arabic" w:cs="Simplified Arabic"/>
          <w:b/>
          <w:bCs/>
          <w:sz w:val="26"/>
          <w:szCs w:val="26"/>
          <w:rtl/>
        </w:rPr>
        <w:t>نظرة أرض الموعد</w:t>
      </w:r>
      <w:r w:rsidRPr="00123E49">
        <w:rPr>
          <w:rFonts w:ascii="Simplified Arabic" w:hAnsi="Simplified Arabic" w:cs="Simplified Arabic"/>
          <w:sz w:val="26"/>
          <w:szCs w:val="26"/>
          <w:rtl/>
        </w:rPr>
        <w:t xml:space="preserve"> </w:t>
      </w:r>
    </w:p>
    <w:p w14:paraId="106B8562" w14:textId="383A4706" w:rsidR="00946A6A" w:rsidRPr="00CD4BE9" w:rsidRDefault="00CD4BE9" w:rsidP="00CD4BE9">
      <w:pPr>
        <w:pStyle w:val="Quote"/>
        <w:bidi/>
        <w:rPr>
          <w:rFonts w:ascii="Simplified Arabic" w:hAnsi="Simplified Arabic" w:cs="Simplified Arabic"/>
          <w:i/>
          <w:iCs w:val="0"/>
          <w:color w:val="C00000"/>
          <w:sz w:val="26"/>
          <w:szCs w:val="26"/>
        </w:rPr>
      </w:pPr>
      <w:r w:rsidRPr="00CD4BE9">
        <w:rPr>
          <w:rFonts w:ascii="Simplified Arabic" w:hAnsi="Simplified Arabic" w:cs="Simplified Arabic" w:hint="cs"/>
          <w:i/>
          <w:iCs w:val="0"/>
          <w:color w:val="C00000"/>
          <w:sz w:val="26"/>
          <w:szCs w:val="26"/>
          <w:rtl/>
        </w:rPr>
        <w:t xml:space="preserve">بحسب </w:t>
      </w:r>
      <w:r>
        <w:rPr>
          <w:rFonts w:ascii="Simplified Arabic" w:hAnsi="Simplified Arabic" w:cs="Simplified Arabic" w:hint="cs"/>
          <w:i/>
          <w:iCs w:val="0"/>
          <w:color w:val="C00000"/>
          <w:sz w:val="26"/>
          <w:szCs w:val="26"/>
          <w:rtl/>
        </w:rPr>
        <w:t>هذا الرأي، يصوِّر تكوين 1: 1 خلق كامل الكون عبر ملايين السنوات (وربما بلايينها). تصف الآية 3 وما يلي عمل الله لتهيئة أرض الموعد (= جنة عدن) لإسرائيل. [الكلمة العبرية "إرص"</w:t>
      </w:r>
      <w:r w:rsidR="00E26173">
        <w:rPr>
          <w:rFonts w:ascii="Simplified Arabic" w:hAnsi="Simplified Arabic" w:cs="Simplified Arabic" w:hint="cs"/>
          <w:i/>
          <w:iCs w:val="0"/>
          <w:color w:val="C00000"/>
          <w:sz w:val="26"/>
          <w:szCs w:val="26"/>
          <w:rtl/>
        </w:rPr>
        <w:t xml:space="preserve"> </w:t>
      </w:r>
      <w:r>
        <w:rPr>
          <w:rFonts w:ascii="Simplified Arabic" w:hAnsi="Simplified Arabic" w:cs="Simplified Arabic" w:hint="cs"/>
          <w:i/>
          <w:iCs w:val="0"/>
          <w:color w:val="C00000"/>
          <w:sz w:val="26"/>
          <w:szCs w:val="26"/>
          <w:rtl/>
        </w:rPr>
        <w:t>(</w:t>
      </w:r>
      <w:r w:rsidR="00673151" w:rsidRPr="00673151">
        <w:rPr>
          <w:rFonts w:eastAsia="Calibri" w:cs="Ezra SIL"/>
          <w:i/>
          <w:sz w:val="20"/>
          <w:rtl/>
          <w:lang w:bidi="he-IL"/>
        </w:rPr>
        <w:t xml:space="preserve"> </w:t>
      </w:r>
      <w:r w:rsidR="00673151" w:rsidRPr="00E073B6">
        <w:rPr>
          <w:rFonts w:eastAsia="Calibri" w:cs="Ezra SIL"/>
          <w:i/>
          <w:sz w:val="20"/>
          <w:rtl/>
          <w:lang w:bidi="he-IL"/>
        </w:rPr>
        <w:t>אֶ֫רֶץ</w:t>
      </w:r>
      <w:r>
        <w:rPr>
          <w:rFonts w:ascii="Simplified Arabic" w:hAnsi="Simplified Arabic" w:cs="Simplified Arabic" w:hint="cs"/>
          <w:i/>
          <w:iCs w:val="0"/>
          <w:color w:val="C00000"/>
          <w:sz w:val="26"/>
          <w:szCs w:val="26"/>
          <w:rtl/>
        </w:rPr>
        <w:t>) يمكن أن تعني أرض أو قطعة أرض.]</w:t>
      </w:r>
    </w:p>
    <w:p w14:paraId="2317AFF7" w14:textId="3F57CE2D" w:rsidR="00946A6A" w:rsidRPr="00123E49" w:rsidRDefault="00123E49" w:rsidP="00123E49">
      <w:pPr>
        <w:tabs>
          <w:tab w:val="left" w:pos="540"/>
        </w:tabs>
        <w:bidi/>
        <w:spacing w:line="240" w:lineRule="auto"/>
        <w:rPr>
          <w:rFonts w:ascii="Simplified Arabic" w:hAnsi="Simplified Arabic" w:cs="Simplified Arabic"/>
          <w:sz w:val="26"/>
          <w:szCs w:val="26"/>
        </w:rPr>
      </w:pPr>
      <w:r w:rsidRPr="00123E49">
        <w:rPr>
          <w:rFonts w:ascii="Simplified Arabic" w:hAnsi="Simplified Arabic" w:cs="Simplified Arabic"/>
          <w:sz w:val="26"/>
          <w:szCs w:val="26"/>
          <w:rtl/>
        </w:rPr>
        <w:t>5.</w:t>
      </w:r>
      <w:r w:rsidR="00946A6A" w:rsidRPr="00123E49">
        <w:rPr>
          <w:rFonts w:ascii="Simplified Arabic" w:hAnsi="Simplified Arabic" w:cs="Simplified Arabic"/>
          <w:sz w:val="26"/>
          <w:szCs w:val="26"/>
        </w:rPr>
        <w:tab/>
      </w:r>
      <w:r w:rsidRPr="00673151">
        <w:rPr>
          <w:rFonts w:ascii="Simplified Arabic" w:hAnsi="Simplified Arabic" w:cs="Simplified Arabic"/>
          <w:b/>
          <w:bCs/>
          <w:sz w:val="26"/>
          <w:szCs w:val="26"/>
          <w:rtl/>
        </w:rPr>
        <w:t>آراء الأرض القديمة</w:t>
      </w:r>
      <w:r w:rsidRPr="00123E49">
        <w:rPr>
          <w:rFonts w:ascii="Simplified Arabic" w:hAnsi="Simplified Arabic" w:cs="Simplified Arabic"/>
          <w:sz w:val="26"/>
          <w:szCs w:val="26"/>
          <w:rtl/>
        </w:rPr>
        <w:t xml:space="preserve"> </w:t>
      </w:r>
    </w:p>
    <w:p w14:paraId="393BF570" w14:textId="69DDE5D4" w:rsidR="00946A6A" w:rsidRPr="00673151" w:rsidRDefault="00673151" w:rsidP="00673151">
      <w:pPr>
        <w:pStyle w:val="Quote"/>
        <w:bidi/>
        <w:rPr>
          <w:rFonts w:ascii="Simplified Arabic" w:hAnsi="Simplified Arabic" w:cs="Simplified Arabic"/>
          <w:i/>
          <w:iCs w:val="0"/>
          <w:color w:val="C00000"/>
          <w:sz w:val="26"/>
          <w:szCs w:val="26"/>
        </w:rPr>
      </w:pPr>
      <w:r>
        <w:rPr>
          <w:rFonts w:ascii="Simplified Arabic" w:hAnsi="Simplified Arabic" w:cs="Simplified Arabic" w:hint="cs"/>
          <w:i/>
          <w:iCs w:val="0"/>
          <w:color w:val="C00000"/>
          <w:sz w:val="26"/>
          <w:szCs w:val="26"/>
          <w:rtl/>
        </w:rPr>
        <w:t xml:space="preserve">ليست "الأيام" أيّامًا مُؤلَّفة من أربعٍ وعشرين ساعة. ولذا، فإن أسبوع الخلق المؤلَّف من "ستّة أيّام" يشمل ملايين السنين في الحقيقة. بحسب "رأي اليوم </w:t>
      </w:r>
      <w:r>
        <w:rPr>
          <w:rFonts w:ascii="Simplified Arabic" w:hAnsi="Simplified Arabic" w:cs="Simplified Arabic"/>
          <w:i/>
          <w:iCs w:val="0"/>
          <w:color w:val="C00000"/>
          <w:sz w:val="26"/>
          <w:szCs w:val="26"/>
          <w:rtl/>
        </w:rPr>
        <w:t>–</w:t>
      </w:r>
      <w:r>
        <w:rPr>
          <w:rFonts w:ascii="Simplified Arabic" w:hAnsi="Simplified Arabic" w:cs="Simplified Arabic" w:hint="cs"/>
          <w:i/>
          <w:iCs w:val="0"/>
          <w:color w:val="C00000"/>
          <w:sz w:val="26"/>
          <w:szCs w:val="26"/>
          <w:rtl/>
        </w:rPr>
        <w:t xml:space="preserve"> حقبة"، يمثِّل كلُّ يومٍ ملايين السنوات. وثمة رأي مرتبط (يُدعى "نظرة اليوم المتقطع </w:t>
      </w:r>
      <w:r>
        <w:rPr>
          <w:rFonts w:ascii="Simplified Arabic" w:hAnsi="Simplified Arabic" w:cs="Simplified Arabic"/>
          <w:i/>
          <w:iCs w:val="0"/>
          <w:color w:val="C00000"/>
          <w:sz w:val="26"/>
          <w:szCs w:val="26"/>
          <w:rtl/>
        </w:rPr>
        <w:t>–</w:t>
      </w:r>
      <w:r>
        <w:rPr>
          <w:rFonts w:ascii="Simplified Arabic" w:hAnsi="Simplified Arabic" w:cs="Simplified Arabic" w:hint="cs"/>
          <w:i/>
          <w:iCs w:val="0"/>
          <w:color w:val="C00000"/>
          <w:sz w:val="26"/>
          <w:szCs w:val="26"/>
          <w:rtl/>
        </w:rPr>
        <w:t xml:space="preserve"> الحقبة") يرى أن كلّ يومٍ يتألَّف من أربعٍ وعشرين ساعة، ولكنّ هذه الأيّام مفصولة بملايين السنين بين كلّ يومين متتاليين. </w:t>
      </w:r>
    </w:p>
    <w:p w14:paraId="3DBAA05B" w14:textId="601725C8" w:rsidR="00946A6A" w:rsidRPr="00123E49" w:rsidRDefault="00123E49" w:rsidP="00123E49">
      <w:pPr>
        <w:tabs>
          <w:tab w:val="left" w:pos="540"/>
        </w:tabs>
        <w:bidi/>
        <w:spacing w:line="240" w:lineRule="auto"/>
        <w:rPr>
          <w:rFonts w:ascii="Simplified Arabic" w:hAnsi="Simplified Arabic" w:cs="Simplified Arabic"/>
          <w:sz w:val="26"/>
          <w:szCs w:val="26"/>
        </w:rPr>
      </w:pPr>
      <w:r w:rsidRPr="00123E49">
        <w:rPr>
          <w:rFonts w:ascii="Simplified Arabic" w:hAnsi="Simplified Arabic" w:cs="Simplified Arabic"/>
          <w:sz w:val="26"/>
          <w:szCs w:val="26"/>
          <w:rtl/>
        </w:rPr>
        <w:t>6.</w:t>
      </w:r>
      <w:r w:rsidR="00946A6A" w:rsidRPr="00123E49">
        <w:rPr>
          <w:rFonts w:ascii="Simplified Arabic" w:hAnsi="Simplified Arabic" w:cs="Simplified Arabic"/>
          <w:sz w:val="26"/>
          <w:szCs w:val="26"/>
        </w:rPr>
        <w:tab/>
      </w:r>
      <w:r w:rsidRPr="00673151">
        <w:rPr>
          <w:rFonts w:ascii="Simplified Arabic" w:hAnsi="Simplified Arabic" w:cs="Simplified Arabic"/>
          <w:b/>
          <w:bCs/>
          <w:sz w:val="26"/>
          <w:szCs w:val="26"/>
          <w:rtl/>
        </w:rPr>
        <w:t>آراء الأيّام المجازيّة</w:t>
      </w:r>
      <w:r w:rsidRPr="00123E49">
        <w:rPr>
          <w:rFonts w:ascii="Simplified Arabic" w:hAnsi="Simplified Arabic" w:cs="Simplified Arabic"/>
          <w:sz w:val="26"/>
          <w:szCs w:val="26"/>
          <w:rtl/>
        </w:rPr>
        <w:t xml:space="preserve"> </w:t>
      </w:r>
    </w:p>
    <w:p w14:paraId="6500B75F" w14:textId="50E5A578" w:rsidR="00946A6A" w:rsidRPr="00673151" w:rsidRDefault="00673151" w:rsidP="00673151">
      <w:pPr>
        <w:pStyle w:val="Quote"/>
        <w:bidi/>
        <w:rPr>
          <w:rFonts w:ascii="Simplified Arabic" w:hAnsi="Simplified Arabic" w:cs="Simplified Arabic"/>
          <w:i/>
          <w:iCs w:val="0"/>
          <w:color w:val="C00000"/>
          <w:sz w:val="26"/>
          <w:szCs w:val="26"/>
        </w:rPr>
      </w:pPr>
      <w:r w:rsidRPr="00673151">
        <w:rPr>
          <w:rFonts w:ascii="Simplified Arabic" w:hAnsi="Simplified Arabic" w:cs="Simplified Arabic" w:hint="cs"/>
          <w:i/>
          <w:iCs w:val="0"/>
          <w:color w:val="C00000"/>
          <w:sz w:val="26"/>
          <w:szCs w:val="26"/>
          <w:rtl/>
        </w:rPr>
        <w:t>يعتمد</w:t>
      </w:r>
      <w:r>
        <w:rPr>
          <w:rFonts w:ascii="Simplified Arabic" w:hAnsi="Simplified Arabic" w:cs="Simplified Arabic" w:hint="cs"/>
          <w:i/>
          <w:iCs w:val="0"/>
          <w:color w:val="C00000"/>
          <w:sz w:val="26"/>
          <w:szCs w:val="26"/>
          <w:rtl/>
        </w:rPr>
        <w:t xml:space="preserve"> هذا النهج على التحليل الأدبي لفهم أيّام الأسبوع بمعنى مجازيّ. يعتقد أحد أشكال هذا الموقف ("رأي الإطار") أن</w:t>
      </w:r>
      <w:r w:rsidR="00A17686">
        <w:rPr>
          <w:rFonts w:ascii="Simplified Arabic" w:hAnsi="Simplified Arabic" w:cs="Simplified Arabic" w:hint="cs"/>
          <w:i/>
          <w:iCs w:val="0"/>
          <w:color w:val="C00000"/>
          <w:sz w:val="26"/>
          <w:szCs w:val="26"/>
          <w:rtl/>
        </w:rPr>
        <w:t>ّ</w:t>
      </w:r>
      <w:r>
        <w:rPr>
          <w:rFonts w:ascii="Simplified Arabic" w:hAnsi="Simplified Arabic" w:cs="Simplified Arabic" w:hint="cs"/>
          <w:i/>
          <w:iCs w:val="0"/>
          <w:color w:val="C00000"/>
          <w:sz w:val="26"/>
          <w:szCs w:val="26"/>
          <w:rtl/>
        </w:rPr>
        <w:t xml:space="preserve"> الأيّام ليست أيّامًا حرفيّة (من 24 ساعة)، ولا هي متسلسلة، بل تُستخدَم هذه الأيّام لتقديم </w:t>
      </w:r>
      <w:r w:rsidR="008122D5">
        <w:rPr>
          <w:rFonts w:ascii="Simplified Arabic" w:hAnsi="Simplified Arabic" w:cs="Simplified Arabic" w:hint="cs"/>
          <w:i/>
          <w:iCs w:val="0"/>
          <w:color w:val="C00000"/>
          <w:sz w:val="26"/>
          <w:szCs w:val="26"/>
          <w:rtl/>
        </w:rPr>
        <w:t>فكرٍ لاهوتيّ</w:t>
      </w:r>
      <w:r>
        <w:rPr>
          <w:rFonts w:ascii="Simplified Arabic" w:hAnsi="Simplified Arabic" w:cs="Simplified Arabic" w:hint="cs"/>
          <w:i/>
          <w:iCs w:val="0"/>
          <w:color w:val="C00000"/>
          <w:sz w:val="26"/>
          <w:szCs w:val="26"/>
          <w:rtl/>
        </w:rPr>
        <w:t xml:space="preserve">. ويعبِّر آخرون عن آراء شبيهة ("رأي اليوم الأدبي" و"رأي الأيام المتناظرة"). </w:t>
      </w:r>
    </w:p>
    <w:p w14:paraId="4475018F" w14:textId="089A6BB8" w:rsidR="00946A6A" w:rsidRPr="00123E49" w:rsidRDefault="00123E49" w:rsidP="00123E49">
      <w:pPr>
        <w:tabs>
          <w:tab w:val="left" w:pos="540"/>
        </w:tabs>
        <w:bidi/>
        <w:spacing w:line="240" w:lineRule="auto"/>
        <w:rPr>
          <w:rFonts w:ascii="Simplified Arabic" w:hAnsi="Simplified Arabic" w:cs="Simplified Arabic"/>
          <w:sz w:val="26"/>
          <w:szCs w:val="26"/>
        </w:rPr>
      </w:pPr>
      <w:r w:rsidRPr="00123E49">
        <w:rPr>
          <w:rFonts w:ascii="Simplified Arabic" w:hAnsi="Simplified Arabic" w:cs="Simplified Arabic"/>
          <w:sz w:val="26"/>
          <w:szCs w:val="26"/>
          <w:rtl/>
        </w:rPr>
        <w:t>7.</w:t>
      </w:r>
      <w:r w:rsidR="00946A6A" w:rsidRPr="00123E49">
        <w:rPr>
          <w:rFonts w:ascii="Simplified Arabic" w:hAnsi="Simplified Arabic" w:cs="Simplified Arabic"/>
          <w:sz w:val="26"/>
          <w:szCs w:val="26"/>
        </w:rPr>
        <w:tab/>
      </w:r>
      <w:r w:rsidRPr="00673151">
        <w:rPr>
          <w:rFonts w:ascii="Simplified Arabic" w:hAnsi="Simplified Arabic" w:cs="Simplified Arabic"/>
          <w:b/>
          <w:bCs/>
          <w:sz w:val="26"/>
          <w:szCs w:val="26"/>
          <w:rtl/>
        </w:rPr>
        <w:t>رأي الهيكل الكوني</w:t>
      </w:r>
      <w:r w:rsidRPr="00123E49">
        <w:rPr>
          <w:rFonts w:ascii="Simplified Arabic" w:hAnsi="Simplified Arabic" w:cs="Simplified Arabic"/>
          <w:sz w:val="26"/>
          <w:szCs w:val="26"/>
          <w:rtl/>
        </w:rPr>
        <w:t xml:space="preserve"> </w:t>
      </w:r>
    </w:p>
    <w:p w14:paraId="120E7B53" w14:textId="17DB2D59" w:rsidR="00946A6A" w:rsidRPr="00464648" w:rsidRDefault="00464648" w:rsidP="00673151">
      <w:pPr>
        <w:pStyle w:val="Quote"/>
        <w:bidi/>
        <w:rPr>
          <w:rFonts w:ascii="Simplified Arabic" w:hAnsi="Simplified Arabic" w:cs="Simplified Arabic"/>
          <w:i/>
          <w:iCs w:val="0"/>
          <w:color w:val="C00000"/>
          <w:sz w:val="26"/>
          <w:szCs w:val="26"/>
        </w:rPr>
      </w:pPr>
      <w:r w:rsidRPr="00464648">
        <w:rPr>
          <w:rFonts w:ascii="Simplified Arabic" w:hAnsi="Simplified Arabic" w:cs="Simplified Arabic" w:hint="cs"/>
          <w:i/>
          <w:iCs w:val="0"/>
          <w:color w:val="C00000"/>
          <w:sz w:val="26"/>
          <w:szCs w:val="26"/>
          <w:rtl/>
        </w:rPr>
        <w:t>بحسب هذا الرأي</w:t>
      </w:r>
      <w:r>
        <w:rPr>
          <w:rFonts w:ascii="Simplified Arabic" w:hAnsi="Simplified Arabic" w:cs="Simplified Arabic" w:hint="cs"/>
          <w:i/>
          <w:iCs w:val="0"/>
          <w:color w:val="C00000"/>
          <w:sz w:val="26"/>
          <w:szCs w:val="26"/>
          <w:rtl/>
        </w:rPr>
        <w:t>، يُفترَض أن تكوين 1-2 لا يتعلَّق بالخلق المادي، بل بالله الذي يعطي ويحدِّد وظيفةً لأشياء موجودة مُسبَقًا. يُعَد</w:t>
      </w:r>
      <w:r w:rsidR="00A17686">
        <w:rPr>
          <w:rFonts w:ascii="Simplified Arabic" w:hAnsi="Simplified Arabic" w:cs="Simplified Arabic" w:hint="cs"/>
          <w:i/>
          <w:iCs w:val="0"/>
          <w:color w:val="C00000"/>
          <w:sz w:val="26"/>
          <w:szCs w:val="26"/>
          <w:rtl/>
        </w:rPr>
        <w:t>ُّ</w:t>
      </w:r>
      <w:r>
        <w:rPr>
          <w:rFonts w:ascii="Simplified Arabic" w:hAnsi="Simplified Arabic" w:cs="Simplified Arabic" w:hint="cs"/>
          <w:i/>
          <w:iCs w:val="0"/>
          <w:color w:val="C00000"/>
          <w:sz w:val="26"/>
          <w:szCs w:val="26"/>
          <w:rtl/>
        </w:rPr>
        <w:t xml:space="preserve"> الفضاء الكوني ليكون بمثابة هيكلٍ لله سيحكم فيه. يعتمد هذا الرأي (الذي يعتنقه جون والتون) بصورة كبيرة على المقارنة مع كتابات الشرق الأدنى القديم. </w:t>
      </w:r>
    </w:p>
    <w:p w14:paraId="33AB501E" w14:textId="78B7F22B" w:rsidR="00946A6A" w:rsidRPr="00123E49" w:rsidRDefault="00123E49" w:rsidP="00123E49">
      <w:pPr>
        <w:tabs>
          <w:tab w:val="left" w:pos="540"/>
        </w:tabs>
        <w:bidi/>
        <w:spacing w:line="240" w:lineRule="auto"/>
        <w:rPr>
          <w:rFonts w:ascii="Simplified Arabic" w:hAnsi="Simplified Arabic" w:cs="Simplified Arabic"/>
          <w:sz w:val="26"/>
          <w:szCs w:val="26"/>
        </w:rPr>
      </w:pPr>
      <w:r w:rsidRPr="00123E49">
        <w:rPr>
          <w:rFonts w:ascii="Simplified Arabic" w:hAnsi="Simplified Arabic" w:cs="Simplified Arabic"/>
          <w:sz w:val="26"/>
          <w:szCs w:val="26"/>
          <w:rtl/>
        </w:rPr>
        <w:t>8.</w:t>
      </w:r>
      <w:r w:rsidR="00946A6A" w:rsidRPr="00123E49">
        <w:rPr>
          <w:rFonts w:ascii="Simplified Arabic" w:hAnsi="Simplified Arabic" w:cs="Simplified Arabic"/>
          <w:sz w:val="26"/>
          <w:szCs w:val="26"/>
        </w:rPr>
        <w:tab/>
      </w:r>
      <w:r w:rsidRPr="00464648">
        <w:rPr>
          <w:rFonts w:ascii="Simplified Arabic" w:hAnsi="Simplified Arabic" w:cs="Simplified Arabic"/>
          <w:b/>
          <w:bCs/>
          <w:sz w:val="26"/>
          <w:szCs w:val="26"/>
          <w:rtl/>
        </w:rPr>
        <w:t>رأي التطوُّر الإلهي</w:t>
      </w:r>
    </w:p>
    <w:p w14:paraId="0BB472B2" w14:textId="38E374DE" w:rsidR="00946A6A" w:rsidRPr="00464648" w:rsidRDefault="00464648" w:rsidP="00464648">
      <w:pPr>
        <w:pStyle w:val="Quote"/>
        <w:bidi/>
        <w:rPr>
          <w:i/>
          <w:iCs w:val="0"/>
          <w:color w:val="C00000"/>
          <w:rtl/>
          <w:lang w:bidi="ar-JO"/>
        </w:rPr>
      </w:pPr>
      <w:r>
        <w:rPr>
          <w:rFonts w:ascii="Simplified Arabic" w:hAnsi="Simplified Arabic" w:cs="Simplified Arabic" w:hint="cs"/>
          <w:i/>
          <w:iCs w:val="0"/>
          <w:color w:val="C00000"/>
          <w:sz w:val="26"/>
          <w:szCs w:val="26"/>
          <w:rtl/>
        </w:rPr>
        <w:t>هذا رأي يعتقد بالتطوُّر في ما يختصّ بالأصول</w:t>
      </w:r>
      <w:r w:rsidR="00411EFF">
        <w:rPr>
          <w:rFonts w:ascii="Simplified Arabic" w:hAnsi="Simplified Arabic" w:cs="Simplified Arabic" w:hint="cs"/>
          <w:i/>
          <w:iCs w:val="0"/>
          <w:color w:val="C00000"/>
          <w:sz w:val="26"/>
          <w:szCs w:val="26"/>
          <w:rtl/>
        </w:rPr>
        <w:t xml:space="preserve">، </w:t>
      </w:r>
      <w:r w:rsidR="00411EFF">
        <w:rPr>
          <w:rFonts w:ascii="Simplified Arabic" w:hAnsi="Simplified Arabic" w:cs="Simplified Arabic" w:hint="cs"/>
          <w:i/>
          <w:iCs w:val="0"/>
          <w:color w:val="C00000"/>
          <w:sz w:val="26"/>
          <w:szCs w:val="26"/>
          <w:rtl/>
          <w:lang w:bidi="ar-JO"/>
        </w:rPr>
        <w:t xml:space="preserve">ولكن بمشاركةِ الله وانخراطه. بحسب هذا الرأي، يُفترَض أن الله استخدم العمليات الطبيعية، أي التطوُّر ليخلق كلَّ شيءٍ (أي النجوم والأرض والنباتات والحيوانات والجنس البشري) عبر ملايين السنين. كثيرون من الذين يدافعون عن هذا الرأي (ولكن ليس جميعهم) يفهمون سفر التكوين بمعنى مجازي، وينكِرون آدم وحواء التاريخيّين. </w:t>
      </w:r>
    </w:p>
    <w:bookmarkEnd w:id="49"/>
    <w:p w14:paraId="534E942E" w14:textId="78435B54" w:rsidR="00E07E64" w:rsidRPr="00F05A86" w:rsidRDefault="00E07E64" w:rsidP="002D6C54">
      <w:pPr>
        <w:spacing w:line="240" w:lineRule="auto"/>
      </w:pPr>
    </w:p>
    <w:p w14:paraId="2A5A255C" w14:textId="77777777" w:rsidR="005F258D" w:rsidRDefault="00E41548" w:rsidP="005F258D">
      <w:pPr>
        <w:pStyle w:val="Heading2"/>
        <w:bidi/>
        <w:rPr>
          <w:rFonts w:ascii="Simplified Arabic" w:hAnsi="Simplified Arabic" w:cs="Simplified Arabic"/>
          <w:rtl/>
          <w14:ligatures w14:val="none"/>
        </w:rPr>
      </w:pPr>
      <w:r>
        <w:rPr>
          <w:rFonts w:ascii="Times New Roman" w:eastAsia="Calibri" w:hAnsi="Times New Roman"/>
          <w:strike/>
          <w:sz w:val="24"/>
          <w:szCs w:val="24"/>
        </w:rPr>
        <w:br w:type="page"/>
      </w:r>
      <w:bookmarkStart w:id="50" w:name="_Hlk178778051"/>
      <w:r w:rsidR="005F258D" w:rsidRPr="005F258D">
        <w:rPr>
          <w:rFonts w:ascii="Simplified Arabic" w:hAnsi="Simplified Arabic" w:cs="Simplified Arabic"/>
          <w:rtl/>
        </w:rPr>
        <w:lastRenderedPageBreak/>
        <w:t xml:space="preserve">الدرس 3: </w:t>
      </w:r>
      <w:r w:rsidR="005F258D" w:rsidRPr="005F258D">
        <w:rPr>
          <w:rFonts w:ascii="Simplified Arabic" w:hAnsi="Simplified Arabic" w:cs="Simplified Arabic"/>
          <w:b w:val="0"/>
          <w:rtl/>
          <w:lang w:bidi="ar-JO"/>
          <w14:ligatures w14:val="none"/>
        </w:rPr>
        <w:t>قصّة</w:t>
      </w:r>
      <w:r w:rsidR="005F258D" w:rsidRPr="005F258D">
        <w:rPr>
          <w:rFonts w:ascii="Simplified Arabic" w:hAnsi="Simplified Arabic" w:cs="Simplified Arabic"/>
          <w:rtl/>
          <w14:ligatures w14:val="none"/>
        </w:rPr>
        <w:t xml:space="preserve"> السقوط وانتشار الخطية والطوفان </w:t>
      </w:r>
    </w:p>
    <w:p w14:paraId="330874E4" w14:textId="0E10820F" w:rsidR="008D4481" w:rsidRPr="005F258D" w:rsidRDefault="005F258D" w:rsidP="005F258D">
      <w:pPr>
        <w:pStyle w:val="Heading2"/>
        <w:bidi/>
        <w:rPr>
          <w:rFonts w:ascii="Simplified Arabic" w:hAnsi="Simplified Arabic" w:cs="Simplified Arabic"/>
          <w:rtl/>
          <w:lang w:bidi="ar-JO"/>
        </w:rPr>
      </w:pPr>
      <w:r w:rsidRPr="005F258D">
        <w:rPr>
          <w:rFonts w:ascii="Simplified Arabic" w:hAnsi="Simplified Arabic" w:cs="Simplified Arabic"/>
          <w:rtl/>
          <w14:ligatures w14:val="none"/>
        </w:rPr>
        <w:t>(تكوين 2: 4: 11: 26)</w:t>
      </w:r>
    </w:p>
    <w:p w14:paraId="7F0CB07B" w14:textId="77777777" w:rsidR="00311C51" w:rsidRPr="007A4B15" w:rsidRDefault="00311C51"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kern w:val="0"/>
          <w:szCs w:val="24"/>
          <w14:ligatures w14:val="none"/>
        </w:rPr>
      </w:pPr>
    </w:p>
    <w:p w14:paraId="66792FA2" w14:textId="42A59108" w:rsidR="008D4481" w:rsidRPr="009D3B46" w:rsidRDefault="005F258D" w:rsidP="005F258D">
      <w:pPr>
        <w:pStyle w:val="Heading3"/>
        <w:bidi/>
        <w:spacing w:line="240" w:lineRule="auto"/>
        <w:rPr>
          <w:rFonts w:ascii="Simplified Arabic" w:hAnsi="Simplified Arabic" w:cs="Simplified Arabic"/>
          <w:lang w:val="fr-FR"/>
        </w:rPr>
      </w:pPr>
      <w:r w:rsidRPr="009D3B46">
        <w:rPr>
          <w:rFonts w:ascii="Simplified Arabic" w:hAnsi="Simplified Arabic" w:cs="Simplified Arabic"/>
          <w:rtl/>
          <w:lang w:val="fr-FR"/>
        </w:rPr>
        <w:t>مُقدِّمة الدرس</w:t>
      </w:r>
    </w:p>
    <w:p w14:paraId="07733F4B" w14:textId="20096A34" w:rsidR="009D3B46" w:rsidRPr="009D3B46" w:rsidRDefault="009D3B46" w:rsidP="00A04D56">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sidRPr="009D3B46">
        <w:rPr>
          <w:rFonts w:ascii="Simplified Arabic" w:eastAsia="Calibri" w:hAnsi="Simplified Arabic" w:cs="Simplified Arabic"/>
          <w:kern w:val="0"/>
          <w:sz w:val="26"/>
          <w:szCs w:val="26"/>
          <w:rtl/>
          <w14:ligatures w14:val="none"/>
        </w:rPr>
        <w:t>نظرنا في الدرس السابق إلى</w:t>
      </w:r>
      <w:r>
        <w:rPr>
          <w:rFonts w:ascii="Simplified Arabic" w:eastAsia="Calibri" w:hAnsi="Simplified Arabic" w:cs="Simplified Arabic" w:hint="cs"/>
          <w:kern w:val="0"/>
          <w:sz w:val="26"/>
          <w:szCs w:val="26"/>
          <w:rtl/>
          <w14:ligatures w14:val="none"/>
        </w:rPr>
        <w:t xml:space="preserve"> الرواية الكتابيّة للخلق الأصلي. خلق الله الخليقة كاملةً في ستّ</w:t>
      </w:r>
      <w:r w:rsidR="007A2814">
        <w:rPr>
          <w:rFonts w:ascii="Simplified Arabic" w:eastAsia="Calibri" w:hAnsi="Simplified Arabic" w:cs="Simplified Arabic" w:hint="cs"/>
          <w:kern w:val="0"/>
          <w:sz w:val="26"/>
          <w:szCs w:val="26"/>
          <w:rtl/>
          <w14:ligatures w14:val="none"/>
        </w:rPr>
        <w:t>ة</w:t>
      </w:r>
      <w:r>
        <w:rPr>
          <w:rFonts w:ascii="Simplified Arabic" w:eastAsia="Calibri" w:hAnsi="Simplified Arabic" w:cs="Simplified Arabic" w:hint="cs"/>
          <w:kern w:val="0"/>
          <w:sz w:val="26"/>
          <w:szCs w:val="26"/>
          <w:rtl/>
          <w14:ligatures w14:val="none"/>
        </w:rPr>
        <w:t xml:space="preserve"> أيّام فقط، ومن ثمّ أعطى الرجل الأوّل والمرأة الأولى مسؤولية أن يحكما ما كان قد خلقه ويتسلّطا عليه. سيكشف هذا الدرس عما </w:t>
      </w:r>
      <w:r w:rsidR="007A2814">
        <w:rPr>
          <w:rFonts w:ascii="Simplified Arabic" w:eastAsia="Calibri" w:hAnsi="Simplified Arabic" w:cs="Simplified Arabic" w:hint="cs"/>
          <w:kern w:val="0"/>
          <w:sz w:val="26"/>
          <w:szCs w:val="26"/>
          <w:rtl/>
          <w14:ligatures w14:val="none"/>
        </w:rPr>
        <w:t>حدث</w:t>
      </w:r>
      <w:r>
        <w:rPr>
          <w:rFonts w:ascii="Simplified Arabic" w:eastAsia="Calibri" w:hAnsi="Simplified Arabic" w:cs="Simplified Arabic" w:hint="cs"/>
          <w:kern w:val="0"/>
          <w:sz w:val="26"/>
          <w:szCs w:val="26"/>
          <w:rtl/>
          <w14:ligatures w14:val="none"/>
        </w:rPr>
        <w:t xml:space="preserve"> لتلك الخليقة الأصليّة. وبصورة مُحدّدة، دخلت الخطيّة </w:t>
      </w:r>
      <w:r w:rsidR="007A2814">
        <w:rPr>
          <w:rFonts w:ascii="Simplified Arabic" w:eastAsia="Calibri" w:hAnsi="Simplified Arabic" w:cs="Simplified Arabic" w:hint="cs"/>
          <w:kern w:val="0"/>
          <w:sz w:val="26"/>
          <w:szCs w:val="26"/>
          <w:rtl/>
          <w14:ligatures w14:val="none"/>
        </w:rPr>
        <w:t xml:space="preserve">من خلال </w:t>
      </w:r>
      <w:r>
        <w:rPr>
          <w:rFonts w:ascii="Simplified Arabic" w:eastAsia="Calibri" w:hAnsi="Simplified Arabic" w:cs="Simplified Arabic" w:hint="cs"/>
          <w:kern w:val="0"/>
          <w:sz w:val="26"/>
          <w:szCs w:val="26"/>
          <w:rtl/>
          <w14:ligatures w14:val="none"/>
        </w:rPr>
        <w:t>عصيان أوّل زوجَين، ممّا لوّث طبيعتهما وأفسد العالم الذي كانا يعيشان فيه. ونتيجةً لهذا، ماتا روحيًّا حين عصيا، وماتا جسديًّا في النهاية. طبيعة الخطية هذه التي صارت طبيعتهما انتقلت إلى كل الأجيال التالية. توثِّق الأصحاحات الرابع إلى السادس من سفر التكوين كيف انتشرت الخطية في الحضارة البشرية، مم</w:t>
      </w:r>
      <w:r w:rsidR="008A15CE">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ا أدّى إلى فساد أخلاقي وضلالٍ عن الله. وحتّى الطوفان الكوني الذي أباد كل</w:t>
      </w:r>
      <w:r w:rsidR="008A15CE">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البشر والحياة الحيوانيّة، إلّا م</w:t>
      </w:r>
      <w:r w:rsidR="008A15CE">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ن كان مع نوح في الفلك، لم يتمكَّن من تصحيح الوضع البشري. وفي الأجيال التي تلت نوح، ابتعد الجنس البشر</w:t>
      </w:r>
      <w:r w:rsidR="008A15CE">
        <w:rPr>
          <w:rFonts w:ascii="Simplified Arabic" w:eastAsia="Calibri" w:hAnsi="Simplified Arabic" w:cs="Simplified Arabic" w:hint="cs"/>
          <w:kern w:val="0"/>
          <w:sz w:val="26"/>
          <w:szCs w:val="26"/>
          <w:rtl/>
          <w14:ligatures w14:val="none"/>
        </w:rPr>
        <w:t>ي</w:t>
      </w:r>
      <w:r>
        <w:rPr>
          <w:rFonts w:ascii="Simplified Arabic" w:eastAsia="Calibri" w:hAnsi="Simplified Arabic" w:cs="Simplified Arabic" w:hint="cs"/>
          <w:kern w:val="0"/>
          <w:sz w:val="26"/>
          <w:szCs w:val="26"/>
          <w:rtl/>
          <w14:ligatures w14:val="none"/>
        </w:rPr>
        <w:t xml:space="preserve"> عن الله، فاصلًا نفسه عن بركات الله. </w:t>
      </w:r>
      <w:r w:rsidR="00A04D56">
        <w:rPr>
          <w:rFonts w:ascii="Simplified Arabic" w:eastAsia="Calibri" w:hAnsi="Simplified Arabic" w:cs="Simplified Arabic" w:hint="cs"/>
          <w:kern w:val="0"/>
          <w:sz w:val="26"/>
          <w:szCs w:val="26"/>
          <w:rtl/>
          <w14:ligatures w14:val="none"/>
        </w:rPr>
        <w:t xml:space="preserve">تمهِّد مادّة تكوين 2: 4-11 لمسرح الأحداث، وتشرح الحاجة إلى خلق أمّة جديدة بدءًا بإبراهيم. </w:t>
      </w:r>
    </w:p>
    <w:p w14:paraId="6FA99D44" w14:textId="77777777" w:rsidR="009D3B46" w:rsidRPr="006510ED" w:rsidRDefault="009D3B46" w:rsidP="009D3B46">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eastAsia="Calibri" w:cs="Times New Roman"/>
          <w:kern w:val="0"/>
          <w:szCs w:val="24"/>
          <w14:ligatures w14:val="none"/>
        </w:rPr>
      </w:pPr>
    </w:p>
    <w:p w14:paraId="7C2531F7" w14:textId="5DEACF38" w:rsidR="008D4481" w:rsidRPr="00A04D56" w:rsidRDefault="00A04D56" w:rsidP="00A04D56">
      <w:pPr>
        <w:pStyle w:val="Heading3"/>
        <w:bidi/>
        <w:spacing w:line="240" w:lineRule="auto"/>
        <w:rPr>
          <w:rFonts w:ascii="Simplified Arabic" w:hAnsi="Simplified Arabic" w:cs="Simplified Arabic"/>
        </w:rPr>
      </w:pPr>
      <w:r w:rsidRPr="00A04D56">
        <w:rPr>
          <w:rFonts w:ascii="Simplified Arabic" w:hAnsi="Simplified Arabic" w:cs="Simplified Arabic"/>
          <w:rtl/>
        </w:rPr>
        <w:t>مخطَّط الدرس</w:t>
      </w:r>
    </w:p>
    <w:p w14:paraId="5855F333" w14:textId="2A34A297" w:rsidR="00A04D56" w:rsidRDefault="00A04D56" w:rsidP="00A04D56">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r w:rsidRPr="00A04D56">
        <w:rPr>
          <w:rFonts w:ascii="Simplified Arabic" w:eastAsia="Calibri" w:hAnsi="Simplified Arabic" w:cs="Simplified Arabic"/>
          <w:kern w:val="0"/>
          <w:sz w:val="26"/>
          <w:szCs w:val="26"/>
          <w:rtl/>
          <w14:ligatures w14:val="none"/>
        </w:rPr>
        <w:t xml:space="preserve">الموضوع 1: </w:t>
      </w:r>
      <w:r w:rsidR="00F74644">
        <w:rPr>
          <w:rFonts w:ascii="Simplified Arabic" w:eastAsia="Calibri" w:hAnsi="Simplified Arabic" w:cs="Simplified Arabic" w:hint="cs"/>
          <w:kern w:val="0"/>
          <w:sz w:val="26"/>
          <w:szCs w:val="26"/>
          <w:rtl/>
          <w14:ligatures w14:val="none"/>
        </w:rPr>
        <w:t xml:space="preserve">لوحة توضيحيّة لتكوين 2: 4 </w:t>
      </w:r>
      <w:r w:rsidR="00F74644">
        <w:rPr>
          <w:rFonts w:ascii="Simplified Arabic" w:eastAsia="Calibri" w:hAnsi="Simplified Arabic" w:cs="Simplified Arabic"/>
          <w:kern w:val="0"/>
          <w:sz w:val="26"/>
          <w:szCs w:val="26"/>
          <w:rtl/>
          <w14:ligatures w14:val="none"/>
        </w:rPr>
        <w:t>–</w:t>
      </w:r>
      <w:r w:rsidR="00F74644">
        <w:rPr>
          <w:rFonts w:ascii="Simplified Arabic" w:eastAsia="Calibri" w:hAnsi="Simplified Arabic" w:cs="Simplified Arabic" w:hint="cs"/>
          <w:kern w:val="0"/>
          <w:sz w:val="26"/>
          <w:szCs w:val="26"/>
          <w:rtl/>
          <w14:ligatures w14:val="none"/>
        </w:rPr>
        <w:t xml:space="preserve"> 11: 26 </w:t>
      </w:r>
    </w:p>
    <w:p w14:paraId="07A4EB57" w14:textId="243C0337" w:rsidR="00F74644" w:rsidRPr="00A04D56" w:rsidRDefault="00F74644" w:rsidP="00F74644">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الموضوع 2: دخول الخطي</w:t>
      </w:r>
      <w:r w:rsidR="008A15CE">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ة وفساد الجنس البشري (تكوين 2: 4 </w:t>
      </w:r>
      <w:r>
        <w:rPr>
          <w:rFonts w:ascii="Simplified Arabic" w:eastAsia="Calibri" w:hAnsi="Simplified Arabic" w:cs="Simplified Arabic"/>
          <w:kern w:val="0"/>
          <w:sz w:val="26"/>
          <w:szCs w:val="26"/>
          <w:rtl/>
          <w14:ligatures w14:val="none"/>
        </w:rPr>
        <w:t>–</w:t>
      </w:r>
      <w:r>
        <w:rPr>
          <w:rFonts w:ascii="Simplified Arabic" w:eastAsia="Calibri" w:hAnsi="Simplified Arabic" w:cs="Simplified Arabic" w:hint="cs"/>
          <w:kern w:val="0"/>
          <w:sz w:val="26"/>
          <w:szCs w:val="26"/>
          <w:rtl/>
          <w14:ligatures w14:val="none"/>
        </w:rPr>
        <w:t xml:space="preserve"> 11: 26) </w:t>
      </w:r>
    </w:p>
    <w:p w14:paraId="39FAC1CC" w14:textId="04BE2D60" w:rsidR="008D4481" w:rsidRPr="00A04D56" w:rsidRDefault="00F74644" w:rsidP="00A04D56">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14:ligatures w14:val="none"/>
        </w:rPr>
      </w:pPr>
      <w:r>
        <w:rPr>
          <w:rFonts w:ascii="Simplified Arabic" w:eastAsia="Calibri" w:hAnsi="Simplified Arabic" w:cs="Simplified Arabic" w:hint="cs"/>
          <w:kern w:val="0"/>
          <w:sz w:val="26"/>
          <w:szCs w:val="26"/>
          <w:rtl/>
          <w14:ligatures w14:val="none"/>
        </w:rPr>
        <w:t xml:space="preserve">الموضوع 3: تاريخيّة قصّة الطوفان الكتابي </w:t>
      </w:r>
      <w:r w:rsidR="008D4481" w:rsidRPr="00A04D56">
        <w:rPr>
          <w:rFonts w:ascii="Simplified Arabic" w:eastAsia="Calibri" w:hAnsi="Simplified Arabic" w:cs="Simplified Arabic"/>
          <w:kern w:val="0"/>
          <w:sz w:val="26"/>
          <w:szCs w:val="26"/>
          <w14:ligatures w14:val="none"/>
        </w:rPr>
        <w:br/>
      </w:r>
    </w:p>
    <w:p w14:paraId="63E98CB1" w14:textId="2921C37A" w:rsidR="008D4481" w:rsidRPr="000F4D16" w:rsidRDefault="000F4D16" w:rsidP="000F4D16">
      <w:pPr>
        <w:pStyle w:val="Heading3"/>
        <w:bidi/>
        <w:spacing w:line="240" w:lineRule="auto"/>
        <w:rPr>
          <w:rFonts w:ascii="Simplified Arabic" w:hAnsi="Simplified Arabic" w:cs="Simplified Arabic"/>
          <w:lang w:val="fr-FR"/>
        </w:rPr>
      </w:pPr>
      <w:r w:rsidRPr="000F4D16">
        <w:rPr>
          <w:rFonts w:ascii="Simplified Arabic" w:hAnsi="Simplified Arabic" w:cs="Simplified Arabic"/>
          <w:rtl/>
          <w:lang w:val="fr-FR"/>
        </w:rPr>
        <w:t>أهداف الدرس</w:t>
      </w:r>
    </w:p>
    <w:p w14:paraId="11C75D7C" w14:textId="5FF3F92E" w:rsidR="008D4481" w:rsidRPr="000F4D16" w:rsidRDefault="000F4D16" w:rsidP="000F4D16">
      <w:pPr>
        <w:bidi/>
        <w:spacing w:before="120" w:after="80" w:line="240" w:lineRule="auto"/>
        <w:rPr>
          <w:rFonts w:ascii="Simplified Arabic" w:eastAsia="Calibri" w:hAnsi="Simplified Arabic" w:cs="Simplified Arabic"/>
          <w:kern w:val="0"/>
          <w:sz w:val="26"/>
          <w:szCs w:val="26"/>
          <w14:ligatures w14:val="none"/>
        </w:rPr>
      </w:pPr>
      <w:r w:rsidRPr="000F4D16">
        <w:rPr>
          <w:rFonts w:ascii="Simplified Arabic" w:eastAsia="Calibri" w:hAnsi="Simplified Arabic" w:cs="Simplified Arabic"/>
          <w:kern w:val="0"/>
          <w:sz w:val="26"/>
          <w:szCs w:val="26"/>
          <w:rtl/>
          <w14:ligatures w14:val="none"/>
        </w:rPr>
        <w:t xml:space="preserve">بانتهائك من دراسة هذا الدرس ستكون قادرًا على أن تعمل ما يلي: </w:t>
      </w:r>
    </w:p>
    <w:p w14:paraId="65EB9426" w14:textId="2D5422E8" w:rsidR="005A3B53" w:rsidRDefault="000F4D16" w:rsidP="000F4D16">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0F4D16">
        <w:rPr>
          <w:rFonts w:ascii="Simplified Arabic" w:eastAsia="Calibri" w:hAnsi="Simplified Arabic" w:cs="Simplified Arabic"/>
          <w:kern w:val="0"/>
          <w:sz w:val="26"/>
          <w:szCs w:val="26"/>
          <w:rtl/>
          <w14:ligatures w14:val="none"/>
        </w:rPr>
        <w:t xml:space="preserve">أن تشرح </w:t>
      </w:r>
      <w:r w:rsidR="00270560">
        <w:rPr>
          <w:rFonts w:ascii="Simplified Arabic" w:eastAsia="Calibri" w:hAnsi="Simplified Arabic" w:cs="Simplified Arabic" w:hint="cs"/>
          <w:kern w:val="0"/>
          <w:sz w:val="26"/>
          <w:szCs w:val="26"/>
          <w:rtl/>
          <w14:ligatures w14:val="none"/>
        </w:rPr>
        <w:t>كيف ظهرت الخطي</w:t>
      </w:r>
      <w:r w:rsidR="008A15CE">
        <w:rPr>
          <w:rFonts w:ascii="Simplified Arabic" w:eastAsia="Calibri" w:hAnsi="Simplified Arabic" w:cs="Simplified Arabic" w:hint="cs"/>
          <w:kern w:val="0"/>
          <w:sz w:val="26"/>
          <w:szCs w:val="26"/>
          <w:rtl/>
          <w14:ligatures w14:val="none"/>
        </w:rPr>
        <w:t>ّ</w:t>
      </w:r>
      <w:r w:rsidR="00270560">
        <w:rPr>
          <w:rFonts w:ascii="Simplified Arabic" w:eastAsia="Calibri" w:hAnsi="Simplified Arabic" w:cs="Simplified Arabic" w:hint="cs"/>
          <w:kern w:val="0"/>
          <w:sz w:val="26"/>
          <w:szCs w:val="26"/>
          <w:rtl/>
          <w14:ligatures w14:val="none"/>
        </w:rPr>
        <w:t xml:space="preserve">ة في الجنس البشري وكيف أثَّر هذا بطبيعة الإنسان والبيئة. </w:t>
      </w:r>
    </w:p>
    <w:p w14:paraId="3C87954C" w14:textId="0FCBF487" w:rsidR="00270560" w:rsidRDefault="00270560" w:rsidP="00270560">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Pr>
          <w:rFonts w:ascii="Simplified Arabic" w:eastAsia="Calibri" w:hAnsi="Simplified Arabic" w:cs="Simplified Arabic" w:hint="cs"/>
          <w:kern w:val="0"/>
          <w:sz w:val="26"/>
          <w:szCs w:val="26"/>
          <w:rtl/>
          <w14:ligatures w14:val="none"/>
        </w:rPr>
        <w:t xml:space="preserve">أن تفهم دور "الموت" في علاقته بخطيّة آدم، وكيف أعطى الله اليقين بأن الموت لم يكن المصير المحتوم للجنس البشري. </w:t>
      </w:r>
    </w:p>
    <w:p w14:paraId="27E9200E" w14:textId="121BADC5" w:rsidR="00270560" w:rsidRDefault="00270560" w:rsidP="00270560">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Pr>
          <w:rFonts w:ascii="Simplified Arabic" w:eastAsia="Calibri" w:hAnsi="Simplified Arabic" w:cs="Simplified Arabic" w:hint="cs"/>
          <w:kern w:val="0"/>
          <w:sz w:val="26"/>
          <w:szCs w:val="26"/>
          <w:rtl/>
          <w14:ligatures w14:val="none"/>
        </w:rPr>
        <w:lastRenderedPageBreak/>
        <w:t>أن تدافع عن تاريخيّة قصّة الطوفان الكتابي</w:t>
      </w:r>
      <w:r w:rsidR="008A15CE">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ة وتُشير إلى الدليل الذي يدعم حقيقة أنّه كان طوفانًا كونيًّا (وليس طوفانًا محليًّا فقط). </w:t>
      </w:r>
    </w:p>
    <w:p w14:paraId="355F44A1" w14:textId="6903B68A" w:rsidR="00270560" w:rsidRPr="000F4D16" w:rsidRDefault="00270560" w:rsidP="00270560">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Pr>
          <w:rFonts w:ascii="Simplified Arabic" w:eastAsia="Calibri" w:hAnsi="Simplified Arabic" w:cs="Simplified Arabic" w:hint="cs"/>
          <w:kern w:val="0"/>
          <w:sz w:val="26"/>
          <w:szCs w:val="26"/>
          <w:rtl/>
          <w14:ligatures w14:val="none"/>
        </w:rPr>
        <w:t>أن تشرح معنى وأهم</w:t>
      </w:r>
      <w:r w:rsidR="008A15CE">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ي</w:t>
      </w:r>
      <w:r w:rsidR="008A15CE">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ة ما </w:t>
      </w:r>
      <w:r w:rsidR="008A15CE">
        <w:rPr>
          <w:rFonts w:ascii="Simplified Arabic" w:eastAsia="Calibri" w:hAnsi="Simplified Arabic" w:cs="Simplified Arabic" w:hint="cs"/>
          <w:kern w:val="0"/>
          <w:sz w:val="26"/>
          <w:szCs w:val="26"/>
          <w:rtl/>
          <w14:ligatures w14:val="none"/>
        </w:rPr>
        <w:t>حصل</w:t>
      </w:r>
      <w:r>
        <w:rPr>
          <w:rFonts w:ascii="Simplified Arabic" w:eastAsia="Calibri" w:hAnsi="Simplified Arabic" w:cs="Simplified Arabic" w:hint="cs"/>
          <w:kern w:val="0"/>
          <w:sz w:val="26"/>
          <w:szCs w:val="26"/>
          <w:rtl/>
          <w14:ligatures w14:val="none"/>
        </w:rPr>
        <w:t xml:space="preserve"> في حدث برج بابل ولماذا كان ضروريًّا أن ي</w:t>
      </w:r>
      <w:r w:rsidR="008A15CE">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صد</w:t>
      </w:r>
      <w:r w:rsidR="008A15CE">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ر الله حكم</w:t>
      </w:r>
      <w:r w:rsidR="008A15CE">
        <w:rPr>
          <w:rFonts w:ascii="Simplified Arabic" w:eastAsia="Calibri" w:hAnsi="Simplified Arabic" w:cs="Simplified Arabic" w:hint="cs"/>
          <w:kern w:val="0"/>
          <w:sz w:val="26"/>
          <w:szCs w:val="26"/>
          <w:rtl/>
          <w14:ligatures w14:val="none"/>
        </w:rPr>
        <w:t>َ دينونةٍ</w:t>
      </w:r>
      <w:r>
        <w:rPr>
          <w:rFonts w:ascii="Simplified Arabic" w:eastAsia="Calibri" w:hAnsi="Simplified Arabic" w:cs="Simplified Arabic" w:hint="cs"/>
          <w:kern w:val="0"/>
          <w:sz w:val="26"/>
          <w:szCs w:val="26"/>
          <w:rtl/>
          <w14:ligatures w14:val="none"/>
        </w:rPr>
        <w:t xml:space="preserve"> على هذا المسعى البشري. </w:t>
      </w:r>
    </w:p>
    <w:p w14:paraId="5360F289" w14:textId="77777777" w:rsidR="008D4481" w:rsidRDefault="008D4481"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ind w:left="720"/>
        <w:contextualSpacing/>
        <w:rPr>
          <w:rFonts w:eastAsia="Calibri" w:cs="Times New Roman"/>
          <w:kern w:val="0"/>
          <w:szCs w:val="24"/>
          <w14:ligatures w14:val="none"/>
        </w:rPr>
      </w:pPr>
      <w:r>
        <w:rPr>
          <w:rFonts w:eastAsia="Calibri" w:cs="Times New Roman"/>
          <w:kern w:val="0"/>
          <w:szCs w:val="24"/>
          <w14:ligatures w14:val="none"/>
        </w:rPr>
        <w:br w:type="page"/>
      </w:r>
    </w:p>
    <w:p w14:paraId="01615081" w14:textId="00CA3A41" w:rsidR="007128B3" w:rsidRPr="00270560" w:rsidRDefault="00270560" w:rsidP="00270560">
      <w:pPr>
        <w:pStyle w:val="Heading3"/>
        <w:bidi/>
        <w:spacing w:line="240" w:lineRule="auto"/>
        <w:rPr>
          <w:rFonts w:ascii="Simplified Arabic" w:hAnsi="Simplified Arabic" w:cs="Simplified Arabic"/>
        </w:rPr>
      </w:pPr>
      <w:bookmarkStart w:id="51" w:name="_Hlk156396712"/>
      <w:r w:rsidRPr="00270560">
        <w:rPr>
          <w:rFonts w:ascii="Simplified Arabic" w:hAnsi="Simplified Arabic" w:cs="Simplified Arabic"/>
          <w:rtl/>
        </w:rPr>
        <w:lastRenderedPageBreak/>
        <w:t xml:space="preserve">الموضوع 1: </w:t>
      </w:r>
      <w:r w:rsidRPr="00270560">
        <w:rPr>
          <w:rFonts w:ascii="Simplified Arabic" w:eastAsia="Calibri" w:hAnsi="Simplified Arabic" w:cs="Simplified Arabic"/>
          <w:rtl/>
          <w14:ligatures w14:val="none"/>
        </w:rPr>
        <w:t>لوحة توضيحيّة لتكوين 2: 4 – 11: 26</w:t>
      </w:r>
    </w:p>
    <w:p w14:paraId="22553543" w14:textId="036DE803" w:rsidR="004F4762" w:rsidRPr="007A4B15" w:rsidRDefault="004F4762" w:rsidP="00270560">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bookmarkStart w:id="52" w:name="_Hlk157171418"/>
      <w:r w:rsidRPr="007A4B15">
        <w:rPr>
          <w:rFonts w:ascii="Verdana" w:eastAsia="Calibri" w:hAnsi="Verdana" w:cs="Times New Roman"/>
          <w:b/>
          <w:caps/>
          <w:noProof/>
          <w:color w:val="006699"/>
          <w:kern w:val="0"/>
          <w:sz w:val="21"/>
          <w:szCs w:val="24"/>
          <w14:ligatures w14:val="none"/>
        </w:rPr>
        <w:drawing>
          <wp:inline distT="0" distB="0" distL="0" distR="0" wp14:anchorId="3C647400" wp14:editId="74C2FFB6">
            <wp:extent cx="613692" cy="541464"/>
            <wp:effectExtent l="0" t="0" r="0" b="0"/>
            <wp:docPr id="1579806375" name="Picture 1579806375"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270560" w:rsidRPr="00270560">
        <w:rPr>
          <w:rFonts w:ascii="Verdana" w:eastAsia="Calibri" w:hAnsi="Verdana" w:cs="Times New Roman" w:hint="cs"/>
          <w:bCs/>
          <w:caps/>
          <w:color w:val="006699"/>
          <w:kern w:val="0"/>
          <w:sz w:val="21"/>
          <w:szCs w:val="24"/>
          <w:u w:val="single"/>
          <w:rtl/>
          <w14:ligatures w14:val="none"/>
        </w:rPr>
        <w:t>القراءة:</w:t>
      </w:r>
    </w:p>
    <w:p w14:paraId="39E90B54" w14:textId="0B783323" w:rsidR="004F4762" w:rsidRDefault="00270560" w:rsidP="00270560">
      <w:pPr>
        <w:pStyle w:val="ListParagraph"/>
        <w:numPr>
          <w:ilvl w:val="0"/>
          <w:numId w:val="21"/>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eastAsia="Calibri" w:cs="Times New Roman"/>
          <w:kern w:val="0"/>
          <w:szCs w:val="24"/>
          <w14:ligatures w14:val="none"/>
        </w:rPr>
      </w:pPr>
      <w:r>
        <w:rPr>
          <w:rFonts w:eastAsia="Calibri" w:cs="Times New Roman" w:hint="cs"/>
          <w:kern w:val="0"/>
          <w:szCs w:val="24"/>
          <w:rtl/>
          <w14:ligatures w14:val="none"/>
        </w:rPr>
        <w:t xml:space="preserve">اقرأ تكوين 2: 4 </w:t>
      </w:r>
      <w:r>
        <w:rPr>
          <w:rFonts w:eastAsia="Calibri" w:cs="Times New Roman"/>
          <w:kern w:val="0"/>
          <w:szCs w:val="24"/>
          <w:rtl/>
          <w14:ligatures w14:val="none"/>
        </w:rPr>
        <w:t>–</w:t>
      </w:r>
      <w:r>
        <w:rPr>
          <w:rFonts w:eastAsia="Calibri" w:cs="Times New Roman" w:hint="cs"/>
          <w:kern w:val="0"/>
          <w:szCs w:val="24"/>
          <w:rtl/>
          <w14:ligatures w14:val="none"/>
        </w:rPr>
        <w:t xml:space="preserve"> 4: 26 في كتابك المُقدَّس. </w:t>
      </w:r>
    </w:p>
    <w:bookmarkEnd w:id="50"/>
    <w:bookmarkEnd w:id="52"/>
    <w:p w14:paraId="172C07AD" w14:textId="1CADF751" w:rsidR="007128B3" w:rsidRPr="007128B3" w:rsidRDefault="00E84DB1" w:rsidP="002D6C54">
      <w:pPr>
        <w:spacing w:line="240" w:lineRule="auto"/>
      </w:pPr>
      <w:r w:rsidRPr="00E84DB1">
        <w:rPr>
          <w:noProof/>
        </w:rPr>
        <w:drawing>
          <wp:inline distT="0" distB="0" distL="0" distR="0" wp14:anchorId="58F5A1B6" wp14:editId="5D75E025">
            <wp:extent cx="5943600" cy="4275455"/>
            <wp:effectExtent l="0" t="0" r="0" b="0"/>
            <wp:docPr id="2052756740" name="Picture 1" descr="A diagram of two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56740" name="Picture 1" descr="A diagram of two people&#10;&#10;Description automatically generated"/>
                    <pic:cNvPicPr/>
                  </pic:nvPicPr>
                  <pic:blipFill>
                    <a:blip r:embed="rId22"/>
                    <a:stretch>
                      <a:fillRect/>
                    </a:stretch>
                  </pic:blipFill>
                  <pic:spPr>
                    <a:xfrm>
                      <a:off x="0" y="0"/>
                      <a:ext cx="5943600" cy="4275455"/>
                    </a:xfrm>
                    <a:prstGeom prst="rect">
                      <a:avLst/>
                    </a:prstGeom>
                  </pic:spPr>
                </pic:pic>
              </a:graphicData>
            </a:graphic>
          </wp:inline>
        </w:drawing>
      </w:r>
    </w:p>
    <w:p w14:paraId="1F9C0EF4" w14:textId="50AC2374" w:rsidR="006311FA" w:rsidRPr="00270560" w:rsidRDefault="00270560" w:rsidP="00270560">
      <w:pPr>
        <w:pStyle w:val="Heading3"/>
        <w:bidi/>
        <w:spacing w:line="240" w:lineRule="auto"/>
        <w:rPr>
          <w:rFonts w:ascii="Simplified Arabic" w:hAnsi="Simplified Arabic" w:cs="Simplified Arabic"/>
          <w:rtl/>
        </w:rPr>
      </w:pPr>
      <w:bookmarkStart w:id="53" w:name="_Hlk178778072"/>
      <w:r w:rsidRPr="00270560">
        <w:rPr>
          <w:rFonts w:ascii="Simplified Arabic" w:hAnsi="Simplified Arabic" w:cs="Simplified Arabic"/>
          <w:rtl/>
        </w:rPr>
        <w:t xml:space="preserve">الموضوع 2: </w:t>
      </w:r>
      <w:r w:rsidRPr="00270560">
        <w:rPr>
          <w:rFonts w:ascii="Simplified Arabic" w:eastAsia="Calibri" w:hAnsi="Simplified Arabic" w:cs="Simplified Arabic"/>
          <w:rtl/>
          <w14:ligatures w14:val="none"/>
        </w:rPr>
        <w:t>دخول الخطية وفساد الجنس البشري (تكوين 2: 4 – 11: 26)</w:t>
      </w:r>
    </w:p>
    <w:p w14:paraId="2F29EF48" w14:textId="77777777" w:rsidR="00270560" w:rsidRPr="00270560" w:rsidRDefault="00270560" w:rsidP="00270560">
      <w:pPr>
        <w:bidi/>
      </w:pPr>
    </w:p>
    <w:bookmarkEnd w:id="53"/>
    <w:p w14:paraId="21FB800F" w14:textId="77777777" w:rsidR="00E84DB1" w:rsidRPr="00270560" w:rsidRDefault="00E84DB1" w:rsidP="002D6C54">
      <w:pPr>
        <w:bidi/>
        <w:spacing w:after="0" w:line="240" w:lineRule="auto"/>
        <w:jc w:val="center"/>
        <w:rPr>
          <w:rFonts w:eastAsia="Times New Roman" w:cs="DecoType Naskh"/>
          <w:color w:val="A50021"/>
          <w:kern w:val="0"/>
          <w:szCs w:val="32"/>
          <w:highlight w:val="yellow"/>
          <w:rtl/>
          <w:lang w:bidi="ar-JO"/>
          <w14:ligatures w14:val="none"/>
        </w:rPr>
      </w:pPr>
      <w:r w:rsidRPr="00270560">
        <w:rPr>
          <w:rFonts w:eastAsia="Times New Roman" w:cs="DecoType Naskh" w:hint="cs"/>
          <w:color w:val="A50021"/>
          <w:kern w:val="0"/>
          <w:szCs w:val="32"/>
          <w:highlight w:val="yellow"/>
          <w:rtl/>
          <w:lang w:bidi="ar-JO"/>
          <w14:ligatures w14:val="none"/>
        </w:rPr>
        <w:t>الدرس الخامس</w:t>
      </w:r>
    </w:p>
    <w:p w14:paraId="486C72B3" w14:textId="77777777" w:rsidR="00E84DB1" w:rsidRPr="00270560" w:rsidRDefault="00E84DB1" w:rsidP="002D6C54">
      <w:pPr>
        <w:bidi/>
        <w:spacing w:after="0" w:line="240" w:lineRule="auto"/>
        <w:jc w:val="center"/>
        <w:rPr>
          <w:rFonts w:eastAsia="Times New Roman" w:cs="DecoType Naskh"/>
          <w:bCs/>
          <w:color w:val="000080"/>
          <w:kern w:val="0"/>
          <w:szCs w:val="36"/>
          <w:highlight w:val="yellow"/>
          <w:rtl/>
          <w:lang w:bidi="ar-JO"/>
          <w14:ligatures w14:val="none"/>
        </w:rPr>
      </w:pPr>
      <w:r w:rsidRPr="00270560">
        <w:rPr>
          <w:rFonts w:eastAsia="Times New Roman" w:cs="DecoType Naskh" w:hint="cs"/>
          <w:bCs/>
          <w:color w:val="000080"/>
          <w:kern w:val="0"/>
          <w:szCs w:val="36"/>
          <w:highlight w:val="yellow"/>
          <w:rtl/>
          <w:lang w:bidi="ar-JO"/>
          <w14:ligatures w14:val="none"/>
        </w:rPr>
        <w:t>دخول الخطية وانحطاط الجنس البشري</w:t>
      </w:r>
    </w:p>
    <w:p w14:paraId="03792029" w14:textId="77777777" w:rsidR="00E84DB1" w:rsidRPr="00E84DB1" w:rsidRDefault="00E84DB1" w:rsidP="002D6C54">
      <w:pPr>
        <w:bidi/>
        <w:spacing w:after="0" w:line="240" w:lineRule="auto"/>
        <w:jc w:val="center"/>
        <w:rPr>
          <w:rFonts w:eastAsia="Times New Roman" w:cs="Traditional Arabic Backslanted"/>
          <w:bCs/>
          <w:color w:val="auto"/>
          <w:kern w:val="0"/>
          <w:szCs w:val="28"/>
          <w:rtl/>
          <w:lang w:bidi="ar-JO"/>
          <w14:ligatures w14:val="none"/>
        </w:rPr>
      </w:pPr>
      <w:r w:rsidRPr="00270560">
        <w:rPr>
          <w:rFonts w:eastAsia="Times New Roman" w:cs="Traditional Arabic Backslanted" w:hint="cs"/>
          <w:bCs/>
          <w:color w:val="auto"/>
          <w:kern w:val="0"/>
          <w:szCs w:val="28"/>
          <w:highlight w:val="yellow"/>
          <w:rtl/>
          <w:lang w:bidi="ar-JO"/>
          <w14:ligatures w14:val="none"/>
        </w:rPr>
        <w:t>تكوين 2: 4-11: 26</w:t>
      </w:r>
    </w:p>
    <w:p w14:paraId="58D38448" w14:textId="77777777" w:rsidR="00E84DB1" w:rsidRPr="00E84DB1" w:rsidRDefault="00E84DB1" w:rsidP="002D6C54">
      <w:pPr>
        <w:bidi/>
        <w:spacing w:after="0" w:line="240" w:lineRule="auto"/>
        <w:jc w:val="center"/>
        <w:rPr>
          <w:rFonts w:eastAsia="Times New Roman" w:cs="Traditional Arabic Backslanted"/>
          <w:bCs/>
          <w:color w:val="auto"/>
          <w:kern w:val="0"/>
          <w:szCs w:val="28"/>
          <w:rtl/>
          <w:lang w:bidi="ar-JO"/>
          <w14:ligatures w14:val="none"/>
        </w:rPr>
      </w:pPr>
    </w:p>
    <w:p w14:paraId="4586B19F" w14:textId="77777777" w:rsidR="00E84DB1" w:rsidRPr="00E84DB1" w:rsidRDefault="00E84DB1"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E84DB1">
        <w:rPr>
          <w:rFonts w:eastAsia="Times New Roman" w:cs="DecoType Naskh" w:hint="cs"/>
          <w:bCs/>
          <w:color w:val="auto"/>
          <w:kern w:val="0"/>
          <w:szCs w:val="28"/>
          <w:rtl/>
          <w:lang w:bidi="ar-JO"/>
          <w14:ligatures w14:val="none"/>
        </w:rPr>
        <w:t>1.</w:t>
      </w:r>
      <w:r w:rsidRPr="00E84DB1">
        <w:rPr>
          <w:rFonts w:eastAsia="Times New Roman" w:cs="DecoType Naskh" w:hint="cs"/>
          <w:bCs/>
          <w:color w:val="auto"/>
          <w:kern w:val="0"/>
          <w:szCs w:val="28"/>
          <w:rtl/>
          <w:lang w:bidi="ar-JO"/>
          <w14:ligatures w14:val="none"/>
        </w:rPr>
        <w:tab/>
        <w:t>مقدمة</w:t>
      </w:r>
    </w:p>
    <w:p w14:paraId="5B58F714"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يتألف هذا القسم من خمس وحدات </w:t>
      </w:r>
      <w:r w:rsidRPr="00E84DB1">
        <w:rPr>
          <w:rFonts w:eastAsia="Times New Roman" w:cs="DecoType Naskh" w:hint="cs"/>
          <w:i/>
          <w:iCs/>
          <w:color w:val="auto"/>
          <w:kern w:val="0"/>
          <w:szCs w:val="26"/>
          <w:rtl/>
          <w:lang w:bidi="ar-JO"/>
          <w14:ligatures w14:val="none"/>
        </w:rPr>
        <w:t>توليدوت</w:t>
      </w:r>
      <w:r w:rsidRPr="00E84DB1">
        <w:rPr>
          <w:rFonts w:eastAsia="Times New Roman" w:cs="DecoType Naskh" w:hint="cs"/>
          <w:color w:val="auto"/>
          <w:kern w:val="0"/>
          <w:szCs w:val="26"/>
          <w:rtl/>
          <w:lang w:bidi="ar-JO"/>
          <w14:ligatures w14:val="none"/>
        </w:rPr>
        <w:t xml:space="preserve"> </w:t>
      </w:r>
      <w:r w:rsidRPr="00E84DB1">
        <w:rPr>
          <w:rFonts w:ascii="Charis SIL" w:eastAsia="Times New Roman" w:hAnsi="Charis SIL" w:cs="Charis SIL"/>
          <w:bCs/>
          <w:i/>
          <w:iCs/>
          <w:color w:val="auto"/>
          <w:kern w:val="0"/>
          <w:szCs w:val="26"/>
          <w:lang w:bidi="ar-JO"/>
          <w14:ligatures w14:val="none"/>
        </w:rPr>
        <w:t>tôlᵊḏôṯ</w:t>
      </w:r>
      <w:r w:rsidRPr="00E84DB1">
        <w:rPr>
          <w:rFonts w:eastAsia="Times New Roman" w:cs="DecoType Naskh" w:hint="cs"/>
          <w:color w:val="auto"/>
          <w:kern w:val="0"/>
          <w:szCs w:val="26"/>
          <w:rtl/>
          <w:lang w:bidi="ar-JO"/>
          <w14:ligatures w14:val="none"/>
        </w:rPr>
        <w:t xml:space="preserve"> (مواليد)، واحدة في تكوين 2: 4-4: 26 وأربع وحدات في 5: 1-11: 26.  تبيّن الوحدة الأولى كيف فقد الإنسان حالة </w:t>
      </w:r>
      <w:r w:rsidRPr="00E84DB1">
        <w:rPr>
          <w:rFonts w:eastAsia="Times New Roman" w:cs="DecoType Naskh" w:hint="cs"/>
          <w:i/>
          <w:iCs/>
          <w:color w:val="auto"/>
          <w:kern w:val="0"/>
          <w:szCs w:val="26"/>
          <w:rtl/>
          <w:lang w:bidi="ar-JO"/>
          <w14:ligatures w14:val="none"/>
        </w:rPr>
        <w:t>البركة</w:t>
      </w:r>
      <w:r w:rsidRPr="00E84DB1">
        <w:rPr>
          <w:rFonts w:eastAsia="Times New Roman" w:cs="DecoType Naskh" w:hint="cs"/>
          <w:color w:val="auto"/>
          <w:kern w:val="0"/>
          <w:szCs w:val="26"/>
          <w:rtl/>
          <w:lang w:bidi="ar-JO"/>
          <w14:ligatures w14:val="none"/>
        </w:rPr>
        <w:t xml:space="preserve"> الأصلية التي خلق عليها.  أما الوحدات </w:t>
      </w:r>
      <w:r w:rsidRPr="00E84DB1">
        <w:rPr>
          <w:rFonts w:eastAsia="Times New Roman" w:cs="DecoType Naskh" w:hint="cs"/>
          <w:color w:val="auto"/>
          <w:kern w:val="0"/>
          <w:szCs w:val="26"/>
          <w:rtl/>
          <w:lang w:bidi="ar-JO"/>
          <w14:ligatures w14:val="none"/>
        </w:rPr>
        <w:lastRenderedPageBreak/>
        <w:t>الأربعة المتبقية فتبيّن كيف استمر الجنس البشري في التدهور إلى نقطة صارت معها شعوب الأرض في حالة تمرد كلية ضد خالقها.  وسيعد هذا المسرح لخطة الله في مواجهة تمرد الإنسان بخلق أمّة مقدسة خاصة هي إسرائيل.</w:t>
      </w:r>
    </w:p>
    <w:p w14:paraId="7F0B9DB1"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BAD90EC"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تقدم الأصحاحات الثلاثة التي تؤلف </w:t>
      </w:r>
      <w:r w:rsidRPr="00E84DB1">
        <w:rPr>
          <w:rFonts w:eastAsia="Times New Roman" w:cs="DecoType Naskh" w:hint="cs"/>
          <w:i/>
          <w:iCs/>
          <w:color w:val="auto"/>
          <w:kern w:val="0"/>
          <w:szCs w:val="26"/>
          <w:rtl/>
          <w:lang w:bidi="ar-JO"/>
          <w14:ligatures w14:val="none"/>
        </w:rPr>
        <w:t>توليدوت</w:t>
      </w:r>
      <w:r w:rsidRPr="00E84DB1">
        <w:rPr>
          <w:rFonts w:eastAsia="Times New Roman" w:cs="DecoType Naskh" w:hint="cs"/>
          <w:color w:val="auto"/>
          <w:kern w:val="0"/>
          <w:szCs w:val="26"/>
          <w:rtl/>
          <w:lang w:bidi="ar-JO"/>
          <w14:ligatures w14:val="none"/>
        </w:rPr>
        <w:t xml:space="preserve"> </w:t>
      </w:r>
      <w:r w:rsidRPr="00E84DB1">
        <w:rPr>
          <w:rFonts w:ascii="Charis SIL" w:eastAsia="Times New Roman" w:hAnsi="Charis SIL" w:cs="Charis SIL"/>
          <w:bCs/>
          <w:i/>
          <w:iCs/>
          <w:color w:val="auto"/>
          <w:kern w:val="0"/>
          <w:szCs w:val="26"/>
          <w:lang w:bidi="ar-JO"/>
          <w14:ligatures w14:val="none"/>
        </w:rPr>
        <w:t>tôlᵊḏôṯ</w:t>
      </w:r>
      <w:r w:rsidRPr="00E84DB1">
        <w:rPr>
          <w:rFonts w:eastAsia="Times New Roman" w:cs="DecoType Naskh" w:hint="cs"/>
          <w:color w:val="auto"/>
          <w:kern w:val="0"/>
          <w:szCs w:val="26"/>
          <w:rtl/>
          <w:lang w:bidi="ar-JO"/>
          <w14:ligatures w14:val="none"/>
        </w:rPr>
        <w:t xml:space="preserve"> (مواليد) 2: 4-4: 6 أساس الحاجة إلى البركة.  والنقطة المركزية لهذا القسم هي الأصحاح الثالث حيث يسقط الإنسان في الخطية.  كانت حالة البركة الأصلية في خليقة الله الجديدة قصيرة العمر.  وتثير كلمة </w:t>
      </w:r>
      <w:r w:rsidRPr="00E84DB1">
        <w:rPr>
          <w:rFonts w:eastAsia="Times New Roman" w:cs="DecoType Naskh" w:hint="cs"/>
          <w:i/>
          <w:iCs/>
          <w:color w:val="auto"/>
          <w:kern w:val="0"/>
          <w:szCs w:val="26"/>
          <w:rtl/>
          <w:lang w:bidi="ar-JO"/>
          <w14:ligatures w14:val="none"/>
        </w:rPr>
        <w:t>توليدوت</w:t>
      </w:r>
      <w:r w:rsidRPr="00E84DB1">
        <w:rPr>
          <w:rFonts w:eastAsia="Times New Roman" w:cs="DecoType Naskh" w:hint="cs"/>
          <w:color w:val="auto"/>
          <w:kern w:val="0"/>
          <w:szCs w:val="26"/>
          <w:rtl/>
          <w:lang w:bidi="ar-JO"/>
          <w14:ligatures w14:val="none"/>
        </w:rPr>
        <w:t xml:space="preserve"> </w:t>
      </w:r>
      <w:r w:rsidRPr="00E84DB1">
        <w:rPr>
          <w:rFonts w:ascii="Charis SIL" w:eastAsia="Times New Roman" w:hAnsi="Charis SIL" w:cs="Charis SIL"/>
          <w:bCs/>
          <w:i/>
          <w:iCs/>
          <w:color w:val="auto"/>
          <w:kern w:val="0"/>
          <w:szCs w:val="26"/>
          <w:lang w:bidi="ar-JO"/>
          <w14:ligatures w14:val="none"/>
        </w:rPr>
        <w:t>tôlᵊḏôṯ</w:t>
      </w:r>
      <w:r w:rsidRPr="00E84DB1">
        <w:rPr>
          <w:rFonts w:eastAsia="Times New Roman" w:cs="DecoType Naskh" w:hint="cs"/>
          <w:color w:val="auto"/>
          <w:kern w:val="0"/>
          <w:szCs w:val="26"/>
          <w:rtl/>
          <w:lang w:bidi="ar-JO"/>
          <w14:ligatures w14:val="none"/>
        </w:rPr>
        <w:t xml:space="preserve"> في تكوين 2: 4 حول "السماوات والأرض" السؤال: "ما الذي حدث للسماوات والأرض التي خلقها الله على نحو بديع؟" والجواب هو: دخلت الخطية إلى العالم، وبالخطية دخلت اللعنة.  استوطن الانحطاط والانحلال، وانتشرا بسرعة حتى عمّا الخليقة كلّها! فحيث جلب الله النظام والبركة والقداسة، جلب الإنسان نقيض ذلك.  وهكذا انتقل التركيز من البركة إلى اللعنة.</w:t>
      </w:r>
    </w:p>
    <w:p w14:paraId="4C9DB73A"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598B11E6"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 xml:space="preserve">إن الأصحاح الثالث الذي فيه نتواجه مع دخول الخطية إلى الجنس البشري هو النقطة المركزية </w:t>
      </w:r>
      <w:r w:rsidRPr="00E84DB1">
        <w:rPr>
          <w:rFonts w:eastAsia="Times New Roman" w:cs="DecoType Naskh" w:hint="cs"/>
          <w:i/>
          <w:iCs/>
          <w:color w:val="auto"/>
          <w:kern w:val="0"/>
          <w:szCs w:val="26"/>
          <w:rtl/>
          <w:lang w:bidi="ar-JO"/>
          <w14:ligatures w14:val="none"/>
        </w:rPr>
        <w:t>لهذا التوليدوت</w:t>
      </w:r>
      <w:r w:rsidRPr="00E84DB1">
        <w:rPr>
          <w:rFonts w:eastAsia="Times New Roman" w:cs="DecoType Naskh" w:hint="cs"/>
          <w:color w:val="auto"/>
          <w:kern w:val="0"/>
          <w:szCs w:val="26"/>
          <w:rtl/>
          <w:lang w:bidi="ar-JO"/>
          <w14:ligatures w14:val="none"/>
        </w:rPr>
        <w:t xml:space="preserve"> </w:t>
      </w:r>
      <w:r w:rsidRPr="00E84DB1">
        <w:rPr>
          <w:rFonts w:ascii="Charis SIL" w:eastAsia="Times New Roman" w:hAnsi="Charis SIL" w:cs="Charis SIL"/>
          <w:bCs/>
          <w:i/>
          <w:iCs/>
          <w:color w:val="auto"/>
          <w:kern w:val="0"/>
          <w:szCs w:val="26"/>
          <w:lang w:bidi="ar-JO"/>
          <w14:ligatures w14:val="none"/>
        </w:rPr>
        <w:t>tôlᵊḏôṯ</w:t>
      </w:r>
      <w:r w:rsidRPr="00E84DB1">
        <w:rPr>
          <w:rFonts w:eastAsia="Times New Roman" w:cs="DecoType Naskh" w:hint="cs"/>
          <w:color w:val="auto"/>
          <w:kern w:val="0"/>
          <w:szCs w:val="26"/>
          <w:rtl/>
          <w:lang w:bidi="ar-JO"/>
          <w14:ligatures w14:val="none"/>
        </w:rPr>
        <w:t xml:space="preserve"> ، وهي الخطية التي جلبت اللعنة وجعلت البركة أمراً ضرورياً.  ولكي يعدّنا الأصحاح الثاني لتأثير هذا الحدث، فإنه يذكرنا بما أفسده السقوط.  وأخيراً يقوم الأصحاح الرابع بإكمال الصورة متتبعاً التطورات البعيدة المدى للخطية واللعنة في تطور مجتمع فاجر.</w:t>
      </w:r>
    </w:p>
    <w:p w14:paraId="473A78A0"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KW"/>
          <w14:ligatures w14:val="none"/>
        </w:rPr>
      </w:pPr>
    </w:p>
    <w:p w14:paraId="29326453" w14:textId="77777777" w:rsidR="00E84DB1" w:rsidRPr="00E84DB1" w:rsidRDefault="00E84DB1"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E84DB1">
        <w:rPr>
          <w:rFonts w:eastAsia="Times New Roman" w:cs="DecoType Naskh" w:hint="cs"/>
          <w:bCs/>
          <w:color w:val="auto"/>
          <w:kern w:val="0"/>
          <w:szCs w:val="28"/>
          <w:rtl/>
          <w:lang w:bidi="ar-JO"/>
          <w14:ligatures w14:val="none"/>
        </w:rPr>
        <w:t>2.</w:t>
      </w:r>
      <w:r w:rsidRPr="00E84DB1">
        <w:rPr>
          <w:rFonts w:eastAsia="Times New Roman" w:cs="DecoType Naskh" w:hint="cs"/>
          <w:bCs/>
          <w:color w:val="auto"/>
          <w:kern w:val="0"/>
          <w:szCs w:val="28"/>
          <w:rtl/>
          <w:lang w:bidi="ar-JO"/>
          <w14:ligatures w14:val="none"/>
        </w:rPr>
        <w:tab/>
        <w:t>خلق آدم وحوّاء في الجنة (2: 4-25)</w:t>
      </w:r>
    </w:p>
    <w:p w14:paraId="0D3F8199" w14:textId="3178CF06"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هذا هو القسم الرئيسي الأول في </w:t>
      </w:r>
      <w:r w:rsidRPr="00E84DB1">
        <w:rPr>
          <w:rFonts w:eastAsia="Times New Roman" w:cs="DecoType Naskh" w:hint="cs"/>
          <w:i/>
          <w:iCs/>
          <w:color w:val="auto"/>
          <w:kern w:val="0"/>
          <w:szCs w:val="26"/>
          <w:rtl/>
          <w:lang w:bidi="ar-JO"/>
          <w14:ligatures w14:val="none"/>
        </w:rPr>
        <w:t>التوليدوت</w:t>
      </w:r>
      <w:r w:rsidRPr="00E84DB1">
        <w:rPr>
          <w:rFonts w:eastAsia="Times New Roman" w:cs="DecoType Naskh" w:hint="cs"/>
          <w:color w:val="auto"/>
          <w:kern w:val="0"/>
          <w:szCs w:val="26"/>
          <w:rtl/>
          <w:lang w:bidi="ar-JO"/>
          <w14:ligatures w14:val="none"/>
        </w:rPr>
        <w:t xml:space="preserve"> </w:t>
      </w:r>
      <w:r w:rsidRPr="00E84DB1">
        <w:rPr>
          <w:rFonts w:ascii="Charis SIL" w:eastAsia="Times New Roman" w:hAnsi="Charis SIL" w:cs="Charis SIL"/>
          <w:bCs/>
          <w:i/>
          <w:iCs/>
          <w:color w:val="auto"/>
          <w:kern w:val="0"/>
          <w:szCs w:val="26"/>
          <w:lang w:bidi="ar-JO"/>
          <w14:ligatures w14:val="none"/>
        </w:rPr>
        <w:t>tôlᵊḏôṯ</w:t>
      </w:r>
      <w:r w:rsidRPr="00E84DB1">
        <w:rPr>
          <w:rFonts w:eastAsia="Times New Roman" w:cs="DecoType Naskh" w:hint="cs"/>
          <w:color w:val="auto"/>
          <w:kern w:val="0"/>
          <w:szCs w:val="26"/>
          <w:rtl/>
          <w:lang w:bidi="ar-JO"/>
          <w14:ligatures w14:val="none"/>
        </w:rPr>
        <w:t xml:space="preserve"> الحالي.  ونجد هنا صورة</w:t>
      </w:r>
      <w:r w:rsidRPr="00E84DB1">
        <w:rPr>
          <w:rFonts w:eastAsia="Times New Roman" w:cs="DecoType Naskh"/>
          <w:color w:val="auto"/>
          <w:kern w:val="0"/>
          <w:szCs w:val="26"/>
          <w14:ligatures w14:val="none"/>
        </w:rPr>
        <w:t xml:space="preserve"> </w:t>
      </w:r>
      <w:r w:rsidRPr="00E84DB1">
        <w:rPr>
          <w:rFonts w:eastAsia="Times New Roman" w:cs="DecoType Naskh" w:hint="cs"/>
          <w:color w:val="auto"/>
          <w:kern w:val="0"/>
          <w:szCs w:val="26"/>
          <w:rtl/>
          <w:lang w:bidi="ar-JO"/>
          <w14:ligatures w14:val="none"/>
        </w:rPr>
        <w:t xml:space="preserve"> الزوجين الأولين في ملء البركة.  غير أنه يقصد بهذا الأصحاح أن يشكّل مقابلة مع الأصحاح الثالث، وهو يخبرنا بما فسد عند السقوط.  نرى هنا الزوجين يتمتعان بقدرة معطاة من الله على خدمة الله وعبادته في البر.  سبق أن حد</w:t>
      </w:r>
      <w:r w:rsidR="00FD79D7">
        <w:rPr>
          <w:rFonts w:eastAsia="Times New Roman" w:cs="DecoType Naskh" w:hint="cs"/>
          <w:color w:val="auto"/>
          <w:kern w:val="0"/>
          <w:szCs w:val="26"/>
          <w:rtl/>
          <w:lang w:bidi="ar-JO"/>
          <w14:ligatures w14:val="none"/>
        </w:rPr>
        <w:t>َّ</w:t>
      </w:r>
      <w:r w:rsidRPr="00E84DB1">
        <w:rPr>
          <w:rFonts w:eastAsia="Times New Roman" w:cs="DecoType Naskh" w:hint="cs"/>
          <w:color w:val="auto"/>
          <w:kern w:val="0"/>
          <w:szCs w:val="26"/>
          <w:rtl/>
          <w:lang w:bidi="ar-JO"/>
          <w14:ligatures w14:val="none"/>
        </w:rPr>
        <w:t>د الأصحاح الأول قصد الله للإنسان على أنه الإداري الثيوقراطي عند الله (العامل الوسيط لحكمه)، أمّا الأصحاح الثاني فيصوّر وظيفة الإنسان هذه.  ولا يمكننا أن نفهم ما يتضمنه السقوط في الأصحاح الثالث إذ</w:t>
      </w:r>
      <w:r w:rsidRPr="00E84DB1">
        <w:rPr>
          <w:rFonts w:eastAsia="Times New Roman" w:cs="DecoType Naskh" w:hint="cs"/>
          <w:color w:val="auto"/>
          <w:kern w:val="0"/>
          <w:szCs w:val="26"/>
          <w:rtl/>
          <w14:ligatures w14:val="none"/>
        </w:rPr>
        <w:t>ا</w:t>
      </w:r>
      <w:r w:rsidRPr="00E84DB1">
        <w:rPr>
          <w:rFonts w:eastAsia="Times New Roman" w:cs="DecoType Naskh" w:hint="cs"/>
          <w:color w:val="auto"/>
          <w:kern w:val="0"/>
          <w:szCs w:val="26"/>
          <w:rtl/>
          <w:lang w:bidi="ar-JO"/>
          <w14:ligatures w14:val="none"/>
        </w:rPr>
        <w:t xml:space="preserve"> لم نفهم ما هو معرّض للضياع في الأصحاح الثاني.</w:t>
      </w:r>
    </w:p>
    <w:p w14:paraId="585B7BF5"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30"/>
          <w:szCs w:val="28"/>
          <w:rtl/>
          <w:lang w:bidi="ar-JO"/>
          <w14:ligatures w14:val="none"/>
        </w:rPr>
      </w:pPr>
      <w:r w:rsidRPr="00E84DB1">
        <w:rPr>
          <w:rFonts w:eastAsia="Times New Roman" w:cs="DecoType Naskh" w:hint="cs"/>
          <w:color w:val="auto"/>
          <w:kern w:val="0"/>
          <w:szCs w:val="26"/>
          <w:rtl/>
          <w:lang w:bidi="ar-JO"/>
          <w14:ligatures w14:val="none"/>
        </w:rPr>
        <w:t>"ينبّر القسم كلّه على خطة الله للوحدة بين الذكر والأنثى بصفتهما صورة الله لكي يخدماه ويحفظا وصاياه لكي تكون لهما حياة.  ويعني العصيان جلب الموت والدمار."</w:t>
      </w:r>
      <w:r w:rsidRPr="00E84DB1">
        <w:rPr>
          <w:rFonts w:eastAsia="Times New Roman" w:cs="DecoType Naskh"/>
          <w:color w:val="auto"/>
          <w:kern w:val="0"/>
          <w:sz w:val="30"/>
          <w:szCs w:val="28"/>
          <w:vertAlign w:val="superscript"/>
          <w:rtl/>
          <w:lang w:bidi="ar-JO"/>
          <w14:ligatures w14:val="none"/>
        </w:rPr>
        <w:footnoteReference w:customMarkFollows="1" w:id="30"/>
        <w:t>1</w:t>
      </w:r>
    </w:p>
    <w:p w14:paraId="48AF5AB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0A3904B7" w14:textId="77777777" w:rsidR="00E84DB1" w:rsidRPr="00E84DB1" w:rsidRDefault="00E84DB1"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E84DB1">
        <w:rPr>
          <w:rFonts w:eastAsia="Times New Roman" w:cs="DecoType Naskh" w:hint="cs"/>
          <w:bCs/>
          <w:color w:val="auto"/>
          <w:kern w:val="0"/>
          <w:szCs w:val="26"/>
          <w:rtl/>
          <w14:ligatures w14:val="none"/>
        </w:rPr>
        <w:t>أ.</w:t>
      </w:r>
      <w:r w:rsidRPr="00E84DB1">
        <w:rPr>
          <w:rFonts w:eastAsia="Times New Roman" w:cs="DecoType Naskh" w:hint="cs"/>
          <w:bCs/>
          <w:color w:val="auto"/>
          <w:kern w:val="0"/>
          <w:szCs w:val="26"/>
          <w:rtl/>
          <w14:ligatures w14:val="none"/>
        </w:rPr>
        <w:tab/>
        <w:t>خلق الحياة</w:t>
      </w:r>
      <w:r w:rsidRPr="00E84DB1">
        <w:rPr>
          <w:rFonts w:eastAsia="Times New Roman" w:cs="DecoType Naskh"/>
          <w:bCs/>
          <w:color w:val="auto"/>
          <w:kern w:val="0"/>
          <w:sz w:val="28"/>
          <w:szCs w:val="28"/>
          <w:vertAlign w:val="superscript"/>
          <w:rtl/>
          <w14:ligatures w14:val="none"/>
        </w:rPr>
        <w:footnoteReference w:customMarkFollows="1" w:id="31"/>
        <w:t>2</w:t>
      </w:r>
      <w:r w:rsidRPr="00E84DB1">
        <w:rPr>
          <w:rFonts w:eastAsia="Times New Roman" w:cs="DecoType Naskh" w:hint="cs"/>
          <w:bCs/>
          <w:color w:val="auto"/>
          <w:kern w:val="0"/>
          <w:sz w:val="28"/>
          <w:szCs w:val="28"/>
          <w:rtl/>
          <w14:ligatures w14:val="none"/>
        </w:rPr>
        <w:t xml:space="preserve"> </w:t>
      </w:r>
      <w:r w:rsidRPr="00E84DB1">
        <w:rPr>
          <w:rFonts w:eastAsia="Times New Roman" w:cs="DecoType Naskh" w:hint="cs"/>
          <w:bCs/>
          <w:color w:val="auto"/>
          <w:kern w:val="0"/>
          <w:szCs w:val="26"/>
          <w:rtl/>
          <w14:ligatures w14:val="none"/>
        </w:rPr>
        <w:t>(2: 4-7)</w:t>
      </w:r>
    </w:p>
    <w:p w14:paraId="4876A437"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تتراجع الرواية للحظة، وتنظر إلى خلق الإنسان من زاوية مختلفة.  إذ كان الأصحاح الأول قد وضع خلق الإنسان في سياق الكون، وبيّن بوضوح قصد الله للإنسان، أمّا الأصحاح الثاني فينظر بالمقابلة إلى انشغال يهوه الحميم في خلق الإنسان واهتمامه البالغ بتشكيل الإنسان.  لنلاحظ التعابير الهامّة:</w:t>
      </w:r>
    </w:p>
    <w:p w14:paraId="0A86B39E"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1.</w:t>
      </w:r>
      <w:r w:rsidRPr="00E84DB1">
        <w:rPr>
          <w:rFonts w:eastAsia="Times New Roman" w:cs="DecoType Naskh" w:hint="cs"/>
          <w:color w:val="auto"/>
          <w:kern w:val="0"/>
          <w:szCs w:val="26"/>
          <w:rtl/>
          <w:lang w:bidi="ar-JO"/>
          <w14:ligatures w14:val="none"/>
        </w:rPr>
        <w:tab/>
        <w:t xml:space="preserve">تؤكد ياتسار </w:t>
      </w:r>
      <w:r w:rsidRPr="00E84DB1">
        <w:rPr>
          <w:rFonts w:ascii="Ezra SIL" w:eastAsia="Times New Roman" w:hAnsi="Ezra SIL" w:cs="Ezra SIL" w:hint="cs"/>
          <w:b/>
          <w:color w:val="auto"/>
          <w:kern w:val="0"/>
          <w:rtl/>
          <w:lang w:bidi="he-IL"/>
          <w14:ligatures w14:val="none"/>
        </w:rPr>
        <w:t>יָצַר</w:t>
      </w:r>
      <w:r w:rsidRPr="00E84DB1">
        <w:rPr>
          <w:rFonts w:eastAsia="Times New Roman" w:cs="DecoType Naskh"/>
          <w:bCs/>
          <w:color w:val="auto"/>
          <w:kern w:val="0"/>
          <w:szCs w:val="26"/>
          <w:lang w:bidi="ar-JO"/>
          <w14:ligatures w14:val="none"/>
        </w:rPr>
        <w:t xml:space="preserve"> </w:t>
      </w:r>
      <w:r w:rsidRPr="00E84DB1">
        <w:rPr>
          <w:rFonts w:eastAsia="Times New Roman" w:cs="DecoType Naskh"/>
          <w:color w:val="auto"/>
          <w:kern w:val="0"/>
          <w:szCs w:val="26"/>
          <w14:ligatures w14:val="none"/>
        </w:rPr>
        <w:t>(</w:t>
      </w:r>
      <w:r w:rsidRPr="00E84DB1">
        <w:rPr>
          <w:rFonts w:ascii="Charis SIL" w:eastAsia="Times New Roman" w:hAnsi="Charis SIL" w:cs="Charis SIL"/>
          <w:bCs/>
          <w:i/>
          <w:iCs/>
          <w:color w:val="auto"/>
          <w:kern w:val="0"/>
          <w:szCs w:val="26"/>
          <w:lang w:bidi="he-IL"/>
          <w14:ligatures w14:val="none"/>
        </w:rPr>
        <w:t>yāṣar</w:t>
      </w:r>
      <w:r w:rsidRPr="00E84DB1">
        <w:rPr>
          <w:rFonts w:eastAsia="Times New Roman" w:cs="DecoType Naskh"/>
          <w:color w:val="auto"/>
          <w:kern w:val="0"/>
          <w:szCs w:val="26"/>
          <w14:ligatures w14:val="none"/>
        </w:rPr>
        <w:t xml:space="preserve">) </w:t>
      </w:r>
      <w:r w:rsidRPr="00E84DB1">
        <w:rPr>
          <w:rFonts w:eastAsia="Times New Roman" w:cs="DecoType Naskh" w:hint="cs"/>
          <w:color w:val="auto"/>
          <w:kern w:val="0"/>
          <w:szCs w:val="26"/>
          <w:rtl/>
          <w:lang w:bidi="ar-JO"/>
          <w14:ligatures w14:val="none"/>
        </w:rPr>
        <w:t xml:space="preserve">على عمل فنان يصنع شيئاً باستخدام تصميم.  غير أن الإنسان </w:t>
      </w:r>
      <w:r w:rsidRPr="00E84DB1">
        <w:rPr>
          <w:rFonts w:eastAsia="Times New Roman" w:cs="DecoType Naskh"/>
          <w:color w:val="auto"/>
          <w:kern w:val="0"/>
          <w:szCs w:val="26"/>
          <w:rtl/>
          <w14:ligatures w14:val="none"/>
        </w:rPr>
        <w:t>(</w:t>
      </w:r>
      <w:r w:rsidRPr="00E84DB1">
        <w:rPr>
          <w:rFonts w:ascii="Ezra SIL" w:eastAsia="Times New Roman" w:hAnsi="Ezra SIL" w:cs="Ezra SIL"/>
          <w:color w:val="auto"/>
          <w:kern w:val="0"/>
          <w:sz w:val="22"/>
          <w:rtl/>
          <w:lang w:bidi="he-IL"/>
          <w14:ligatures w14:val="none"/>
        </w:rPr>
        <w:t>אָדָם</w:t>
      </w:r>
      <w:r w:rsidRPr="00E84DB1">
        <w:rPr>
          <w:rFonts w:eastAsia="Times New Roman" w:cs="Times New Roman"/>
          <w:color w:val="auto"/>
          <w:kern w:val="0"/>
          <w:szCs w:val="26"/>
          <w:rtl/>
          <w:lang w:bidi="he-IL"/>
          <w14:ligatures w14:val="none"/>
        </w:rPr>
        <w:t>)</w:t>
      </w:r>
      <w:r w:rsidRPr="00E84DB1">
        <w:rPr>
          <w:rFonts w:eastAsia="Times New Roman" w:cs="DecoType Naskh" w:hint="cs"/>
          <w:color w:val="auto"/>
          <w:kern w:val="0"/>
          <w:szCs w:val="26"/>
          <w:rtl/>
          <w:lang w:bidi="ar-JO"/>
          <w14:ligatures w14:val="none"/>
        </w:rPr>
        <w:t xml:space="preserve"> يذكَّر بطبيعته "الأرضية" حيث شُكّل من التراب </w:t>
      </w:r>
      <w:r w:rsidRPr="00E84DB1">
        <w:rPr>
          <w:rFonts w:eastAsia="Times New Roman" w:cs="DecoType Naskh"/>
          <w:color w:val="auto"/>
          <w:kern w:val="0"/>
          <w:szCs w:val="26"/>
          <w:rtl/>
          <w14:ligatures w14:val="none"/>
        </w:rPr>
        <w:t>(</w:t>
      </w:r>
      <w:r w:rsidRPr="00E84DB1">
        <w:rPr>
          <w:rFonts w:ascii="Ezra SIL" w:eastAsia="Times New Roman" w:hAnsi="Ezra SIL" w:cs="Ezra SIL"/>
          <w:color w:val="auto"/>
          <w:kern w:val="0"/>
          <w:sz w:val="22"/>
          <w:rtl/>
          <w:lang w:bidi="he-IL"/>
          <w14:ligatures w14:val="none"/>
        </w:rPr>
        <w:t>אָדָמָה</w:t>
      </w:r>
      <w:r w:rsidRPr="00E84DB1">
        <w:rPr>
          <w:rFonts w:eastAsia="Times New Roman" w:cs="Times New Roman"/>
          <w:color w:val="auto"/>
          <w:kern w:val="0"/>
          <w:szCs w:val="26"/>
          <w:rtl/>
          <w:lang w:bidi="he-IL"/>
          <w14:ligatures w14:val="none"/>
        </w:rPr>
        <w:t>)</w:t>
      </w:r>
      <w:r w:rsidRPr="00E84DB1">
        <w:rPr>
          <w:rFonts w:eastAsia="Times New Roman" w:cs="DecoType Naskh" w:hint="cs"/>
          <w:color w:val="auto"/>
          <w:kern w:val="0"/>
          <w:szCs w:val="26"/>
          <w:rtl/>
          <w:lang w:bidi="ar-JO"/>
          <w14:ligatures w14:val="none"/>
        </w:rPr>
        <w:t>، فيجب ألا تكون لديه أية آمال في الاستيلاء على مكان الله.</w:t>
      </w:r>
    </w:p>
    <w:p w14:paraId="6CA55B82"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2.</w:t>
      </w:r>
      <w:r w:rsidRPr="00E84DB1">
        <w:rPr>
          <w:rFonts w:eastAsia="Times New Roman" w:cs="DecoType Naskh" w:hint="cs"/>
          <w:color w:val="auto"/>
          <w:kern w:val="0"/>
          <w:szCs w:val="26"/>
          <w:rtl/>
          <w:lang w:bidi="ar-JO"/>
          <w14:ligatures w14:val="none"/>
        </w:rPr>
        <w:tab/>
        <w:t>يهوه إيلوهيم-</w:t>
      </w:r>
      <w:r w:rsidRPr="00E84DB1">
        <w:rPr>
          <w:rFonts w:ascii="Ezra SIL" w:eastAsia="Times New Roman" w:hAnsi="Ezra SIL" w:cs="Ezra SIL" w:hint="cs"/>
          <w:b/>
          <w:color w:val="auto"/>
          <w:kern w:val="0"/>
          <w:rtl/>
          <w:lang w:bidi="he-IL"/>
          <w14:ligatures w14:val="none"/>
        </w:rPr>
        <w:t xml:space="preserve"> יְהוָה</w:t>
      </w:r>
      <w:r w:rsidRPr="00E84DB1">
        <w:rPr>
          <w:rFonts w:eastAsia="Times New Roman" w:cs="DecoType Naskh" w:hint="cs"/>
          <w:color w:val="auto"/>
          <w:kern w:val="0"/>
          <w:szCs w:val="26"/>
          <w:rtl/>
          <w:lang w:bidi="ar-JO"/>
          <w14:ligatures w14:val="none"/>
        </w:rPr>
        <w:t xml:space="preserve"> </w:t>
      </w:r>
      <w:r w:rsidRPr="00E84DB1">
        <w:rPr>
          <w:rFonts w:ascii="Ezra SIL" w:eastAsia="Times New Roman" w:hAnsi="Ezra SIL" w:cs="Ezra SIL" w:hint="cs"/>
          <w:b/>
          <w:color w:val="auto"/>
          <w:kern w:val="0"/>
          <w:rtl/>
          <w:lang w:bidi="he-IL"/>
          <w14:ligatures w14:val="none"/>
        </w:rPr>
        <w:t>אֶלֹהִים</w:t>
      </w:r>
      <w:r w:rsidRPr="00E84DB1">
        <w:rPr>
          <w:rFonts w:eastAsia="Times New Roman" w:cs="DecoType Naskh" w:hint="cs"/>
          <w:color w:val="auto"/>
          <w:kern w:val="0"/>
          <w:szCs w:val="26"/>
          <w:rtl/>
          <w:lang w:bidi="ar-JO"/>
          <w14:ligatures w14:val="none"/>
        </w:rPr>
        <w:t>.  يوضح هذا التعبير أن إله العهد يهوه هو أيضاً الإله الخالق.</w:t>
      </w:r>
    </w:p>
    <w:p w14:paraId="1EB48363"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3.</w:t>
      </w:r>
      <w:r w:rsidRPr="00E84DB1">
        <w:rPr>
          <w:rFonts w:eastAsia="Times New Roman" w:cs="DecoType Naskh" w:hint="cs"/>
          <w:color w:val="auto"/>
          <w:kern w:val="0"/>
          <w:szCs w:val="26"/>
          <w:rtl/>
          <w:lang w:bidi="ar-JO"/>
          <w14:ligatures w14:val="none"/>
        </w:rPr>
        <w:tab/>
        <w:t xml:space="preserve">نِشْمت خاييم- "نسمة الحياة </w:t>
      </w:r>
      <w:r w:rsidRPr="00E84DB1">
        <w:rPr>
          <w:rFonts w:ascii="Charis SIL" w:eastAsia="Times New Roman" w:hAnsi="Charis SIL" w:cs="Charis SIL"/>
          <w:bCs/>
          <w:i/>
          <w:iCs/>
          <w:color w:val="auto"/>
          <w:kern w:val="0"/>
          <w:szCs w:val="26"/>
          <w:lang w:bidi="ar-JO"/>
          <w14:ligatures w14:val="none"/>
        </w:rPr>
        <w:t>nišmaṯ ḥayyîm</w:t>
      </w:r>
      <w:r w:rsidRPr="00E84DB1">
        <w:rPr>
          <w:rFonts w:eastAsia="Times New Roman" w:cs="DecoType Naskh" w:hint="cs"/>
          <w:color w:val="auto"/>
          <w:kern w:val="0"/>
          <w:szCs w:val="26"/>
          <w:rtl/>
          <w:lang w:bidi="ar-JO"/>
          <w14:ligatures w14:val="none"/>
        </w:rPr>
        <w:t xml:space="preserve">" </w:t>
      </w:r>
      <w:r w:rsidRPr="00E84DB1">
        <w:rPr>
          <w:rFonts w:ascii="Ezra SIL" w:eastAsia="Times New Roman" w:hAnsi="Ezra SIL" w:cs="Ezra SIL" w:hint="cs"/>
          <w:b/>
          <w:color w:val="auto"/>
          <w:kern w:val="0"/>
          <w:rtl/>
          <w:lang w:bidi="he-IL"/>
          <w14:ligatures w14:val="none"/>
        </w:rPr>
        <w:t>נִשְׁמַת חַיִּים</w:t>
      </w:r>
      <w:r w:rsidRPr="00E84DB1">
        <w:rPr>
          <w:rFonts w:ascii="Hebrew" w:eastAsia="Times New Roman" w:hAnsi="Hebrew" w:cs="DecoType Naskh"/>
          <w:color w:val="auto"/>
          <w:kern w:val="0"/>
          <w:szCs w:val="26"/>
          <w14:ligatures w14:val="none"/>
        </w:rPr>
        <w:t>]</w:t>
      </w:r>
      <w:r w:rsidRPr="00E84DB1">
        <w:rPr>
          <w:rFonts w:eastAsia="Times New Roman" w:cs="DecoType Naskh" w:hint="cs"/>
          <w:color w:val="auto"/>
          <w:kern w:val="0"/>
          <w:szCs w:val="26"/>
          <w:rtl/>
          <w:lang w:bidi="ar-JO"/>
          <w14:ligatures w14:val="none"/>
        </w:rPr>
        <w:t xml:space="preserve"> </w:t>
      </w:r>
      <w:r w:rsidRPr="00E84DB1">
        <w:rPr>
          <w:rFonts w:eastAsia="Times New Roman" w:cs="DecoType Naskh"/>
          <w:color w:val="auto"/>
          <w:kern w:val="0"/>
          <w:szCs w:val="26"/>
          <w:rtl/>
          <w:lang w:bidi="ar-JO"/>
          <w14:ligatures w14:val="none"/>
        </w:rPr>
        <w:t>–</w:t>
      </w:r>
      <w:r w:rsidRPr="00E84DB1">
        <w:rPr>
          <w:rFonts w:eastAsia="Times New Roman" w:cs="DecoType Naskh" w:hint="cs"/>
          <w:color w:val="auto"/>
          <w:kern w:val="0"/>
          <w:szCs w:val="26"/>
          <w:rtl/>
          <w:lang w:bidi="ar-JO"/>
          <w14:ligatures w14:val="none"/>
        </w:rPr>
        <w:t xml:space="preserve"> ليس هذا التعبير مقصوراً بالضرورة على البشر (انظر </w:t>
      </w:r>
      <w:r w:rsidRPr="00E84DB1">
        <w:rPr>
          <w:rFonts w:eastAsia="Times New Roman" w:cs="DecoType Naskh"/>
          <w:color w:val="auto"/>
          <w:kern w:val="0"/>
          <w:szCs w:val="26"/>
          <w14:ligatures w14:val="none"/>
        </w:rPr>
        <w:t xml:space="preserve">Wenham, </w:t>
      </w:r>
      <w:r w:rsidRPr="00E84DB1">
        <w:rPr>
          <w:rFonts w:eastAsia="Times New Roman" w:cs="DecoType Naskh"/>
          <w:i/>
          <w:iCs/>
          <w:color w:val="auto"/>
          <w:kern w:val="0"/>
          <w:szCs w:val="26"/>
          <w14:ligatures w14:val="none"/>
        </w:rPr>
        <w:t>Genesis</w:t>
      </w:r>
      <w:r w:rsidRPr="00E84DB1">
        <w:rPr>
          <w:rFonts w:eastAsia="Times New Roman" w:cs="DecoType Naskh"/>
          <w:color w:val="auto"/>
          <w:kern w:val="0"/>
          <w:szCs w:val="26"/>
          <w14:ligatures w14:val="none"/>
        </w:rPr>
        <w:t>, 1: 60-61</w:t>
      </w:r>
      <w:r w:rsidRPr="00E84DB1">
        <w:rPr>
          <w:rFonts w:eastAsia="Times New Roman" w:cs="DecoType Naskh" w:hint="cs"/>
          <w:color w:val="auto"/>
          <w:kern w:val="0"/>
          <w:szCs w:val="26"/>
          <w:rtl/>
          <w:lang w:bidi="ar-JO"/>
          <w14:ligatures w14:val="none"/>
        </w:rPr>
        <w:t xml:space="preserve">).  إذ يرد تعبير مشابه (لكن مع استخدام الكلمة </w:t>
      </w:r>
      <w:r w:rsidRPr="00E84DB1">
        <w:rPr>
          <w:rFonts w:eastAsia="Times New Roman" w:cs="DecoType Naskh" w:hint="cs"/>
          <w:color w:val="auto"/>
          <w:kern w:val="0"/>
          <w:szCs w:val="26"/>
          <w:rtl/>
          <w:lang w:bidi="ar-JO"/>
          <w14:ligatures w14:val="none"/>
        </w:rPr>
        <w:lastRenderedPageBreak/>
        <w:t xml:space="preserve">المرادفة </w:t>
      </w:r>
      <w:r w:rsidRPr="00E84DB1">
        <w:rPr>
          <w:rFonts w:ascii="Ezra SIL" w:eastAsia="Times New Roman" w:hAnsi="Ezra SIL" w:cs="Ezra SIL" w:hint="cs"/>
          <w:b/>
          <w:color w:val="auto"/>
          <w:kern w:val="0"/>
          <w:rtl/>
          <w:lang w:bidi="he-IL"/>
          <w14:ligatures w14:val="none"/>
        </w:rPr>
        <w:t>רוּחַ</w:t>
      </w:r>
      <w:r w:rsidRPr="00E84DB1">
        <w:rPr>
          <w:rFonts w:eastAsia="Times New Roman" w:cs="DecoType Naskh" w:hint="cs"/>
          <w:color w:val="auto"/>
          <w:kern w:val="0"/>
          <w:szCs w:val="26"/>
          <w:rtl/>
          <w:lang w:bidi="ar-JO"/>
          <w14:ligatures w14:val="none"/>
        </w:rPr>
        <w:t xml:space="preserve"> مكان </w:t>
      </w:r>
      <w:r w:rsidRPr="00E84DB1">
        <w:rPr>
          <w:rFonts w:ascii="Ezra SIL" w:eastAsia="Times New Roman" w:hAnsi="Ezra SIL" w:cs="Ezra SIL" w:hint="cs"/>
          <w:b/>
          <w:color w:val="auto"/>
          <w:kern w:val="0"/>
          <w:rtl/>
          <w:lang w:bidi="he-IL"/>
          <w14:ligatures w14:val="none"/>
        </w:rPr>
        <w:t>נִשְׁמָה</w:t>
      </w:r>
      <w:r w:rsidRPr="00E84DB1">
        <w:rPr>
          <w:rFonts w:eastAsia="Times New Roman" w:cs="DecoType Naskh" w:hint="cs"/>
          <w:color w:val="auto"/>
          <w:kern w:val="0"/>
          <w:szCs w:val="26"/>
          <w:rtl/>
          <w:lang w:bidi="ar-JO"/>
          <w14:ligatures w14:val="none"/>
        </w:rPr>
        <w:t xml:space="preserve">) في تكوين 6: 17 و 7: 15 حول كل حياة، سواء كانت حيوانية أم بشرية.  ونجد شكلاً معدّلاً قليلاً (مع المحافظة على كلمة </w:t>
      </w:r>
      <w:r w:rsidRPr="00E84DB1">
        <w:rPr>
          <w:rFonts w:ascii="Ezra SIL" w:eastAsia="Times New Roman" w:hAnsi="Ezra SIL" w:cs="Ezra SIL" w:hint="cs"/>
          <w:b/>
          <w:color w:val="auto"/>
          <w:kern w:val="0"/>
          <w:rtl/>
          <w:lang w:bidi="he-IL"/>
          <w14:ligatures w14:val="none"/>
        </w:rPr>
        <w:t>נִשְׁמָה</w:t>
      </w:r>
      <w:r w:rsidRPr="00E84DB1">
        <w:rPr>
          <w:rFonts w:eastAsia="Times New Roman" w:cs="DecoType Naskh" w:hint="cs"/>
          <w:color w:val="auto"/>
          <w:kern w:val="0"/>
          <w:szCs w:val="26"/>
          <w:rtl/>
          <w:lang w:bidi="ar-JO"/>
          <w14:ligatures w14:val="none"/>
        </w:rPr>
        <w:t xml:space="preserve">) في تكوين 7: 22، مرتبطاً على ما يبدو بكل من العالم الحيواني والعالم البشري.  وعلى الرغم من أن روس يزعم أن هذه الكلمة الدالة على </w:t>
      </w:r>
      <w:r w:rsidRPr="00E84DB1">
        <w:rPr>
          <w:rFonts w:eastAsia="Times New Roman" w:cs="DecoType Naskh" w:hint="cs"/>
          <w:i/>
          <w:iCs/>
          <w:color w:val="auto"/>
          <w:kern w:val="0"/>
          <w:szCs w:val="26"/>
          <w:rtl/>
          <w:lang w:bidi="ar-JO"/>
          <w14:ligatures w14:val="none"/>
        </w:rPr>
        <w:t>نسمة</w:t>
      </w:r>
      <w:r w:rsidRPr="00E84DB1">
        <w:rPr>
          <w:rFonts w:eastAsia="Times New Roman" w:cs="DecoType Naskh" w:hint="cs"/>
          <w:color w:val="auto"/>
          <w:kern w:val="0"/>
          <w:szCs w:val="26"/>
          <w:rtl/>
          <w:lang w:bidi="ar-JO"/>
          <w14:ligatures w14:val="none"/>
        </w:rPr>
        <w:t xml:space="preserve"> لا تُستخدم أبداً عن الحيوانات (</w:t>
      </w:r>
      <w:r w:rsidRPr="00E84DB1">
        <w:rPr>
          <w:rFonts w:eastAsia="Times New Roman" w:cs="DecoType Naskh"/>
          <w:i/>
          <w:iCs/>
          <w:color w:val="auto"/>
          <w:kern w:val="0"/>
          <w:szCs w:val="26"/>
          <w14:ligatures w14:val="none"/>
        </w:rPr>
        <w:t>Creation &amp; Blessing</w:t>
      </w:r>
      <w:r w:rsidRPr="00E84DB1">
        <w:rPr>
          <w:rFonts w:eastAsia="Times New Roman" w:cs="DecoType Naskh"/>
          <w:color w:val="auto"/>
          <w:kern w:val="0"/>
          <w:szCs w:val="26"/>
          <w14:ligatures w14:val="none"/>
        </w:rPr>
        <w:t>, 122</w:t>
      </w:r>
      <w:r w:rsidRPr="00E84DB1">
        <w:rPr>
          <w:rFonts w:eastAsia="Times New Roman" w:cs="DecoType Naskh" w:hint="cs"/>
          <w:color w:val="auto"/>
          <w:kern w:val="0"/>
          <w:szCs w:val="26"/>
          <w:rtl/>
          <w:lang w:bidi="ar-JO"/>
          <w14:ligatures w14:val="none"/>
        </w:rPr>
        <w:t xml:space="preserve">)، إلا أن ونهام أكثر دقّة على الأرجح في التوكيد أن للحيوانات أيضاً "نسمة حياة".  ومن دراستنا لآيات مثل أيوب 27: 3؛ 33: 4 و 1ملوك 17: 17، نرى أنَّ الفكرة الأساسية من هذه الكلمة هي كون المرء أو الحيوان "حيّاً" (لا أن له "حياة أبدية").  فإزالة "نسمة الحياة" إذاً هي بمثابة أخذ الحياة المادية من الكائن الحي (سواء كان إنساناً أم حيواناً).  غير أن "نسمة الحياة" </w:t>
      </w:r>
      <w:r w:rsidRPr="00E84DB1">
        <w:rPr>
          <w:rFonts w:eastAsia="Times New Roman" w:cs="DecoType Naskh" w:hint="cs"/>
          <w:color w:val="auto"/>
          <w:kern w:val="0"/>
          <w:szCs w:val="26"/>
          <w:u w:val="single"/>
          <w:rtl/>
          <w:lang w:bidi="ar-JO"/>
          <w14:ligatures w14:val="none"/>
        </w:rPr>
        <w:t>في الإنسان</w:t>
      </w:r>
      <w:r w:rsidRPr="00E84DB1">
        <w:rPr>
          <w:rFonts w:eastAsia="Times New Roman" w:cs="DecoType Naskh" w:hint="cs"/>
          <w:color w:val="auto"/>
          <w:kern w:val="0"/>
          <w:szCs w:val="26"/>
          <w:rtl/>
          <w:lang w:bidi="ar-JO"/>
          <w14:ligatures w14:val="none"/>
        </w:rPr>
        <w:t xml:space="preserve"> توحي في بعض الحالات بأكثر من مجرد الحياة المادية (انظر أيوب 32: 8- "</w:t>
      </w:r>
      <w:r w:rsidRPr="00E84DB1">
        <w:rPr>
          <w:rFonts w:eastAsia="Times New Roman" w:cs="DecoType Naskh" w:hint="cs"/>
          <w:i/>
          <w:iCs/>
          <w:color w:val="auto"/>
          <w:kern w:val="0"/>
          <w:szCs w:val="26"/>
          <w:rtl/>
          <w:lang w:bidi="ar-JO"/>
          <w14:ligatures w14:val="none"/>
        </w:rPr>
        <w:t>ونسمة</w:t>
      </w:r>
      <w:r w:rsidRPr="00E84DB1">
        <w:rPr>
          <w:rFonts w:eastAsia="Times New Roman" w:cs="DecoType Naskh" w:hint="cs"/>
          <w:color w:val="auto"/>
          <w:kern w:val="0"/>
          <w:szCs w:val="26"/>
          <w:rtl/>
          <w:lang w:bidi="ar-JO"/>
          <w14:ligatures w14:val="none"/>
        </w:rPr>
        <w:t xml:space="preserve"> </w:t>
      </w:r>
      <w:r w:rsidRPr="00E84DB1">
        <w:rPr>
          <w:rFonts w:ascii="Ezra SIL" w:eastAsia="Times New Roman" w:hAnsi="Ezra SIL" w:cs="Ezra SIL" w:hint="cs"/>
          <w:b/>
          <w:color w:val="auto"/>
          <w:kern w:val="0"/>
          <w:rtl/>
          <w:lang w:bidi="he-IL"/>
          <w14:ligatures w14:val="none"/>
        </w:rPr>
        <w:t>נִשְׁמָה</w:t>
      </w:r>
      <w:r w:rsidRPr="00E84DB1">
        <w:rPr>
          <w:rFonts w:ascii="Hebrew" w:eastAsia="Times New Roman" w:hAnsi="Hebrew" w:cs="DecoType Naskh"/>
          <w:color w:val="auto"/>
          <w:kern w:val="0"/>
          <w:szCs w:val="26"/>
          <w14:ligatures w14:val="none"/>
        </w:rPr>
        <w:t>]</w:t>
      </w:r>
      <w:r w:rsidRPr="00E84DB1">
        <w:rPr>
          <w:rFonts w:eastAsia="Times New Roman" w:cs="DecoType Naskh" w:hint="cs"/>
          <w:color w:val="auto"/>
          <w:kern w:val="0"/>
          <w:szCs w:val="26"/>
          <w:rtl/>
          <w:lang w:bidi="ar-JO"/>
          <w14:ligatures w14:val="none"/>
        </w:rPr>
        <w:t xml:space="preserve"> القدير تعقّلهم") وقد ترتبط أيضاً بضمير الإنسان (انظر أمثال 20: 27).  ويصعب التأكد إن كان كل هذا متضمناً في حالة تكوين 2: 7.  ويزعم ليوبولد (1: 116) أن الهام ليس النسمة نفسها، ولكن أسلوب منحها (أي مباشرةً وبشكلٍ شخصي من الله)، وهو ما يعطي الإنسان كرامتهُ. </w:t>
      </w:r>
    </w:p>
    <w:p w14:paraId="0E213BD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 xml:space="preserve">ويجب أن نضع في اعتبارنا أيضاً يوحنا 20: 22 (التي تتوقع يوم الخمسين) الذي يعلَن فيه قبول الروح القدس بلغة تذكِّر بتكوين 2: 7، حيث نفخ يسوع على التلاميذ. </w:t>
      </w:r>
    </w:p>
    <w:p w14:paraId="2C027164"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إن الفكرة الأساسية في تكوين 2: 7 هي أن الله عمل مباشرة لكي يحيي الإنسان (على الرغم من أن الإنسان كان يمتلك صفات تتجاوز صفات المملكة الحيوانية، بما في ذلك الحياة الروحية).  ويمكننا أن نفترض أن إعطاء "نسمة الحياة" في حالة الإنسان لم تسفر عن صيرورة الإنسان حياً فحسب، بل أيضاً عن امتلاكه للحياة الروحية.</w:t>
      </w:r>
    </w:p>
    <w:p w14:paraId="74C4D694"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4.</w:t>
      </w:r>
      <w:r w:rsidRPr="00E84DB1">
        <w:rPr>
          <w:rFonts w:eastAsia="Times New Roman" w:cs="DecoType Naskh" w:hint="cs"/>
          <w:color w:val="auto"/>
          <w:kern w:val="0"/>
          <w:szCs w:val="26"/>
          <w:rtl/>
          <w:lang w:bidi="ar-JO"/>
          <w14:ligatures w14:val="none"/>
        </w:rPr>
        <w:tab/>
        <w:t xml:space="preserve">"نفْساً حية </w:t>
      </w:r>
      <w:r w:rsidRPr="00E84DB1">
        <w:rPr>
          <w:rFonts w:ascii="Ezra SIL" w:eastAsia="Times New Roman" w:hAnsi="Ezra SIL" w:cs="Ezra SIL" w:hint="cs"/>
          <w:color w:val="auto"/>
          <w:kern w:val="0"/>
          <w:rtl/>
          <w:lang w:bidi="he-IL"/>
          <w14:ligatures w14:val="none"/>
        </w:rPr>
        <w:t>נֶפֶשׁ חַיָּה</w:t>
      </w:r>
      <w:r w:rsidRPr="00E84DB1">
        <w:rPr>
          <w:rFonts w:ascii="Hebrew" w:eastAsia="Times New Roman" w:hAnsi="Hebrew" w:cs="DecoType Naskh"/>
          <w:color w:val="auto"/>
          <w:kern w:val="0"/>
          <w:szCs w:val="26"/>
          <w14:ligatures w14:val="none"/>
        </w:rPr>
        <w:t xml:space="preserve"> \</w:t>
      </w:r>
      <w:r w:rsidRPr="00E84DB1">
        <w:rPr>
          <w:rFonts w:eastAsia="Times New Roman" w:cs="DecoType Naskh" w:hint="cs"/>
          <w:color w:val="auto"/>
          <w:kern w:val="0"/>
          <w:szCs w:val="26"/>
          <w:rtl/>
          <w:lang w:bidi="ar-JO"/>
          <w14:ligatures w14:val="none"/>
        </w:rPr>
        <w:t xml:space="preserve">" أو "كائناً حياً" حسب ترجمة </w:t>
      </w:r>
      <w:r w:rsidRPr="00E84DB1">
        <w:rPr>
          <w:rFonts w:eastAsia="Times New Roman" w:cs="DecoType Naskh"/>
          <w:color w:val="auto"/>
          <w:kern w:val="0"/>
          <w:szCs w:val="26"/>
          <w14:ligatures w14:val="none"/>
        </w:rPr>
        <w:t>NASB</w:t>
      </w:r>
      <w:r w:rsidRPr="00E84DB1">
        <w:rPr>
          <w:rFonts w:eastAsia="Times New Roman" w:cs="DecoType Naskh" w:hint="cs"/>
          <w:color w:val="auto"/>
          <w:kern w:val="0"/>
          <w:szCs w:val="26"/>
          <w:rtl/>
          <w:lang w:bidi="ar-JO"/>
          <w14:ligatures w14:val="none"/>
        </w:rPr>
        <w:t xml:space="preserve"> </w:t>
      </w:r>
      <w:r w:rsidRPr="00E84DB1">
        <w:rPr>
          <w:rFonts w:eastAsia="Times New Roman" w:cs="DecoType Naskh"/>
          <w:color w:val="auto"/>
          <w:kern w:val="0"/>
          <w:szCs w:val="26"/>
          <w:rtl/>
          <w:lang w:bidi="ar-JO"/>
          <w14:ligatures w14:val="none"/>
        </w:rPr>
        <w:t>–</w:t>
      </w:r>
      <w:r w:rsidRPr="00E84DB1">
        <w:rPr>
          <w:rFonts w:eastAsia="Times New Roman" w:cs="DecoType Naskh" w:hint="cs"/>
          <w:color w:val="auto"/>
          <w:kern w:val="0"/>
          <w:szCs w:val="26"/>
          <w:rtl/>
          <w:lang w:bidi="ar-JO"/>
          <w14:ligatures w14:val="none"/>
        </w:rPr>
        <w:t xml:space="preserve"> كلمة "نفْس" </w:t>
      </w:r>
      <w:r w:rsidRPr="00E84DB1">
        <w:rPr>
          <w:rFonts w:ascii="Ezra SIL" w:eastAsia="Times New Roman" w:hAnsi="Ezra SIL" w:cs="Ezra SIL" w:hint="cs"/>
          <w:color w:val="auto"/>
          <w:kern w:val="0"/>
          <w:rtl/>
          <w:lang w:bidi="he-IL"/>
          <w14:ligatures w14:val="none"/>
        </w:rPr>
        <w:t>נֶפֶשׁ</w:t>
      </w:r>
      <w:r w:rsidRPr="00E84DB1">
        <w:rPr>
          <w:rFonts w:eastAsia="Times New Roman" w:cs="DecoType Naskh" w:hint="cs"/>
          <w:color w:val="auto"/>
          <w:kern w:val="0"/>
          <w:szCs w:val="26"/>
          <w:rtl/>
          <w:lang w:bidi="ar-JO"/>
          <w14:ligatures w14:val="none"/>
        </w:rPr>
        <w:t xml:space="preserve"> هنا كناية عن كل "الشخص" أو "الذات".  لقد نتج عن نفخ الله في الإنسان أن أصبح الإنسان كائناً حياً (وهو تعبير يستخدم في تكوين 1: 24 و2: 19 عن المملكة الحيوانية).</w:t>
      </w:r>
    </w:p>
    <w:p w14:paraId="3E68D005"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يستنتج ونهام (</w:t>
      </w:r>
      <w:r w:rsidRPr="00E84DB1">
        <w:rPr>
          <w:rFonts w:eastAsia="Times New Roman" w:cs="DecoType Naskh"/>
          <w:i/>
          <w:iCs/>
          <w:color w:val="auto"/>
          <w:kern w:val="0"/>
          <w:szCs w:val="26"/>
          <w14:ligatures w14:val="none"/>
        </w:rPr>
        <w:t>Genesis</w:t>
      </w:r>
      <w:r w:rsidRPr="00E84DB1">
        <w:rPr>
          <w:rFonts w:eastAsia="Times New Roman" w:cs="DecoType Naskh"/>
          <w:color w:val="auto"/>
          <w:kern w:val="0"/>
          <w:szCs w:val="26"/>
          <w14:ligatures w14:val="none"/>
        </w:rPr>
        <w:t xml:space="preserve"> 1-15, 61</w:t>
      </w:r>
      <w:r w:rsidRPr="00E84DB1">
        <w:rPr>
          <w:rFonts w:eastAsia="Times New Roman" w:cs="DecoType Naskh" w:hint="cs"/>
          <w:color w:val="auto"/>
          <w:kern w:val="0"/>
          <w:szCs w:val="26"/>
          <w:rtl/>
          <w:lang w:bidi="ar-JO"/>
          <w14:ligatures w14:val="none"/>
        </w:rPr>
        <w:t>):</w:t>
      </w:r>
    </w:p>
    <w:p w14:paraId="56012B27"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ليس امتلاك الإنسان "نسمة الحياة" أو حالته بصفته "مخلوقاً حياً" هو ما يفرّقه عن الحيوانات.... فالحيوانات توصف بالتعابير نفسها.  لكن تكوين 1: 26-28 تؤكد فرادة الإنسان لأن الإنسان وحده هو الذي خُلِق على صورة الله، ولأنه أُعطي سلطة عى الحيوانات.</w:t>
      </w:r>
    </w:p>
    <w:p w14:paraId="05E1611F"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ولقد كان للإنسان المخلوق بهذا الأسلوب المتسم بالحرص والعناية القدرة على خدمة الله.</w:t>
      </w:r>
    </w:p>
    <w:p w14:paraId="32578F98"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p>
    <w:p w14:paraId="642C8FEF" w14:textId="77777777" w:rsidR="00E84DB1" w:rsidRPr="00E84DB1" w:rsidRDefault="00E84DB1"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E84DB1">
        <w:rPr>
          <w:rFonts w:eastAsia="Times New Roman" w:cs="DecoType Naskh" w:hint="cs"/>
          <w:bCs/>
          <w:color w:val="auto"/>
          <w:kern w:val="0"/>
          <w:szCs w:val="26"/>
          <w:rtl/>
          <w14:ligatures w14:val="none"/>
        </w:rPr>
        <w:t>ب.</w:t>
      </w:r>
      <w:r w:rsidRPr="00E84DB1">
        <w:rPr>
          <w:rFonts w:eastAsia="Times New Roman" w:cs="DecoType Naskh" w:hint="cs"/>
          <w:bCs/>
          <w:color w:val="auto"/>
          <w:kern w:val="0"/>
          <w:szCs w:val="26"/>
          <w:rtl/>
          <w14:ligatures w14:val="none"/>
        </w:rPr>
        <w:tab/>
        <w:t>الخلفية المعدة لطاعة الإنسان لوصايا الله (2: 8-17)</w:t>
      </w:r>
    </w:p>
    <w:p w14:paraId="1C9ABC3D"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يركّز هذا القسم على الجنة التي هي الحلبة لامتحان الطاعة.  والتركيز هو على الأشجار في الجنة:</w:t>
      </w:r>
    </w:p>
    <w:p w14:paraId="77341FA9"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E84DB1">
        <w:rPr>
          <w:rFonts w:eastAsia="Times New Roman" w:cs="DecoType Naskh" w:hint="cs"/>
          <w:color w:val="auto"/>
          <w:kern w:val="0"/>
          <w:szCs w:val="26"/>
          <w:u w:val="single"/>
          <w:rtl/>
          <w:lang w:bidi="ar-JO"/>
          <w14:ligatures w14:val="none"/>
        </w:rPr>
        <w:t>شجرة الحياة</w:t>
      </w:r>
      <w:r w:rsidRPr="00E84DB1">
        <w:rPr>
          <w:rFonts w:eastAsia="Times New Roman" w:cs="DecoType Naskh" w:hint="cs"/>
          <w:color w:val="auto"/>
          <w:kern w:val="0"/>
          <w:szCs w:val="26"/>
          <w:rtl/>
          <w:lang w:bidi="ar-JO"/>
          <w14:ligatures w14:val="none"/>
        </w:rPr>
        <w:t>: وسيلة للحفاظ على الحياة وتعزيزها في حالتها السعيدة.</w:t>
      </w:r>
    </w:p>
    <w:p w14:paraId="25AF9CB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u w:val="single"/>
          <w:rtl/>
          <w:lang w:bidi="ar-JO"/>
          <w14:ligatures w14:val="none"/>
        </w:rPr>
        <w:t>شجرة معرفة الخير والشر</w:t>
      </w:r>
      <w:r w:rsidRPr="00E84DB1">
        <w:rPr>
          <w:rFonts w:eastAsia="Times New Roman" w:cs="DecoType Naskh" w:hint="cs"/>
          <w:color w:val="auto"/>
          <w:kern w:val="0"/>
          <w:szCs w:val="26"/>
          <w:rtl/>
          <w:lang w:bidi="ar-JO"/>
          <w14:ligatures w14:val="none"/>
        </w:rPr>
        <w:t>- طِباق للأشياء التي تحمي وتدمّر الحياة.  وينتج عن هذا عقول جعلتها معرفة الشر تظلم.</w:t>
      </w:r>
    </w:p>
    <w:p w14:paraId="5D1CF2B9"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إنَّ تجاوز الحدود يؤدي إلى كارثة... الموت.  وسيكون هذا الموت روحياً وجسدياً.</w:t>
      </w:r>
    </w:p>
    <w:p w14:paraId="3A988AE9"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يجب أن ننتبه إلى أن الإنسان خُلق ليكون عابداً لا مجرد بستاني.  وقد اتسمت مهمته بالخدمة الروحية العالية والطاعة.  لنلاحظ التعابير التالية:</w:t>
      </w:r>
    </w:p>
    <w:p w14:paraId="0915CF1C"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E84DB1">
        <w:rPr>
          <w:rFonts w:ascii="Ezra SIL" w:eastAsia="Times New Roman" w:hAnsi="Ezra SIL" w:cs="Ezra SIL" w:hint="cs"/>
          <w:b/>
          <w:color w:val="auto"/>
          <w:kern w:val="0"/>
          <w:rtl/>
          <w:lang w:bidi="he-IL"/>
          <w14:ligatures w14:val="none"/>
        </w:rPr>
        <w:t>שָׁמַר</w:t>
      </w:r>
      <w:r w:rsidRPr="00E84DB1">
        <w:rPr>
          <w:rFonts w:eastAsia="Times New Roman" w:cs="DecoType Naskh" w:hint="cs"/>
          <w:color w:val="auto"/>
          <w:kern w:val="0"/>
          <w:szCs w:val="26"/>
          <w:rtl/>
          <w:lang w:bidi="ar-JO"/>
          <w14:ligatures w14:val="none"/>
        </w:rPr>
        <w:t xml:space="preserve"> - </w:t>
      </w:r>
      <w:r w:rsidRPr="00E84DB1">
        <w:rPr>
          <w:rFonts w:ascii="Charis SIL" w:eastAsia="Times New Roman" w:hAnsi="Charis SIL" w:cs="Charis SIL"/>
          <w:bCs/>
          <w:i/>
          <w:iCs/>
          <w:color w:val="auto"/>
          <w:kern w:val="0"/>
          <w:szCs w:val="26"/>
          <w:lang w:bidi="ar-JO"/>
          <w14:ligatures w14:val="none"/>
        </w:rPr>
        <w:t>šāmar</w:t>
      </w:r>
      <w:r w:rsidRPr="00E84DB1">
        <w:rPr>
          <w:rFonts w:eastAsia="Times New Roman" w:cs="DecoType Naskh" w:hint="cs"/>
          <w:color w:val="auto"/>
          <w:kern w:val="0"/>
          <w:szCs w:val="26"/>
          <w:rtl/>
          <w:lang w:bidi="ar-JO"/>
          <w14:ligatures w14:val="none"/>
        </w:rPr>
        <w:t xml:space="preserve"> (يحفظ، يحرس)- تستخدم هذه الكلمة للتعبير عن حفظ الوصايا ومراعاة كلمة الله وطاعتها.</w:t>
      </w:r>
    </w:p>
    <w:p w14:paraId="24B71D12"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E84DB1">
        <w:rPr>
          <w:rFonts w:ascii="Ezra SIL" w:eastAsia="Times New Roman" w:hAnsi="Ezra SIL" w:cs="Ezra SIL" w:hint="cs"/>
          <w:b/>
          <w:color w:val="auto"/>
          <w:kern w:val="0"/>
          <w:sz w:val="22"/>
          <w:rtl/>
          <w:lang w:bidi="he-IL"/>
          <w14:ligatures w14:val="none"/>
        </w:rPr>
        <w:t>עָבַד</w:t>
      </w:r>
      <w:r w:rsidRPr="00E84DB1">
        <w:rPr>
          <w:rFonts w:eastAsia="Times New Roman" w:cs="DecoType Naskh" w:hint="cs"/>
          <w:color w:val="auto"/>
          <w:kern w:val="0"/>
          <w:szCs w:val="26"/>
          <w:rtl/>
          <w:lang w:bidi="ar-JO"/>
          <w14:ligatures w14:val="none"/>
        </w:rPr>
        <w:t xml:space="preserve"> - </w:t>
      </w:r>
      <w:r w:rsidRPr="00E84DB1">
        <w:rPr>
          <w:rFonts w:ascii="Charis SIL" w:eastAsia="Times New Roman" w:hAnsi="Charis SIL" w:cs="Charis SIL"/>
          <w:bCs/>
          <w:i/>
          <w:iCs/>
          <w:color w:val="auto"/>
          <w:kern w:val="0"/>
          <w:szCs w:val="26"/>
          <w:lang w:bidi="ar-JO"/>
          <w14:ligatures w14:val="none"/>
        </w:rPr>
        <w:t>ʿāḇaḏ</w:t>
      </w:r>
      <w:r w:rsidRPr="00E84DB1">
        <w:rPr>
          <w:rFonts w:eastAsia="Times New Roman" w:cs="DecoType Naskh" w:hint="cs"/>
          <w:color w:val="auto"/>
          <w:kern w:val="0"/>
          <w:szCs w:val="26"/>
          <w:rtl/>
          <w:lang w:bidi="ar-JO"/>
          <w14:ligatures w14:val="none"/>
        </w:rPr>
        <w:t xml:space="preserve"> (يخدم، يعبد)- تُستخدم هذه الكلمة لتصف الإنسان بصفته </w:t>
      </w:r>
      <w:r w:rsidRPr="00E84DB1">
        <w:rPr>
          <w:rFonts w:eastAsia="Times New Roman" w:cs="DecoType Naskh" w:hint="cs"/>
          <w:color w:val="auto"/>
          <w:kern w:val="0"/>
          <w:szCs w:val="26"/>
          <w:u w:val="single"/>
          <w:rtl/>
          <w:lang w:bidi="ar-JO"/>
          <w14:ligatures w14:val="none"/>
        </w:rPr>
        <w:t>خادماً</w:t>
      </w:r>
      <w:r w:rsidRPr="00E84DB1">
        <w:rPr>
          <w:rFonts w:eastAsia="Times New Roman" w:cs="DecoType Naskh" w:hint="cs"/>
          <w:color w:val="auto"/>
          <w:kern w:val="0"/>
          <w:szCs w:val="26"/>
          <w:rtl/>
          <w:lang w:bidi="ar-JO"/>
          <w14:ligatures w14:val="none"/>
        </w:rPr>
        <w:t xml:space="preserve"> ليهوه، وهي أسمى خدمة روحية يمكن أن يتمتع بها الإنسان.</w:t>
      </w:r>
    </w:p>
    <w:p w14:paraId="1FE30259"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E84DB1">
        <w:rPr>
          <w:rFonts w:ascii="Ezra SIL" w:eastAsia="Times New Roman" w:hAnsi="Ezra SIL" w:cs="Ezra SIL" w:hint="cs"/>
          <w:b/>
          <w:color w:val="auto"/>
          <w:kern w:val="0"/>
          <w:rtl/>
          <w:lang w:bidi="he-IL"/>
          <w14:ligatures w14:val="none"/>
        </w:rPr>
        <w:t>צָוָה</w:t>
      </w:r>
      <w:r w:rsidRPr="00E84DB1">
        <w:rPr>
          <w:rFonts w:eastAsia="Times New Roman" w:cs="DecoType Naskh" w:hint="cs"/>
          <w:color w:val="auto"/>
          <w:kern w:val="0"/>
          <w:szCs w:val="26"/>
          <w:rtl/>
          <w:lang w:bidi="ar-JO"/>
          <w14:ligatures w14:val="none"/>
        </w:rPr>
        <w:t xml:space="preserve"> - </w:t>
      </w:r>
      <w:r w:rsidRPr="00E84DB1">
        <w:rPr>
          <w:rFonts w:ascii="Charis SIL" w:eastAsia="Times New Roman" w:hAnsi="Charis SIL" w:cs="Charis SIL"/>
          <w:bCs/>
          <w:i/>
          <w:iCs/>
          <w:color w:val="auto"/>
          <w:kern w:val="0"/>
          <w:szCs w:val="26"/>
          <w:lang w:bidi="ar-JO"/>
          <w14:ligatures w14:val="none"/>
        </w:rPr>
        <w:t>ṣāwâ</w:t>
      </w:r>
      <w:r w:rsidRPr="00E84DB1">
        <w:rPr>
          <w:rFonts w:eastAsia="Times New Roman" w:cs="DecoType Naskh" w:hint="cs"/>
          <w:color w:val="auto"/>
          <w:kern w:val="0"/>
          <w:szCs w:val="26"/>
          <w:rtl/>
          <w:lang w:bidi="ar-JO"/>
          <w14:ligatures w14:val="none"/>
        </w:rPr>
        <w:t xml:space="preserve"> (يوصي، يأمر)- الكلمة الرئيسية للأمر/الوصية في العهد القديم (إن الوضع الملائم للإنسان هو أن يتعلم من الرب وأن يطيع تعاليمه).</w:t>
      </w:r>
    </w:p>
    <w:p w14:paraId="62DDDCC2"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lastRenderedPageBreak/>
        <w:t>الاستنتاج: لقد تمت تهيئة الجنس البشري بقدرة روحية، ومن ثم وضِع في وضعٍ لاختبار طاعته كمتعبد حقيقي لله، لتكون نتيجة لامتحان إما الحياة أو الموت.</w:t>
      </w:r>
    </w:p>
    <w:p w14:paraId="746AE2CD"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438BDAFE" w14:textId="77777777" w:rsidR="00E84DB1" w:rsidRPr="00E84DB1" w:rsidRDefault="00E84DB1"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E84DB1">
        <w:rPr>
          <w:rFonts w:eastAsia="Times New Roman" w:cs="DecoType Naskh" w:hint="cs"/>
          <w:bCs/>
          <w:color w:val="auto"/>
          <w:kern w:val="0"/>
          <w:szCs w:val="26"/>
          <w:rtl/>
          <w14:ligatures w14:val="none"/>
        </w:rPr>
        <w:t>جـ.</w:t>
      </w:r>
      <w:r w:rsidRPr="00E84DB1">
        <w:rPr>
          <w:rFonts w:eastAsia="Times New Roman" w:cs="DecoType Naskh" w:hint="cs"/>
          <w:bCs/>
          <w:color w:val="auto"/>
          <w:kern w:val="0"/>
          <w:szCs w:val="26"/>
          <w:rtl/>
          <w14:ligatures w14:val="none"/>
        </w:rPr>
        <w:tab/>
        <w:t>اكتمال خلق الصورة (2: 18-25)</w:t>
      </w:r>
    </w:p>
    <w:p w14:paraId="675D1A50"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يقول لنا النص إنه لم يكن أمراً </w:t>
      </w:r>
      <w:r w:rsidRPr="00E84DB1">
        <w:rPr>
          <w:rFonts w:eastAsia="Times New Roman" w:cs="DecoType Naskh" w:hint="cs"/>
          <w:color w:val="auto"/>
          <w:kern w:val="0"/>
          <w:szCs w:val="26"/>
          <w:u w:val="single"/>
          <w:rtl/>
          <w:lang w:bidi="ar-JO"/>
          <w14:ligatures w14:val="none"/>
        </w:rPr>
        <w:t>جيداً</w:t>
      </w:r>
      <w:r w:rsidRPr="00E84DB1">
        <w:rPr>
          <w:rFonts w:eastAsia="Times New Roman" w:cs="DecoType Naskh" w:hint="cs"/>
          <w:color w:val="auto"/>
          <w:kern w:val="0"/>
          <w:szCs w:val="26"/>
          <w:rtl/>
          <w:lang w:bidi="ar-JO"/>
          <w14:ligatures w14:val="none"/>
        </w:rPr>
        <w:t xml:space="preserve"> أن يكون آدم وحده، وهو الشيء الوحيد الذي يسمّيه الله "ليس جيداً".</w:t>
      </w:r>
    </w:p>
    <w:p w14:paraId="79C7594F"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تسمية الحيوانات: كان إطلاق التسميات إشارة إلى امتلاك "السلطة" على ما يسمّيه المرء.  فعلى سبيل المثال، قام رأوبين بتغيير أسماء مدن العمّوريين بعد غزوه لها.  وهنا يمارس آدم وظيفة ممثل الله.</w:t>
      </w:r>
    </w:p>
    <w:p w14:paraId="6FBA1B44"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الع</w:t>
      </w:r>
      <w:r w:rsidRPr="00E84DB1">
        <w:rPr>
          <w:rFonts w:eastAsia="Times New Roman" w:cs="DecoType Naskh" w:hint="cs"/>
          <w:color w:val="auto"/>
          <w:kern w:val="0"/>
          <w:szCs w:val="26"/>
          <w:rtl/>
          <w14:ligatures w14:val="none"/>
        </w:rPr>
        <w:t>ُ</w:t>
      </w:r>
      <w:r w:rsidRPr="00E84DB1">
        <w:rPr>
          <w:rFonts w:eastAsia="Times New Roman" w:cs="DecoType Naskh" w:hint="cs"/>
          <w:color w:val="auto"/>
          <w:kern w:val="0"/>
          <w:szCs w:val="26"/>
          <w:rtl/>
          <w:lang w:bidi="ar-JO"/>
          <w14:ligatures w14:val="none"/>
        </w:rPr>
        <w:t>ري- يوحي هذا بأنهما كانا مطمئنّين في علاقتهما أحدهما مع الآخر دون أي خوف من استغلال أو إدراك لإمكان حدوث شر.  ويمكن أن يقال إنهما ساذجان وساهيان عن الشر، غير عارفين أين تكمن الفخاخ.</w:t>
      </w:r>
    </w:p>
    <w:p w14:paraId="51B4EB60"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24B69C77" w14:textId="77777777" w:rsidR="00E84DB1" w:rsidRPr="00E84DB1" w:rsidRDefault="00E84DB1"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E84DB1">
        <w:rPr>
          <w:rFonts w:eastAsia="Times New Roman" w:cs="DecoType Naskh" w:hint="cs"/>
          <w:bCs/>
          <w:color w:val="auto"/>
          <w:kern w:val="0"/>
          <w:szCs w:val="28"/>
          <w:rtl/>
          <w:lang w:bidi="ar-JO"/>
          <w14:ligatures w14:val="none"/>
        </w:rPr>
        <w:t>3.</w:t>
      </w:r>
      <w:r w:rsidRPr="00E84DB1">
        <w:rPr>
          <w:rFonts w:eastAsia="Times New Roman" w:cs="DecoType Naskh" w:hint="cs"/>
          <w:bCs/>
          <w:color w:val="auto"/>
          <w:kern w:val="0"/>
          <w:szCs w:val="28"/>
          <w:rtl/>
          <w:lang w:bidi="ar-JO"/>
          <w14:ligatures w14:val="none"/>
        </w:rPr>
        <w:tab/>
        <w:t>دخول الخطية إلى الجنس البشري (3: 1-24)</w:t>
      </w:r>
    </w:p>
    <w:p w14:paraId="0C9D4BDD"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هذا هو الأصحاح الرئيسي في هذه الثلاثية.  فكل ما كان للإنسان في الجنّة ضاع في السقوط.  والآن توجد لعنة، الأمر الذي يحتّم استعادة "البركة</w:t>
      </w:r>
      <w:r w:rsidRPr="00E84DB1">
        <w:rPr>
          <w:rFonts w:eastAsia="Times New Roman" w:cs="DecoType Naskh" w:hint="cs"/>
          <w:color w:val="auto"/>
          <w:kern w:val="0"/>
          <w:szCs w:val="26"/>
          <w:rtl/>
          <w14:ligatures w14:val="none"/>
        </w:rPr>
        <w:t>.</w:t>
      </w:r>
      <w:r w:rsidRPr="00E84DB1">
        <w:rPr>
          <w:rFonts w:eastAsia="Times New Roman" w:cs="DecoType Naskh" w:hint="cs"/>
          <w:color w:val="auto"/>
          <w:kern w:val="0"/>
          <w:szCs w:val="26"/>
          <w:rtl/>
          <w:lang w:bidi="ar-JO"/>
          <w14:ligatures w14:val="none"/>
        </w:rPr>
        <w:t>"</w:t>
      </w:r>
    </w:p>
    <w:p w14:paraId="09740D78" w14:textId="77777777" w:rsidR="00E84DB1" w:rsidRPr="00E84DB1" w:rsidRDefault="00E84DB1" w:rsidP="002D6C54">
      <w:pPr>
        <w:tabs>
          <w:tab w:val="left" w:pos="454"/>
        </w:tabs>
        <w:bidi/>
        <w:spacing w:after="60" w:line="240" w:lineRule="auto"/>
        <w:ind w:left="550" w:hanging="550"/>
        <w:jc w:val="both"/>
        <w:rPr>
          <w:rFonts w:eastAsia="Times New Roman" w:cs="DecoType Naskh"/>
          <w:bCs/>
          <w:color w:val="auto"/>
          <w:kern w:val="0"/>
          <w:szCs w:val="26"/>
          <w:rtl/>
          <w:lang w:bidi="ar-KW"/>
          <w14:ligatures w14:val="none"/>
        </w:rPr>
      </w:pPr>
      <w:r w:rsidRPr="00E84DB1">
        <w:rPr>
          <w:rFonts w:eastAsia="Times New Roman" w:cs="DecoType Naskh" w:hint="cs"/>
          <w:bCs/>
          <w:color w:val="auto"/>
          <w:kern w:val="0"/>
          <w:szCs w:val="26"/>
          <w:rtl/>
          <w14:ligatures w14:val="none"/>
        </w:rPr>
        <w:t>أ.</w:t>
      </w:r>
      <w:r w:rsidRPr="00E84DB1">
        <w:rPr>
          <w:rFonts w:eastAsia="Times New Roman" w:cs="DecoType Naskh" w:hint="cs"/>
          <w:bCs/>
          <w:color w:val="auto"/>
          <w:kern w:val="0"/>
          <w:szCs w:val="26"/>
          <w:rtl/>
          <w14:ligatures w14:val="none"/>
        </w:rPr>
        <w:tab/>
        <w:t>رواية التجربة بالخطية (3: 1-7)</w:t>
      </w:r>
    </w:p>
    <w:p w14:paraId="44356034"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1.</w:t>
      </w:r>
      <w:r w:rsidRPr="00E84DB1">
        <w:rPr>
          <w:rFonts w:eastAsia="Times New Roman" w:cs="DecoType Naskh" w:hint="cs"/>
          <w:color w:val="auto"/>
          <w:kern w:val="0"/>
          <w:szCs w:val="26"/>
          <w:rtl/>
          <w:lang w:bidi="ar-JO"/>
          <w14:ligatures w14:val="none"/>
        </w:rPr>
        <w:tab/>
        <w:t>مِيزة المجرب</w:t>
      </w:r>
    </w:p>
    <w:p w14:paraId="4EB879CA"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يوجد تلاعب غير مباشر بالكلمات ما بين 2: 25 و 3: 1</w:t>
      </w:r>
    </w:p>
    <w:p w14:paraId="16251E7D"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 xml:space="preserve">- كان الزوجان عاريين </w:t>
      </w:r>
      <w:r w:rsidRPr="00E84DB1">
        <w:rPr>
          <w:rFonts w:eastAsia="Times New Roman" w:cs="DecoType Naskh"/>
          <w:color w:val="auto"/>
          <w:kern w:val="0"/>
          <w:szCs w:val="26"/>
          <w:rtl/>
          <w14:ligatures w14:val="none"/>
        </w:rPr>
        <w:t>(</w:t>
      </w:r>
      <w:r w:rsidRPr="00E84DB1">
        <w:rPr>
          <w:rFonts w:ascii="Ezra SIL" w:eastAsia="Times New Roman" w:hAnsi="Ezra SIL" w:cs="Ezra SIL"/>
          <w:color w:val="auto"/>
          <w:kern w:val="0"/>
          <w:sz w:val="22"/>
          <w:rtl/>
          <w:lang w:bidi="he-IL"/>
          <w14:ligatures w14:val="none"/>
        </w:rPr>
        <w:t>עֲרוּמִּים</w:t>
      </w:r>
      <w:r w:rsidRPr="00E84DB1">
        <w:rPr>
          <w:rFonts w:eastAsia="Times New Roman" w:cs="Times New Roman"/>
          <w:color w:val="auto"/>
          <w:kern w:val="0"/>
          <w:szCs w:val="26"/>
          <w:rtl/>
          <w:lang w:bidi="he-IL"/>
          <w14:ligatures w14:val="none"/>
        </w:rPr>
        <w:t xml:space="preserve"> - </w:t>
      </w:r>
      <w:r w:rsidRPr="00E84DB1">
        <w:rPr>
          <w:rFonts w:ascii="Charis SIL" w:eastAsia="Times New Roman" w:hAnsi="Charis SIL" w:cs="Charis SIL"/>
          <w:i/>
          <w:iCs/>
          <w:color w:val="auto"/>
          <w:kern w:val="0"/>
          <w:szCs w:val="26"/>
          <w14:ligatures w14:val="none"/>
        </w:rPr>
        <w:t>ʿărûmmîm</w:t>
      </w:r>
      <w:r w:rsidRPr="00E84DB1">
        <w:rPr>
          <w:rFonts w:eastAsia="Times New Roman" w:cs="Times New Roman"/>
          <w:color w:val="auto"/>
          <w:kern w:val="0"/>
          <w:szCs w:val="26"/>
          <w:rtl/>
          <w:lang w:bidi="he-IL"/>
          <w14:ligatures w14:val="none"/>
        </w:rPr>
        <w:t>)</w:t>
      </w:r>
    </w:p>
    <w:p w14:paraId="290F6EAA"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 xml:space="preserve">- كانت الحية ماكرة </w:t>
      </w:r>
      <w:r w:rsidRPr="00E84DB1">
        <w:rPr>
          <w:rFonts w:eastAsia="Times New Roman" w:cs="DecoType Naskh"/>
          <w:color w:val="auto"/>
          <w:kern w:val="0"/>
          <w:szCs w:val="26"/>
          <w:rtl/>
          <w14:ligatures w14:val="none"/>
        </w:rPr>
        <w:t>(</w:t>
      </w:r>
      <w:r w:rsidRPr="00E84DB1">
        <w:rPr>
          <w:rFonts w:ascii="Ezra SIL" w:eastAsia="Times New Roman" w:hAnsi="Ezra SIL" w:cs="Ezra SIL"/>
          <w:color w:val="auto"/>
          <w:kern w:val="0"/>
          <w:sz w:val="22"/>
          <w:rtl/>
          <w:lang w:bidi="he-IL"/>
          <w14:ligatures w14:val="none"/>
        </w:rPr>
        <w:t>עָרוּם</w:t>
      </w:r>
      <w:r w:rsidRPr="00E84DB1">
        <w:rPr>
          <w:rFonts w:eastAsia="Times New Roman" w:cs="Times New Roman"/>
          <w:color w:val="auto"/>
          <w:kern w:val="0"/>
          <w:szCs w:val="26"/>
          <w:rtl/>
          <w:lang w:bidi="he-IL"/>
          <w14:ligatures w14:val="none"/>
        </w:rPr>
        <w:t xml:space="preserve"> - </w:t>
      </w:r>
      <w:r w:rsidRPr="00E84DB1">
        <w:rPr>
          <w:rFonts w:ascii="Charis SIL" w:eastAsia="Times New Roman" w:hAnsi="Charis SIL" w:cs="Charis SIL"/>
          <w:i/>
          <w:iCs/>
          <w:color w:val="auto"/>
          <w:kern w:val="0"/>
          <w:szCs w:val="26"/>
          <w14:ligatures w14:val="none"/>
        </w:rPr>
        <w:t>ʿārûm</w:t>
      </w:r>
      <w:r w:rsidRPr="00E84DB1">
        <w:rPr>
          <w:rFonts w:eastAsia="Times New Roman" w:cs="Times New Roman"/>
          <w:color w:val="auto"/>
          <w:kern w:val="0"/>
          <w:szCs w:val="26"/>
          <w:rtl/>
          <w:lang w:bidi="he-IL"/>
          <w14:ligatures w14:val="none"/>
        </w:rPr>
        <w:t>)</w:t>
      </w:r>
    </w:p>
    <w:p w14:paraId="50152DA6"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إن الفكرة هنا ذات دلالة: فقد كانا في عريهما ساهيين عن الشر، غير عارفين مواقع الأشراك.  ومن ناحية أخرى، استخدم إبليس مكره لاستغلالهما.</w:t>
      </w:r>
    </w:p>
    <w:p w14:paraId="5785147E"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2.</w:t>
      </w:r>
      <w:r w:rsidRPr="00E84DB1">
        <w:rPr>
          <w:rFonts w:eastAsia="Times New Roman" w:cs="DecoType Naskh" w:hint="cs"/>
          <w:color w:val="auto"/>
          <w:kern w:val="0"/>
          <w:szCs w:val="26"/>
          <w:rtl/>
          <w:lang w:bidi="ar-JO"/>
          <w14:ligatures w14:val="none"/>
        </w:rPr>
        <w:tab/>
        <w:t>عملية التجربة (الإغواء بارتكاب الخطية)</w:t>
      </w:r>
    </w:p>
    <w:p w14:paraId="277001CA"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أ.</w:t>
      </w:r>
      <w:r w:rsidRPr="00E84DB1">
        <w:rPr>
          <w:rFonts w:eastAsia="Times New Roman" w:cs="DecoType Naskh" w:hint="cs"/>
          <w:color w:val="auto"/>
          <w:kern w:val="0"/>
          <w:szCs w:val="26"/>
          <w:rtl/>
          <w:lang w:bidi="ar-JO"/>
          <w14:ligatures w14:val="none"/>
        </w:rPr>
        <w:tab/>
        <w:t>تأتي التجربة مقنَّعة (على شكل حيّة)</w:t>
      </w:r>
    </w:p>
    <w:p w14:paraId="0F0157F6"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ب.</w:t>
      </w:r>
      <w:r w:rsidRPr="00E84DB1">
        <w:rPr>
          <w:rFonts w:eastAsia="Times New Roman" w:cs="DecoType Naskh" w:hint="cs"/>
          <w:color w:val="auto"/>
          <w:kern w:val="0"/>
          <w:szCs w:val="26"/>
          <w:rtl/>
          <w:lang w:bidi="ar-JO"/>
          <w14:ligatures w14:val="none"/>
        </w:rPr>
        <w:tab/>
        <w:t>التجربة ماكرة (غير مباشرة) وليست إغراء</w:t>
      </w:r>
      <w:r w:rsidRPr="00E84DB1">
        <w:rPr>
          <w:rFonts w:eastAsia="Times New Roman" w:cs="DecoType Naskh" w:hint="cs"/>
          <w:color w:val="auto"/>
          <w:kern w:val="0"/>
          <w:szCs w:val="26"/>
          <w:rtl/>
          <w14:ligatures w14:val="none"/>
        </w:rPr>
        <w:t>ً</w:t>
      </w:r>
      <w:r w:rsidRPr="00E84DB1">
        <w:rPr>
          <w:rFonts w:eastAsia="Times New Roman" w:cs="DecoType Naskh" w:hint="cs"/>
          <w:color w:val="auto"/>
          <w:kern w:val="0"/>
          <w:szCs w:val="26"/>
          <w:rtl/>
          <w:lang w:bidi="ar-JO"/>
          <w14:ligatures w14:val="none"/>
        </w:rPr>
        <w:t xml:space="preserve"> صخّاباً بالخطية.</w:t>
      </w:r>
    </w:p>
    <w:p w14:paraId="419826F9"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جـ.</w:t>
      </w:r>
      <w:r w:rsidRPr="00E84DB1">
        <w:rPr>
          <w:rFonts w:eastAsia="Times New Roman" w:cs="DecoType Naskh" w:hint="cs"/>
          <w:color w:val="auto"/>
          <w:kern w:val="0"/>
          <w:szCs w:val="26"/>
          <w:rtl/>
          <w:lang w:bidi="ar-JO"/>
          <w14:ligatures w14:val="none"/>
        </w:rPr>
        <w:tab/>
        <w:t>يهاجم إبليس نقطة الضعف بالتوجّه إلى المرأة (كانت الوصية قد أُعطيت للرجل).</w:t>
      </w:r>
    </w:p>
    <w:p w14:paraId="051BF78D"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د.</w:t>
      </w:r>
      <w:r w:rsidRPr="00E84DB1">
        <w:rPr>
          <w:rFonts w:eastAsia="Times New Roman" w:cs="DecoType Naskh" w:hint="cs"/>
          <w:color w:val="auto"/>
          <w:kern w:val="0"/>
          <w:szCs w:val="26"/>
          <w:rtl/>
          <w:lang w:bidi="ar-JO"/>
          <w14:ligatures w14:val="none"/>
        </w:rPr>
        <w:tab/>
        <w:t>يبدأ إبليس باستكشاف ما تعرفه المرأة عن كلمة الله (الآية 1)</w:t>
      </w:r>
    </w:p>
    <w:p w14:paraId="1CF48E94"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هـ.</w:t>
      </w:r>
      <w:r w:rsidRPr="00E84DB1">
        <w:rPr>
          <w:rFonts w:eastAsia="Times New Roman" w:cs="DecoType Naskh" w:hint="cs"/>
          <w:color w:val="auto"/>
          <w:kern w:val="0"/>
          <w:szCs w:val="26"/>
          <w:rtl/>
          <w:lang w:bidi="ar-JO"/>
          <w14:ligatures w14:val="none"/>
        </w:rPr>
        <w:tab/>
        <w:t>يكتشف إبليس غياب الفهم لديها:</w:t>
      </w:r>
    </w:p>
    <w:p w14:paraId="6D0E79A3"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1) تضيف إلى التحريم الذي فرضه الله ("لا تمسّاه")</w:t>
      </w:r>
    </w:p>
    <w:p w14:paraId="5F5D530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2) تضعف من الجزاء</w:t>
      </w:r>
    </w:p>
    <w:p w14:paraId="1A482F35"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قال الله: "موتاً تموت" (مع وجود مصدر مطلق للتأكيد)</w:t>
      </w:r>
    </w:p>
    <w:p w14:paraId="5E47C60A"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أمّا حواء فقالت "نموت" فقط (في ترجمة البستاني "لئلا تموتا") </w:t>
      </w:r>
    </w:p>
    <w:p w14:paraId="028559E9"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3) لا تفهم حوّاء المدى الكامل للغنى أو التدبير الذي وفّره الله.</w:t>
      </w:r>
    </w:p>
    <w:p w14:paraId="50D6DED0"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قال الله: "تأكل أكلاً" (أي كل ما تريد-دون قيود</w:t>
      </w:r>
      <w:r w:rsidRPr="00E84DB1">
        <w:rPr>
          <w:rFonts w:eastAsia="Times New Roman" w:cs="DecoType Naskh" w:hint="cs"/>
          <w:color w:val="auto"/>
          <w:kern w:val="0"/>
          <w:szCs w:val="26"/>
          <w:rtl/>
          <w14:ligatures w14:val="none"/>
        </w:rPr>
        <w:t xml:space="preserve"> - مصدر مطلق للتأكيد على الحرية</w:t>
      </w:r>
      <w:r w:rsidRPr="00E84DB1">
        <w:rPr>
          <w:rFonts w:eastAsia="Times New Roman" w:cs="DecoType Naskh" w:hint="cs"/>
          <w:color w:val="auto"/>
          <w:kern w:val="0"/>
          <w:szCs w:val="26"/>
          <w:rtl/>
          <w:lang w:bidi="ar-JO"/>
          <w14:ligatures w14:val="none"/>
        </w:rPr>
        <w:t>)</w:t>
      </w:r>
    </w:p>
    <w:p w14:paraId="5E2EC0FB"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قالت حواء: "نأكل" فقط</w:t>
      </w:r>
    </w:p>
    <w:p w14:paraId="42AE51D9"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و.</w:t>
      </w:r>
      <w:r w:rsidRPr="00E84DB1">
        <w:rPr>
          <w:rFonts w:eastAsia="Times New Roman" w:cs="DecoType Naskh" w:hint="cs"/>
          <w:color w:val="auto"/>
          <w:kern w:val="0"/>
          <w:szCs w:val="26"/>
          <w:rtl/>
          <w:lang w:bidi="ar-JO"/>
          <w14:ligatures w14:val="none"/>
        </w:rPr>
        <w:tab/>
        <w:t>يتحدى إبليس كلمة الله علناً:</w:t>
      </w:r>
    </w:p>
    <w:p w14:paraId="3486C48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أ.</w:t>
      </w:r>
      <w:r w:rsidRPr="00E84DB1">
        <w:rPr>
          <w:rFonts w:eastAsia="Times New Roman" w:cs="DecoType Naskh" w:hint="cs"/>
          <w:color w:val="auto"/>
          <w:kern w:val="0"/>
          <w:szCs w:val="26"/>
          <w:rtl/>
          <w:lang w:bidi="ar-JO"/>
          <w14:ligatures w14:val="none"/>
        </w:rPr>
        <w:tab/>
        <w:t>يكذب حول الجزاء ("لن تموتا")</w:t>
      </w:r>
    </w:p>
    <w:p w14:paraId="312F4372"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الفكرة هنا، يمكنك أن تخطئي وتفلتي من العقاب.</w:t>
      </w:r>
    </w:p>
    <w:p w14:paraId="7D3B274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ب.</w:t>
      </w:r>
      <w:r w:rsidRPr="00E84DB1">
        <w:rPr>
          <w:rFonts w:eastAsia="Times New Roman" w:cs="DecoType Naskh" w:hint="cs"/>
          <w:color w:val="auto"/>
          <w:kern w:val="0"/>
          <w:szCs w:val="26"/>
          <w:rtl/>
          <w:lang w:bidi="ar-JO"/>
          <w14:ligatures w14:val="none"/>
        </w:rPr>
        <w:tab/>
        <w:t xml:space="preserve">يوحي بأن لدى الله دافعاً سيئاً- يريد أن يحرمهما من شيء </w:t>
      </w:r>
      <w:r w:rsidRPr="00E84DB1">
        <w:rPr>
          <w:rFonts w:eastAsia="Times New Roman" w:cs="DecoType Naskh" w:hint="cs"/>
          <w:color w:val="auto"/>
          <w:kern w:val="0"/>
          <w:szCs w:val="26"/>
          <w:rtl/>
          <w14:ligatures w14:val="none"/>
        </w:rPr>
        <w:t>ما</w:t>
      </w:r>
      <w:r w:rsidRPr="00E84DB1">
        <w:rPr>
          <w:rFonts w:eastAsia="Times New Roman" w:cs="DecoType Naskh" w:hint="cs"/>
          <w:color w:val="auto"/>
          <w:kern w:val="0"/>
          <w:szCs w:val="26"/>
          <w:rtl/>
          <w:lang w:bidi="ar-JO"/>
          <w14:ligatures w14:val="none"/>
        </w:rPr>
        <w:t>.</w:t>
      </w:r>
    </w:p>
    <w:p w14:paraId="615FD2B2"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جـ.</w:t>
      </w:r>
      <w:r w:rsidRPr="00E84DB1">
        <w:rPr>
          <w:rFonts w:eastAsia="Times New Roman" w:cs="DecoType Naskh" w:hint="cs"/>
          <w:color w:val="auto"/>
          <w:kern w:val="0"/>
          <w:szCs w:val="26"/>
          <w:rtl/>
          <w:lang w:bidi="ar-JO"/>
          <w14:ligatures w14:val="none"/>
        </w:rPr>
        <w:tab/>
        <w:t xml:space="preserve">يحاول إغراءها بدوافع أعلى </w:t>
      </w:r>
      <w:r w:rsidRPr="00E84DB1">
        <w:rPr>
          <w:rFonts w:eastAsia="Times New Roman" w:cs="DecoType Naskh"/>
          <w:color w:val="auto"/>
          <w:kern w:val="0"/>
          <w:szCs w:val="26"/>
          <w:rtl/>
          <w:lang w:bidi="ar-JO"/>
          <w14:ligatures w14:val="none"/>
        </w:rPr>
        <w:t>–</w:t>
      </w:r>
      <w:r w:rsidRPr="00E84DB1">
        <w:rPr>
          <w:rFonts w:eastAsia="Times New Roman" w:cs="DecoType Naskh" w:hint="cs"/>
          <w:color w:val="auto"/>
          <w:kern w:val="0"/>
          <w:szCs w:val="26"/>
          <w:rtl/>
          <w:lang w:bidi="ar-JO"/>
          <w14:ligatures w14:val="none"/>
        </w:rPr>
        <w:t xml:space="preserve"> "كالله"</w:t>
      </w:r>
    </w:p>
    <w:p w14:paraId="3422DE24"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ز.</w:t>
      </w:r>
      <w:r w:rsidRPr="00E84DB1">
        <w:rPr>
          <w:rFonts w:eastAsia="Times New Roman" w:cs="DecoType Naskh" w:hint="cs"/>
          <w:color w:val="auto"/>
          <w:kern w:val="0"/>
          <w:szCs w:val="26"/>
          <w:rtl/>
          <w:lang w:bidi="ar-JO"/>
          <w14:ligatures w14:val="none"/>
        </w:rPr>
        <w:tab/>
        <w:t>يُبعد ذهن المرأة عن الجزاء ويطلب منها أن تعتمد على منطقها الشخصي (أن تتبع انطباعاتها بدلاً من تعليمات الله) لكي تضع في اعتبارها ما تعتقد أنه نافع لها.  فجعلت من "تحقيق الذات" هدفاً لها.</w:t>
      </w:r>
    </w:p>
    <w:p w14:paraId="38B0DF00"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p>
    <w:p w14:paraId="7467C742"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3.</w:t>
      </w:r>
      <w:r w:rsidRPr="00E84DB1">
        <w:rPr>
          <w:rFonts w:eastAsia="Times New Roman" w:cs="DecoType Naskh" w:hint="cs"/>
          <w:color w:val="auto"/>
          <w:kern w:val="0"/>
          <w:szCs w:val="26"/>
          <w:rtl/>
          <w:lang w:bidi="ar-JO"/>
          <w14:ligatures w14:val="none"/>
        </w:rPr>
        <w:tab/>
        <w:t>النتيجة</w:t>
      </w:r>
    </w:p>
    <w:p w14:paraId="4C541B06"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لا يتحقق وعد التنوير الإلهي.  يبصران، ولكن ليس كما توقّعا.  ويصيران غير مطمئنين ومرتاحين في علاقتهما أحدهما مع الآخر (عدم ثقة واغتراب وانفصال)، وهما غير مطمئنين في علاقتهما مع الله (يختبئان منه خائفين).</w:t>
      </w:r>
    </w:p>
    <w:p w14:paraId="519D8C52"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4.</w:t>
      </w:r>
      <w:r w:rsidRPr="00E84DB1">
        <w:rPr>
          <w:rFonts w:eastAsia="Times New Roman" w:cs="DecoType Naskh" w:hint="cs"/>
          <w:color w:val="auto"/>
          <w:kern w:val="0"/>
          <w:szCs w:val="26"/>
          <w:rtl/>
          <w:lang w:bidi="ar-JO"/>
          <w14:ligatures w14:val="none"/>
        </w:rPr>
        <w:tab/>
        <w:t xml:space="preserve">الرسالة </w:t>
      </w:r>
    </w:p>
    <w:p w14:paraId="241D0925"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إن معرفة قوية بكلمة الله أمر لا غنى عنه للانتصار الروحي! [انظر عبرانيين 5: 14- يجب أن نمارس الحق لكي ننضج].</w:t>
      </w:r>
    </w:p>
    <w:p w14:paraId="08F4A4BD"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2C60A766"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1302CB80"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6D45A000"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23180A2D" w14:textId="77777777" w:rsidR="00E84DB1" w:rsidRPr="00E84DB1" w:rsidRDefault="00E84DB1" w:rsidP="002D6C54">
      <w:pPr>
        <w:tabs>
          <w:tab w:val="left" w:pos="454"/>
        </w:tabs>
        <w:bidi/>
        <w:spacing w:after="60" w:line="240" w:lineRule="auto"/>
        <w:ind w:left="550" w:hanging="550"/>
        <w:jc w:val="both"/>
        <w:rPr>
          <w:rFonts w:eastAsia="Times New Roman" w:cs="DecoType Naskh"/>
          <w:bCs/>
          <w:color w:val="auto"/>
          <w:kern w:val="0"/>
          <w:szCs w:val="26"/>
          <w:rtl/>
          <w:lang w:bidi="ar-KW"/>
          <w14:ligatures w14:val="none"/>
        </w:rPr>
      </w:pPr>
      <w:r w:rsidRPr="00E84DB1">
        <w:rPr>
          <w:rFonts w:eastAsia="Times New Roman" w:cs="DecoType Naskh" w:hint="cs"/>
          <w:bCs/>
          <w:color w:val="auto"/>
          <w:kern w:val="0"/>
          <w:szCs w:val="26"/>
          <w:rtl/>
          <w14:ligatures w14:val="none"/>
        </w:rPr>
        <w:t>ب.</w:t>
      </w:r>
      <w:r w:rsidRPr="00E84DB1">
        <w:rPr>
          <w:rFonts w:eastAsia="Times New Roman" w:cs="DecoType Naskh" w:hint="cs"/>
          <w:bCs/>
          <w:color w:val="auto"/>
          <w:kern w:val="0"/>
          <w:szCs w:val="26"/>
          <w:rtl/>
          <w14:ligatures w14:val="none"/>
        </w:rPr>
        <w:tab/>
        <w:t>إعلانات اللعنة الإلهية (3: 8-24)</w:t>
      </w:r>
    </w:p>
    <w:p w14:paraId="6C4B22A8"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تبين بقية الأصحاح تأثير الخطية: التأديب والتدبير الإلهيين في حضور الشر.</w:t>
      </w:r>
    </w:p>
    <w:p w14:paraId="197D7DB8"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الدرس: يجلب التمرد الموت والألم والصراع والغم والمشقات الزمنية.</w:t>
      </w:r>
    </w:p>
    <w:p w14:paraId="7E4CCAE4"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الحل: أطع الله، واعترف بخطيتك، وهو سيقدم لك بركات الحياة مكان اللعنة.</w:t>
      </w:r>
    </w:p>
    <w:p w14:paraId="63107ED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يكشف هذا القسم النظام الجديد للوجود للبشر، والذي سيبقى حتى آخر الزمان.</w:t>
      </w:r>
    </w:p>
    <w:p w14:paraId="0ADFF62D"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CF3C290"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1.</w:t>
      </w:r>
      <w:r w:rsidRPr="00E84DB1">
        <w:rPr>
          <w:rFonts w:eastAsia="Times New Roman" w:cs="DecoType Naskh" w:hint="cs"/>
          <w:color w:val="auto"/>
          <w:kern w:val="0"/>
          <w:szCs w:val="26"/>
          <w:rtl/>
          <w:lang w:bidi="ar-JO"/>
          <w14:ligatures w14:val="none"/>
        </w:rPr>
        <w:tab/>
        <w:t>مواجهة مع الرب (3: 8-13)</w:t>
      </w:r>
    </w:p>
    <w:p w14:paraId="3E7BDA37"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2.</w:t>
      </w:r>
      <w:r w:rsidRPr="00E84DB1">
        <w:rPr>
          <w:rFonts w:eastAsia="Times New Roman" w:cs="DecoType Naskh" w:hint="cs"/>
          <w:color w:val="auto"/>
          <w:kern w:val="0"/>
          <w:szCs w:val="26"/>
          <w:rtl/>
          <w:lang w:bidi="ar-JO"/>
          <w14:ligatures w14:val="none"/>
        </w:rPr>
        <w:tab/>
        <w:t>إعلان اللعنة (3: 14-19)</w:t>
      </w:r>
    </w:p>
    <w:p w14:paraId="306F49E5"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أ.</w:t>
      </w:r>
      <w:r w:rsidRPr="00E84DB1">
        <w:rPr>
          <w:rFonts w:eastAsia="Times New Roman" w:cs="DecoType Naskh" w:hint="cs"/>
          <w:color w:val="auto"/>
          <w:kern w:val="0"/>
          <w:szCs w:val="26"/>
          <w:rtl/>
          <w:lang w:bidi="ar-JO"/>
          <w14:ligatures w14:val="none"/>
        </w:rPr>
        <w:tab/>
        <w:t>الحية (الآيتان 14-15)</w:t>
      </w:r>
    </w:p>
    <w:p w14:paraId="3872AED5"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العداوة بغض متبادل.  هذه آية تدعى غالباً "البشارة الأولية" (</w:t>
      </w:r>
      <w:r w:rsidRPr="00E84DB1">
        <w:rPr>
          <w:rFonts w:eastAsia="Times New Roman" w:cs="DecoType Naskh"/>
          <w:color w:val="auto"/>
          <w:kern w:val="0"/>
          <w:szCs w:val="26"/>
          <w14:ligatures w14:val="none"/>
        </w:rPr>
        <w:t>Proto-Evangelium</w:t>
      </w:r>
      <w:r w:rsidRPr="00E84DB1">
        <w:rPr>
          <w:rFonts w:eastAsia="Times New Roman" w:cs="DecoType Naskh" w:hint="cs"/>
          <w:color w:val="auto"/>
          <w:kern w:val="0"/>
          <w:szCs w:val="26"/>
          <w:rtl/>
          <w:lang w:bidi="ar-JO"/>
          <w14:ligatures w14:val="none"/>
        </w:rPr>
        <w:t>).  وسيشمل نسل المرأة لا قايين فحسب، بل المسيح في نهاية الأمر أيضاً.  ومن هنا فإن هذه صورة مسبقة لانتصار المسيح على إبليس في نهاية المطاف، مع أن عقبه أو كعبه سيجرح (على الصليب) أثناء ذلك.  غير أن هذا الصراع سيستمر عبر الكتاب المقدس.</w:t>
      </w:r>
    </w:p>
    <w:p w14:paraId="22A9F6A6"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ب.</w:t>
      </w:r>
      <w:r w:rsidRPr="00E84DB1">
        <w:rPr>
          <w:rFonts w:eastAsia="Times New Roman" w:cs="DecoType Naskh" w:hint="cs"/>
          <w:color w:val="auto"/>
          <w:kern w:val="0"/>
          <w:szCs w:val="26"/>
          <w:rtl/>
          <w:lang w:bidi="ar-JO"/>
          <w14:ligatures w14:val="none"/>
        </w:rPr>
        <w:tab/>
        <w:t>المرأة (الآية 16)</w:t>
      </w:r>
    </w:p>
    <w:p w14:paraId="6D680CE7"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سيسود عليها زوجها لأنها حاولت أن تستغله أو تقوده، بدلاً من أن تبقى خاضعة له.  [توجد ترجمة أخرى مقترحة هي، "وإلى رجُلكِ كان اشتياقك (إلى الآن)"]</w:t>
      </w:r>
    </w:p>
    <w:p w14:paraId="4BC3E883"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جـ.</w:t>
      </w:r>
      <w:r w:rsidRPr="00E84DB1">
        <w:rPr>
          <w:rFonts w:eastAsia="Times New Roman" w:cs="DecoType Naskh" w:hint="cs"/>
          <w:color w:val="auto"/>
          <w:kern w:val="0"/>
          <w:szCs w:val="26"/>
          <w:rtl/>
          <w:lang w:bidi="ar-JO"/>
          <w14:ligatures w14:val="none"/>
        </w:rPr>
        <w:tab/>
        <w:t>الرجل (الآيات 17-19)</w:t>
      </w:r>
    </w:p>
    <w:p w14:paraId="35BBC753"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يُترك الرجل ليكسب قوته بالمشقة والألم، وسيكون الموت نهايته.  وسيكون عمله مأزقاً محزناً لأنه لا بدّ أن يجاهد ضد العوائق والعقبات، ويتألم ويموت.</w:t>
      </w:r>
    </w:p>
    <w:p w14:paraId="7FDA9DE7"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p>
    <w:p w14:paraId="00E8B68F"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3.</w:t>
      </w:r>
      <w:r w:rsidRPr="00E84DB1">
        <w:rPr>
          <w:rFonts w:eastAsia="Times New Roman" w:cs="DecoType Naskh" w:hint="cs"/>
          <w:color w:val="auto"/>
          <w:kern w:val="0"/>
          <w:szCs w:val="26"/>
          <w:rtl/>
          <w:lang w:bidi="ar-JO"/>
          <w14:ligatures w14:val="none"/>
        </w:rPr>
        <w:tab/>
        <w:t>تدبير للنظام الجديد (3: 20-24)</w:t>
      </w:r>
    </w:p>
    <w:p w14:paraId="7AB0475D"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إن الفكرة الرئيسية هنا هي تدبير ثياب جلدية التي تفترض عملية ذبح مسبقة لحيوانات.  فالله يرفض محاولاتهما في تغطية أنفسهما (3: 7) بملابس طبيعية من صنعهما؛ فلن ينفع إلا ما يدبّره الله.  لقد عرف الزوجان الآن الذبيحة الحيوانية، وتعلّما طريقة الله في التعامل مع مشكلة الخطية.  إذ لا بدّ أن تكون هنالك حياة بريئة بديلة عن حياتهما الخاطئة.</w:t>
      </w:r>
    </w:p>
    <w:p w14:paraId="57AEBC90" w14:textId="77777777" w:rsidR="00E84DB1" w:rsidRPr="00E84DB1" w:rsidRDefault="00E84DB1" w:rsidP="002D6C54">
      <w:pPr>
        <w:tabs>
          <w:tab w:val="left" w:pos="454"/>
        </w:tabs>
        <w:bidi/>
        <w:spacing w:after="60" w:line="240" w:lineRule="auto"/>
        <w:jc w:val="both"/>
        <w:rPr>
          <w:rFonts w:eastAsia="Times New Roman" w:cs="DecoType Naskh"/>
          <w:bCs/>
          <w:color w:val="auto"/>
          <w:kern w:val="0"/>
          <w:szCs w:val="28"/>
          <w:rtl/>
          <w:lang w:bidi="ar-JO"/>
          <w14:ligatures w14:val="none"/>
        </w:rPr>
      </w:pPr>
    </w:p>
    <w:p w14:paraId="24D1D1F7" w14:textId="77777777" w:rsidR="00E84DB1" w:rsidRPr="00E84DB1" w:rsidRDefault="00E84DB1"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E84DB1">
        <w:rPr>
          <w:rFonts w:eastAsia="Times New Roman" w:cs="DecoType Naskh" w:hint="cs"/>
          <w:bCs/>
          <w:color w:val="auto"/>
          <w:kern w:val="0"/>
          <w:szCs w:val="28"/>
          <w:rtl/>
          <w:lang w:bidi="ar-JO"/>
          <w14:ligatures w14:val="none"/>
        </w:rPr>
        <w:t>4.</w:t>
      </w:r>
      <w:r w:rsidRPr="00E84DB1">
        <w:rPr>
          <w:rFonts w:eastAsia="Times New Roman" w:cs="DecoType Naskh" w:hint="cs"/>
          <w:bCs/>
          <w:color w:val="auto"/>
          <w:kern w:val="0"/>
          <w:szCs w:val="28"/>
          <w:rtl/>
          <w:lang w:bidi="ar-JO"/>
          <w14:ligatures w14:val="none"/>
        </w:rPr>
        <w:tab/>
        <w:t>امتداد المجتمع الفاجر</w:t>
      </w:r>
    </w:p>
    <w:p w14:paraId="2070AC3A"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لم ينتهِ العصيان بآدم وحوّاء.  فالخطية سرطان ينتشر بسرعة إلى كل الأجيال المتعاقبة، وعقيدة الفساد عاملة نشطة (رومية 5)!</w:t>
      </w:r>
    </w:p>
    <w:p w14:paraId="1D8BE917"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B79DDCA" w14:textId="77777777" w:rsidR="00E84DB1" w:rsidRPr="00E84DB1" w:rsidRDefault="00E84DB1" w:rsidP="002D6C54">
      <w:pPr>
        <w:tabs>
          <w:tab w:val="left" w:pos="454"/>
        </w:tabs>
        <w:bidi/>
        <w:spacing w:after="60" w:line="240" w:lineRule="auto"/>
        <w:ind w:left="550" w:hanging="550"/>
        <w:jc w:val="both"/>
        <w:rPr>
          <w:rFonts w:eastAsia="Times New Roman" w:cs="DecoType Naskh"/>
          <w:bCs/>
          <w:color w:val="auto"/>
          <w:kern w:val="0"/>
          <w:szCs w:val="26"/>
          <w:rtl/>
          <w:lang w:bidi="ar-KW"/>
          <w14:ligatures w14:val="none"/>
        </w:rPr>
      </w:pPr>
      <w:r w:rsidRPr="00E84DB1">
        <w:rPr>
          <w:rFonts w:eastAsia="Times New Roman" w:cs="DecoType Naskh" w:hint="cs"/>
          <w:bCs/>
          <w:color w:val="auto"/>
          <w:kern w:val="0"/>
          <w:szCs w:val="26"/>
          <w:rtl/>
          <w14:ligatures w14:val="none"/>
        </w:rPr>
        <w:lastRenderedPageBreak/>
        <w:t>أ.</w:t>
      </w:r>
      <w:r w:rsidRPr="00E84DB1">
        <w:rPr>
          <w:rFonts w:eastAsia="Times New Roman" w:cs="DecoType Naskh" w:hint="cs"/>
          <w:bCs/>
          <w:color w:val="auto"/>
          <w:kern w:val="0"/>
          <w:szCs w:val="26"/>
          <w:rtl/>
          <w14:ligatures w14:val="none"/>
        </w:rPr>
        <w:tab/>
        <w:t>قايين وهابيل (4: 1-15)</w:t>
      </w:r>
    </w:p>
    <w:p w14:paraId="2D3E5E55"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نرى في أول ابنين لأول زوجين أن الفساد ينتقل كالعدوى ويؤدي إلى انحطاط المجتمع.  ويبين هذا تقدم الخطية! غير أنه يتوجب علينا أن ننظر أيضاً إلى هذه الفقرة في سياق العبادة.  نجد هنا شخصين جاءا ليمثلا أمام يهوه ليعبداه، لكن هنالك شيئاً ناقصاً في عبادة قايين.  ويمثّل هذان الأخوان </w:t>
      </w:r>
      <w:r w:rsidRPr="00E84DB1">
        <w:rPr>
          <w:rFonts w:eastAsia="Times New Roman" w:cs="DecoType Naskh" w:hint="cs"/>
          <w:i/>
          <w:iCs/>
          <w:color w:val="auto"/>
          <w:kern w:val="0"/>
          <w:szCs w:val="26"/>
          <w:rtl/>
          <w:lang w:bidi="ar-JO"/>
          <w14:ligatures w14:val="none"/>
        </w:rPr>
        <w:t>نموذجين أصليين</w:t>
      </w:r>
      <w:r w:rsidRPr="00E84DB1">
        <w:rPr>
          <w:rFonts w:eastAsia="Times New Roman" w:cs="DecoType Naskh" w:hint="cs"/>
          <w:color w:val="auto"/>
          <w:kern w:val="0"/>
          <w:szCs w:val="26"/>
          <w:rtl/>
          <w:lang w:bidi="ar-JO"/>
          <w14:ligatures w14:val="none"/>
        </w:rPr>
        <w:t xml:space="preserve"> لنوعين من الناس في سياق العبادة.  وهذا درس هام لأمة إسرائيل الخارجة من مصر ولنا اليوم أيضاً.</w:t>
      </w:r>
    </w:p>
    <w:p w14:paraId="4CB5B573"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 xml:space="preserve">ليس العيب في تقدمة قايين واضحاً تماماً.  والفكرة الأساسية هنا هي أن قايين يَحْضر... لتقديم واجب لا أكثر.  وهو يجلب </w:t>
      </w:r>
      <w:r w:rsidRPr="00E84DB1">
        <w:rPr>
          <w:rFonts w:eastAsia="Times New Roman" w:cs="DecoType Naskh" w:hint="cs"/>
          <w:i/>
          <w:iCs/>
          <w:color w:val="auto"/>
          <w:kern w:val="0"/>
          <w:szCs w:val="26"/>
          <w:rtl/>
          <w:lang w:bidi="ar-JO"/>
          <w14:ligatures w14:val="none"/>
        </w:rPr>
        <w:t>شيئاً</w:t>
      </w:r>
      <w:r w:rsidRPr="00E84DB1">
        <w:rPr>
          <w:rFonts w:eastAsia="Times New Roman" w:cs="DecoType Naskh" w:hint="cs"/>
          <w:color w:val="auto"/>
          <w:kern w:val="0"/>
          <w:szCs w:val="26"/>
          <w:rtl/>
          <w:lang w:bidi="ar-JO"/>
          <w14:ligatures w14:val="none"/>
        </w:rPr>
        <w:t xml:space="preserve"> من غلال أرضه.  أمّا هابيل فيقال عنه إنه قدّم من </w:t>
      </w:r>
      <w:r w:rsidRPr="00E84DB1">
        <w:rPr>
          <w:rFonts w:eastAsia="Times New Roman" w:cs="DecoType Naskh" w:hint="cs"/>
          <w:i/>
          <w:iCs/>
          <w:color w:val="auto"/>
          <w:kern w:val="0"/>
          <w:szCs w:val="26"/>
          <w:rtl/>
          <w:lang w:bidi="ar-JO"/>
          <w14:ligatures w14:val="none"/>
        </w:rPr>
        <w:t>أبكار</w:t>
      </w:r>
      <w:r w:rsidRPr="00E84DB1">
        <w:rPr>
          <w:rFonts w:eastAsia="Times New Roman" w:cs="DecoType Naskh" w:hint="cs"/>
          <w:color w:val="auto"/>
          <w:kern w:val="0"/>
          <w:szCs w:val="26"/>
          <w:rtl/>
          <w:lang w:bidi="ar-JO"/>
          <w14:ligatures w14:val="none"/>
        </w:rPr>
        <w:t xml:space="preserve"> غنمه، أي أنه كان يحمل أكبر قدر من الإجلال للرب.  كان همّه أن يرضي الله بكل طاقته، وهذا هو النهج الصحيح للإيمان (انظر عبرانيين 11: 4).  أمّا قايين فيُظهر عدم إيمان، ويعبّر عن نفسه في استجابته لرفض الله له، أي بالغضب).  فهو يحسد ذلك الذي باركه الله، وقاده حسده هذا إلى القتل.  وعبّر غياب إيمانه عن نفسه بطرق أربع على الأقل:</w:t>
      </w:r>
    </w:p>
    <w:p w14:paraId="71FEDD0F"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1)</w:t>
      </w:r>
      <w:r w:rsidRPr="00E84DB1">
        <w:rPr>
          <w:rFonts w:eastAsia="Times New Roman" w:cs="DecoType Naskh" w:hint="cs"/>
          <w:color w:val="auto"/>
          <w:kern w:val="0"/>
          <w:szCs w:val="26"/>
          <w:rtl/>
          <w:lang w:bidi="ar-JO"/>
          <w14:ligatures w14:val="none"/>
        </w:rPr>
        <w:tab/>
        <w:t>الحسد بسبب تعامل الله مع أخيه البار.</w:t>
      </w:r>
    </w:p>
    <w:p w14:paraId="597371F2"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2)</w:t>
      </w:r>
      <w:r w:rsidRPr="00E84DB1">
        <w:rPr>
          <w:rFonts w:eastAsia="Times New Roman" w:cs="DecoType Naskh" w:hint="cs"/>
          <w:color w:val="auto"/>
          <w:kern w:val="0"/>
          <w:szCs w:val="26"/>
          <w:rtl/>
          <w:lang w:bidi="ar-JO"/>
          <w14:ligatures w14:val="none"/>
        </w:rPr>
        <w:tab/>
        <w:t>القتل.</w:t>
      </w:r>
    </w:p>
    <w:p w14:paraId="3CE74787"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3)</w:t>
      </w:r>
      <w:r w:rsidRPr="00E84DB1">
        <w:rPr>
          <w:rFonts w:eastAsia="Times New Roman" w:cs="DecoType Naskh" w:hint="cs"/>
          <w:color w:val="auto"/>
          <w:kern w:val="0"/>
          <w:szCs w:val="26"/>
          <w:rtl/>
          <w:lang w:bidi="ar-JO"/>
          <w14:ligatures w14:val="none"/>
        </w:rPr>
        <w:tab/>
        <w:t>إنكار لمسؤوليته.</w:t>
      </w:r>
    </w:p>
    <w:p w14:paraId="0FAFCE21"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4)</w:t>
      </w:r>
      <w:r w:rsidRPr="00E84DB1">
        <w:rPr>
          <w:rFonts w:eastAsia="Times New Roman" w:cs="DecoType Naskh" w:hint="cs"/>
          <w:color w:val="auto"/>
          <w:kern w:val="0"/>
          <w:szCs w:val="26"/>
          <w:rtl/>
          <w:lang w:bidi="ar-JO"/>
          <w14:ligatures w14:val="none"/>
        </w:rPr>
        <w:tab/>
        <w:t>رفض قبول العقاب.</w:t>
      </w:r>
    </w:p>
    <w:p w14:paraId="6683716C"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هنالك دروس كثيرة يمكن تعلّمها من هذه القصة، لكن الفكرة الرئيسية هي أن علينا أن نأتي بالإيمان إلى الله ونقدم له الذبائح، باذلين كل جهد لإرضائه.  فهذا النوع من العبادة والطاعة ينال بركة الله، حتى لو قابله العالم بالاضطهاد.  أمّا البار فلا يجب أن يفسح المجال للطبيعة الداخلية الفاسدة (التي تعمل فيها الخطية).  بل يجب عليه أن يفعل ما هو صواب لئلا تنقضّ الخطية عليه لتدمّره (وهذه هي رغبة الخطية).</w:t>
      </w:r>
    </w:p>
    <w:p w14:paraId="5BA3273B" w14:textId="77777777" w:rsidR="00E84DB1" w:rsidRPr="00E84DB1" w:rsidRDefault="00E84DB1"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E84DB1">
        <w:rPr>
          <w:rFonts w:eastAsia="Times New Roman" w:cs="DecoType Naskh" w:hint="cs"/>
          <w:bCs/>
          <w:color w:val="auto"/>
          <w:kern w:val="0"/>
          <w:szCs w:val="26"/>
          <w:rtl/>
          <w14:ligatures w14:val="none"/>
        </w:rPr>
        <w:t>ب.</w:t>
      </w:r>
      <w:r w:rsidRPr="00E84DB1">
        <w:rPr>
          <w:rFonts w:eastAsia="Times New Roman" w:cs="DecoType Naskh" w:hint="cs"/>
          <w:bCs/>
          <w:color w:val="auto"/>
          <w:kern w:val="0"/>
          <w:szCs w:val="26"/>
          <w:rtl/>
          <w14:ligatures w14:val="none"/>
        </w:rPr>
        <w:tab/>
        <w:t>انتشار المدينة (4: 16-26)</w:t>
      </w:r>
    </w:p>
    <w:p w14:paraId="1D24EAF6"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رأينا كيف انتقلت الخطية إلى قايين؛ أمّا في هذا القسم فنرى انتشارها في كل المجتمع.  نجد هنا مجتمعاً يتمرد على الله ويترك أرض البركة في تحدٍّ غاضب لقوانينه وذبائحه.  ومن المثير للاهتمام أنهم ينجحون، لكن بمعنى دنيوي فقط.  وهم لا يدركون جيداً أن الخطية تتعاظم وتسبب الانحطاط، وهم الخاسرون.  ونرى في لامك شخصاً يتباهى بخطيته! وفضلاً عن ذلك، فإنه يطالب بتساهل أكبر بالنسبة لأي انتقام منه ممّا لا يجرؤ أن يطلبه قايين نفسه.</w:t>
      </w:r>
    </w:p>
    <w:p w14:paraId="2C56A1C1"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2884068"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لنلاحظ أن لامك هو الجيل السابع من نسل قايين، بينما أخنوخ هو الجيل السابع من نسل شيث.  أولهما هو رمز الشر المتجسد في القتال، أمّا الثاني فقد "سار مع الله</w:t>
      </w:r>
      <w:r w:rsidRPr="00E84DB1">
        <w:rPr>
          <w:rFonts w:eastAsia="Times New Roman" w:cs="DecoType Naskh" w:hint="cs"/>
          <w:color w:val="auto"/>
          <w:kern w:val="0"/>
          <w:szCs w:val="26"/>
          <w:rtl/>
          <w14:ligatures w14:val="none"/>
        </w:rPr>
        <w:t>.</w:t>
      </w:r>
      <w:r w:rsidRPr="00E84DB1">
        <w:rPr>
          <w:rFonts w:eastAsia="Times New Roman" w:cs="DecoType Naskh" w:hint="cs"/>
          <w:color w:val="auto"/>
          <w:kern w:val="0"/>
          <w:szCs w:val="26"/>
          <w:rtl/>
          <w:lang w:bidi="ar-JO"/>
          <w14:ligatures w14:val="none"/>
        </w:rPr>
        <w:t>"</w:t>
      </w:r>
    </w:p>
    <w:p w14:paraId="101BA0B6"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يختتم الأصحاح الرابع بملاحظة قصيرة حول نسل شيث: "حينئذٍ ابتُدئ أن يدعى باسم الرب."  ليست الفكرة هنا أن كل واحد من نسل شيث كان تقيّاً، بل أن الإيمان كان موجوداً في العالم في ذلك الوقت.  إن بديل اتِّباع الانحطاط والانحلال في المجتمع هو اللجوء إلى الرب... وطلب نعمته! هذا هو شعاع الرجاء في وسط حياة متدهورة.</w:t>
      </w:r>
    </w:p>
    <w:p w14:paraId="0EF1322C"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561E8378" w14:textId="77777777" w:rsidR="00E84DB1" w:rsidRPr="00E84DB1" w:rsidRDefault="00E84DB1"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E84DB1">
        <w:rPr>
          <w:rFonts w:eastAsia="Times New Roman" w:cs="DecoType Naskh" w:hint="cs"/>
          <w:bCs/>
          <w:color w:val="auto"/>
          <w:kern w:val="0"/>
          <w:szCs w:val="28"/>
          <w:rtl/>
          <w:lang w:bidi="ar-JO"/>
          <w14:ligatures w14:val="none"/>
        </w:rPr>
        <w:t>5.</w:t>
      </w:r>
      <w:r w:rsidRPr="00E84DB1">
        <w:rPr>
          <w:rFonts w:eastAsia="Times New Roman" w:cs="DecoType Naskh" w:hint="cs"/>
          <w:bCs/>
          <w:color w:val="auto"/>
          <w:kern w:val="0"/>
          <w:szCs w:val="28"/>
          <w:rtl/>
          <w:lang w:bidi="ar-JO"/>
          <w14:ligatures w14:val="none"/>
        </w:rPr>
        <w:tab/>
        <w:t>مقدمة لتكوين 5: 1-11: 26</w:t>
      </w:r>
    </w:p>
    <w:p w14:paraId="6BA6895A"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تُغطّي هذه الوحدة أربعة أجزاء من المواليد (</w:t>
      </w:r>
      <w:r w:rsidRPr="00E84DB1">
        <w:rPr>
          <w:rFonts w:eastAsia="Times New Roman" w:cs="DecoType Naskh" w:hint="cs"/>
          <w:i/>
          <w:iCs/>
          <w:color w:val="auto"/>
          <w:kern w:val="0"/>
          <w:szCs w:val="26"/>
          <w:rtl/>
          <w:lang w:bidi="ar-JO"/>
          <w14:ligatures w14:val="none"/>
        </w:rPr>
        <w:t xml:space="preserve">توليدوت </w:t>
      </w:r>
      <w:r w:rsidRPr="00E84DB1">
        <w:rPr>
          <w:rFonts w:ascii="Charis SIL" w:eastAsia="Times New Roman" w:hAnsi="Charis SIL" w:cs="Charis SIL"/>
          <w:bCs/>
          <w:i/>
          <w:iCs/>
          <w:color w:val="auto"/>
          <w:kern w:val="0"/>
          <w:szCs w:val="26"/>
          <w:lang w:bidi="ar-JO"/>
          <w14:ligatures w14:val="none"/>
        </w:rPr>
        <w:t>tôlᵊḏôṯ</w:t>
      </w:r>
      <w:r w:rsidRPr="00E84DB1">
        <w:rPr>
          <w:rFonts w:ascii="Hebrewtl" w:eastAsia="Times New Roman" w:hAnsi="Hebrewtl" w:cs="DecoType Naskh" w:hint="cs"/>
          <w:color w:val="auto"/>
          <w:kern w:val="0"/>
          <w:szCs w:val="26"/>
          <w:rtl/>
          <w14:ligatures w14:val="none"/>
        </w:rPr>
        <w:t>)</w:t>
      </w:r>
      <w:r w:rsidRPr="00E84DB1">
        <w:rPr>
          <w:rFonts w:eastAsia="Times New Roman" w:cs="DecoType Naskh" w:hint="cs"/>
          <w:color w:val="auto"/>
          <w:kern w:val="0"/>
          <w:szCs w:val="26"/>
          <w:rtl/>
          <w:lang w:bidi="ar-JO"/>
          <w14:ligatures w14:val="none"/>
        </w:rPr>
        <w:t>، تمتد من نسل آدم إلى ظهور أبرام.  وهي مبدئياً تكملة صورة انحطاط الجنس البشري، معدةً الطريق لضرورة وجود برنامج إلهي لاختيار إبراهيم كأداة له لخلق أمة تجلب البركة إلى العالم.  فبدون التدخل الإلهي، لا يمكن للجنس البشري إلاّ أن يزداد انحطاطاً وابتعاداً عن البركة! ولا تستطيع حتى "بداية جديدة" أن تحل المعضلة.  فإزالة الأشرار من الأرض ليست هي الحل.  ومع بقاء الخطية في قلب الأبرار، ما تزال هناك إمكانية للتدهور والانحطاط.  ونحن في هذه الأصحاحات نهيَّأ للقاء إبراهيم، الذي أثمرت طاعته من خلال الإيمان والفرز لله.</w:t>
      </w:r>
    </w:p>
    <w:p w14:paraId="6EF03E13" w14:textId="77777777" w:rsidR="00E84DB1" w:rsidRPr="00E84DB1" w:rsidRDefault="00E84DB1" w:rsidP="002D6C54">
      <w:pPr>
        <w:tabs>
          <w:tab w:val="left" w:pos="454"/>
        </w:tabs>
        <w:bidi/>
        <w:spacing w:after="60" w:line="240" w:lineRule="auto"/>
        <w:ind w:left="550" w:hanging="550"/>
        <w:jc w:val="both"/>
        <w:rPr>
          <w:rFonts w:eastAsia="Times New Roman" w:cs="DecoType Naskh"/>
          <w:bCs/>
          <w:color w:val="auto"/>
          <w:kern w:val="0"/>
          <w:szCs w:val="26"/>
          <w:rtl/>
          <w:lang w:bidi="ar-JO"/>
          <w14:ligatures w14:val="none"/>
        </w:rPr>
      </w:pPr>
      <w:r w:rsidRPr="00E84DB1">
        <w:rPr>
          <w:rFonts w:eastAsia="Times New Roman" w:cs="DecoType Naskh" w:hint="cs"/>
          <w:bCs/>
          <w:color w:val="auto"/>
          <w:kern w:val="0"/>
          <w:szCs w:val="26"/>
          <w:rtl/>
          <w14:ligatures w14:val="none"/>
        </w:rPr>
        <w:t>أ.</w:t>
      </w:r>
      <w:r w:rsidRPr="00E84DB1">
        <w:rPr>
          <w:rFonts w:eastAsia="Times New Roman" w:cs="DecoType Naskh" w:hint="cs"/>
          <w:bCs/>
          <w:color w:val="auto"/>
          <w:kern w:val="0"/>
          <w:szCs w:val="26"/>
          <w:rtl/>
          <w14:ligatures w14:val="none"/>
        </w:rPr>
        <w:tab/>
        <w:t>يأس من آدم إلى نوح (5: 1-6: 8)</w:t>
      </w:r>
    </w:p>
    <w:p w14:paraId="118A4CD3"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lastRenderedPageBreak/>
        <w:t>ينقسم هذا الجزء إلى قسمين، يتتبع أحدهما نسل شيث من آدم إلى نوح، ويتتبع ثانيهما "حدثاً غريباً" يتضمن "أبناء الله".  ويلفت كلاهما الانتباه إلى يأس الإنسان تحت الخطية واللعنة، ممّا يحتّم عملاً ما من الله.  وتتمثل الذروة في استياء الله الشديد من وجود الإنسان.</w:t>
      </w:r>
    </w:p>
    <w:p w14:paraId="01B2001D"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1.</w:t>
      </w:r>
      <w:r w:rsidRPr="00E84DB1">
        <w:rPr>
          <w:rFonts w:eastAsia="Times New Roman" w:cs="DecoType Naskh" w:hint="cs"/>
          <w:color w:val="auto"/>
          <w:kern w:val="0"/>
          <w:szCs w:val="26"/>
          <w:rtl/>
          <w:lang w:bidi="ar-JO"/>
          <w14:ligatures w14:val="none"/>
        </w:rPr>
        <w:tab/>
        <w:t>نسل شيث (5: 1-32)</w:t>
      </w:r>
    </w:p>
    <w:p w14:paraId="24BB1AA0"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تبدو هذه لأول وهلة سلسلة مواليد مملة، لكنها تشكل في واقع الأمر كتاب تفسير لاهوتي، إذ تذكِّرنا مرّة أخرى بحالة الإنسان الأصلية عبارة "وباركه" في 5: 2.  ويتبع هذه الملاحظة السعيدة ملاحظة أخرى حزينة يائسة نراها تتردد عبر الأصحاح كله، وهي "ومات".  توضع هذه العبارة أمام عيوننا المرة تلو الأخرى، لكي ندرك أن الموت ساد أثناء كل تلك الفترة.  وعلى الرغم من ظهور الحضارة والتقدم الطبيعي، إلا أن الإنسان لا يستطيع الإفلات من لعنة الموت بسبب خطية آدم.  ولهذا فإنه يموت! ويرتبط هذا بالتصريح في 5: 3 أن ابن آدم كان "</w:t>
      </w:r>
      <w:r w:rsidRPr="00E84DB1">
        <w:rPr>
          <w:rFonts w:eastAsia="Times New Roman" w:cs="DecoType Naskh" w:hint="cs"/>
          <w:i/>
          <w:iCs/>
          <w:color w:val="auto"/>
          <w:kern w:val="0"/>
          <w:szCs w:val="26"/>
          <w:rtl/>
          <w:lang w:bidi="ar-JO"/>
          <w14:ligatures w14:val="none"/>
        </w:rPr>
        <w:t>على شبهه كصورته</w:t>
      </w:r>
      <w:r w:rsidRPr="00E84DB1">
        <w:rPr>
          <w:rFonts w:eastAsia="Times New Roman" w:cs="DecoType Naskh" w:hint="cs"/>
          <w:color w:val="auto"/>
          <w:kern w:val="0"/>
          <w:szCs w:val="26"/>
          <w:rtl/>
          <w:lang w:bidi="ar-JO"/>
          <w14:ligatures w14:val="none"/>
        </w:rPr>
        <w:t>"، ويحمل هذا فكرة انتقال نفس الطبيعة بإمكانات الآب وصفاته إلى الابن من خلال التناسل الطبيعي.  وفضلاً عن ذلك، فإن قلب الإنسان مثقل بآفة قاسية ومأزق عويص، وهو لهذا يصرخ طالباً "الراحة" (5: 29).</w:t>
      </w:r>
    </w:p>
    <w:p w14:paraId="38F9278C"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غير أن الأصحاح يقدّم بصيصاً من الأمل للجنس البشري.  فهنالك شخص لا يموت؛ إنه أخنوخ، وسبب ذلك هو أنه سار مع الله.  وهكذا، وعلى نقيض يأس اللعنة، لا يكون الموت هو المصير المحتم.  ومع تقدّم الإعلان الإلهي ومجيء المسيح، تنضج هذه الفكرة! وأخنوخ درس للآخرين:</w:t>
      </w:r>
    </w:p>
    <w:p w14:paraId="496EF1E9"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لا يحيا أخنوخ فحسب </w:t>
      </w:r>
      <w:r w:rsidRPr="00E84DB1">
        <w:rPr>
          <w:rFonts w:eastAsia="Times New Roman" w:cs="DecoType Naskh"/>
          <w:color w:val="auto"/>
          <w:kern w:val="0"/>
          <w:szCs w:val="26"/>
          <w:rtl/>
          <w:lang w:bidi="ar-JO"/>
          <w14:ligatures w14:val="none"/>
        </w:rPr>
        <w:t>–</w:t>
      </w:r>
      <w:r w:rsidRPr="00E84DB1">
        <w:rPr>
          <w:rFonts w:eastAsia="Times New Roman" w:cs="DecoType Naskh" w:hint="cs"/>
          <w:color w:val="auto"/>
          <w:kern w:val="0"/>
          <w:szCs w:val="26"/>
          <w:rtl/>
          <w:lang w:bidi="ar-JO"/>
          <w14:ligatures w14:val="none"/>
        </w:rPr>
        <w:t xml:space="preserve"> فهو يسير مع الله</w:t>
      </w:r>
    </w:p>
    <w:p w14:paraId="40435F7F"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لا يموت (وانتهى الأمر)- بل يأخذه الله إليه</w:t>
      </w:r>
    </w:p>
    <w:p w14:paraId="73B35B88"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تعبّر جملة "سار مع الله" عن النمو التدرّجي في الشركة والطاعة، مما يؤدي إلى رضا الله.</w:t>
      </w:r>
    </w:p>
    <w:p w14:paraId="42CB6CCA"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111948F1"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2.</w:t>
      </w:r>
      <w:r w:rsidRPr="00E84DB1">
        <w:rPr>
          <w:rFonts w:eastAsia="Times New Roman" w:cs="DecoType Naskh" w:hint="cs"/>
          <w:color w:val="auto"/>
          <w:kern w:val="0"/>
          <w:szCs w:val="26"/>
          <w:rtl/>
          <w:lang w:bidi="ar-JO"/>
          <w14:ligatures w14:val="none"/>
        </w:rPr>
        <w:tab/>
        <w:t>ذروة الإثم (6: 1-8)</w:t>
      </w:r>
    </w:p>
    <w:p w14:paraId="12100AF0" w14:textId="02AADBB8"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ينكمش كل الجنس البشري بسبب لسعة اللعنة والموت.  ويئن نسل شيث بسبب محنتهم. والآن وفي 6: 1-8 تحاول عناصر معينة من المجتمع الإفلات من هذا المصير.  ولا تشهد هذه المحاولة العبثية إلا عن إثم الإنسان الذي يعطي الله سبباً وجيهاً لجلب الدينونة.  وهكذا يصبح الموت نتيجة محتومة، ويجب أن يحسب حساب رحمة في الدينونة.</w:t>
      </w:r>
    </w:p>
    <w:p w14:paraId="0C80544F"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322F1A3D" w14:textId="6FBBE0B5"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يبدو أن هذه الفقرة تتناول محاولة الإنسان العبثية للالتفاف على مصير الموت (والحصول على الخلود) وتحقيق نوع من الألوهة (كذبة إبليس المستمرة أن الإنسان يستطيع أن يكون كالله؛ انظر تكوين 3: 5).  إن تفسير معنى "أبناء الله" هنا هو موضوع جدل كثير، لكن يبدو أنه يتضمن نوعاً من الممارسة الجنسية المنحرفة بين كائناتٍ شيطانية ونساء (انظر 1 بطرس 3: 19، 20؛ يهوذا 6).  يقول روس إن هؤلاء الملائكة الساقطين تركوا مسكنهم وسكنوا أجساد أشخاص طغاة ومحاربين، الذين كانت لهم بدورهم علاقات غير أخلاقية مع النساء.</w:t>
      </w:r>
      <w:r w:rsidRPr="00E84DB1">
        <w:rPr>
          <w:rFonts w:eastAsia="Times New Roman" w:cs="DecoType Naskh"/>
          <w:color w:val="auto"/>
          <w:kern w:val="0"/>
          <w:sz w:val="30"/>
          <w:szCs w:val="28"/>
          <w:vertAlign w:val="superscript"/>
          <w:rtl/>
          <w:lang w:bidi="ar-JO"/>
          <w14:ligatures w14:val="none"/>
        </w:rPr>
        <w:footnoteReference w:customMarkFollows="1" w:id="32"/>
        <w:t>3</w:t>
      </w:r>
      <w:r w:rsidRPr="00E84DB1">
        <w:rPr>
          <w:rFonts w:eastAsia="Times New Roman" w:cs="DecoType Naskh" w:hint="cs"/>
          <w:color w:val="auto"/>
          <w:kern w:val="0"/>
          <w:szCs w:val="26"/>
          <w:rtl/>
          <w:lang w:bidi="ar-JO"/>
          <w14:ligatures w14:val="none"/>
        </w:rPr>
        <w:t xml:space="preserve"> وتدعم هذه الفرضية ذريتهم غير العادية (6: 4).  غير أن نتاج ذلك ليس الألوهة أو التحرر من الموت.  فهؤلاء الأبناء ليسوا ملوكاً إلهيين، بل مجرّد لحم ودم يموتون مثل غيرهم من أعضاء الجنس البشري.  لقد تجاوز الإنسان بشكل عنيف حدوده، وتعليق الرب على ذلك ملخص تكوين 1: 11: "شرّ الإنسان قد كثر في الأرض، وأن كل تصوُّر أفكار قلبه إنما هو شر</w:t>
      </w:r>
      <w:r w:rsidR="00FD79D7">
        <w:rPr>
          <w:rFonts w:eastAsia="Times New Roman" w:cs="DecoType Naskh" w:hint="cs"/>
          <w:color w:val="auto"/>
          <w:kern w:val="0"/>
          <w:szCs w:val="26"/>
          <w:rtl/>
          <w:lang w:bidi="ar-JO"/>
          <w14:ligatures w14:val="none"/>
        </w:rPr>
        <w:t>ّ</w:t>
      </w:r>
      <w:r w:rsidRPr="00E84DB1">
        <w:rPr>
          <w:rFonts w:eastAsia="Times New Roman" w:cs="DecoType Naskh" w:hint="cs"/>
          <w:color w:val="auto"/>
          <w:kern w:val="0"/>
          <w:szCs w:val="26"/>
          <w:rtl/>
          <w:lang w:bidi="ar-JO"/>
          <w14:ligatures w14:val="none"/>
        </w:rPr>
        <w:t>ير كلّ يوم" (6: 5).</w:t>
      </w:r>
    </w:p>
    <w:p w14:paraId="540E7132"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7D87FADD"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 xml:space="preserve">غير أن الله يجد رجلاً يسبغ عليه </w:t>
      </w:r>
      <w:r w:rsidRPr="00E84DB1">
        <w:rPr>
          <w:rFonts w:eastAsia="Times New Roman" w:cs="DecoType Naskh" w:hint="cs"/>
          <w:color w:val="auto"/>
          <w:kern w:val="0"/>
          <w:szCs w:val="26"/>
          <w:u w:val="single"/>
          <w:rtl/>
          <w:lang w:bidi="ar-JO"/>
          <w14:ligatures w14:val="none"/>
        </w:rPr>
        <w:t>نعمته</w:t>
      </w:r>
      <w:r w:rsidRPr="00E84DB1">
        <w:rPr>
          <w:rFonts w:eastAsia="Times New Roman" w:cs="DecoType Naskh" w:hint="cs"/>
          <w:color w:val="auto"/>
          <w:kern w:val="0"/>
          <w:szCs w:val="26"/>
          <w:rtl/>
          <w:lang w:bidi="ar-JO"/>
          <w14:ligatures w14:val="none"/>
        </w:rPr>
        <w:t xml:space="preserve">.  (كلمة </w:t>
      </w:r>
      <w:r w:rsidRPr="00E84DB1">
        <w:rPr>
          <w:rFonts w:ascii="Ezra SIL" w:eastAsia="Times New Roman" w:hAnsi="Ezra SIL" w:cs="Ezra SIL" w:hint="cs"/>
          <w:color w:val="auto"/>
          <w:kern w:val="0"/>
          <w:rtl/>
          <w:lang w:bidi="he-IL"/>
          <w14:ligatures w14:val="none"/>
        </w:rPr>
        <w:t>חֵן</w:t>
      </w:r>
      <w:r w:rsidRPr="00E84DB1">
        <w:rPr>
          <w:rFonts w:eastAsia="Times New Roman" w:cs="DecoType Naskh" w:hint="cs"/>
          <w:color w:val="auto"/>
          <w:kern w:val="0"/>
          <w:szCs w:val="26"/>
          <w:rtl/>
          <w:lang w:bidi="ar-JO"/>
          <w14:ligatures w14:val="none"/>
        </w:rPr>
        <w:t xml:space="preserve"> هي التعبير العبري عن "النعمة"</w:t>
      </w:r>
      <w:r w:rsidRPr="00E84DB1">
        <w:rPr>
          <w:rFonts w:eastAsia="Times New Roman" w:cs="DecoType Naskh" w:hint="cs"/>
          <w:color w:val="auto"/>
          <w:kern w:val="0"/>
          <w:szCs w:val="26"/>
          <w:rtl/>
          <w14:ligatures w14:val="none"/>
        </w:rPr>
        <w:t xml:space="preserve"> -</w:t>
      </w:r>
      <w:r w:rsidRPr="00E84DB1">
        <w:rPr>
          <w:rFonts w:eastAsia="Times New Roman" w:cs="DecoType Naskh" w:hint="cs"/>
          <w:color w:val="auto"/>
          <w:kern w:val="0"/>
          <w:szCs w:val="26"/>
          <w:rtl/>
          <w:lang w:bidi="ar-JO"/>
          <w14:ligatures w14:val="none"/>
        </w:rPr>
        <w:t xml:space="preserve"> عطية الله غير المستحقة للإنسان الذي يستحق نقيضها تماماً).  ونتيجة ذلك سار هو وعائلته مع الله، فاصلين أنفسهم عن عالم محكوم عليه بالهلاك.  وإن متلقّي النعمة هو الذي ينجو من الدينونة ويحقق الخلود.  ومع دخول إسرائيل أرض الموعد، لا يلزمهم أن يخافوا من أشخاص يزعمون أنهم من أصل إلهي (انظر عدد 13: </w:t>
      </w:r>
      <w:r w:rsidRPr="00E84DB1">
        <w:rPr>
          <w:rFonts w:eastAsia="Times New Roman" w:cs="DecoType Naskh" w:hint="cs"/>
          <w:color w:val="auto"/>
          <w:kern w:val="0"/>
          <w:szCs w:val="26"/>
          <w:rtl/>
          <w:lang w:bidi="ar-JO"/>
          <w14:ligatures w14:val="none"/>
        </w:rPr>
        <w:lastRenderedPageBreak/>
        <w:t>31-33؛ تثنية 9: 2).  ونحن نتعلم من تعامل الله مع جيل نوح أنه لكي يجلب الله ملكوت البركة الثيوقراطية (حيث يسود الحكم الإلهي)، لابد أن تتم دينونة الآثمين بالهلاك!</w:t>
      </w:r>
    </w:p>
    <w:p w14:paraId="64AFEBFD"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p>
    <w:p w14:paraId="4BFD44EB" w14:textId="77777777" w:rsidR="00E84DB1" w:rsidRPr="00E84DB1" w:rsidRDefault="00E84DB1"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E84DB1">
        <w:rPr>
          <w:rFonts w:eastAsia="Times New Roman" w:cs="DecoType Naskh" w:hint="cs"/>
          <w:bCs/>
          <w:color w:val="auto"/>
          <w:kern w:val="0"/>
          <w:szCs w:val="26"/>
          <w:rtl/>
          <w14:ligatures w14:val="none"/>
        </w:rPr>
        <w:t>ب.</w:t>
      </w:r>
      <w:r w:rsidRPr="00E84DB1">
        <w:rPr>
          <w:rFonts w:eastAsia="Times New Roman" w:cs="DecoType Naskh" w:hint="cs"/>
          <w:bCs/>
          <w:color w:val="auto"/>
          <w:kern w:val="0"/>
          <w:szCs w:val="26"/>
          <w:rtl/>
          <w14:ligatures w14:val="none"/>
        </w:rPr>
        <w:tab/>
        <w:t>بداية جديدة مع نوح (6: 9-9: 29)</w:t>
      </w:r>
    </w:p>
    <w:p w14:paraId="4E49B673"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يجلب شر الإنسان المقيت دينونة كارثية من الله بالإضافة إلى بداية جديدة.  وتستمر فكرة اللعنة (مع تدمير الجنس البشري)، لكن تأتي الآن فكرة البركة مع التدبير الفدائي لعائلة نوح والعهد الجديد معه.  وهكذا تنتهي طريق التمرد الصريح على الله بالدينونة، غير أن الله قادر على أن يقدّم تدبيراً (الفُلْك) للذين يتلقّون نعمته.  فلا مجال للشك أن الله هو ديّان العالم.</w:t>
      </w:r>
    </w:p>
    <w:p w14:paraId="7CE933C3"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973C5D0"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1.</w:t>
      </w:r>
      <w:r w:rsidRPr="00E84DB1">
        <w:rPr>
          <w:rFonts w:eastAsia="Times New Roman" w:cs="DecoType Naskh" w:hint="cs"/>
          <w:color w:val="auto"/>
          <w:kern w:val="0"/>
          <w:szCs w:val="26"/>
          <w:rtl/>
          <w:lang w:bidi="ar-JO"/>
          <w14:ligatures w14:val="none"/>
        </w:rPr>
        <w:tab/>
        <w:t>دينونة العالم بالطوفان (6: 9-8: 19)</w:t>
      </w:r>
    </w:p>
    <w:p w14:paraId="09788DB7"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أ.</w:t>
      </w:r>
      <w:r w:rsidRPr="00E84DB1">
        <w:rPr>
          <w:rFonts w:eastAsia="Times New Roman" w:cs="DecoType Naskh" w:hint="cs"/>
          <w:color w:val="auto"/>
          <w:kern w:val="0"/>
          <w:szCs w:val="26"/>
          <w:rtl/>
          <w:lang w:bidi="ar-JO"/>
          <w14:ligatures w14:val="none"/>
        </w:rPr>
        <w:tab/>
        <w:t>مأمورية نوح ببناء الفلك والمحافظة على الحياة (6: 9-7: 5)</w:t>
      </w:r>
    </w:p>
    <w:p w14:paraId="70E14E17"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تشكل قصة الطوفان من نواحٍ كثيرة مشهداً موازياً لتكوين 1-2:</w:t>
      </w:r>
    </w:p>
    <w:p w14:paraId="0E7DB36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1)</w:t>
      </w:r>
      <w:r w:rsidRPr="00E84DB1">
        <w:rPr>
          <w:rFonts w:eastAsia="Times New Roman" w:cs="DecoType Naskh" w:hint="cs"/>
          <w:color w:val="auto"/>
          <w:kern w:val="0"/>
          <w:szCs w:val="26"/>
          <w:rtl/>
          <w:lang w:bidi="ar-JO"/>
          <w14:ligatures w14:val="none"/>
        </w:rPr>
        <w:tab/>
        <w:t xml:space="preserve">كما ظهرت اليابسة من تراجع المياه في تكوين 1، فقد انخفضت المياه إلى أن استقرّ الفُلك على أراراط.  </w:t>
      </w:r>
    </w:p>
    <w:p w14:paraId="07594C2B"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2)</w:t>
      </w:r>
      <w:r w:rsidRPr="00E84DB1">
        <w:rPr>
          <w:rFonts w:eastAsia="Times New Roman" w:cs="DecoType Naskh" w:hint="cs"/>
          <w:color w:val="auto"/>
          <w:kern w:val="0"/>
          <w:szCs w:val="26"/>
          <w:rtl/>
          <w:lang w:bidi="ar-JO"/>
          <w14:ligatures w14:val="none"/>
        </w:rPr>
        <w:tab/>
        <w:t>يوصي الله نوحاً أيضاً بأن يثمر ويتكاثر.</w:t>
      </w:r>
    </w:p>
    <w:p w14:paraId="07CBD2DC"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3)</w:t>
      </w:r>
      <w:r w:rsidRPr="00E84DB1">
        <w:rPr>
          <w:rFonts w:eastAsia="Times New Roman" w:cs="DecoType Naskh" w:hint="cs"/>
          <w:color w:val="auto"/>
          <w:kern w:val="0"/>
          <w:szCs w:val="26"/>
          <w:rtl/>
          <w:lang w:bidi="ar-JO"/>
          <w14:ligatures w14:val="none"/>
        </w:rPr>
        <w:tab/>
        <w:t>توجد دعوة للسلطة على الحيوانات (مع اختلاط السلطة بالخوف).</w:t>
      </w:r>
    </w:p>
    <w:p w14:paraId="3164EF1B"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4)</w:t>
      </w:r>
      <w:r w:rsidRPr="00E84DB1">
        <w:rPr>
          <w:rFonts w:eastAsia="Times New Roman" w:cs="DecoType Naskh" w:hint="cs"/>
          <w:color w:val="auto"/>
          <w:kern w:val="0"/>
          <w:szCs w:val="26"/>
          <w:rtl/>
          <w:lang w:bidi="ar-JO"/>
          <w14:ligatures w14:val="none"/>
        </w:rPr>
        <w:tab/>
        <w:t>يُقدَّم الطعام مع تحريم سفك الدم البشري.</w:t>
      </w:r>
    </w:p>
    <w:p w14:paraId="0835A698"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5)</w:t>
      </w:r>
      <w:r w:rsidRPr="00E84DB1">
        <w:rPr>
          <w:rFonts w:eastAsia="Times New Roman" w:cs="DecoType Naskh" w:hint="cs"/>
          <w:color w:val="auto"/>
          <w:kern w:val="0"/>
          <w:szCs w:val="26"/>
          <w:rtl/>
          <w:lang w:bidi="ar-JO"/>
          <w14:ligatures w14:val="none"/>
        </w:rPr>
        <w:tab/>
        <w:t>يزرع نوح جنة بالمقابلة مع جنة آدم وحوّاء.</w:t>
      </w:r>
    </w:p>
    <w:p w14:paraId="0D44C926"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لا يجب أن يغيب عن بال المرء التلاعب بالكلمات المتضمن تغطية </w:t>
      </w:r>
      <w:r w:rsidRPr="00E84DB1">
        <w:rPr>
          <w:rFonts w:eastAsia="Times New Roman" w:cs="DecoType Naskh" w:hint="cs"/>
          <w:color w:val="auto"/>
          <w:kern w:val="0"/>
          <w:szCs w:val="26"/>
          <w:rtl/>
          <w14:ligatures w14:val="none"/>
        </w:rPr>
        <w:t>(</w:t>
      </w:r>
      <w:r w:rsidRPr="00E84DB1">
        <w:rPr>
          <w:rFonts w:ascii="Ezra SIL" w:eastAsia="Times New Roman" w:hAnsi="Ezra SIL" w:cs="Ezra SIL" w:hint="cs"/>
          <w:b/>
          <w:color w:val="auto"/>
          <w:kern w:val="0"/>
          <w:rtl/>
          <w:lang w:bidi="he-IL"/>
          <w14:ligatures w14:val="none"/>
        </w:rPr>
        <w:t>כפר)</w:t>
      </w:r>
      <w:r w:rsidRPr="00E84DB1">
        <w:rPr>
          <w:rFonts w:eastAsia="Times New Roman" w:cs="DecoType Naskh" w:hint="cs"/>
          <w:color w:val="auto"/>
          <w:kern w:val="0"/>
          <w:szCs w:val="26"/>
          <w:rtl/>
          <w:lang w:bidi="ar-JO"/>
          <w14:ligatures w14:val="none"/>
        </w:rPr>
        <w:t xml:space="preserve"> الفُلك بالقار </w:t>
      </w:r>
      <w:r w:rsidRPr="00E84DB1">
        <w:rPr>
          <w:rFonts w:eastAsia="Times New Roman" w:cs="DecoType Naskh"/>
          <w:color w:val="auto"/>
          <w:kern w:val="0"/>
          <w:szCs w:val="26"/>
          <w:rtl/>
          <w14:ligatures w14:val="none"/>
        </w:rPr>
        <w:t>(</w:t>
      </w:r>
      <w:r w:rsidRPr="00E84DB1">
        <w:rPr>
          <w:rFonts w:ascii="Ezra SIL" w:eastAsia="Times New Roman" w:hAnsi="Ezra SIL" w:cs="Ezra SIL"/>
          <w:color w:val="auto"/>
          <w:kern w:val="0"/>
          <w:sz w:val="22"/>
          <w:rtl/>
          <w:lang w:bidi="he-IL"/>
          <w14:ligatures w14:val="none"/>
        </w:rPr>
        <w:t>כֹּפֶר</w:t>
      </w:r>
      <w:r w:rsidRPr="00E84DB1">
        <w:rPr>
          <w:rFonts w:eastAsia="Times New Roman" w:cs="Times New Roman"/>
          <w:color w:val="auto"/>
          <w:kern w:val="0"/>
          <w:szCs w:val="26"/>
          <w:rtl/>
          <w:lang w:bidi="he-IL"/>
          <w14:ligatures w14:val="none"/>
        </w:rPr>
        <w:t>)</w:t>
      </w:r>
      <w:r w:rsidRPr="00E84DB1">
        <w:rPr>
          <w:rFonts w:eastAsia="Times New Roman" w:cs="DecoType Naskh" w:hint="cs"/>
          <w:color w:val="auto"/>
          <w:kern w:val="0"/>
          <w:szCs w:val="26"/>
          <w:rtl/>
          <w:lang w:bidi="ar-JO"/>
          <w14:ligatures w14:val="none"/>
        </w:rPr>
        <w:t>.  ففي طقوس إسرائيل ستصبح الكفّارة (</w:t>
      </w:r>
      <w:r w:rsidRPr="00E84DB1">
        <w:rPr>
          <w:rFonts w:ascii="Ezra SIL" w:eastAsia="Times New Roman" w:hAnsi="Ezra SIL" w:cs="Ezra SIL" w:hint="cs"/>
          <w:b/>
          <w:color w:val="auto"/>
          <w:kern w:val="0"/>
          <w:rtl/>
          <w:lang w:bidi="he-IL"/>
          <w14:ligatures w14:val="none"/>
        </w:rPr>
        <w:t>כַּפֹּרֶת</w:t>
      </w:r>
      <w:r w:rsidRPr="00E84DB1">
        <w:rPr>
          <w:rFonts w:ascii="Hebrew" w:eastAsia="Times New Roman" w:hAnsi="Hebrew" w:cs="DecoType Naskh" w:hint="cs"/>
          <w:color w:val="auto"/>
          <w:kern w:val="0"/>
          <w:szCs w:val="26"/>
          <w:rtl/>
          <w:lang w:bidi="ar-JO"/>
          <w14:ligatures w14:val="none"/>
        </w:rPr>
        <w:t xml:space="preserve"> </w:t>
      </w:r>
      <w:r w:rsidRPr="00E84DB1">
        <w:rPr>
          <w:rFonts w:eastAsia="Times New Roman" w:cs="DecoType Naskh" w:hint="cs"/>
          <w:color w:val="auto"/>
          <w:kern w:val="0"/>
          <w:szCs w:val="26"/>
          <w:rtl/>
          <w:lang w:bidi="ar-JO"/>
          <w14:ligatures w14:val="none"/>
        </w:rPr>
        <w:t>= كرسي الرحمة) جزءاً رئيسياً من نشاط العبادة.</w:t>
      </w:r>
      <w:r w:rsidRPr="00E84DB1">
        <w:rPr>
          <w:rFonts w:eastAsia="Times New Roman" w:cs="DecoType Naskh"/>
          <w:color w:val="auto"/>
          <w:kern w:val="0"/>
          <w:sz w:val="30"/>
          <w:szCs w:val="28"/>
          <w:vertAlign w:val="superscript"/>
          <w:rtl/>
          <w:lang w:bidi="ar-JO"/>
          <w14:ligatures w14:val="none"/>
        </w:rPr>
        <w:t xml:space="preserve"> </w:t>
      </w:r>
      <w:r w:rsidRPr="00E84DB1">
        <w:rPr>
          <w:rFonts w:eastAsia="Times New Roman" w:cs="DecoType Naskh"/>
          <w:color w:val="auto"/>
          <w:kern w:val="0"/>
          <w:sz w:val="30"/>
          <w:szCs w:val="28"/>
          <w:vertAlign w:val="superscript"/>
          <w:rtl/>
          <w:lang w:bidi="ar-JO"/>
          <w14:ligatures w14:val="none"/>
        </w:rPr>
        <w:footnoteReference w:customMarkFollows="1" w:id="33"/>
        <w:t>4</w:t>
      </w:r>
      <w:r w:rsidRPr="00E84DB1">
        <w:rPr>
          <w:rFonts w:eastAsia="Times New Roman" w:cs="DecoType Naskh" w:hint="cs"/>
          <w:color w:val="auto"/>
          <w:kern w:val="0"/>
          <w:szCs w:val="26"/>
          <w:rtl/>
          <w:lang w:bidi="ar-JO"/>
          <w14:ligatures w14:val="none"/>
        </w:rPr>
        <w:t xml:space="preserve">  والاحتماء بالدم هو ملجأ المؤمن بالمسيح.</w:t>
      </w:r>
    </w:p>
    <w:p w14:paraId="22E56590"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p>
    <w:p w14:paraId="557605FA"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ب.</w:t>
      </w:r>
      <w:r w:rsidRPr="00E84DB1">
        <w:rPr>
          <w:rFonts w:eastAsia="Times New Roman" w:cs="DecoType Naskh" w:hint="cs"/>
          <w:color w:val="auto"/>
          <w:kern w:val="0"/>
          <w:szCs w:val="26"/>
          <w:rtl/>
          <w:lang w:bidi="ar-JO"/>
          <w14:ligatures w14:val="none"/>
        </w:rPr>
        <w:tab/>
        <w:t>دينونة الطوفان (7: 6-24)</w:t>
      </w:r>
    </w:p>
    <w:p w14:paraId="2BD0184B"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تشهد روايات وثنية كثيرة على صحة وجود طوفان شامل (انظر الملاحظات حول الدرس الثاني).</w:t>
      </w:r>
      <w:r w:rsidRPr="00E84DB1">
        <w:rPr>
          <w:rFonts w:eastAsia="Times New Roman" w:cs="DecoType Naskh"/>
          <w:color w:val="auto"/>
          <w:kern w:val="0"/>
          <w:sz w:val="28"/>
          <w:szCs w:val="28"/>
          <w:vertAlign w:val="superscript"/>
          <w:rtl/>
          <w:lang w:bidi="ar-JO"/>
          <w14:ligatures w14:val="none"/>
        </w:rPr>
        <w:footnoteReference w:customMarkFollows="1" w:id="34"/>
        <w:t>5</w:t>
      </w:r>
      <w:r w:rsidRPr="00E84DB1">
        <w:rPr>
          <w:rFonts w:eastAsia="Times New Roman" w:cs="DecoType Naskh" w:hint="cs"/>
          <w:color w:val="auto"/>
          <w:kern w:val="0"/>
          <w:szCs w:val="26"/>
          <w:rtl/>
          <w:lang w:bidi="ar-JO"/>
          <w14:ligatures w14:val="none"/>
        </w:rPr>
        <w:t xml:space="preserve"> </w:t>
      </w:r>
      <w:r w:rsidRPr="00E84DB1">
        <w:rPr>
          <w:rFonts w:eastAsia="Times New Roman" w:cs="DecoType Naskh"/>
          <w:color w:val="auto"/>
          <w:kern w:val="0"/>
          <w:szCs w:val="26"/>
          <w14:ligatures w14:val="none"/>
        </w:rPr>
        <w:t xml:space="preserve"> </w:t>
      </w:r>
      <w:r w:rsidRPr="00E84DB1">
        <w:rPr>
          <w:rFonts w:eastAsia="Times New Roman" w:cs="DecoType Naskh" w:hint="cs"/>
          <w:color w:val="auto"/>
          <w:kern w:val="0"/>
          <w:szCs w:val="26"/>
          <w:rtl/>
          <w:lang w:bidi="ar-JO"/>
          <w14:ligatures w14:val="none"/>
        </w:rPr>
        <w:t>إن قصة الطوفان رواية رئيسية في الكتاب المقدس، ويشار إليها في مواضع كثيرة منه.  وبطبيعة الحال تؤكد هذه الرواية مرة أخرى أن يهوه هو الرب على خليقته، وأن الناس المخلوقين منه مسؤولون أمامه.  ويقينية العقاب النهائي للأشرار درس هام من دروس هذه الرواية التي هي تحذير على مرّ الزمن للأشرار بأن الله لن يتغاضى عن خطيتهم (انظر 2 بطرس 3).  وإن من شأن موت جيل واحد من الخطاة أن يذكّر كل الأجيال القادمة بغضب الله الآتي.</w:t>
      </w:r>
    </w:p>
    <w:p w14:paraId="6940D23B"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p>
    <w:p w14:paraId="76CE0B3B"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أمّا بالنسبة للمؤمن بالمسيح (مُتلقّي النعمة)، فإن الفُلك يمثّل تدبير الله للنجاة من مياه الدينونة، ويمثّل الالتجاء إلى المسيح تدبير الله للمؤمنين لتجنب الدينونة (انظر يوحنا 5: 24).  يبحر نوح عبر الدينونة إلى عصر جديد.  وتبقى الحقيقة على مر العصور أن الدينونة ستسحق الأثمة، ولن يدخل عصر الراحة الجديد، أي الملكوت، إلاّ  نخبة الأبرار.  وسينتصر الله في نهاية المطاف على الشر.</w:t>
      </w:r>
    </w:p>
    <w:p w14:paraId="5991C28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p>
    <w:p w14:paraId="47E19F9F"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جـ.</w:t>
      </w:r>
      <w:r w:rsidRPr="00E84DB1">
        <w:rPr>
          <w:rFonts w:eastAsia="Times New Roman" w:cs="DecoType Naskh" w:hint="cs"/>
          <w:color w:val="auto"/>
          <w:kern w:val="0"/>
          <w:szCs w:val="26"/>
          <w:rtl/>
          <w:lang w:bidi="ar-JO"/>
          <w14:ligatures w14:val="none"/>
        </w:rPr>
        <w:tab/>
        <w:t xml:space="preserve">نهاية الدينونة (8: 1-19) </w:t>
      </w:r>
    </w:p>
    <w:p w14:paraId="35B56F07"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تحمل عبارة "واستقر (واستراح) الفُلك... على جبال أراراط" في 8: 4 معنى أكثر مما يمكن أن يلحظه المرء للوهلة الأولى.  إذ نجد هنا استمراراً لفكرة "الراحة".  إذ لم يستقر فعلياً على الجبل فحسب، لكن هذا الحدث أيضاً كان بداية جديدة بالبركة (9: 1).</w:t>
      </w:r>
    </w:p>
    <w:p w14:paraId="0751AE6A"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p>
    <w:p w14:paraId="533F1B06" w14:textId="77777777" w:rsidR="00E84DB1" w:rsidRPr="00E84DB1" w:rsidRDefault="00E84DB1"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2.</w:t>
      </w:r>
      <w:r w:rsidRPr="00E84DB1">
        <w:rPr>
          <w:rFonts w:eastAsia="Times New Roman" w:cs="DecoType Naskh" w:hint="cs"/>
          <w:color w:val="auto"/>
          <w:kern w:val="0"/>
          <w:szCs w:val="26"/>
          <w:rtl/>
          <w:lang w:bidi="ar-JO"/>
          <w14:ligatures w14:val="none"/>
        </w:rPr>
        <w:tab/>
        <w:t>البداية الجديدة (8: 20-9: 29)</w:t>
      </w:r>
    </w:p>
    <w:p w14:paraId="36FCA8DF"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أ.</w:t>
      </w:r>
      <w:r w:rsidRPr="00E84DB1">
        <w:rPr>
          <w:rFonts w:eastAsia="Times New Roman" w:cs="DecoType Naskh" w:hint="cs"/>
          <w:color w:val="auto"/>
          <w:kern w:val="0"/>
          <w:szCs w:val="26"/>
          <w:rtl/>
          <w:lang w:bidi="ar-JO"/>
          <w14:ligatures w14:val="none"/>
        </w:rPr>
        <w:tab/>
        <w:t>التدبير في العالم الجديد (8: 20-9: 17)</w:t>
      </w:r>
    </w:p>
    <w:p w14:paraId="15E737E0"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1)</w:t>
      </w:r>
      <w:r w:rsidRPr="00E84DB1">
        <w:rPr>
          <w:rFonts w:eastAsia="Times New Roman" w:cs="DecoType Naskh" w:hint="cs"/>
          <w:color w:val="auto"/>
          <w:kern w:val="0"/>
          <w:szCs w:val="26"/>
          <w:rtl/>
          <w:lang w:bidi="ar-JO"/>
          <w14:ligatures w14:val="none"/>
        </w:rPr>
        <w:tab/>
        <w:t>أول عمل لنوح (8: 20-22)</w:t>
      </w:r>
    </w:p>
    <w:p w14:paraId="62573D14"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كان أول عمل يقوم به نوح بعد مغادرته الفلك هو تقديم ذبيحة من أفضل ما لديه للرب.  وقد أكّد هذا لإسرائيل أن الشعب المفدي هو شعب عابد.</w:t>
      </w:r>
    </w:p>
    <w:p w14:paraId="47CF04A7"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2)</w:t>
      </w:r>
      <w:r w:rsidRPr="00E84DB1">
        <w:rPr>
          <w:rFonts w:eastAsia="Times New Roman" w:cs="DecoType Naskh" w:hint="cs"/>
          <w:color w:val="auto"/>
          <w:kern w:val="0"/>
          <w:szCs w:val="26"/>
          <w:rtl/>
          <w:lang w:bidi="ar-JO"/>
          <w14:ligatures w14:val="none"/>
        </w:rPr>
        <w:tab/>
        <w:t xml:space="preserve">تعليمات جديدة لنوح (9: 1-7) </w:t>
      </w:r>
    </w:p>
    <w:p w14:paraId="6BF25315"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يُعطى نوح ، كما كان الحال مع آدم، معلومات حول كيفية التصرف في هذا "العالم الجديد".  ويقدم الله على وجه الخصوص تشريعاً متعلقاً بالقتل من أجل حماية قدسية الحياة.  وبهذا تبدأ الحكومة البشرية نظاماً جديداً يكون فيه الإنسان مسؤولاً عن ضمان العدل في ما يتعلق بقيام شخص بقتل شخص آخر.  </w:t>
      </w:r>
    </w:p>
    <w:p w14:paraId="4A6A335B"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الدرس الذي نتعلمه: كان القانون البشري ضرورياً لاستقرار الحياة في المجتمع الجديد، ولا يمكن للإثم أن يمر دون عقاب كما كان يحدث من قبل.  وسيكون هذا المفهوم أساسياً في أهميته لأمة إسرائيل الجديدة تحت شريعة سيناء.</w:t>
      </w:r>
    </w:p>
    <w:p w14:paraId="67410518"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3)</w:t>
      </w:r>
      <w:r w:rsidRPr="00E84DB1">
        <w:rPr>
          <w:rFonts w:eastAsia="Times New Roman" w:cs="DecoType Naskh" w:hint="cs"/>
          <w:color w:val="auto"/>
          <w:kern w:val="0"/>
          <w:szCs w:val="26"/>
          <w:rtl/>
          <w:lang w:bidi="ar-JO"/>
          <w14:ligatures w14:val="none"/>
        </w:rPr>
        <w:tab/>
        <w:t xml:space="preserve">عهد الله مع نوح (9: 8 </w:t>
      </w:r>
      <w:r w:rsidRPr="00E84DB1">
        <w:rPr>
          <w:rFonts w:eastAsia="Times New Roman" w:cs="DecoType Naskh"/>
          <w:color w:val="auto"/>
          <w:kern w:val="0"/>
          <w:szCs w:val="26"/>
          <w:rtl/>
          <w:lang w:bidi="ar-JO"/>
          <w14:ligatures w14:val="none"/>
        </w:rPr>
        <w:t>–</w:t>
      </w:r>
      <w:r w:rsidRPr="00E84DB1">
        <w:rPr>
          <w:rFonts w:eastAsia="Times New Roman" w:cs="DecoType Naskh" w:hint="cs"/>
          <w:color w:val="auto"/>
          <w:kern w:val="0"/>
          <w:szCs w:val="26"/>
          <w:rtl/>
          <w:lang w:bidi="ar-JO"/>
          <w14:ligatures w14:val="none"/>
        </w:rPr>
        <w:t xml:space="preserve"> 17)</w:t>
      </w:r>
    </w:p>
    <w:p w14:paraId="446D5E28"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الالتزام الذي أخذه الله على عاتقهِ بأنه لن يفني العالم بالطوفان فيما بعد، يتم الاحتفال به بعهد قُصِدَ به الاستقرار في الطبيعة.  علامة هذا العهد هي قوس قزح، هي تذكير أبدي بأن الله سوف يحفظ وعد النعمة هذا دائماً مع الجنس البشري.  نطاق حفظ العهد وحفظ الوعد هذا سوف يكون ذا دلالة خاصة لإسرائيل الخارجة من مصر.  يحافظ الله دائماً على دوره في عهده!</w:t>
      </w:r>
    </w:p>
    <w:p w14:paraId="32C208B6"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p>
    <w:p w14:paraId="58D50256"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ب.</w:t>
      </w:r>
      <w:r w:rsidRPr="00E84DB1">
        <w:rPr>
          <w:rFonts w:eastAsia="Times New Roman" w:cs="DecoType Naskh" w:hint="cs"/>
          <w:color w:val="auto"/>
          <w:kern w:val="0"/>
          <w:szCs w:val="26"/>
          <w:rtl/>
          <w:lang w:bidi="ar-JO"/>
          <w14:ligatures w14:val="none"/>
        </w:rPr>
        <w:tab/>
        <w:t xml:space="preserve">إعلان نوح النبوي (9: </w:t>
      </w:r>
      <w:r w:rsidRPr="00E84DB1">
        <w:rPr>
          <w:rFonts w:eastAsia="Times New Roman" w:cs="DecoType Naskh" w:hint="cs"/>
          <w:color w:val="auto"/>
          <w:kern w:val="0"/>
          <w:szCs w:val="26"/>
          <w:rtl/>
          <w14:ligatures w14:val="none"/>
        </w:rPr>
        <w:t>1</w:t>
      </w:r>
      <w:r w:rsidRPr="00E84DB1">
        <w:rPr>
          <w:rFonts w:eastAsia="Times New Roman" w:cs="DecoType Naskh" w:hint="cs"/>
          <w:color w:val="auto"/>
          <w:kern w:val="0"/>
          <w:szCs w:val="26"/>
          <w:rtl/>
          <w:lang w:bidi="ar-JO"/>
          <w14:ligatures w14:val="none"/>
        </w:rPr>
        <w:t>8 - 29)</w:t>
      </w:r>
    </w:p>
    <w:p w14:paraId="7EC77D5F"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KW"/>
          <w14:ligatures w14:val="none"/>
        </w:rPr>
      </w:pPr>
      <w:r w:rsidRPr="00E84DB1">
        <w:rPr>
          <w:rFonts w:eastAsia="Times New Roman" w:cs="DecoType Naskh" w:hint="cs"/>
          <w:color w:val="auto"/>
          <w:kern w:val="0"/>
          <w:szCs w:val="26"/>
          <w:rtl/>
          <w:lang w:bidi="ar-JO"/>
          <w14:ligatures w14:val="none"/>
        </w:rPr>
        <w:t>نجد نوحاً في هذا المشهد في حالة سكر وعري (بالمقابلة مع عري آدم)، وهذه مأساة في ضوء فرصة بدء خليقة جديدة.  وتخص هذه القصة في واقع الأمر كنعان، فمنه انحدر الكنعانيون.</w:t>
      </w:r>
      <w:r w:rsidRPr="00E84DB1">
        <w:rPr>
          <w:rFonts w:eastAsia="Times New Roman" w:cs="DecoType Naskh"/>
          <w:color w:val="auto"/>
          <w:kern w:val="0"/>
          <w:sz w:val="28"/>
          <w:szCs w:val="28"/>
          <w:vertAlign w:val="superscript"/>
          <w:rtl/>
          <w:lang w:bidi="ar-KW"/>
          <w14:ligatures w14:val="none"/>
        </w:rPr>
        <w:footnoteReference w:customMarkFollows="1" w:id="35"/>
        <w:t>6</w:t>
      </w:r>
    </w:p>
    <w:p w14:paraId="4621A770"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لم تتضمن ف</w:t>
      </w:r>
      <w:r w:rsidRPr="00E84DB1">
        <w:rPr>
          <w:rFonts w:eastAsia="Times New Roman" w:cs="DecoType Naskh" w:hint="cs"/>
          <w:color w:val="auto"/>
          <w:kern w:val="0"/>
          <w:szCs w:val="26"/>
          <w:rtl/>
          <w14:ligatures w14:val="none"/>
        </w:rPr>
        <w:t>ِ</w:t>
      </w:r>
      <w:r w:rsidRPr="00E84DB1">
        <w:rPr>
          <w:rFonts w:eastAsia="Times New Roman" w:cs="DecoType Naskh" w:hint="cs"/>
          <w:color w:val="auto"/>
          <w:kern w:val="0"/>
          <w:szCs w:val="26"/>
          <w:rtl/>
          <w:lang w:bidi="ar-JO"/>
          <w14:ligatures w14:val="none"/>
        </w:rPr>
        <w:t>علة حام على الأرجح أكثر من خرق للاحترام والكرامة العائليين، لكنها دمّرت قداسة العائلة وجعلت من قوة الأب مجالاً للهزء.</w:t>
      </w:r>
    </w:p>
    <w:p w14:paraId="14214C55"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وبدلاً من أن تكون "لعنة كنعان" دينونة غير عادلة على كنعان، فإنها في واقع الأمر لعنة نبوية على الأمة التي ستنحدر من حام من خلال كنعان.  ومن الواضح أنه يفكِّر بالكنعانيين (الذين سيطردهم بنو إسرائيل لدى دخولهم "الأرض").  سيكونون شعباً منحلاً أخلاقياً ومستعبداً للسكر والخلاعة.  المواضيع الأخلاقية التي واجهها أبناء نوحٍ سيواجهها لاحقاً الذين كان عليهم مواجهة المجتمع الكنعاني اللاأخلاقي:  فإن الأشخاص الأبرار سيتصرفون بتواضع ونزاهة في وجه الفساد غير الأخلاقي! وإن لم يفعلوا ذلك، فإنهم سيدويون في مجتمع يفتقر إلى الاحترام الأخلاقي.</w:t>
      </w:r>
    </w:p>
    <w:p w14:paraId="5C7A07C8"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وهكذا يُقصد بهذا الإعلان النبوي عن لعنة كنعان أن يعُد إسرائيل لكي ترث "الأرض"، واضعاً بذلك أساساً لسياسة إسرائيل الخارجية.  ولا بد أن يُطرد الكنعانيون من مكانهم تمهيداً لتوسع إسرائيل والحصول على البركات.</w:t>
      </w:r>
    </w:p>
    <w:p w14:paraId="5089789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p>
    <w:p w14:paraId="44E533FE" w14:textId="77777777" w:rsidR="00E84DB1" w:rsidRPr="00E84DB1" w:rsidRDefault="00E84DB1"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E84DB1">
        <w:rPr>
          <w:rFonts w:eastAsia="Times New Roman" w:cs="DecoType Naskh" w:hint="cs"/>
          <w:bCs/>
          <w:color w:val="auto"/>
          <w:kern w:val="0"/>
          <w:szCs w:val="26"/>
          <w:rtl/>
          <w14:ligatures w14:val="none"/>
        </w:rPr>
        <w:t>جـ.</w:t>
      </w:r>
      <w:r w:rsidRPr="00E84DB1">
        <w:rPr>
          <w:rFonts w:eastAsia="Times New Roman" w:cs="DecoType Naskh" w:hint="cs"/>
          <w:bCs/>
          <w:color w:val="auto"/>
          <w:kern w:val="0"/>
          <w:szCs w:val="26"/>
          <w:rtl/>
          <w14:ligatures w14:val="none"/>
        </w:rPr>
        <w:tab/>
        <w:t>إعادة سكنى الأرض لكن مع استمرار الانحلال (10: 1-11: 9)</w:t>
      </w:r>
    </w:p>
    <w:p w14:paraId="28087503"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يجيب قسم </w:t>
      </w:r>
      <w:r w:rsidRPr="00E84DB1">
        <w:rPr>
          <w:rFonts w:eastAsia="Times New Roman" w:cs="DecoType Naskh" w:hint="cs"/>
          <w:i/>
          <w:iCs/>
          <w:color w:val="auto"/>
          <w:kern w:val="0"/>
          <w:szCs w:val="26"/>
          <w:rtl/>
          <w:lang w:bidi="ar-JO"/>
          <w14:ligatures w14:val="none"/>
        </w:rPr>
        <w:t xml:space="preserve">توليدوت </w:t>
      </w:r>
      <w:r w:rsidRPr="00E84DB1">
        <w:rPr>
          <w:rFonts w:ascii="Charis SIL" w:eastAsia="Times New Roman" w:hAnsi="Charis SIL" w:cs="Charis SIL"/>
          <w:bCs/>
          <w:i/>
          <w:iCs/>
          <w:color w:val="auto"/>
          <w:kern w:val="0"/>
          <w:szCs w:val="26"/>
          <w:lang w:bidi="ar-JO"/>
          <w14:ligatures w14:val="none"/>
        </w:rPr>
        <w:t>tôlᵊḏôṯ</w:t>
      </w:r>
      <w:r w:rsidRPr="00E84DB1">
        <w:rPr>
          <w:rFonts w:eastAsia="Times New Roman" w:cs="DecoType Naskh" w:hint="cs"/>
          <w:i/>
          <w:iCs/>
          <w:color w:val="auto"/>
          <w:kern w:val="0"/>
          <w:szCs w:val="26"/>
          <w:rtl/>
          <w:lang w:bidi="ar-JO"/>
          <w14:ligatures w14:val="none"/>
        </w:rPr>
        <w:t xml:space="preserve"> </w:t>
      </w:r>
      <w:r w:rsidRPr="00E84DB1">
        <w:rPr>
          <w:rFonts w:eastAsia="Times New Roman" w:cs="DecoType Naskh" w:hint="cs"/>
          <w:color w:val="auto"/>
          <w:kern w:val="0"/>
          <w:szCs w:val="26"/>
          <w:rtl/>
          <w:lang w:bidi="ar-JO"/>
          <w14:ligatures w14:val="none"/>
        </w:rPr>
        <w:t>هذا عن السؤال المتعلق بما حدث لأبناء نوح.  لقد أثمروا وتكاثروا، لكنهم لم يطيعوا الله.  بل على النقيض من ذلك، تحرّكوا تجاه التدهور والانحطاط، مثلهم في ذلك مثل نسل آدم.  غير أن تتبُّعنا لحياتهم يظهرهم مختلفين عن نسل آدم ، حيث لا نجد في حياتهم شعاعاً من أمل.</w:t>
      </w:r>
    </w:p>
    <w:p w14:paraId="677DB07B"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لكي نفهم هذا القسم، علينا أن ندرك أن 11: 1-9 تسبق 10: 1-32 زمنياً.  نجد أولاً صورة للأمم المشتتة بلا أمل على وجه الأرض في تمرّد وفوضى، تحارب إحداها الأخرى والله أيضاً.  وعندما نسأل كيف حدث هذا، يأتي الجواب من خلال قصة برج بابل في 11: 1-9.</w:t>
      </w:r>
    </w:p>
    <w:p w14:paraId="5BE847F5"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الصورة قاتمة! فإلى أين يتجه الإنسان؟  فإذا تُرك لنفسه، فهو لا يكف عن الانحطاط والتمرُّد على خالقه.  وما هو طريق البركة إذاً؟ يعدّنا هذا القسم إلى البرنامج الإلهي في تكوين 12 والعهد مع إبراهيم.  سيختار الله رجلاً من هذه الكتلة المتفرّقة من الشعوب ويبدأ ببناء أمته كقناة يبارك العالم من خلالها.  وهذا القسم هو محور السفر كله، وهو يعدّنا لفترة الآباء والأحداث المرتبطة بهم.</w:t>
      </w:r>
    </w:p>
    <w:p w14:paraId="791D63B5"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1.</w:t>
      </w:r>
      <w:r w:rsidRPr="00E84DB1">
        <w:rPr>
          <w:rFonts w:eastAsia="Times New Roman" w:cs="DecoType Naskh" w:hint="cs"/>
          <w:color w:val="auto"/>
          <w:kern w:val="0"/>
          <w:szCs w:val="26"/>
          <w:rtl/>
          <w:lang w:bidi="ar-JO"/>
          <w14:ligatures w14:val="none"/>
        </w:rPr>
        <w:tab/>
        <w:t>إعادة سُكنى الأرض وتشكُّل الشعوب (10: 1-32)</w:t>
      </w:r>
    </w:p>
    <w:p w14:paraId="7787118F"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 xml:space="preserve">يؤكد هذا القسم على تطور الشعوب ذات الأهمية الرئيسية لأمة </w:t>
      </w:r>
      <w:r w:rsidRPr="00E84DB1">
        <w:rPr>
          <w:rFonts w:eastAsia="Times New Roman" w:cs="DecoType Naskh" w:hint="cs"/>
          <w:color w:val="auto"/>
          <w:kern w:val="0"/>
          <w:szCs w:val="26"/>
          <w:u w:val="single"/>
          <w:rtl/>
          <w:lang w:bidi="ar-JO"/>
          <w14:ligatures w14:val="none"/>
        </w:rPr>
        <w:t>إسرائيل</w:t>
      </w:r>
      <w:r w:rsidRPr="00E84DB1">
        <w:rPr>
          <w:rFonts w:eastAsia="Times New Roman" w:cs="DecoType Naskh" w:hint="cs"/>
          <w:color w:val="auto"/>
          <w:kern w:val="0"/>
          <w:szCs w:val="26"/>
          <w:rtl/>
          <w:lang w:bidi="ar-JO"/>
          <w14:ligatures w14:val="none"/>
        </w:rPr>
        <w:t xml:space="preserve"> ضمن التركيب الكلي لقائمتها أو جدولها.</w:t>
      </w:r>
      <w:r w:rsidRPr="00E84DB1">
        <w:rPr>
          <w:rFonts w:eastAsia="Times New Roman" w:cs="DecoType Naskh"/>
          <w:color w:val="auto"/>
          <w:kern w:val="0"/>
          <w:sz w:val="28"/>
          <w:szCs w:val="28"/>
          <w:vertAlign w:val="superscript"/>
          <w:rtl/>
          <w:lang w:bidi="ar-JO"/>
          <w14:ligatures w14:val="none"/>
        </w:rPr>
        <w:footnoteReference w:customMarkFollows="1" w:id="36"/>
        <w:t>7</w:t>
      </w:r>
      <w:r w:rsidRPr="00E84DB1">
        <w:rPr>
          <w:rFonts w:eastAsia="Times New Roman" w:cs="DecoType Naskh" w:hint="cs"/>
          <w:color w:val="auto"/>
          <w:kern w:val="0"/>
          <w:sz w:val="28"/>
          <w:szCs w:val="28"/>
          <w:rtl/>
          <w:lang w:bidi="ar-JO"/>
          <w14:ligatures w14:val="none"/>
        </w:rPr>
        <w:t xml:space="preserve"> </w:t>
      </w:r>
      <w:r w:rsidRPr="00E84DB1">
        <w:rPr>
          <w:rFonts w:eastAsia="Times New Roman" w:cs="DecoType Naskh" w:hint="cs"/>
          <w:color w:val="auto"/>
          <w:kern w:val="0"/>
          <w:szCs w:val="26"/>
          <w:rtl/>
          <w:lang w:bidi="ar-JO"/>
          <w14:ligatures w14:val="none"/>
        </w:rPr>
        <w:t xml:space="preserve"> واهتمام الكاتب مرتبطٌ جداً برسالة السفر، خاصة وهو منشغل بأمر الكنعانيين في أرض الموعد.  يرتبط جدول الأمم إذاً بتحقيق وعد الله بمباركته إسرائيل كأمة في الأرض، ومباركته الأمم التي تباركها، ولعنِه الأمم المعادية لها.  ويُذكَر سام أخيراً حيث إن معظم العهد القديم مرتبط بنسل سام </w:t>
      </w:r>
      <w:r w:rsidRPr="00E84DB1">
        <w:rPr>
          <w:rFonts w:eastAsia="Times New Roman" w:cs="DecoType Naskh"/>
          <w:color w:val="auto"/>
          <w:kern w:val="0"/>
          <w:szCs w:val="26"/>
          <w:rtl/>
          <w:lang w:bidi="ar-JO"/>
          <w14:ligatures w14:val="none"/>
        </w:rPr>
        <w:t>–</w:t>
      </w:r>
      <w:r w:rsidRPr="00E84DB1">
        <w:rPr>
          <w:rFonts w:eastAsia="Times New Roman" w:cs="DecoType Naskh" w:hint="cs"/>
          <w:color w:val="auto"/>
          <w:kern w:val="0"/>
          <w:szCs w:val="26"/>
          <w:rtl/>
          <w:lang w:bidi="ar-JO"/>
          <w14:ligatures w14:val="none"/>
        </w:rPr>
        <w:t xml:space="preserve"> الذي يأتي من نسله إبراهيم الذي سيقطع الله عهده معه ليبارك الجنس البشري.</w:t>
      </w:r>
    </w:p>
    <w:p w14:paraId="13B99011"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2.</w:t>
      </w:r>
      <w:r w:rsidRPr="00E84DB1">
        <w:rPr>
          <w:rFonts w:eastAsia="Times New Roman" w:cs="DecoType Naskh" w:hint="cs"/>
          <w:color w:val="auto"/>
          <w:kern w:val="0"/>
          <w:szCs w:val="26"/>
          <w:rtl/>
          <w:lang w:bidi="ar-JO"/>
          <w14:ligatures w14:val="none"/>
        </w:rPr>
        <w:tab/>
        <w:t>تشتت الأمم (11: 1-9)</w:t>
      </w:r>
    </w:p>
    <w:p w14:paraId="50D88C0E"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تشرح هذه الفقرة كيف أن الشعوب تتكلم لغات مختلفة رغم أصلها المشترك، وكيف انتشرت خارج المنطقة.</w:t>
      </w:r>
      <w:r w:rsidRPr="00E84DB1">
        <w:rPr>
          <w:rFonts w:eastAsia="Times New Roman" w:cs="DecoType Naskh"/>
          <w:color w:val="auto"/>
          <w:kern w:val="0"/>
          <w:sz w:val="28"/>
          <w:szCs w:val="28"/>
          <w:vertAlign w:val="superscript"/>
          <w:rtl/>
          <w:lang w:bidi="ar-JO"/>
          <w14:ligatures w14:val="none"/>
        </w:rPr>
        <w:footnoteReference w:customMarkFollows="1" w:id="37"/>
        <w:t>8</w:t>
      </w:r>
      <w:r w:rsidRPr="00E84DB1">
        <w:rPr>
          <w:rFonts w:eastAsia="Times New Roman" w:cs="DecoType Naskh" w:hint="cs"/>
          <w:color w:val="auto"/>
          <w:kern w:val="0"/>
          <w:szCs w:val="26"/>
          <w:rtl/>
          <w:lang w:bidi="ar-JO"/>
          <w14:ligatures w14:val="none"/>
        </w:rPr>
        <w:t xml:space="preserve"> ويركز هذا الأمر على التمرد على تعليمات الله.</w:t>
      </w:r>
    </w:p>
    <w:p w14:paraId="1E81D18D"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أ.</w:t>
      </w:r>
      <w:r w:rsidRPr="00E84DB1">
        <w:rPr>
          <w:rFonts w:eastAsia="Times New Roman" w:cs="DecoType Naskh" w:hint="cs"/>
          <w:color w:val="auto"/>
          <w:kern w:val="0"/>
          <w:szCs w:val="26"/>
          <w:rtl/>
          <w:lang w:bidi="ar-JO"/>
          <w14:ligatures w14:val="none"/>
        </w:rPr>
        <w:tab/>
        <w:t xml:space="preserve">الخطية </w:t>
      </w:r>
    </w:p>
    <w:p w14:paraId="7550C73D"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كان الهدف الإلهي في 9: 1 هو أن ينتشروا في الأرض ويحققوا قصد الله الأصلي.  لكننا نجد هنا الجنس البشري يتجمع هنا لكي ي</w:t>
      </w:r>
      <w:r w:rsidRPr="00E84DB1">
        <w:rPr>
          <w:rFonts w:eastAsia="Times New Roman" w:cs="DecoType Naskh" w:hint="cs"/>
          <w:color w:val="auto"/>
          <w:kern w:val="0"/>
          <w:szCs w:val="26"/>
          <w:u w:val="single"/>
          <w:rtl/>
          <w:lang w:bidi="ar-JO"/>
          <w14:ligatures w14:val="none"/>
        </w:rPr>
        <w:t>تحد</w:t>
      </w:r>
      <w:r w:rsidRPr="00E84DB1">
        <w:rPr>
          <w:rFonts w:eastAsia="Times New Roman" w:cs="DecoType Naskh" w:hint="cs"/>
          <w:color w:val="auto"/>
          <w:kern w:val="0"/>
          <w:szCs w:val="26"/>
          <w:rtl/>
          <w:lang w:bidi="ar-JO"/>
          <w14:ligatures w14:val="none"/>
        </w:rPr>
        <w:t>.  لم تكن المشكلة هي بناء مدينة، بل السعي إلى الوحدة والأمان والخلود الاجتماعي ("نصنع لأنفسنا اسماً") تحدياً لرغبة الله لهم في أن يملأوا الأرض ثانية.  وهكذا تُظهر الخطية نفسها في كبرياء متغطرسة تنعكس في تمردهم الصريح ضد الله واستقلالهم عنه.  إذ يريدون أن يصنعوا "اسماً" (سمعة) خاصاً بهم.</w:t>
      </w:r>
    </w:p>
    <w:p w14:paraId="36F87821"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ب.</w:t>
      </w:r>
      <w:r w:rsidRPr="00E84DB1">
        <w:rPr>
          <w:rFonts w:eastAsia="Times New Roman" w:cs="DecoType Naskh" w:hint="cs"/>
          <w:color w:val="auto"/>
          <w:kern w:val="0"/>
          <w:szCs w:val="26"/>
          <w:rtl/>
          <w:lang w:bidi="ar-JO"/>
          <w14:ligatures w14:val="none"/>
        </w:rPr>
        <w:tab/>
        <w:t>العقاب الإلهي</w:t>
      </w:r>
    </w:p>
    <w:p w14:paraId="75256553"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يتركز العقاب على اللغة التي كانت توحِّد الناس، لا على المدينة في حد ذاتها.  والعدد الهائل من اللغات التي تشكل حواجز بين الشعوب شاهد على الخطية.</w:t>
      </w:r>
    </w:p>
    <w:p w14:paraId="36AD0B1A"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E84DB1">
        <w:rPr>
          <w:rFonts w:eastAsia="Times New Roman" w:cs="DecoType Naskh" w:hint="cs"/>
          <w:color w:val="auto"/>
          <w:kern w:val="0"/>
          <w:szCs w:val="26"/>
          <w:rtl/>
          <w:lang w:bidi="ar-JO"/>
          <w14:ligatures w14:val="none"/>
        </w:rPr>
        <w:t>جـ.</w:t>
      </w:r>
      <w:r w:rsidRPr="00E84DB1">
        <w:rPr>
          <w:rFonts w:eastAsia="Times New Roman" w:cs="DecoType Naskh" w:hint="cs"/>
          <w:color w:val="auto"/>
          <w:kern w:val="0"/>
          <w:szCs w:val="26"/>
          <w:rtl/>
          <w:lang w:bidi="ar-JO"/>
          <w14:ligatures w14:val="none"/>
        </w:rPr>
        <w:tab/>
        <w:t xml:space="preserve">منع الله لمحاولاتهم </w:t>
      </w:r>
    </w:p>
    <w:p w14:paraId="278FB84B"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t>يرى الله أن في محاولتهم صنع اسم (سمعة) لأنفسهم وتحقيق وحدة بينهم إمكانية عظيمة للشر.  فوحدتهم غير مؤسسة على التقوى والإيمان، لكنها محاولة تتسم بالتحدي لتكوين سمعة لأنفسهم بعيداً عن الخالق.  ويعرف الله أن ارتداد الروح الإنسانية لن يؤدي إلاّ إلى أعظم شر (لنتذكر 6: 1-8) وأسوأ حال ممكن للجنس البشري.  وهكذا يقوم الله بإفشال قدرتهم على التخاطب والتفاهم (مجبراً إياهم على الانفصال)، ويوضح أن إقامة الدول المتعددة هي إرادته ما دامت الخطية تسكن العالم.</w:t>
      </w:r>
    </w:p>
    <w:p w14:paraId="4F9DD289" w14:textId="77777777" w:rsidR="00E84DB1" w:rsidRPr="00E84DB1" w:rsidRDefault="00E84DB1"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E84DB1">
        <w:rPr>
          <w:rFonts w:eastAsia="Times New Roman" w:cs="DecoType Naskh" w:hint="cs"/>
          <w:bCs/>
          <w:color w:val="auto"/>
          <w:kern w:val="0"/>
          <w:szCs w:val="26"/>
          <w:rtl/>
          <w14:ligatures w14:val="none"/>
        </w:rPr>
        <w:t>د.</w:t>
      </w:r>
      <w:r w:rsidRPr="00E84DB1">
        <w:rPr>
          <w:rFonts w:eastAsia="Times New Roman" w:cs="DecoType Naskh" w:hint="cs"/>
          <w:bCs/>
          <w:color w:val="auto"/>
          <w:kern w:val="0"/>
          <w:szCs w:val="26"/>
          <w:rtl/>
          <w14:ligatures w14:val="none"/>
        </w:rPr>
        <w:tab/>
        <w:t>تتبُّع عهد نوح عبر سام إلى إبرام (11: 10-26)</w:t>
      </w:r>
    </w:p>
    <w:p w14:paraId="74A2C1EF" w14:textId="77777777" w:rsidR="00E84DB1" w:rsidRPr="00E84DB1" w:rsidRDefault="00E84DB1"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E84DB1">
        <w:rPr>
          <w:rFonts w:eastAsia="Times New Roman" w:cs="DecoType Naskh" w:hint="cs"/>
          <w:color w:val="auto"/>
          <w:kern w:val="0"/>
          <w:szCs w:val="26"/>
          <w:rtl/>
          <w:lang w:bidi="ar-JO"/>
          <w14:ligatures w14:val="none"/>
        </w:rPr>
        <w:lastRenderedPageBreak/>
        <w:t>هذا القسم هو قسم انتقالي، مثله في ذلك مثل 5: 1-6: 8.  وهو قسم إعدادي لدعوة إبراهيم من حيث عودته بنسب إبراهيم إلى سام، الابن المبارك لنوح.  ويتم تضييق الخيار من سام (الذي نال البركة) إلى أبرام، متلقّي بركات الازدهار والنجاح والذرية.  إذ لم يترك الله العالم لسكان منقسمين تحت اللعنة بلا رجاء.  لنلاحظ أن هنالك عشرة أجيال من سام إلى أبرام.  ولنلاحظ أيضاً غياب عبارة "ومات".  فلم يعد التنبير على الموت، بل على الحياة والتوسع.</w:t>
      </w:r>
    </w:p>
    <w:p w14:paraId="22F6EACF" w14:textId="77777777" w:rsidR="00E84DB1" w:rsidRPr="00E84DB1" w:rsidRDefault="00E84DB1" w:rsidP="002D6C54">
      <w:pPr>
        <w:spacing w:after="0" w:line="240" w:lineRule="auto"/>
        <w:rPr>
          <w:rFonts w:eastAsia="Times New Roman" w:cs="DecoType Naskh"/>
          <w:color w:val="auto"/>
          <w:kern w:val="0"/>
          <w:szCs w:val="18"/>
          <w:rtl/>
          <w:lang w:bidi="ar-JO"/>
          <w14:ligatures w14:val="none"/>
        </w:rPr>
      </w:pPr>
      <w:r w:rsidRPr="00E84DB1">
        <w:rPr>
          <w:rFonts w:eastAsia="Times New Roman" w:cs="DecoType Naskh" w:hint="cs"/>
          <w:color w:val="auto"/>
          <w:kern w:val="0"/>
          <w:szCs w:val="18"/>
          <w:rtl/>
          <w14:ligatures w14:val="none"/>
        </w:rPr>
        <w:t xml:space="preserve">   </w:t>
      </w:r>
    </w:p>
    <w:p w14:paraId="759AB9C6" w14:textId="77777777" w:rsidR="00E84DB1" w:rsidRPr="00E84DB1" w:rsidRDefault="00E84DB1" w:rsidP="002D6C54">
      <w:pPr>
        <w:spacing w:after="0" w:line="240" w:lineRule="auto"/>
        <w:rPr>
          <w:rFonts w:eastAsia="Times New Roman" w:cs="DecoType Naskh"/>
          <w:color w:val="auto"/>
          <w:kern w:val="0"/>
          <w:szCs w:val="18"/>
          <w:rtl/>
          <w:lang w:bidi="ar-KW"/>
          <w14:ligatures w14:val="none"/>
        </w:rPr>
      </w:pPr>
    </w:p>
    <w:p w14:paraId="74395849" w14:textId="77777777" w:rsidR="00DC6264" w:rsidRPr="00683DAD" w:rsidRDefault="00DC6264" w:rsidP="002D6C54">
      <w:pPr>
        <w:tabs>
          <w:tab w:val="left" w:pos="547"/>
          <w:tab w:val="left" w:pos="1094"/>
          <w:tab w:val="left" w:pos="1642"/>
          <w:tab w:val="left" w:pos="2189"/>
          <w:tab w:val="left" w:pos="2736"/>
          <w:tab w:val="left" w:pos="3283"/>
          <w:tab w:val="left" w:pos="3830"/>
          <w:tab w:val="left" w:pos="4378"/>
        </w:tabs>
        <w:spacing w:after="120" w:line="240" w:lineRule="auto"/>
        <w:jc w:val="both"/>
        <w:rPr>
          <w:rFonts w:eastAsia="Times New Roman" w:cs="Times New Roman"/>
          <w:bCs/>
          <w:color w:val="auto"/>
          <w:kern w:val="0"/>
          <w:szCs w:val="24"/>
          <w14:ligatures w14:val="none"/>
        </w:rPr>
      </w:pPr>
    </w:p>
    <w:p w14:paraId="59F408E2" w14:textId="77777777" w:rsidR="00CA4EB3" w:rsidRDefault="00CA4EB3" w:rsidP="002D6C54">
      <w:pPr>
        <w:pStyle w:val="Heading3"/>
        <w:spacing w:line="240" w:lineRule="auto"/>
      </w:pPr>
      <w:r>
        <w:br w:type="page"/>
      </w:r>
    </w:p>
    <w:p w14:paraId="38BC31AF" w14:textId="7C7D612C" w:rsidR="006311FA" w:rsidRPr="00270560" w:rsidRDefault="00270560" w:rsidP="00270560">
      <w:pPr>
        <w:pStyle w:val="Heading3"/>
        <w:bidi/>
        <w:spacing w:line="240" w:lineRule="auto"/>
        <w:rPr>
          <w:rFonts w:ascii="Simplified Arabic" w:hAnsi="Simplified Arabic" w:cs="Simplified Arabic"/>
        </w:rPr>
      </w:pPr>
      <w:bookmarkStart w:id="54" w:name="_Hlk157433665"/>
      <w:r w:rsidRPr="00270560">
        <w:rPr>
          <w:rFonts w:ascii="Simplified Arabic" w:hAnsi="Simplified Arabic" w:cs="Simplified Arabic"/>
          <w:rtl/>
        </w:rPr>
        <w:lastRenderedPageBreak/>
        <w:t xml:space="preserve">الموضوع 3: </w:t>
      </w:r>
      <w:r w:rsidRPr="00270560">
        <w:rPr>
          <w:rFonts w:ascii="Simplified Arabic" w:eastAsia="Calibri" w:hAnsi="Simplified Arabic" w:cs="Simplified Arabic"/>
          <w:rtl/>
          <w14:ligatures w14:val="none"/>
        </w:rPr>
        <w:t>تاريخيّة قصّة الطوفان الكتابي</w:t>
      </w:r>
    </w:p>
    <w:bookmarkEnd w:id="51"/>
    <w:p w14:paraId="20581CED" w14:textId="4A56FA89" w:rsidR="00684F56" w:rsidRDefault="00684F56" w:rsidP="00270560">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eastAsia="Calibri" w:cs="Times New Roman"/>
          <w:kern w:val="0"/>
          <w:szCs w:val="24"/>
          <w:rtl/>
          <w14:ligatures w14:val="none"/>
        </w:rPr>
      </w:pPr>
      <w:r w:rsidRPr="00684F56">
        <w:rPr>
          <w:rFonts w:ascii="Simplified Arabic" w:eastAsia="Calibri" w:hAnsi="Simplified Arabic" w:cs="Simplified Arabic"/>
          <w:kern w:val="0"/>
          <w:sz w:val="26"/>
          <w:szCs w:val="26"/>
          <w:rtl/>
          <w14:ligatures w14:val="none"/>
        </w:rPr>
        <w:t>ينكِر معظم اللادينيّين بل وبعض المؤمنين أن الطوفان الكوني المذكور في 6: 9 – 9: 19 حدث بالوصف الوارد هناك.</w:t>
      </w:r>
      <w:r>
        <w:rPr>
          <w:rFonts w:eastAsia="Calibri" w:cs="Times New Roman" w:hint="cs"/>
          <w:kern w:val="0"/>
          <w:szCs w:val="24"/>
          <w:rtl/>
          <w14:ligatures w14:val="none"/>
        </w:rPr>
        <w:t xml:space="preserve"> فهل كان هناك رجلٌ اسمه نوحٌ حقّا عاش قبل زمن إبراهيم، </w:t>
      </w:r>
      <w:r w:rsidR="00FD79D7">
        <w:rPr>
          <w:rFonts w:eastAsia="Calibri" w:cs="Times New Roman" w:hint="cs"/>
          <w:kern w:val="0"/>
          <w:szCs w:val="24"/>
          <w:rtl/>
          <w14:ligatures w14:val="none"/>
        </w:rPr>
        <w:t>وصنعت</w:t>
      </w:r>
      <w:r>
        <w:rPr>
          <w:rFonts w:eastAsia="Calibri" w:cs="Times New Roman" w:hint="cs"/>
          <w:kern w:val="0"/>
          <w:szCs w:val="24"/>
          <w:rtl/>
          <w14:ligatures w14:val="none"/>
        </w:rPr>
        <w:t xml:space="preserve"> عائلته فُلكًا جُمعت فيه حيواناتٌ، تمثِّل حيوانات العالم، من أجل حمايتها من الطوفان؟ هل أٌبيدت بقية الجنس البشري من على الأرض في ذلك الوقت بفعل ذلك الطوفان الذي غطّى كلّ الأرض؟ </w:t>
      </w:r>
    </w:p>
    <w:p w14:paraId="53473FF1" w14:textId="2EDAB83C" w:rsidR="00270560" w:rsidRDefault="00684F56" w:rsidP="00684F56">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sidRPr="00684F56">
        <w:rPr>
          <w:rFonts w:ascii="Simplified Arabic" w:eastAsia="Calibri" w:hAnsi="Simplified Arabic" w:cs="Simplified Arabic"/>
          <w:kern w:val="0"/>
          <w:sz w:val="26"/>
          <w:szCs w:val="26"/>
          <w:rtl/>
          <w14:ligatures w14:val="none"/>
        </w:rPr>
        <w:t>مثيرٌ للانتباه أنّ لدى ثقافاتٍ أخرى كثيرة</w:t>
      </w:r>
      <w:r>
        <w:rPr>
          <w:rFonts w:ascii="Simplified Arabic" w:eastAsia="Calibri" w:hAnsi="Simplified Arabic" w:cs="Simplified Arabic" w:hint="cs"/>
          <w:kern w:val="0"/>
          <w:sz w:val="26"/>
          <w:szCs w:val="26"/>
          <w:rtl/>
          <w14:ligatures w14:val="none"/>
        </w:rPr>
        <w:t xml:space="preserve"> قصّةٌ عن طوفان، وربما أشهر هذه القص</w:t>
      </w:r>
      <w:r w:rsidR="00FD79D7">
        <w:rPr>
          <w:rFonts w:ascii="Simplified Arabic" w:eastAsia="Calibri" w:hAnsi="Simplified Arabic" w:cs="Simplified Arabic" w:hint="cs"/>
          <w:kern w:val="0"/>
          <w:sz w:val="26"/>
          <w:szCs w:val="26"/>
          <w:rtl/>
          <w14:ligatures w14:val="none"/>
        </w:rPr>
        <w:t>ص</w:t>
      </w:r>
      <w:r>
        <w:rPr>
          <w:rFonts w:ascii="Simplified Arabic" w:eastAsia="Calibri" w:hAnsi="Simplified Arabic" w:cs="Simplified Arabic" w:hint="cs"/>
          <w:kern w:val="0"/>
          <w:sz w:val="26"/>
          <w:szCs w:val="26"/>
          <w:rtl/>
          <w14:ligatures w14:val="none"/>
        </w:rPr>
        <w:t xml:space="preserve"> "ملحمة جلجامش" البابلي</w:t>
      </w:r>
      <w:r w:rsidR="00FD79D7">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ة. ولكنّ قصص الطوفان الموجودة عند الثقافات الأخرى تختلف في نواحٍ بارزة عن القصّة الكتابي</w:t>
      </w:r>
      <w:r w:rsidR="00FD79D7">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ة. ولأنّ الكتاب المُقدَّس لا يقدِّم قصّة الطوفان بوصفها "أسطورةً" أو حتى "صورة توضيحيّة"، فإنّ ما نستنتجه بشأن تاريخي</w:t>
      </w:r>
      <w:r w:rsidR="00FD79D7">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ة قصّة الطوفان الكتابي</w:t>
      </w:r>
      <w:r w:rsidR="003F7C90">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ة مهمّ. فموثوقيّة الكتاب المُقدَّس على المحك</w:t>
      </w:r>
      <w:r w:rsidR="003F7C90">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w:t>
      </w:r>
    </w:p>
    <w:p w14:paraId="2C0358C0" w14:textId="42FAA111" w:rsidR="00684F56" w:rsidRPr="00684F56" w:rsidRDefault="00684F56" w:rsidP="00684F56">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 xml:space="preserve">وفي ما يلي بعض المقالات المفيدة (في الإنجليزية) التي قد يرغب الدارس بالرجوع إليها: </w:t>
      </w:r>
    </w:p>
    <w:p w14:paraId="4A8AEF90" w14:textId="48885545" w:rsidR="009D64BF" w:rsidRPr="009D64BF" w:rsidRDefault="009D64BF" w:rsidP="00684F56">
      <w:pPr>
        <w:pStyle w:val="ListParagraph"/>
        <w:numPr>
          <w:ilvl w:val="0"/>
          <w:numId w:val="2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eastAsia="Calibri" w:cs="Times New Roman"/>
          <w:kern w:val="0"/>
          <w:szCs w:val="24"/>
          <w14:ligatures w14:val="none"/>
        </w:rPr>
      </w:pPr>
      <w:r>
        <w:rPr>
          <w:rFonts w:eastAsia="Calibri" w:cs="Times New Roman"/>
          <w:kern w:val="0"/>
          <w:szCs w:val="24"/>
          <w14:ligatures w14:val="none"/>
        </w:rPr>
        <w:t xml:space="preserve">  “</w:t>
      </w:r>
      <w:hyperlink r:id="rId23" w:history="1">
        <w:r w:rsidRPr="009D64BF">
          <w:rPr>
            <w:rStyle w:val="Hyperlink"/>
            <w:rFonts w:eastAsia="Calibri" w:cs="Times New Roman"/>
            <w:kern w:val="0"/>
            <w:szCs w:val="24"/>
            <w14:ligatures w14:val="none"/>
          </w:rPr>
          <w:t>The Genesis Flood vs. Flood Legends</w:t>
        </w:r>
      </w:hyperlink>
      <w:r>
        <w:rPr>
          <w:rFonts w:eastAsia="Calibri" w:cs="Times New Roman"/>
          <w:kern w:val="0"/>
          <w:szCs w:val="24"/>
          <w14:ligatures w14:val="none"/>
        </w:rPr>
        <w:t>”</w:t>
      </w:r>
      <w:r w:rsidR="00711A21">
        <w:rPr>
          <w:rFonts w:eastAsia="Calibri" w:cs="Times New Roman"/>
          <w:kern w:val="0"/>
          <w:szCs w:val="24"/>
          <w14:ligatures w14:val="none"/>
        </w:rPr>
        <w:t xml:space="preserve">  </w:t>
      </w:r>
      <w:r w:rsidR="00684F56">
        <w:rPr>
          <w:rFonts w:eastAsia="Calibri" w:cs="Times New Roman" w:hint="cs"/>
          <w:kern w:val="0"/>
          <w:szCs w:val="24"/>
          <w:rtl/>
          <w:lang w:bidi="ar-JO"/>
          <w14:ligatures w14:val="none"/>
        </w:rPr>
        <w:t xml:space="preserve">بقلم </w:t>
      </w:r>
      <w:r w:rsidR="00711A21">
        <w:rPr>
          <w:rFonts w:eastAsia="Calibri" w:cs="Times New Roman"/>
          <w:kern w:val="0"/>
          <w:szCs w:val="24"/>
          <w14:ligatures w14:val="none"/>
        </w:rPr>
        <w:t xml:space="preserve"> </w:t>
      </w:r>
      <w:hyperlink r:id="rId24" w:history="1">
        <w:r w:rsidR="00711A21" w:rsidRPr="00711A21">
          <w:t>Troy Lacey</w:t>
        </w:r>
      </w:hyperlink>
      <w:r w:rsidR="00711A21" w:rsidRPr="00711A21">
        <w:t> </w:t>
      </w:r>
      <w:r w:rsidR="00711A21" w:rsidRPr="00711A21">
        <w:rPr>
          <w:rFonts w:eastAsia="Calibri" w:cs="Times New Roman"/>
          <w:kern w:val="0"/>
          <w:szCs w:val="24"/>
          <w14:ligatures w14:val="none"/>
        </w:rPr>
        <w:t>and Lee Anderson</w:t>
      </w:r>
    </w:p>
    <w:p w14:paraId="590918F1" w14:textId="4C11441E" w:rsidR="009D64BF" w:rsidRPr="009D64BF" w:rsidRDefault="009D64BF" w:rsidP="00684F56">
      <w:pPr>
        <w:pStyle w:val="ListParagraph"/>
        <w:numPr>
          <w:ilvl w:val="0"/>
          <w:numId w:val="2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eastAsia="Calibri" w:cs="Times New Roman"/>
          <w:kern w:val="0"/>
          <w:szCs w:val="24"/>
          <w14:ligatures w14:val="none"/>
        </w:rPr>
      </w:pPr>
      <w:r>
        <w:rPr>
          <w:rFonts w:eastAsia="Calibri" w:cs="Times New Roman"/>
          <w:kern w:val="0"/>
          <w:szCs w:val="24"/>
          <w14:ligatures w14:val="none"/>
        </w:rPr>
        <w:t xml:space="preserve">  “</w:t>
      </w:r>
      <w:hyperlink r:id="rId25" w:history="1">
        <w:r w:rsidRPr="009D64BF">
          <w:rPr>
            <w:rStyle w:val="Hyperlink"/>
            <w:rFonts w:eastAsia="Calibri" w:cs="Times New Roman"/>
            <w:kern w:val="0"/>
            <w:szCs w:val="24"/>
            <w14:ligatures w14:val="none"/>
          </w:rPr>
          <w:t>The Background of the Gilgamesh Epic</w:t>
        </w:r>
      </w:hyperlink>
      <w:r>
        <w:rPr>
          <w:rFonts w:eastAsia="Calibri" w:cs="Times New Roman"/>
          <w:kern w:val="0"/>
          <w:szCs w:val="24"/>
          <w14:ligatures w14:val="none"/>
        </w:rPr>
        <w:t>”</w:t>
      </w:r>
      <w:r w:rsidR="00711A21">
        <w:rPr>
          <w:rFonts w:eastAsia="Calibri" w:cs="Times New Roman"/>
          <w:kern w:val="0"/>
          <w:szCs w:val="24"/>
          <w14:ligatures w14:val="none"/>
        </w:rPr>
        <w:t xml:space="preserve"> </w:t>
      </w:r>
      <w:r w:rsidR="00684F56">
        <w:rPr>
          <w:rFonts w:eastAsia="Calibri" w:cs="Times New Roman" w:hint="cs"/>
          <w:kern w:val="0"/>
          <w:szCs w:val="24"/>
          <w:rtl/>
          <w:lang w:bidi="ar-JO"/>
          <w14:ligatures w14:val="none"/>
        </w:rPr>
        <w:t xml:space="preserve">بقلم </w:t>
      </w:r>
      <w:r w:rsidR="00684F56">
        <w:rPr>
          <w:rFonts w:eastAsia="Calibri" w:cs="Times New Roman"/>
          <w:kern w:val="0"/>
          <w:szCs w:val="24"/>
          <w14:ligatures w14:val="none"/>
        </w:rPr>
        <w:t xml:space="preserve"> </w:t>
      </w:r>
      <w:r w:rsidR="00711A21">
        <w:rPr>
          <w:rFonts w:eastAsia="Calibri" w:cs="Times New Roman"/>
          <w:kern w:val="0"/>
          <w:szCs w:val="24"/>
          <w14:ligatures w14:val="none"/>
        </w:rPr>
        <w:t xml:space="preserve"> </w:t>
      </w:r>
      <w:hyperlink r:id="rId26" w:history="1">
        <w:r w:rsidR="00711A21" w:rsidRPr="00711A21">
          <w:t>Nozomi Osanai</w:t>
        </w:r>
      </w:hyperlink>
    </w:p>
    <w:p w14:paraId="5D6046EB" w14:textId="38CF9A41" w:rsidR="009D64BF" w:rsidRPr="009D64BF" w:rsidRDefault="009D64BF" w:rsidP="00684F56">
      <w:pPr>
        <w:pStyle w:val="ListParagraph"/>
        <w:numPr>
          <w:ilvl w:val="0"/>
          <w:numId w:val="2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eastAsia="Calibri" w:cs="Times New Roman"/>
          <w:kern w:val="0"/>
          <w:szCs w:val="24"/>
          <w14:ligatures w14:val="none"/>
        </w:rPr>
      </w:pPr>
      <w:r>
        <w:rPr>
          <w:rFonts w:eastAsia="Calibri" w:cs="Times New Roman"/>
          <w:kern w:val="0"/>
          <w:szCs w:val="24"/>
          <w14:ligatures w14:val="none"/>
        </w:rPr>
        <w:t xml:space="preserve">  “</w:t>
      </w:r>
      <w:hyperlink r:id="rId27" w:history="1">
        <w:r w:rsidRPr="009D64BF">
          <w:rPr>
            <w:rStyle w:val="Hyperlink"/>
            <w:rFonts w:eastAsia="Calibri" w:cs="Times New Roman"/>
            <w:kern w:val="0"/>
            <w:szCs w:val="24"/>
            <w14:ligatures w14:val="none"/>
          </w:rPr>
          <w:t xml:space="preserve">What Are Some of the Best Flood </w:t>
        </w:r>
        <w:proofErr w:type="gramStart"/>
        <w:r w:rsidRPr="009D64BF">
          <w:rPr>
            <w:rStyle w:val="Hyperlink"/>
            <w:rFonts w:eastAsia="Calibri" w:cs="Times New Roman"/>
            <w:kern w:val="0"/>
            <w:szCs w:val="24"/>
            <w14:ligatures w14:val="none"/>
          </w:rPr>
          <w:t>Evidences</w:t>
        </w:r>
        <w:proofErr w:type="gramEnd"/>
        <w:r w:rsidRPr="009D64BF">
          <w:rPr>
            <w:rStyle w:val="Hyperlink"/>
            <w:rFonts w:eastAsia="Calibri" w:cs="Times New Roman"/>
            <w:kern w:val="0"/>
            <w:szCs w:val="24"/>
            <w14:ligatures w14:val="none"/>
          </w:rPr>
          <w:t>?</w:t>
        </w:r>
      </w:hyperlink>
      <w:r>
        <w:rPr>
          <w:rFonts w:eastAsia="Calibri" w:cs="Times New Roman"/>
          <w:kern w:val="0"/>
          <w:szCs w:val="24"/>
          <w14:ligatures w14:val="none"/>
        </w:rPr>
        <w:t xml:space="preserve">” </w:t>
      </w:r>
      <w:r w:rsidR="00684F56">
        <w:rPr>
          <w:rFonts w:eastAsia="Calibri" w:cs="Times New Roman" w:hint="cs"/>
          <w:kern w:val="0"/>
          <w:szCs w:val="24"/>
          <w:rtl/>
          <w:lang w:bidi="ar-JO"/>
          <w14:ligatures w14:val="none"/>
        </w:rPr>
        <w:t xml:space="preserve">بقلم </w:t>
      </w:r>
      <w:r w:rsidR="00684F56">
        <w:rPr>
          <w:rFonts w:eastAsia="Calibri" w:cs="Times New Roman"/>
          <w:kern w:val="0"/>
          <w:szCs w:val="24"/>
          <w14:ligatures w14:val="none"/>
        </w:rPr>
        <w:t xml:space="preserve"> </w:t>
      </w:r>
      <w:r>
        <w:rPr>
          <w:rFonts w:eastAsia="Calibri" w:cs="Times New Roman"/>
          <w:kern w:val="0"/>
          <w:szCs w:val="24"/>
          <w14:ligatures w14:val="none"/>
        </w:rPr>
        <w:t xml:space="preserve"> Dr. Andrew Snelling</w:t>
      </w:r>
    </w:p>
    <w:p w14:paraId="2040B5F2" w14:textId="77777777" w:rsidR="001D3BE8" w:rsidRDefault="001D3BE8"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kern w:val="0"/>
          <w:szCs w:val="24"/>
          <w14:ligatures w14:val="none"/>
        </w:rPr>
      </w:pPr>
    </w:p>
    <w:p w14:paraId="75FF6DEE" w14:textId="39B36FDD" w:rsidR="00A86DD2" w:rsidRPr="00A86DD2" w:rsidRDefault="00A86DD2" w:rsidP="00A86DD2">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lang w:bidi="ar-JO"/>
          <w14:ligatures w14:val="none"/>
        </w:rPr>
      </w:pPr>
      <w:r>
        <w:rPr>
          <w:rFonts w:ascii="Simplified Arabic" w:eastAsia="Calibri" w:hAnsi="Simplified Arabic" w:cs="Simplified Arabic" w:hint="cs"/>
          <w:kern w:val="0"/>
          <w:sz w:val="26"/>
          <w:szCs w:val="26"/>
          <w:rtl/>
          <w14:ligatures w14:val="none"/>
        </w:rPr>
        <w:t>المقال التالي، "فيضٌ من الأدلة" (</w:t>
      </w:r>
      <w:r>
        <w:rPr>
          <w:rFonts w:ascii="Simplified Arabic" w:eastAsia="Calibri" w:hAnsi="Simplified Arabic" w:cs="Simplified Arabic"/>
          <w:kern w:val="0"/>
          <w:sz w:val="26"/>
          <w:szCs w:val="26"/>
          <w14:ligatures w14:val="none"/>
        </w:rPr>
        <w:t>A Flood of Evidence</w:t>
      </w:r>
      <w:r>
        <w:rPr>
          <w:rFonts w:ascii="Simplified Arabic" w:eastAsia="Calibri" w:hAnsi="Simplified Arabic" w:cs="Simplified Arabic" w:hint="cs"/>
          <w:kern w:val="0"/>
          <w:sz w:val="26"/>
          <w:szCs w:val="26"/>
          <w:rtl/>
          <w14:ligatures w14:val="none"/>
        </w:rPr>
        <w:t>)، كتبه الدكتور تيم تشافي (</w:t>
      </w:r>
      <w:r>
        <w:rPr>
          <w:rFonts w:ascii="Simplified Arabic" w:eastAsia="Calibri" w:hAnsi="Simplified Arabic" w:cs="Simplified Arabic"/>
          <w:kern w:val="0"/>
          <w:sz w:val="26"/>
          <w:szCs w:val="26"/>
          <w14:ligatures w14:val="none"/>
        </w:rPr>
        <w:t>Tim Chaffey</w:t>
      </w:r>
      <w:r>
        <w:rPr>
          <w:rFonts w:ascii="Simplified Arabic" w:eastAsia="Calibri" w:hAnsi="Simplified Arabic" w:cs="Simplified Arabic" w:hint="cs"/>
          <w:kern w:val="0"/>
          <w:sz w:val="26"/>
          <w:szCs w:val="26"/>
          <w:rtl/>
          <w14:ligatures w14:val="none"/>
        </w:rPr>
        <w:t xml:space="preserve">)، وظهر في مجلة </w:t>
      </w:r>
      <w:r w:rsidRPr="003F7C90">
        <w:rPr>
          <w:rFonts w:ascii="Simplified Arabic" w:eastAsia="Calibri" w:hAnsi="Simplified Arabic" w:cs="Simplified Arabic"/>
          <w:i/>
          <w:iCs/>
          <w:kern w:val="0"/>
          <w:sz w:val="26"/>
          <w:szCs w:val="26"/>
          <w14:ligatures w14:val="none"/>
        </w:rPr>
        <w:t>Answers Magazine</w:t>
      </w:r>
      <w:r>
        <w:rPr>
          <w:rFonts w:ascii="Simplified Arabic" w:eastAsia="Calibri" w:hAnsi="Simplified Arabic" w:cs="Simplified Arabic" w:hint="cs"/>
          <w:kern w:val="0"/>
          <w:sz w:val="26"/>
          <w:szCs w:val="26"/>
          <w:rtl/>
          <w:lang w:bidi="ar-JO"/>
          <w14:ligatures w14:val="none"/>
        </w:rPr>
        <w:t xml:space="preserve"> في 20 تموز/ يوليو، 2023.</w:t>
      </w:r>
    </w:p>
    <w:p w14:paraId="0E085CF2" w14:textId="77777777" w:rsidR="001D1D85" w:rsidRDefault="001D1D85" w:rsidP="002D6C54">
      <w:pPr>
        <w:pStyle w:val="Heading4RED"/>
      </w:pPr>
    </w:p>
    <w:p w14:paraId="69CBCE5D" w14:textId="3F5098D2" w:rsidR="00711A21" w:rsidRPr="001D1D85" w:rsidRDefault="001D1D85" w:rsidP="001D1D85">
      <w:pPr>
        <w:pStyle w:val="Heading4RED"/>
        <w:bidi/>
        <w:rPr>
          <w:rFonts w:ascii="Simplified Arabic" w:hAnsi="Simplified Arabic" w:cs="Simplified Arabic"/>
        </w:rPr>
      </w:pPr>
      <w:r w:rsidRPr="001D1D85">
        <w:rPr>
          <w:rFonts w:ascii="Simplified Arabic" w:hAnsi="Simplified Arabic" w:cs="Simplified Arabic"/>
          <w:rtl/>
          <w:lang w:bidi="ar-JO"/>
        </w:rPr>
        <w:t>مُقدِّمة</w:t>
      </w:r>
    </w:p>
    <w:p w14:paraId="405E5F68" w14:textId="5F264D54" w:rsidR="009D0E18" w:rsidRPr="001D1D85" w:rsidRDefault="009D0E18" w:rsidP="009D0E18">
      <w:pPr>
        <w:bidi/>
        <w:spacing w:line="240" w:lineRule="auto"/>
        <w:rPr>
          <w:rFonts w:ascii="Simplified Arabic" w:hAnsi="Simplified Arabic" w:cs="Simplified Arabic"/>
          <w:kern w:val="0"/>
          <w:sz w:val="26"/>
          <w:szCs w:val="26"/>
          <w:rtl/>
        </w:rPr>
      </w:pPr>
      <w:r>
        <w:rPr>
          <w:rFonts w:ascii="Simplified Arabic" w:hAnsi="Simplified Arabic" w:cs="Simplified Arabic" w:hint="cs"/>
          <w:kern w:val="0"/>
          <w:sz w:val="26"/>
          <w:szCs w:val="26"/>
          <w:rtl/>
        </w:rPr>
        <w:t xml:space="preserve">الأدلّة على الطوفان موجودة في مكان، إن لم تكن افتراضاتك تعميك عن رؤيتها. قد يعترض أحدهم قائلاً: "ليس من دليل على أنّ طوفانًا عالميًّا قد حدث!" </w:t>
      </w:r>
    </w:p>
    <w:p w14:paraId="42CC1DA6" w14:textId="7FC6EFBE" w:rsidR="001D1D85" w:rsidRPr="001D1D85" w:rsidRDefault="009D0E18" w:rsidP="001D1D85">
      <w:pPr>
        <w:bidi/>
        <w:spacing w:line="240" w:lineRule="auto"/>
        <w:rPr>
          <w:rFonts w:ascii="Simplified Arabic" w:hAnsi="Simplified Arabic" w:cs="Simplified Arabic"/>
          <w:kern w:val="0"/>
          <w:sz w:val="26"/>
          <w:szCs w:val="26"/>
          <w:rtl/>
          <w:lang w:bidi="ar-JO"/>
        </w:rPr>
      </w:pPr>
      <w:r>
        <w:rPr>
          <w:rFonts w:ascii="Simplified Arabic" w:hAnsi="Simplified Arabic" w:cs="Simplified Arabic" w:hint="cs"/>
          <w:kern w:val="0"/>
          <w:sz w:val="26"/>
          <w:szCs w:val="26"/>
          <w:rtl/>
        </w:rPr>
        <w:t>هل حدث أن سمعتَ هذا الاعتراض حين كنتَ تحاول أن تشارك إيمانك مع آخرين؟ يؤمن المُشكِّكون أن هذا الادّعاء يُظهِر بطلان</w:t>
      </w:r>
      <w:r>
        <w:rPr>
          <w:rFonts w:ascii="Simplified Arabic" w:hAnsi="Simplified Arabic" w:cs="Simplified Arabic" w:hint="cs"/>
          <w:kern w:val="0"/>
          <w:sz w:val="26"/>
          <w:szCs w:val="26"/>
          <w:rtl/>
          <w:lang w:bidi="ar-JO"/>
        </w:rPr>
        <w:t xml:space="preserve"> الكتاب المُقدَّس والمسيحيّة. فإنْ كُنّا لا نستطيع أن نثق ببداية الكتاب المُقدَّس، فلماذا ينبغي أن نؤمن ببقيّته؟ </w:t>
      </w:r>
    </w:p>
    <w:p w14:paraId="2AE87BE8" w14:textId="5EB7A0E6" w:rsidR="001D1D85" w:rsidRDefault="009D0E18" w:rsidP="001D1D85">
      <w:pPr>
        <w:bidi/>
        <w:spacing w:line="240" w:lineRule="auto"/>
        <w:rPr>
          <w:rFonts w:ascii="Simplified Arabic" w:hAnsi="Simplified Arabic" w:cs="Simplified Arabic"/>
          <w:kern w:val="0"/>
          <w:sz w:val="26"/>
          <w:szCs w:val="26"/>
          <w:rtl/>
          <w:lang w:bidi="ar-JO"/>
        </w:rPr>
      </w:pPr>
      <w:r>
        <w:rPr>
          <w:rFonts w:ascii="Simplified Arabic" w:hAnsi="Simplified Arabic" w:cs="Simplified Arabic" w:hint="cs"/>
          <w:kern w:val="0"/>
          <w:sz w:val="26"/>
          <w:szCs w:val="26"/>
          <w:rtl/>
          <w:lang w:bidi="ar-JO"/>
        </w:rPr>
        <w:t xml:space="preserve">لمواجهة هذه التصريحات الواثقة يفسِّر بعض المؤمنين ما يقوله الكتاب المُقدَّس عن الطوفان العالمي بطرقٍ جديدة، فيقولون إنّه كان حدثًا يخصّ منطقة ما. ويتجاهل آخرون هذه التصريحات بصورة كاملة، ولا يحاولون أن يحلّوا النزاع </w:t>
      </w:r>
      <w:r w:rsidR="003F7C90">
        <w:rPr>
          <w:rFonts w:ascii="Simplified Arabic" w:hAnsi="Simplified Arabic" w:cs="Simplified Arabic" w:hint="cs"/>
          <w:kern w:val="0"/>
          <w:sz w:val="26"/>
          <w:szCs w:val="26"/>
          <w:rtl/>
          <w:lang w:bidi="ar-JO"/>
        </w:rPr>
        <w:t>المُفترَض</w:t>
      </w:r>
      <w:r>
        <w:rPr>
          <w:rFonts w:ascii="Simplified Arabic" w:hAnsi="Simplified Arabic" w:cs="Simplified Arabic" w:hint="cs"/>
          <w:kern w:val="0"/>
          <w:sz w:val="26"/>
          <w:szCs w:val="26"/>
          <w:rtl/>
          <w:lang w:bidi="ar-JO"/>
        </w:rPr>
        <w:t xml:space="preserve"> بين العلم وكلمة الله. </w:t>
      </w:r>
    </w:p>
    <w:p w14:paraId="7D135C0B" w14:textId="2DDEB2D4" w:rsidR="009D0E18" w:rsidRPr="001D1D85" w:rsidRDefault="009D0E18" w:rsidP="009D0E18">
      <w:pPr>
        <w:bidi/>
        <w:spacing w:line="240" w:lineRule="auto"/>
        <w:rPr>
          <w:rFonts w:ascii="Simplified Arabic" w:hAnsi="Simplified Arabic" w:cs="Simplified Arabic"/>
          <w:kern w:val="0"/>
          <w:sz w:val="26"/>
          <w:szCs w:val="26"/>
          <w:rtl/>
          <w:lang w:bidi="ar-JO"/>
        </w:rPr>
      </w:pPr>
      <w:r>
        <w:rPr>
          <w:rFonts w:ascii="Simplified Arabic" w:hAnsi="Simplified Arabic" w:cs="Simplified Arabic" w:hint="cs"/>
          <w:kern w:val="0"/>
          <w:sz w:val="26"/>
          <w:szCs w:val="26"/>
          <w:rtl/>
          <w:lang w:bidi="ar-JO"/>
        </w:rPr>
        <w:lastRenderedPageBreak/>
        <w:t xml:space="preserve">ولكن على المؤمنين ألا يُصابوا بالفزع بفعل التصريحات "العلميّة" التي تنكِر كلمات سفر التكوين الواضحة. فبعكس الادّعاءات الشائعة، فإن قصّة نوح والطوفان الكتابيّة تقدِّم أفضل شرح للأدلّة الموجودة حولنا. </w:t>
      </w:r>
    </w:p>
    <w:p w14:paraId="2215D35F" w14:textId="24D56960" w:rsidR="001D1D85" w:rsidRDefault="001D1D85" w:rsidP="001D1D85">
      <w:pPr>
        <w:bidi/>
        <w:spacing w:line="240" w:lineRule="auto"/>
        <w:rPr>
          <w:kern w:val="0"/>
          <w:szCs w:val="24"/>
          <w:rtl/>
        </w:rPr>
      </w:pPr>
    </w:p>
    <w:p w14:paraId="2A3860F7" w14:textId="0351C445" w:rsidR="0080070E" w:rsidRPr="0080070E" w:rsidRDefault="0080070E" w:rsidP="0080070E">
      <w:pPr>
        <w:bidi/>
        <w:spacing w:line="240" w:lineRule="auto"/>
        <w:rPr>
          <w:rFonts w:ascii="Simplified Arabic" w:hAnsi="Simplified Arabic" w:cs="Simplified Arabic"/>
          <w:b/>
          <w:bCs/>
          <w:kern w:val="0"/>
          <w:sz w:val="26"/>
          <w:szCs w:val="26"/>
          <w:rtl/>
        </w:rPr>
      </w:pPr>
      <w:r w:rsidRPr="0080070E">
        <w:rPr>
          <w:rFonts w:ascii="Simplified Arabic" w:hAnsi="Simplified Arabic" w:cs="Simplified Arabic"/>
          <w:b/>
          <w:bCs/>
          <w:kern w:val="0"/>
          <w:sz w:val="26"/>
          <w:szCs w:val="26"/>
          <w:rtl/>
        </w:rPr>
        <w:t>تعليم الكتاب المُقدِّس عن الطوفان</w:t>
      </w:r>
    </w:p>
    <w:p w14:paraId="41251C12" w14:textId="18673176" w:rsidR="009D0E18" w:rsidRPr="0080070E" w:rsidRDefault="0080070E" w:rsidP="009D0E18">
      <w:pPr>
        <w:bidi/>
        <w:spacing w:line="240" w:lineRule="auto"/>
        <w:rPr>
          <w:rFonts w:ascii="Simplified Arabic" w:hAnsi="Simplified Arabic" w:cs="Simplified Arabic"/>
          <w:kern w:val="0"/>
          <w:sz w:val="26"/>
          <w:szCs w:val="26"/>
          <w:rtl/>
          <w:lang w:bidi="ar-JO"/>
        </w:rPr>
      </w:pPr>
      <w:r>
        <w:rPr>
          <w:rFonts w:ascii="Simplified Arabic" w:hAnsi="Simplified Arabic" w:cs="Simplified Arabic" w:hint="cs"/>
          <w:kern w:val="0"/>
          <w:sz w:val="26"/>
          <w:szCs w:val="26"/>
          <w:rtl/>
        </w:rPr>
        <w:t>علينا أوّلًا أن ندرك أن</w:t>
      </w:r>
      <w:r w:rsidR="003F7C90">
        <w:rPr>
          <w:rFonts w:ascii="Simplified Arabic" w:hAnsi="Simplified Arabic" w:cs="Simplified Arabic" w:hint="cs"/>
          <w:kern w:val="0"/>
          <w:sz w:val="26"/>
          <w:szCs w:val="26"/>
          <w:rtl/>
        </w:rPr>
        <w:t>َّ</w:t>
      </w:r>
      <w:r>
        <w:rPr>
          <w:rFonts w:ascii="Simplified Arabic" w:hAnsi="Simplified Arabic" w:cs="Simplified Arabic" w:hint="cs"/>
          <w:kern w:val="0"/>
          <w:sz w:val="26"/>
          <w:szCs w:val="26"/>
          <w:rtl/>
        </w:rPr>
        <w:t xml:space="preserve"> آياتٍ كثيرة في العهد القديم والعهد الجديد تُشير إلى طوفانٍ كوني</w:t>
      </w:r>
      <w:r w:rsidR="00F15831">
        <w:rPr>
          <w:rFonts w:ascii="Simplified Arabic" w:hAnsi="Simplified Arabic" w:cs="Simplified Arabic" w:hint="cs"/>
          <w:kern w:val="0"/>
          <w:sz w:val="26"/>
          <w:szCs w:val="26"/>
          <w:rtl/>
        </w:rPr>
        <w:t>ّ</w:t>
      </w:r>
      <w:r>
        <w:rPr>
          <w:rFonts w:ascii="Simplified Arabic" w:hAnsi="Simplified Arabic" w:cs="Simplified Arabic" w:hint="cs"/>
          <w:kern w:val="0"/>
          <w:sz w:val="26"/>
          <w:szCs w:val="26"/>
          <w:rtl/>
        </w:rPr>
        <w:t xml:space="preserve">. ولذا فإنّ أيّ مؤمن يحاول أن يحاجج بناءً على ما يقوله الكتاب المُقدَّس بأنّ الطوفان كان حدثًا محلّيًّا يواجه معركة </w:t>
      </w:r>
      <w:r>
        <w:rPr>
          <w:rFonts w:ascii="Simplified Arabic" w:hAnsi="Simplified Arabic" w:cs="Simplified Arabic" w:hint="cs"/>
          <w:kern w:val="0"/>
          <w:sz w:val="26"/>
          <w:szCs w:val="26"/>
          <w:rtl/>
          <w:lang w:bidi="ar-JO"/>
        </w:rPr>
        <w:t xml:space="preserve">شاقّة. </w:t>
      </w:r>
    </w:p>
    <w:p w14:paraId="2C10AD2A" w14:textId="5F636ED2" w:rsidR="009D0E18" w:rsidRDefault="00B847E7" w:rsidP="009D0E18">
      <w:pPr>
        <w:bidi/>
        <w:spacing w:line="240" w:lineRule="auto"/>
        <w:rPr>
          <w:rFonts w:ascii="Simplified Arabic" w:hAnsi="Simplified Arabic" w:cs="Simplified Arabic"/>
          <w:kern w:val="0"/>
          <w:sz w:val="26"/>
          <w:szCs w:val="26"/>
          <w:rtl/>
          <w:lang w:bidi="ar-JO"/>
        </w:rPr>
      </w:pPr>
      <w:r w:rsidRPr="00B847E7">
        <w:rPr>
          <w:rFonts w:ascii="Simplified Arabic" w:hAnsi="Simplified Arabic" w:cs="Simplified Arabic"/>
          <w:kern w:val="0"/>
          <w:sz w:val="26"/>
          <w:szCs w:val="26"/>
          <w:rtl/>
          <w:lang w:bidi="ar-JO"/>
        </w:rPr>
        <w:t xml:space="preserve">تحتوي </w:t>
      </w:r>
      <w:r w:rsidR="0080070E" w:rsidRPr="00B847E7">
        <w:rPr>
          <w:rFonts w:ascii="Simplified Arabic" w:hAnsi="Simplified Arabic" w:cs="Simplified Arabic"/>
          <w:kern w:val="0"/>
          <w:sz w:val="26"/>
          <w:szCs w:val="26"/>
          <w:rtl/>
          <w:lang w:bidi="ar-JO"/>
        </w:rPr>
        <w:t xml:space="preserve">قصّة الطوفان في تكوين 6-9 </w:t>
      </w:r>
      <w:r w:rsidRPr="00B847E7">
        <w:rPr>
          <w:rFonts w:ascii="Simplified Arabic" w:hAnsi="Simplified Arabic" w:cs="Simplified Arabic"/>
          <w:kern w:val="0"/>
          <w:sz w:val="26"/>
          <w:szCs w:val="26"/>
          <w:rtl/>
          <w:lang w:bidi="ar-JO"/>
        </w:rPr>
        <w:t>على تعبير "كل</w:t>
      </w:r>
      <w:r w:rsidR="00F15831">
        <w:rPr>
          <w:rFonts w:ascii="Simplified Arabic" w:hAnsi="Simplified Arabic" w:cs="Simplified Arabic" w:hint="cs"/>
          <w:kern w:val="0"/>
          <w:sz w:val="26"/>
          <w:szCs w:val="26"/>
          <w:rtl/>
          <w:lang w:bidi="ar-JO"/>
        </w:rPr>
        <w:t>ّ</w:t>
      </w:r>
      <w:r w:rsidRPr="00B847E7">
        <w:rPr>
          <w:rFonts w:ascii="Simplified Arabic" w:hAnsi="Simplified Arabic" w:cs="Simplified Arabic"/>
          <w:kern w:val="0"/>
          <w:sz w:val="26"/>
          <w:szCs w:val="26"/>
          <w:rtl/>
          <w:lang w:bidi="ar-JO"/>
        </w:rPr>
        <w:t xml:space="preserve"> ذي جسد" 13 مرّة في إشارةٍ إلى إهلاك كل الحيوانات الساكنة على الأرض. لا يمكن لطوفانٍ محلّيّ أن يهلِك "كل</w:t>
      </w:r>
      <w:r w:rsidR="00F15831">
        <w:rPr>
          <w:rFonts w:ascii="Simplified Arabic" w:hAnsi="Simplified Arabic" w:cs="Simplified Arabic" w:hint="cs"/>
          <w:kern w:val="0"/>
          <w:sz w:val="26"/>
          <w:szCs w:val="26"/>
          <w:rtl/>
          <w:lang w:bidi="ar-JO"/>
        </w:rPr>
        <w:t>ّ</w:t>
      </w:r>
      <w:r w:rsidRPr="00B847E7">
        <w:rPr>
          <w:rFonts w:ascii="Simplified Arabic" w:hAnsi="Simplified Arabic" w:cs="Simplified Arabic"/>
          <w:kern w:val="0"/>
          <w:sz w:val="26"/>
          <w:szCs w:val="26"/>
          <w:rtl/>
          <w:lang w:bidi="ar-JO"/>
        </w:rPr>
        <w:t xml:space="preserve"> ذي جسد". </w:t>
      </w:r>
    </w:p>
    <w:p w14:paraId="733012CB" w14:textId="7BEB25B9" w:rsidR="00B847E7" w:rsidRDefault="00B847E7" w:rsidP="00B847E7">
      <w:pPr>
        <w:bidi/>
        <w:spacing w:line="240" w:lineRule="auto"/>
        <w:rPr>
          <w:rFonts w:ascii="Simplified Arabic" w:hAnsi="Simplified Arabic" w:cs="Simplified Arabic"/>
          <w:kern w:val="0"/>
          <w:sz w:val="26"/>
          <w:szCs w:val="26"/>
          <w:rtl/>
          <w:lang w:bidi="ar-JO"/>
        </w:rPr>
      </w:pPr>
      <w:r>
        <w:rPr>
          <w:rFonts w:ascii="Simplified Arabic" w:hAnsi="Simplified Arabic" w:cs="Simplified Arabic" w:hint="cs"/>
          <w:kern w:val="0"/>
          <w:sz w:val="26"/>
          <w:szCs w:val="26"/>
          <w:rtl/>
          <w:lang w:bidi="ar-JO"/>
        </w:rPr>
        <w:t>لو احتاج نوح إلى أن يضع في الفُلك الحيوان</w:t>
      </w:r>
      <w:r w:rsidR="00506F7C">
        <w:rPr>
          <w:rFonts w:ascii="Simplified Arabic" w:hAnsi="Simplified Arabic" w:cs="Simplified Arabic" w:hint="cs"/>
          <w:kern w:val="0"/>
          <w:sz w:val="26"/>
          <w:szCs w:val="26"/>
          <w:rtl/>
          <w:lang w:bidi="ar-JO"/>
        </w:rPr>
        <w:t>ا</w:t>
      </w:r>
      <w:r>
        <w:rPr>
          <w:rFonts w:ascii="Simplified Arabic" w:hAnsi="Simplified Arabic" w:cs="Simplified Arabic" w:hint="cs"/>
          <w:kern w:val="0"/>
          <w:sz w:val="26"/>
          <w:szCs w:val="26"/>
          <w:rtl/>
          <w:lang w:bidi="ar-JO"/>
        </w:rPr>
        <w:t>ت والنبات المحليّة، لما كان هذا الفُلك العظيم ضروريًّا، ويكون نوحٌ قد أضاع وقته في صُنْع شيءٍ بهذا ال</w:t>
      </w:r>
      <w:r w:rsidR="00506F7C">
        <w:rPr>
          <w:rFonts w:ascii="Simplified Arabic" w:hAnsi="Simplified Arabic" w:cs="Simplified Arabic" w:hint="cs"/>
          <w:kern w:val="0"/>
          <w:sz w:val="26"/>
          <w:szCs w:val="26"/>
          <w:rtl/>
          <w:lang w:bidi="ar-JO"/>
        </w:rPr>
        <w:t>حجم.</w:t>
      </w:r>
    </w:p>
    <w:p w14:paraId="508D2118" w14:textId="7DAA7B2E" w:rsidR="00506F7C" w:rsidRDefault="00506F7C" w:rsidP="00506F7C">
      <w:pPr>
        <w:bidi/>
        <w:spacing w:line="240" w:lineRule="auto"/>
        <w:rPr>
          <w:rFonts w:ascii="Simplified Arabic" w:hAnsi="Simplified Arabic" w:cs="Simplified Arabic"/>
          <w:kern w:val="0"/>
          <w:sz w:val="26"/>
          <w:szCs w:val="26"/>
          <w:rtl/>
          <w:lang w:bidi="ar-JO"/>
        </w:rPr>
      </w:pPr>
      <w:r>
        <w:rPr>
          <w:rFonts w:ascii="Simplified Arabic" w:hAnsi="Simplified Arabic" w:cs="Simplified Arabic" w:hint="cs"/>
          <w:kern w:val="0"/>
          <w:sz w:val="26"/>
          <w:szCs w:val="26"/>
          <w:rtl/>
          <w:lang w:bidi="ar-JO"/>
        </w:rPr>
        <w:t xml:space="preserve">أحضر الله طيورًا إلى نوح لتُحفَظ في الفُلك، ولكنْ لن يكون لهذا معنى أو هدف لو أن العصافير والخفافيش كانت ببساطة </w:t>
      </w:r>
      <w:r w:rsidR="00F15831">
        <w:rPr>
          <w:rFonts w:ascii="Simplified Arabic" w:hAnsi="Simplified Arabic" w:cs="Simplified Arabic" w:hint="cs"/>
          <w:kern w:val="0"/>
          <w:sz w:val="26"/>
          <w:szCs w:val="26"/>
          <w:rtl/>
          <w:lang w:bidi="ar-JO"/>
        </w:rPr>
        <w:t xml:space="preserve">تستطيع </w:t>
      </w:r>
      <w:r>
        <w:rPr>
          <w:rFonts w:ascii="Simplified Arabic" w:hAnsi="Simplified Arabic" w:cs="Simplified Arabic" w:hint="cs"/>
          <w:kern w:val="0"/>
          <w:sz w:val="26"/>
          <w:szCs w:val="26"/>
          <w:rtl/>
          <w:lang w:bidi="ar-JO"/>
        </w:rPr>
        <w:t xml:space="preserve">أن تطير إلى مكانٍ آمن. </w:t>
      </w:r>
    </w:p>
    <w:p w14:paraId="62B120A5" w14:textId="4E49CDE7" w:rsidR="00506F7C" w:rsidRDefault="00506F7C" w:rsidP="00506F7C">
      <w:pPr>
        <w:bidi/>
        <w:spacing w:line="240" w:lineRule="auto"/>
        <w:rPr>
          <w:rFonts w:ascii="Simplified Arabic" w:hAnsi="Simplified Arabic" w:cs="Simplified Arabic"/>
          <w:kern w:val="0"/>
          <w:sz w:val="26"/>
          <w:szCs w:val="26"/>
          <w:rtl/>
          <w:lang w:bidi="ar-JO"/>
        </w:rPr>
      </w:pPr>
      <w:r>
        <w:rPr>
          <w:rFonts w:ascii="Simplified Arabic" w:hAnsi="Simplified Arabic" w:cs="Simplified Arabic" w:hint="cs"/>
          <w:kern w:val="0"/>
          <w:sz w:val="26"/>
          <w:szCs w:val="26"/>
          <w:rtl/>
          <w:lang w:bidi="ar-JO"/>
        </w:rPr>
        <w:t>يقول تكوين 7: 19 إن المياه ارتفعت فوق أعلى الجبال. وحين تراجعت المياه عن أعلى الق</w:t>
      </w:r>
      <w:r w:rsidR="00F15831">
        <w:rPr>
          <w:rFonts w:ascii="Simplified Arabic" w:hAnsi="Simplified Arabic" w:cs="Simplified Arabic" w:hint="cs"/>
          <w:kern w:val="0"/>
          <w:sz w:val="26"/>
          <w:szCs w:val="26"/>
          <w:rtl/>
          <w:lang w:bidi="ar-JO"/>
        </w:rPr>
        <w:t>ِ</w:t>
      </w:r>
      <w:r>
        <w:rPr>
          <w:rFonts w:ascii="Simplified Arabic" w:hAnsi="Simplified Arabic" w:cs="Simplified Arabic" w:hint="cs"/>
          <w:kern w:val="0"/>
          <w:sz w:val="26"/>
          <w:szCs w:val="26"/>
          <w:rtl/>
          <w:lang w:bidi="ar-JO"/>
        </w:rPr>
        <w:t>مم، فلن يمنعها شيءٌ من أن تغطّي بقية الأرض في حدثٍ كوني. وعلاوةً على ذلك، فقد قضت عائلة نوح حوالي السنة في الفُلك، ولكن</w:t>
      </w:r>
      <w:r w:rsidR="00F15831">
        <w:rPr>
          <w:rFonts w:ascii="Simplified Arabic" w:hAnsi="Simplified Arabic" w:cs="Simplified Arabic" w:hint="cs"/>
          <w:kern w:val="0"/>
          <w:sz w:val="26"/>
          <w:szCs w:val="26"/>
          <w:rtl/>
          <w:lang w:bidi="ar-JO"/>
        </w:rPr>
        <w:t>ْ</w:t>
      </w:r>
      <w:r>
        <w:rPr>
          <w:rFonts w:ascii="Simplified Arabic" w:hAnsi="Simplified Arabic" w:cs="Simplified Arabic" w:hint="cs"/>
          <w:kern w:val="0"/>
          <w:sz w:val="26"/>
          <w:szCs w:val="26"/>
          <w:rtl/>
          <w:lang w:bidi="ar-JO"/>
        </w:rPr>
        <w:t xml:space="preserve"> حت</w:t>
      </w:r>
      <w:r w:rsidR="00F15831">
        <w:rPr>
          <w:rFonts w:ascii="Simplified Arabic" w:hAnsi="Simplified Arabic" w:cs="Simplified Arabic" w:hint="cs"/>
          <w:kern w:val="0"/>
          <w:sz w:val="26"/>
          <w:szCs w:val="26"/>
          <w:rtl/>
          <w:lang w:bidi="ar-JO"/>
        </w:rPr>
        <w:t>ّ</w:t>
      </w:r>
      <w:r>
        <w:rPr>
          <w:rFonts w:ascii="Simplified Arabic" w:hAnsi="Simplified Arabic" w:cs="Simplified Arabic" w:hint="cs"/>
          <w:kern w:val="0"/>
          <w:sz w:val="26"/>
          <w:szCs w:val="26"/>
          <w:rtl/>
          <w:lang w:bidi="ar-JO"/>
        </w:rPr>
        <w:t>ى أضخم الطوفان</w:t>
      </w:r>
      <w:r w:rsidR="00F15831">
        <w:rPr>
          <w:rFonts w:ascii="Simplified Arabic" w:hAnsi="Simplified Arabic" w:cs="Simplified Arabic" w:hint="cs"/>
          <w:kern w:val="0"/>
          <w:sz w:val="26"/>
          <w:szCs w:val="26"/>
          <w:rtl/>
          <w:lang w:bidi="ar-JO"/>
        </w:rPr>
        <w:t>ات</w:t>
      </w:r>
      <w:r>
        <w:rPr>
          <w:rFonts w:ascii="Simplified Arabic" w:hAnsi="Simplified Arabic" w:cs="Simplified Arabic" w:hint="cs"/>
          <w:kern w:val="0"/>
          <w:sz w:val="26"/>
          <w:szCs w:val="26"/>
          <w:rtl/>
          <w:lang w:bidi="ar-JO"/>
        </w:rPr>
        <w:t xml:space="preserve"> المحليّة المُدمِّرة لا تدوم هذه المدة. فلماذا أخبر الله نوح بأن يقضي سنواتٍ في بناء فُلكْ إن كان الطوفان سيدمِّر منطقةً واحدةً فقط؟ لمَ لا يكون عليه وعائلته أن ينتقلوا من تلك المنطقة إلى منطقة أخرى؟ </w:t>
      </w:r>
    </w:p>
    <w:p w14:paraId="379355F6" w14:textId="5A93D9AD" w:rsidR="00506F7C" w:rsidRDefault="00506F7C" w:rsidP="00506F7C">
      <w:pPr>
        <w:bidi/>
        <w:spacing w:line="240" w:lineRule="auto"/>
        <w:rPr>
          <w:rFonts w:ascii="Simplified Arabic" w:hAnsi="Simplified Arabic" w:cs="Simplified Arabic"/>
          <w:kern w:val="0"/>
          <w:sz w:val="26"/>
          <w:szCs w:val="26"/>
          <w:rtl/>
          <w:lang w:bidi="ar-JO"/>
        </w:rPr>
      </w:pPr>
      <w:r>
        <w:rPr>
          <w:rFonts w:ascii="Simplified Arabic" w:hAnsi="Simplified Arabic" w:cs="Simplified Arabic" w:hint="cs"/>
          <w:kern w:val="0"/>
          <w:sz w:val="26"/>
          <w:szCs w:val="26"/>
          <w:rtl/>
          <w:lang w:bidi="ar-JO"/>
        </w:rPr>
        <w:t>بالإضافة إلى هذه المسائل الكتابيّة، فإن</w:t>
      </w:r>
      <w:r w:rsidR="00F15831">
        <w:rPr>
          <w:rFonts w:ascii="Simplified Arabic" w:hAnsi="Simplified Arabic" w:cs="Simplified Arabic" w:hint="cs"/>
          <w:kern w:val="0"/>
          <w:sz w:val="26"/>
          <w:szCs w:val="26"/>
          <w:rtl/>
          <w:lang w:bidi="ar-JO"/>
        </w:rPr>
        <w:t>ّ</w:t>
      </w:r>
      <w:r>
        <w:rPr>
          <w:rFonts w:ascii="Simplified Arabic" w:hAnsi="Simplified Arabic" w:cs="Simplified Arabic" w:hint="cs"/>
          <w:kern w:val="0"/>
          <w:sz w:val="26"/>
          <w:szCs w:val="26"/>
          <w:rtl/>
          <w:lang w:bidi="ar-JO"/>
        </w:rPr>
        <w:t xml:space="preserve"> لرفض الفُلك الكوني نتائج لاهوتيًّة. ففي متّى 24: 36-39، استخدم يسوع الطوفان صورةً للدينونة الآتية. كما أن 2بطرس 3 تربط الطوفان بالدينونة الآتية بالنار. فإن كان طوفان سفر التكوين حدثًا محليًّا فقط، فإنّه يمكننا أن نفترض أنّ الدينونة الآتية ستكون حدثًا محليًّا فقط. وعلاوةً على هذا، </w:t>
      </w:r>
      <w:r w:rsidR="00B94A99">
        <w:rPr>
          <w:rFonts w:ascii="Simplified Arabic" w:hAnsi="Simplified Arabic" w:cs="Simplified Arabic" w:hint="cs"/>
          <w:kern w:val="0"/>
          <w:sz w:val="26"/>
          <w:szCs w:val="26"/>
          <w:rtl/>
          <w:lang w:bidi="ar-JO"/>
        </w:rPr>
        <w:t>في تكوين 9: 12-17 أعطى الربّ نوحَ قوس القزح ليكون علامةً على وعده بألا يُرسِل طوفانًا آخر مثل الذي نجا منه نوح. ولكنْ إن كان طوفان سفر التكوين محليًّا فقط</w:t>
      </w:r>
      <w:r w:rsidR="00F15831">
        <w:rPr>
          <w:rFonts w:ascii="Simplified Arabic" w:hAnsi="Simplified Arabic" w:cs="Simplified Arabic" w:hint="cs"/>
          <w:kern w:val="0"/>
          <w:sz w:val="26"/>
          <w:szCs w:val="26"/>
          <w:rtl/>
          <w:lang w:bidi="ar-JO"/>
        </w:rPr>
        <w:t>،</w:t>
      </w:r>
      <w:r w:rsidR="00B94A99">
        <w:rPr>
          <w:rFonts w:ascii="Simplified Arabic" w:hAnsi="Simplified Arabic" w:cs="Simplified Arabic" w:hint="cs"/>
          <w:kern w:val="0"/>
          <w:sz w:val="26"/>
          <w:szCs w:val="26"/>
          <w:rtl/>
          <w:lang w:bidi="ar-JO"/>
        </w:rPr>
        <w:t xml:space="preserve"> يكون الله قد كسر هذا الوعد مرّاتٍ عديدة. </w:t>
      </w:r>
    </w:p>
    <w:p w14:paraId="543AFBCB" w14:textId="77777777" w:rsidR="00B94A99" w:rsidRDefault="00B94A99" w:rsidP="00506F7C">
      <w:pPr>
        <w:bidi/>
        <w:spacing w:line="240" w:lineRule="auto"/>
        <w:rPr>
          <w:rFonts w:ascii="Simplified Arabic" w:hAnsi="Simplified Arabic" w:cs="Simplified Arabic"/>
          <w:kern w:val="0"/>
          <w:sz w:val="26"/>
          <w:szCs w:val="26"/>
          <w:rtl/>
          <w:lang w:bidi="ar-JO"/>
        </w:rPr>
      </w:pPr>
    </w:p>
    <w:p w14:paraId="3D7A7AF2" w14:textId="62537200" w:rsidR="00506F7C" w:rsidRPr="00B94A99" w:rsidRDefault="00B94A99" w:rsidP="00B94A99">
      <w:pPr>
        <w:bidi/>
        <w:spacing w:line="240" w:lineRule="auto"/>
        <w:rPr>
          <w:rFonts w:ascii="Simplified Arabic" w:hAnsi="Simplified Arabic" w:cs="Simplified Arabic"/>
          <w:b/>
          <w:bCs/>
          <w:kern w:val="0"/>
          <w:sz w:val="26"/>
          <w:szCs w:val="26"/>
          <w:rtl/>
          <w:lang w:bidi="ar-JO"/>
        </w:rPr>
      </w:pPr>
      <w:r w:rsidRPr="00B94A99">
        <w:rPr>
          <w:rFonts w:ascii="Simplified Arabic" w:hAnsi="Simplified Arabic" w:cs="Simplified Arabic" w:hint="cs"/>
          <w:b/>
          <w:bCs/>
          <w:kern w:val="0"/>
          <w:sz w:val="26"/>
          <w:szCs w:val="26"/>
          <w:rtl/>
          <w:lang w:bidi="ar-JO"/>
        </w:rPr>
        <w:t>الدليل العلميّ على الطوفان</w:t>
      </w:r>
    </w:p>
    <w:p w14:paraId="7C2C608F" w14:textId="5BF934E3" w:rsidR="00506F7C" w:rsidRDefault="00B94A99" w:rsidP="00506F7C">
      <w:pPr>
        <w:bidi/>
        <w:spacing w:line="240" w:lineRule="auto"/>
        <w:rPr>
          <w:rFonts w:ascii="Simplified Arabic" w:hAnsi="Simplified Arabic" w:cs="Simplified Arabic"/>
          <w:kern w:val="0"/>
          <w:sz w:val="26"/>
          <w:szCs w:val="26"/>
          <w:rtl/>
          <w:lang w:bidi="ar-JO"/>
        </w:rPr>
      </w:pPr>
      <w:r>
        <w:rPr>
          <w:rFonts w:ascii="Simplified Arabic" w:hAnsi="Simplified Arabic" w:cs="Simplified Arabic" w:hint="cs"/>
          <w:kern w:val="0"/>
          <w:sz w:val="26"/>
          <w:szCs w:val="26"/>
          <w:rtl/>
          <w:lang w:bidi="ar-JO"/>
        </w:rPr>
        <w:t xml:space="preserve">لنعُد إلى الادّعاء بعدم وجود أدلّة. يقبل الجميع فكرة أن الطبقات الصخريّة التي تحتوي على المتحجّرات تغطي القارّات، ومعظم هذه المتحجرات رسَّبتها المياه. ألا يمكن أن يكون هذا دليلًا على طوفانٍ كونيّ؟ إنّ الدليل على هذا أمامنا! </w:t>
      </w:r>
    </w:p>
    <w:p w14:paraId="026ED0EB" w14:textId="60D896D9" w:rsidR="00B94A99" w:rsidRDefault="00B94A99" w:rsidP="00B94A99">
      <w:pPr>
        <w:bidi/>
        <w:spacing w:line="240" w:lineRule="auto"/>
        <w:rPr>
          <w:rFonts w:ascii="Simplified Arabic" w:hAnsi="Simplified Arabic" w:cs="Simplified Arabic"/>
          <w:kern w:val="0"/>
          <w:sz w:val="26"/>
          <w:szCs w:val="26"/>
          <w:rtl/>
          <w:lang w:bidi="ar-JO"/>
        </w:rPr>
      </w:pPr>
      <w:r>
        <w:rPr>
          <w:rFonts w:ascii="Simplified Arabic" w:hAnsi="Simplified Arabic" w:cs="Simplified Arabic" w:hint="cs"/>
          <w:kern w:val="0"/>
          <w:sz w:val="26"/>
          <w:szCs w:val="26"/>
          <w:rtl/>
          <w:lang w:bidi="ar-JO"/>
        </w:rPr>
        <w:lastRenderedPageBreak/>
        <w:t>ليست المشكلة في عدم وجود الأدلّة أو نقصها، بل المشكلة هي أن كثيرين من العلماء لا يرون هذه الأدلة لأنّهم لم يقبلوا تاريخًا آخر للأرض. فهم يقولون إن</w:t>
      </w:r>
      <w:r w:rsidR="00A43084">
        <w:rPr>
          <w:rFonts w:ascii="Simplified Arabic" w:hAnsi="Simplified Arabic" w:cs="Simplified Arabic" w:hint="cs"/>
          <w:kern w:val="0"/>
          <w:sz w:val="26"/>
          <w:szCs w:val="26"/>
          <w:rtl/>
          <w:lang w:bidi="ar-JO"/>
        </w:rPr>
        <w:t xml:space="preserve">ّ المتحجّرات سجلّ للموت عبر مئات ملايين السنين، مع أن ذلك الرأي الشائع يزخر بالمشكلات. </w:t>
      </w:r>
    </w:p>
    <w:p w14:paraId="701FE01D" w14:textId="54388CED" w:rsidR="00A43084" w:rsidRDefault="00A43084" w:rsidP="00A43084">
      <w:pPr>
        <w:bidi/>
        <w:spacing w:line="240" w:lineRule="auto"/>
        <w:rPr>
          <w:rFonts w:ascii="Simplified Arabic" w:hAnsi="Simplified Arabic" w:cs="Simplified Arabic"/>
          <w:kern w:val="0"/>
          <w:sz w:val="26"/>
          <w:szCs w:val="26"/>
          <w:rtl/>
          <w:lang w:bidi="ar-JO"/>
        </w:rPr>
      </w:pPr>
      <w:r>
        <w:rPr>
          <w:rFonts w:ascii="Simplified Arabic" w:hAnsi="Simplified Arabic" w:cs="Simplified Arabic" w:hint="cs"/>
          <w:kern w:val="0"/>
          <w:sz w:val="26"/>
          <w:szCs w:val="26"/>
          <w:rtl/>
          <w:lang w:bidi="ar-JO"/>
        </w:rPr>
        <w:t xml:space="preserve">فكِّر بحقيقة أنّ الأمر يتطلّب ظروفًا خاصًّة ليتحجّر الكائن الحي، </w:t>
      </w:r>
      <w:r w:rsidR="00F15831">
        <w:rPr>
          <w:rFonts w:ascii="Simplified Arabic" w:hAnsi="Simplified Arabic" w:cs="Simplified Arabic" w:hint="cs"/>
          <w:kern w:val="0"/>
          <w:sz w:val="26"/>
          <w:szCs w:val="26"/>
          <w:rtl/>
          <w:lang w:bidi="ar-JO"/>
        </w:rPr>
        <w:t>والعالم</w:t>
      </w:r>
      <w:r>
        <w:rPr>
          <w:rFonts w:ascii="Simplified Arabic" w:hAnsi="Simplified Arabic" w:cs="Simplified Arabic" w:hint="cs"/>
          <w:kern w:val="0"/>
          <w:sz w:val="26"/>
          <w:szCs w:val="26"/>
          <w:rtl/>
          <w:lang w:bidi="ar-JO"/>
        </w:rPr>
        <w:t xml:space="preserve"> ممتلئ ببلايين المتحجّرات في مقابر جماعيّة عظيمة. ينبغي أن تُدفَن المخلوقات بسرعة قبل أن تفسد أو تأكلها الحيوانات القمّامة. وفي الحقيقة، دُفِنت أعداد كبيرة من الحيوانات وتحجّرت بسرعة كبيرة، لدرجةِ أن بعضها لم يتمكَّن من إكمال بل</w:t>
      </w:r>
      <w:r w:rsidR="00F15831">
        <w:rPr>
          <w:rFonts w:ascii="Simplified Arabic" w:hAnsi="Simplified Arabic" w:cs="Simplified Arabic" w:hint="cs"/>
          <w:kern w:val="0"/>
          <w:sz w:val="26"/>
          <w:szCs w:val="26"/>
          <w:rtl/>
          <w:lang w:bidi="ar-JO"/>
        </w:rPr>
        <w:t>ْ</w:t>
      </w:r>
      <w:r>
        <w:rPr>
          <w:rFonts w:ascii="Simplified Arabic" w:hAnsi="Simplified Arabic" w:cs="Simplified Arabic" w:hint="cs"/>
          <w:kern w:val="0"/>
          <w:sz w:val="26"/>
          <w:szCs w:val="26"/>
          <w:rtl/>
          <w:lang w:bidi="ar-JO"/>
        </w:rPr>
        <w:t>ع طعامه أو إتمام عملي</w:t>
      </w:r>
      <w:r w:rsidR="00F15831">
        <w:rPr>
          <w:rFonts w:ascii="Simplified Arabic" w:hAnsi="Simplified Arabic" w:cs="Simplified Arabic" w:hint="cs"/>
          <w:kern w:val="0"/>
          <w:sz w:val="26"/>
          <w:szCs w:val="26"/>
          <w:rtl/>
          <w:lang w:bidi="ar-JO"/>
        </w:rPr>
        <w:t>ّ</w:t>
      </w:r>
      <w:r>
        <w:rPr>
          <w:rFonts w:ascii="Simplified Arabic" w:hAnsi="Simplified Arabic" w:cs="Simplified Arabic" w:hint="cs"/>
          <w:kern w:val="0"/>
          <w:sz w:val="26"/>
          <w:szCs w:val="26"/>
          <w:rtl/>
          <w:lang w:bidi="ar-JO"/>
        </w:rPr>
        <w:t xml:space="preserve">ة الولادة. </w:t>
      </w:r>
    </w:p>
    <w:p w14:paraId="37153BB5" w14:textId="794B4927" w:rsidR="00A43084" w:rsidRDefault="00A43084" w:rsidP="00A43084">
      <w:pPr>
        <w:bidi/>
        <w:spacing w:line="240" w:lineRule="auto"/>
        <w:rPr>
          <w:rFonts w:ascii="Simplified Arabic" w:hAnsi="Simplified Arabic" w:cs="Simplified Arabic"/>
          <w:kern w:val="0"/>
          <w:sz w:val="26"/>
          <w:szCs w:val="26"/>
          <w:rtl/>
          <w:lang w:bidi="ar-JO"/>
        </w:rPr>
      </w:pPr>
      <w:r>
        <w:rPr>
          <w:rFonts w:ascii="Simplified Arabic" w:hAnsi="Simplified Arabic" w:cs="Simplified Arabic" w:hint="cs"/>
          <w:kern w:val="0"/>
          <w:sz w:val="26"/>
          <w:szCs w:val="26"/>
          <w:rtl/>
          <w:lang w:bidi="ar-JO"/>
        </w:rPr>
        <w:t>وثمّة دليل منطقي يدعم الطوفان الكوني هو وجود متحجّرات لجذوع أشجار منتصبة أو مقلوبة في أكثر من طبقةٍ رسوبي</w:t>
      </w:r>
      <w:r w:rsidR="00F15831">
        <w:rPr>
          <w:rFonts w:ascii="Simplified Arabic" w:hAnsi="Simplified Arabic" w:cs="Simplified Arabic" w:hint="cs"/>
          <w:kern w:val="0"/>
          <w:sz w:val="26"/>
          <w:szCs w:val="26"/>
          <w:rtl/>
          <w:lang w:bidi="ar-JO"/>
        </w:rPr>
        <w:t>ّ</w:t>
      </w:r>
      <w:r>
        <w:rPr>
          <w:rFonts w:ascii="Simplified Arabic" w:hAnsi="Simplified Arabic" w:cs="Simplified Arabic" w:hint="cs"/>
          <w:kern w:val="0"/>
          <w:sz w:val="26"/>
          <w:szCs w:val="26"/>
          <w:rtl/>
          <w:lang w:bidi="ar-JO"/>
        </w:rPr>
        <w:t>ة. ليس هذا معقولًا أو ممكنًا حين تترسّب الطبقات عبر ملايين السنين، ولكنّ هذه علامة على أن</w:t>
      </w:r>
      <w:r w:rsidR="00726914">
        <w:rPr>
          <w:rFonts w:ascii="Simplified Arabic" w:hAnsi="Simplified Arabic" w:cs="Simplified Arabic" w:hint="cs"/>
          <w:kern w:val="0"/>
          <w:sz w:val="26"/>
          <w:szCs w:val="26"/>
          <w:rtl/>
          <w:lang w:bidi="ar-JO"/>
        </w:rPr>
        <w:t>ّ</w:t>
      </w:r>
      <w:r>
        <w:rPr>
          <w:rFonts w:ascii="Simplified Arabic" w:hAnsi="Simplified Arabic" w:cs="Simplified Arabic" w:hint="cs"/>
          <w:kern w:val="0"/>
          <w:sz w:val="26"/>
          <w:szCs w:val="26"/>
          <w:rtl/>
          <w:lang w:bidi="ar-JO"/>
        </w:rPr>
        <w:t xml:space="preserve"> هذه المتحجّرات الموجودة في عدّة طبقات رسوبيّة قد دُفِنت بسرعة. </w:t>
      </w:r>
    </w:p>
    <w:p w14:paraId="7966497E" w14:textId="1D1EA15A" w:rsidR="00A43084" w:rsidRDefault="00A43084" w:rsidP="00A43084">
      <w:pPr>
        <w:bidi/>
        <w:spacing w:line="240" w:lineRule="auto"/>
        <w:rPr>
          <w:rFonts w:ascii="Simplified Arabic" w:hAnsi="Simplified Arabic" w:cs="Simplified Arabic"/>
          <w:kern w:val="0"/>
          <w:sz w:val="26"/>
          <w:szCs w:val="26"/>
          <w:rtl/>
          <w:lang w:bidi="ar-JO"/>
        </w:rPr>
      </w:pPr>
      <w:r>
        <w:rPr>
          <w:rFonts w:ascii="Simplified Arabic" w:hAnsi="Simplified Arabic" w:cs="Simplified Arabic" w:hint="cs"/>
          <w:kern w:val="0"/>
          <w:sz w:val="26"/>
          <w:szCs w:val="26"/>
          <w:rtl/>
          <w:lang w:bidi="ar-JO"/>
        </w:rPr>
        <w:t>وثمّة مثالٌ واضحٌ آخر، وهو موقع يمكن للسيّاح أن يزوروه حول العالم، وهو طبقات ا</w:t>
      </w:r>
      <w:r w:rsidR="0000688C">
        <w:rPr>
          <w:rFonts w:ascii="Simplified Arabic" w:hAnsi="Simplified Arabic" w:cs="Simplified Arabic" w:hint="cs"/>
          <w:kern w:val="0"/>
          <w:sz w:val="26"/>
          <w:szCs w:val="26"/>
          <w:rtl/>
          <w:lang w:bidi="ar-JO"/>
        </w:rPr>
        <w:t xml:space="preserve">لصخور التي ترسَّبت حول الكوكب في الوقت نفسه. هذا يتوافق مع قصّة سفر التكوين عن كارثة كونية، بمقابل الكارثة المحليّة التي يقدِّمها البعض. فمثلًا، </w:t>
      </w:r>
      <w:r w:rsidR="00024DDB">
        <w:rPr>
          <w:rFonts w:ascii="Simplified Arabic" w:hAnsi="Simplified Arabic" w:cs="Simplified Arabic" w:hint="cs"/>
          <w:kern w:val="0"/>
          <w:sz w:val="26"/>
          <w:szCs w:val="26"/>
          <w:rtl/>
          <w:lang w:bidi="ar-JO"/>
        </w:rPr>
        <w:t>حجارة تابيتس الرملية، الواقعة أسفل صخور الوادي العظيم (</w:t>
      </w:r>
      <w:r w:rsidR="00024DDB">
        <w:rPr>
          <w:rFonts w:ascii="Simplified Arabic" w:hAnsi="Simplified Arabic" w:cs="Simplified Arabic"/>
          <w:kern w:val="0"/>
          <w:sz w:val="26"/>
          <w:szCs w:val="26"/>
          <w:lang w:bidi="ar-JO"/>
        </w:rPr>
        <w:t>Grand Canyon</w:t>
      </w:r>
      <w:r w:rsidR="00024DDB">
        <w:rPr>
          <w:rFonts w:ascii="Simplified Arabic" w:hAnsi="Simplified Arabic" w:cs="Simplified Arabic" w:hint="cs"/>
          <w:kern w:val="0"/>
          <w:sz w:val="26"/>
          <w:szCs w:val="26"/>
          <w:rtl/>
          <w:lang w:bidi="ar-JO"/>
        </w:rPr>
        <w:t xml:space="preserve">) في أريزونا، يظهر في أماكن بعيدة جدًّا أيضاً، مثل وسكونسن ومنطقة البحر قرب فلسطين وليبيا (لكن بأسماء مختلفة). فكيف يمكن لطوفانٍ محلّيّ أن يرسِّب الطبقة الصخريّة نفسها في عدّة قارات؟ </w:t>
      </w:r>
    </w:p>
    <w:p w14:paraId="3B20C61F" w14:textId="1C5BE0BF" w:rsidR="00024DDB" w:rsidRDefault="00024DDB" w:rsidP="00024DDB">
      <w:pPr>
        <w:bidi/>
        <w:spacing w:line="240" w:lineRule="auto"/>
        <w:rPr>
          <w:rFonts w:ascii="Simplified Arabic" w:hAnsi="Simplified Arabic" w:cs="Simplified Arabic"/>
          <w:kern w:val="0"/>
          <w:sz w:val="26"/>
          <w:szCs w:val="26"/>
          <w:rtl/>
          <w:lang w:bidi="ar-JO"/>
        </w:rPr>
      </w:pPr>
      <w:r>
        <w:rPr>
          <w:rFonts w:ascii="Simplified Arabic" w:hAnsi="Simplified Arabic" w:cs="Simplified Arabic" w:hint="cs"/>
          <w:kern w:val="0"/>
          <w:sz w:val="26"/>
          <w:szCs w:val="26"/>
          <w:rtl/>
          <w:lang w:bidi="ar-JO"/>
        </w:rPr>
        <w:t xml:space="preserve">كما يحتوي الوادي العظيم على طبقات سميكة تقع بعضها فوق بعضها من دون وجود دليل على الحتّ في ما بينها. ويؤمن العلماء غير المسيحيّين أن هذه الطبقات ترسَّبت عبر ملايين السنين، وفي الحقيقة، ترسّبت مواد أخرى في هذه الأثناء في أماكن أخرى. </w:t>
      </w:r>
      <w:r w:rsidR="008E7174">
        <w:rPr>
          <w:rFonts w:ascii="Simplified Arabic" w:hAnsi="Simplified Arabic" w:cs="Simplified Arabic" w:hint="cs"/>
          <w:kern w:val="0"/>
          <w:sz w:val="26"/>
          <w:szCs w:val="26"/>
          <w:rtl/>
          <w:lang w:bidi="ar-JO"/>
        </w:rPr>
        <w:t xml:space="preserve">فمثلًا، تقع طبقة صخر كوكونينو الرملي مباشرة فوق تشكيل هيرميت، ولكنْ لا تُوجَد إشارة إلى أي طبقةٍ بين هاتَين الطبقتَين (تُرى في أي مكان). يُفترَض أنّه مرّت خمسة ملايين سنة إلى عشرة قبل أن تترسب طبقة صخر كوكونينو الرمليّ </w:t>
      </w:r>
      <w:r w:rsidR="00726914">
        <w:rPr>
          <w:rFonts w:ascii="Simplified Arabic" w:hAnsi="Simplified Arabic" w:cs="Simplified Arabic" w:hint="cs"/>
          <w:kern w:val="0"/>
          <w:sz w:val="26"/>
          <w:szCs w:val="26"/>
          <w:rtl/>
          <w:lang w:bidi="ar-JO"/>
        </w:rPr>
        <w:t>فوق</w:t>
      </w:r>
      <w:r w:rsidR="008E7174">
        <w:rPr>
          <w:rFonts w:ascii="Simplified Arabic" w:hAnsi="Simplified Arabic" w:cs="Simplified Arabic" w:hint="cs"/>
          <w:kern w:val="0"/>
          <w:sz w:val="26"/>
          <w:szCs w:val="26"/>
          <w:rtl/>
          <w:lang w:bidi="ar-JO"/>
        </w:rPr>
        <w:t xml:space="preserve"> تشكيل هيرميت من دون وجود دليل على حدوث حتٍّ. تبدو طبقة كوكونينو أنّها ترسَّبت مباشرة أعلى تشكيل هيرميت. ألا تدعو هذا دليلًا على حدوث طوفانٍ كونيّ؟ </w:t>
      </w:r>
    </w:p>
    <w:p w14:paraId="2B0CED60" w14:textId="2EE744DE" w:rsidR="008E7174" w:rsidRDefault="008E7174" w:rsidP="008E7174">
      <w:pPr>
        <w:bidi/>
        <w:spacing w:line="240" w:lineRule="auto"/>
        <w:rPr>
          <w:rFonts w:ascii="Simplified Arabic" w:hAnsi="Simplified Arabic" w:cs="Simplified Arabic"/>
          <w:kern w:val="0"/>
          <w:sz w:val="26"/>
          <w:szCs w:val="26"/>
          <w:rtl/>
          <w:lang w:bidi="ar-JO"/>
        </w:rPr>
      </w:pPr>
      <w:r>
        <w:rPr>
          <w:rFonts w:ascii="Simplified Arabic" w:hAnsi="Simplified Arabic" w:cs="Simplified Arabic" w:hint="cs"/>
          <w:kern w:val="0"/>
          <w:sz w:val="26"/>
          <w:szCs w:val="26"/>
          <w:rtl/>
          <w:lang w:bidi="ar-JO"/>
        </w:rPr>
        <w:t>أو ما رأيك بما يلي؟ يمكنك أن تذهب إلى أماكن كثيرة على الكوكب وترى صفًّا فوق صفٍّ من طبقات الصخر المترسِّبة بصورة متتالية كانت لينة حين ترسَّبت ثم تعرَّض</w:t>
      </w:r>
      <w:r w:rsidR="00726914">
        <w:rPr>
          <w:rFonts w:ascii="Simplified Arabic" w:hAnsi="Simplified Arabic" w:cs="Simplified Arabic" w:hint="cs"/>
          <w:kern w:val="0"/>
          <w:sz w:val="26"/>
          <w:szCs w:val="26"/>
          <w:rtl/>
          <w:lang w:bidi="ar-JO"/>
        </w:rPr>
        <w:t>تْ</w:t>
      </w:r>
      <w:r>
        <w:rPr>
          <w:rFonts w:ascii="Simplified Arabic" w:hAnsi="Simplified Arabic" w:cs="Simplified Arabic" w:hint="cs"/>
          <w:kern w:val="0"/>
          <w:sz w:val="26"/>
          <w:szCs w:val="26"/>
          <w:rtl/>
          <w:lang w:bidi="ar-JO"/>
        </w:rPr>
        <w:t xml:space="preserve"> للانحناء، وفي بعض الأحيان بصورة كبيرة. لا تُظهِر كل</w:t>
      </w:r>
      <w:r w:rsidR="00726914">
        <w:rPr>
          <w:rFonts w:ascii="Simplified Arabic" w:hAnsi="Simplified Arabic" w:cs="Simplified Arabic" w:hint="cs"/>
          <w:kern w:val="0"/>
          <w:sz w:val="26"/>
          <w:szCs w:val="26"/>
          <w:rtl/>
          <w:lang w:bidi="ar-JO"/>
        </w:rPr>
        <w:t>ّ</w:t>
      </w:r>
      <w:r>
        <w:rPr>
          <w:rFonts w:ascii="Simplified Arabic" w:hAnsi="Simplified Arabic" w:cs="Simplified Arabic" w:hint="cs"/>
          <w:kern w:val="0"/>
          <w:sz w:val="26"/>
          <w:szCs w:val="26"/>
          <w:rtl/>
          <w:lang w:bidi="ar-JO"/>
        </w:rPr>
        <w:t xml:space="preserve"> هذه السلسلة من الترسُّبات أيّة علامة على حدوث</w:t>
      </w:r>
      <w:r w:rsidR="00A9760A">
        <w:rPr>
          <w:rFonts w:ascii="Simplified Arabic" w:hAnsi="Simplified Arabic" w:cs="Simplified Arabic" w:hint="cs"/>
          <w:kern w:val="0"/>
          <w:sz w:val="26"/>
          <w:szCs w:val="26"/>
          <w:rtl/>
          <w:lang w:bidi="ar-JO"/>
        </w:rPr>
        <w:t>ِ</w:t>
      </w:r>
      <w:r>
        <w:rPr>
          <w:rFonts w:ascii="Simplified Arabic" w:hAnsi="Simplified Arabic" w:cs="Simplified Arabic" w:hint="cs"/>
          <w:kern w:val="0"/>
          <w:sz w:val="26"/>
          <w:szCs w:val="26"/>
          <w:rtl/>
          <w:lang w:bidi="ar-JO"/>
        </w:rPr>
        <w:t xml:space="preserve"> كسر</w:t>
      </w:r>
      <w:r w:rsidR="00A9760A">
        <w:rPr>
          <w:rFonts w:ascii="Simplified Arabic" w:hAnsi="Simplified Arabic" w:cs="Simplified Arabic" w:hint="cs"/>
          <w:kern w:val="0"/>
          <w:sz w:val="26"/>
          <w:szCs w:val="26"/>
          <w:rtl/>
          <w:lang w:bidi="ar-JO"/>
        </w:rPr>
        <w:t>ٍ</w:t>
      </w:r>
      <w:r>
        <w:rPr>
          <w:rFonts w:ascii="Simplified Arabic" w:hAnsi="Simplified Arabic" w:cs="Simplified Arabic" w:hint="cs"/>
          <w:kern w:val="0"/>
          <w:sz w:val="26"/>
          <w:szCs w:val="26"/>
          <w:rtl/>
          <w:lang w:bidi="ar-JO"/>
        </w:rPr>
        <w:t xml:space="preserve">. واضحٌ أن الصخور القاسية لا تنحني، بل تتكسَّر. ثمة شرح أفضل وهو أن الطوفان رسَّب هذه الطبقات بسرعة، وأنّها </w:t>
      </w:r>
      <w:r w:rsidR="00A9760A">
        <w:rPr>
          <w:rFonts w:ascii="Simplified Arabic" w:hAnsi="Simplified Arabic" w:cs="Simplified Arabic" w:hint="cs"/>
          <w:kern w:val="0"/>
          <w:sz w:val="26"/>
          <w:szCs w:val="26"/>
          <w:rtl/>
          <w:lang w:bidi="ar-JO"/>
        </w:rPr>
        <w:t xml:space="preserve">اكتسبت الانحناءات </w:t>
      </w:r>
      <w:r>
        <w:rPr>
          <w:rFonts w:ascii="Simplified Arabic" w:hAnsi="Simplified Arabic" w:cs="Simplified Arabic" w:hint="cs"/>
          <w:kern w:val="0"/>
          <w:sz w:val="26"/>
          <w:szCs w:val="26"/>
          <w:rtl/>
          <w:lang w:bidi="ar-JO"/>
        </w:rPr>
        <w:t>قبل أن تجف</w:t>
      </w:r>
      <w:r w:rsidR="00A9760A">
        <w:rPr>
          <w:rFonts w:ascii="Simplified Arabic" w:hAnsi="Simplified Arabic" w:cs="Simplified Arabic" w:hint="cs"/>
          <w:kern w:val="0"/>
          <w:sz w:val="26"/>
          <w:szCs w:val="26"/>
          <w:rtl/>
          <w:lang w:bidi="ar-JO"/>
        </w:rPr>
        <w:t>ّ</w:t>
      </w:r>
      <w:r>
        <w:rPr>
          <w:rFonts w:ascii="Simplified Arabic" w:hAnsi="Simplified Arabic" w:cs="Simplified Arabic" w:hint="cs"/>
          <w:kern w:val="0"/>
          <w:sz w:val="26"/>
          <w:szCs w:val="26"/>
          <w:rtl/>
          <w:lang w:bidi="ar-JO"/>
        </w:rPr>
        <w:t xml:space="preserve"> وتقسو. </w:t>
      </w:r>
    </w:p>
    <w:p w14:paraId="0C58C723" w14:textId="6BF855E1" w:rsidR="00561B12" w:rsidRDefault="00561B12" w:rsidP="00561B12">
      <w:pPr>
        <w:bidi/>
        <w:spacing w:line="240" w:lineRule="auto"/>
        <w:rPr>
          <w:rFonts w:ascii="Simplified Arabic" w:hAnsi="Simplified Arabic" w:cs="Simplified Arabic"/>
          <w:kern w:val="0"/>
          <w:sz w:val="26"/>
          <w:szCs w:val="26"/>
          <w:rtl/>
          <w:lang w:bidi="ar-JO"/>
        </w:rPr>
      </w:pPr>
      <w:r>
        <w:rPr>
          <w:rFonts w:ascii="Simplified Arabic" w:hAnsi="Simplified Arabic" w:cs="Simplified Arabic" w:hint="cs"/>
          <w:kern w:val="0"/>
          <w:sz w:val="26"/>
          <w:szCs w:val="26"/>
          <w:rtl/>
          <w:lang w:bidi="ar-JO"/>
        </w:rPr>
        <w:t>وهكذا، نرى أن الدليل على الطوفان موجود في كل</w:t>
      </w:r>
      <w:r w:rsidR="00A9760A">
        <w:rPr>
          <w:rFonts w:ascii="Simplified Arabic" w:hAnsi="Simplified Arabic" w:cs="Simplified Arabic" w:hint="cs"/>
          <w:kern w:val="0"/>
          <w:sz w:val="26"/>
          <w:szCs w:val="26"/>
          <w:rtl/>
          <w:lang w:bidi="ar-JO"/>
        </w:rPr>
        <w:t>ّ</w:t>
      </w:r>
      <w:r>
        <w:rPr>
          <w:rFonts w:ascii="Simplified Arabic" w:hAnsi="Simplified Arabic" w:cs="Simplified Arabic" w:hint="cs"/>
          <w:kern w:val="0"/>
          <w:sz w:val="26"/>
          <w:szCs w:val="26"/>
          <w:rtl/>
          <w:lang w:bidi="ar-JO"/>
        </w:rPr>
        <w:t xml:space="preserve"> مكان، إن لم تكن </w:t>
      </w:r>
      <w:r w:rsidR="00A9760A">
        <w:rPr>
          <w:rFonts w:ascii="Simplified Arabic" w:hAnsi="Simplified Arabic" w:cs="Simplified Arabic" w:hint="cs"/>
          <w:kern w:val="0"/>
          <w:sz w:val="26"/>
          <w:szCs w:val="26"/>
          <w:rtl/>
          <w:lang w:bidi="ar-JO"/>
        </w:rPr>
        <w:t xml:space="preserve">هناك </w:t>
      </w:r>
      <w:r>
        <w:rPr>
          <w:rFonts w:ascii="Simplified Arabic" w:hAnsi="Simplified Arabic" w:cs="Simplified Arabic" w:hint="cs"/>
          <w:kern w:val="0"/>
          <w:sz w:val="26"/>
          <w:szCs w:val="26"/>
          <w:rtl/>
          <w:lang w:bidi="ar-JO"/>
        </w:rPr>
        <w:t xml:space="preserve">افتراضات تعمي عينيك عن رؤيتها. </w:t>
      </w:r>
    </w:p>
    <w:p w14:paraId="6F9F9511" w14:textId="2F1D8566" w:rsidR="00B94A99" w:rsidRDefault="00B94A99" w:rsidP="00B94A99">
      <w:pPr>
        <w:bidi/>
        <w:spacing w:line="240" w:lineRule="auto"/>
        <w:rPr>
          <w:rFonts w:ascii="Simplified Arabic" w:hAnsi="Simplified Arabic" w:cs="Simplified Arabic"/>
          <w:kern w:val="0"/>
          <w:sz w:val="26"/>
          <w:szCs w:val="26"/>
          <w:rtl/>
          <w:lang w:bidi="ar-JO"/>
        </w:rPr>
      </w:pPr>
    </w:p>
    <w:p w14:paraId="1A93570D" w14:textId="315DC0A1" w:rsidR="00561B12" w:rsidRDefault="00561B12" w:rsidP="00561B12">
      <w:pPr>
        <w:bidi/>
        <w:spacing w:line="240" w:lineRule="auto"/>
        <w:rPr>
          <w:rFonts w:ascii="Simplified Arabic" w:hAnsi="Simplified Arabic" w:cs="Simplified Arabic"/>
          <w:b/>
          <w:bCs/>
          <w:kern w:val="0"/>
          <w:sz w:val="26"/>
          <w:szCs w:val="26"/>
          <w:rtl/>
          <w:lang w:bidi="ar-JO"/>
        </w:rPr>
      </w:pPr>
      <w:r w:rsidRPr="00561B12">
        <w:rPr>
          <w:rFonts w:ascii="Simplified Arabic" w:hAnsi="Simplified Arabic" w:cs="Simplified Arabic" w:hint="cs"/>
          <w:b/>
          <w:bCs/>
          <w:kern w:val="0"/>
          <w:sz w:val="26"/>
          <w:szCs w:val="26"/>
          <w:rtl/>
          <w:lang w:bidi="ar-JO"/>
        </w:rPr>
        <w:lastRenderedPageBreak/>
        <w:t>هذا الأمر مهم</w:t>
      </w:r>
    </w:p>
    <w:p w14:paraId="74B3A199" w14:textId="31037BDF" w:rsidR="00561B12" w:rsidRDefault="00561B12" w:rsidP="00561B12">
      <w:pPr>
        <w:bidi/>
        <w:spacing w:line="240" w:lineRule="auto"/>
        <w:rPr>
          <w:rFonts w:ascii="Simplified Arabic" w:hAnsi="Simplified Arabic" w:cs="Simplified Arabic"/>
          <w:kern w:val="0"/>
          <w:sz w:val="26"/>
          <w:szCs w:val="26"/>
          <w:rtl/>
          <w:lang w:bidi="ar-JO"/>
        </w:rPr>
      </w:pPr>
      <w:r>
        <w:rPr>
          <w:rFonts w:ascii="Simplified Arabic" w:hAnsi="Simplified Arabic" w:cs="Simplified Arabic" w:hint="cs"/>
          <w:kern w:val="0"/>
          <w:sz w:val="26"/>
          <w:szCs w:val="26"/>
          <w:rtl/>
          <w:lang w:bidi="ar-JO"/>
        </w:rPr>
        <w:t>لإنكار التعليم الكتابي الواضح عن الطوفان الكوني عواقب كارثيّة. فهذا سيجعل كلام</w:t>
      </w:r>
      <w:r w:rsidR="00A9760A">
        <w:rPr>
          <w:rFonts w:ascii="Simplified Arabic" w:hAnsi="Simplified Arabic" w:cs="Simplified Arabic" w:hint="cs"/>
          <w:kern w:val="0"/>
          <w:sz w:val="26"/>
          <w:szCs w:val="26"/>
          <w:rtl/>
          <w:lang w:bidi="ar-JO"/>
        </w:rPr>
        <w:t>َ</w:t>
      </w:r>
      <w:r>
        <w:rPr>
          <w:rFonts w:ascii="Simplified Arabic" w:hAnsi="Simplified Arabic" w:cs="Simplified Arabic" w:hint="cs"/>
          <w:kern w:val="0"/>
          <w:sz w:val="26"/>
          <w:szCs w:val="26"/>
          <w:rtl/>
          <w:lang w:bidi="ar-JO"/>
        </w:rPr>
        <w:t xml:space="preserve"> الله لنوح بلا معنى، وهذا يتعارض مع مقاطع عديدة في العهد القديم والجديد. </w:t>
      </w:r>
    </w:p>
    <w:p w14:paraId="4BAD0A49" w14:textId="76FC6921" w:rsidR="00561B12" w:rsidRPr="00561B12" w:rsidRDefault="00561B12" w:rsidP="00561B12">
      <w:pPr>
        <w:bidi/>
        <w:spacing w:line="240" w:lineRule="auto"/>
        <w:rPr>
          <w:rFonts w:ascii="Simplified Arabic" w:hAnsi="Simplified Arabic" w:cs="Simplified Arabic"/>
          <w:kern w:val="0"/>
          <w:sz w:val="26"/>
          <w:szCs w:val="26"/>
          <w:rtl/>
          <w:lang w:bidi="ar-JO"/>
        </w:rPr>
      </w:pPr>
      <w:r>
        <w:rPr>
          <w:rFonts w:ascii="Simplified Arabic" w:hAnsi="Simplified Arabic" w:cs="Simplified Arabic" w:hint="cs"/>
          <w:kern w:val="0"/>
          <w:sz w:val="26"/>
          <w:szCs w:val="26"/>
          <w:rtl/>
          <w:lang w:bidi="ar-JO"/>
        </w:rPr>
        <w:t>وللمفارقة أنّه في سعي</w:t>
      </w:r>
      <w:r w:rsidR="00A9760A">
        <w:rPr>
          <w:rFonts w:ascii="Simplified Arabic" w:hAnsi="Simplified Arabic" w:cs="Simplified Arabic" w:hint="cs"/>
          <w:kern w:val="0"/>
          <w:sz w:val="26"/>
          <w:szCs w:val="26"/>
          <w:rtl/>
          <w:lang w:bidi="ar-JO"/>
        </w:rPr>
        <w:t>ّ</w:t>
      </w:r>
      <w:r>
        <w:rPr>
          <w:rFonts w:ascii="Simplified Arabic" w:hAnsi="Simplified Arabic" w:cs="Simplified Arabic" w:hint="cs"/>
          <w:kern w:val="0"/>
          <w:sz w:val="26"/>
          <w:szCs w:val="26"/>
          <w:rtl/>
          <w:lang w:bidi="ar-JO"/>
        </w:rPr>
        <w:t xml:space="preserve"> بعض المؤمنين إلى تغيير المعنى الواضح لكلمة الله من أجل أن تتوافق مع تصريحاتِ بشرٍ مُعرَّض</w:t>
      </w:r>
      <w:r w:rsidR="00A9760A">
        <w:rPr>
          <w:rFonts w:ascii="Simplified Arabic" w:hAnsi="Simplified Arabic" w:cs="Simplified Arabic" w:hint="cs"/>
          <w:kern w:val="0"/>
          <w:sz w:val="26"/>
          <w:szCs w:val="26"/>
          <w:rtl/>
          <w:lang w:bidi="ar-JO"/>
        </w:rPr>
        <w:t>ي</w:t>
      </w:r>
      <w:r>
        <w:rPr>
          <w:rFonts w:ascii="Simplified Arabic" w:hAnsi="Simplified Arabic" w:cs="Simplified Arabic" w:hint="cs"/>
          <w:kern w:val="0"/>
          <w:sz w:val="26"/>
          <w:szCs w:val="26"/>
          <w:rtl/>
          <w:lang w:bidi="ar-JO"/>
        </w:rPr>
        <w:t xml:space="preserve">ن للخطأ، تخلّى وابتعد بعض المسيحيّين عن بعض أفضل </w:t>
      </w:r>
      <w:r w:rsidR="00A9760A">
        <w:rPr>
          <w:rFonts w:ascii="Simplified Arabic" w:hAnsi="Simplified Arabic" w:cs="Simplified Arabic" w:hint="cs"/>
          <w:kern w:val="0"/>
          <w:sz w:val="26"/>
          <w:szCs w:val="26"/>
          <w:rtl/>
          <w:lang w:bidi="ar-JO"/>
        </w:rPr>
        <w:t xml:space="preserve">الأدلّة </w:t>
      </w:r>
      <w:r>
        <w:rPr>
          <w:rFonts w:ascii="Simplified Arabic" w:hAnsi="Simplified Arabic" w:cs="Simplified Arabic" w:hint="cs"/>
          <w:kern w:val="0"/>
          <w:sz w:val="26"/>
          <w:szCs w:val="26"/>
          <w:rtl/>
          <w:lang w:bidi="ar-JO"/>
        </w:rPr>
        <w:t xml:space="preserve">العلميّة التي تؤكِّد تصريحات الكتاب المُقدَّس. </w:t>
      </w:r>
    </w:p>
    <w:p w14:paraId="63992EC6" w14:textId="77777777" w:rsidR="00CA4EB3" w:rsidRPr="00CA4EB3" w:rsidRDefault="00CA4EB3" w:rsidP="002D6C54">
      <w:pPr>
        <w:spacing w:line="240" w:lineRule="auto"/>
        <w:rPr>
          <w:rFonts w:ascii="Arial" w:hAnsi="Arial" w:cs="Arial"/>
          <w:vanish/>
          <w:color w:val="auto"/>
          <w:kern w:val="0"/>
          <w:sz w:val="16"/>
          <w:szCs w:val="16"/>
        </w:rPr>
      </w:pPr>
      <w:r w:rsidRPr="00CA4EB3">
        <w:rPr>
          <w:rFonts w:ascii="Arial" w:hAnsi="Arial" w:cs="Arial"/>
          <w:vanish/>
          <w:color w:val="auto"/>
          <w:kern w:val="0"/>
          <w:sz w:val="16"/>
          <w:szCs w:val="16"/>
        </w:rPr>
        <w:t>Bottom of Form</w:t>
      </w:r>
    </w:p>
    <w:p w14:paraId="06A45E9D" w14:textId="537F4076" w:rsidR="00CA4EB3" w:rsidRPr="00CA4EB3" w:rsidRDefault="00CA4EB3" w:rsidP="002D6C54">
      <w:pPr>
        <w:spacing w:line="240" w:lineRule="auto"/>
        <w:rPr>
          <w:kern w:val="0"/>
          <w:sz w:val="23"/>
          <w:szCs w:val="23"/>
        </w:rPr>
      </w:pPr>
    </w:p>
    <w:p w14:paraId="4DB7B572" w14:textId="58269A45" w:rsidR="00CA4EB3" w:rsidRPr="00CA4EB3" w:rsidRDefault="00CA4EB3" w:rsidP="002D6C54">
      <w:pPr>
        <w:spacing w:line="240" w:lineRule="auto"/>
        <w:rPr>
          <w:kern w:val="0"/>
          <w:sz w:val="23"/>
          <w:szCs w:val="23"/>
        </w:rPr>
      </w:pPr>
    </w:p>
    <w:bookmarkEnd w:id="54"/>
    <w:p w14:paraId="53746DE9" w14:textId="77777777" w:rsidR="00CA4EB3" w:rsidRPr="00CA4EB3" w:rsidRDefault="00CA4EB3" w:rsidP="002D6C54">
      <w:pPr>
        <w:spacing w:after="0" w:line="240" w:lineRule="auto"/>
        <w:rPr>
          <w:rFonts w:cs="Times New Roman"/>
          <w:color w:val="auto"/>
          <w:kern w:val="0"/>
          <w:szCs w:val="20"/>
          <w14:ligatures w14:val="none"/>
        </w:rPr>
      </w:pPr>
    </w:p>
    <w:p w14:paraId="3373BDF6" w14:textId="5EE664AC" w:rsidR="008D4481" w:rsidRDefault="008D4481"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strike/>
          <w:kern w:val="0"/>
          <w:szCs w:val="24"/>
          <w14:ligatures w14:val="none"/>
        </w:rPr>
      </w:pPr>
      <w:r>
        <w:rPr>
          <w:rFonts w:eastAsia="Calibri" w:cs="Times New Roman"/>
          <w:strike/>
          <w:kern w:val="0"/>
          <w:szCs w:val="24"/>
          <w14:ligatures w14:val="none"/>
        </w:rPr>
        <w:br w:type="page"/>
      </w:r>
    </w:p>
    <w:p w14:paraId="0D370218" w14:textId="070077CE" w:rsidR="001E6B52" w:rsidRPr="001E6B52" w:rsidRDefault="003E7119" w:rsidP="001E6B52">
      <w:pPr>
        <w:bidi/>
        <w:spacing w:before="120" w:after="80" w:line="240" w:lineRule="auto"/>
        <w:ind w:left="1620" w:hanging="1620"/>
        <w:jc w:val="center"/>
        <w:rPr>
          <w:rFonts w:ascii="Simplified Arabic" w:hAnsi="Simplified Arabic" w:cs="Simplified Arabic"/>
          <w:bCs/>
          <w:kern w:val="0"/>
          <w:sz w:val="40"/>
          <w:szCs w:val="40"/>
          <w:rtl/>
          <w14:ligatures w14:val="none"/>
        </w:rPr>
      </w:pPr>
      <w:bookmarkStart w:id="55" w:name="_Hlk178778144"/>
      <w:r>
        <w:rPr>
          <w:rFonts w:ascii="Simplified Arabic" w:hAnsi="Simplified Arabic" w:cs="Simplified Arabic" w:hint="cs"/>
          <w:bCs/>
          <w:kern w:val="0"/>
          <w:sz w:val="40"/>
          <w:szCs w:val="40"/>
          <w:rtl/>
          <w14:ligatures w14:val="none"/>
        </w:rPr>
        <w:lastRenderedPageBreak/>
        <w:t xml:space="preserve">الوحدة 2: </w:t>
      </w:r>
      <w:r w:rsidR="001E6B52" w:rsidRPr="001E6B52">
        <w:rPr>
          <w:rFonts w:ascii="Simplified Arabic" w:hAnsi="Simplified Arabic" w:cs="Simplified Arabic"/>
          <w:bCs/>
          <w:kern w:val="0"/>
          <w:sz w:val="40"/>
          <w:szCs w:val="40"/>
          <w:rtl/>
          <w14:ligatures w14:val="none"/>
        </w:rPr>
        <w:t xml:space="preserve">أساس إسرائيل في العهد والشريعة </w:t>
      </w:r>
    </w:p>
    <w:p w14:paraId="3A3395FA" w14:textId="5ED785DB" w:rsidR="001E6B52" w:rsidRPr="001E6B52" w:rsidRDefault="001E6B52" w:rsidP="001E6B52">
      <w:pPr>
        <w:bidi/>
        <w:spacing w:before="120" w:after="80" w:line="240" w:lineRule="auto"/>
        <w:ind w:left="1620" w:hanging="1620"/>
        <w:jc w:val="center"/>
        <w:rPr>
          <w:rFonts w:ascii="Simplified Arabic" w:hAnsi="Simplified Arabic" w:cs="Simplified Arabic"/>
          <w:bCs/>
          <w:kern w:val="0"/>
          <w:sz w:val="40"/>
          <w:szCs w:val="40"/>
          <w:rtl/>
          <w14:ligatures w14:val="none"/>
        </w:rPr>
      </w:pPr>
      <w:r w:rsidRPr="001E6B52">
        <w:rPr>
          <w:rFonts w:ascii="Simplified Arabic" w:hAnsi="Simplified Arabic" w:cs="Simplified Arabic"/>
          <w:bCs/>
          <w:kern w:val="0"/>
          <w:sz w:val="40"/>
          <w:szCs w:val="40"/>
          <w:rtl/>
          <w14:ligatures w14:val="none"/>
        </w:rPr>
        <w:t>(تكوين 11: 27 – خروج 40: 38)</w:t>
      </w:r>
    </w:p>
    <w:p w14:paraId="2A436187" w14:textId="61FCCC39" w:rsidR="009810D1" w:rsidRPr="007A4B15" w:rsidRDefault="009810D1" w:rsidP="001E6B52">
      <w:pPr>
        <w:pStyle w:val="Heading2"/>
        <w:bidi/>
      </w:pPr>
    </w:p>
    <w:p w14:paraId="32DDF203" w14:textId="08F9056E" w:rsidR="009810D1" w:rsidRPr="000D006A" w:rsidRDefault="005A7FF9" w:rsidP="00C05A3D">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lang w:bidi="ar-JO"/>
          <w14:ligatures w14:val="none"/>
        </w:rPr>
      </w:pPr>
      <w:r>
        <w:rPr>
          <w:rFonts w:eastAsia="Calibri" w:cs="Times New Roman"/>
          <w:kern w:val="0"/>
          <w:szCs w:val="24"/>
          <w14:ligatures w14:val="none"/>
        </w:rPr>
        <w:br/>
      </w:r>
      <w:r w:rsidR="00C05A3D" w:rsidRPr="000D006A">
        <w:rPr>
          <w:rFonts w:ascii="Simplified Arabic" w:eastAsia="Calibri" w:hAnsi="Simplified Arabic" w:cs="Simplified Arabic"/>
          <w:kern w:val="0"/>
          <w:sz w:val="26"/>
          <w:szCs w:val="26"/>
          <w:rtl/>
          <w:lang w:bidi="ar-JO"/>
          <w14:ligatures w14:val="none"/>
        </w:rPr>
        <w:t xml:space="preserve">تشكِّل الأصحاحات الأحد عشر الأولى </w:t>
      </w:r>
      <w:r w:rsidR="000D006A" w:rsidRPr="000D006A">
        <w:rPr>
          <w:rFonts w:ascii="Simplified Arabic" w:eastAsia="Calibri" w:hAnsi="Simplified Arabic" w:cs="Simplified Arabic"/>
          <w:kern w:val="0"/>
          <w:sz w:val="26"/>
          <w:szCs w:val="26"/>
          <w:rtl/>
          <w:lang w:bidi="ar-JO"/>
          <w14:ligatures w14:val="none"/>
        </w:rPr>
        <w:t xml:space="preserve">من سفر التكوين </w:t>
      </w:r>
      <w:r w:rsidR="00C05A3D" w:rsidRPr="000D006A">
        <w:rPr>
          <w:rFonts w:ascii="Simplified Arabic" w:eastAsia="Calibri" w:hAnsi="Simplified Arabic" w:cs="Simplified Arabic"/>
          <w:kern w:val="0"/>
          <w:sz w:val="26"/>
          <w:szCs w:val="26"/>
          <w:rtl/>
          <w:lang w:bidi="ar-JO"/>
          <w14:ligatures w14:val="none"/>
        </w:rPr>
        <w:t xml:space="preserve">(حتى تكوين </w:t>
      </w:r>
      <w:r w:rsidR="000D006A" w:rsidRPr="000D006A">
        <w:rPr>
          <w:rFonts w:ascii="Simplified Arabic" w:eastAsia="Calibri" w:hAnsi="Simplified Arabic" w:cs="Simplified Arabic"/>
          <w:kern w:val="0"/>
          <w:sz w:val="26"/>
          <w:szCs w:val="26"/>
          <w:rtl/>
          <w:lang w:bidi="ar-JO"/>
          <w14:ligatures w14:val="none"/>
        </w:rPr>
        <w:t>11: 26)</w:t>
      </w:r>
      <w:r w:rsidR="000D006A">
        <w:rPr>
          <w:rFonts w:ascii="Simplified Arabic" w:eastAsia="Calibri" w:hAnsi="Simplified Arabic" w:cs="Simplified Arabic" w:hint="cs"/>
          <w:kern w:val="0"/>
          <w:sz w:val="26"/>
          <w:szCs w:val="26"/>
          <w:rtl/>
          <w:lang w:bidi="ar-JO"/>
          <w14:ligatures w14:val="none"/>
        </w:rPr>
        <w:t xml:space="preserve"> خلفية بقية السفر، وذلك بإعطائنا السبب الذي لأجله وجد الله ضرورةً في تأسيس أمّةٍ جديدة من نسل إبراهيم، وأن يدخل في عهدٍ معهم. لم تصحِّح "بداية</w:t>
      </w:r>
      <w:r w:rsidR="00674EFC">
        <w:rPr>
          <w:rFonts w:ascii="Simplified Arabic" w:eastAsia="Calibri" w:hAnsi="Simplified Arabic" w:cs="Simplified Arabic" w:hint="cs"/>
          <w:kern w:val="0"/>
          <w:sz w:val="26"/>
          <w:szCs w:val="26"/>
          <w:rtl/>
          <w:lang w:bidi="ar-JO"/>
          <w14:ligatures w14:val="none"/>
        </w:rPr>
        <w:t>ٌ</w:t>
      </w:r>
      <w:r w:rsidR="000D006A">
        <w:rPr>
          <w:rFonts w:ascii="Simplified Arabic" w:eastAsia="Calibri" w:hAnsi="Simplified Arabic" w:cs="Simplified Arabic" w:hint="cs"/>
          <w:kern w:val="0"/>
          <w:sz w:val="26"/>
          <w:szCs w:val="26"/>
          <w:rtl/>
          <w:lang w:bidi="ar-JO"/>
          <w14:ligatures w14:val="none"/>
        </w:rPr>
        <w:t xml:space="preserve"> جديدة</w:t>
      </w:r>
      <w:r w:rsidR="00674EFC">
        <w:rPr>
          <w:rFonts w:ascii="Simplified Arabic" w:eastAsia="Calibri" w:hAnsi="Simplified Arabic" w:cs="Simplified Arabic" w:hint="cs"/>
          <w:kern w:val="0"/>
          <w:sz w:val="26"/>
          <w:szCs w:val="26"/>
          <w:rtl/>
          <w:lang w:bidi="ar-JO"/>
          <w14:ligatures w14:val="none"/>
        </w:rPr>
        <w:t>ٌ</w:t>
      </w:r>
      <w:r w:rsidR="000D006A">
        <w:rPr>
          <w:rFonts w:ascii="Simplified Arabic" w:eastAsia="Calibri" w:hAnsi="Simplified Arabic" w:cs="Simplified Arabic" w:hint="cs"/>
          <w:kern w:val="0"/>
          <w:sz w:val="26"/>
          <w:szCs w:val="26"/>
          <w:rtl/>
          <w:lang w:bidi="ar-JO"/>
          <w14:ligatures w14:val="none"/>
        </w:rPr>
        <w:t>" بعد</w:t>
      </w:r>
      <w:r w:rsidR="00674EFC">
        <w:rPr>
          <w:rFonts w:ascii="Simplified Arabic" w:eastAsia="Calibri" w:hAnsi="Simplified Arabic" w:cs="Simplified Arabic" w:hint="cs"/>
          <w:kern w:val="0"/>
          <w:sz w:val="26"/>
          <w:szCs w:val="26"/>
          <w:rtl/>
          <w:lang w:bidi="ar-JO"/>
          <w14:ligatures w14:val="none"/>
        </w:rPr>
        <w:t>َ</w:t>
      </w:r>
      <w:r w:rsidR="000D006A">
        <w:rPr>
          <w:rFonts w:ascii="Simplified Arabic" w:eastAsia="Calibri" w:hAnsi="Simplified Arabic" w:cs="Simplified Arabic" w:hint="cs"/>
          <w:kern w:val="0"/>
          <w:sz w:val="26"/>
          <w:szCs w:val="26"/>
          <w:rtl/>
          <w:lang w:bidi="ar-JO"/>
          <w14:ligatures w14:val="none"/>
        </w:rPr>
        <w:t xml:space="preserve"> الطوفان ورطة</w:t>
      </w:r>
      <w:r w:rsidR="00674EFC">
        <w:rPr>
          <w:rFonts w:ascii="Simplified Arabic" w:eastAsia="Calibri" w:hAnsi="Simplified Arabic" w:cs="Simplified Arabic" w:hint="cs"/>
          <w:kern w:val="0"/>
          <w:sz w:val="26"/>
          <w:szCs w:val="26"/>
          <w:rtl/>
          <w:lang w:bidi="ar-JO"/>
          <w14:ligatures w14:val="none"/>
        </w:rPr>
        <w:t>َ</w:t>
      </w:r>
      <w:r w:rsidR="000D006A">
        <w:rPr>
          <w:rFonts w:ascii="Simplified Arabic" w:eastAsia="Calibri" w:hAnsi="Simplified Arabic" w:cs="Simplified Arabic" w:hint="cs"/>
          <w:kern w:val="0"/>
          <w:sz w:val="26"/>
          <w:szCs w:val="26"/>
          <w:rtl/>
          <w:lang w:bidi="ar-JO"/>
          <w14:ligatures w14:val="none"/>
        </w:rPr>
        <w:t xml:space="preserve"> الخطية واللعنة التي أدخلت البشرية نفسها فيها. وقد استمرّ الجنس البشري في التمرُّد والابتعاد عن الله، ممّا لم يؤدِّ إلى فسادٍ أخلاقي أعظم فقط، بل وأد</w:t>
      </w:r>
      <w:r w:rsidR="00674EFC">
        <w:rPr>
          <w:rFonts w:ascii="Simplified Arabic" w:eastAsia="Calibri" w:hAnsi="Simplified Arabic" w:cs="Simplified Arabic" w:hint="cs"/>
          <w:kern w:val="0"/>
          <w:sz w:val="26"/>
          <w:szCs w:val="26"/>
          <w:rtl/>
          <w:lang w:bidi="ar-JO"/>
          <w14:ligatures w14:val="none"/>
        </w:rPr>
        <w:t>ّ</w:t>
      </w:r>
      <w:r w:rsidR="000D006A">
        <w:rPr>
          <w:rFonts w:ascii="Simplified Arabic" w:eastAsia="Calibri" w:hAnsi="Simplified Arabic" w:cs="Simplified Arabic" w:hint="cs"/>
          <w:kern w:val="0"/>
          <w:sz w:val="26"/>
          <w:szCs w:val="26"/>
          <w:rtl/>
          <w:lang w:bidi="ar-JO"/>
          <w14:ligatures w14:val="none"/>
        </w:rPr>
        <w:t>ى أيضاً إلى فقدان بركة الله أيضًا. توثِّق الأصحاحات 12-50 من سفر التكوين إعطاء العهد الإبراهيم: خطّة الله لإرجاع أمم العالم وشعوبه إلى الخضوع له واختبار بركته، وكيف انتقلت وعود العهد الإبراهيم</w:t>
      </w:r>
      <w:r w:rsidR="00674EFC">
        <w:rPr>
          <w:rFonts w:ascii="Simplified Arabic" w:eastAsia="Calibri" w:hAnsi="Simplified Arabic" w:cs="Simplified Arabic" w:hint="cs"/>
          <w:kern w:val="0"/>
          <w:sz w:val="26"/>
          <w:szCs w:val="26"/>
          <w:rtl/>
          <w:lang w:bidi="ar-JO"/>
          <w14:ligatures w14:val="none"/>
        </w:rPr>
        <w:t>ي</w:t>
      </w:r>
      <w:r w:rsidR="000D006A">
        <w:rPr>
          <w:rFonts w:ascii="Simplified Arabic" w:eastAsia="Calibri" w:hAnsi="Simplified Arabic" w:cs="Simplified Arabic" w:hint="cs"/>
          <w:kern w:val="0"/>
          <w:sz w:val="26"/>
          <w:szCs w:val="26"/>
          <w:rtl/>
          <w:lang w:bidi="ar-JO"/>
          <w14:ligatures w14:val="none"/>
        </w:rPr>
        <w:t xml:space="preserve"> إلى نسل إبراهيم. </w:t>
      </w:r>
      <w:r w:rsidR="004E506D">
        <w:rPr>
          <w:rFonts w:ascii="Simplified Arabic" w:eastAsia="Calibri" w:hAnsi="Simplified Arabic" w:cs="Simplified Arabic" w:hint="cs"/>
          <w:kern w:val="0"/>
          <w:sz w:val="26"/>
          <w:szCs w:val="26"/>
          <w:rtl/>
          <w:lang w:bidi="ar-JO"/>
          <w14:ligatures w14:val="none"/>
        </w:rPr>
        <w:t>وسفر الخروج، الذي يعقب هذه الأصحاحات، يبدأ والأمّة</w:t>
      </w:r>
      <w:r w:rsidR="00674EFC">
        <w:rPr>
          <w:rFonts w:ascii="Simplified Arabic" w:eastAsia="Calibri" w:hAnsi="Simplified Arabic" w:cs="Simplified Arabic" w:hint="cs"/>
          <w:kern w:val="0"/>
          <w:sz w:val="26"/>
          <w:szCs w:val="26"/>
          <w:rtl/>
          <w:lang w:bidi="ar-JO"/>
          <w14:ligatures w14:val="none"/>
        </w:rPr>
        <w:t xml:space="preserve"> موجودة</w:t>
      </w:r>
      <w:r w:rsidR="004E506D">
        <w:rPr>
          <w:rFonts w:ascii="Simplified Arabic" w:eastAsia="Calibri" w:hAnsi="Simplified Arabic" w:cs="Simplified Arabic" w:hint="cs"/>
          <w:kern w:val="0"/>
          <w:sz w:val="26"/>
          <w:szCs w:val="26"/>
          <w:rtl/>
          <w:lang w:bidi="ar-JO"/>
          <w14:ligatures w14:val="none"/>
        </w:rPr>
        <w:t xml:space="preserve"> خارج أرض الموعد وفي حالة العبودية. ولكنّ الله يُظهِر قوّته في افتدائهم من مصر. وهكذا يُؤتى بهم إلى جبل سيناء، حيث عُرِض عليهم امتياز أن يكونوا شعب</w:t>
      </w:r>
      <w:r w:rsidR="00674EFC">
        <w:rPr>
          <w:rFonts w:ascii="Simplified Arabic" w:eastAsia="Calibri" w:hAnsi="Simplified Arabic" w:cs="Simplified Arabic" w:hint="cs"/>
          <w:kern w:val="0"/>
          <w:sz w:val="26"/>
          <w:szCs w:val="26"/>
          <w:rtl/>
          <w:lang w:bidi="ar-JO"/>
          <w14:ligatures w14:val="none"/>
        </w:rPr>
        <w:t>َ</w:t>
      </w:r>
      <w:r w:rsidR="004E506D">
        <w:rPr>
          <w:rFonts w:ascii="Simplified Arabic" w:eastAsia="Calibri" w:hAnsi="Simplified Arabic" w:cs="Simplified Arabic" w:hint="cs"/>
          <w:kern w:val="0"/>
          <w:sz w:val="26"/>
          <w:szCs w:val="26"/>
          <w:rtl/>
          <w:lang w:bidi="ar-JO"/>
          <w14:ligatures w14:val="none"/>
        </w:rPr>
        <w:t xml:space="preserve"> عهد</w:t>
      </w:r>
      <w:r w:rsidR="00674EFC">
        <w:rPr>
          <w:rFonts w:ascii="Simplified Arabic" w:eastAsia="Calibri" w:hAnsi="Simplified Arabic" w:cs="Simplified Arabic" w:hint="cs"/>
          <w:kern w:val="0"/>
          <w:sz w:val="26"/>
          <w:szCs w:val="26"/>
          <w:rtl/>
          <w:lang w:bidi="ar-JO"/>
          <w14:ligatures w14:val="none"/>
        </w:rPr>
        <w:t>ِ</w:t>
      </w:r>
      <w:r w:rsidR="004E506D">
        <w:rPr>
          <w:rFonts w:ascii="Simplified Arabic" w:eastAsia="Calibri" w:hAnsi="Simplified Arabic" w:cs="Simplified Arabic" w:hint="cs"/>
          <w:kern w:val="0"/>
          <w:sz w:val="26"/>
          <w:szCs w:val="26"/>
          <w:rtl/>
          <w:lang w:bidi="ar-JO"/>
          <w14:ligatures w14:val="none"/>
        </w:rPr>
        <w:t xml:space="preserve"> الله، بشرط أن يوافقوا على بنود الشريعة (العهد الموسوي). وبعد أن وافقوا على </w:t>
      </w:r>
      <w:r w:rsidR="003E7119">
        <w:rPr>
          <w:rFonts w:ascii="Simplified Arabic" w:eastAsia="Calibri" w:hAnsi="Simplified Arabic" w:cs="Simplified Arabic" w:hint="cs"/>
          <w:kern w:val="0"/>
          <w:sz w:val="26"/>
          <w:szCs w:val="26"/>
          <w:rtl/>
          <w:lang w:bidi="ar-JO"/>
          <w14:ligatures w14:val="none"/>
        </w:rPr>
        <w:t xml:space="preserve">هذه الشروط، صنعوا خيمة الاجتماع لتكون مركز عبادة يهوه بوصفه إلههم. </w:t>
      </w:r>
    </w:p>
    <w:p w14:paraId="4743E483" w14:textId="77777777" w:rsidR="000D006A" w:rsidRPr="007A4B15" w:rsidRDefault="000D006A" w:rsidP="000D006A">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eastAsia="Calibri" w:cs="Times New Roman"/>
          <w:kern w:val="0"/>
          <w:szCs w:val="24"/>
          <w:rtl/>
          <w:lang w:bidi="ar-JO"/>
          <w14:ligatures w14:val="none"/>
        </w:rPr>
      </w:pPr>
    </w:p>
    <w:p w14:paraId="079A312A" w14:textId="35EE557C" w:rsidR="009810D1" w:rsidRPr="003E7119" w:rsidRDefault="003E7119" w:rsidP="003E7119">
      <w:pPr>
        <w:pStyle w:val="Heading3"/>
        <w:bidi/>
        <w:spacing w:line="240" w:lineRule="auto"/>
        <w:rPr>
          <w:rFonts w:ascii="Simplified Arabic" w:hAnsi="Simplified Arabic" w:cs="Simplified Arabic"/>
        </w:rPr>
      </w:pPr>
      <w:r w:rsidRPr="003E7119">
        <w:rPr>
          <w:rFonts w:ascii="Simplified Arabic" w:hAnsi="Simplified Arabic" w:cs="Simplified Arabic"/>
          <w:rtl/>
        </w:rPr>
        <w:t>مخطَّط الوحدة</w:t>
      </w:r>
    </w:p>
    <w:p w14:paraId="48B95B72" w14:textId="77777777" w:rsidR="001E6B52" w:rsidRPr="00AD7FFD" w:rsidRDefault="001E6B52" w:rsidP="001E6B52">
      <w:pPr>
        <w:bidi/>
        <w:spacing w:after="0" w:line="240" w:lineRule="auto"/>
        <w:ind w:left="1440" w:hanging="900"/>
        <w:contextualSpacing/>
        <w:rPr>
          <w:rFonts w:ascii="Simplified Arabic" w:hAnsi="Simplified Arabic" w:cs="Simplified Arabic"/>
          <w:b/>
          <w:kern w:val="0"/>
          <w:sz w:val="26"/>
          <w:szCs w:val="26"/>
          <w:rtl/>
          <w14:ligatures w14:val="none"/>
        </w:rPr>
      </w:pPr>
      <w:r w:rsidRPr="00AD7FFD">
        <w:rPr>
          <w:rFonts w:ascii="Simplified Arabic" w:hAnsi="Simplified Arabic" w:cs="Simplified Arabic"/>
          <w:b/>
          <w:kern w:val="0"/>
          <w:sz w:val="26"/>
          <w:szCs w:val="26"/>
          <w:rtl/>
          <w14:ligatures w14:val="none"/>
        </w:rPr>
        <w:t xml:space="preserve">الدرس </w:t>
      </w:r>
      <w:r>
        <w:rPr>
          <w:rFonts w:ascii="Simplified Arabic" w:hAnsi="Simplified Arabic" w:cs="Simplified Arabic" w:hint="cs"/>
          <w:b/>
          <w:kern w:val="0"/>
          <w:sz w:val="26"/>
          <w:szCs w:val="26"/>
          <w:rtl/>
          <w14:ligatures w14:val="none"/>
        </w:rPr>
        <w:t>4</w:t>
      </w:r>
      <w:r w:rsidRPr="00AD7FFD">
        <w:rPr>
          <w:rFonts w:ascii="Simplified Arabic" w:hAnsi="Simplified Arabic" w:cs="Simplified Arabic"/>
          <w:b/>
          <w:kern w:val="0"/>
          <w:sz w:val="26"/>
          <w:szCs w:val="26"/>
          <w:rtl/>
          <w14:ligatures w14:val="none"/>
        </w:rPr>
        <w:t xml:space="preserve">: </w:t>
      </w:r>
      <w:r>
        <w:rPr>
          <w:rFonts w:ascii="Simplified Arabic" w:hAnsi="Simplified Arabic" w:cs="Simplified Arabic" w:hint="cs"/>
          <w:b/>
          <w:kern w:val="0"/>
          <w:sz w:val="26"/>
          <w:szCs w:val="26"/>
          <w:rtl/>
          <w14:ligatures w14:val="none"/>
        </w:rPr>
        <w:t xml:space="preserve">عهد الله مع إبراهيم وصراعات الآباء (تكوين 11: 27-50: 26) </w:t>
      </w:r>
    </w:p>
    <w:p w14:paraId="09F5FA83" w14:textId="77777777" w:rsidR="001E6B52" w:rsidRPr="00AD7FFD" w:rsidRDefault="001E6B52" w:rsidP="001E6B52">
      <w:pPr>
        <w:bidi/>
        <w:spacing w:after="0" w:line="240" w:lineRule="auto"/>
        <w:ind w:left="1440" w:hanging="900"/>
        <w:contextualSpacing/>
        <w:rPr>
          <w:rFonts w:ascii="Simplified Arabic" w:hAnsi="Simplified Arabic" w:cs="Simplified Arabic"/>
          <w:b/>
          <w:kern w:val="0"/>
          <w:sz w:val="26"/>
          <w:szCs w:val="26"/>
          <w:rtl/>
          <w14:ligatures w14:val="none"/>
        </w:rPr>
      </w:pPr>
      <w:r w:rsidRPr="00AD7FFD">
        <w:rPr>
          <w:rFonts w:ascii="Simplified Arabic" w:hAnsi="Simplified Arabic" w:cs="Simplified Arabic"/>
          <w:b/>
          <w:kern w:val="0"/>
          <w:sz w:val="26"/>
          <w:szCs w:val="26"/>
          <w:rtl/>
          <w14:ligatures w14:val="none"/>
        </w:rPr>
        <w:t xml:space="preserve">الدرس </w:t>
      </w:r>
      <w:r>
        <w:rPr>
          <w:rFonts w:ascii="Simplified Arabic" w:hAnsi="Simplified Arabic" w:cs="Simplified Arabic" w:hint="cs"/>
          <w:b/>
          <w:kern w:val="0"/>
          <w:sz w:val="26"/>
          <w:szCs w:val="26"/>
          <w:rtl/>
          <w14:ligatures w14:val="none"/>
        </w:rPr>
        <w:t>5</w:t>
      </w:r>
      <w:r w:rsidRPr="00AD7FFD">
        <w:rPr>
          <w:rFonts w:ascii="Simplified Arabic" w:hAnsi="Simplified Arabic" w:cs="Simplified Arabic"/>
          <w:b/>
          <w:kern w:val="0"/>
          <w:sz w:val="26"/>
          <w:szCs w:val="26"/>
          <w:rtl/>
          <w14:ligatures w14:val="none"/>
        </w:rPr>
        <w:t>:</w:t>
      </w:r>
      <w:r>
        <w:rPr>
          <w:rFonts w:ascii="Simplified Arabic" w:hAnsi="Simplified Arabic" w:cs="Simplified Arabic" w:hint="cs"/>
          <w:b/>
          <w:kern w:val="0"/>
          <w:sz w:val="26"/>
          <w:szCs w:val="26"/>
          <w:rtl/>
          <w14:ligatures w14:val="none"/>
        </w:rPr>
        <w:t xml:space="preserve"> تحرير إسرائيل من مصر (خروج 1: 1-18: 27)</w:t>
      </w:r>
    </w:p>
    <w:p w14:paraId="3C981BC0" w14:textId="77777777" w:rsidR="001E6B52" w:rsidRPr="00AD7FFD" w:rsidRDefault="001E6B52" w:rsidP="001E6B52">
      <w:pPr>
        <w:bidi/>
        <w:spacing w:after="0" w:line="240" w:lineRule="auto"/>
        <w:ind w:left="1440" w:hanging="900"/>
        <w:contextualSpacing/>
        <w:rPr>
          <w:rFonts w:ascii="Simplified Arabic" w:hAnsi="Simplified Arabic" w:cs="Simplified Arabic"/>
          <w:b/>
          <w:kern w:val="0"/>
          <w:sz w:val="26"/>
          <w:szCs w:val="26"/>
          <w:rtl/>
          <w14:ligatures w14:val="none"/>
        </w:rPr>
      </w:pPr>
      <w:r w:rsidRPr="00AD7FFD">
        <w:rPr>
          <w:rFonts w:ascii="Simplified Arabic" w:hAnsi="Simplified Arabic" w:cs="Simplified Arabic"/>
          <w:b/>
          <w:kern w:val="0"/>
          <w:sz w:val="26"/>
          <w:szCs w:val="26"/>
          <w:rtl/>
          <w14:ligatures w14:val="none"/>
        </w:rPr>
        <w:t xml:space="preserve">الدرس </w:t>
      </w:r>
      <w:r>
        <w:rPr>
          <w:rFonts w:ascii="Simplified Arabic" w:hAnsi="Simplified Arabic" w:cs="Simplified Arabic" w:hint="cs"/>
          <w:b/>
          <w:kern w:val="0"/>
          <w:sz w:val="26"/>
          <w:szCs w:val="26"/>
          <w:rtl/>
          <w14:ligatures w14:val="none"/>
        </w:rPr>
        <w:t>6</w:t>
      </w:r>
      <w:r w:rsidRPr="00AD7FFD">
        <w:rPr>
          <w:rFonts w:ascii="Simplified Arabic" w:hAnsi="Simplified Arabic" w:cs="Simplified Arabic"/>
          <w:b/>
          <w:kern w:val="0"/>
          <w:sz w:val="26"/>
          <w:szCs w:val="26"/>
          <w:rtl/>
          <w14:ligatures w14:val="none"/>
        </w:rPr>
        <w:t xml:space="preserve">: </w:t>
      </w:r>
      <w:r>
        <w:rPr>
          <w:rFonts w:ascii="Simplified Arabic" w:hAnsi="Simplified Arabic" w:cs="Simplified Arabic" w:hint="cs"/>
          <w:b/>
          <w:kern w:val="0"/>
          <w:sz w:val="26"/>
          <w:szCs w:val="26"/>
          <w:rtl/>
          <w14:ligatures w14:val="none"/>
        </w:rPr>
        <w:t>إعطاء الشريعة وصنع خيمة الاجتماع (خروج 19: 1-40: 38)</w:t>
      </w:r>
    </w:p>
    <w:p w14:paraId="67501EA2" w14:textId="66E05F6A" w:rsidR="009810D1" w:rsidRPr="007A4B15" w:rsidRDefault="009810D1" w:rsidP="001E6B52">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ind w:left="540"/>
        <w:rPr>
          <w:rFonts w:eastAsia="Calibri" w:cs="Times New Roman"/>
          <w:kern w:val="0"/>
          <w:szCs w:val="24"/>
          <w14:ligatures w14:val="none"/>
        </w:rPr>
      </w:pPr>
    </w:p>
    <w:p w14:paraId="2479778C" w14:textId="538B8A3D" w:rsidR="009810D1" w:rsidRPr="003E7119" w:rsidRDefault="003E7119" w:rsidP="003E7119">
      <w:pPr>
        <w:pStyle w:val="Heading3"/>
        <w:bidi/>
        <w:spacing w:line="240" w:lineRule="auto"/>
        <w:rPr>
          <w:rFonts w:ascii="Simplified Arabic" w:hAnsi="Simplified Arabic" w:cs="Simplified Arabic"/>
        </w:rPr>
      </w:pPr>
      <w:r w:rsidRPr="003E7119">
        <w:rPr>
          <w:rFonts w:ascii="Simplified Arabic" w:hAnsi="Simplified Arabic" w:cs="Simplified Arabic"/>
          <w:rtl/>
        </w:rPr>
        <w:t>أهداف الوحدة</w:t>
      </w:r>
    </w:p>
    <w:p w14:paraId="62EBF998" w14:textId="1BDBE200" w:rsidR="009810D1" w:rsidRPr="003E7119" w:rsidRDefault="003E7119" w:rsidP="003E7119">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14:ligatures w14:val="none"/>
        </w:rPr>
      </w:pPr>
      <w:r w:rsidRPr="003E7119">
        <w:rPr>
          <w:rFonts w:ascii="Simplified Arabic" w:eastAsia="Calibri" w:hAnsi="Simplified Arabic" w:cs="Simplified Arabic"/>
          <w:kern w:val="0"/>
          <w:sz w:val="26"/>
          <w:szCs w:val="26"/>
          <w:rtl/>
          <w14:ligatures w14:val="none"/>
        </w:rPr>
        <w:t xml:space="preserve">بانتهائك من دراسة هذه الوحدة، ستكون قادرًا على ما يلي: </w:t>
      </w:r>
    </w:p>
    <w:p w14:paraId="6A3A29B6" w14:textId="54520BAD" w:rsidR="00100636" w:rsidRDefault="003E7119" w:rsidP="003E7119">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3E7119">
        <w:rPr>
          <w:rFonts w:ascii="Simplified Arabic" w:eastAsia="Calibri" w:hAnsi="Simplified Arabic" w:cs="Simplified Arabic"/>
          <w:kern w:val="0"/>
          <w:sz w:val="26"/>
          <w:szCs w:val="26"/>
          <w:rtl/>
          <w14:ligatures w14:val="none"/>
        </w:rPr>
        <w:t>أن تشرح أهمية العهد الإبراهيم</w:t>
      </w:r>
      <w:r w:rsidR="00674EFC">
        <w:rPr>
          <w:rFonts w:ascii="Simplified Arabic" w:eastAsia="Calibri" w:hAnsi="Simplified Arabic" w:cs="Simplified Arabic" w:hint="cs"/>
          <w:kern w:val="0"/>
          <w:sz w:val="26"/>
          <w:szCs w:val="26"/>
          <w:rtl/>
          <w14:ligatures w14:val="none"/>
        </w:rPr>
        <w:t>ي</w:t>
      </w:r>
      <w:r w:rsidRPr="003E7119">
        <w:rPr>
          <w:rFonts w:ascii="Simplified Arabic" w:eastAsia="Calibri" w:hAnsi="Simplified Arabic" w:cs="Simplified Arabic"/>
          <w:kern w:val="0"/>
          <w:sz w:val="26"/>
          <w:szCs w:val="26"/>
          <w:rtl/>
          <w14:ligatures w14:val="none"/>
        </w:rPr>
        <w:t xml:space="preserve"> والعهد الموسوي، وأن تكون قادرًا على توضيح الفوارق بينهما. </w:t>
      </w:r>
    </w:p>
    <w:p w14:paraId="1CF73CB2" w14:textId="7DFD1CF4" w:rsidR="003E7119" w:rsidRDefault="003E7119" w:rsidP="003E7119">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Pr>
          <w:rFonts w:ascii="Simplified Arabic" w:eastAsia="Calibri" w:hAnsi="Simplified Arabic" w:cs="Simplified Arabic" w:hint="cs"/>
          <w:kern w:val="0"/>
          <w:sz w:val="26"/>
          <w:szCs w:val="26"/>
          <w:rtl/>
          <w14:ligatures w14:val="none"/>
        </w:rPr>
        <w:t xml:space="preserve">أن يكون لديك فهم أفضل بشأن الطريقة التي ينمّي الله بها الإيمانَ والطاعة في الذين يتبعونه، وذلك نتيجةً لدراستك حياة إبراهيم ونسله. </w:t>
      </w:r>
    </w:p>
    <w:p w14:paraId="724CC7A1" w14:textId="3858C569" w:rsidR="003E7119" w:rsidRDefault="003E7119" w:rsidP="003E7119">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Pr>
          <w:rFonts w:ascii="Simplified Arabic" w:eastAsia="Calibri" w:hAnsi="Simplified Arabic" w:cs="Simplified Arabic" w:hint="cs"/>
          <w:kern w:val="0"/>
          <w:sz w:val="26"/>
          <w:szCs w:val="26"/>
          <w:rtl/>
          <w14:ligatures w14:val="none"/>
        </w:rPr>
        <w:t xml:space="preserve">أن تندهش أمام قوّة وسيادة الله في تحريره الشعب العبري من سلطة وقوة فرعون مصر. </w:t>
      </w:r>
    </w:p>
    <w:p w14:paraId="409A2E2D" w14:textId="5FB2FF72" w:rsidR="003E7119" w:rsidRDefault="003E7119" w:rsidP="003E7119">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Pr>
          <w:rFonts w:ascii="Simplified Arabic" w:eastAsia="Calibri" w:hAnsi="Simplified Arabic" w:cs="Simplified Arabic" w:hint="cs"/>
          <w:kern w:val="0"/>
          <w:sz w:val="26"/>
          <w:szCs w:val="26"/>
          <w:rtl/>
          <w14:ligatures w14:val="none"/>
        </w:rPr>
        <w:lastRenderedPageBreak/>
        <w:t xml:space="preserve">أن تدرك حقيقة أنّ النواحي المختلفة في خيمة الاجتماع الأرض تعكس حقائق روحيّة أعظم (النماذج والرموز). </w:t>
      </w:r>
    </w:p>
    <w:p w14:paraId="70FEA98E" w14:textId="355BA069" w:rsidR="003E7119" w:rsidRPr="003E7119" w:rsidRDefault="003E7119" w:rsidP="003E7119">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Pr>
          <w:rFonts w:ascii="Simplified Arabic" w:eastAsia="Calibri" w:hAnsi="Simplified Arabic" w:cs="Simplified Arabic" w:hint="cs"/>
          <w:kern w:val="0"/>
          <w:sz w:val="26"/>
          <w:szCs w:val="26"/>
          <w:rtl/>
          <w14:ligatures w14:val="none"/>
        </w:rPr>
        <w:t>أن تشرح أنّه مع أنّه قُصِد من الناموس أن يحمي شعب العهد وأن يُظهِر لهم طريق البركة، فقد أثبت في النهاية أنّه هدف</w:t>
      </w:r>
      <w:r w:rsidR="00674EFC">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لم يستطيعوا تحقيقه والعيش بحسبه. </w:t>
      </w:r>
    </w:p>
    <w:p w14:paraId="72D0BFE7" w14:textId="77777777" w:rsidR="003E7119" w:rsidRDefault="003E7119" w:rsidP="001E6B52">
      <w:pPr>
        <w:pStyle w:val="ListParagraph"/>
        <w:bidi/>
        <w:spacing w:after="0" w:line="240" w:lineRule="auto"/>
        <w:jc w:val="center"/>
        <w:rPr>
          <w:rFonts w:ascii="Simplified Arabic" w:hAnsi="Simplified Arabic" w:cs="Simplified Arabic"/>
          <w:bCs/>
          <w:kern w:val="0"/>
          <w:sz w:val="40"/>
          <w:szCs w:val="40"/>
          <w:rtl/>
          <w14:ligatures w14:val="none"/>
        </w:rPr>
      </w:pPr>
    </w:p>
    <w:p w14:paraId="1DB1EB7D" w14:textId="77777777" w:rsidR="00674EFC" w:rsidRDefault="00674EFC">
      <w:pPr>
        <w:rPr>
          <w:rFonts w:ascii="Simplified Arabic" w:hAnsi="Simplified Arabic" w:cs="Simplified Arabic"/>
          <w:bCs/>
          <w:kern w:val="0"/>
          <w:sz w:val="40"/>
          <w:szCs w:val="40"/>
          <w:rtl/>
          <w14:ligatures w14:val="none"/>
        </w:rPr>
      </w:pPr>
      <w:r>
        <w:rPr>
          <w:rFonts w:ascii="Simplified Arabic" w:hAnsi="Simplified Arabic" w:cs="Simplified Arabic"/>
          <w:bCs/>
          <w:kern w:val="0"/>
          <w:sz w:val="40"/>
          <w:szCs w:val="40"/>
          <w:rtl/>
          <w14:ligatures w14:val="none"/>
        </w:rPr>
        <w:br w:type="page"/>
      </w:r>
    </w:p>
    <w:p w14:paraId="02C30538" w14:textId="1725BC35" w:rsidR="001E6B52" w:rsidRPr="001E6B52" w:rsidRDefault="001E6B52" w:rsidP="003E7119">
      <w:pPr>
        <w:pStyle w:val="ListParagraph"/>
        <w:bidi/>
        <w:spacing w:after="0" w:line="240" w:lineRule="auto"/>
        <w:jc w:val="center"/>
        <w:rPr>
          <w:rFonts w:ascii="Simplified Arabic" w:hAnsi="Simplified Arabic" w:cs="Simplified Arabic"/>
          <w:bCs/>
          <w:kern w:val="0"/>
          <w:sz w:val="40"/>
          <w:szCs w:val="40"/>
          <w14:ligatures w14:val="none"/>
        </w:rPr>
      </w:pPr>
      <w:r w:rsidRPr="001E6B52">
        <w:rPr>
          <w:rFonts w:ascii="Simplified Arabic" w:hAnsi="Simplified Arabic" w:cs="Simplified Arabic"/>
          <w:bCs/>
          <w:kern w:val="0"/>
          <w:sz w:val="40"/>
          <w:szCs w:val="40"/>
          <w:rtl/>
          <w14:ligatures w14:val="none"/>
        </w:rPr>
        <w:lastRenderedPageBreak/>
        <w:t xml:space="preserve">الدرس </w:t>
      </w:r>
      <w:r w:rsidRPr="001E6B52">
        <w:rPr>
          <w:rFonts w:ascii="Simplified Arabic" w:hAnsi="Simplified Arabic" w:cs="Simplified Arabic" w:hint="cs"/>
          <w:bCs/>
          <w:kern w:val="0"/>
          <w:sz w:val="40"/>
          <w:szCs w:val="40"/>
          <w:rtl/>
          <w14:ligatures w14:val="none"/>
        </w:rPr>
        <w:t>4</w:t>
      </w:r>
      <w:r w:rsidRPr="001E6B52">
        <w:rPr>
          <w:rFonts w:ascii="Simplified Arabic" w:hAnsi="Simplified Arabic" w:cs="Simplified Arabic"/>
          <w:bCs/>
          <w:kern w:val="0"/>
          <w:sz w:val="40"/>
          <w:szCs w:val="40"/>
          <w:rtl/>
          <w14:ligatures w14:val="none"/>
        </w:rPr>
        <w:t xml:space="preserve">: </w:t>
      </w:r>
      <w:r w:rsidRPr="001E6B52">
        <w:rPr>
          <w:rFonts w:ascii="Simplified Arabic" w:hAnsi="Simplified Arabic" w:cs="Simplified Arabic" w:hint="cs"/>
          <w:bCs/>
          <w:kern w:val="0"/>
          <w:sz w:val="40"/>
          <w:szCs w:val="40"/>
          <w:rtl/>
          <w14:ligatures w14:val="none"/>
        </w:rPr>
        <w:t>عهد الله مع إبراهيم وصراعات الآباء</w:t>
      </w:r>
    </w:p>
    <w:p w14:paraId="5D2524DE" w14:textId="19C3ACA5" w:rsidR="001E6B52" w:rsidRPr="001E6B52" w:rsidRDefault="001E6B52" w:rsidP="001E6B52">
      <w:pPr>
        <w:pStyle w:val="ListParagraph"/>
        <w:bidi/>
        <w:spacing w:after="0" w:line="240" w:lineRule="auto"/>
        <w:jc w:val="center"/>
        <w:rPr>
          <w:rFonts w:ascii="Simplified Arabic" w:hAnsi="Simplified Arabic" w:cs="Simplified Arabic"/>
          <w:bCs/>
          <w:kern w:val="0"/>
          <w:sz w:val="40"/>
          <w:szCs w:val="40"/>
          <w:rtl/>
          <w14:ligatures w14:val="none"/>
        </w:rPr>
      </w:pPr>
      <w:r w:rsidRPr="001E6B52">
        <w:rPr>
          <w:rFonts w:ascii="Simplified Arabic" w:hAnsi="Simplified Arabic" w:cs="Simplified Arabic" w:hint="cs"/>
          <w:bCs/>
          <w:kern w:val="0"/>
          <w:sz w:val="40"/>
          <w:szCs w:val="40"/>
          <w:rtl/>
          <w14:ligatures w14:val="none"/>
        </w:rPr>
        <w:t>(تكوين 11: 27-50: 26)</w:t>
      </w:r>
    </w:p>
    <w:p w14:paraId="0F0FF8DC" w14:textId="6A0501DB" w:rsidR="00E41548" w:rsidRPr="007A4B15" w:rsidRDefault="00E41548" w:rsidP="002D6C54">
      <w:pPr>
        <w:pStyle w:val="Heading2"/>
      </w:pPr>
    </w:p>
    <w:p w14:paraId="340EBA89" w14:textId="77777777" w:rsidR="00311C51" w:rsidRPr="007A4B15" w:rsidRDefault="00311C51"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kern w:val="0"/>
          <w:szCs w:val="24"/>
          <w14:ligatures w14:val="none"/>
        </w:rPr>
      </w:pPr>
    </w:p>
    <w:p w14:paraId="72CAC378" w14:textId="151BE57E" w:rsidR="00E41548" w:rsidRPr="003E7119" w:rsidRDefault="003E7119" w:rsidP="003E7119">
      <w:pPr>
        <w:pStyle w:val="Heading3"/>
        <w:bidi/>
        <w:spacing w:line="240" w:lineRule="auto"/>
        <w:rPr>
          <w:rFonts w:ascii="Simplified Arabic" w:hAnsi="Simplified Arabic" w:cs="Simplified Arabic"/>
          <w:lang w:val="fr-FR"/>
        </w:rPr>
      </w:pPr>
      <w:r w:rsidRPr="003E7119">
        <w:rPr>
          <w:rFonts w:ascii="Simplified Arabic" w:hAnsi="Simplified Arabic" w:cs="Simplified Arabic"/>
          <w:rtl/>
          <w:lang w:val="fr-FR"/>
        </w:rPr>
        <w:t>مُقدِّمة الدرس</w:t>
      </w:r>
    </w:p>
    <w:p w14:paraId="65D2EDEA" w14:textId="35FC190F" w:rsidR="003E7119" w:rsidRDefault="00FD0F16" w:rsidP="003E7119">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نقطة تركيز هذا القسم من سفر التكوين هي إبراهيم ونسل</w:t>
      </w:r>
      <w:r w:rsidR="00674EFC">
        <w:rPr>
          <w:rFonts w:ascii="Simplified Arabic" w:eastAsia="Calibri" w:hAnsi="Simplified Arabic" w:cs="Simplified Arabic" w:hint="cs"/>
          <w:kern w:val="0"/>
          <w:sz w:val="26"/>
          <w:szCs w:val="26"/>
          <w:rtl/>
          <w14:ligatures w14:val="none"/>
        </w:rPr>
        <w:t>ه</w:t>
      </w:r>
      <w:r>
        <w:rPr>
          <w:rFonts w:ascii="Simplified Arabic" w:eastAsia="Calibri" w:hAnsi="Simplified Arabic" w:cs="Simplified Arabic" w:hint="cs"/>
          <w:kern w:val="0"/>
          <w:sz w:val="26"/>
          <w:szCs w:val="26"/>
          <w:rtl/>
          <w14:ligatures w14:val="none"/>
        </w:rPr>
        <w:t>، أي إسحاق ويعقوب، ومن ثمّ أبناء الأخير. يشكِّل هؤلاء معًا نواة أمّة جديدة يخلقها الله لتكون نورًا لأمم العالم الأخرى التي وقعت في عبادة الأوثان والفساد الأخلاقي. ولأن الله إله</w:t>
      </w:r>
      <w:r w:rsidR="00674EFC">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بركة، فإنّه يعد إبراهيم بأنّه به وبنسله سينجح في أن يبارك كل</w:t>
      </w:r>
      <w:r w:rsidR="00674EFC">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العالم. ويوضّح العهد الجديد أنّ هذا سيحدث في النهاية في نسل إبراهيم الأعظم، الرب يسوع. </w:t>
      </w:r>
    </w:p>
    <w:p w14:paraId="7357D6A5" w14:textId="6AAD1C2E" w:rsidR="00FD0F16" w:rsidRPr="003E7119" w:rsidRDefault="00E22190" w:rsidP="00FD0F16">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lang w:bidi="ar-JO"/>
          <w14:ligatures w14:val="none"/>
        </w:rPr>
      </w:pPr>
      <w:r>
        <w:rPr>
          <w:rFonts w:ascii="Simplified Arabic" w:eastAsia="Calibri" w:hAnsi="Simplified Arabic" w:cs="Simplified Arabic" w:hint="cs"/>
          <w:kern w:val="0"/>
          <w:sz w:val="26"/>
          <w:szCs w:val="26"/>
          <w:rtl/>
          <w:lang w:bidi="ar-JO"/>
          <w14:ligatures w14:val="none"/>
        </w:rPr>
        <w:t>النقطة البارزة في هذه الأصحاحات هي عم</w:t>
      </w:r>
      <w:r w:rsidR="00674EFC">
        <w:rPr>
          <w:rFonts w:ascii="Simplified Arabic" w:eastAsia="Calibri" w:hAnsi="Simplified Arabic" w:cs="Simplified Arabic" w:hint="cs"/>
          <w:kern w:val="0"/>
          <w:sz w:val="26"/>
          <w:szCs w:val="26"/>
          <w:rtl/>
          <w:lang w:bidi="ar-JO"/>
          <w14:ligatures w14:val="none"/>
        </w:rPr>
        <w:t>َ</w:t>
      </w:r>
      <w:r>
        <w:rPr>
          <w:rFonts w:ascii="Simplified Arabic" w:eastAsia="Calibri" w:hAnsi="Simplified Arabic" w:cs="Simplified Arabic" w:hint="cs"/>
          <w:kern w:val="0"/>
          <w:sz w:val="26"/>
          <w:szCs w:val="26"/>
          <w:rtl/>
          <w:lang w:bidi="ar-JO"/>
          <w14:ligatures w14:val="none"/>
        </w:rPr>
        <w:t>ل</w:t>
      </w:r>
      <w:r w:rsidR="00674EFC">
        <w:rPr>
          <w:rFonts w:ascii="Simplified Arabic" w:eastAsia="Calibri" w:hAnsi="Simplified Arabic" w:cs="Simplified Arabic" w:hint="cs"/>
          <w:kern w:val="0"/>
          <w:sz w:val="26"/>
          <w:szCs w:val="26"/>
          <w:rtl/>
          <w:lang w:bidi="ar-JO"/>
          <w14:ligatures w14:val="none"/>
        </w:rPr>
        <w:t>ُ</w:t>
      </w:r>
      <w:r>
        <w:rPr>
          <w:rFonts w:ascii="Simplified Arabic" w:eastAsia="Calibri" w:hAnsi="Simplified Arabic" w:cs="Simplified Arabic" w:hint="cs"/>
          <w:kern w:val="0"/>
          <w:sz w:val="26"/>
          <w:szCs w:val="26"/>
          <w:rtl/>
          <w:lang w:bidi="ar-JO"/>
          <w14:ligatures w14:val="none"/>
        </w:rPr>
        <w:t xml:space="preserve"> العهد مع إبراهيم (والذي صار يُعرَف باسم العهد الإبراهيم). انتقل خط البركة </w:t>
      </w:r>
      <w:r w:rsidR="00674EFC">
        <w:rPr>
          <w:rFonts w:ascii="Simplified Arabic" w:eastAsia="Calibri" w:hAnsi="Simplified Arabic" w:cs="Simplified Arabic" w:hint="cs"/>
          <w:kern w:val="0"/>
          <w:sz w:val="26"/>
          <w:szCs w:val="26"/>
          <w:rtl/>
          <w:lang w:bidi="ar-JO"/>
          <w14:ligatures w14:val="none"/>
        </w:rPr>
        <w:t>إ</w:t>
      </w:r>
      <w:r>
        <w:rPr>
          <w:rFonts w:ascii="Simplified Arabic" w:eastAsia="Calibri" w:hAnsi="Simplified Arabic" w:cs="Simplified Arabic" w:hint="cs"/>
          <w:kern w:val="0"/>
          <w:sz w:val="26"/>
          <w:szCs w:val="26"/>
          <w:rtl/>
          <w:lang w:bidi="ar-JO"/>
          <w14:ligatures w14:val="none"/>
        </w:rPr>
        <w:t xml:space="preserve">لى ابن إبراهيم الموعود، إسحاق (لا إسماعيل)، ومن ثمّ إلى يعقوب. وولد يعقوب اثني عشر ابنًا كانوا آباء أسباط إسرائيل الاثني عشر. كما يُظهِر تكوين 11: 27 </w:t>
      </w:r>
      <w:r>
        <w:rPr>
          <w:rFonts w:ascii="Simplified Arabic" w:eastAsia="Calibri" w:hAnsi="Simplified Arabic" w:cs="Simplified Arabic"/>
          <w:kern w:val="0"/>
          <w:sz w:val="26"/>
          <w:szCs w:val="26"/>
          <w:rtl/>
          <w:lang w:bidi="ar-JO"/>
          <w14:ligatures w14:val="none"/>
        </w:rPr>
        <w:t>–</w:t>
      </w:r>
      <w:r>
        <w:rPr>
          <w:rFonts w:ascii="Simplified Arabic" w:eastAsia="Calibri" w:hAnsi="Simplified Arabic" w:cs="Simplified Arabic" w:hint="cs"/>
          <w:kern w:val="0"/>
          <w:sz w:val="26"/>
          <w:szCs w:val="26"/>
          <w:rtl/>
          <w:lang w:bidi="ar-JO"/>
          <w14:ligatures w14:val="none"/>
        </w:rPr>
        <w:t xml:space="preserve"> 50: 26 أن</w:t>
      </w:r>
      <w:r w:rsidR="00674EFC">
        <w:rPr>
          <w:rFonts w:ascii="Simplified Arabic" w:eastAsia="Calibri" w:hAnsi="Simplified Arabic" w:cs="Simplified Arabic" w:hint="cs"/>
          <w:kern w:val="0"/>
          <w:sz w:val="26"/>
          <w:szCs w:val="26"/>
          <w:rtl/>
          <w:lang w:bidi="ar-JO"/>
          <w14:ligatures w14:val="none"/>
        </w:rPr>
        <w:t>ّ</w:t>
      </w:r>
      <w:r>
        <w:rPr>
          <w:rFonts w:ascii="Simplified Arabic" w:eastAsia="Calibri" w:hAnsi="Simplified Arabic" w:cs="Simplified Arabic" w:hint="cs"/>
          <w:kern w:val="0"/>
          <w:sz w:val="26"/>
          <w:szCs w:val="26"/>
          <w:rtl/>
          <w:lang w:bidi="ar-JO"/>
          <w14:ligatures w14:val="none"/>
        </w:rPr>
        <w:t xml:space="preserve"> الله يتعامل مع كلّ واحدٍ من هؤلاء "الآباء"، رؤوس الأمّة، من أجل تنمية إيمانهم وتأديبهم على ضلالهم وخطيّتهم. </w:t>
      </w:r>
    </w:p>
    <w:p w14:paraId="1AC34105" w14:textId="77777777" w:rsidR="003E7119" w:rsidRDefault="003E7119"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kern w:val="0"/>
          <w:szCs w:val="24"/>
          <w:rtl/>
          <w14:ligatures w14:val="none"/>
        </w:rPr>
      </w:pPr>
    </w:p>
    <w:p w14:paraId="5EAAAFEC" w14:textId="0CADA33B" w:rsidR="00E41548" w:rsidRPr="00E22190" w:rsidRDefault="00E22190" w:rsidP="00E22190">
      <w:pPr>
        <w:pStyle w:val="Heading3"/>
        <w:bidi/>
        <w:spacing w:line="240" w:lineRule="auto"/>
        <w:rPr>
          <w:rFonts w:ascii="Simplified Arabic" w:hAnsi="Simplified Arabic" w:cs="Simplified Arabic"/>
        </w:rPr>
      </w:pPr>
      <w:r w:rsidRPr="00E22190">
        <w:rPr>
          <w:rFonts w:ascii="Simplified Arabic" w:hAnsi="Simplified Arabic" w:cs="Simplified Arabic"/>
          <w:rtl/>
        </w:rPr>
        <w:t>مُخطّط الدرس</w:t>
      </w:r>
    </w:p>
    <w:p w14:paraId="64E0860E" w14:textId="77777777" w:rsidR="00E22190" w:rsidRPr="00E22190" w:rsidRDefault="00E22190" w:rsidP="00E22190">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bookmarkStart w:id="56" w:name="_Hlk190487918"/>
      <w:r w:rsidRPr="00E22190">
        <w:rPr>
          <w:rFonts w:ascii="Simplified Arabic" w:eastAsia="Calibri" w:hAnsi="Simplified Arabic" w:cs="Simplified Arabic"/>
          <w:kern w:val="0"/>
          <w:sz w:val="26"/>
          <w:szCs w:val="26"/>
          <w:rtl/>
          <w14:ligatures w14:val="none"/>
        </w:rPr>
        <w:t xml:space="preserve">الموضوع 1: </w:t>
      </w:r>
      <w:r w:rsidRPr="00E22190">
        <w:rPr>
          <w:rFonts w:ascii="Simplified Arabic" w:eastAsia="Calibri" w:hAnsi="Simplified Arabic" w:cs="Simplified Arabic"/>
          <w:kern w:val="0"/>
          <w:sz w:val="26"/>
          <w:szCs w:val="26"/>
          <w:rtl/>
          <w14:ligatures w14:val="none"/>
        </w:rPr>
        <w:tab/>
        <w:t xml:space="preserve">إعطاء توجيهات للآباء </w:t>
      </w:r>
    </w:p>
    <w:p w14:paraId="0B5318D7" w14:textId="77777777" w:rsidR="00E22190" w:rsidRPr="00E22190" w:rsidRDefault="00E22190" w:rsidP="00E22190">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r w:rsidRPr="00E22190">
        <w:rPr>
          <w:rFonts w:ascii="Simplified Arabic" w:eastAsia="Calibri" w:hAnsi="Simplified Arabic" w:cs="Simplified Arabic"/>
          <w:kern w:val="0"/>
          <w:sz w:val="26"/>
          <w:szCs w:val="26"/>
          <w:rtl/>
          <w14:ligatures w14:val="none"/>
        </w:rPr>
        <w:t xml:space="preserve">الموضوع 2: </w:t>
      </w:r>
      <w:r w:rsidRPr="00E22190">
        <w:rPr>
          <w:rFonts w:ascii="Simplified Arabic" w:eastAsia="Calibri" w:hAnsi="Simplified Arabic" w:cs="Simplified Arabic"/>
          <w:kern w:val="0"/>
          <w:sz w:val="26"/>
          <w:szCs w:val="26"/>
          <w:rtl/>
          <w14:ligatures w14:val="none"/>
        </w:rPr>
        <w:tab/>
        <w:t xml:space="preserve">العهد مع إبراهيم (تكوين 11: 27 – 25: 11) </w:t>
      </w:r>
    </w:p>
    <w:p w14:paraId="552BECAA" w14:textId="2152D070" w:rsidR="00E41548" w:rsidRPr="00E22190" w:rsidRDefault="00E22190" w:rsidP="00E22190">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eastAsia="Calibri" w:cs="Times New Roman"/>
          <w:kern w:val="0"/>
          <w:sz w:val="26"/>
          <w:szCs w:val="26"/>
          <w14:ligatures w14:val="none"/>
        </w:rPr>
      </w:pPr>
      <w:r w:rsidRPr="00E22190">
        <w:rPr>
          <w:rFonts w:ascii="Simplified Arabic" w:eastAsia="Calibri" w:hAnsi="Simplified Arabic" w:cs="Simplified Arabic"/>
          <w:kern w:val="0"/>
          <w:sz w:val="26"/>
          <w:szCs w:val="26"/>
          <w:rtl/>
          <w14:ligatures w14:val="none"/>
        </w:rPr>
        <w:t xml:space="preserve">الموضوع 3: </w:t>
      </w:r>
      <w:r w:rsidRPr="00E22190">
        <w:rPr>
          <w:rFonts w:ascii="Simplified Arabic" w:eastAsia="Calibri" w:hAnsi="Simplified Arabic" w:cs="Simplified Arabic"/>
          <w:kern w:val="0"/>
          <w:sz w:val="26"/>
          <w:szCs w:val="26"/>
          <w:rtl/>
          <w14:ligatures w14:val="none"/>
        </w:rPr>
        <w:tab/>
        <w:t>قصتا يعقوب ويوسف (تكوين 25: 12 – 50: 26)</w:t>
      </w:r>
      <w:r w:rsidR="00E41548" w:rsidRPr="00E22190">
        <w:rPr>
          <w:rFonts w:eastAsia="Calibri" w:cs="Times New Roman"/>
          <w:kern w:val="0"/>
          <w:sz w:val="26"/>
          <w:szCs w:val="26"/>
          <w14:ligatures w14:val="none"/>
        </w:rPr>
        <w:br/>
      </w:r>
    </w:p>
    <w:bookmarkEnd w:id="56"/>
    <w:p w14:paraId="1123203C" w14:textId="04069F5D" w:rsidR="00E41548" w:rsidRPr="00E22190" w:rsidRDefault="00E22190" w:rsidP="00E22190">
      <w:pPr>
        <w:pStyle w:val="Heading3"/>
        <w:bidi/>
        <w:spacing w:line="240" w:lineRule="auto"/>
        <w:rPr>
          <w:rFonts w:ascii="Simplified Arabic" w:hAnsi="Simplified Arabic" w:cs="Simplified Arabic"/>
          <w:lang w:val="fr-FR"/>
        </w:rPr>
      </w:pPr>
      <w:r w:rsidRPr="00E22190">
        <w:rPr>
          <w:rFonts w:ascii="Simplified Arabic" w:hAnsi="Simplified Arabic" w:cs="Simplified Arabic"/>
          <w:rtl/>
          <w:lang w:val="fr-FR"/>
        </w:rPr>
        <w:t>أهداف الدرس</w:t>
      </w:r>
    </w:p>
    <w:p w14:paraId="0B98558C" w14:textId="0E1EFEC9" w:rsidR="00E41548" w:rsidRPr="00E22190" w:rsidRDefault="00E22190" w:rsidP="00E22190">
      <w:pPr>
        <w:bidi/>
        <w:spacing w:before="120" w:after="80" w:line="240" w:lineRule="auto"/>
        <w:rPr>
          <w:rFonts w:ascii="Simplified Arabic" w:eastAsia="Calibri" w:hAnsi="Simplified Arabic" w:cs="Simplified Arabic"/>
          <w:kern w:val="0"/>
          <w:sz w:val="26"/>
          <w:szCs w:val="26"/>
          <w14:ligatures w14:val="none"/>
        </w:rPr>
      </w:pPr>
      <w:r w:rsidRPr="00E22190">
        <w:rPr>
          <w:rFonts w:ascii="Simplified Arabic" w:eastAsia="Calibri" w:hAnsi="Simplified Arabic" w:cs="Simplified Arabic"/>
          <w:kern w:val="0"/>
          <w:sz w:val="26"/>
          <w:szCs w:val="26"/>
          <w:rtl/>
          <w14:ligatures w14:val="none"/>
        </w:rPr>
        <w:t xml:space="preserve">بانتهائك من دراسة هذا الدرس، ستكون قادرًا على ما يلي: </w:t>
      </w:r>
    </w:p>
    <w:p w14:paraId="532931F5" w14:textId="79A7999A" w:rsidR="00B372E7" w:rsidRDefault="00E22190" w:rsidP="00E22190">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E22190">
        <w:rPr>
          <w:rFonts w:ascii="Simplified Arabic" w:eastAsia="Calibri" w:hAnsi="Simplified Arabic" w:cs="Simplified Arabic"/>
          <w:kern w:val="0"/>
          <w:sz w:val="26"/>
          <w:szCs w:val="26"/>
          <w:rtl/>
          <w14:ligatures w14:val="none"/>
        </w:rPr>
        <w:t xml:space="preserve">أن </w:t>
      </w:r>
      <w:r>
        <w:rPr>
          <w:rFonts w:ascii="Simplified Arabic" w:eastAsia="Calibri" w:hAnsi="Simplified Arabic" w:cs="Simplified Arabic" w:hint="cs"/>
          <w:kern w:val="0"/>
          <w:sz w:val="26"/>
          <w:szCs w:val="26"/>
          <w:rtl/>
          <w14:ligatures w14:val="none"/>
        </w:rPr>
        <w:t xml:space="preserve">تبيّن الوعود التي أُعطيت لإبراهيم (تكوين 12: 1-3)، وتشرح مغزى العهد الذي صُنِع معه (العهد الإبراهيمي الوارد في تكوين 15). </w:t>
      </w:r>
    </w:p>
    <w:p w14:paraId="2DBC949E" w14:textId="43F9C3DB" w:rsidR="00E22190" w:rsidRDefault="00E22190" w:rsidP="00E22190">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Pr>
          <w:rFonts w:ascii="Simplified Arabic" w:eastAsia="Calibri" w:hAnsi="Simplified Arabic" w:cs="Simplified Arabic" w:hint="cs"/>
          <w:kern w:val="0"/>
          <w:sz w:val="26"/>
          <w:szCs w:val="26"/>
          <w:rtl/>
          <w14:ligatures w14:val="none"/>
        </w:rPr>
        <w:lastRenderedPageBreak/>
        <w:t xml:space="preserve">أن تفهم كيف نمّى الله إيمان إبراهيم (بالرغم من أخطاء وسقطات مؤسِّس الأمم الكثيرة)، وتشرح ما يمكن للمؤمنين اليوم أن يتعلّموه من هذا. </w:t>
      </w:r>
    </w:p>
    <w:p w14:paraId="5FDB80BF" w14:textId="38EB3648" w:rsidR="00E22190" w:rsidRDefault="00E22190" w:rsidP="00E22190">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Pr>
          <w:rFonts w:ascii="Simplified Arabic" w:eastAsia="Calibri" w:hAnsi="Simplified Arabic" w:cs="Simplified Arabic" w:hint="cs"/>
          <w:kern w:val="0"/>
          <w:sz w:val="26"/>
          <w:szCs w:val="26"/>
          <w:rtl/>
          <w14:ligatures w14:val="none"/>
        </w:rPr>
        <w:t>أن تشرح السبب الذي لأجله يوجِّه الله إبراهيم ليقدِّم ابنه الموعود، إسحاق، ذبيحة، وحقيقة أن</w:t>
      </w:r>
      <w:r w:rsidR="00B965B2">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الله كافَأ طاعة إبراهيم. </w:t>
      </w:r>
    </w:p>
    <w:p w14:paraId="71564410" w14:textId="7E24C7F2" w:rsidR="00E22190" w:rsidRDefault="00054B8E" w:rsidP="00E22190">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Pr>
          <w:rFonts w:ascii="Simplified Arabic" w:eastAsia="Calibri" w:hAnsi="Simplified Arabic" w:cs="Simplified Arabic" w:hint="cs"/>
          <w:kern w:val="0"/>
          <w:sz w:val="26"/>
          <w:szCs w:val="26"/>
          <w:rtl/>
          <w14:ligatures w14:val="none"/>
        </w:rPr>
        <w:t xml:space="preserve">أن تشرح حقيقة أن حياة يعقوب تعكس طبيعة الأمّة (وما ينبغي للأمّة أن تتعلَّمه في ضوء جهاد يعقوب مع الله). </w:t>
      </w:r>
    </w:p>
    <w:p w14:paraId="64179D80" w14:textId="672989C4" w:rsidR="00054B8E" w:rsidRPr="00E22190" w:rsidRDefault="00054B8E" w:rsidP="00054B8E">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Pr>
          <w:rFonts w:ascii="Simplified Arabic" w:eastAsia="Calibri" w:hAnsi="Simplified Arabic" w:cs="Simplified Arabic" w:hint="cs"/>
          <w:kern w:val="0"/>
          <w:sz w:val="26"/>
          <w:szCs w:val="26"/>
          <w:rtl/>
          <w14:ligatures w14:val="none"/>
        </w:rPr>
        <w:t xml:space="preserve">أن تبيّن مغزى حياة يعقوب وحقيقة أنّه كان ظلًّا يُشير إلى الرب يسوع المسيح. </w:t>
      </w:r>
    </w:p>
    <w:bookmarkEnd w:id="55"/>
    <w:p w14:paraId="10555DAE" w14:textId="77777777" w:rsidR="00E41548" w:rsidRDefault="00E41548"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ind w:left="720"/>
        <w:contextualSpacing/>
        <w:rPr>
          <w:rFonts w:eastAsia="Calibri" w:cs="Times New Roman"/>
          <w:kern w:val="0"/>
          <w:szCs w:val="24"/>
          <w14:ligatures w14:val="none"/>
        </w:rPr>
      </w:pPr>
      <w:r>
        <w:rPr>
          <w:rFonts w:eastAsia="Calibri" w:cs="Times New Roman"/>
          <w:kern w:val="0"/>
          <w:szCs w:val="24"/>
          <w14:ligatures w14:val="none"/>
        </w:rPr>
        <w:br w:type="page"/>
      </w:r>
    </w:p>
    <w:p w14:paraId="4BD2B374" w14:textId="77777777" w:rsidR="00054B8E" w:rsidRPr="00054B8E" w:rsidRDefault="00054B8E" w:rsidP="00054B8E">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b/>
          <w:bCs/>
          <w:kern w:val="0"/>
          <w:sz w:val="28"/>
          <w:szCs w:val="28"/>
          <w:rtl/>
          <w14:ligatures w14:val="none"/>
        </w:rPr>
      </w:pPr>
      <w:bookmarkStart w:id="57" w:name="_Hlk178778165"/>
      <w:r w:rsidRPr="00054B8E">
        <w:rPr>
          <w:rFonts w:ascii="Simplified Arabic" w:eastAsia="Calibri" w:hAnsi="Simplified Arabic" w:cs="Simplified Arabic"/>
          <w:b/>
          <w:bCs/>
          <w:kern w:val="0"/>
          <w:sz w:val="28"/>
          <w:szCs w:val="28"/>
          <w:rtl/>
          <w14:ligatures w14:val="none"/>
        </w:rPr>
        <w:lastRenderedPageBreak/>
        <w:t xml:space="preserve">الموضوع 1: </w:t>
      </w:r>
      <w:r w:rsidRPr="00054B8E">
        <w:rPr>
          <w:rFonts w:ascii="Simplified Arabic" w:eastAsia="Calibri" w:hAnsi="Simplified Arabic" w:cs="Simplified Arabic"/>
          <w:b/>
          <w:bCs/>
          <w:kern w:val="0"/>
          <w:sz w:val="28"/>
          <w:szCs w:val="28"/>
          <w:rtl/>
          <w14:ligatures w14:val="none"/>
        </w:rPr>
        <w:tab/>
        <w:t xml:space="preserve">إعطاء توجيهات للآباء </w:t>
      </w:r>
    </w:p>
    <w:p w14:paraId="069A87CB" w14:textId="077E45DA" w:rsidR="006311FA" w:rsidRPr="007A4B15" w:rsidRDefault="00054B8E" w:rsidP="00054B8E">
      <w:pPr>
        <w:pStyle w:val="Heading3"/>
        <w:bidi/>
        <w:spacing w:line="240" w:lineRule="auto"/>
      </w:pPr>
      <w:r w:rsidRPr="00054B8E">
        <w:rPr>
          <w:rFonts w:eastAsia="Calibri"/>
          <w:bCs w:val="0"/>
          <w:caps/>
          <w:noProof/>
          <w:color w:val="006699"/>
          <w:sz w:val="21"/>
          <w:szCs w:val="24"/>
          <w:u w:val="single"/>
          <w14:ligatures w14:val="none"/>
        </w:rPr>
        <w:drawing>
          <wp:anchor distT="0" distB="0" distL="114300" distR="114300" simplePos="0" relativeHeight="251652096" behindDoc="0" locked="0" layoutInCell="1" allowOverlap="1" wp14:anchorId="5A8647C8" wp14:editId="7D3DAC17">
            <wp:simplePos x="0" y="0"/>
            <wp:positionH relativeFrom="column">
              <wp:posOffset>5668645</wp:posOffset>
            </wp:positionH>
            <wp:positionV relativeFrom="paragraph">
              <wp:posOffset>394970</wp:posOffset>
            </wp:positionV>
            <wp:extent cx="612140" cy="539115"/>
            <wp:effectExtent l="0" t="0" r="0" b="0"/>
            <wp:wrapSquare wrapText="right"/>
            <wp:docPr id="2070071592" name="Picture 2070071592"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140" cy="539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AC96B0" w14:textId="248E707E" w:rsidR="006311FA" w:rsidRDefault="00054B8E" w:rsidP="00054B8E">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Cs/>
          <w:caps/>
          <w:noProof/>
          <w:color w:val="006699"/>
          <w:kern w:val="0"/>
          <w:sz w:val="21"/>
          <w:szCs w:val="24"/>
          <w:u w:val="single"/>
          <w:rtl/>
          <w14:ligatures w14:val="none"/>
        </w:rPr>
      </w:pPr>
      <w:bookmarkStart w:id="58" w:name="_Hlk157175414"/>
      <w:r w:rsidRPr="00054B8E">
        <w:rPr>
          <w:rFonts w:ascii="Verdana" w:eastAsia="Calibri" w:hAnsi="Verdana" w:cs="Times New Roman" w:hint="cs"/>
          <w:bCs/>
          <w:caps/>
          <w:noProof/>
          <w:color w:val="006699"/>
          <w:kern w:val="0"/>
          <w:sz w:val="21"/>
          <w:szCs w:val="24"/>
          <w:u w:val="single"/>
          <w:rtl/>
          <w14:ligatures w14:val="none"/>
        </w:rPr>
        <w:t>القراءة:</w:t>
      </w:r>
    </w:p>
    <w:p w14:paraId="761D97C7" w14:textId="56AB718F" w:rsidR="006311FA" w:rsidRPr="00054B8E" w:rsidRDefault="008B6A9F" w:rsidP="00B965B2">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14:ligatures w14:val="none"/>
        </w:rPr>
      </w:pPr>
      <w:r w:rsidRPr="00054B8E">
        <w:rPr>
          <w:rFonts w:ascii="Simplified Arabic" w:eastAsia="Calibri" w:hAnsi="Simplified Arabic" w:cs="Simplified Arabic"/>
          <w:kern w:val="0"/>
          <w:sz w:val="26"/>
          <w:szCs w:val="26"/>
          <w14:ligatures w14:val="none"/>
        </w:rPr>
        <w:t xml:space="preserve">      </w:t>
      </w:r>
      <w:bookmarkEnd w:id="58"/>
      <w:r w:rsidR="00054B8E" w:rsidRPr="00054B8E">
        <w:rPr>
          <w:rFonts w:ascii="Simplified Arabic" w:eastAsia="Calibri" w:hAnsi="Simplified Arabic" w:cs="Simplified Arabic"/>
          <w:kern w:val="0"/>
          <w:sz w:val="26"/>
          <w:szCs w:val="26"/>
          <w:rtl/>
          <w14:ligatures w14:val="none"/>
        </w:rPr>
        <w:t>اقرأ تكوين 11: 27 – 12: 9 في كتابك المُقدَّس (دعوة الله لإبراهيم بأن يغادر أور ويذهب إلى أرض كنعان).</w:t>
      </w:r>
    </w:p>
    <w:p w14:paraId="7BD84580" w14:textId="328E29B8" w:rsidR="00E872E2" w:rsidRPr="00B965B2" w:rsidRDefault="00054B8E" w:rsidP="00B965B2">
      <w:pPr>
        <w:pStyle w:val="Heading4RED"/>
        <w:bidi/>
        <w:rPr>
          <w:lang w:bidi="ar-JO"/>
        </w:rPr>
      </w:pPr>
      <w:r>
        <w:rPr>
          <w:rFonts w:hint="cs"/>
          <w:rtl/>
        </w:rPr>
        <w:lastRenderedPageBreak/>
        <w:t xml:space="preserve">أولًا: </w:t>
      </w:r>
      <w:r>
        <w:rPr>
          <w:rFonts w:hint="cs"/>
          <w:rtl/>
          <w:lang w:bidi="ar-JO"/>
        </w:rPr>
        <w:t>سلالة الآباء وارتباطها بأقارب إبراهيم</w:t>
      </w:r>
      <w:bookmarkEnd w:id="57"/>
      <w:r w:rsidR="002F290C" w:rsidRPr="002F290C">
        <w:rPr>
          <w:noProof/>
          <w:szCs w:val="24"/>
          <w14:ligatures w14:val="none"/>
        </w:rPr>
        <w:drawing>
          <wp:anchor distT="0" distB="0" distL="114300" distR="114300" simplePos="0" relativeHeight="251658240" behindDoc="0" locked="0" layoutInCell="1" allowOverlap="1" wp14:anchorId="0E0E6210" wp14:editId="3276E340">
            <wp:simplePos x="0" y="0"/>
            <wp:positionH relativeFrom="column">
              <wp:posOffset>-918845</wp:posOffset>
            </wp:positionH>
            <wp:positionV relativeFrom="paragraph">
              <wp:posOffset>1372640</wp:posOffset>
            </wp:positionV>
            <wp:extent cx="6492240" cy="4224528"/>
            <wp:effectExtent l="0" t="1143000" r="0" b="1109980"/>
            <wp:wrapSquare wrapText="bothSides"/>
            <wp:docPr id="837526049" name="Picture 1"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526049" name="Picture 1" descr="A diagram of a diagram&#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rot="16200000">
                      <a:off x="0" y="0"/>
                      <a:ext cx="6492240" cy="4224528"/>
                    </a:xfrm>
                    <a:prstGeom prst="rect">
                      <a:avLst/>
                    </a:prstGeom>
                  </pic:spPr>
                </pic:pic>
              </a:graphicData>
            </a:graphic>
            <wp14:sizeRelH relativeFrom="margin">
              <wp14:pctWidth>0</wp14:pctWidth>
            </wp14:sizeRelH>
            <wp14:sizeRelV relativeFrom="margin">
              <wp14:pctHeight>0</wp14:pctHeight>
            </wp14:sizeRelV>
          </wp:anchor>
        </w:drawing>
      </w:r>
    </w:p>
    <w:p w14:paraId="4101AACF" w14:textId="734E0A8C" w:rsidR="00B372E7" w:rsidRDefault="00054B8E" w:rsidP="00054B8E">
      <w:pPr>
        <w:pStyle w:val="Heading4RED"/>
        <w:bidi/>
      </w:pPr>
      <w:r>
        <w:rPr>
          <w:rFonts w:hint="cs"/>
          <w:rtl/>
        </w:rPr>
        <w:lastRenderedPageBreak/>
        <w:t>ثانيًا، هجرة عائلة إبراهيم إلى حاران</w:t>
      </w:r>
    </w:p>
    <w:p w14:paraId="1FAD0849" w14:textId="78E2ACDD" w:rsidR="00361C47" w:rsidRDefault="00754F86" w:rsidP="002D6C54">
      <w:pPr>
        <w:pStyle w:val="Heading4RED"/>
      </w:pPr>
      <w:r>
        <w:rPr>
          <w:noProof/>
        </w:rPr>
        <w:drawing>
          <wp:inline distT="0" distB="0" distL="0" distR="0" wp14:anchorId="41F50082" wp14:editId="3961D2D9">
            <wp:extent cx="5935980" cy="3337560"/>
            <wp:effectExtent l="0" t="0" r="0" b="0"/>
            <wp:docPr id="13128855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35980" cy="3337560"/>
                    </a:xfrm>
                    <a:prstGeom prst="rect">
                      <a:avLst/>
                    </a:prstGeom>
                    <a:noFill/>
                    <a:ln>
                      <a:noFill/>
                    </a:ln>
                  </pic:spPr>
                </pic:pic>
              </a:graphicData>
            </a:graphic>
          </wp:inline>
        </w:drawing>
      </w:r>
    </w:p>
    <w:p w14:paraId="403286EF" w14:textId="20D1E1CC" w:rsidR="00F571DA" w:rsidRDefault="00054B8E" w:rsidP="00054B8E">
      <w:pPr>
        <w:pStyle w:val="Heading4RED"/>
        <w:tabs>
          <w:tab w:val="clear" w:pos="540"/>
        </w:tabs>
        <w:bidi/>
        <w:ind w:left="0" w:firstLine="0"/>
        <w:rPr>
          <w:b w:val="0"/>
          <w:bCs w:val="0"/>
          <w:sz w:val="24"/>
          <w:szCs w:val="24"/>
        </w:rPr>
      </w:pPr>
      <w:bookmarkStart w:id="59" w:name="_Hlk178778210"/>
      <w:r>
        <w:rPr>
          <w:rFonts w:hint="cs"/>
          <w:rtl/>
        </w:rPr>
        <w:t xml:space="preserve">ثالثًا، الخط الزمني للآباء </w:t>
      </w:r>
      <w:r>
        <w:rPr>
          <w:rtl/>
        </w:rPr>
        <w:tab/>
      </w:r>
      <w:r w:rsidRPr="00054B8E">
        <w:rPr>
          <w:rFonts w:hint="cs"/>
          <w:b w:val="0"/>
          <w:bCs w:val="0"/>
          <w:rtl/>
        </w:rPr>
        <w:t>(وُلِد إبراهيم عام 2166 ق.م.)</w:t>
      </w:r>
    </w:p>
    <w:bookmarkEnd w:id="59"/>
    <w:p w14:paraId="7C576939" w14:textId="6B153FFD" w:rsidR="00E84DB1" w:rsidRPr="00F571DA" w:rsidRDefault="00E84DB1" w:rsidP="002D6C54">
      <w:pPr>
        <w:pStyle w:val="Heading4RED"/>
        <w:tabs>
          <w:tab w:val="clear" w:pos="540"/>
        </w:tabs>
        <w:ind w:left="0" w:firstLine="0"/>
      </w:pPr>
      <w:r>
        <w:rPr>
          <w:noProof/>
        </w:rPr>
        <w:drawing>
          <wp:inline distT="0" distB="0" distL="0" distR="0" wp14:anchorId="2944C193" wp14:editId="544F8B9C">
            <wp:extent cx="5444519" cy="3810000"/>
            <wp:effectExtent l="0" t="0" r="0" b="0"/>
            <wp:docPr id="2050" name="Picture 4" descr="Patri Chronology">
              <a:extLst xmlns:a="http://schemas.openxmlformats.org/drawingml/2006/main">
                <a:ext uri="{FF2B5EF4-FFF2-40B4-BE49-F238E27FC236}">
                  <a16:creationId xmlns:a16="http://schemas.microsoft.com/office/drawing/2014/main" id="{2944FB5A-9693-1093-3EC0-7473CD5D88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4" descr="Patri Chronology">
                      <a:extLst>
                        <a:ext uri="{FF2B5EF4-FFF2-40B4-BE49-F238E27FC236}">
                          <a16:creationId xmlns:a16="http://schemas.microsoft.com/office/drawing/2014/main" id="{2944FB5A-9693-1093-3EC0-7473CD5D88FF}"/>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45950" cy="3811001"/>
                    </a:xfrm>
                    <a:prstGeom prst="rect">
                      <a:avLst/>
                    </a:prstGeom>
                    <a:noFill/>
                    <a:ln>
                      <a:noFill/>
                    </a:ln>
                  </pic:spPr>
                </pic:pic>
              </a:graphicData>
            </a:graphic>
          </wp:inline>
        </w:drawing>
      </w:r>
    </w:p>
    <w:p w14:paraId="33EA781F" w14:textId="0525C21F" w:rsidR="00DC7FD4" w:rsidRDefault="00DC7FD4" w:rsidP="00054B8E">
      <w:pPr>
        <w:pStyle w:val="Heading4RED"/>
        <w:bidi/>
      </w:pPr>
      <w:r>
        <w:br w:type="page"/>
      </w:r>
      <w:r w:rsidR="00054B8E">
        <w:rPr>
          <w:rFonts w:hint="cs"/>
          <w:rtl/>
        </w:rPr>
        <w:lastRenderedPageBreak/>
        <w:t xml:space="preserve">رابعًا، لوحة النظرة العامّة إلى تكوين 11: 27 </w:t>
      </w:r>
      <w:r w:rsidR="00054B8E">
        <w:rPr>
          <w:rtl/>
        </w:rPr>
        <w:t>–</w:t>
      </w:r>
      <w:r w:rsidR="00054B8E">
        <w:rPr>
          <w:rFonts w:hint="cs"/>
          <w:rtl/>
        </w:rPr>
        <w:t xml:space="preserve"> 25: 11</w:t>
      </w:r>
    </w:p>
    <w:p w14:paraId="6AFE44F4" w14:textId="70B49311" w:rsidR="00DC7FD4" w:rsidRDefault="00DC7FD4" w:rsidP="002D6C54">
      <w:pPr>
        <w:spacing w:line="240" w:lineRule="auto"/>
      </w:pPr>
    </w:p>
    <w:p w14:paraId="3A253E92" w14:textId="7834F023" w:rsidR="0048608E" w:rsidRDefault="0048608E" w:rsidP="002D6C54">
      <w:pPr>
        <w:spacing w:line="240" w:lineRule="auto"/>
      </w:pPr>
      <w:r w:rsidRPr="0048608E">
        <w:rPr>
          <w:noProof/>
        </w:rPr>
        <w:drawing>
          <wp:inline distT="0" distB="0" distL="0" distR="0" wp14:anchorId="21ED6255" wp14:editId="5F6B63C3">
            <wp:extent cx="5943600" cy="3893820"/>
            <wp:effectExtent l="0" t="0" r="0" b="0"/>
            <wp:docPr id="71451402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514025" name="Picture 1" descr="A screenshot of a computer&#10;&#10;Description automatically generated"/>
                    <pic:cNvPicPr/>
                  </pic:nvPicPr>
                  <pic:blipFill>
                    <a:blip r:embed="rId31"/>
                    <a:stretch>
                      <a:fillRect/>
                    </a:stretch>
                  </pic:blipFill>
                  <pic:spPr>
                    <a:xfrm>
                      <a:off x="0" y="0"/>
                      <a:ext cx="5943600" cy="3893820"/>
                    </a:xfrm>
                    <a:prstGeom prst="rect">
                      <a:avLst/>
                    </a:prstGeom>
                  </pic:spPr>
                </pic:pic>
              </a:graphicData>
            </a:graphic>
          </wp:inline>
        </w:drawing>
      </w:r>
    </w:p>
    <w:p w14:paraId="14DE23E2" w14:textId="0895A5B5" w:rsidR="006311FA" w:rsidRPr="00054B8E" w:rsidRDefault="00054B8E" w:rsidP="00054B8E">
      <w:pPr>
        <w:pStyle w:val="Heading3"/>
        <w:bidi/>
        <w:spacing w:line="240" w:lineRule="auto"/>
        <w:rPr>
          <w:rFonts w:ascii="Simplified Arabic" w:hAnsi="Simplified Arabic" w:cs="Simplified Arabic"/>
        </w:rPr>
      </w:pPr>
      <w:bookmarkStart w:id="60" w:name="_Hlk178778276"/>
      <w:r w:rsidRPr="00054B8E">
        <w:rPr>
          <w:rFonts w:ascii="Simplified Arabic" w:hAnsi="Simplified Arabic" w:cs="Simplified Arabic"/>
          <w:rtl/>
        </w:rPr>
        <w:t xml:space="preserve">الموضوع 2: </w:t>
      </w:r>
      <w:r w:rsidRPr="00054B8E">
        <w:rPr>
          <w:rFonts w:ascii="Simplified Arabic" w:eastAsia="Calibri" w:hAnsi="Simplified Arabic" w:cs="Simplified Arabic"/>
          <w:rtl/>
          <w14:ligatures w14:val="none"/>
        </w:rPr>
        <w:t>العهد مع إبراهيم (تكوين 11: 27 – 25: 11)</w:t>
      </w:r>
    </w:p>
    <w:bookmarkEnd w:id="60"/>
    <w:p w14:paraId="6DCEDA14" w14:textId="77777777" w:rsidR="0048608E" w:rsidRPr="0048608E" w:rsidRDefault="0048608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48608E">
        <w:rPr>
          <w:rFonts w:eastAsia="Times New Roman" w:cs="DecoType Naskh" w:hint="cs"/>
          <w:bCs/>
          <w:color w:val="auto"/>
          <w:kern w:val="0"/>
          <w:szCs w:val="28"/>
          <w:rtl/>
          <w:lang w:bidi="ar-JO"/>
          <w14:ligatures w14:val="none"/>
        </w:rPr>
        <w:t>1.</w:t>
      </w:r>
      <w:r w:rsidRPr="0048608E">
        <w:rPr>
          <w:rFonts w:eastAsia="Times New Roman" w:cs="DecoType Naskh" w:hint="cs"/>
          <w:bCs/>
          <w:color w:val="auto"/>
          <w:kern w:val="0"/>
          <w:szCs w:val="28"/>
          <w:rtl/>
          <w:lang w:bidi="ar-JO"/>
          <w14:ligatures w14:val="none"/>
        </w:rPr>
        <w:tab/>
        <w:t xml:space="preserve">مقدمة </w:t>
      </w:r>
    </w:p>
    <w:p w14:paraId="33912D6C"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 xml:space="preserve">قسم </w:t>
      </w:r>
      <w:r w:rsidRPr="0048608E">
        <w:rPr>
          <w:rFonts w:eastAsia="Times New Roman" w:cs="DecoType Naskh" w:hint="cs"/>
          <w:i/>
          <w:iCs/>
          <w:color w:val="auto"/>
          <w:kern w:val="0"/>
          <w:szCs w:val="26"/>
          <w:rtl/>
          <w:lang w:bidi="ar-JO"/>
          <w14:ligatures w14:val="none"/>
        </w:rPr>
        <w:t>التوليدوت</w:t>
      </w:r>
      <w:r w:rsidRPr="0048608E">
        <w:rPr>
          <w:rFonts w:eastAsia="Times New Roman" w:cs="DecoType Naskh" w:hint="cs"/>
          <w:color w:val="auto"/>
          <w:kern w:val="0"/>
          <w:szCs w:val="26"/>
          <w:rtl/>
          <w:lang w:bidi="ar-JO"/>
          <w14:ligatures w14:val="none"/>
        </w:rPr>
        <w:t xml:space="preserve"> (</w:t>
      </w:r>
      <w:r w:rsidRPr="0048608E">
        <w:rPr>
          <w:rFonts w:ascii="Charis SIL" w:eastAsia="Times New Roman" w:hAnsi="Charis SIL" w:cs="Charis SIL"/>
          <w:bCs/>
          <w:i/>
          <w:iCs/>
          <w:color w:val="auto"/>
          <w:kern w:val="0"/>
          <w:szCs w:val="26"/>
          <w:lang w:bidi="ar-JO"/>
          <w14:ligatures w14:val="none"/>
        </w:rPr>
        <w:t>tôlᵊḏôṯ</w:t>
      </w:r>
      <w:r w:rsidRPr="0048608E">
        <w:rPr>
          <w:rFonts w:ascii="Hebrewtl" w:eastAsia="Times New Roman" w:hAnsi="Hebrewtl" w:cs="DecoType Naskh" w:hint="cs"/>
          <w:color w:val="auto"/>
          <w:kern w:val="0"/>
          <w:szCs w:val="26"/>
          <w:rtl/>
          <w14:ligatures w14:val="none"/>
        </w:rPr>
        <w:t>)</w:t>
      </w:r>
      <w:r w:rsidRPr="0048608E">
        <w:rPr>
          <w:rFonts w:eastAsia="Times New Roman" w:cs="DecoType Naskh" w:hint="cs"/>
          <w:color w:val="auto"/>
          <w:kern w:val="0"/>
          <w:szCs w:val="26"/>
          <w:rtl/>
          <w:lang w:bidi="ar-JO"/>
          <w14:ligatures w14:val="none"/>
        </w:rPr>
        <w:t xml:space="preserve"> هذا هو قلب سفر التكوين.  وسفر التكوين في واقع الأمر أساس أمة إسرائيل الثيوقراطية، ويتركز هذا الأساس على العهد والوعود التي قطعها الله لإبراهيم.  لقد كان كل شيء حتى هذه النقطة إعداداً لإعلان البرنامج الإلهي في تكوين 12.  فأي أمل هناك للأمم المتفرقة بلا رجاء والتي فاتتها بركات الله؟ من هذه الخلفية الكئيبة يبدأ الله برنامجاً جديداً مع رجل سينشئ من خلاله أمّة خاصة.  وسيؤدي هذا في نهاية الأمر إلى مجيء المسيح (الذي هو من نسل إبراهيم) الذي سيتحقق من خلاله ملء بركة الله لكل الشعوب.  وستتضمن خطة الله الفداء كوسيلة للوصول إلى هذه الغاية.  سنجري مسحاً مختصراً لأهم النقاط في كل وحدة من هذا القسم، وبعد ذلك سنناقش البندين الرئيسيين من </w:t>
      </w:r>
      <w:r w:rsidRPr="0048608E">
        <w:rPr>
          <w:rFonts w:eastAsia="Times New Roman" w:cs="DecoType Naskh" w:hint="cs"/>
          <w:i/>
          <w:iCs/>
          <w:color w:val="auto"/>
          <w:kern w:val="0"/>
          <w:szCs w:val="26"/>
          <w:rtl/>
          <w:lang w:bidi="ar-JO"/>
          <w14:ligatures w14:val="none"/>
        </w:rPr>
        <w:t>التوليدوت (</w:t>
      </w:r>
      <w:r w:rsidRPr="0048608E">
        <w:rPr>
          <w:rFonts w:ascii="Charis SIL" w:eastAsia="Times New Roman" w:hAnsi="Charis SIL" w:cs="Charis SIL"/>
          <w:bCs/>
          <w:i/>
          <w:iCs/>
          <w:color w:val="auto"/>
          <w:kern w:val="0"/>
          <w:szCs w:val="26"/>
          <w:lang w:bidi="ar-JO"/>
          <w14:ligatures w14:val="none"/>
        </w:rPr>
        <w:t>tôlᵊḏôṯ</w:t>
      </w:r>
      <w:r w:rsidRPr="0048608E">
        <w:rPr>
          <w:rFonts w:ascii="Hebrewtl" w:eastAsia="Times New Roman" w:hAnsi="Hebrewtl" w:cs="DecoType Naskh" w:hint="cs"/>
          <w:color w:val="auto"/>
          <w:kern w:val="0"/>
          <w:szCs w:val="26"/>
          <w:rtl/>
          <w14:ligatures w14:val="none"/>
        </w:rPr>
        <w:t>)</w:t>
      </w:r>
      <w:r w:rsidRPr="0048608E">
        <w:rPr>
          <w:rFonts w:eastAsia="Times New Roman" w:cs="DecoType Naskh" w:hint="cs"/>
          <w:color w:val="auto"/>
          <w:kern w:val="0"/>
          <w:szCs w:val="26"/>
          <w:rtl/>
          <w:lang w:bidi="ar-JO"/>
          <w14:ligatures w14:val="none"/>
        </w:rPr>
        <w:t>: (1) العهد مع إبراهيم و (2) تطوّر إيمان إبراهيم.</w:t>
      </w:r>
    </w:p>
    <w:p w14:paraId="63886153"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020A85DF" w14:textId="77777777" w:rsidR="0048608E" w:rsidRPr="0048608E" w:rsidRDefault="0048608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48608E">
        <w:rPr>
          <w:rFonts w:eastAsia="Times New Roman" w:cs="DecoType Naskh" w:hint="cs"/>
          <w:bCs/>
          <w:color w:val="auto"/>
          <w:kern w:val="0"/>
          <w:szCs w:val="28"/>
          <w:rtl/>
          <w:lang w:bidi="ar-JO"/>
          <w14:ligatures w14:val="none"/>
        </w:rPr>
        <w:t>2.</w:t>
      </w:r>
      <w:r w:rsidRPr="0048608E">
        <w:rPr>
          <w:rFonts w:eastAsia="Times New Roman" w:cs="DecoType Naskh" w:hint="cs"/>
          <w:bCs/>
          <w:color w:val="auto"/>
          <w:kern w:val="0"/>
          <w:szCs w:val="28"/>
          <w:rtl/>
          <w:lang w:bidi="ar-JO"/>
          <w14:ligatures w14:val="none"/>
        </w:rPr>
        <w:tab/>
        <w:t>أهم الأحداث في تكوين 11: 27-25: 11</w:t>
      </w:r>
    </w:p>
    <w:p w14:paraId="68BE71E2" w14:textId="77777777" w:rsidR="0048608E" w:rsidRPr="0048608E" w:rsidRDefault="0048608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48608E">
        <w:rPr>
          <w:rFonts w:eastAsia="Times New Roman" w:cs="DecoType Naskh" w:hint="cs"/>
          <w:bCs/>
          <w:color w:val="auto"/>
          <w:kern w:val="0"/>
          <w:szCs w:val="26"/>
          <w:rtl/>
          <w14:ligatures w14:val="none"/>
        </w:rPr>
        <w:t>أ.</w:t>
      </w:r>
      <w:r w:rsidRPr="0048608E">
        <w:rPr>
          <w:rFonts w:eastAsia="Times New Roman" w:cs="DecoType Naskh" w:hint="cs"/>
          <w:bCs/>
          <w:color w:val="auto"/>
          <w:kern w:val="0"/>
          <w:szCs w:val="26"/>
          <w:rtl/>
          <w14:ligatures w14:val="none"/>
        </w:rPr>
        <w:tab/>
        <w:t>اختيار أبرام للبرنامج الإلهي (11: 27-12: 9)</w:t>
      </w:r>
    </w:p>
    <w:p w14:paraId="6D23DBF2" w14:textId="77777777" w:rsidR="0048608E" w:rsidRPr="0048608E" w:rsidRDefault="0048608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1.</w:t>
      </w:r>
      <w:r w:rsidRPr="0048608E">
        <w:rPr>
          <w:rFonts w:eastAsia="Times New Roman" w:cs="DecoType Naskh" w:hint="cs"/>
          <w:color w:val="auto"/>
          <w:kern w:val="0"/>
          <w:szCs w:val="26"/>
          <w:rtl/>
          <w:lang w:bidi="ar-JO"/>
          <w14:ligatures w14:val="none"/>
        </w:rPr>
        <w:tab/>
        <w:t>سجل مواليد تارح (11: 27-32)</w:t>
      </w:r>
    </w:p>
    <w:p w14:paraId="13B9B287"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lastRenderedPageBreak/>
        <w:t xml:space="preserve">يبدأ </w:t>
      </w:r>
      <w:r w:rsidRPr="0048608E">
        <w:rPr>
          <w:rFonts w:eastAsia="Times New Roman" w:cs="DecoType Naskh" w:hint="cs"/>
          <w:i/>
          <w:iCs/>
          <w:color w:val="auto"/>
          <w:kern w:val="0"/>
          <w:szCs w:val="26"/>
          <w:rtl/>
          <w:lang w:bidi="ar-JO"/>
          <w14:ligatures w14:val="none"/>
        </w:rPr>
        <w:t>التوليدوت (</w:t>
      </w:r>
      <w:r w:rsidRPr="0048608E">
        <w:rPr>
          <w:rFonts w:ascii="Charis SIL" w:eastAsia="Times New Roman" w:hAnsi="Charis SIL" w:cs="Charis SIL"/>
          <w:bCs/>
          <w:i/>
          <w:iCs/>
          <w:color w:val="auto"/>
          <w:kern w:val="0"/>
          <w:szCs w:val="26"/>
          <w:lang w:bidi="ar-JO"/>
          <w14:ligatures w14:val="none"/>
        </w:rPr>
        <w:t>tôlᵊḏôṯ</w:t>
      </w:r>
      <w:r w:rsidRPr="0048608E">
        <w:rPr>
          <w:rFonts w:ascii="Hebrewtl" w:eastAsia="Times New Roman" w:hAnsi="Hebrewtl" w:cs="DecoType Naskh" w:hint="cs"/>
          <w:color w:val="auto"/>
          <w:kern w:val="0"/>
          <w:szCs w:val="26"/>
          <w:rtl/>
          <w14:ligatures w14:val="none"/>
        </w:rPr>
        <w:t>)</w:t>
      </w:r>
      <w:r w:rsidRPr="0048608E">
        <w:rPr>
          <w:rFonts w:eastAsia="Times New Roman" w:cs="DecoType Naskh" w:hint="cs"/>
          <w:color w:val="auto"/>
          <w:kern w:val="0"/>
          <w:szCs w:val="26"/>
          <w:rtl/>
          <w:lang w:bidi="ar-JO"/>
          <w14:ligatures w14:val="none"/>
        </w:rPr>
        <w:t xml:space="preserve"> الجديد بالآية 11: 27 واسم تارح.  والسؤال هو: ما الذي حدث لتارح، أو ما الذي آل إليه أمره؟ لقد جاء نسل إبراهيم من تارح ونتج أيضاً برنامج إلهي من خلال العهد.  وهذا القسم مقدمة تعطينا خلفية العائلة وأصلها (انظر يشوع 24: 2، 3؛ أعمال 7: 2-8).</w:t>
      </w:r>
    </w:p>
    <w:p w14:paraId="56028FD3"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3B5486FE" w14:textId="77777777" w:rsidR="0048608E" w:rsidRPr="0048608E" w:rsidRDefault="0048608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2.</w:t>
      </w:r>
      <w:r w:rsidRPr="0048608E">
        <w:rPr>
          <w:rFonts w:eastAsia="Times New Roman" w:cs="DecoType Naskh" w:hint="cs"/>
          <w:color w:val="auto"/>
          <w:kern w:val="0"/>
          <w:szCs w:val="26"/>
          <w:rtl/>
          <w:lang w:bidi="ar-JO"/>
          <w14:ligatures w14:val="none"/>
        </w:rPr>
        <w:tab/>
        <w:t>دعوة أبرام (12: 1-9)</w:t>
      </w:r>
    </w:p>
    <w:p w14:paraId="34CB82FC"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يشكل هذا القسم بالإضافة إلى الأصحاح 15 مفتاحاً لفهم السفر كله (والعهد القديم كلّه أيضاً!).  كان أبرام وثنياً في أور الكلدانيين، فواجه فجأة مجد الله بخطة إلهية لجلب البركة إلى العالم.  ولا تخبرنا هذه الفقرة عن البرنامج الإلهي فحسب، لكنها تعلّمنا أيضاً أن الإيمان يطيع كلمة الرب!</w:t>
      </w:r>
    </w:p>
    <w:p w14:paraId="7E6CC6AC"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06D48311"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21B4CB31" w14:textId="77777777" w:rsidR="0048608E" w:rsidRPr="0048608E" w:rsidRDefault="0048608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48608E">
        <w:rPr>
          <w:rFonts w:eastAsia="Times New Roman" w:cs="DecoType Naskh" w:hint="cs"/>
          <w:bCs/>
          <w:color w:val="auto"/>
          <w:kern w:val="0"/>
          <w:szCs w:val="26"/>
          <w:rtl/>
          <w14:ligatures w14:val="none"/>
        </w:rPr>
        <w:t>ب.</w:t>
      </w:r>
      <w:r w:rsidRPr="0048608E">
        <w:rPr>
          <w:rFonts w:eastAsia="Times New Roman" w:cs="DecoType Naskh" w:hint="cs"/>
          <w:bCs/>
          <w:color w:val="auto"/>
          <w:kern w:val="0"/>
          <w:szCs w:val="26"/>
          <w:rtl/>
          <w14:ligatures w14:val="none"/>
        </w:rPr>
        <w:tab/>
        <w:t>الجهاد للإيمان بالله في ما يتعلق بالأرض (12: 10-15: 21)</w:t>
      </w:r>
    </w:p>
    <w:p w14:paraId="002B02DF" w14:textId="7ACB8C35" w:rsidR="00DC7FD4" w:rsidRDefault="00DC7FD4" w:rsidP="002D6C54">
      <w:pPr>
        <w:tabs>
          <w:tab w:val="left" w:pos="547"/>
          <w:tab w:val="left" w:pos="1094"/>
          <w:tab w:val="left" w:pos="1642"/>
          <w:tab w:val="left" w:pos="2189"/>
          <w:tab w:val="left" w:pos="2736"/>
          <w:tab w:val="left" w:pos="3283"/>
          <w:tab w:val="left" w:pos="3830"/>
          <w:tab w:val="left" w:pos="4378"/>
        </w:tabs>
        <w:spacing w:before="120" w:after="120" w:line="240" w:lineRule="auto"/>
        <w:jc w:val="both"/>
        <w:outlineLvl w:val="4"/>
        <w:rPr>
          <w:rFonts w:eastAsia="Times New Roman" w:cs="Times New Roman"/>
          <w:b/>
          <w:bCs/>
          <w:iCs/>
          <w:color w:val="auto"/>
          <w:kern w:val="0"/>
          <w:sz w:val="22"/>
          <w:szCs w:val="26"/>
          <w14:ligatures w14:val="none"/>
        </w:rPr>
      </w:pPr>
    </w:p>
    <w:p w14:paraId="54828648" w14:textId="3787869F" w:rsidR="001C7F8D" w:rsidRPr="007A4B15" w:rsidRDefault="001C7F8D" w:rsidP="00054B8E">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bookmarkStart w:id="61" w:name="_Hlk157175543"/>
      <w:r w:rsidRPr="007A4B15">
        <w:rPr>
          <w:rFonts w:ascii="Verdana" w:eastAsia="Calibri" w:hAnsi="Verdana" w:cs="Times New Roman"/>
          <w:b/>
          <w:caps/>
          <w:noProof/>
          <w:color w:val="006699"/>
          <w:kern w:val="0"/>
          <w:sz w:val="21"/>
          <w:szCs w:val="24"/>
          <w14:ligatures w14:val="none"/>
        </w:rPr>
        <w:drawing>
          <wp:inline distT="0" distB="0" distL="0" distR="0" wp14:anchorId="25284389" wp14:editId="14B3B11E">
            <wp:extent cx="613692" cy="541464"/>
            <wp:effectExtent l="0" t="0" r="0" b="0"/>
            <wp:docPr id="563020072" name="Picture 563020072"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054B8E" w:rsidRPr="00054B8E">
        <w:rPr>
          <w:rFonts w:ascii="Verdana" w:eastAsia="Calibri" w:hAnsi="Verdana" w:cs="Times New Roman" w:hint="cs"/>
          <w:bCs/>
          <w:caps/>
          <w:color w:val="006699"/>
          <w:kern w:val="0"/>
          <w:sz w:val="21"/>
          <w:szCs w:val="24"/>
          <w:u w:val="single"/>
          <w:rtl/>
          <w14:ligatures w14:val="none"/>
        </w:rPr>
        <w:t>القراءة:</w:t>
      </w:r>
      <w:r w:rsidR="00054B8E">
        <w:rPr>
          <w:rFonts w:ascii="Verdana" w:eastAsia="Calibri" w:hAnsi="Verdana" w:cs="Times New Roman" w:hint="cs"/>
          <w:b/>
          <w:caps/>
          <w:color w:val="006699"/>
          <w:kern w:val="0"/>
          <w:sz w:val="21"/>
          <w:szCs w:val="24"/>
          <w:u w:val="single"/>
          <w:rtl/>
          <w14:ligatures w14:val="none"/>
        </w:rPr>
        <w:t xml:space="preserve"> </w:t>
      </w:r>
    </w:p>
    <w:p w14:paraId="095EAD38" w14:textId="25E08E31" w:rsidR="001C7F8D" w:rsidRPr="00DC7FD4" w:rsidRDefault="001C7F8D" w:rsidP="00054B8E">
      <w:pPr>
        <w:tabs>
          <w:tab w:val="left" w:pos="547"/>
          <w:tab w:val="left" w:pos="1094"/>
          <w:tab w:val="left" w:pos="1642"/>
          <w:tab w:val="left" w:pos="2189"/>
          <w:tab w:val="left" w:pos="2736"/>
          <w:tab w:val="left" w:pos="3283"/>
          <w:tab w:val="left" w:pos="3830"/>
          <w:tab w:val="left" w:pos="4378"/>
        </w:tabs>
        <w:bidi/>
        <w:spacing w:before="120" w:after="120" w:line="240" w:lineRule="auto"/>
        <w:jc w:val="both"/>
        <w:outlineLvl w:val="4"/>
        <w:rPr>
          <w:rFonts w:eastAsia="Times New Roman" w:cs="Times New Roman"/>
          <w:b/>
          <w:bCs/>
          <w:iCs/>
          <w:color w:val="auto"/>
          <w:kern w:val="0"/>
          <w:sz w:val="22"/>
          <w:szCs w:val="26"/>
          <w14:ligatures w14:val="none"/>
        </w:rPr>
      </w:pPr>
      <w:r>
        <w:rPr>
          <w:rFonts w:eastAsia="Calibri" w:cs="Times New Roman"/>
          <w:kern w:val="0"/>
          <w:szCs w:val="24"/>
          <w14:ligatures w14:val="none"/>
        </w:rPr>
        <w:tab/>
      </w:r>
      <w:r>
        <w:rPr>
          <w:rFonts w:eastAsia="Calibri" w:cs="Times New Roman"/>
          <w:kern w:val="0"/>
          <w:szCs w:val="24"/>
          <w14:ligatures w14:val="none"/>
        </w:rPr>
        <w:tab/>
      </w:r>
      <w:r w:rsidR="00054B8E">
        <w:rPr>
          <w:rFonts w:eastAsia="Calibri" w:cs="Times New Roman" w:hint="cs"/>
          <w:kern w:val="0"/>
          <w:szCs w:val="24"/>
          <w:rtl/>
          <w14:ligatures w14:val="none"/>
        </w:rPr>
        <w:t xml:space="preserve">اقرأ تكوين 12: 10 </w:t>
      </w:r>
      <w:r w:rsidR="00054B8E">
        <w:rPr>
          <w:rFonts w:eastAsia="Calibri" w:cs="Times New Roman"/>
          <w:kern w:val="0"/>
          <w:szCs w:val="24"/>
          <w:rtl/>
          <w14:ligatures w14:val="none"/>
        </w:rPr>
        <w:t>–</w:t>
      </w:r>
      <w:r w:rsidR="00054B8E">
        <w:rPr>
          <w:rFonts w:eastAsia="Calibri" w:cs="Times New Roman" w:hint="cs"/>
          <w:kern w:val="0"/>
          <w:szCs w:val="24"/>
          <w:rtl/>
          <w14:ligatures w14:val="none"/>
        </w:rPr>
        <w:t xml:space="preserve"> 15: 21 في كتابك المُقدَّس. </w:t>
      </w:r>
    </w:p>
    <w:bookmarkEnd w:id="61"/>
    <w:p w14:paraId="3BD8F27C" w14:textId="77777777" w:rsidR="0048608E" w:rsidRPr="0048608E" w:rsidRDefault="0048608E" w:rsidP="002D6C54">
      <w:pPr>
        <w:bidi/>
        <w:spacing w:after="0" w:line="240" w:lineRule="auto"/>
        <w:jc w:val="center"/>
        <w:rPr>
          <w:rFonts w:eastAsia="Times New Roman" w:cs="Traditional Arabic Backslanted"/>
          <w:bCs/>
          <w:color w:val="auto"/>
          <w:kern w:val="0"/>
          <w:szCs w:val="28"/>
          <w:rtl/>
          <w:lang w:bidi="ar-JO"/>
          <w14:ligatures w14:val="none"/>
        </w:rPr>
      </w:pPr>
    </w:p>
    <w:p w14:paraId="0CDB5C7C" w14:textId="77777777" w:rsidR="0048608E" w:rsidRPr="0048608E" w:rsidRDefault="0048608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1.</w:t>
      </w:r>
      <w:r w:rsidRPr="0048608E">
        <w:rPr>
          <w:rFonts w:eastAsia="Times New Roman" w:cs="DecoType Naskh" w:hint="cs"/>
          <w:color w:val="auto"/>
          <w:kern w:val="0"/>
          <w:szCs w:val="26"/>
          <w:rtl/>
          <w:lang w:bidi="ar-JO"/>
          <w14:ligatures w14:val="none"/>
        </w:rPr>
        <w:tab/>
        <w:t>التغرّب في مصر (12: 10-20)</w:t>
      </w:r>
    </w:p>
    <w:p w14:paraId="5677C7EE"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ليس إبراهيم عند هذه النقطة الرجل الناضج الذي يسلك بالإيمان، فهو يغادر أرض الموعد ليتغرّب في مصر بسبب مجاعة.  وفضلاً عن ذلك، فإنه يلجأ إلى خطط تتسم بالخداع.  فنحن نراه يتعثر مستخدماً الأساليب البشرية معرضاً الوعود للخطر.  غير أن الله في نعمته يحمي خطته الإلهية فيتدخل وينقذ.  لنلاحظ أيضاً التوازي المتعمّد بين هذا الحدث وبين عبودية الأمّة في مصر، كما لو أن الأحداث في حياة إبراهيم تتوقع ما سيحدث لإسرائيل في مصر.</w:t>
      </w:r>
    </w:p>
    <w:p w14:paraId="4C3DC8DB" w14:textId="77777777" w:rsidR="0048608E" w:rsidRPr="0048608E" w:rsidRDefault="0048608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2.</w:t>
      </w:r>
      <w:r w:rsidRPr="0048608E">
        <w:rPr>
          <w:rFonts w:eastAsia="Times New Roman" w:cs="DecoType Naskh" w:hint="cs"/>
          <w:color w:val="auto"/>
          <w:kern w:val="0"/>
          <w:szCs w:val="26"/>
          <w:rtl/>
          <w:lang w:bidi="ar-JO"/>
          <w14:ligatures w14:val="none"/>
        </w:rPr>
        <w:tab/>
        <w:t>الخصام مع لوط (13: 11-18)</w:t>
      </w:r>
    </w:p>
    <w:p w14:paraId="794F59C3"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ترك أبرام لوطاً، بعد الخصام بينهما، يختار أولاً الأرض التي يريدها.  والفكرة هنا هي توضيح كيف أن الإيمان يحل الخصام: بالكرم.  فليست هنالك حاجة إلى أن يتصرّف بأنانية، بل يمكنه أن يكون كريماً، لأن لديه الوعد الأكيد بالأرض من يهوه.</w:t>
      </w:r>
    </w:p>
    <w:p w14:paraId="743396BB" w14:textId="77777777" w:rsidR="0048608E" w:rsidRPr="0048608E" w:rsidRDefault="0048608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3.</w:t>
      </w:r>
      <w:r w:rsidRPr="0048608E">
        <w:rPr>
          <w:rFonts w:eastAsia="Times New Roman" w:cs="DecoType Naskh" w:hint="cs"/>
          <w:color w:val="auto"/>
          <w:kern w:val="0"/>
          <w:szCs w:val="26"/>
          <w:rtl/>
          <w:lang w:bidi="ar-JO"/>
          <w14:ligatures w14:val="none"/>
        </w:rPr>
        <w:tab/>
        <w:t>إنقاذ لوط من الغزاة (14: 1-16)</w:t>
      </w:r>
    </w:p>
    <w:p w14:paraId="7A2A7EBD"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في منازعات دولية، ينصر الله أبرام على جيوش الأعداء الذين ينهبون أرض الموعد.  وليس التركيز هنا على الإيمان بقدر ما هو على تطوّر الوعد لكي يجعل الله أبرام عظيماً ويبارك من يباركونه ويلعن من يلعنونه.</w:t>
      </w:r>
    </w:p>
    <w:p w14:paraId="4B4D0DC6" w14:textId="77777777" w:rsidR="0048608E" w:rsidRPr="0048608E" w:rsidRDefault="0048608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4.</w:t>
      </w:r>
      <w:r w:rsidRPr="0048608E">
        <w:rPr>
          <w:rFonts w:eastAsia="Times New Roman" w:cs="DecoType Naskh" w:hint="cs"/>
          <w:color w:val="auto"/>
          <w:kern w:val="0"/>
          <w:szCs w:val="26"/>
          <w:rtl/>
          <w:lang w:bidi="ar-JO"/>
          <w14:ligatures w14:val="none"/>
        </w:rPr>
        <w:tab/>
        <w:t>ملكي صادق وملك سدوم يقابلان أبرام (14: 17-15: 6)</w:t>
      </w:r>
    </w:p>
    <w:p w14:paraId="66163B2C"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 xml:space="preserve">بعد انتصارٍ عظيم يُمتحن إيمان إبراهيم.  فهل يثمّن صفقة دنيوية يعرضها ملك سدوم، أم أنه سيثمن بركة الله العلي من خلال ملكي صادق (الذي يوحي اسمه بحُكم بارٍّ كممثل لله)؟  من الواضح أن أبرام يرغب في شيء أكثر ديمومة من الكنوز الدنيوية؛ ولن يقنع إلاّ بتحقيق وعد الله... الوعد الإعجازي والدائم.  ويُثني الله في (15: 1-6) على قراره الحكيم، ويؤكد له أن واحداً من صلبه سيرثه ويبدأ النسل الذي لا يُحصى. </w:t>
      </w:r>
    </w:p>
    <w:p w14:paraId="7DE8E371"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 xml:space="preserve"> </w:t>
      </w:r>
    </w:p>
    <w:p w14:paraId="6A6A6BCC"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KW"/>
          <w14:ligatures w14:val="none"/>
        </w:rPr>
      </w:pPr>
      <w:r w:rsidRPr="0048608E">
        <w:rPr>
          <w:rFonts w:eastAsia="Times New Roman" w:cs="DecoType Naskh" w:hint="cs"/>
          <w:color w:val="auto"/>
          <w:kern w:val="0"/>
          <w:szCs w:val="26"/>
          <w:rtl/>
          <w:lang w:bidi="ar-JO"/>
          <w14:ligatures w14:val="none"/>
        </w:rPr>
        <w:t xml:space="preserve">الآية 15: 6 أساسية جداً لأنها تبين منذ بداية برنامج عهد الله أن البِر يُحسب على أساس الإيمان (انظر رومية 4).  غير أن هذه الآية لا تهدف إلى أن "اهتداء" (تجديد) أبرام جاء نتيجة للدرس الذي أُعطي </w:t>
      </w:r>
      <w:r w:rsidRPr="0048608E">
        <w:rPr>
          <w:rFonts w:eastAsia="Times New Roman" w:cs="DecoType Naskh" w:hint="cs"/>
          <w:color w:val="auto"/>
          <w:kern w:val="0"/>
          <w:szCs w:val="26"/>
          <w:rtl/>
          <w:lang w:bidi="ar-JO"/>
          <w14:ligatures w14:val="none"/>
        </w:rPr>
        <w:lastRenderedPageBreak/>
        <w:t>للتو.</w:t>
      </w:r>
      <w:r w:rsidRPr="0048608E">
        <w:rPr>
          <w:rFonts w:eastAsia="Times New Roman" w:cs="DecoType Naskh"/>
          <w:color w:val="auto"/>
          <w:kern w:val="0"/>
          <w:sz w:val="30"/>
          <w:szCs w:val="28"/>
          <w:vertAlign w:val="superscript"/>
          <w:rtl/>
          <w:lang w:bidi="ar-JO"/>
          <w14:ligatures w14:val="none"/>
        </w:rPr>
        <w:footnoteReference w:customMarkFollows="1" w:id="38"/>
        <w:t>1</w:t>
      </w:r>
      <w:r w:rsidRPr="0048608E">
        <w:rPr>
          <w:rFonts w:eastAsia="Times New Roman" w:cs="DecoType Naskh" w:hint="cs"/>
          <w:color w:val="auto"/>
          <w:kern w:val="0"/>
          <w:sz w:val="30"/>
          <w:szCs w:val="28"/>
          <w:rtl/>
          <w:lang w:bidi="ar-JO"/>
          <w14:ligatures w14:val="none"/>
        </w:rPr>
        <w:t xml:space="preserve"> </w:t>
      </w:r>
      <w:r w:rsidRPr="0048608E">
        <w:rPr>
          <w:rFonts w:eastAsia="Times New Roman" w:cs="DecoType Naskh" w:hint="cs"/>
          <w:color w:val="auto"/>
          <w:kern w:val="0"/>
          <w:szCs w:val="26"/>
          <w:rtl/>
          <w:lang w:bidi="ar-JO"/>
          <w14:ligatures w14:val="none"/>
        </w:rPr>
        <w:t xml:space="preserve"> لكنها موضوعة هنا كتلخيص لما سبق أن حدث، مهيئاً إيانا لقطع العهد الذي سيلي ذلك.  ويقترح روس هذه الترجمة: "وكان أبرام قد آمن بالرب، فحُسب له براً."</w:t>
      </w:r>
      <w:r w:rsidRPr="0048608E">
        <w:rPr>
          <w:rFonts w:eastAsia="Times New Roman" w:cs="DecoType Naskh"/>
          <w:color w:val="auto"/>
          <w:kern w:val="0"/>
          <w:sz w:val="30"/>
          <w:szCs w:val="28"/>
          <w:vertAlign w:val="superscript"/>
          <w:rtl/>
          <w:lang w:bidi="ar-JO"/>
          <w14:ligatures w14:val="none"/>
        </w:rPr>
        <w:footnoteReference w:customMarkFollows="1" w:id="39"/>
        <w:t>2</w:t>
      </w:r>
      <w:r w:rsidRPr="0048608E">
        <w:rPr>
          <w:rFonts w:eastAsia="Times New Roman" w:cs="DecoType Naskh" w:hint="cs"/>
          <w:color w:val="auto"/>
          <w:kern w:val="0"/>
          <w:szCs w:val="26"/>
          <w:rtl/>
          <w:lang w:bidi="ar-JO"/>
          <w14:ligatures w14:val="none"/>
        </w:rPr>
        <w:t xml:space="preserve"> </w:t>
      </w:r>
    </w:p>
    <w:p w14:paraId="0FB653CB"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KW"/>
          <w14:ligatures w14:val="none"/>
        </w:rPr>
      </w:pPr>
    </w:p>
    <w:p w14:paraId="60B94EB0" w14:textId="77777777" w:rsidR="0048608E" w:rsidRPr="0048608E" w:rsidRDefault="0048608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5.</w:t>
      </w:r>
      <w:r w:rsidRPr="0048608E">
        <w:rPr>
          <w:rFonts w:eastAsia="Times New Roman" w:cs="DecoType Naskh" w:hint="cs"/>
          <w:color w:val="auto"/>
          <w:kern w:val="0"/>
          <w:szCs w:val="26"/>
          <w:rtl/>
          <w:lang w:bidi="ar-JO"/>
          <w14:ligatures w14:val="none"/>
        </w:rPr>
        <w:tab/>
        <w:t>عهد يهوه المضمون (15: 7-21)</w:t>
      </w:r>
    </w:p>
    <w:p w14:paraId="400C9BC4"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يصوّر هذا الحدث الجليل يهوه داخلاً في عهد أحادي مع أبرام، مؤكداً له أن الوعود ستتحقق في نهاية المطاف.  ويشمل حديث الله معلومات جديدة عن فترة طويلة من الاستعباد (400 سنة) في انتظار الأمة الناشئة.</w:t>
      </w:r>
      <w:r w:rsidRPr="0048608E">
        <w:rPr>
          <w:rFonts w:eastAsia="Times New Roman" w:cs="DecoType Naskh"/>
          <w:color w:val="auto"/>
          <w:kern w:val="0"/>
          <w:szCs w:val="26"/>
          <w:vertAlign w:val="superscript"/>
          <w:rtl/>
          <w:lang w:bidi="ar-JO"/>
          <w14:ligatures w14:val="none"/>
        </w:rPr>
        <w:footnoteReference w:customMarkFollows="1" w:id="40"/>
        <w:t>3</w:t>
      </w:r>
      <w:r w:rsidRPr="0048608E">
        <w:rPr>
          <w:rFonts w:eastAsia="Times New Roman" w:cs="DecoType Naskh" w:hint="cs"/>
          <w:color w:val="auto"/>
          <w:kern w:val="0"/>
          <w:szCs w:val="26"/>
          <w:rtl/>
          <w:lang w:bidi="ar-JO"/>
          <w14:ligatures w14:val="none"/>
        </w:rPr>
        <w:t xml:space="preserve"> ويُزاح أبرام من الصورة في ما يتعلق بالمصادقة على العهد، لكي تعطى ليهوه كل مسؤولية تحقيقه.  والعهد، بهذا المعنى غير مشروط! وهكذا، رغم وجود احتمالات الموت والمعاناة، فإنه يمكن لشعب الله أن يطمئن إلى أن وعود عهد الله ستتحقق في نهاية المطاف.</w:t>
      </w:r>
    </w:p>
    <w:p w14:paraId="3EC08246"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p>
    <w:p w14:paraId="7A52899F" w14:textId="77777777" w:rsidR="0048608E" w:rsidRPr="0048608E" w:rsidRDefault="0048608E" w:rsidP="002D6C54">
      <w:pPr>
        <w:tabs>
          <w:tab w:val="left" w:pos="454"/>
        </w:tabs>
        <w:bidi/>
        <w:spacing w:after="60" w:line="240" w:lineRule="auto"/>
        <w:ind w:left="550" w:hanging="550"/>
        <w:jc w:val="both"/>
        <w:rPr>
          <w:rFonts w:eastAsia="Times New Roman" w:cs="DecoType Naskh"/>
          <w:bCs/>
          <w:color w:val="auto"/>
          <w:kern w:val="0"/>
          <w:szCs w:val="26"/>
          <w:rtl/>
          <w:lang w:bidi="ar-JO"/>
          <w14:ligatures w14:val="none"/>
        </w:rPr>
      </w:pPr>
      <w:r w:rsidRPr="0048608E">
        <w:rPr>
          <w:rFonts w:eastAsia="Times New Roman" w:cs="DecoType Naskh" w:hint="cs"/>
          <w:bCs/>
          <w:color w:val="auto"/>
          <w:kern w:val="0"/>
          <w:szCs w:val="26"/>
          <w:rtl/>
          <w14:ligatures w14:val="none"/>
        </w:rPr>
        <w:t>جـ.</w:t>
      </w:r>
      <w:r w:rsidRPr="0048608E">
        <w:rPr>
          <w:rFonts w:eastAsia="Times New Roman" w:cs="DecoType Naskh" w:hint="cs"/>
          <w:bCs/>
          <w:color w:val="auto"/>
          <w:kern w:val="0"/>
          <w:szCs w:val="26"/>
          <w:rtl/>
          <w14:ligatures w14:val="none"/>
        </w:rPr>
        <w:tab/>
        <w:t>الجهاد للإيمان بالله بشأنِ النسل (16: 1-18: 15)</w:t>
      </w:r>
    </w:p>
    <w:p w14:paraId="0549F337" w14:textId="192671EF" w:rsidR="001C7F8D" w:rsidRPr="007A4B15" w:rsidRDefault="001C7F8D" w:rsidP="00054B8E">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bookmarkStart w:id="62" w:name="_Hlk178778311"/>
      <w:r w:rsidRPr="007A4B15">
        <w:rPr>
          <w:rFonts w:ascii="Verdana" w:eastAsia="Calibri" w:hAnsi="Verdana" w:cs="Times New Roman"/>
          <w:b/>
          <w:caps/>
          <w:noProof/>
          <w:color w:val="006699"/>
          <w:kern w:val="0"/>
          <w:sz w:val="21"/>
          <w:szCs w:val="24"/>
          <w14:ligatures w14:val="none"/>
        </w:rPr>
        <w:drawing>
          <wp:inline distT="0" distB="0" distL="0" distR="0" wp14:anchorId="19D9F379" wp14:editId="595E1ED5">
            <wp:extent cx="613692" cy="541464"/>
            <wp:effectExtent l="0" t="0" r="0" b="0"/>
            <wp:docPr id="973799932" name="Picture 973799932"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00054B8E" w:rsidRPr="00054B8E">
        <w:rPr>
          <w:rFonts w:ascii="Verdana" w:eastAsia="Calibri" w:hAnsi="Verdana" w:cs="Times New Roman" w:hint="cs"/>
          <w:bCs/>
          <w:caps/>
          <w:color w:val="006699"/>
          <w:kern w:val="0"/>
          <w:sz w:val="21"/>
          <w:szCs w:val="24"/>
          <w:u w:val="single"/>
          <w:rtl/>
          <w14:ligatures w14:val="none"/>
        </w:rPr>
        <w:t>القراءة:</w:t>
      </w:r>
    </w:p>
    <w:p w14:paraId="010437B6" w14:textId="3AE12189" w:rsidR="001C7F8D" w:rsidRPr="00DC7FD4" w:rsidRDefault="001C7F8D" w:rsidP="00054B8E">
      <w:pPr>
        <w:tabs>
          <w:tab w:val="left" w:pos="547"/>
          <w:tab w:val="left" w:pos="1094"/>
          <w:tab w:val="left" w:pos="1642"/>
          <w:tab w:val="left" w:pos="2189"/>
          <w:tab w:val="left" w:pos="2736"/>
          <w:tab w:val="left" w:pos="3283"/>
          <w:tab w:val="left" w:pos="3830"/>
          <w:tab w:val="left" w:pos="4378"/>
        </w:tabs>
        <w:bidi/>
        <w:spacing w:before="120" w:after="120" w:line="240" w:lineRule="auto"/>
        <w:jc w:val="both"/>
        <w:outlineLvl w:val="4"/>
        <w:rPr>
          <w:rFonts w:eastAsia="Times New Roman" w:cs="Times New Roman"/>
          <w:b/>
          <w:bCs/>
          <w:iCs/>
          <w:color w:val="auto"/>
          <w:kern w:val="0"/>
          <w:sz w:val="22"/>
          <w:szCs w:val="26"/>
          <w14:ligatures w14:val="none"/>
        </w:rPr>
      </w:pPr>
      <w:r>
        <w:rPr>
          <w:rFonts w:eastAsia="Calibri" w:cs="Times New Roman"/>
          <w:kern w:val="0"/>
          <w:szCs w:val="24"/>
          <w14:ligatures w14:val="none"/>
        </w:rPr>
        <w:tab/>
      </w:r>
      <w:r>
        <w:rPr>
          <w:rFonts w:eastAsia="Calibri" w:cs="Times New Roman"/>
          <w:kern w:val="0"/>
          <w:szCs w:val="24"/>
          <w14:ligatures w14:val="none"/>
        </w:rPr>
        <w:tab/>
      </w:r>
      <w:r w:rsidR="00054B8E">
        <w:rPr>
          <w:rFonts w:eastAsia="Calibri" w:cs="Times New Roman" w:hint="cs"/>
          <w:kern w:val="0"/>
          <w:szCs w:val="24"/>
          <w:rtl/>
          <w14:ligatures w14:val="none"/>
        </w:rPr>
        <w:t xml:space="preserve">اقرأ تكوين 16: 1 </w:t>
      </w:r>
      <w:r w:rsidR="00054B8E">
        <w:rPr>
          <w:rFonts w:eastAsia="Calibri" w:cs="Times New Roman"/>
          <w:kern w:val="0"/>
          <w:szCs w:val="24"/>
          <w:rtl/>
          <w14:ligatures w14:val="none"/>
        </w:rPr>
        <w:t>–</w:t>
      </w:r>
      <w:r w:rsidR="00054B8E">
        <w:rPr>
          <w:rFonts w:eastAsia="Calibri" w:cs="Times New Roman" w:hint="cs"/>
          <w:kern w:val="0"/>
          <w:szCs w:val="24"/>
          <w:rtl/>
          <w14:ligatures w14:val="none"/>
        </w:rPr>
        <w:t xml:space="preserve"> 18: 15 في كتابك المُقدَّس. </w:t>
      </w:r>
    </w:p>
    <w:bookmarkEnd w:id="62"/>
    <w:p w14:paraId="2F7FB106"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48608E">
        <w:rPr>
          <w:rFonts w:eastAsia="Times New Roman" w:cs="DecoType Naskh" w:hint="cs"/>
          <w:color w:val="auto"/>
          <w:kern w:val="0"/>
          <w:szCs w:val="26"/>
          <w:rtl/>
          <w:lang w:bidi="ar-JO"/>
          <w14:ligatures w14:val="none"/>
        </w:rPr>
        <w:t>تناول القسم السابق علاقة إيمان أبرام "بأرض" الموعد.  أمّا هذا القسم فهو يهتم أكثر بمسألة "النسل</w:t>
      </w:r>
      <w:r w:rsidRPr="0048608E">
        <w:rPr>
          <w:rFonts w:eastAsia="Times New Roman" w:cs="DecoType Naskh" w:hint="cs"/>
          <w:color w:val="auto"/>
          <w:kern w:val="0"/>
          <w:szCs w:val="26"/>
          <w:rtl/>
          <w14:ligatures w14:val="none"/>
        </w:rPr>
        <w:t>.</w:t>
      </w:r>
      <w:r w:rsidRPr="0048608E">
        <w:rPr>
          <w:rFonts w:eastAsia="Times New Roman" w:cs="DecoType Naskh" w:hint="cs"/>
          <w:color w:val="auto"/>
          <w:kern w:val="0"/>
          <w:szCs w:val="26"/>
          <w:rtl/>
          <w:lang w:bidi="ar-JO"/>
          <w14:ligatures w14:val="none"/>
        </w:rPr>
        <w:t>"  فمع زواجه من هاجر (الأصحاح 16) كانت قد مرّت إحدى عشرة سنة على مغادرته حاران.  وحين نصل إلى تكوين 17: 1 تكون قد مرّت أربع وعشرون سنة على مغادرته حاران.</w:t>
      </w:r>
    </w:p>
    <w:p w14:paraId="50B6EE26" w14:textId="77777777" w:rsidR="0048608E" w:rsidRPr="0048608E" w:rsidRDefault="0048608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14:ligatures w14:val="none"/>
        </w:rPr>
      </w:pPr>
      <w:r w:rsidRPr="0048608E">
        <w:rPr>
          <w:rFonts w:eastAsia="Times New Roman" w:cs="DecoType Naskh" w:hint="cs"/>
          <w:color w:val="auto"/>
          <w:kern w:val="0"/>
          <w:szCs w:val="26"/>
          <w:rtl/>
          <w:lang w:bidi="ar-JO"/>
          <w14:ligatures w14:val="none"/>
        </w:rPr>
        <w:t>1.</w:t>
      </w:r>
      <w:r w:rsidRPr="0048608E">
        <w:rPr>
          <w:rFonts w:eastAsia="Times New Roman" w:cs="DecoType Naskh" w:hint="cs"/>
          <w:color w:val="auto"/>
          <w:kern w:val="0"/>
          <w:szCs w:val="26"/>
          <w:rtl/>
          <w:lang w:bidi="ar-JO"/>
          <w14:ligatures w14:val="none"/>
        </w:rPr>
        <w:tab/>
        <w:t>هاجر وإسماعيل (16: 1-16)</w:t>
      </w:r>
    </w:p>
    <w:p w14:paraId="14DAFFC6"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48608E">
        <w:rPr>
          <w:rFonts w:eastAsia="Times New Roman" w:cs="DecoType Naskh" w:hint="cs"/>
          <w:color w:val="auto"/>
          <w:kern w:val="0"/>
          <w:szCs w:val="26"/>
          <w:rtl/>
          <w:lang w:bidi="ar-JO"/>
          <w14:ligatures w14:val="none"/>
        </w:rPr>
        <w:t>تنتج عن تأخر تحقيق الوعد حسابات بشرية تخلُص إلى أن ساراي عجوز لا تستطيع أن تحمل النسل الموعود.  وهكذا يُترك طريق الإيمان، أي الانتظار الصبور.  وولادة إسماعيل من هاجر هي طريقة الزوجين، لا طريقة الله، لضمان النسل.</w:t>
      </w:r>
      <w:r w:rsidRPr="0048608E">
        <w:rPr>
          <w:rFonts w:eastAsia="Times New Roman" w:cs="DecoType Naskh"/>
          <w:color w:val="auto"/>
          <w:kern w:val="0"/>
          <w:sz w:val="30"/>
          <w:szCs w:val="28"/>
          <w:vertAlign w:val="superscript"/>
          <w:rtl/>
          <w:lang w:bidi="ar-JO"/>
          <w14:ligatures w14:val="none"/>
        </w:rPr>
        <w:footnoteReference w:customMarkFollows="1" w:id="41"/>
        <w:t>4</w:t>
      </w:r>
      <w:r w:rsidRPr="0048608E">
        <w:rPr>
          <w:rFonts w:eastAsia="Times New Roman" w:cs="DecoType Naskh" w:hint="cs"/>
          <w:color w:val="auto"/>
          <w:kern w:val="0"/>
          <w:szCs w:val="26"/>
          <w:rtl/>
          <w:lang w:bidi="ar-JO"/>
          <w14:ligatures w14:val="none"/>
        </w:rPr>
        <w:t xml:space="preserve">  والدرس الذي تتعلمه هاجر هو أن "الرب يسمع صراخ المذلة،" وهو الدرس الذي تعود هاجر لتوصله إلى الزوجين.  وهي نفس الحقيقة التي كان عليهما أن يسعيا وراءها ليطبّقاها.  الله يسمع، فاصرخ إليه في ضيقك وانتظر واصبر، واثقاً بكلمةِ الله ومتكلاً عليها!</w:t>
      </w:r>
    </w:p>
    <w:p w14:paraId="30930BD9" w14:textId="77777777" w:rsidR="0048608E" w:rsidRPr="0048608E" w:rsidRDefault="0048608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14:ligatures w14:val="none"/>
        </w:rPr>
      </w:pPr>
      <w:r w:rsidRPr="0048608E">
        <w:rPr>
          <w:rFonts w:eastAsia="Times New Roman" w:cs="DecoType Naskh" w:hint="cs"/>
          <w:color w:val="auto"/>
          <w:kern w:val="0"/>
          <w:szCs w:val="26"/>
          <w:rtl/>
          <w:lang w:bidi="ar-JO"/>
          <w14:ligatures w14:val="none"/>
        </w:rPr>
        <w:t>2.</w:t>
      </w:r>
      <w:r w:rsidRPr="0048608E">
        <w:rPr>
          <w:rFonts w:eastAsia="Times New Roman" w:cs="DecoType Naskh" w:hint="cs"/>
          <w:color w:val="auto"/>
          <w:kern w:val="0"/>
          <w:szCs w:val="26"/>
          <w:rtl/>
          <w:lang w:bidi="ar-JO"/>
          <w14:ligatures w14:val="none"/>
        </w:rPr>
        <w:tab/>
        <w:t>علامة الوعد (17: 1-17)</w:t>
      </w:r>
    </w:p>
    <w:p w14:paraId="143A5129"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 xml:space="preserve">بعد أربعة عشر عاماً من الصمت، يؤكد الله وعوده لأبرام مرة أخرى، محدداً أن ساراي نفسها ستحمل النسل (إسحاق)، ويقوم الله بإعادة تسمية الزوجين لكي يعكس اسماهما الجديدان وعوده.  </w:t>
      </w:r>
      <w:r w:rsidRPr="0048608E">
        <w:rPr>
          <w:rFonts w:eastAsia="Times New Roman" w:cs="DecoType Naskh" w:hint="cs"/>
          <w:color w:val="auto"/>
          <w:kern w:val="0"/>
          <w:szCs w:val="26"/>
          <w:u w:val="single"/>
          <w:rtl/>
          <w:lang w:bidi="ar-JO"/>
          <w14:ligatures w14:val="none"/>
        </w:rPr>
        <w:t>ويستجيب</w:t>
      </w:r>
      <w:r w:rsidRPr="0048608E">
        <w:rPr>
          <w:rFonts w:eastAsia="Times New Roman" w:cs="DecoType Naskh" w:hint="cs"/>
          <w:color w:val="auto"/>
          <w:kern w:val="0"/>
          <w:szCs w:val="26"/>
          <w:rtl/>
          <w:lang w:bidi="ar-JO"/>
          <w14:ligatures w14:val="none"/>
        </w:rPr>
        <w:t xml:space="preserve"> إبراهيم </w:t>
      </w:r>
      <w:r w:rsidRPr="0048608E">
        <w:rPr>
          <w:rFonts w:eastAsia="Times New Roman" w:cs="DecoType Naskh" w:hint="cs"/>
          <w:color w:val="auto"/>
          <w:kern w:val="0"/>
          <w:szCs w:val="26"/>
          <w:u w:val="single"/>
          <w:rtl/>
          <w:lang w:bidi="ar-JO"/>
          <w14:ligatures w14:val="none"/>
        </w:rPr>
        <w:t>بالإيمان</w:t>
      </w:r>
      <w:r w:rsidRPr="0048608E">
        <w:rPr>
          <w:rFonts w:eastAsia="Times New Roman" w:cs="DecoType Naskh" w:hint="cs"/>
          <w:color w:val="auto"/>
          <w:kern w:val="0"/>
          <w:szCs w:val="26"/>
          <w:rtl/>
          <w:lang w:bidi="ar-JO"/>
          <w14:ligatures w14:val="none"/>
        </w:rPr>
        <w:t xml:space="preserve"> وذلك بقبول الاسمين الجديدين وإجراء عملية الاختتان، حيث صار الاختتان علامة العهد (مذكِّراً بالعهد بطريقة حميمة جداً).  وقد قُصد أن يكون هذا الطقس عمل إيمان يربط فيه الأب نفسه وابنه الرضيع بوعود إبراهيم الأكيدة.</w:t>
      </w:r>
    </w:p>
    <w:p w14:paraId="1C4856C2"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lastRenderedPageBreak/>
        <w:t>ومن ناحية أخرى، بما أن العلامة لها علاقة بالعضو الجنسي، فقد كانت مذكرة لهم بأن الطبيعة البشرية عاجزة عن توليد النسل الموعود.  غير أن قطع اللحم كان أيضاً رمزاً للانفصال والطهارة والولاء للعهد.  وكان رمزاً يتطلع إلى حاجة الإنسان لختّان القلب الذي لا يستطيع أن يحققه إلاّ الروح القدس، ممكِّناً قلب الإنسان من طاعة الله (انظر تثنية 30: 6؛ رومية 2: 28، 29).</w:t>
      </w:r>
    </w:p>
    <w:p w14:paraId="1E35012F" w14:textId="77777777" w:rsidR="0048608E" w:rsidRPr="0048608E" w:rsidRDefault="0048608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3.</w:t>
      </w:r>
      <w:r w:rsidRPr="0048608E">
        <w:rPr>
          <w:rFonts w:eastAsia="Times New Roman" w:cs="DecoType Naskh" w:hint="cs"/>
          <w:color w:val="auto"/>
          <w:kern w:val="0"/>
          <w:szCs w:val="26"/>
          <w:rtl/>
          <w:lang w:bidi="ar-JO"/>
          <w14:ligatures w14:val="none"/>
        </w:rPr>
        <w:tab/>
        <w:t>الزوّار الثلاثة (18: 1-15)</w:t>
      </w:r>
    </w:p>
    <w:p w14:paraId="727B1E18"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اقترب وقت وصول النسل الموعود، الذي يبدو عند هذه النقطة أمراً سخيفاً أن يؤمن المرء بأن الله قادر على إعطائه.  ومن هنا ينزل الرب شخصياً (18: 13) لكي يشترك في شركة عميقة مع إبراهيم (تشير إليها الوجبة التي أعدها إبراهيم) وليؤكد مولد الابن القادم.  وهذه الزيارة الشخصية دعوة للإيمان بأن الله قادر على فعل المستحيل (18: 14).</w:t>
      </w:r>
    </w:p>
    <w:p w14:paraId="783E7D7F"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106157DE" w14:textId="77777777" w:rsidR="0048608E" w:rsidRPr="0048608E" w:rsidRDefault="0048608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48608E">
        <w:rPr>
          <w:rFonts w:eastAsia="Times New Roman" w:cs="DecoType Naskh" w:hint="cs"/>
          <w:bCs/>
          <w:color w:val="auto"/>
          <w:kern w:val="0"/>
          <w:szCs w:val="26"/>
          <w:rtl/>
          <w14:ligatures w14:val="none"/>
        </w:rPr>
        <w:t>د.</w:t>
      </w:r>
      <w:r w:rsidRPr="0048608E">
        <w:rPr>
          <w:rFonts w:eastAsia="Times New Roman" w:cs="DecoType Naskh" w:hint="cs"/>
          <w:bCs/>
          <w:color w:val="auto"/>
          <w:kern w:val="0"/>
          <w:szCs w:val="26"/>
          <w:rtl/>
          <w14:ligatures w14:val="none"/>
        </w:rPr>
        <w:tab/>
        <w:t>الجهاد في التشفع والتوسط للبركة (18: 16-20: 18)</w:t>
      </w:r>
    </w:p>
    <w:p w14:paraId="6981A6D0" w14:textId="413DF824" w:rsidR="001C7F8D" w:rsidRPr="007A4B15" w:rsidRDefault="001C7F8D" w:rsidP="00054B8E">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bookmarkStart w:id="63" w:name="_Hlk178778346"/>
      <w:r w:rsidRPr="007A4B15">
        <w:rPr>
          <w:rFonts w:ascii="Verdana" w:eastAsia="Calibri" w:hAnsi="Verdana" w:cs="Times New Roman"/>
          <w:b/>
          <w:caps/>
          <w:noProof/>
          <w:color w:val="006699"/>
          <w:kern w:val="0"/>
          <w:sz w:val="21"/>
          <w:szCs w:val="24"/>
          <w14:ligatures w14:val="none"/>
        </w:rPr>
        <w:drawing>
          <wp:inline distT="0" distB="0" distL="0" distR="0" wp14:anchorId="6D42504B" wp14:editId="240F2FA1">
            <wp:extent cx="613692" cy="541464"/>
            <wp:effectExtent l="0" t="0" r="0" b="0"/>
            <wp:docPr id="185788930" name="Picture 185788930"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054B8E" w:rsidRPr="00054B8E">
        <w:rPr>
          <w:rFonts w:ascii="Verdana" w:eastAsia="Calibri" w:hAnsi="Verdana" w:cs="Times New Roman" w:hint="cs"/>
          <w:bCs/>
          <w:caps/>
          <w:color w:val="006699"/>
          <w:kern w:val="0"/>
          <w:sz w:val="21"/>
          <w:szCs w:val="24"/>
          <w:u w:val="single"/>
          <w:rtl/>
          <w14:ligatures w14:val="none"/>
        </w:rPr>
        <w:t>القراءة:</w:t>
      </w:r>
    </w:p>
    <w:p w14:paraId="2DE96131" w14:textId="096A2969" w:rsidR="001C7F8D" w:rsidRPr="00DC7FD4" w:rsidRDefault="001C7F8D" w:rsidP="00054B8E">
      <w:pPr>
        <w:tabs>
          <w:tab w:val="left" w:pos="547"/>
          <w:tab w:val="left" w:pos="1094"/>
          <w:tab w:val="left" w:pos="1642"/>
          <w:tab w:val="left" w:pos="2189"/>
          <w:tab w:val="left" w:pos="2736"/>
          <w:tab w:val="left" w:pos="3283"/>
          <w:tab w:val="left" w:pos="3830"/>
          <w:tab w:val="left" w:pos="4378"/>
        </w:tabs>
        <w:bidi/>
        <w:spacing w:before="120" w:after="120" w:line="240" w:lineRule="auto"/>
        <w:jc w:val="both"/>
        <w:outlineLvl w:val="4"/>
        <w:rPr>
          <w:rFonts w:eastAsia="Times New Roman" w:cs="Times New Roman"/>
          <w:b/>
          <w:bCs/>
          <w:iCs/>
          <w:color w:val="auto"/>
          <w:kern w:val="0"/>
          <w:sz w:val="22"/>
          <w:szCs w:val="26"/>
          <w14:ligatures w14:val="none"/>
        </w:rPr>
      </w:pPr>
      <w:r>
        <w:rPr>
          <w:rFonts w:eastAsia="Calibri" w:cs="Times New Roman"/>
          <w:kern w:val="0"/>
          <w:szCs w:val="24"/>
          <w14:ligatures w14:val="none"/>
        </w:rPr>
        <w:tab/>
      </w:r>
      <w:r>
        <w:rPr>
          <w:rFonts w:eastAsia="Calibri" w:cs="Times New Roman"/>
          <w:kern w:val="0"/>
          <w:szCs w:val="24"/>
          <w14:ligatures w14:val="none"/>
        </w:rPr>
        <w:tab/>
      </w:r>
      <w:r w:rsidR="00054B8E">
        <w:rPr>
          <w:rFonts w:eastAsia="Calibri" w:cs="Times New Roman" w:hint="cs"/>
          <w:kern w:val="0"/>
          <w:szCs w:val="24"/>
          <w:rtl/>
          <w14:ligatures w14:val="none"/>
        </w:rPr>
        <w:t xml:space="preserve">اقرأ تكوين </w:t>
      </w:r>
      <w:r w:rsidR="00613F52">
        <w:rPr>
          <w:rFonts w:eastAsia="Calibri" w:cs="Times New Roman" w:hint="cs"/>
          <w:kern w:val="0"/>
          <w:szCs w:val="24"/>
          <w:rtl/>
          <w14:ligatures w14:val="none"/>
        </w:rPr>
        <w:t xml:space="preserve">18: 16 </w:t>
      </w:r>
      <w:r w:rsidR="00613F52">
        <w:rPr>
          <w:rFonts w:eastAsia="Calibri" w:cs="Times New Roman"/>
          <w:kern w:val="0"/>
          <w:szCs w:val="24"/>
          <w:rtl/>
          <w14:ligatures w14:val="none"/>
        </w:rPr>
        <w:t>–</w:t>
      </w:r>
      <w:r w:rsidR="00613F52">
        <w:rPr>
          <w:rFonts w:eastAsia="Calibri" w:cs="Times New Roman" w:hint="cs"/>
          <w:kern w:val="0"/>
          <w:szCs w:val="24"/>
          <w:rtl/>
          <w14:ligatures w14:val="none"/>
        </w:rPr>
        <w:t xml:space="preserve"> 20: 18. </w:t>
      </w:r>
    </w:p>
    <w:bookmarkEnd w:id="63"/>
    <w:p w14:paraId="0D73ED07"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 xml:space="preserve">الفكرة الرئيسية في هذا القسم هي قصد يهوه في أن يضع إبراهيم في مركز فريد بالنسبة للشعوب الأخرى بصفته وسيط البركة (لنتذكر 12: 3).  وهكذا يتشفع للوط في سدوم، ويرتبط إنقاذ لوط بتشفع إبراهيم (انظر 19: 29).  ويجب أن يدرك حتى أبيمالك أن البركة تأتي من خلال إبراهيم، وسيط البركة في تلك المرحلة (20: 17) </w:t>
      </w:r>
    </w:p>
    <w:p w14:paraId="3358E2C3" w14:textId="77777777" w:rsidR="0048608E" w:rsidRPr="0048608E" w:rsidRDefault="0048608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1.</w:t>
      </w:r>
      <w:r w:rsidRPr="0048608E">
        <w:rPr>
          <w:rFonts w:eastAsia="Times New Roman" w:cs="DecoType Naskh" w:hint="cs"/>
          <w:color w:val="auto"/>
          <w:kern w:val="0"/>
          <w:szCs w:val="26"/>
          <w:rtl/>
          <w:lang w:bidi="ar-JO"/>
          <w14:ligatures w14:val="none"/>
        </w:rPr>
        <w:tab/>
        <w:t>تشفُّع إبراهيم (18: 16-33)</w:t>
      </w:r>
    </w:p>
    <w:p w14:paraId="740015AC"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ليست هذه رواية منعزلة، لكنها ترتبط بالعهد الإبراهيمي كما تبيّن 18: 17-19.  فهو الذي تأتي البركة من خلاله، ولهذا يشركه الله في هذه المسألة.  إنه الشخص الذي يتوجب عليه أن يحفظ طريق الرب بعملِ البِر والعدل.  لا يشكك إبراهيم أبداً في أن مجتمع سدوم شرير ومستحق للدينونة، غير أنه يتعلم أنه رغم الإثم الغامر، لا بد أن يتصرف الله بعدل ورحمة تجاه القلّة البارّة.  وربما هلك لوط البار مع الأشرار لو لم يتشفع فيه إبراهيم، وسيط البركة (19: 29).</w:t>
      </w:r>
    </w:p>
    <w:p w14:paraId="424C6896" w14:textId="77777777" w:rsidR="0048608E" w:rsidRPr="0048608E" w:rsidRDefault="0048608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2.</w:t>
      </w:r>
      <w:r w:rsidRPr="0048608E">
        <w:rPr>
          <w:rFonts w:eastAsia="Times New Roman" w:cs="DecoType Naskh" w:hint="cs"/>
          <w:color w:val="auto"/>
          <w:kern w:val="0"/>
          <w:szCs w:val="26"/>
          <w:rtl/>
          <w:lang w:bidi="ar-JO"/>
          <w14:ligatures w14:val="none"/>
        </w:rPr>
        <w:tab/>
        <w:t>دينونة سدوم (19: 1-38)</w:t>
      </w:r>
    </w:p>
    <w:p w14:paraId="08551B23"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هذا تحذير قاس للناس من أن يصبحوا مفلسين أخلاقياً كما كان الحال في الحضارة الكنعانية.  يتردَّد لوط في المغادرة، وحين يغادر فإنه يغادر على مضض.  فيا للتأثير العظيم الذي يتركه المجتمع المنحل على الأبرار! لهذا يجب على عائلة إبراهيم، وكذلك أمّة إسرائيل، أن يحترسوا لئلا يتأثروا كثيراً بالإثم الموجود في وسطهم.</w:t>
      </w:r>
    </w:p>
    <w:p w14:paraId="43FEBC9F" w14:textId="77777777" w:rsidR="0048608E" w:rsidRPr="0048608E" w:rsidRDefault="0048608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3.</w:t>
      </w:r>
      <w:r w:rsidRPr="0048608E">
        <w:rPr>
          <w:rFonts w:eastAsia="Times New Roman" w:cs="DecoType Naskh" w:hint="cs"/>
          <w:color w:val="auto"/>
          <w:kern w:val="0"/>
          <w:szCs w:val="26"/>
          <w:rtl/>
          <w:lang w:bidi="ar-JO"/>
          <w14:ligatures w14:val="none"/>
        </w:rPr>
        <w:tab/>
        <w:t>إبراهيم وأبيمالك (20: 1-18)</w:t>
      </w:r>
    </w:p>
    <w:p w14:paraId="1E96EE5D"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يتركز هذا المشهد على حفظ نقاوة سارة.  ويتضمن السياق عملاً أحمق لا يتسم بالإيمان من إبراهيم، مما يخلق تهديداً للبركة الموعودة، فتحقيق الوعد معتمد على زواجه.  والإيمان والطاعة شرطان للبركات الموعودة! وقد تدخل الله لحسن الحظ، في نعمته.  وتختتم القصة بإبراهيم وسيطاً للبركة (تكوين 12: 3) لبيت أبيمالك (20-17).</w:t>
      </w:r>
    </w:p>
    <w:p w14:paraId="1F432E05" w14:textId="77777777" w:rsidR="0048608E" w:rsidRPr="0048608E" w:rsidRDefault="0048608E" w:rsidP="002D6C54">
      <w:pPr>
        <w:tabs>
          <w:tab w:val="left" w:pos="454"/>
        </w:tabs>
        <w:bidi/>
        <w:spacing w:after="60" w:line="240" w:lineRule="auto"/>
        <w:ind w:left="550" w:hanging="550"/>
        <w:jc w:val="both"/>
        <w:rPr>
          <w:rFonts w:eastAsia="Times New Roman" w:cs="DecoType Naskh"/>
          <w:bCs/>
          <w:color w:val="auto"/>
          <w:kern w:val="0"/>
          <w:szCs w:val="26"/>
          <w:rtl/>
          <w:lang w:bidi="ar-JO"/>
          <w14:ligatures w14:val="none"/>
        </w:rPr>
      </w:pPr>
      <w:r w:rsidRPr="0048608E">
        <w:rPr>
          <w:rFonts w:eastAsia="Times New Roman" w:cs="DecoType Naskh" w:hint="cs"/>
          <w:bCs/>
          <w:color w:val="auto"/>
          <w:kern w:val="0"/>
          <w:szCs w:val="26"/>
          <w:rtl/>
          <w14:ligatures w14:val="none"/>
        </w:rPr>
        <w:t>هـ.</w:t>
      </w:r>
      <w:r w:rsidRPr="0048608E">
        <w:rPr>
          <w:rFonts w:eastAsia="Times New Roman" w:cs="DecoType Naskh" w:hint="cs"/>
          <w:bCs/>
          <w:color w:val="auto"/>
          <w:kern w:val="0"/>
          <w:szCs w:val="26"/>
          <w:rtl/>
          <w14:ligatures w14:val="none"/>
        </w:rPr>
        <w:tab/>
        <w:t>نضج إيمان إبراهيم (21: 1-22: 19)</w:t>
      </w:r>
    </w:p>
    <w:p w14:paraId="42963F8D" w14:textId="7B659373" w:rsidR="001C7F8D" w:rsidRPr="007A4B15" w:rsidRDefault="001C7F8D" w:rsidP="00613F52">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bookmarkStart w:id="64" w:name="_Hlk178778367"/>
      <w:r w:rsidRPr="007A4B15">
        <w:rPr>
          <w:rFonts w:ascii="Verdana" w:eastAsia="Calibri" w:hAnsi="Verdana" w:cs="Times New Roman"/>
          <w:b/>
          <w:caps/>
          <w:noProof/>
          <w:color w:val="006699"/>
          <w:kern w:val="0"/>
          <w:sz w:val="21"/>
          <w:szCs w:val="24"/>
          <w14:ligatures w14:val="none"/>
        </w:rPr>
        <w:drawing>
          <wp:inline distT="0" distB="0" distL="0" distR="0" wp14:anchorId="34F63693" wp14:editId="649878A5">
            <wp:extent cx="613692" cy="541464"/>
            <wp:effectExtent l="0" t="0" r="0" b="0"/>
            <wp:docPr id="758744732" name="Picture 758744732"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613F52" w:rsidRPr="00613F52">
        <w:rPr>
          <w:rFonts w:ascii="Verdana" w:eastAsia="Calibri" w:hAnsi="Verdana" w:cs="Times New Roman" w:hint="cs"/>
          <w:bCs/>
          <w:caps/>
          <w:color w:val="006699"/>
          <w:kern w:val="0"/>
          <w:sz w:val="21"/>
          <w:szCs w:val="24"/>
          <w:u w:val="single"/>
          <w:rtl/>
          <w14:ligatures w14:val="none"/>
        </w:rPr>
        <w:t>القراءة:</w:t>
      </w:r>
      <w:r w:rsidR="00613F52">
        <w:rPr>
          <w:rFonts w:ascii="Verdana" w:eastAsia="Calibri" w:hAnsi="Verdana" w:cs="Times New Roman" w:hint="cs"/>
          <w:b/>
          <w:caps/>
          <w:color w:val="006699"/>
          <w:kern w:val="0"/>
          <w:sz w:val="21"/>
          <w:szCs w:val="24"/>
          <w:u w:val="single"/>
          <w:rtl/>
          <w14:ligatures w14:val="none"/>
        </w:rPr>
        <w:t xml:space="preserve"> </w:t>
      </w:r>
    </w:p>
    <w:p w14:paraId="1910CF87" w14:textId="00EF0DA6" w:rsidR="001C7F8D" w:rsidRPr="00DC7FD4" w:rsidRDefault="001C7F8D" w:rsidP="00613F52">
      <w:pPr>
        <w:tabs>
          <w:tab w:val="left" w:pos="547"/>
          <w:tab w:val="left" w:pos="1094"/>
          <w:tab w:val="left" w:pos="1642"/>
          <w:tab w:val="left" w:pos="2189"/>
          <w:tab w:val="left" w:pos="2736"/>
          <w:tab w:val="left" w:pos="3283"/>
          <w:tab w:val="left" w:pos="3830"/>
          <w:tab w:val="left" w:pos="4378"/>
        </w:tabs>
        <w:bidi/>
        <w:spacing w:before="120" w:after="120" w:line="240" w:lineRule="auto"/>
        <w:jc w:val="both"/>
        <w:outlineLvl w:val="4"/>
        <w:rPr>
          <w:rFonts w:eastAsia="Times New Roman" w:cs="Times New Roman"/>
          <w:b/>
          <w:bCs/>
          <w:iCs/>
          <w:color w:val="auto"/>
          <w:kern w:val="0"/>
          <w:sz w:val="22"/>
          <w:szCs w:val="26"/>
          <w14:ligatures w14:val="none"/>
        </w:rPr>
      </w:pPr>
      <w:r>
        <w:rPr>
          <w:rFonts w:eastAsia="Calibri" w:cs="Times New Roman"/>
          <w:kern w:val="0"/>
          <w:szCs w:val="24"/>
          <w14:ligatures w14:val="none"/>
        </w:rPr>
        <w:tab/>
      </w:r>
      <w:r>
        <w:rPr>
          <w:rFonts w:eastAsia="Calibri" w:cs="Times New Roman"/>
          <w:kern w:val="0"/>
          <w:szCs w:val="24"/>
          <w14:ligatures w14:val="none"/>
        </w:rPr>
        <w:tab/>
      </w:r>
      <w:r w:rsidR="00613F52">
        <w:rPr>
          <w:rFonts w:eastAsia="Calibri" w:cs="Times New Roman" w:hint="cs"/>
          <w:kern w:val="0"/>
          <w:szCs w:val="24"/>
          <w:rtl/>
          <w14:ligatures w14:val="none"/>
        </w:rPr>
        <w:t xml:space="preserve">اقرأ تكوين 21: 1 </w:t>
      </w:r>
      <w:r w:rsidR="00613F52">
        <w:rPr>
          <w:rFonts w:eastAsia="Calibri" w:cs="Times New Roman"/>
          <w:kern w:val="0"/>
          <w:szCs w:val="24"/>
          <w:rtl/>
          <w14:ligatures w14:val="none"/>
        </w:rPr>
        <w:t>–</w:t>
      </w:r>
      <w:r w:rsidR="00613F52">
        <w:rPr>
          <w:rFonts w:eastAsia="Calibri" w:cs="Times New Roman" w:hint="cs"/>
          <w:kern w:val="0"/>
          <w:szCs w:val="24"/>
          <w:rtl/>
          <w14:ligatures w14:val="none"/>
        </w:rPr>
        <w:t xml:space="preserve"> 22: 19 في كتابك المُقدَّس. </w:t>
      </w:r>
    </w:p>
    <w:bookmarkEnd w:id="64"/>
    <w:p w14:paraId="70EA6858"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lastRenderedPageBreak/>
        <w:t>ويبدأ إبراهيم أخيراً باختبار المزيد من بركات يهوه الموعودة.  وأثناء ذلك ينضج إيمانه أيضاً، فهو في الأرض يبارَك، ولديه النسل.  لكن هل سيواصل طاعته للرب؟ سيقوم الله بامتحانه لمعرفة ذلك.</w:t>
      </w:r>
    </w:p>
    <w:p w14:paraId="6BB1FEFD" w14:textId="77777777" w:rsidR="0048608E" w:rsidRPr="0048608E" w:rsidRDefault="0048608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1.</w:t>
      </w:r>
      <w:r w:rsidRPr="0048608E">
        <w:rPr>
          <w:rFonts w:eastAsia="Times New Roman" w:cs="DecoType Naskh" w:hint="cs"/>
          <w:color w:val="auto"/>
          <w:kern w:val="0"/>
          <w:szCs w:val="26"/>
          <w:rtl/>
          <w:lang w:bidi="ar-JO"/>
          <w14:ligatures w14:val="none"/>
        </w:rPr>
        <w:tab/>
        <w:t>مولد إسحاق وطرد إسماعيل (21: 1-21)</w:t>
      </w:r>
    </w:p>
    <w:p w14:paraId="2690160A"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 xml:space="preserve">يتحقق أخيراً الوعد بالنسل، فيتعزز إيمان إبراهيم وسارة.  ويحتفلان بتحقيق الوعد بتسمية ابنهما إسحاق، ويتثبت الوعد بختنه.  غير أن الحادثة التي تذكر استهزاء إسماعيل تصوّر </w:t>
      </w:r>
      <w:r w:rsidRPr="0048608E">
        <w:rPr>
          <w:rFonts w:eastAsia="Times New Roman" w:cs="DecoType Naskh" w:hint="cs"/>
          <w:color w:val="auto"/>
          <w:kern w:val="0"/>
          <w:szCs w:val="26"/>
          <w:u w:val="single"/>
          <w:rtl/>
          <w:lang w:bidi="ar-JO"/>
          <w14:ligatures w14:val="none"/>
        </w:rPr>
        <w:t>عدم الإيمان</w:t>
      </w:r>
      <w:r w:rsidRPr="0048608E">
        <w:rPr>
          <w:rFonts w:eastAsia="Times New Roman" w:cs="DecoType Naskh" w:hint="cs"/>
          <w:color w:val="auto"/>
          <w:kern w:val="0"/>
          <w:szCs w:val="26"/>
          <w:rtl/>
          <w:lang w:bidi="ar-JO"/>
          <w14:ligatures w14:val="none"/>
        </w:rPr>
        <w:t xml:space="preserve"> الذي يهزأ بوعد الله معتبراً إياه حمقاً، مهدداً بذلك عمل الله ومستخفاً به.  لهذا يجب إزالة التهديد للنسل الموعود.</w:t>
      </w:r>
    </w:p>
    <w:p w14:paraId="00AA474B" w14:textId="77777777" w:rsidR="0048608E" w:rsidRPr="0048608E" w:rsidRDefault="0048608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2.</w:t>
      </w:r>
      <w:r w:rsidRPr="0048608E">
        <w:rPr>
          <w:rFonts w:eastAsia="Times New Roman" w:cs="DecoType Naskh" w:hint="cs"/>
          <w:color w:val="auto"/>
          <w:kern w:val="0"/>
          <w:szCs w:val="26"/>
          <w:rtl/>
          <w:lang w:bidi="ar-JO"/>
          <w14:ligatures w14:val="none"/>
        </w:rPr>
        <w:tab/>
        <w:t>العهد في بئر السبع (21: 22-34)</w:t>
      </w:r>
    </w:p>
    <w:p w14:paraId="1F7DAA91"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يصنع إبراهيم عهداً مع القاطنين في الأرض يمكّنه من السكنى هنالك في سلام.  وإنه لأمر ذو دلالة أنهم يعترفون به كمتلقٍ لبركات الله ويسعون إلى سلام معه.  و</w:t>
      </w:r>
      <w:r w:rsidRPr="0048608E">
        <w:rPr>
          <w:rFonts w:eastAsia="Times New Roman" w:cs="DecoType Naskh" w:hint="cs"/>
          <w:color w:val="auto"/>
          <w:kern w:val="0"/>
          <w:szCs w:val="26"/>
          <w:rtl/>
          <w14:ligatures w14:val="none"/>
        </w:rPr>
        <w:t xml:space="preserve"> </w:t>
      </w:r>
      <w:r w:rsidRPr="0048608E">
        <w:rPr>
          <w:rFonts w:eastAsia="Times New Roman" w:cs="DecoType Naskh" w:hint="cs"/>
          <w:color w:val="auto"/>
          <w:kern w:val="0"/>
          <w:szCs w:val="26"/>
          <w:rtl/>
          <w:lang w:bidi="ar-JO"/>
          <w14:ligatures w14:val="none"/>
        </w:rPr>
        <w:t xml:space="preserve">هاهو إبراهيم أخيراً في الأرض يتلقى بركة الله فيها. </w:t>
      </w:r>
    </w:p>
    <w:p w14:paraId="3305377F" w14:textId="77777777" w:rsidR="0048608E" w:rsidRPr="0048608E" w:rsidRDefault="0048608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14:ligatures w14:val="none"/>
        </w:rPr>
      </w:pPr>
      <w:r w:rsidRPr="0048608E">
        <w:rPr>
          <w:rFonts w:eastAsia="Times New Roman" w:cs="DecoType Naskh" w:hint="cs"/>
          <w:color w:val="auto"/>
          <w:kern w:val="0"/>
          <w:szCs w:val="26"/>
          <w:rtl/>
          <w:lang w:bidi="ar-JO"/>
          <w14:ligatures w14:val="none"/>
        </w:rPr>
        <w:t>3.</w:t>
      </w:r>
      <w:r w:rsidRPr="0048608E">
        <w:rPr>
          <w:rFonts w:eastAsia="Times New Roman" w:cs="DecoType Naskh" w:hint="cs"/>
          <w:color w:val="auto"/>
          <w:kern w:val="0"/>
          <w:szCs w:val="26"/>
          <w:rtl/>
          <w:lang w:bidi="ar-JO"/>
          <w14:ligatures w14:val="none"/>
        </w:rPr>
        <w:tab/>
        <w:t>ذبيحة إسحاق (22: 1-19)</w:t>
      </w:r>
    </w:p>
    <w:p w14:paraId="6A2ED8AA"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هذا هو الامتحان الكبير لإيمان إبراهيم: هل سيضع الطاعة فوق المحبة؟ الآن وقد صار له نسل وازدهر في الأرض، هل سيبقى وفياً ليهوه؟ [</w:t>
      </w:r>
      <w:r w:rsidRPr="0048608E">
        <w:rPr>
          <w:rFonts w:eastAsia="Times New Roman" w:cs="DecoType Naskh" w:hint="cs"/>
          <w:color w:val="auto"/>
          <w:kern w:val="0"/>
          <w:szCs w:val="26"/>
          <w:rtl/>
          <w14:ligatures w14:val="none"/>
        </w:rPr>
        <w:t xml:space="preserve"> </w:t>
      </w:r>
      <w:r w:rsidRPr="0048608E">
        <w:rPr>
          <w:rFonts w:eastAsia="Times New Roman" w:cs="DecoType Naskh" w:hint="cs"/>
          <w:color w:val="auto"/>
          <w:kern w:val="0"/>
          <w:szCs w:val="26"/>
          <w:rtl/>
          <w:lang w:bidi="ar-JO"/>
          <w14:ligatures w14:val="none"/>
        </w:rPr>
        <w:t>ملاحظة: وجد الكنعانيون أن من الضروري لهم استرضاء آلهتهم، حتى من خلال الذبائح البشرية.  ويكتشف إبراهيم أن يهوه لا يطالب بأضاحٍ بشرية.  وإذا كان لا بد من ذبيحة بشرية، فلا بد أن تكون على حساب الله عندما يقدم ابنه الوحيد طوعاً ليصلب.]  لنلاحظ أن مكان الذبيحة هو جبل المريّا الذي كان واقعاً في مكان سيصبح فيما بعد أورشليم... حيث سيبنى الهيكل للذبائح وحيث سيموت المسيح في نهاية الأمر (تكوين 22: 2؛ 2 أخبار 3: 1).</w:t>
      </w:r>
    </w:p>
    <w:p w14:paraId="223AEBEE" w14:textId="77777777" w:rsid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lang w:bidi="ar-JO"/>
          <w14:ligatures w14:val="none"/>
        </w:rPr>
      </w:pPr>
    </w:p>
    <w:p w14:paraId="4ADAB7DE" w14:textId="77777777" w:rsidR="0048608E" w:rsidRPr="0048608E" w:rsidRDefault="0048608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48608E">
        <w:rPr>
          <w:rFonts w:eastAsia="Times New Roman" w:cs="DecoType Naskh" w:hint="cs"/>
          <w:bCs/>
          <w:color w:val="auto"/>
          <w:kern w:val="0"/>
          <w:szCs w:val="26"/>
          <w:rtl/>
          <w14:ligatures w14:val="none"/>
        </w:rPr>
        <w:t>و.</w:t>
      </w:r>
      <w:r w:rsidRPr="0048608E">
        <w:rPr>
          <w:rFonts w:eastAsia="Times New Roman" w:cs="DecoType Naskh" w:hint="cs"/>
          <w:bCs/>
          <w:color w:val="auto"/>
          <w:kern w:val="0"/>
          <w:szCs w:val="26"/>
          <w:rtl/>
          <w14:ligatures w14:val="none"/>
        </w:rPr>
        <w:tab/>
        <w:t>انتقال برنامج العهد إلى إسحاق (23: 1-25: 11)</w:t>
      </w:r>
    </w:p>
    <w:p w14:paraId="5E3AB7DF" w14:textId="77A6C9C2" w:rsidR="00DC7FD4" w:rsidRDefault="00DC7FD4" w:rsidP="002D6C54">
      <w:pPr>
        <w:tabs>
          <w:tab w:val="left" w:pos="547"/>
          <w:tab w:val="left" w:pos="1094"/>
          <w:tab w:val="left" w:pos="1642"/>
          <w:tab w:val="left" w:pos="2189"/>
          <w:tab w:val="left" w:pos="2736"/>
          <w:tab w:val="left" w:pos="3283"/>
          <w:tab w:val="left" w:pos="3830"/>
          <w:tab w:val="left" w:pos="4378"/>
        </w:tabs>
        <w:spacing w:before="120" w:after="120" w:line="240" w:lineRule="auto"/>
        <w:jc w:val="both"/>
        <w:outlineLvl w:val="4"/>
        <w:rPr>
          <w:rFonts w:eastAsia="Times New Roman" w:cs="Times New Roman"/>
          <w:b/>
          <w:bCs/>
          <w:iCs/>
          <w:color w:val="auto"/>
          <w:kern w:val="0"/>
          <w:sz w:val="22"/>
          <w:szCs w:val="26"/>
          <w14:ligatures w14:val="none"/>
        </w:rPr>
      </w:pPr>
    </w:p>
    <w:p w14:paraId="51C15C7C" w14:textId="1C37DDA7" w:rsidR="001C7F8D" w:rsidRPr="007A4B15" w:rsidRDefault="001C7F8D" w:rsidP="00613F52">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bookmarkStart w:id="65" w:name="_Hlk178778393"/>
      <w:r w:rsidRPr="007A4B15">
        <w:rPr>
          <w:rFonts w:ascii="Verdana" w:eastAsia="Calibri" w:hAnsi="Verdana" w:cs="Times New Roman"/>
          <w:b/>
          <w:caps/>
          <w:noProof/>
          <w:color w:val="006699"/>
          <w:kern w:val="0"/>
          <w:sz w:val="21"/>
          <w:szCs w:val="24"/>
          <w14:ligatures w14:val="none"/>
        </w:rPr>
        <w:drawing>
          <wp:inline distT="0" distB="0" distL="0" distR="0" wp14:anchorId="36DBBA6E" wp14:editId="268BD885">
            <wp:extent cx="613692" cy="541464"/>
            <wp:effectExtent l="0" t="0" r="0" b="0"/>
            <wp:docPr id="384797793" name="Picture 384797793"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613F52" w:rsidRPr="00613F52">
        <w:rPr>
          <w:rFonts w:ascii="Verdana" w:eastAsia="Calibri" w:hAnsi="Verdana" w:cs="Times New Roman" w:hint="cs"/>
          <w:bCs/>
          <w:caps/>
          <w:color w:val="006699"/>
          <w:kern w:val="0"/>
          <w:sz w:val="21"/>
          <w:szCs w:val="24"/>
          <w:u w:val="single"/>
          <w:rtl/>
          <w14:ligatures w14:val="none"/>
        </w:rPr>
        <w:t>القراءة:</w:t>
      </w:r>
    </w:p>
    <w:p w14:paraId="0205E2D5" w14:textId="2972181F" w:rsidR="001C7F8D" w:rsidRPr="00DC7FD4" w:rsidRDefault="001C7F8D" w:rsidP="00613F52">
      <w:pPr>
        <w:tabs>
          <w:tab w:val="left" w:pos="547"/>
          <w:tab w:val="left" w:pos="1094"/>
          <w:tab w:val="left" w:pos="1642"/>
          <w:tab w:val="left" w:pos="2189"/>
          <w:tab w:val="left" w:pos="2736"/>
          <w:tab w:val="left" w:pos="3283"/>
          <w:tab w:val="left" w:pos="3830"/>
          <w:tab w:val="left" w:pos="4378"/>
        </w:tabs>
        <w:bidi/>
        <w:spacing w:before="120" w:after="120" w:line="240" w:lineRule="auto"/>
        <w:jc w:val="both"/>
        <w:outlineLvl w:val="4"/>
        <w:rPr>
          <w:rFonts w:eastAsia="Times New Roman" w:cs="Times New Roman"/>
          <w:b/>
          <w:bCs/>
          <w:iCs/>
          <w:color w:val="auto"/>
          <w:kern w:val="0"/>
          <w:sz w:val="22"/>
          <w:szCs w:val="26"/>
          <w14:ligatures w14:val="none"/>
        </w:rPr>
      </w:pPr>
      <w:r>
        <w:rPr>
          <w:rFonts w:eastAsia="Calibri" w:cs="Times New Roman"/>
          <w:kern w:val="0"/>
          <w:szCs w:val="24"/>
          <w14:ligatures w14:val="none"/>
        </w:rPr>
        <w:tab/>
      </w:r>
      <w:r>
        <w:rPr>
          <w:rFonts w:eastAsia="Calibri" w:cs="Times New Roman"/>
          <w:kern w:val="0"/>
          <w:szCs w:val="24"/>
          <w14:ligatures w14:val="none"/>
        </w:rPr>
        <w:tab/>
      </w:r>
      <w:r w:rsidR="00613F52">
        <w:rPr>
          <w:rFonts w:eastAsia="Calibri" w:cs="Times New Roman" w:hint="cs"/>
          <w:kern w:val="0"/>
          <w:szCs w:val="24"/>
          <w:rtl/>
          <w14:ligatures w14:val="none"/>
        </w:rPr>
        <w:t xml:space="preserve">اقرأ تكوين 23: 1 </w:t>
      </w:r>
      <w:r w:rsidR="00613F52">
        <w:rPr>
          <w:rFonts w:eastAsia="Calibri" w:cs="Times New Roman"/>
          <w:kern w:val="0"/>
          <w:szCs w:val="24"/>
          <w:rtl/>
          <w14:ligatures w14:val="none"/>
        </w:rPr>
        <w:t>–</w:t>
      </w:r>
      <w:r w:rsidR="00613F52">
        <w:rPr>
          <w:rFonts w:eastAsia="Calibri" w:cs="Times New Roman" w:hint="cs"/>
          <w:kern w:val="0"/>
          <w:szCs w:val="24"/>
          <w:rtl/>
          <w14:ligatures w14:val="none"/>
        </w:rPr>
        <w:t xml:space="preserve"> 25: 11 في كتابك المُقدَّس. </w:t>
      </w:r>
    </w:p>
    <w:bookmarkEnd w:id="65"/>
    <w:p w14:paraId="03DB7C6B"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تتبّع الأقسام الثلاثة النهائية انتقال برنامج العهد إلى إسحاق.  وتنتهي الآن مرحلة إبراهيم، لكن البرنامج الإلهي يستمر.  قد رتّب الله لاستمرار البرنامج بمولد النسل الموعود، أي إسحاق.  غير أن ملء البركة لم يتحقق مع إبراهيم، فهو موجود في الأرض فحسب، لكن دون أن يمتلكها حقاً.  وعند موته لا يمتلك إلاّ مكاناً للدفن.  وكما تبيّن عبرانيين 11: 13 بأنَّ إبراهيم مات دون أن ينال الوعود.  ولا بد للأمة أن تتطلع إلى شخص آخر من نسل إبراهيم يأتي ملء البركة من خلاله.  وسنجد هذا "النسل" في يسوع الناصري (غلاطية 3).</w:t>
      </w:r>
    </w:p>
    <w:p w14:paraId="1640B58B" w14:textId="77777777" w:rsidR="0048608E" w:rsidRPr="0048608E" w:rsidRDefault="0048608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1.</w:t>
      </w:r>
      <w:r w:rsidRPr="0048608E">
        <w:rPr>
          <w:rFonts w:eastAsia="Times New Roman" w:cs="DecoType Naskh" w:hint="cs"/>
          <w:color w:val="auto"/>
          <w:kern w:val="0"/>
          <w:szCs w:val="26"/>
          <w:rtl/>
          <w:lang w:bidi="ar-JO"/>
          <w14:ligatures w14:val="none"/>
        </w:rPr>
        <w:tab/>
        <w:t>شراء مغارة المكفيلة (23: 1-20)</w:t>
      </w:r>
    </w:p>
    <w:p w14:paraId="4B815077"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الأمر الهام هنا هو أن إبراهيم يتجاهل أرض آبائه عندما جاء وقت دفن سارة.  فبدلاً من العودة إلى فدّان أرام للدفن، يشهد أن رجاءه هو في هذه الأرض.  وهو يسعى بأمانة إلى تحقيق برنامج العهد الذي لا بد أن يتضمن الأرض.</w:t>
      </w:r>
    </w:p>
    <w:p w14:paraId="3AF8BD32" w14:textId="77777777" w:rsidR="0048608E" w:rsidRPr="0048608E" w:rsidRDefault="0048608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2.</w:t>
      </w:r>
      <w:r w:rsidRPr="0048608E">
        <w:rPr>
          <w:rFonts w:eastAsia="Times New Roman" w:cs="DecoType Naskh" w:hint="cs"/>
          <w:color w:val="auto"/>
          <w:kern w:val="0"/>
          <w:szCs w:val="26"/>
          <w:rtl/>
          <w:lang w:bidi="ar-JO"/>
          <w14:ligatures w14:val="none"/>
        </w:rPr>
        <w:tab/>
        <w:t>اختيار العروس لإسحاق (24: 1-67)</w:t>
      </w:r>
    </w:p>
    <w:p w14:paraId="737F0A71"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ينظر هذا الجزء إلى الوفاء للعهد من منظور الله (تدبيره وعنايته) ومن منظور الإنسان (لن تصلح كنعانية وثنية زوجة لإسحاق).  و</w:t>
      </w:r>
      <w:r w:rsidRPr="0048608E">
        <w:rPr>
          <w:rFonts w:eastAsia="Times New Roman" w:cs="DecoType Naskh" w:hint="cs"/>
          <w:color w:val="auto"/>
          <w:kern w:val="0"/>
          <w:szCs w:val="26"/>
          <w:rtl/>
          <w14:ligatures w14:val="none"/>
        </w:rPr>
        <w:t xml:space="preserve"> </w:t>
      </w:r>
      <w:r w:rsidRPr="0048608E">
        <w:rPr>
          <w:rFonts w:eastAsia="Times New Roman" w:cs="DecoType Naskh" w:hint="cs"/>
          <w:color w:val="auto"/>
          <w:kern w:val="0"/>
          <w:szCs w:val="26"/>
          <w:rtl/>
          <w:lang w:bidi="ar-JO"/>
          <w14:ligatures w14:val="none"/>
        </w:rPr>
        <w:t>هاهي محبة الله الوفية تعمل بطريقةٍ سياديّةٍ من خلال ظروف الذين يمارسون إيمانهم.</w:t>
      </w:r>
    </w:p>
    <w:p w14:paraId="6BC084BD" w14:textId="77777777" w:rsidR="0048608E" w:rsidRPr="0048608E" w:rsidRDefault="0048608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3.</w:t>
      </w:r>
      <w:r w:rsidRPr="0048608E">
        <w:rPr>
          <w:rFonts w:eastAsia="Times New Roman" w:cs="DecoType Naskh" w:hint="cs"/>
          <w:color w:val="auto"/>
          <w:kern w:val="0"/>
          <w:szCs w:val="26"/>
          <w:rtl/>
          <w:lang w:bidi="ar-JO"/>
          <w14:ligatures w14:val="none"/>
        </w:rPr>
        <w:tab/>
        <w:t>موت إبراهيم وميراث إسحاق (25: 1-11)</w:t>
      </w:r>
    </w:p>
    <w:p w14:paraId="53B131E2"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مع اقتراب غروب شمس حياة إبراهيم، رتّب لانتقال ميراث البركة إلى إسحاق.  ومع انتقال البركة إلى ابن الوعد، فإن البرنامج الإلهي سيواصل تقدّمه.</w:t>
      </w:r>
    </w:p>
    <w:p w14:paraId="4FD3823E"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003867E2" w14:textId="77777777" w:rsidR="0048608E" w:rsidRPr="0048608E" w:rsidRDefault="0048608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48608E">
        <w:rPr>
          <w:rFonts w:eastAsia="Times New Roman" w:cs="DecoType Naskh" w:hint="cs"/>
          <w:bCs/>
          <w:color w:val="auto"/>
          <w:kern w:val="0"/>
          <w:szCs w:val="28"/>
          <w:rtl/>
          <w:lang w:bidi="ar-JO"/>
          <w14:ligatures w14:val="none"/>
        </w:rPr>
        <w:lastRenderedPageBreak/>
        <w:t>3.</w:t>
      </w:r>
      <w:r w:rsidRPr="0048608E">
        <w:rPr>
          <w:rFonts w:eastAsia="Times New Roman" w:cs="DecoType Naskh" w:hint="cs"/>
          <w:bCs/>
          <w:color w:val="auto"/>
          <w:kern w:val="0"/>
          <w:szCs w:val="28"/>
          <w:rtl/>
          <w:lang w:bidi="ar-JO"/>
          <w14:ligatures w14:val="none"/>
        </w:rPr>
        <w:tab/>
        <w:t xml:space="preserve">العهد مع إبراهيم </w:t>
      </w:r>
    </w:p>
    <w:p w14:paraId="0EF5F709"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تشكل الوعود المقطوعة لإبراهيم والعهد معه مفتاح هذا السفر وحتى العهد القديم كلّه (حتى إنه يمكننا القول أيضاً إنه مفتاح الكتاب المقدس كلّه، لأن الوعود تتحقق في نهاية الأمر من خلال يسوع الذي هو نسل إبراهيم).  وبمعنى ما، فإن بقية الكتاب المقدس تشكل تطبيق وتحقيق العهد الإبراهيمي (ليس العهد الإبراهيمي تدبيراً إلهياً مؤقتاً ينتهي في خروج 19 بإعطاء الشريعة).  وفضلاً عن ذلك، فإنه يشكل أساس برنامج الله لإسرائيل.</w:t>
      </w:r>
    </w:p>
    <w:p w14:paraId="0D12D503"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2682938A"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 xml:space="preserve">يشكل العهد مع إبراهيم بداية برنامج إلهي لجلب البركة للعالم كلّه (فلم يكن خلق أمّة إسرائيل يهدف إلى حصر بركة الله وعلاقته في أمّة واحدة).  وكما سبق أن ذكرنا، فإن القصد من تكوين 1-11 هو أن إظهار الحاجة الماسة إلى هذه البركة.  يبدأ العهد الإلهي مع إبراهيم مرسّخاً الأمّة العبرية كأمة </w:t>
      </w:r>
      <w:r w:rsidRPr="0048608E">
        <w:rPr>
          <w:rFonts w:eastAsia="Times New Roman" w:cs="DecoType Naskh" w:hint="cs"/>
          <w:color w:val="auto"/>
          <w:kern w:val="0"/>
          <w:szCs w:val="26"/>
          <w:u w:val="single"/>
          <w:rtl/>
          <w:lang w:bidi="ar-JO"/>
          <w14:ligatures w14:val="none"/>
        </w:rPr>
        <w:t>جديدة</w:t>
      </w:r>
      <w:r w:rsidRPr="0048608E">
        <w:rPr>
          <w:rFonts w:eastAsia="Times New Roman" w:cs="DecoType Naskh" w:hint="cs"/>
          <w:color w:val="auto"/>
          <w:kern w:val="0"/>
          <w:szCs w:val="26"/>
          <w:rtl/>
          <w:lang w:bidi="ar-JO"/>
          <w14:ligatures w14:val="none"/>
        </w:rPr>
        <w:t xml:space="preserve"> (كان إبراهيم قد دُعي من حضارة وثنية).  هذا هو إذاً أساس أمة إسرائيل وقصد برنامج الله لها... أن تكون وسيط البركة لكل قبائل الأرض.</w:t>
      </w:r>
    </w:p>
    <w:p w14:paraId="7A62CAAF"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B069EC6" w14:textId="77777777" w:rsidR="0048608E" w:rsidRPr="0048608E" w:rsidRDefault="0048608E" w:rsidP="002D6C54">
      <w:pPr>
        <w:tabs>
          <w:tab w:val="left" w:pos="454"/>
        </w:tabs>
        <w:bidi/>
        <w:spacing w:after="60" w:line="240" w:lineRule="auto"/>
        <w:ind w:left="550" w:hanging="550"/>
        <w:jc w:val="both"/>
        <w:rPr>
          <w:rFonts w:eastAsia="Times New Roman" w:cs="DecoType Naskh"/>
          <w:bCs/>
          <w:color w:val="auto"/>
          <w:kern w:val="0"/>
          <w:szCs w:val="26"/>
          <w:rtl/>
          <w:lang w:bidi="ar-JO"/>
          <w14:ligatures w14:val="none"/>
        </w:rPr>
      </w:pPr>
      <w:r w:rsidRPr="0048608E">
        <w:rPr>
          <w:rFonts w:eastAsia="Times New Roman" w:cs="DecoType Naskh" w:hint="cs"/>
          <w:bCs/>
          <w:color w:val="auto"/>
          <w:kern w:val="0"/>
          <w:szCs w:val="26"/>
          <w:rtl/>
          <w14:ligatures w14:val="none"/>
        </w:rPr>
        <w:t>أ.</w:t>
      </w:r>
      <w:r w:rsidRPr="0048608E">
        <w:rPr>
          <w:rFonts w:eastAsia="Times New Roman" w:cs="DecoType Naskh" w:hint="cs"/>
          <w:bCs/>
          <w:color w:val="auto"/>
          <w:kern w:val="0"/>
          <w:szCs w:val="26"/>
          <w:rtl/>
          <w14:ligatures w14:val="none"/>
        </w:rPr>
        <w:tab/>
        <w:t>بنية تكوين 12: 1-3</w:t>
      </w:r>
    </w:p>
    <w:p w14:paraId="0805EDDF"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يوجد في هذه الآيات أمران متبوعان بثلاثة وعود:</w:t>
      </w:r>
    </w:p>
    <w:p w14:paraId="6683329D"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1.</w:t>
      </w:r>
      <w:r w:rsidRPr="0048608E">
        <w:rPr>
          <w:rFonts w:eastAsia="Times New Roman" w:cs="DecoType Naskh" w:hint="cs"/>
          <w:color w:val="auto"/>
          <w:kern w:val="0"/>
          <w:szCs w:val="26"/>
          <w:rtl/>
          <w:lang w:bidi="ar-JO"/>
          <w14:ligatures w14:val="none"/>
        </w:rPr>
        <w:tab/>
        <w:t>الأمر الأول: اذهب!</w:t>
      </w:r>
    </w:p>
    <w:p w14:paraId="5239B07D"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أ.</w:t>
      </w:r>
      <w:r w:rsidRPr="0048608E">
        <w:rPr>
          <w:rFonts w:eastAsia="Times New Roman" w:cs="DecoType Naskh" w:hint="cs"/>
          <w:color w:val="auto"/>
          <w:kern w:val="0"/>
          <w:szCs w:val="26"/>
          <w:rtl/>
          <w:lang w:bidi="ar-JO"/>
          <w14:ligatures w14:val="none"/>
        </w:rPr>
        <w:tab/>
        <w:t xml:space="preserve">سأجعلك أمة عظيمة </w:t>
      </w:r>
    </w:p>
    <w:p w14:paraId="0A348421"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ب.</w:t>
      </w:r>
      <w:r w:rsidRPr="0048608E">
        <w:rPr>
          <w:rFonts w:eastAsia="Times New Roman" w:cs="DecoType Naskh" w:hint="cs"/>
          <w:color w:val="auto"/>
          <w:kern w:val="0"/>
          <w:szCs w:val="26"/>
          <w:rtl/>
          <w:lang w:bidi="ar-JO"/>
          <w14:ligatures w14:val="none"/>
        </w:rPr>
        <w:tab/>
        <w:t>سأباركك</w:t>
      </w:r>
    </w:p>
    <w:p w14:paraId="1BBD9BDD"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جـ.</w:t>
      </w:r>
      <w:r w:rsidRPr="0048608E">
        <w:rPr>
          <w:rFonts w:eastAsia="Times New Roman" w:cs="DecoType Naskh" w:hint="cs"/>
          <w:color w:val="auto"/>
          <w:kern w:val="0"/>
          <w:szCs w:val="26"/>
          <w:rtl/>
          <w:lang w:bidi="ar-JO"/>
          <w14:ligatures w14:val="none"/>
        </w:rPr>
        <w:tab/>
        <w:t>سأعظّم اسمك</w:t>
      </w:r>
    </w:p>
    <w:p w14:paraId="541137C3"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p>
    <w:p w14:paraId="339522CF"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p>
    <w:p w14:paraId="7B653969"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2.</w:t>
      </w:r>
      <w:r w:rsidRPr="0048608E">
        <w:rPr>
          <w:rFonts w:eastAsia="Times New Roman" w:cs="DecoType Naskh" w:hint="cs"/>
          <w:color w:val="auto"/>
          <w:kern w:val="0"/>
          <w:szCs w:val="26"/>
          <w:rtl/>
          <w:lang w:bidi="ar-JO"/>
          <w14:ligatures w14:val="none"/>
        </w:rPr>
        <w:tab/>
        <w:t>الأمر الثاني: كن بركة!</w:t>
      </w:r>
    </w:p>
    <w:p w14:paraId="755865A8"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أ.</w:t>
      </w:r>
      <w:r w:rsidRPr="0048608E">
        <w:rPr>
          <w:rFonts w:eastAsia="Times New Roman" w:cs="DecoType Naskh" w:hint="cs"/>
          <w:color w:val="auto"/>
          <w:kern w:val="0"/>
          <w:szCs w:val="26"/>
          <w:rtl/>
          <w:lang w:bidi="ar-JO"/>
          <w14:ligatures w14:val="none"/>
        </w:rPr>
        <w:tab/>
        <w:t xml:space="preserve">سأبارك مباركيك </w:t>
      </w:r>
    </w:p>
    <w:p w14:paraId="5B40C941"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ب.</w:t>
      </w:r>
      <w:r w:rsidRPr="0048608E">
        <w:rPr>
          <w:rFonts w:eastAsia="Times New Roman" w:cs="DecoType Naskh" w:hint="cs"/>
          <w:color w:val="auto"/>
          <w:kern w:val="0"/>
          <w:szCs w:val="26"/>
          <w:rtl/>
          <w:lang w:bidi="ar-JO"/>
          <w14:ligatures w14:val="none"/>
        </w:rPr>
        <w:tab/>
        <w:t>سألعن (</w:t>
      </w:r>
      <w:bookmarkStart w:id="66" w:name="_Hlk125988690"/>
      <w:r w:rsidRPr="0048608E">
        <w:rPr>
          <w:rFonts w:ascii="Ezra SIL" w:eastAsia="Times New Roman" w:hAnsi="Ezra SIL" w:cs="Ezra SIL" w:hint="cs"/>
          <w:b/>
          <w:color w:val="auto"/>
          <w:kern w:val="0"/>
          <w:rtl/>
          <w:lang w:bidi="he-IL"/>
          <w14:ligatures w14:val="none"/>
        </w:rPr>
        <w:t>ארר</w:t>
      </w:r>
      <w:bookmarkEnd w:id="66"/>
      <w:r w:rsidRPr="0048608E">
        <w:rPr>
          <w:rFonts w:eastAsia="Times New Roman" w:cs="DecoType Naskh" w:hint="cs"/>
          <w:color w:val="auto"/>
          <w:kern w:val="0"/>
          <w:szCs w:val="26"/>
          <w:rtl/>
          <w:lang w:bidi="ar-JO"/>
          <w14:ligatures w14:val="none"/>
        </w:rPr>
        <w:t>) لاعنيك (</w:t>
      </w:r>
      <w:bookmarkStart w:id="67" w:name="_Hlk125988650"/>
      <w:r w:rsidRPr="0048608E">
        <w:rPr>
          <w:rFonts w:ascii="Ezra SIL" w:eastAsia="Times New Roman" w:hAnsi="Ezra SIL" w:cs="Ezra SIL" w:hint="cs"/>
          <w:b/>
          <w:color w:val="auto"/>
          <w:kern w:val="0"/>
          <w:rtl/>
          <w:lang w:bidi="he-IL"/>
          <w14:ligatures w14:val="none"/>
        </w:rPr>
        <w:t>קלל</w:t>
      </w:r>
      <w:bookmarkEnd w:id="67"/>
      <w:r w:rsidRPr="0048608E">
        <w:rPr>
          <w:rFonts w:eastAsia="Times New Roman" w:cs="DecoType Naskh" w:hint="cs"/>
          <w:color w:val="auto"/>
          <w:kern w:val="0"/>
          <w:szCs w:val="26"/>
          <w:rtl/>
          <w:lang w:bidi="ar-JO"/>
          <w14:ligatures w14:val="none"/>
        </w:rPr>
        <w:t>)</w:t>
      </w:r>
    </w:p>
    <w:p w14:paraId="5F7599C1"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جـ.</w:t>
      </w:r>
      <w:r w:rsidRPr="0048608E">
        <w:rPr>
          <w:rFonts w:eastAsia="Times New Roman" w:cs="DecoType Naskh" w:hint="cs"/>
          <w:color w:val="auto"/>
          <w:kern w:val="0"/>
          <w:szCs w:val="26"/>
          <w:rtl/>
          <w:lang w:bidi="ar-JO"/>
          <w14:ligatures w14:val="none"/>
        </w:rPr>
        <w:tab/>
        <w:t>ستتبارك فيك جميع قبائل الأرض</w:t>
      </w:r>
    </w:p>
    <w:p w14:paraId="3D986478"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p>
    <w:p w14:paraId="1A5323E4"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يركز الجزء الأول على إبراهيم وعلى ما سيصبح إذا أطاع الأمر بالمغادرة.  أما الجزء الثاني فيركز على كل من إبراهيم ونسله وما سيفعله الله معهم إذا أطاعوا الأمر بأن يكونوا بركة.  وفي المرحلة الأخيرة ستتمتع الأمة برضى الله وحمايته.  وخلاصة هذا المبدأ هو أن الله سيظهر نعمته ورضاه على الذين يعاملون الأمة المختارة معاملة حسنة، وأما الذين يعاملون إبراهيم (وإسرائيل) بلا مبالاة (</w:t>
      </w:r>
      <w:r w:rsidRPr="0048608E">
        <w:rPr>
          <w:rFonts w:ascii="Ezra SIL" w:eastAsia="Times New Roman" w:hAnsi="Ezra SIL" w:cs="Ezra SIL" w:hint="cs"/>
          <w:b/>
          <w:color w:val="auto"/>
          <w:kern w:val="0"/>
          <w:rtl/>
          <w:lang w:bidi="he-IL"/>
          <w14:ligatures w14:val="none"/>
        </w:rPr>
        <w:t>קלל</w:t>
      </w:r>
      <w:r w:rsidRPr="0048608E">
        <w:rPr>
          <w:rFonts w:eastAsia="Times New Roman" w:cs="DecoType Naskh" w:hint="cs"/>
          <w:color w:val="auto"/>
          <w:kern w:val="0"/>
          <w:szCs w:val="26"/>
          <w:rtl/>
          <w:lang w:bidi="ar-JO"/>
          <w14:ligatures w14:val="none"/>
        </w:rPr>
        <w:t>)، فسيجلب الله الدينونة عليهم (</w:t>
      </w:r>
      <w:r w:rsidRPr="0048608E">
        <w:rPr>
          <w:rFonts w:ascii="Ezra SIL" w:eastAsia="Times New Roman" w:hAnsi="Ezra SIL" w:cs="Ezra SIL" w:hint="cs"/>
          <w:b/>
          <w:color w:val="auto"/>
          <w:kern w:val="0"/>
          <w:sz w:val="20"/>
          <w:szCs w:val="20"/>
          <w:rtl/>
          <w:lang w:bidi="he-IL"/>
          <w14:ligatures w14:val="none"/>
        </w:rPr>
        <w:t>ארר</w:t>
      </w:r>
      <w:r w:rsidRPr="0048608E">
        <w:rPr>
          <w:rFonts w:eastAsia="Times New Roman" w:cs="DecoType Naskh" w:hint="cs"/>
          <w:color w:val="auto"/>
          <w:kern w:val="0"/>
          <w:szCs w:val="26"/>
          <w:rtl/>
          <w:lang w:bidi="ar-JO"/>
          <w14:ligatures w14:val="none"/>
        </w:rPr>
        <w:t xml:space="preserve">).  لكن يجب عدم أخذ هذا المبدأ في معزلٍ عن غيره من المبادئ، إذ هناك مبادئ كتابية أُخرى تُطبَّق كهذا المبدأ بالضبط.  لدى إسرائيل (كأمة) مسؤوليات أخلاقية، وسلوكها غير الأمين نحو الله وتصرُّفها غير الأخلاقي نحو الآخرين يجب ألا يُغض النظر عنهما (مثل مسؤوليتها بأن تحب الغريب الساكن في الأرض- تث 10: 19).  سيحاسب الله الأمة في هذه الأمور، وسيؤدِّبها حين تكون غير أمينة (تث 28-29).  نتيجة لهذا، لا يُتوقع من أمم العالم أن تصادق على إسرائيل أو تدعمها في مثل هذه الأحوال.  في نهاية المطاف، سيتحقق مبدأ البركة بنسل إبراهيم من خلال المسيح: فعلى المرء ألا يمر عن يسوع بلا مبالاةٍ؛  لأن من يعمل ذلك لن يكون له خلاص لكن دينونة أبدية فقط. </w:t>
      </w:r>
    </w:p>
    <w:p w14:paraId="0294A292"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 xml:space="preserve"> </w:t>
      </w:r>
    </w:p>
    <w:p w14:paraId="1B2D6C1F" w14:textId="77777777" w:rsidR="0048608E" w:rsidRPr="0048608E" w:rsidRDefault="0048608E" w:rsidP="002D6C54">
      <w:pPr>
        <w:tabs>
          <w:tab w:val="left" w:pos="454"/>
        </w:tabs>
        <w:bidi/>
        <w:spacing w:after="60" w:line="240" w:lineRule="auto"/>
        <w:ind w:left="550" w:hanging="550"/>
        <w:jc w:val="both"/>
        <w:rPr>
          <w:rFonts w:eastAsia="Times New Roman" w:cs="DecoType Naskh"/>
          <w:bCs/>
          <w:color w:val="auto"/>
          <w:kern w:val="0"/>
          <w:szCs w:val="26"/>
          <w:rtl/>
          <w:lang w:bidi="ar-JO"/>
          <w14:ligatures w14:val="none"/>
        </w:rPr>
      </w:pPr>
      <w:r w:rsidRPr="0048608E">
        <w:rPr>
          <w:rFonts w:eastAsia="Times New Roman" w:cs="DecoType Naskh" w:hint="cs"/>
          <w:bCs/>
          <w:color w:val="auto"/>
          <w:kern w:val="0"/>
          <w:szCs w:val="26"/>
          <w:rtl/>
          <w14:ligatures w14:val="none"/>
        </w:rPr>
        <w:t>ب.</w:t>
      </w:r>
      <w:r w:rsidRPr="0048608E">
        <w:rPr>
          <w:rFonts w:eastAsia="Times New Roman" w:cs="DecoType Naskh" w:hint="cs"/>
          <w:bCs/>
          <w:color w:val="auto"/>
          <w:kern w:val="0"/>
          <w:szCs w:val="26"/>
          <w:rtl/>
          <w14:ligatures w14:val="none"/>
        </w:rPr>
        <w:tab/>
        <w:t xml:space="preserve">استجابة إبراهيم </w:t>
      </w:r>
    </w:p>
    <w:p w14:paraId="389993C4"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تعتمد الوعود في تكوين 12: 1-3 على استجابة أبرام بالطاعة، وهذا يتطلب إيماناً.  ويستجيب أبرام بالإيمان ويطيع بالفعل.  إذ يخرج من الأرض ويبدأ مشوار صيرورته بركة:</w:t>
      </w:r>
    </w:p>
    <w:p w14:paraId="76C6A103"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اذهب!</w:t>
      </w:r>
      <w:r w:rsidRPr="0048608E">
        <w:rPr>
          <w:rFonts w:eastAsia="Times New Roman" w:cs="DecoType Naskh" w:hint="cs"/>
          <w:color w:val="auto"/>
          <w:kern w:val="0"/>
          <w:szCs w:val="26"/>
          <w:rtl/>
          <w:lang w:bidi="ar-JO"/>
          <w14:ligatures w14:val="none"/>
        </w:rPr>
        <w:tab/>
      </w:r>
      <w:r w:rsidRPr="0048608E">
        <w:rPr>
          <w:rFonts w:eastAsia="Times New Roman" w:cs="DecoType Naskh" w:hint="cs"/>
          <w:color w:val="auto"/>
          <w:kern w:val="0"/>
          <w:szCs w:val="26"/>
          <w:rtl/>
          <w:lang w:bidi="ar-JO"/>
          <w14:ligatures w14:val="none"/>
        </w:rPr>
        <w:tab/>
        <w:t xml:space="preserve">12: 4 </w:t>
      </w:r>
      <w:r w:rsidRPr="0048608E">
        <w:rPr>
          <w:rFonts w:eastAsia="Times New Roman" w:cs="DecoType Naskh" w:hint="cs"/>
          <w:color w:val="auto"/>
          <w:kern w:val="0"/>
          <w:szCs w:val="26"/>
          <w:rtl/>
          <w:lang w:bidi="ar-JO"/>
          <w14:ligatures w14:val="none"/>
        </w:rPr>
        <w:tab/>
        <w:t>"فذهب أبرام..."</w:t>
      </w:r>
    </w:p>
    <w:p w14:paraId="3D1BF5FD"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كن بركة</w:t>
      </w:r>
      <w:r w:rsidRPr="0048608E">
        <w:rPr>
          <w:rFonts w:eastAsia="Times New Roman" w:cs="DecoType Naskh" w:hint="cs"/>
          <w:color w:val="auto"/>
          <w:kern w:val="0"/>
          <w:szCs w:val="26"/>
          <w:rtl/>
          <w14:ligatures w14:val="none"/>
        </w:rPr>
        <w:tab/>
      </w:r>
      <w:r w:rsidRPr="0048608E">
        <w:rPr>
          <w:rFonts w:eastAsia="Times New Roman" w:cs="DecoType Naskh" w:hint="cs"/>
          <w:color w:val="auto"/>
          <w:kern w:val="0"/>
          <w:szCs w:val="26"/>
          <w:rtl/>
          <w:lang w:bidi="ar-JO"/>
          <w14:ligatures w14:val="none"/>
        </w:rPr>
        <w:tab/>
        <w:t>2: 8</w:t>
      </w:r>
      <w:r w:rsidRPr="0048608E">
        <w:rPr>
          <w:rFonts w:eastAsia="Times New Roman" w:cs="DecoType Naskh" w:hint="cs"/>
          <w:color w:val="auto"/>
          <w:kern w:val="0"/>
          <w:szCs w:val="26"/>
          <w:rtl/>
          <w:lang w:bidi="ar-JO"/>
          <w14:ligatures w14:val="none"/>
        </w:rPr>
        <w:tab/>
        <w:t>" فبنى هناك مذبحاً للرب ودعا باسم الرب"</w:t>
      </w:r>
    </w:p>
    <w:p w14:paraId="74B8B529"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p>
    <w:p w14:paraId="6D0AE652" w14:textId="19142738"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يعمل إبراهيم لهذا، فهو يشهد ليهوه في وسط الكنعانيين، وهو في هذه بركة لهم.  فهو في هذه المرحلة يطيع الرب (على الرغم من أن ذلك جزئي، إذ يسمح للوط باللحاق به).  وربما تشير عبارة "</w:t>
      </w:r>
      <w:r w:rsidRPr="0048608E">
        <w:rPr>
          <w:rFonts w:eastAsia="Times New Roman" w:cs="DecoType Naskh" w:hint="cs"/>
          <w:i/>
          <w:iCs/>
          <w:color w:val="auto"/>
          <w:kern w:val="0"/>
          <w:szCs w:val="26"/>
          <w:rtl/>
          <w:lang w:bidi="ar-JO"/>
          <w14:ligatures w14:val="none"/>
        </w:rPr>
        <w:t>فآمن بالرب</w:t>
      </w:r>
      <w:r w:rsidRPr="0048608E">
        <w:rPr>
          <w:rFonts w:eastAsia="Times New Roman" w:cs="DecoType Naskh" w:hint="cs"/>
          <w:color w:val="auto"/>
          <w:kern w:val="0"/>
          <w:szCs w:val="26"/>
          <w:rtl/>
          <w:lang w:bidi="ar-JO"/>
          <w14:ligatures w14:val="none"/>
        </w:rPr>
        <w:t>" في تكوين 15: 6 إلى هذه النقطة التي يطيع فيها الدعوة بإيمان.  فهو يأخذ كلام الله على محمل الجد ويعتمد عليه، وهذا هو جوهر الإيمان؛ الاتكال على كلام الله.  وحين يصل أبرام إلى الأرض، يعد يهوه بأن يعطي الأرض لنسله.  يوجد هنا درس لجيل الخروج: إذ عليهم أن يغادروا بالإيمان مصر إلى أرض الموعد.</w:t>
      </w:r>
    </w:p>
    <w:p w14:paraId="5632BE84"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3C3A8FD" w14:textId="77777777" w:rsidR="0048608E" w:rsidRPr="0048608E" w:rsidRDefault="0048608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48608E">
        <w:rPr>
          <w:rFonts w:eastAsia="Times New Roman" w:cs="DecoType Naskh" w:hint="cs"/>
          <w:bCs/>
          <w:color w:val="auto"/>
          <w:kern w:val="0"/>
          <w:szCs w:val="26"/>
          <w:rtl/>
          <w14:ligatures w14:val="none"/>
        </w:rPr>
        <w:t>جـ.</w:t>
      </w:r>
      <w:r w:rsidRPr="0048608E">
        <w:rPr>
          <w:rFonts w:eastAsia="Times New Roman" w:cs="DecoType Naskh" w:hint="cs"/>
          <w:bCs/>
          <w:color w:val="auto"/>
          <w:kern w:val="0"/>
          <w:szCs w:val="26"/>
          <w:rtl/>
          <w14:ligatures w14:val="none"/>
        </w:rPr>
        <w:tab/>
        <w:t xml:space="preserve"> مراحل البرنامج الإلهي</w:t>
      </w:r>
    </w:p>
    <w:p w14:paraId="3436E65A" w14:textId="77777777" w:rsidR="0048608E" w:rsidRPr="0048608E" w:rsidRDefault="0048608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1.</w:t>
      </w:r>
      <w:r w:rsidRPr="0048608E">
        <w:rPr>
          <w:rFonts w:eastAsia="Times New Roman" w:cs="DecoType Naskh" w:hint="cs"/>
          <w:color w:val="auto"/>
          <w:kern w:val="0"/>
          <w:szCs w:val="26"/>
          <w:rtl/>
          <w:lang w:bidi="ar-JO"/>
          <w14:ligatures w14:val="none"/>
        </w:rPr>
        <w:tab/>
        <w:t xml:space="preserve">يفرز الله شخصاً واحداً </w:t>
      </w:r>
      <w:r w:rsidRPr="0048608E">
        <w:rPr>
          <w:rFonts w:eastAsia="Times New Roman" w:cs="DecoType Naskh"/>
          <w:color w:val="auto"/>
          <w:kern w:val="0"/>
          <w:szCs w:val="26"/>
          <w:rtl/>
          <w:lang w:bidi="ar-JO"/>
          <w14:ligatures w14:val="none"/>
        </w:rPr>
        <w:t>–</w:t>
      </w:r>
      <w:r w:rsidRPr="0048608E">
        <w:rPr>
          <w:rFonts w:eastAsia="Times New Roman" w:cs="DecoType Naskh" w:hint="cs"/>
          <w:color w:val="auto"/>
          <w:kern w:val="0"/>
          <w:szCs w:val="26"/>
          <w:rtl/>
          <w:lang w:bidi="ar-JO"/>
          <w14:ligatures w14:val="none"/>
        </w:rPr>
        <w:t xml:space="preserve"> إبراهيم </w:t>
      </w:r>
    </w:p>
    <w:p w14:paraId="392FC8A9"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يغادر حاران في سن الخامسة والسبعين في حوالي عام 2019ق م ليدخل كنعان.</w:t>
      </w:r>
      <w:r w:rsidRPr="0048608E">
        <w:rPr>
          <w:rFonts w:eastAsia="Times New Roman" w:cs="DecoType Naskh"/>
          <w:color w:val="auto"/>
          <w:kern w:val="0"/>
          <w:sz w:val="30"/>
          <w:szCs w:val="28"/>
          <w:vertAlign w:val="superscript"/>
          <w:rtl/>
          <w:lang w:bidi="ar-JO"/>
          <w14:ligatures w14:val="none"/>
        </w:rPr>
        <w:footnoteReference w:customMarkFollows="1" w:id="42"/>
        <w:t>5</w:t>
      </w:r>
      <w:r w:rsidRPr="0048608E">
        <w:rPr>
          <w:rFonts w:eastAsia="Times New Roman" w:cs="DecoType Naskh" w:hint="cs"/>
          <w:color w:val="auto"/>
          <w:kern w:val="0"/>
          <w:szCs w:val="26"/>
          <w:rtl/>
          <w14:ligatures w14:val="none"/>
        </w:rPr>
        <w:t xml:space="preserve">  </w:t>
      </w:r>
      <w:r w:rsidRPr="0048608E">
        <w:rPr>
          <w:rFonts w:eastAsia="Times New Roman" w:cs="DecoType Naskh" w:hint="cs"/>
          <w:color w:val="auto"/>
          <w:kern w:val="0"/>
          <w:szCs w:val="26"/>
          <w:rtl/>
          <w:lang w:bidi="ar-JO"/>
          <w14:ligatures w14:val="none"/>
        </w:rPr>
        <w:t>كانت أور في ذلك الوقت مدينة متطورة غنية (ربما كانت تضمّ أكثر الحضارات تقدماً في ذلك العصر)، أما حضارة الكنعانيين فكانت غير أخلاقية.  غير أن هذا هو المكان الذي قرر الله أن يبدأ برنامجه فيه.</w:t>
      </w:r>
    </w:p>
    <w:p w14:paraId="7931DD8C" w14:textId="77777777" w:rsidR="0048608E" w:rsidRPr="0048608E" w:rsidRDefault="0048608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2.</w:t>
      </w:r>
      <w:r w:rsidRPr="0048608E">
        <w:rPr>
          <w:rFonts w:eastAsia="Times New Roman" w:cs="DecoType Naskh" w:hint="cs"/>
          <w:color w:val="auto"/>
          <w:kern w:val="0"/>
          <w:szCs w:val="26"/>
          <w:rtl/>
          <w:lang w:bidi="ar-JO"/>
          <w14:ligatures w14:val="none"/>
        </w:rPr>
        <w:tab/>
        <w:t xml:space="preserve">يصنع الله أمّة واحدة من نسل إبراهيم </w:t>
      </w:r>
    </w:p>
    <w:p w14:paraId="090D421E"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لا يصبح نسل إبراهيم أمّة إلى أن يقودهم موسى خارج مصر (1446ق م) لينضموا إلى علاقة العهد مع يهوه في خروج 19.  إذاً توجد فترة 600 سنة بين الوعد والتحقيق.  توجد ثلاثة عوامل لتشكيل الأمة:</w:t>
      </w:r>
    </w:p>
    <w:p w14:paraId="5CAE2EEC"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أ.</w:t>
      </w:r>
      <w:r w:rsidRPr="0048608E">
        <w:rPr>
          <w:rFonts w:eastAsia="Times New Roman" w:cs="DecoType Naskh" w:hint="cs"/>
          <w:color w:val="auto"/>
          <w:kern w:val="0"/>
          <w:szCs w:val="26"/>
          <w:rtl/>
          <w:lang w:bidi="ar-JO"/>
          <w14:ligatures w14:val="none"/>
        </w:rPr>
        <w:tab/>
        <w:t xml:space="preserve">شعب </w:t>
      </w:r>
    </w:p>
    <w:p w14:paraId="214AEC27"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ب.</w:t>
      </w:r>
      <w:r w:rsidRPr="0048608E">
        <w:rPr>
          <w:rFonts w:eastAsia="Times New Roman" w:cs="DecoType Naskh" w:hint="cs"/>
          <w:color w:val="auto"/>
          <w:kern w:val="0"/>
          <w:szCs w:val="26"/>
          <w:rtl/>
          <w:lang w:bidi="ar-JO"/>
          <w14:ligatures w14:val="none"/>
        </w:rPr>
        <w:tab/>
        <w:t>أرض (وهي تحدد بشكل عام في تكوين 15: 18)</w:t>
      </w:r>
    </w:p>
    <w:p w14:paraId="52525488"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جـ.</w:t>
      </w:r>
      <w:r w:rsidRPr="0048608E">
        <w:rPr>
          <w:rFonts w:eastAsia="Times New Roman" w:cs="DecoType Naskh" w:hint="cs"/>
          <w:color w:val="auto"/>
          <w:kern w:val="0"/>
          <w:szCs w:val="26"/>
          <w:rtl/>
          <w:lang w:bidi="ar-JO"/>
          <w14:ligatures w14:val="none"/>
        </w:rPr>
        <w:tab/>
        <w:t>دستور يربطهم معاً</w:t>
      </w:r>
    </w:p>
    <w:p w14:paraId="3B81C05F"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(شكل بدائي في تكوين 17؛ وبشكل رسمي في خروج 19)</w:t>
      </w:r>
    </w:p>
    <w:p w14:paraId="7BBDC39E" w14:textId="77777777" w:rsidR="0048608E" w:rsidRPr="0048608E" w:rsidRDefault="0048608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3.</w:t>
      </w:r>
      <w:r w:rsidRPr="0048608E">
        <w:rPr>
          <w:rFonts w:eastAsia="Times New Roman" w:cs="DecoType Naskh" w:hint="cs"/>
          <w:color w:val="auto"/>
          <w:kern w:val="0"/>
          <w:szCs w:val="26"/>
          <w:rtl/>
          <w:lang w:bidi="ar-JO"/>
          <w14:ligatures w14:val="none"/>
        </w:rPr>
        <w:tab/>
        <w:t>مأمورية الله لإبراهيم بأن يكون بركة</w:t>
      </w:r>
    </w:p>
    <w:p w14:paraId="3A066CB3"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 xml:space="preserve"> أن "تبارِك" شخصاً يعني أن تُثريه، ويتضمن هذا الجانبين المادي والروحي.  وما يجب أن نلاحظه هنا هو أن هذه المأمورية يجب أن تصل إلى "كل قبائل الأرض"، أي إلى الأمم أيضاً.  وسيتحقق هذا في نهاية المطاف من خلال يسوع المسيح، ويفسّر هذا إدخال الأمميين ليكونوا شركاء في الكنيسة (أفسس 2).  وتشمل هذه البركة الإعلان الإلهي أيضاً، حيث بارك اليهود العالم بإعطاء الكتاب المقدس للجميع (رومية 3: 1-2).</w:t>
      </w:r>
    </w:p>
    <w:p w14:paraId="2384E2E0"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3C0068AB" w14:textId="77777777" w:rsidR="0048608E" w:rsidRPr="0048608E" w:rsidRDefault="0048608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48608E">
        <w:rPr>
          <w:rFonts w:eastAsia="Times New Roman" w:cs="DecoType Naskh" w:hint="cs"/>
          <w:bCs/>
          <w:color w:val="auto"/>
          <w:kern w:val="0"/>
          <w:szCs w:val="26"/>
          <w:rtl/>
          <w14:ligatures w14:val="none"/>
        </w:rPr>
        <w:t>د.</w:t>
      </w:r>
      <w:r w:rsidRPr="0048608E">
        <w:rPr>
          <w:rFonts w:eastAsia="Times New Roman" w:cs="DecoType Naskh" w:hint="cs"/>
          <w:bCs/>
          <w:color w:val="auto"/>
          <w:kern w:val="0"/>
          <w:szCs w:val="26"/>
          <w:rtl/>
          <w14:ligatures w14:val="none"/>
        </w:rPr>
        <w:tab/>
        <w:t xml:space="preserve">المصادقة على الوعود </w:t>
      </w:r>
    </w:p>
    <w:p w14:paraId="76BC31EC"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على الأرجح أن تكوين 15: 7-21 أكثر أجزاء العهد القديم أهمية.  وهنا يصادق العهد على الوعد المعطى لأبرام في الأصحاح 12.  لقد أُعطي وعد الأرض عند الدخول إلى الأرض (12: 7)، وهو يتعزز بوعد "إلى الأبد" بعد انفصال لوط (13: 15)، وهو يتحدد الآن في تكوين 15 في المصادقة على العهد.  وهذا العهد هام، لأنه يقرر برنامج الله الأخروي كله لأمة إسرائيل.</w:t>
      </w:r>
    </w:p>
    <w:p w14:paraId="2CD427B7" w14:textId="77777777" w:rsidR="0048608E" w:rsidRPr="0048608E" w:rsidRDefault="0048608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1.</w:t>
      </w:r>
      <w:r w:rsidRPr="0048608E">
        <w:rPr>
          <w:rFonts w:eastAsia="Times New Roman" w:cs="DecoType Naskh" w:hint="cs"/>
          <w:color w:val="auto"/>
          <w:kern w:val="0"/>
          <w:szCs w:val="26"/>
          <w:rtl/>
          <w:lang w:bidi="ar-JO"/>
          <w14:ligatures w14:val="none"/>
        </w:rPr>
        <w:tab/>
        <w:t xml:space="preserve">أنواع من العهود </w:t>
      </w:r>
    </w:p>
    <w:p w14:paraId="6204706B"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شاعت في العادات الشرقية القديمة طرق للمصادقة على عقد شرعي بين طرفي العقد الموافقين عليه:</w:t>
      </w:r>
    </w:p>
    <w:p w14:paraId="5F59AA03"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أ.</w:t>
      </w:r>
      <w:r w:rsidRPr="0048608E">
        <w:rPr>
          <w:rFonts w:eastAsia="Times New Roman" w:cs="DecoType Naskh" w:hint="cs"/>
          <w:color w:val="auto"/>
          <w:kern w:val="0"/>
          <w:szCs w:val="26"/>
          <w:rtl/>
          <w:lang w:bidi="ar-JO"/>
          <w14:ligatures w14:val="none"/>
        </w:rPr>
        <w:tab/>
        <w:t>عهد الحذاء (انظر روث 4: 8)</w:t>
      </w:r>
    </w:p>
    <w:p w14:paraId="0DDC1992"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ب.</w:t>
      </w:r>
      <w:r w:rsidRPr="0048608E">
        <w:rPr>
          <w:rFonts w:eastAsia="Times New Roman" w:cs="DecoType Naskh" w:hint="cs"/>
          <w:color w:val="auto"/>
          <w:kern w:val="0"/>
          <w:szCs w:val="26"/>
          <w:rtl/>
          <w:lang w:bidi="ar-JO"/>
          <w14:ligatures w14:val="none"/>
        </w:rPr>
        <w:tab/>
        <w:t>عهد الملح (انظر عدد 18: 19)</w:t>
      </w:r>
    </w:p>
    <w:p w14:paraId="4FCDBFC5"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جـ.</w:t>
      </w:r>
      <w:r w:rsidRPr="0048608E">
        <w:rPr>
          <w:rFonts w:eastAsia="Times New Roman" w:cs="DecoType Naskh" w:hint="cs"/>
          <w:color w:val="auto"/>
          <w:kern w:val="0"/>
          <w:szCs w:val="26"/>
          <w:rtl/>
          <w:lang w:bidi="ar-JO"/>
          <w14:ligatures w14:val="none"/>
        </w:rPr>
        <w:tab/>
        <w:t xml:space="preserve">عهد الدم </w:t>
      </w:r>
    </w:p>
    <w:p w14:paraId="2342B838"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 xml:space="preserve">إذا أراد شخصان أن يربطا نفسيهما بعهد غير قابل للنقض، كانا يعمدان إلى قتل حيوان حي.  حمل هذا دلالة مزدوجة: (1) يمثّل الحيوان الشخص الذي يقطع العهد، والفكرة هنا هي أن الشخص </w:t>
      </w:r>
      <w:r w:rsidRPr="0048608E">
        <w:rPr>
          <w:rFonts w:eastAsia="Times New Roman" w:cs="DecoType Naskh" w:hint="cs"/>
          <w:color w:val="auto"/>
          <w:kern w:val="0"/>
          <w:szCs w:val="26"/>
          <w:rtl/>
          <w:lang w:bidi="ar-JO"/>
          <w14:ligatures w14:val="none"/>
        </w:rPr>
        <w:lastRenderedPageBreak/>
        <w:t>الميت لا يستطيع أن يتراجع عن وعده؛ و (2) إذا لم يفِ أحد الطرفين بدوره في العهد، فإنه كان يشترط موته وسفك دمه.</w:t>
      </w:r>
    </w:p>
    <w:p w14:paraId="51A1F30A"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مراسم عهد الدم كانت تتم بأن يقوم الطرفان بشق الحيوان الميت والمشي بين نصفي الجثة دلالة على المصادقة على العهد.  وفي مشهد تكوين 15 نجد أبرام في نوم عميق، بينما يمر يهوه (المرموز له بتنور الدخان والمصباح) بين الأجزاء وحده (15: 17).  والنقطة هنا واضحة: إن تحقيق العهد أمر معتمد على يهوه وحده، لا على إبراهيم.  ولهذا فإنه عهد غير مشروط! لقد ألزم الله نفسه بتحقيق الوعود، وتعتمد الشروط على الله وحده، لا على إبراهيم.  غير أن للعهد غير المشروط بركات مشروطة.</w:t>
      </w:r>
      <w:r w:rsidRPr="0048608E">
        <w:rPr>
          <w:rFonts w:eastAsia="Times New Roman" w:cs="DecoType Naskh"/>
          <w:color w:val="auto"/>
          <w:kern w:val="0"/>
          <w:sz w:val="30"/>
          <w:szCs w:val="28"/>
          <w:vertAlign w:val="superscript"/>
          <w:rtl/>
          <w:lang w:bidi="ar-JO"/>
          <w14:ligatures w14:val="none"/>
        </w:rPr>
        <w:footnoteReference w:customMarkFollows="1" w:id="43"/>
        <w:t>6</w:t>
      </w:r>
      <w:r w:rsidRPr="0048608E">
        <w:rPr>
          <w:rFonts w:eastAsia="Times New Roman" w:cs="DecoType Naskh" w:hint="cs"/>
          <w:color w:val="auto"/>
          <w:kern w:val="0"/>
          <w:szCs w:val="26"/>
          <w:rtl/>
          <w:lang w:bidi="ar-JO"/>
          <w14:ligatures w14:val="none"/>
        </w:rPr>
        <w:t xml:space="preserve">ولن يحقق أي جيل الوعود بعيداً عن الإيمان والطاعة.  أمّا في ما يتعلق بجيل الخروج، فقد كان هذا العهد أساس مغادرتهم مصر والحصول على أرض الموعد.  وسيكون العهد مع إبراهيم على أساس معاملات الله مع إسرائيل عبر الكتاب المقدس.  وعندما يدعوهم الله إلى الخروج من مصر، تكون هذه الدعوة على أساس العهد (تكوين 50: 24؛ خروج 2: 24، 25؛ 3: 16).  وعندما يقطع عهداً جديداً في سفر التثنية، يكون ذلك بسبب العهد الإبراهيمي (تثنية 1: 8-11).  وعندما تعصيه الأمّة، لا يقوم بمحوها (2ملوك 13: 22-23).  ويقوم صاحب المزامير بتسبيح الله وحمده في ضوء هذا العهد (مزمور 105: 8-11).  ويأتي ميلاد يسوع متوافقاً مع العهد (لوقا 1: 55).  ورسالة بطرس إلى اليهود في أعمال الرسل 3 مبنية على العهد.  وأخيراً فإن هذا هو أساس الرجاء المستقبلي لإسرائيل كأمةٍ (رومية 9-11).  </w:t>
      </w:r>
    </w:p>
    <w:p w14:paraId="4CF5B766" w14:textId="77777777" w:rsidR="0048608E" w:rsidRPr="0048608E" w:rsidRDefault="0048608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2.</w:t>
      </w:r>
      <w:r w:rsidRPr="0048608E">
        <w:rPr>
          <w:rFonts w:eastAsia="Times New Roman" w:cs="DecoType Naskh" w:hint="cs"/>
          <w:color w:val="auto"/>
          <w:kern w:val="0"/>
          <w:szCs w:val="26"/>
          <w:rtl/>
          <w:lang w:bidi="ar-JO"/>
          <w14:ligatures w14:val="none"/>
        </w:rPr>
        <w:tab/>
        <w:t xml:space="preserve">جوانب الوعد لأبرام ونسله </w:t>
      </w:r>
    </w:p>
    <w:p w14:paraId="0989AC0F"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أ.</w:t>
      </w:r>
      <w:r w:rsidRPr="0048608E">
        <w:rPr>
          <w:rFonts w:eastAsia="Times New Roman" w:cs="DecoType Naskh" w:hint="cs"/>
          <w:color w:val="auto"/>
          <w:kern w:val="0"/>
          <w:szCs w:val="26"/>
          <w:rtl/>
          <w:lang w:bidi="ar-JO"/>
          <w14:ligatures w14:val="none"/>
        </w:rPr>
        <w:tab/>
        <w:t>أرض</w:t>
      </w:r>
      <w:r w:rsidRPr="0048608E">
        <w:rPr>
          <w:rFonts w:eastAsia="Times New Roman" w:cs="DecoType Naskh" w:hint="cs"/>
          <w:color w:val="auto"/>
          <w:kern w:val="0"/>
          <w:szCs w:val="26"/>
          <w:rtl/>
          <w:lang w:bidi="ar-JO"/>
          <w14:ligatures w14:val="none"/>
        </w:rPr>
        <w:tab/>
      </w:r>
      <w:r w:rsidRPr="0048608E">
        <w:rPr>
          <w:rFonts w:eastAsia="Times New Roman" w:cs="DecoType Naskh" w:hint="cs"/>
          <w:color w:val="auto"/>
          <w:kern w:val="0"/>
          <w:szCs w:val="26"/>
          <w:rtl/>
          <w:lang w:bidi="ar-JO"/>
          <w14:ligatures w14:val="none"/>
        </w:rPr>
        <w:tab/>
        <w:t>ب.</w:t>
      </w:r>
      <w:r w:rsidRPr="0048608E">
        <w:rPr>
          <w:rFonts w:eastAsia="Times New Roman" w:cs="DecoType Naskh" w:hint="cs"/>
          <w:color w:val="auto"/>
          <w:kern w:val="0"/>
          <w:szCs w:val="26"/>
          <w:rtl/>
          <w:lang w:bidi="ar-JO"/>
          <w14:ligatures w14:val="none"/>
        </w:rPr>
        <w:tab/>
        <w:t>نسل</w:t>
      </w:r>
      <w:r w:rsidRPr="0048608E">
        <w:rPr>
          <w:rFonts w:eastAsia="Times New Roman" w:cs="DecoType Naskh" w:hint="cs"/>
          <w:color w:val="auto"/>
          <w:kern w:val="0"/>
          <w:szCs w:val="26"/>
          <w:rtl/>
          <w:lang w:bidi="ar-JO"/>
          <w14:ligatures w14:val="none"/>
        </w:rPr>
        <w:tab/>
        <w:t>جـ.</w:t>
      </w:r>
      <w:r w:rsidRPr="0048608E">
        <w:rPr>
          <w:rFonts w:eastAsia="Times New Roman" w:cs="DecoType Naskh" w:hint="cs"/>
          <w:color w:val="auto"/>
          <w:kern w:val="0"/>
          <w:szCs w:val="26"/>
          <w:rtl/>
          <w:lang w:bidi="ar-JO"/>
          <w14:ligatures w14:val="none"/>
        </w:rPr>
        <w:tab/>
        <w:t>بركة</w:t>
      </w:r>
    </w:p>
    <w:p w14:paraId="019A736D" w14:textId="35314D89"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سيتم تناول هذه الوجوه الثلاث من الوعد وتطويرها في إعلانات لاحقة خاصة بالعهود: المبادئ الإلهية لامتلاك الأرض (تثنية 28-30)، والعهد الداودي (2صموئيل 7) والعهد الجديد (إرميا 31).  وعلى الرغم من أن هذه العهود ستتحقق في ملكوت المسيح الألفي في نهاية الأمر، إلاّ أنه سيكون هنالك تحقيق جزئي في الفترة المتوسطة.</w:t>
      </w:r>
    </w:p>
    <w:p w14:paraId="1D4AC403"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84E6F65" w14:textId="77777777" w:rsidR="0048608E" w:rsidRPr="0048608E" w:rsidRDefault="0048608E" w:rsidP="002D6C54">
      <w:pPr>
        <w:bidi/>
        <w:spacing w:after="0" w:line="240" w:lineRule="auto"/>
        <w:rPr>
          <w:rFonts w:eastAsia="Times New Roman" w:cs="DecoType Naskh"/>
          <w:color w:val="auto"/>
          <w:kern w:val="0"/>
          <w:szCs w:val="18"/>
          <w:rtl/>
          <w:lang w:bidi="ar-JO"/>
          <w14:ligatures w14:val="none"/>
        </w:rPr>
      </w:pPr>
    </w:p>
    <w:bookmarkStart w:id="68" w:name="_MON_1166424979"/>
    <w:bookmarkStart w:id="69" w:name="_MON_1166425040"/>
    <w:bookmarkEnd w:id="68"/>
    <w:bookmarkEnd w:id="69"/>
    <w:bookmarkStart w:id="70" w:name="_MON_1166425479"/>
    <w:bookmarkEnd w:id="70"/>
    <w:p w14:paraId="541465E5" w14:textId="7518FC56" w:rsidR="0048608E" w:rsidRPr="0048608E" w:rsidRDefault="0048608E" w:rsidP="002D6C54">
      <w:pPr>
        <w:bidi/>
        <w:spacing w:after="0" w:line="240" w:lineRule="auto"/>
        <w:jc w:val="center"/>
        <w:rPr>
          <w:rFonts w:eastAsia="Times New Roman" w:cs="DecoType Naskh"/>
          <w:color w:val="auto"/>
          <w:kern w:val="0"/>
          <w:sz w:val="32"/>
          <w:szCs w:val="18"/>
          <w:rtl/>
          <w:lang w:bidi="ar-KW"/>
          <w14:ligatures w14:val="none"/>
        </w:rPr>
      </w:pPr>
      <w:r w:rsidRPr="0048608E">
        <w:rPr>
          <w:rFonts w:eastAsia="Times New Roman" w:cs="DecoType Naskh"/>
          <w:color w:val="auto"/>
          <w:kern w:val="0"/>
          <w:szCs w:val="18"/>
          <w14:ligatures w14:val="none"/>
        </w:rPr>
        <w:object w:dxaOrig="3960" w:dyaOrig="2340" w14:anchorId="3B09D920">
          <v:shape id="_x0000_i1030" type="#_x0000_t75" style="width:396pt;height:234.6pt" o:ole="">
            <v:imagedata r:id="rId32" o:title=""/>
          </v:shape>
          <o:OLEObject Type="Embed" ProgID="PowerPoint.Show.8" ShapeID="_x0000_i1030" DrawAspect="Content" ObjectID="_1802157125" r:id="rId33"/>
        </w:object>
      </w:r>
    </w:p>
    <w:p w14:paraId="2D95EF70" w14:textId="77777777" w:rsidR="0048608E" w:rsidRPr="0048608E" w:rsidRDefault="0048608E" w:rsidP="002D6C54">
      <w:pPr>
        <w:tabs>
          <w:tab w:val="left" w:pos="454"/>
        </w:tabs>
        <w:bidi/>
        <w:spacing w:after="60" w:line="240" w:lineRule="auto"/>
        <w:jc w:val="both"/>
        <w:rPr>
          <w:rFonts w:eastAsia="Times New Roman" w:cs="DecoType Naskh"/>
          <w:bCs/>
          <w:color w:val="auto"/>
          <w:kern w:val="0"/>
          <w:szCs w:val="28"/>
          <w:rtl/>
          <w:lang w:bidi="ar-JO"/>
          <w14:ligatures w14:val="none"/>
        </w:rPr>
      </w:pPr>
    </w:p>
    <w:p w14:paraId="6C0F6F15" w14:textId="77777777" w:rsidR="0048608E" w:rsidRPr="0048608E" w:rsidRDefault="0048608E" w:rsidP="002D6C54">
      <w:pPr>
        <w:tabs>
          <w:tab w:val="left" w:pos="454"/>
        </w:tabs>
        <w:bidi/>
        <w:spacing w:after="60" w:line="240" w:lineRule="auto"/>
        <w:jc w:val="both"/>
        <w:rPr>
          <w:rFonts w:eastAsia="Times New Roman" w:cs="DecoType Naskh"/>
          <w:bCs/>
          <w:color w:val="auto"/>
          <w:kern w:val="0"/>
          <w:szCs w:val="28"/>
          <w:rtl/>
          <w14:ligatures w14:val="none"/>
        </w:rPr>
      </w:pPr>
      <w:r w:rsidRPr="0048608E">
        <w:rPr>
          <w:rFonts w:eastAsia="Times New Roman" w:cs="DecoType Naskh" w:hint="cs"/>
          <w:bCs/>
          <w:color w:val="auto"/>
          <w:kern w:val="0"/>
          <w:szCs w:val="28"/>
          <w:rtl/>
          <w:lang w:bidi="ar-JO"/>
          <w14:ligatures w14:val="none"/>
        </w:rPr>
        <w:t>4.</w:t>
      </w:r>
      <w:r w:rsidRPr="0048608E">
        <w:rPr>
          <w:rFonts w:eastAsia="Times New Roman" w:cs="DecoType Naskh" w:hint="cs"/>
          <w:bCs/>
          <w:color w:val="auto"/>
          <w:kern w:val="0"/>
          <w:szCs w:val="28"/>
          <w:rtl/>
          <w:lang w:bidi="ar-JO"/>
          <w14:ligatures w14:val="none"/>
        </w:rPr>
        <w:tab/>
        <w:t>تطور إيمان إبراهيم</w:t>
      </w:r>
    </w:p>
    <w:p w14:paraId="272558D7"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يوجد عبرَ هذا التوليدوت</w:t>
      </w:r>
      <w:r w:rsidRPr="0048608E">
        <w:rPr>
          <w:rFonts w:eastAsia="Times New Roman" w:cs="DecoType Naskh" w:hint="cs"/>
          <w:color w:val="auto"/>
          <w:kern w:val="0"/>
          <w:szCs w:val="26"/>
          <w:rtl/>
          <w14:ligatures w14:val="none"/>
        </w:rPr>
        <w:t xml:space="preserve"> </w:t>
      </w:r>
      <w:r w:rsidRPr="0048608E">
        <w:rPr>
          <w:rFonts w:ascii="Charis SIL" w:eastAsia="Times New Roman" w:hAnsi="Charis SIL" w:cs="Charis SIL"/>
          <w:bCs/>
          <w:i/>
          <w:iCs/>
          <w:color w:val="auto"/>
          <w:kern w:val="0"/>
          <w:szCs w:val="26"/>
          <w:lang w:bidi="ar-JO"/>
          <w14:ligatures w14:val="none"/>
        </w:rPr>
        <w:t>tôlᵊḏôṯ</w:t>
      </w:r>
      <w:r w:rsidRPr="0048608E">
        <w:rPr>
          <w:rFonts w:eastAsia="Times New Roman" w:cs="DecoType Naskh" w:hint="cs"/>
          <w:color w:val="auto"/>
          <w:kern w:val="0"/>
          <w:szCs w:val="26"/>
          <w:rtl/>
          <w:lang w:bidi="ar-JO"/>
          <w14:ligatures w14:val="none"/>
        </w:rPr>
        <w:t xml:space="preserve"> </w:t>
      </w:r>
      <w:r w:rsidRPr="0048608E">
        <w:rPr>
          <w:rFonts w:eastAsia="Times New Roman" w:cs="DecoType Naskh" w:hint="cs"/>
          <w:color w:val="auto"/>
          <w:kern w:val="0"/>
          <w:szCs w:val="26"/>
          <w:u w:val="single"/>
          <w:rtl/>
          <w:lang w:bidi="ar-JO"/>
          <w14:ligatures w14:val="none"/>
        </w:rPr>
        <w:t>جهاد</w:t>
      </w:r>
      <w:r w:rsidRPr="0048608E">
        <w:rPr>
          <w:rFonts w:eastAsia="Times New Roman" w:cs="DecoType Naskh" w:hint="cs"/>
          <w:color w:val="auto"/>
          <w:kern w:val="0"/>
          <w:szCs w:val="26"/>
          <w:rtl/>
          <w:lang w:bidi="ar-JO"/>
          <w14:ligatures w14:val="none"/>
        </w:rPr>
        <w:t xml:space="preserve"> دائم لدى أبرام للثقة بوعود الله... للطاعة... للسير في إيمان وعندما يأتي إلى كنعان يجلب معه لوطاً، على الرغم من أن دعوة الله له اشتملت على انفصاله الكامل عن كل أقربائه.  ويغامر بالخروج من الأرض دون أي إرشاد من الله عندما جاءت المجاعة.  وهو يحاول الحصول على النسل من خلال هاجر.  إنّهُ يتعثر من نواحٍ كثيرة.  ومن ناحية أخرى يظهر أبرام إيماناً في مناسبات كثيرة (مثلاً، عند لقائه بملك سدوم).</w:t>
      </w:r>
    </w:p>
    <w:p w14:paraId="5ECDEC45"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rtl/>
          <w:lang w:bidi="ar-JO"/>
          <w14:ligatures w14:val="none"/>
        </w:rPr>
        <w:t xml:space="preserve"> </w:t>
      </w:r>
    </w:p>
    <w:p w14:paraId="1CEE0DCD" w14:textId="3F785178"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48608E">
        <w:rPr>
          <w:rFonts w:eastAsia="Times New Roman" w:cs="DecoType Naskh" w:hint="cs"/>
          <w:color w:val="auto"/>
          <w:kern w:val="0"/>
          <w:szCs w:val="26"/>
          <w:u w:val="single"/>
          <w:rtl/>
          <w:lang w:bidi="ar-JO"/>
          <w14:ligatures w14:val="none"/>
        </w:rPr>
        <w:t>يؤخّر</w:t>
      </w:r>
      <w:r w:rsidRPr="0048608E">
        <w:rPr>
          <w:rFonts w:eastAsia="Times New Roman" w:cs="DecoType Naskh" w:hint="cs"/>
          <w:color w:val="auto"/>
          <w:kern w:val="0"/>
          <w:szCs w:val="26"/>
          <w:rtl/>
          <w:lang w:bidi="ar-JO"/>
          <w14:ligatures w14:val="none"/>
        </w:rPr>
        <w:t xml:space="preserve"> الله الوعود لكي يسمح بأن ينضج إبراهيم في الإيمان والطاعة.  وأخيراً ينال النسل الموعود ويبارَك في الأرض.  لكن هل سيبقى مطيعاً؟ هذا هو السؤال الذي يجيب عنه تكوين 22 بذبيحة إسحاق.  وينجح إبراهيم في امتحان الطاعة فيعيد الله توكيد الوعود له.  والدرس هنا هام: على الرغم من توكيد الله لوعود العهد، إلا أن الإيمان والطاعة شرطان مسبقان لتحقيقها!</w:t>
      </w:r>
    </w:p>
    <w:p w14:paraId="7394392D" w14:textId="77777777" w:rsidR="0048608E" w:rsidRPr="0048608E" w:rsidRDefault="0048608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8626D09" w14:textId="77777777" w:rsidR="0048608E" w:rsidRPr="0048608E" w:rsidRDefault="0048608E" w:rsidP="002D6C54">
      <w:pPr>
        <w:bidi/>
        <w:spacing w:after="0" w:line="240" w:lineRule="auto"/>
        <w:rPr>
          <w:rFonts w:eastAsia="Times New Roman" w:cs="DecoType Naskh"/>
          <w:color w:val="auto"/>
          <w:kern w:val="0"/>
          <w:szCs w:val="18"/>
          <w:rtl/>
          <w:lang w:bidi="ar-KW"/>
          <w14:ligatures w14:val="none"/>
        </w:rPr>
      </w:pPr>
      <w:r w:rsidRPr="0048608E">
        <w:rPr>
          <w:rFonts w:eastAsia="Times New Roman" w:cs="DecoType Naskh" w:hint="cs"/>
          <w:color w:val="auto"/>
          <w:kern w:val="0"/>
          <w:szCs w:val="18"/>
          <w:rtl/>
          <w14:ligatures w14:val="none"/>
        </w:rPr>
        <w:t xml:space="preserve">        </w:t>
      </w:r>
    </w:p>
    <w:p w14:paraId="36F4B9A9" w14:textId="779F72F3" w:rsidR="00DC7FD4" w:rsidRPr="00DC7FD4" w:rsidRDefault="00DC7FD4" w:rsidP="002D6C54">
      <w:pPr>
        <w:tabs>
          <w:tab w:val="left" w:pos="547"/>
          <w:tab w:val="left" w:pos="1094"/>
          <w:tab w:val="left" w:pos="1642"/>
          <w:tab w:val="left" w:pos="2189"/>
          <w:tab w:val="left" w:pos="2736"/>
          <w:tab w:val="left" w:pos="3283"/>
          <w:tab w:val="left" w:pos="3830"/>
          <w:tab w:val="left" w:pos="4378"/>
        </w:tabs>
        <w:spacing w:after="120" w:line="240" w:lineRule="auto"/>
        <w:jc w:val="both"/>
        <w:rPr>
          <w:rFonts w:eastAsia="Times New Roman" w:cs="Times New Roman"/>
          <w:bCs/>
          <w:color w:val="auto"/>
          <w:kern w:val="0"/>
          <w:sz w:val="22"/>
          <w:szCs w:val="24"/>
          <w:lang w:bidi="ar-KW"/>
          <w14:ligatures w14:val="none"/>
        </w:rPr>
      </w:pPr>
    </w:p>
    <w:p w14:paraId="65834D2D" w14:textId="77777777" w:rsidR="00DC7FD4" w:rsidRPr="00DC7FD4" w:rsidRDefault="00DC7FD4" w:rsidP="002D6C54">
      <w:pPr>
        <w:tabs>
          <w:tab w:val="left" w:pos="547"/>
          <w:tab w:val="left" w:pos="1094"/>
          <w:tab w:val="left" w:pos="1642"/>
          <w:tab w:val="left" w:pos="2189"/>
          <w:tab w:val="left" w:pos="2736"/>
          <w:tab w:val="left" w:pos="3283"/>
          <w:tab w:val="left" w:pos="3830"/>
          <w:tab w:val="left" w:pos="4378"/>
        </w:tabs>
        <w:spacing w:after="120" w:line="240" w:lineRule="auto"/>
        <w:jc w:val="both"/>
        <w:rPr>
          <w:rFonts w:eastAsia="Times New Roman" w:cs="Times New Roman"/>
          <w:color w:val="auto"/>
          <w:kern w:val="0"/>
          <w:sz w:val="22"/>
          <w:szCs w:val="24"/>
          <w14:ligatures w14:val="none"/>
        </w:rPr>
      </w:pPr>
    </w:p>
    <w:p w14:paraId="1F128659" w14:textId="77777777" w:rsidR="00A5655F" w:rsidRDefault="00A5655F" w:rsidP="002D6C54">
      <w:pPr>
        <w:pStyle w:val="Heading3"/>
        <w:spacing w:line="240" w:lineRule="auto"/>
        <w:ind w:right="-360"/>
      </w:pPr>
      <w:bookmarkStart w:id="71" w:name="_Hlk157171859"/>
      <w:r>
        <w:br w:type="page"/>
      </w:r>
    </w:p>
    <w:p w14:paraId="1F1BB510" w14:textId="62E0487C" w:rsidR="006311FA" w:rsidRPr="00DD15FF" w:rsidRDefault="00DD15FF" w:rsidP="00DD15FF">
      <w:pPr>
        <w:pStyle w:val="Heading3"/>
        <w:bidi/>
        <w:spacing w:line="240" w:lineRule="auto"/>
        <w:ind w:right="-360"/>
        <w:rPr>
          <w:rFonts w:ascii="Simplified Arabic" w:hAnsi="Simplified Arabic" w:cs="Simplified Arabic"/>
        </w:rPr>
      </w:pPr>
      <w:bookmarkStart w:id="72" w:name="_Hlk178778418"/>
      <w:r w:rsidRPr="00DD15FF">
        <w:rPr>
          <w:rFonts w:ascii="Simplified Arabic" w:hAnsi="Simplified Arabic" w:cs="Simplified Arabic"/>
          <w:rtl/>
        </w:rPr>
        <w:lastRenderedPageBreak/>
        <w:t xml:space="preserve">الموضوع 3: </w:t>
      </w:r>
      <w:r w:rsidRPr="00DD15FF">
        <w:rPr>
          <w:rFonts w:ascii="Simplified Arabic" w:eastAsia="Calibri" w:hAnsi="Simplified Arabic" w:cs="Simplified Arabic"/>
          <w:rtl/>
          <w14:ligatures w14:val="none"/>
        </w:rPr>
        <w:t>قصتا يعقوب ويوسف (تكوين 25: 12 – 50: 26)</w:t>
      </w:r>
    </w:p>
    <w:bookmarkEnd w:id="71"/>
    <w:bookmarkEnd w:id="72"/>
    <w:p w14:paraId="69B12692" w14:textId="6A0E1A73" w:rsidR="00EC3F3A" w:rsidRDefault="00560A0E" w:rsidP="002D6C54">
      <w:pPr>
        <w:spacing w:line="240" w:lineRule="auto"/>
      </w:pPr>
      <w:r>
        <w:rPr>
          <w:noProof/>
        </w:rPr>
        <w:drawing>
          <wp:inline distT="0" distB="0" distL="0" distR="0" wp14:anchorId="193615DB" wp14:editId="3095F92D">
            <wp:extent cx="5935980" cy="3893820"/>
            <wp:effectExtent l="0" t="0" r="0" b="0"/>
            <wp:docPr id="1106419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1885" cy="3897693"/>
                    </a:xfrm>
                    <a:prstGeom prst="rect">
                      <a:avLst/>
                    </a:prstGeom>
                    <a:noFill/>
                    <a:ln>
                      <a:noFill/>
                    </a:ln>
                  </pic:spPr>
                </pic:pic>
              </a:graphicData>
            </a:graphic>
          </wp:inline>
        </w:drawing>
      </w:r>
    </w:p>
    <w:p w14:paraId="7BCEF888" w14:textId="77777777" w:rsidR="005755E0" w:rsidRPr="005755E0" w:rsidRDefault="005755E0"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5755E0">
        <w:rPr>
          <w:rFonts w:eastAsia="Times New Roman" w:cs="DecoType Naskh" w:hint="cs"/>
          <w:bCs/>
          <w:color w:val="auto"/>
          <w:kern w:val="0"/>
          <w:szCs w:val="28"/>
          <w:rtl/>
          <w:lang w:bidi="ar-JO"/>
          <w14:ligatures w14:val="none"/>
        </w:rPr>
        <w:t>.</w:t>
      </w:r>
      <w:r w:rsidRPr="005755E0">
        <w:rPr>
          <w:rFonts w:eastAsia="Times New Roman" w:cs="DecoType Naskh" w:hint="cs"/>
          <w:bCs/>
          <w:color w:val="auto"/>
          <w:kern w:val="0"/>
          <w:szCs w:val="28"/>
          <w:rtl/>
          <w:lang w:bidi="ar-JO"/>
          <w14:ligatures w14:val="none"/>
        </w:rPr>
        <w:tab/>
        <w:t>مقدمة</w:t>
      </w:r>
    </w:p>
    <w:p w14:paraId="4E21806D"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5755E0">
        <w:rPr>
          <w:rFonts w:eastAsia="Times New Roman" w:cs="DecoType Naskh" w:hint="cs"/>
          <w:color w:val="auto"/>
          <w:kern w:val="0"/>
          <w:szCs w:val="26"/>
          <w:rtl/>
          <w:lang w:bidi="ar-JO"/>
          <w14:ligatures w14:val="none"/>
        </w:rPr>
        <w:t>تتناول بقية سفر التكوين (25: 12-50: 26) بشكل رئيسي حياة شخصين هما يعقوب ويوسف.  غير أن هاتين الشخصيتين لا تأتيان في معزل عما سبق.  فهما جزء من عمل الله المستمر في ما يتعلق بالوعد الإبراهيمي.  سيفي الله بوعده بإقامة أمّة من نسل إبراهيم الذي سينفّذ برنامجه الإلهي من خلاله كما أُعلن في تكوين 12: 1-3.  غير أنه بعمله هذا لن يتجاهل الشخصية الأخلاقية وغياب الإيمان في النسل.  بل سيؤدبهم ويطور إيمانهم.  وفي ضوء هذا ترتبط هذه الأصحاحات بتطوير النسل الموعود والجهاد من أجل الحصول على البركة.  وعندما يتدخل الله لكي يعيد توكيد وعود العهد، يكون مشهد دخوله رائعاً وهاماً.</w:t>
      </w:r>
    </w:p>
    <w:p w14:paraId="7648BBB9"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F569826"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5755E0">
        <w:rPr>
          <w:rFonts w:eastAsia="Times New Roman" w:cs="DecoType Naskh" w:hint="cs"/>
          <w:color w:val="auto"/>
          <w:kern w:val="0"/>
          <w:szCs w:val="26"/>
          <w:rtl/>
          <w:lang w:bidi="ar-JO"/>
          <w14:ligatures w14:val="none"/>
        </w:rPr>
        <w:t>غير أنه في مسألة نقل البركة لا نجد النسل "رجال إيمان" كما صار إبراهيم.  وفضلاً عن ذلك، يحدث تدهور خطير في العائلة (خاصة مع يعقوب وأبنائه) يعرّض نسل البركة للخطر.  فهم يتعرَّضون لخطر أن ينتقل إليهم الفساد وأن تبتلعهم الحضارة الكنعانية.  وبدلاً من أن يكونوا بركة لسكان الأرض، جالبين إليهم المعرفة الروحية وشهادة يهوه، فإنهم يزدادون انحلالاً شيئاً فشيئاً ليصيروا مثل الكنعانيين.  يجيب هذا عن  السؤال الذي يطرحه سفر الخروج، إن كان الله قد وعد أمّة إسرائيل بالحصول على كنعان، فما الذي يفعلونه في مصر (ناهيك عن عبوديتهم المزرية هناك)؟ تشرح رواية يوسف سبب وجودهم في مصر.  لقد سبق أن سمحوا لأنفسهم بالانجراف وراء الفساد فتعرض نسل البركة للخطر من خلال عصيانهم وانحلالهم.  وقد فقدوا تقريباً تميزّهم كشعب الله.  ولكي يحفظهم الله من مزيد من التأثيرات الكنعانية، أرسلهم إلى مصر حيث يمكنهم أن يتطوروا إلى أمة.  وعندما تكتمل هذه العملية، سيعيدهم الله إلى أرض الموعد.</w:t>
      </w:r>
    </w:p>
    <w:p w14:paraId="1817D208"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64E149C8" w14:textId="77777777" w:rsidR="005755E0" w:rsidRPr="005755E0" w:rsidRDefault="005755E0"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5755E0">
        <w:rPr>
          <w:rFonts w:eastAsia="Times New Roman" w:cs="DecoType Naskh" w:hint="cs"/>
          <w:bCs/>
          <w:color w:val="auto"/>
          <w:kern w:val="0"/>
          <w:szCs w:val="28"/>
          <w:rtl/>
          <w:lang w:bidi="ar-JO"/>
          <w14:ligatures w14:val="none"/>
        </w:rPr>
        <w:t>2.</w:t>
      </w:r>
      <w:r w:rsidRPr="005755E0">
        <w:rPr>
          <w:rFonts w:eastAsia="Times New Roman" w:cs="DecoType Naskh" w:hint="cs"/>
          <w:bCs/>
          <w:color w:val="auto"/>
          <w:kern w:val="0"/>
          <w:szCs w:val="28"/>
          <w:rtl/>
          <w:lang w:bidi="ar-JO"/>
          <w14:ligatures w14:val="none"/>
        </w:rPr>
        <w:tab/>
        <w:t>رواية يعقوب (تكوين 25: 19-35: 29) [</w:t>
      </w:r>
      <w:r w:rsidRPr="005755E0">
        <w:rPr>
          <w:rFonts w:eastAsia="Times New Roman" w:cs="DecoType Naskh" w:hint="cs"/>
          <w:bCs/>
          <w:color w:val="auto"/>
          <w:kern w:val="0"/>
          <w:szCs w:val="28"/>
          <w:rtl/>
          <w14:ligatures w14:val="none"/>
        </w:rPr>
        <w:t xml:space="preserve"> </w:t>
      </w:r>
      <w:r w:rsidRPr="005755E0">
        <w:rPr>
          <w:rFonts w:eastAsia="Times New Roman" w:cs="DecoType Naskh" w:hint="cs"/>
          <w:bCs/>
          <w:color w:val="auto"/>
          <w:kern w:val="0"/>
          <w:szCs w:val="28"/>
          <w:rtl/>
          <w:lang w:bidi="ar-JO"/>
          <w14:ligatures w14:val="none"/>
        </w:rPr>
        <w:t>يعقوب 2006-1859ق م</w:t>
      </w:r>
      <w:r w:rsidRPr="005755E0">
        <w:rPr>
          <w:rFonts w:eastAsia="Times New Roman" w:cs="DecoType Naskh" w:hint="cs"/>
          <w:bCs/>
          <w:color w:val="auto"/>
          <w:kern w:val="0"/>
          <w:szCs w:val="28"/>
          <w:rtl/>
          <w14:ligatures w14:val="none"/>
        </w:rPr>
        <w:t xml:space="preserve"> </w:t>
      </w:r>
      <w:r w:rsidRPr="005755E0">
        <w:rPr>
          <w:rFonts w:eastAsia="Times New Roman" w:cs="DecoType Naskh" w:hint="cs"/>
          <w:bCs/>
          <w:color w:val="auto"/>
          <w:kern w:val="0"/>
          <w:szCs w:val="28"/>
          <w:rtl/>
          <w:lang w:bidi="ar-JO"/>
          <w14:ligatures w14:val="none"/>
        </w:rPr>
        <w:t>]</w:t>
      </w:r>
    </w:p>
    <w:p w14:paraId="5FB1643C" w14:textId="577D450D" w:rsidR="00DC7FD4" w:rsidRDefault="00DC7FD4" w:rsidP="002D6C54">
      <w:pPr>
        <w:pStyle w:val="Heading4"/>
        <w:spacing w:line="240" w:lineRule="auto"/>
        <w:rPr>
          <w:lang w:bidi="ar-JO"/>
        </w:rPr>
      </w:pPr>
    </w:p>
    <w:p w14:paraId="242A344C" w14:textId="6F8F4736" w:rsidR="001C7F8D" w:rsidRPr="007A4B15" w:rsidRDefault="001C7F8D" w:rsidP="00DD15FF">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bookmarkStart w:id="73" w:name="_Hlk178778439"/>
      <w:r w:rsidRPr="007A4B15">
        <w:rPr>
          <w:rFonts w:ascii="Verdana" w:eastAsia="Calibri" w:hAnsi="Verdana" w:cs="Times New Roman"/>
          <w:b/>
          <w:caps/>
          <w:noProof/>
          <w:color w:val="006699"/>
          <w:kern w:val="0"/>
          <w:sz w:val="21"/>
          <w:szCs w:val="24"/>
          <w14:ligatures w14:val="none"/>
        </w:rPr>
        <w:drawing>
          <wp:inline distT="0" distB="0" distL="0" distR="0" wp14:anchorId="6239B036" wp14:editId="5A29EF18">
            <wp:extent cx="613692" cy="541464"/>
            <wp:effectExtent l="0" t="0" r="0" b="0"/>
            <wp:docPr id="816899505" name="Picture 816899505"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DD15FF" w:rsidRPr="00DD15FF">
        <w:rPr>
          <w:rFonts w:ascii="Verdana" w:eastAsia="Calibri" w:hAnsi="Verdana" w:cs="Times New Roman" w:hint="cs"/>
          <w:bCs/>
          <w:caps/>
          <w:color w:val="006699"/>
          <w:kern w:val="0"/>
          <w:sz w:val="21"/>
          <w:szCs w:val="24"/>
          <w:u w:val="single"/>
          <w:rtl/>
          <w14:ligatures w14:val="none"/>
        </w:rPr>
        <w:t>القراءة:</w:t>
      </w:r>
      <w:r w:rsidR="00DD15FF">
        <w:rPr>
          <w:rFonts w:ascii="Verdana" w:eastAsia="Calibri" w:hAnsi="Verdana" w:cs="Times New Roman" w:hint="cs"/>
          <w:b/>
          <w:caps/>
          <w:color w:val="006699"/>
          <w:kern w:val="0"/>
          <w:sz w:val="21"/>
          <w:szCs w:val="24"/>
          <w:u w:val="single"/>
          <w:rtl/>
          <w14:ligatures w14:val="none"/>
        </w:rPr>
        <w:t xml:space="preserve"> </w:t>
      </w:r>
    </w:p>
    <w:p w14:paraId="02250B93" w14:textId="31F81114" w:rsidR="001C7F8D" w:rsidRPr="00DC7FD4" w:rsidRDefault="001C7F8D" w:rsidP="00DD15FF">
      <w:pPr>
        <w:tabs>
          <w:tab w:val="left" w:pos="547"/>
          <w:tab w:val="left" w:pos="1094"/>
          <w:tab w:val="left" w:pos="1642"/>
          <w:tab w:val="left" w:pos="2189"/>
          <w:tab w:val="left" w:pos="2736"/>
          <w:tab w:val="left" w:pos="3283"/>
          <w:tab w:val="left" w:pos="3830"/>
          <w:tab w:val="left" w:pos="4378"/>
        </w:tabs>
        <w:bidi/>
        <w:spacing w:before="120" w:after="120" w:line="240" w:lineRule="auto"/>
        <w:jc w:val="both"/>
        <w:outlineLvl w:val="4"/>
        <w:rPr>
          <w:rFonts w:eastAsia="Times New Roman" w:cs="Times New Roman"/>
          <w:b/>
          <w:bCs/>
          <w:iCs/>
          <w:color w:val="auto"/>
          <w:kern w:val="0"/>
          <w:sz w:val="22"/>
          <w:szCs w:val="26"/>
          <w14:ligatures w14:val="none"/>
        </w:rPr>
      </w:pPr>
      <w:r>
        <w:rPr>
          <w:rFonts w:eastAsia="Calibri" w:cs="Times New Roman"/>
          <w:kern w:val="0"/>
          <w:szCs w:val="24"/>
          <w14:ligatures w14:val="none"/>
        </w:rPr>
        <w:tab/>
      </w:r>
      <w:r>
        <w:rPr>
          <w:rFonts w:eastAsia="Calibri" w:cs="Times New Roman"/>
          <w:kern w:val="0"/>
          <w:szCs w:val="24"/>
          <w14:ligatures w14:val="none"/>
        </w:rPr>
        <w:tab/>
      </w:r>
      <w:r w:rsidR="00DD15FF">
        <w:rPr>
          <w:rFonts w:eastAsia="Calibri" w:cs="Times New Roman" w:hint="cs"/>
          <w:kern w:val="0"/>
          <w:szCs w:val="24"/>
          <w:rtl/>
          <w14:ligatures w14:val="none"/>
        </w:rPr>
        <w:t xml:space="preserve">اقرأ تكوين 25: 19 </w:t>
      </w:r>
      <w:r w:rsidR="00DD15FF">
        <w:rPr>
          <w:rFonts w:eastAsia="Calibri" w:cs="Times New Roman"/>
          <w:kern w:val="0"/>
          <w:szCs w:val="24"/>
          <w:rtl/>
          <w14:ligatures w14:val="none"/>
        </w:rPr>
        <w:t>–</w:t>
      </w:r>
      <w:r w:rsidR="00DD15FF">
        <w:rPr>
          <w:rFonts w:eastAsia="Calibri" w:cs="Times New Roman" w:hint="cs"/>
          <w:kern w:val="0"/>
          <w:szCs w:val="24"/>
          <w:rtl/>
          <w14:ligatures w14:val="none"/>
        </w:rPr>
        <w:t xml:space="preserve"> 35: 29 في كتابك المُقدَّس. </w:t>
      </w:r>
    </w:p>
    <w:bookmarkEnd w:id="73"/>
    <w:p w14:paraId="15FDB84C" w14:textId="390D8DC5" w:rsidR="005755E0" w:rsidRPr="005755E0" w:rsidRDefault="005755E0" w:rsidP="002D6C54">
      <w:pPr>
        <w:tabs>
          <w:tab w:val="left" w:pos="454"/>
        </w:tabs>
        <w:bidi/>
        <w:spacing w:after="60" w:line="240" w:lineRule="auto"/>
        <w:jc w:val="both"/>
        <w:rPr>
          <w:rFonts w:eastAsia="Times New Roman" w:cs="DecoType Naskh"/>
          <w:bCs/>
          <w:color w:val="auto"/>
          <w:kern w:val="0"/>
          <w:szCs w:val="28"/>
          <w:rtl/>
          <w:lang w:bidi="ar-JO"/>
          <w14:ligatures w14:val="none"/>
        </w:rPr>
      </w:pPr>
    </w:p>
    <w:p w14:paraId="41940377"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5755E0">
        <w:rPr>
          <w:rFonts w:eastAsia="Times New Roman" w:cs="DecoType Naskh" w:hint="cs"/>
          <w:color w:val="auto"/>
          <w:kern w:val="0"/>
          <w:szCs w:val="26"/>
          <w:rtl/>
          <w:lang w:bidi="ar-JO"/>
          <w14:ligatures w14:val="none"/>
        </w:rPr>
        <w:t xml:space="preserve">إن أحد الأمور التي تكشفها رواية يعقوب هو أن الله ليس في عجلة من أمره بحيث يدفع برنامج البركة دفعاً.  فهو قانع تماماً بالتعامل مع </w:t>
      </w:r>
      <w:r w:rsidRPr="005755E0">
        <w:rPr>
          <w:rFonts w:eastAsia="Times New Roman" w:cs="DecoType Naskh" w:hint="cs"/>
          <w:color w:val="auto"/>
          <w:kern w:val="0"/>
          <w:szCs w:val="26"/>
          <w:u w:val="single"/>
          <w:rtl/>
          <w:lang w:bidi="ar-JO"/>
          <w14:ligatures w14:val="none"/>
        </w:rPr>
        <w:t>الطبيعة الأخلاقية</w:t>
      </w:r>
      <w:r w:rsidRPr="005755E0">
        <w:rPr>
          <w:rFonts w:eastAsia="Times New Roman" w:cs="DecoType Naskh" w:hint="cs"/>
          <w:color w:val="auto"/>
          <w:kern w:val="0"/>
          <w:szCs w:val="26"/>
          <w:rtl/>
          <w:lang w:bidi="ar-JO"/>
          <w14:ligatures w14:val="none"/>
        </w:rPr>
        <w:t xml:space="preserve"> "لنسل البركة" وتطويرها أثناء هذه العملية.  وهذا هو أحد الاهتمامات الرئيسية لهذا القسم: يعمل الله بحرص على تطوير </w:t>
      </w:r>
      <w:r w:rsidRPr="005755E0">
        <w:rPr>
          <w:rFonts w:eastAsia="Times New Roman" w:cs="DecoType Naskh" w:hint="cs"/>
          <w:color w:val="auto"/>
          <w:kern w:val="0"/>
          <w:szCs w:val="26"/>
          <w:u w:val="single"/>
          <w:rtl/>
          <w:lang w:bidi="ar-JO"/>
          <w14:ligatures w14:val="none"/>
        </w:rPr>
        <w:t>الشخصية الأخلاقية</w:t>
      </w:r>
      <w:r w:rsidRPr="005755E0">
        <w:rPr>
          <w:rFonts w:eastAsia="Times New Roman" w:cs="DecoType Naskh" w:hint="cs"/>
          <w:color w:val="auto"/>
          <w:kern w:val="0"/>
          <w:szCs w:val="26"/>
          <w:rtl/>
          <w:lang w:bidi="ar-JO"/>
          <w14:ligatures w14:val="none"/>
        </w:rPr>
        <w:t xml:space="preserve"> ليعقوب إلى أن يجعله أقرب ما يكون إلى "رجل إيمان" منه إلى شخص مستغل خائن مخادع.  غير أن الشخصية الأخلاقية للأمة نفسها تنعكس في شخصيته، كما لو كان الأمر توقعاً نبوياً.</w:t>
      </w:r>
    </w:p>
    <w:p w14:paraId="6655CD7C"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5755E0">
        <w:rPr>
          <w:rFonts w:eastAsia="Times New Roman" w:cs="DecoType Naskh" w:hint="cs"/>
          <w:color w:val="auto"/>
          <w:kern w:val="0"/>
          <w:szCs w:val="26"/>
          <w:rtl/>
          <w:lang w:bidi="ar-JO"/>
          <w14:ligatures w14:val="none"/>
        </w:rPr>
        <w:t>لا شك أن الله أراد البركة ليعقوب.  وإن اللجوء إلى حيلة مخادعة للحصول على البركة الإبراهيمية من أبيه ليس طريق الإيمان.  ولا يملك يعقوب عند هذه المرحلة نوعية الشخصية الأخلاقية التي يرغب الله أن يتحلى بها "الإداري الثيوقراطي" خاصته.  وهكذا يخرجه الله من أرض البركة ليؤدّبه (على يد لابان) ويرجعه في نهاية المطاف بعد سنوات طويلة من العمل الشاق.  وعند عودته يخش</w:t>
      </w:r>
      <w:r w:rsidRPr="005755E0">
        <w:rPr>
          <w:rFonts w:eastAsia="Times New Roman" w:cs="DecoType Naskh" w:hint="cs"/>
          <w:color w:val="auto"/>
          <w:kern w:val="0"/>
          <w:szCs w:val="26"/>
          <w:rtl/>
          <w14:ligatures w14:val="none"/>
        </w:rPr>
        <w:t>ى</w:t>
      </w:r>
      <w:r w:rsidRPr="005755E0">
        <w:rPr>
          <w:rFonts w:eastAsia="Times New Roman" w:cs="DecoType Naskh" w:hint="cs"/>
          <w:color w:val="auto"/>
          <w:kern w:val="0"/>
          <w:szCs w:val="26"/>
          <w:rtl/>
          <w:lang w:bidi="ar-JO"/>
          <w14:ligatures w14:val="none"/>
        </w:rPr>
        <w:t xml:space="preserve"> مواجهة "ساكن" الأرض، أي أخاه عيسو.  وهنا لا بدّ أن يعمل الله في حياته بشكل فريد لكي يعدّه (من خلال قصة المصارعة) لمواجهة عيسو بالإيمان.  وعندما يدخل الأرض، لا يقاومه عيسو، لأن الله سبق أن تعامل مع عيسو لمصلحة يعقوب.  وبالرغم من انتصار أبناء يعقوب بعودتهم إلى الأرض، إلاّ أنهم ينجرفون وراء الانحطاط والفساد، وتشكل سلسلة الأحداث هذه صورة دقيقة لوضع الأمّة.  وعلى الرغم من أنهم وريثو الوعد بالاختيار، إلاّ أن الله أبعدهم عن الأرض تأديباً لهم إلى أن حان وقت أعادهم الله فيه تحت قيادة موسى.  وقد اقتربوا هم أيضاً من الأرض في خوف، فتعامل معهم الله بشكل فريد إلى أن دخلوا الأرض بإيمان تحت قيادة يشوع.  وفي يعقوب تعرف الأمة طبيعتها الأخلاقية الحقيقية!</w:t>
      </w:r>
    </w:p>
    <w:p w14:paraId="04B90569"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9114E2F" w14:textId="77777777" w:rsidR="005755E0" w:rsidRPr="005755E0" w:rsidRDefault="005755E0"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5755E0">
        <w:rPr>
          <w:rFonts w:eastAsia="Times New Roman" w:cs="DecoType Naskh" w:hint="cs"/>
          <w:bCs/>
          <w:color w:val="auto"/>
          <w:kern w:val="0"/>
          <w:szCs w:val="26"/>
          <w:rtl/>
          <w14:ligatures w14:val="none"/>
        </w:rPr>
        <w:t>أ.</w:t>
      </w:r>
      <w:r w:rsidRPr="005755E0">
        <w:rPr>
          <w:rFonts w:eastAsia="Times New Roman" w:cs="DecoType Naskh" w:hint="cs"/>
          <w:bCs/>
          <w:color w:val="auto"/>
          <w:kern w:val="0"/>
          <w:szCs w:val="26"/>
          <w:rtl/>
          <w14:ligatures w14:val="none"/>
        </w:rPr>
        <w:tab/>
        <w:t>يعقوب يحصل على البركة بالخديعة (25: 19-28: 9)</w:t>
      </w:r>
    </w:p>
    <w:p w14:paraId="37F12E07"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5755E0">
        <w:rPr>
          <w:rFonts w:eastAsia="Times New Roman" w:cs="DecoType Naskh" w:hint="cs"/>
          <w:color w:val="auto"/>
          <w:kern w:val="0"/>
          <w:szCs w:val="26"/>
          <w:rtl/>
          <w:lang w:bidi="ar-JO"/>
          <w14:ligatures w14:val="none"/>
        </w:rPr>
        <w:t xml:space="preserve">رواية عيسو ويعقوب مثيرة للاهتمام.  يأخذ إسحاق البركة الإبراهيمية من أبيه إبراهيم (25: 5، 11).  غير أن زوجته رفقة، مثلها مثل سارة، عاقر، ولا يوجد أي نسل ليواصل خط البركة.  لكن إسحاق كان قد تعلم من خبرة أبيه درساً: لا يلجأ المرء إلى وسائل بشرية للحصول على الذرية.  بل عليه أن يصلي، وأن يصرخ إلى الرب، وأن يتكل عليه.  وبعد أن صلى إسحاق لرفقه، اكتشف اكتشافاً مفرحاً أن رفقة لم تكن حبلى فحسب، لكنها سترزق </w:t>
      </w:r>
      <w:r w:rsidRPr="005755E0">
        <w:rPr>
          <w:rFonts w:eastAsia="Times New Roman" w:cs="DecoType Naskh" w:hint="cs"/>
          <w:color w:val="auto"/>
          <w:kern w:val="0"/>
          <w:szCs w:val="26"/>
          <w:u w:val="single"/>
          <w:rtl/>
          <w:lang w:bidi="ar-JO"/>
          <w14:ligatures w14:val="none"/>
        </w:rPr>
        <w:t>بتوأمين</w:t>
      </w:r>
      <w:r w:rsidRPr="005755E0">
        <w:rPr>
          <w:rFonts w:eastAsia="Times New Roman" w:cs="DecoType Naskh" w:hint="cs"/>
          <w:color w:val="auto"/>
          <w:kern w:val="0"/>
          <w:szCs w:val="26"/>
          <w:rtl/>
          <w:lang w:bidi="ar-JO"/>
          <w14:ligatures w14:val="none"/>
        </w:rPr>
        <w:t>.  والبكر حسب العادات الشرقية هو الوريث الرئيسي لأملاك والده.  تشمل حقوق البكورية الحق في أن يكون البكر الرئيس الروحي للعائلة، وهكذا يأتي من خلاله النسل الروحي.  وبما أن عيسو هو البكر، فإن حقوق البكورية له.  غير أن الله يتدخل ليثبت أمراً.  فحتى حين كان التوأمان ما يزالان في بطن أمهما، أعلن الله (تكوين 25: 23):</w:t>
      </w:r>
    </w:p>
    <w:p w14:paraId="3A7F8AED"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5755E0">
        <w:rPr>
          <w:rFonts w:eastAsia="Times New Roman" w:cs="DecoType Naskh" w:hint="cs"/>
          <w:color w:val="auto"/>
          <w:kern w:val="0"/>
          <w:szCs w:val="26"/>
          <w:rtl/>
          <w:lang w:bidi="ar-JO"/>
          <w14:ligatures w14:val="none"/>
        </w:rPr>
        <w:t>"في بطنك أمّتان، ومن أحشائك يفترق شعبان: شعب يقوى على شعب، وكبير يُستعبد لصغير."</w:t>
      </w:r>
    </w:p>
    <w:p w14:paraId="4A016B68"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5755E0">
        <w:rPr>
          <w:rFonts w:eastAsia="Times New Roman" w:cs="DecoType Naskh" w:hint="cs"/>
          <w:color w:val="auto"/>
          <w:kern w:val="0"/>
          <w:szCs w:val="26"/>
          <w:rtl/>
          <w:lang w:bidi="ar-JO"/>
          <w14:ligatures w14:val="none"/>
        </w:rPr>
        <w:t xml:space="preserve">سيكون يعقوب الأصغر، إذ سيولد بعد عيسو، غير أن الله يعلن أنه سيسود.  والفكرة هنا هي أن الله يقاطع النظام الطبيعي لكي يبيّن أن متلقّي البركة سيعيَّن </w:t>
      </w:r>
      <w:r w:rsidRPr="005755E0">
        <w:rPr>
          <w:rFonts w:eastAsia="Times New Roman" w:cs="DecoType Naskh" w:hint="cs"/>
          <w:color w:val="auto"/>
          <w:kern w:val="0"/>
          <w:szCs w:val="26"/>
          <w:u w:val="single"/>
          <w:rtl/>
          <w:lang w:bidi="ar-JO"/>
          <w14:ligatures w14:val="none"/>
        </w:rPr>
        <w:t>بالاختيار</w:t>
      </w:r>
      <w:r w:rsidRPr="005755E0">
        <w:rPr>
          <w:rFonts w:eastAsia="Times New Roman" w:cs="DecoType Naskh" w:hint="cs"/>
          <w:color w:val="auto"/>
          <w:kern w:val="0"/>
          <w:szCs w:val="26"/>
          <w:rtl/>
          <w:lang w:bidi="ar-JO"/>
          <w14:ligatures w14:val="none"/>
        </w:rPr>
        <w:t>، أي باختيار الله (وهذا أمر أساسي بالنسبة لحجة بولس حول عقيدة اختيار المؤمن في رومية 9).  لكن ما هو متضمّن هنا هو أكثر من شخصين.  إذ نحن أمام أمّتين، والفكرة الواضحة هنا هي أن أمّة إسرائيل ستأخذ دورها عن طريق اختيار الله.  ومنذ البداية، كان مولد أمّة إسرائيل تحت إشراف العناية الإلهية الخارق.  غير أنه يوجد درس لإسرائيل على المستوى الفردي: أن يكون المرء من بني إسرائيل لم يكن يعني أن يصير بشكل آلي ضمن "عائلة الإيمان."  ألم يكن عيسو ابناً لإسحاق؟ غير أن عيسو لم يُشمَل بتلقي البركة، إذ لم يكن مختاراً ولم يكن من الإيمان (حيث احتقر البكورية).  والانحدار من نسل إبراهيم لا "يخلّص" أي واحد من بني إسرائيل... وهذه فكرة سيواجه بها يسوع فيما بعد اليهود غير المؤمنين في جيله.</w:t>
      </w:r>
    </w:p>
    <w:p w14:paraId="33824F4C"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5755E0">
        <w:rPr>
          <w:rFonts w:eastAsia="Times New Roman" w:cs="DecoType Naskh" w:hint="cs"/>
          <w:color w:val="auto"/>
          <w:kern w:val="0"/>
          <w:szCs w:val="26"/>
          <w:rtl/>
          <w:lang w:bidi="ar-JO"/>
          <w14:ligatures w14:val="none"/>
        </w:rPr>
        <w:lastRenderedPageBreak/>
        <w:t>والآن لننتقل إلى المشهد الذي يكسب فيه يعقوب حقوق البكورية من عيسو.  وما يجب أن نفهمه هنا هو أن الله أراد على الدوام أن يحصل يعقوب في نهاية الأمر على البركة الإبراهيمية (وهذه هي دلالة الإعلان الإلهي قبل مولده).  ولم يكن اللجوء إلى الحيلة والخداع ضرورياً قط ليعقوب.  كان في مقدوره أن يحصل عليها بالإيمان... واثقاً بأن الله سيعطيه حقوق البكورية.  غير أن يعقوب عند هذه النقطة رجل يأخذ الأمور على عاتقه.  ويعني اسمه "القابض على العقب"، وسيأخذ هذا فيما بعد معنى سلبياً" "المُعْثِر" أو المخادع الماكر.  ويشهد اسمه على طبيعته الأخلاقية.</w:t>
      </w:r>
    </w:p>
    <w:p w14:paraId="2928DA45"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F4A63BB" w14:textId="1C6BA465"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KW"/>
          <w14:ligatures w14:val="none"/>
        </w:rPr>
      </w:pPr>
      <w:r w:rsidRPr="005755E0">
        <w:rPr>
          <w:rFonts w:eastAsia="Times New Roman" w:cs="DecoType Naskh" w:hint="cs"/>
          <w:color w:val="auto"/>
          <w:kern w:val="0"/>
          <w:szCs w:val="26"/>
          <w:rtl/>
          <w:lang w:bidi="ar-JO"/>
          <w14:ligatures w14:val="none"/>
        </w:rPr>
        <w:t>ومن ناحية أخرى، فإن</w:t>
      </w:r>
      <w:r w:rsidR="00B965B2">
        <w:rPr>
          <w:rFonts w:eastAsia="Times New Roman" w:cs="DecoType Naskh" w:hint="cs"/>
          <w:color w:val="auto"/>
          <w:kern w:val="0"/>
          <w:szCs w:val="26"/>
          <w:rtl/>
          <w:lang w:bidi="ar-JO"/>
          <w14:ligatures w14:val="none"/>
        </w:rPr>
        <w:t>َّ</w:t>
      </w:r>
      <w:r w:rsidRPr="005755E0">
        <w:rPr>
          <w:rFonts w:eastAsia="Times New Roman" w:cs="DecoType Naskh" w:hint="cs"/>
          <w:color w:val="auto"/>
          <w:kern w:val="0"/>
          <w:szCs w:val="26"/>
          <w:rtl/>
          <w:lang w:bidi="ar-JO"/>
          <w14:ligatures w14:val="none"/>
        </w:rPr>
        <w:t xml:space="preserve"> الشخصية الأخلاقية لعيسو أدنى من يعقوب.  تخبرنا تكوين 25: 34: "</w:t>
      </w:r>
      <w:r w:rsidRPr="005755E0">
        <w:rPr>
          <w:rFonts w:eastAsia="Times New Roman" w:cs="DecoType Naskh" w:hint="cs"/>
          <w:i/>
          <w:iCs/>
          <w:color w:val="auto"/>
          <w:kern w:val="0"/>
          <w:szCs w:val="26"/>
          <w:rtl/>
          <w:lang w:bidi="ar-JO"/>
          <w14:ligatures w14:val="none"/>
        </w:rPr>
        <w:t>فاحتقر عيسو البكورية</w:t>
      </w:r>
      <w:r w:rsidRPr="005755E0">
        <w:rPr>
          <w:rFonts w:eastAsia="Times New Roman" w:cs="DecoType Naskh" w:hint="cs"/>
          <w:color w:val="auto"/>
          <w:kern w:val="0"/>
          <w:szCs w:val="26"/>
          <w:rtl/>
          <w:lang w:bidi="ar-JO"/>
          <w14:ligatures w14:val="none"/>
        </w:rPr>
        <w:t>،" أي أنه احتقر ذاك الذي له قيمة.  والأمر الهام هنا هو البرنامج الإلهي... بركة إبراهيم، وسيط البركة.  احتقرها... لم يرَ فيها قيمة كبيرة... بل إنه كان في واقع الأمر يحتقر ما يقدّره الله... وهذه صفعة على وجه الله.  وعلى الرغم من الطريقة التي سعى بها يعقوب إلى الحصول على ما كان امتيازاً لعيسو، إلاّ أنه يجب علينا أن نمتدح معرفته لما هو ثمين وسعيه وراءه.  يدرك يعقوب القيمة الروحية في حق البكورية! وهكذا فإن كلا الرجلين درس لإسرائيل.  من خلال يعقوب، يجب أن يتعلموا أن الوعود لا تتحقق بتلك الطريقة (بالخداع والمكر).  ومن خلال عيسو، فقد حُذِّروا من احتقار ما هو ثمين.  ونتيجة لذلك، ينتهي المطاف بيعقوب بالهروب من أرض الموعد (وفي هذا توازٍ مع تغرّب العائلة في مصر).  لكن مع ذهابه، يدرك حتى إسحاق أن البركة ستكون ليعقوب: "</w:t>
      </w:r>
      <w:r w:rsidRPr="005755E0">
        <w:rPr>
          <w:rFonts w:eastAsia="Times New Roman" w:cs="DecoType Naskh" w:hint="cs"/>
          <w:i/>
          <w:iCs/>
          <w:color w:val="auto"/>
          <w:kern w:val="0"/>
          <w:szCs w:val="26"/>
          <w:rtl/>
          <w:lang w:bidi="ar-JO"/>
          <w14:ligatures w14:val="none"/>
        </w:rPr>
        <w:t>يعطيك (الرب) بركة إبراهيم لك ولنسلك معك، لترث أرض غربتك التي أعطاها الله لإبراهيم</w:t>
      </w:r>
      <w:r w:rsidRPr="005755E0">
        <w:rPr>
          <w:rFonts w:eastAsia="Times New Roman" w:cs="DecoType Naskh" w:hint="cs"/>
          <w:color w:val="auto"/>
          <w:kern w:val="0"/>
          <w:szCs w:val="26"/>
          <w:rtl/>
          <w:lang w:bidi="ar-JO"/>
          <w14:ligatures w14:val="none"/>
        </w:rPr>
        <w:t>." (28: 4)</w:t>
      </w:r>
    </w:p>
    <w:p w14:paraId="03E0CE89"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KW"/>
          <w14:ligatures w14:val="none"/>
        </w:rPr>
      </w:pPr>
    </w:p>
    <w:p w14:paraId="626009D3" w14:textId="77777777" w:rsidR="005755E0" w:rsidRPr="005755E0" w:rsidRDefault="005755E0" w:rsidP="002D6C54">
      <w:pPr>
        <w:tabs>
          <w:tab w:val="left" w:pos="454"/>
        </w:tabs>
        <w:bidi/>
        <w:spacing w:after="60" w:line="240" w:lineRule="auto"/>
        <w:ind w:left="550" w:hanging="550"/>
        <w:jc w:val="both"/>
        <w:rPr>
          <w:rFonts w:eastAsia="Times New Roman" w:cs="DecoType Naskh"/>
          <w:bCs/>
          <w:color w:val="auto"/>
          <w:kern w:val="0"/>
          <w:szCs w:val="26"/>
          <w:rtl/>
          <w:lang w:bidi="ar-JO"/>
          <w14:ligatures w14:val="none"/>
        </w:rPr>
      </w:pPr>
      <w:r w:rsidRPr="005755E0">
        <w:rPr>
          <w:rFonts w:eastAsia="Times New Roman" w:cs="DecoType Naskh" w:hint="cs"/>
          <w:bCs/>
          <w:color w:val="auto"/>
          <w:kern w:val="0"/>
          <w:szCs w:val="26"/>
          <w:rtl/>
          <w14:ligatures w14:val="none"/>
        </w:rPr>
        <w:t>ب.</w:t>
      </w:r>
      <w:r w:rsidRPr="005755E0">
        <w:rPr>
          <w:rFonts w:eastAsia="Times New Roman" w:cs="DecoType Naskh" w:hint="cs"/>
          <w:bCs/>
          <w:color w:val="auto"/>
          <w:kern w:val="0"/>
          <w:szCs w:val="26"/>
          <w:rtl/>
          <w14:ligatures w14:val="none"/>
        </w:rPr>
        <w:tab/>
        <w:t>الرؤيا في بيت إيل (28: 10-22)</w:t>
      </w:r>
    </w:p>
    <w:p w14:paraId="1965DC5D"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5755E0">
        <w:rPr>
          <w:rFonts w:eastAsia="Times New Roman" w:cs="DecoType Naskh" w:hint="cs"/>
          <w:color w:val="auto"/>
          <w:kern w:val="0"/>
          <w:szCs w:val="26"/>
          <w:rtl/>
          <w:lang w:bidi="ar-JO"/>
          <w14:ligatures w14:val="none"/>
        </w:rPr>
        <w:t>وضع أحدهم هذا المشهد على صورة ترنيمة بعنوان، "أنا أتسلق سلّم يعقوب".  غير أن الرواية الكتابية مختلفة جداً.  تهدف هذه الفقرة إلى تشجيع يعقوب وهو يغادر أرض كنعان.  لم يكن مفترضاً، في القصص السابقة، أن يغادر الآباء الأرض.  أمّا في حالة يعقوب، فلم تكن مغادرته ضد مشيئة الله، بل كانت ضمن التأديب الإلهي (كلما كانت أمّة إسرائيل خارج الأرض، كان ذلك إجراء تأديبياً من الله).  لدى مغادرته يتلقى توكيداً من أبيه أن البركة له، أمّا الآن فإن يهوه نفسه يؤكد له هذه الوعود.  وهكذا يرمز السلّم إلى حضور الله مع يعقوب حيثما يذهب وإلى تأهب الملائكة لخدمته بتوجيه الله (انظر 32: 1، 2).  هذا وعد بالحماية والتدبير أينما يذهب، وفي هذا توكيد على الوعد الإبراهيمي ليعقوب.  وحصوله على البركة أمر واضح حتى أثناء مدة إقامته عند لابان، فقد باركه يهوه كثيراً، حتى إن لابان نفسه نال بركة من خلال يعقوب (30: 27، 30).   استجاب يعقوب لهذا الإعلان بالعبادة ونذر الولاء ليهوه (28: 18-20).</w:t>
      </w:r>
    </w:p>
    <w:p w14:paraId="73C3A729"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53F3076"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43301FF" w14:textId="77777777" w:rsidR="005755E0" w:rsidRPr="005755E0" w:rsidRDefault="005755E0" w:rsidP="002D6C54">
      <w:pPr>
        <w:tabs>
          <w:tab w:val="left" w:pos="454"/>
        </w:tabs>
        <w:bidi/>
        <w:spacing w:after="60" w:line="240" w:lineRule="auto"/>
        <w:ind w:left="550" w:hanging="550"/>
        <w:jc w:val="both"/>
        <w:rPr>
          <w:rFonts w:eastAsia="Times New Roman" w:cs="DecoType Naskh"/>
          <w:bCs/>
          <w:color w:val="auto"/>
          <w:kern w:val="0"/>
          <w:szCs w:val="26"/>
          <w:rtl/>
          <w:lang w:bidi="ar-JO"/>
          <w14:ligatures w14:val="none"/>
        </w:rPr>
      </w:pPr>
      <w:r w:rsidRPr="005755E0">
        <w:rPr>
          <w:rFonts w:eastAsia="Times New Roman" w:cs="DecoType Naskh" w:hint="cs"/>
          <w:bCs/>
          <w:color w:val="auto"/>
          <w:kern w:val="0"/>
          <w:szCs w:val="26"/>
          <w:rtl/>
          <w14:ligatures w14:val="none"/>
        </w:rPr>
        <w:t>جـ.</w:t>
      </w:r>
      <w:r w:rsidRPr="005755E0">
        <w:rPr>
          <w:rFonts w:eastAsia="Times New Roman" w:cs="DecoType Naskh" w:hint="cs"/>
          <w:bCs/>
          <w:color w:val="auto"/>
          <w:kern w:val="0"/>
          <w:szCs w:val="26"/>
          <w:rtl/>
          <w14:ligatures w14:val="none"/>
        </w:rPr>
        <w:tab/>
        <w:t>صراع يعقوب-لابان (29: 1-31: 55)</w:t>
      </w:r>
    </w:p>
    <w:p w14:paraId="43E07964"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5755E0">
        <w:rPr>
          <w:rFonts w:eastAsia="Times New Roman" w:cs="DecoType Naskh" w:hint="cs"/>
          <w:color w:val="auto"/>
          <w:kern w:val="0"/>
          <w:szCs w:val="26"/>
          <w:rtl/>
          <w:lang w:bidi="ar-JO"/>
          <w14:ligatures w14:val="none"/>
        </w:rPr>
        <w:t>إن كان يعقوب يتسم بالخداع، فإنه يقابل في لابان خصماً يتفوق عليه في الخداع.  وفي هذا ترتيب إلهي لتأديب يعقوب.  وتعمل السنوات التي قضاها يعقوب عند لابان على تطوير إيمانه بجعله يدرك بطريقة مؤلمة نقائصه وخطاياه.  غير أنه توجد بركة ممتزجة بالتأديب، حيث يرزق يعقوب بنسل من خلال راحيل وليئة (والجاريتين) مما سيديم نسل البركة.  ويصبح يوسف، بكر راحيل، المفضّل لدى أبيه الذي كانت راحيل موضوع حبه الأعظم.</w:t>
      </w:r>
    </w:p>
    <w:p w14:paraId="159DBE6F"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F9F5847" w14:textId="77777777" w:rsidR="005755E0" w:rsidRPr="005755E0" w:rsidRDefault="005755E0"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5755E0">
        <w:rPr>
          <w:rFonts w:eastAsia="Times New Roman" w:cs="DecoType Naskh" w:hint="cs"/>
          <w:bCs/>
          <w:color w:val="auto"/>
          <w:kern w:val="0"/>
          <w:szCs w:val="26"/>
          <w:rtl/>
          <w14:ligatures w14:val="none"/>
        </w:rPr>
        <w:t>د.</w:t>
      </w:r>
      <w:r w:rsidRPr="005755E0">
        <w:rPr>
          <w:rFonts w:eastAsia="Times New Roman" w:cs="DecoType Naskh" w:hint="cs"/>
          <w:bCs/>
          <w:color w:val="auto"/>
          <w:kern w:val="0"/>
          <w:szCs w:val="26"/>
          <w:rtl/>
          <w14:ligatures w14:val="none"/>
        </w:rPr>
        <w:tab/>
        <w:t>لقاء عيسو: من الخوف إلى الإيمان (32: 1-33: 20)</w:t>
      </w:r>
    </w:p>
    <w:p w14:paraId="7F0A7F38" w14:textId="5783A0B0"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5755E0">
        <w:rPr>
          <w:rFonts w:eastAsia="Times New Roman" w:cs="DecoType Naskh" w:hint="cs"/>
          <w:color w:val="auto"/>
          <w:kern w:val="0"/>
          <w:szCs w:val="26"/>
          <w:rtl/>
          <w:lang w:bidi="ar-JO"/>
          <w14:ligatures w14:val="none"/>
        </w:rPr>
        <w:t>لم يكن ممكناً أن يخدم يعقوب لابان مدى العمر، إذ كانت الخطة الإلهية أن يعطي الله يعقوب أرض الموعد (لنتذكر أن فرعون سيطارد بني إسرائيل بقيادة موسى كما طارد لابان يعقوب).  غير أن يعقوب، في تقدير الله، لم يكن جاهزاً بعد لأخذ الأرض؛ فالخوف يتملك قلبه، لا الإيمان.  وقد عاد الرسل الذين أرسلهم يعقوب قبله بخبر مفاده أن عيسو يتقدم نحوه مع قوة عظيمة (32: 6).  ونجد استجابة يعقوب في 32: 7: "</w:t>
      </w:r>
      <w:r w:rsidRPr="005755E0">
        <w:rPr>
          <w:rFonts w:eastAsia="Times New Roman" w:cs="DecoType Naskh" w:hint="cs"/>
          <w:i/>
          <w:iCs/>
          <w:color w:val="auto"/>
          <w:kern w:val="0"/>
          <w:szCs w:val="26"/>
          <w:rtl/>
          <w:lang w:bidi="ar-JO"/>
          <w14:ligatures w14:val="none"/>
        </w:rPr>
        <w:t>فخاف يعقوب جداً وضاق به الأمر</w:t>
      </w:r>
      <w:r w:rsidRPr="005755E0">
        <w:rPr>
          <w:rFonts w:eastAsia="Times New Roman" w:cs="DecoType Naskh" w:hint="cs"/>
          <w:color w:val="auto"/>
          <w:kern w:val="0"/>
          <w:szCs w:val="26"/>
          <w:rtl/>
          <w:lang w:bidi="ar-JO"/>
          <w14:ligatures w14:val="none"/>
        </w:rPr>
        <w:t xml:space="preserve">" (ولا يسع المرء هنا إلاّ أن يتذكر الإثني عشر جاسوساً الذين أرسلهم موسى).  أراد أن يلجأ </w:t>
      </w:r>
      <w:r w:rsidRPr="005755E0">
        <w:rPr>
          <w:rFonts w:eastAsia="Times New Roman" w:cs="DecoType Naskh" w:hint="cs"/>
          <w:color w:val="auto"/>
          <w:kern w:val="0"/>
          <w:szCs w:val="26"/>
          <w:rtl/>
          <w:lang w:bidi="ar-JO"/>
          <w14:ligatures w14:val="none"/>
        </w:rPr>
        <w:lastRenderedPageBreak/>
        <w:t>إلى أساليبه ووسائله الخاصة لكي ينجح؛ فقسّم عائلته إلى مجموعات مختلفة من المسافرين، وحاول أن يرسل هدايا لكي يسترضي أخاه.  خشي يعقوب لقاء أخيه، وهو يتوقع معركة معه.  والملاحظة المذهلة هنا هي أنه لا يلقي بنفسه على قوة الله في اتكال كامل ليحل الصراع مع أخيه.  بل يسعى إلى معالجة الأمر بنفسه.  نجح دائماً في الاحتيال على الآخرين (حتى لابان)، لكن هل سينجح هذه المرة؟ أخذ منه اليأس كل مأخذ، فصلّى للرب أن يخلّصه على أساس الوعود الإبراهيمية له (32: 9-12).  كان ما عمله هو الصواب، لكن أفعاله التي تلت ذلك كشفت أنه كان ما يزال يحاول أن يقاتل بنفسه بدلاً من السماح لله بأن يقاتل عنه.  وهذا هو ما يجب أن يتعلّمه مهما كلّف الأمر: لن يستطيع أن يأخذ الأرض إلى أن يسمح للرب بأن يقاتل عنه! والحادثة الغريبة التي يصارع فيها يعقوب رجلاً في يبوق (32: 23-33) هي مفتاح هذا القسم كلّه الذي يتعلم فيه يعقوب هذا الدرس نفسه.</w:t>
      </w:r>
    </w:p>
    <w:p w14:paraId="50BF88F8"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EF67539"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5755E0">
        <w:rPr>
          <w:rFonts w:eastAsia="Times New Roman" w:cs="DecoType Naskh" w:hint="cs"/>
          <w:color w:val="auto"/>
          <w:kern w:val="0"/>
          <w:szCs w:val="26"/>
          <w:rtl/>
          <w:lang w:bidi="ar-JO"/>
          <w14:ligatures w14:val="none"/>
        </w:rPr>
        <w:t xml:space="preserve">كان يعقوب قد صلّى من أجل أن ينقذه الله (32: 9-12)، لكن الله يعرف أن هنالك حاجة أكبر إلى شيء آخر.  يجب أن يخلَّص يعقوب أولاً من الخوف الذي يشل نفسه.  وهكذا، وفي مخاضة يبوق، يواجه يعقوب رجلاً يتصارع معه طوال اليوم.  وسيخرج يعقوب من هذه الموقعة رجلاً آخر، رجلاً مختلفاً. </w:t>
      </w:r>
    </w:p>
    <w:p w14:paraId="2FFBF176"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F6B08F7"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843E868"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037E793"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BBBCDBD"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ED0B59C"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5755E0">
        <w:rPr>
          <w:rFonts w:eastAsia="Times New Roman" w:cs="DecoType Naskh" w:hint="cs"/>
          <w:color w:val="auto"/>
          <w:kern w:val="0"/>
          <w:szCs w:val="26"/>
          <w:rtl/>
          <w:lang w:bidi="ar-JO"/>
          <w14:ligatures w14:val="none"/>
        </w:rPr>
        <w:t>وقبل أن يتسنى ليعقوب أن ينفّذ أحد أساليبه وحيله، فإن هنالك من يريد أن يقابله وجهاً لوجه.  وتبقى هوية هذا الخصم غير محدَّده، ولا نعلم هويّته إلاّ من كلامه وتصرفات يعقوب.  ومن الواضح هنا أن خصم يعقوب هو الرب نفسه، لأن يعقوب كان يصارع كل حياته مع الرب.  والآن سيقوم الرب بتعليم يعقوب درساً هامّاً من خلال طريقة مثيرة.  يستمر الصراع طوال الليل، ويبدو أنه لا يحسم إلاّ حين يلجأ "الرجل" إلى عمل خارق، لمسة بسيطة.  تؤدّي هذه "اللمسة البسيطة" إلى خلع حُقِّ فخذه (ومن السخرية الأدبية أن هذه ضربة مخادعة).  والفكرة هنا واضحة: صارع يعقوب الرب طوال حياته، غير أن الرب أحجم عن محو يعقوب عن وجه الأرض.  كان في مقدوره أن يفعل ذلك، إذ أصابت يعقوب بالعجز "لمسة" واحدة خارقة من الرب.  لطالما منعَ الله نفسه عن محو يعقوب، فهو وفيٌ لموضوع اختياره الذي يحمل بركة إبراهيم.  لكن هذا المشهد كله يمثّل أكثر من يعقوب نفسه.  فهذه هي الطبيعة الأخلاقية للأمة المختارة، وحتى طبيعتك وطبيعتي.</w:t>
      </w:r>
    </w:p>
    <w:p w14:paraId="37D3F55E"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978ECDD"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5755E0">
        <w:rPr>
          <w:rFonts w:eastAsia="Times New Roman" w:cs="DecoType Naskh" w:hint="cs"/>
          <w:color w:val="auto"/>
          <w:kern w:val="0"/>
          <w:szCs w:val="26"/>
          <w:rtl/>
          <w:lang w:bidi="ar-JO"/>
          <w14:ligatures w14:val="none"/>
        </w:rPr>
        <w:t>يدرك يعقوب أنه ليس ندّاً لهذا الإنسان أو "الرجل</w:t>
      </w:r>
      <w:r w:rsidRPr="005755E0">
        <w:rPr>
          <w:rFonts w:eastAsia="Times New Roman" w:cs="DecoType Naskh" w:hint="cs"/>
          <w:color w:val="auto"/>
          <w:kern w:val="0"/>
          <w:szCs w:val="26"/>
          <w:rtl/>
          <w14:ligatures w14:val="none"/>
        </w:rPr>
        <w:t>،</w:t>
      </w:r>
      <w:r w:rsidRPr="005755E0">
        <w:rPr>
          <w:rFonts w:eastAsia="Times New Roman" w:cs="DecoType Naskh" w:hint="cs"/>
          <w:color w:val="auto"/>
          <w:kern w:val="0"/>
          <w:szCs w:val="26"/>
          <w:rtl/>
          <w:lang w:bidi="ar-JO"/>
          <w14:ligatures w14:val="none"/>
        </w:rPr>
        <w:t>" فلا يمكن لأحد أن يباريه وينتصر.  وتصبح هذه الخبرة كشفاً ليعقوب، حيث يدرك حقيقة هذا الرجل، فيتعلق به ولا يدعه يتركه دون بركة.  هذا هو يعقوب الذي يمتدحه الله؛ هذا هو يعقوب الذي يدرك القيمة الموجودة في البكورية؛ هذا هو يعقوب الجائع لبركة الله والذي يطلبها بشكل مُلح.  هذا هو يعقوب صاحب القلب المؤمن!</w:t>
      </w:r>
    </w:p>
    <w:p w14:paraId="0F23D2B3"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C56CC88"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5755E0">
        <w:rPr>
          <w:rFonts w:eastAsia="Times New Roman" w:cs="DecoType Naskh" w:hint="cs"/>
          <w:color w:val="auto"/>
          <w:kern w:val="0"/>
          <w:szCs w:val="26"/>
          <w:rtl/>
          <w:lang w:bidi="ar-JO"/>
          <w14:ligatures w14:val="none"/>
        </w:rPr>
        <w:t xml:space="preserve">يصرخ يعقوب طالباً البركة، ويستجيب الله بأن يسأل يعقوب عن اسمه.  وهذا أمر ذو دلالة لأن الاسم هو الذي يعكس الطبيعة الأخلاقية لصاحبه.  وعندما يذكر يعقوب اسمه، فإنما يذكر شخصيته الأخلاقية لشخص كان طوال عمره مخادعاً ماكراً، شخص سعى إلى الحصول على البركة بطريقة غير نزيهة.  جعل الله يعقوب يعترف باسمه وبطبيعته الأخلاقية، مطالباً إياه بهذا بتغيير نمط حياته هذا بشكل جذري.  ويعطيه الله اسماً جديداً، وهذه هي الاستجابة الإلهية لطلب يعقوب بركة.  يدل الاسم الجديد على شخصية أخلاقية جديدة، واسمه الجديد هو "إسرائيل"، ويعني هذا الاسم "الله يقاتل".  والتفسير (32: 28) هو أن يعقوب جاهد مع الله والناس وقدر.  يقول روس: </w:t>
      </w:r>
    </w:p>
    <w:p w14:paraId="58F15D63"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5755E0">
        <w:rPr>
          <w:rFonts w:eastAsia="Times New Roman" w:cs="DecoType Naskh" w:hint="cs"/>
          <w:color w:val="auto"/>
          <w:kern w:val="0"/>
          <w:szCs w:val="26"/>
          <w:rtl/>
          <w:lang w:bidi="ar-JO"/>
          <w14:ligatures w14:val="none"/>
        </w:rPr>
        <w:t>حاول يعقوب طوال حياته استخدام بركة الله في كل الظروف من أجل منفعته الخاصة.  كانت إرادته الذاتية قوية جداً، وكان أكثر اعتزازاً بنفسه من أن يسمح بأن تعطى له بركة الله دون جهد منه.</w:t>
      </w:r>
    </w:p>
    <w:p w14:paraId="3E989307"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7E4D5B3E"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5755E0">
        <w:rPr>
          <w:rFonts w:eastAsia="Times New Roman" w:cs="DecoType Naskh" w:hint="cs"/>
          <w:color w:val="auto"/>
          <w:kern w:val="0"/>
          <w:szCs w:val="26"/>
          <w:rtl/>
          <w:lang w:bidi="ar-JO"/>
          <w14:ligatures w14:val="none"/>
        </w:rPr>
        <w:lastRenderedPageBreak/>
        <w:t>.... وهذا عنى، أولاً، أن الله اختار أن يقاتله، بسبب عناده وكبريائه.  وعنى ثانياً أن الله مستعد أن يقاتل من أجل أمّة إسرائيل.</w:t>
      </w:r>
    </w:p>
    <w:p w14:paraId="78B24258"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28"/>
          <w:szCs w:val="28"/>
          <w:rtl/>
          <w:lang w:bidi="ar-JO"/>
          <w14:ligatures w14:val="none"/>
        </w:rPr>
      </w:pPr>
      <w:r w:rsidRPr="005755E0">
        <w:rPr>
          <w:rFonts w:eastAsia="Times New Roman" w:cs="DecoType Naskh" w:hint="cs"/>
          <w:color w:val="auto"/>
          <w:kern w:val="0"/>
          <w:szCs w:val="26"/>
          <w:rtl/>
          <w:lang w:bidi="ar-JO"/>
          <w14:ligatures w14:val="none"/>
        </w:rPr>
        <w:t>سيذكّر اسم يعقوب صاحبه وآخرين بهذه المعركة التي غلبت فيها.  وكانت هذه الكلمات مصدر رجاء لنبي إسرائيل.  فإذا استطاع المرء أن يجاهد مع الله، فإنه يستطيع أن يربح المعركة مع الإنسان.  وهكذا فإن اسم "الله يقاتل" والتفسير أن يعقوب قد "قدر" أظهر للأمة أهمية الوعد في صراعاتها القادمة."</w:t>
      </w:r>
      <w:r w:rsidRPr="005755E0">
        <w:rPr>
          <w:rFonts w:eastAsia="Times New Roman" w:cs="DecoType Naskh"/>
          <w:color w:val="auto"/>
          <w:kern w:val="0"/>
          <w:sz w:val="28"/>
          <w:szCs w:val="28"/>
          <w:vertAlign w:val="superscript"/>
          <w:rtl/>
          <w:lang w:bidi="ar-JO"/>
          <w14:ligatures w14:val="none"/>
        </w:rPr>
        <w:footnoteReference w:customMarkFollows="1" w:id="44"/>
        <w:t>1</w:t>
      </w:r>
    </w:p>
    <w:p w14:paraId="69A82EAA"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5755E0">
        <w:rPr>
          <w:rFonts w:eastAsia="Times New Roman" w:cs="DecoType Naskh" w:hint="cs"/>
          <w:color w:val="auto"/>
          <w:kern w:val="0"/>
          <w:szCs w:val="26"/>
          <w:rtl/>
          <w:lang w:bidi="ar-JO"/>
          <w14:ligatures w14:val="none"/>
        </w:rPr>
        <w:t>ستكون هذه الحادثة تذكيراً، لا ليعقوب وحده، بل للأمة أيضاً، أنهم جاهدوا مع الله.  وهم يغلبون، لا بمعنى أنهم يهزمون الرب، بل بمعنى أن يحصلوا على البركة في نهاية الأمر رغم الجهاد.</w:t>
      </w:r>
    </w:p>
    <w:p w14:paraId="741323F8"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D57D6BC"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5755E0">
        <w:rPr>
          <w:rFonts w:eastAsia="Times New Roman" w:cs="DecoType Naskh" w:hint="cs"/>
          <w:color w:val="auto"/>
          <w:kern w:val="0"/>
          <w:szCs w:val="26"/>
          <w:rtl/>
          <w:lang w:bidi="ar-JO"/>
          <w14:ligatures w14:val="none"/>
        </w:rPr>
        <w:t>لا شك أن هذه المواجهة مبكِّتة، لكنها تشكّل بداية جديدة أيضاً.  ومنذ هذه اللحظة فصاعداً، سيكون يعقوب شخصاً آخر (من نواح أكثر من مجرد أنه سيعرج في مشيته بسبب حُقّه المخلوع).  سيعرج مدى الحياة، لكنه يتعلم وهو في هذه الحالة بالذات، أن الله قوّته، ويجب أن ينظر إلى المكائد والحيل الماكرة على أنها أسلوب الحياة القديم.  وسيتذكر على الدوام بأن الله هو الذي يقدر "بلمسة" واحدة أن يجعل خصمه عاجزاً.  صار يعقوب الآن إسرائيل ("الله يقاتل")، وهو يستطيع الآن أن يواجه عيسو ولديه اليقين المشجع أن الله يحارب عنه معاركه.  اختفت ثقته بنفسه، واختفى معها استخدام الأسلحة الجسدية.  وكانت إحدى نتائج تلك المواجهة أن يعقوب سمّى المكان "فِنيئيل" (الذي يعني "وجه الرب")، لأنه اضطر في هذه المرحلة إلى أن يتعامل مع الله وجهاً لوجه.</w:t>
      </w:r>
    </w:p>
    <w:p w14:paraId="4DD5A4AA"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732BC65" w14:textId="77777777" w:rsidR="00BD2389"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lang w:bidi="ar-JO"/>
          <w14:ligatures w14:val="none"/>
        </w:rPr>
      </w:pPr>
      <w:r w:rsidRPr="005755E0">
        <w:rPr>
          <w:rFonts w:eastAsia="Times New Roman" w:cs="DecoType Naskh" w:hint="cs"/>
          <w:color w:val="auto"/>
          <w:kern w:val="0"/>
          <w:szCs w:val="26"/>
          <w:rtl/>
          <w:lang w:bidi="ar-JO"/>
          <w14:ligatures w14:val="none"/>
        </w:rPr>
        <w:t>كانت حصيلة هذا كله أقرب إلى السخرية الأدبية: إذ لم يكن لقاؤه مع عيسو لقاء قتال مطلقاً، لأن الرب أخضع قلب عيسو (والأمر أشبه ما حدث عندما هزم بنو إسرائيل أريحا).  ويمكن للأمة أن تتعلم الكثير من هذا وهي تستعد لدخول أرض الموعد بقيادة موسى.  ويتوجب عليهم بوجه خاص أن يتقدموا بالإيمان تاركين الله يحارب عنهم.  وتختتم رواية يعقوب برجوعه إلى الأرض كما وعد الله.  ولسوء الحظ، فإن هذه العائلة تتدهور روحياً، وهذا هو الموضوع الذي سنبحثه في رواية يوسف.</w:t>
      </w:r>
    </w:p>
    <w:p w14:paraId="5A4A08DB" w14:textId="0624BE5F" w:rsidR="00DE116E" w:rsidRDefault="00DE11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lang w:bidi="ar-JO"/>
          <w14:ligatures w14:val="none"/>
        </w:rPr>
      </w:pPr>
    </w:p>
    <w:p w14:paraId="08CC9136" w14:textId="77777777" w:rsidR="00BD2389" w:rsidRDefault="00BD2389"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14:ligatures w14:val="none"/>
        </w:rPr>
      </w:pPr>
    </w:p>
    <w:p w14:paraId="27F7B08C" w14:textId="77777777" w:rsidR="00BD2389" w:rsidRDefault="00BD2389"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14:ligatures w14:val="none"/>
        </w:rPr>
      </w:pPr>
    </w:p>
    <w:p w14:paraId="0584900E" w14:textId="77777777" w:rsidR="00BD2389" w:rsidRDefault="00BD2389"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14:ligatures w14:val="none"/>
        </w:rPr>
      </w:pPr>
    </w:p>
    <w:p w14:paraId="0CD086FB" w14:textId="643CA4A1" w:rsidR="00DE116E" w:rsidRPr="005755E0" w:rsidRDefault="00BD2389" w:rsidP="002D6C54">
      <w:pPr>
        <w:pBdr>
          <w:top w:val="single" w:sz="4" w:space="1" w:color="auto"/>
          <w:left w:val="single" w:sz="4" w:space="4" w:color="auto"/>
          <w:bottom w:val="single" w:sz="4" w:space="1" w:color="auto"/>
          <w:right w:val="single" w:sz="4" w:space="4" w:color="auto"/>
        </w:pBd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Pr>
          <w:rFonts w:eastAsia="Times New Roman" w:cs="DecoType Naskh"/>
          <w:color w:val="auto"/>
          <w:kern w:val="0"/>
          <w:szCs w:val="26"/>
          <w14:ligatures w14:val="none"/>
        </w:rPr>
        <w:object w:dxaOrig="7210" w:dyaOrig="5396" w14:anchorId="6D3DD21A">
          <v:shape id="_x0000_i1031" type="#_x0000_t75" style="width:360.6pt;height:270pt" o:ole="">
            <v:imagedata r:id="rId35" o:title=""/>
          </v:shape>
          <o:OLEObject Type="Embed" ProgID="PowerPoint.Show.12" ShapeID="_x0000_i1031" DrawAspect="Content" ObjectID="_1802157126" r:id="rId36"/>
        </w:object>
      </w:r>
    </w:p>
    <w:p w14:paraId="5E10A946" w14:textId="77777777" w:rsidR="005755E0" w:rsidRPr="005755E0" w:rsidRDefault="005755E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403AD31F" w14:textId="77777777" w:rsidR="005755E0" w:rsidRPr="005755E0" w:rsidRDefault="005755E0"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5755E0">
        <w:rPr>
          <w:rFonts w:eastAsia="Times New Roman" w:cs="DecoType Naskh" w:hint="cs"/>
          <w:bCs/>
          <w:color w:val="auto"/>
          <w:kern w:val="0"/>
          <w:szCs w:val="28"/>
          <w:rtl/>
          <w:lang w:bidi="ar-JO"/>
          <w14:ligatures w14:val="none"/>
        </w:rPr>
        <w:t>3</w:t>
      </w:r>
      <w:bookmarkStart w:id="74" w:name="_Hlk164680137"/>
      <w:r w:rsidRPr="005755E0">
        <w:rPr>
          <w:rFonts w:eastAsia="Times New Roman" w:cs="DecoType Naskh" w:hint="cs"/>
          <w:bCs/>
          <w:color w:val="auto"/>
          <w:kern w:val="0"/>
          <w:szCs w:val="28"/>
          <w:rtl/>
          <w:lang w:bidi="ar-JO"/>
          <w14:ligatures w14:val="none"/>
        </w:rPr>
        <w:t>.</w:t>
      </w:r>
      <w:r w:rsidRPr="005755E0">
        <w:rPr>
          <w:rFonts w:eastAsia="Times New Roman" w:cs="DecoType Naskh" w:hint="cs"/>
          <w:bCs/>
          <w:color w:val="auto"/>
          <w:kern w:val="0"/>
          <w:szCs w:val="28"/>
          <w:rtl/>
          <w:lang w:bidi="ar-JO"/>
          <w14:ligatures w14:val="none"/>
        </w:rPr>
        <w:tab/>
        <w:t>رواية يوسف (تكوين 37: 1-50: 26) [يوسف 1916-1806ق م]</w:t>
      </w:r>
      <w:bookmarkEnd w:id="74"/>
    </w:p>
    <w:p w14:paraId="3138CAFB" w14:textId="1C66EE39" w:rsidR="001C7F8D" w:rsidRPr="007A4B15" w:rsidRDefault="001C7F8D" w:rsidP="00DD15FF">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bookmarkStart w:id="75" w:name="_Hlk178778466"/>
      <w:r w:rsidRPr="007A4B15">
        <w:rPr>
          <w:rFonts w:ascii="Verdana" w:eastAsia="Calibri" w:hAnsi="Verdana" w:cs="Times New Roman"/>
          <w:b/>
          <w:caps/>
          <w:noProof/>
          <w:color w:val="006699"/>
          <w:kern w:val="0"/>
          <w:sz w:val="21"/>
          <w:szCs w:val="24"/>
          <w14:ligatures w14:val="none"/>
        </w:rPr>
        <w:drawing>
          <wp:inline distT="0" distB="0" distL="0" distR="0" wp14:anchorId="3EBABB69" wp14:editId="1CB47819">
            <wp:extent cx="613692" cy="541464"/>
            <wp:effectExtent l="0" t="0" r="0" b="0"/>
            <wp:docPr id="679329651" name="Picture 679329651"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DD15FF">
        <w:rPr>
          <w:rFonts w:ascii="Verdana" w:eastAsia="Calibri" w:hAnsi="Verdana" w:cs="Times New Roman" w:hint="cs"/>
          <w:b/>
          <w:caps/>
          <w:color w:val="006699"/>
          <w:kern w:val="0"/>
          <w:sz w:val="21"/>
          <w:szCs w:val="24"/>
          <w:u w:val="single"/>
          <w:rtl/>
          <w14:ligatures w14:val="none"/>
        </w:rPr>
        <w:t xml:space="preserve">القراءة: </w:t>
      </w:r>
    </w:p>
    <w:p w14:paraId="6ACFBE0C" w14:textId="190678F8" w:rsidR="001C7F8D" w:rsidRPr="00DC7FD4" w:rsidRDefault="001C7F8D" w:rsidP="00DD15FF">
      <w:pPr>
        <w:tabs>
          <w:tab w:val="left" w:pos="547"/>
          <w:tab w:val="left" w:pos="1094"/>
          <w:tab w:val="left" w:pos="1642"/>
          <w:tab w:val="left" w:pos="2189"/>
          <w:tab w:val="left" w:pos="2736"/>
          <w:tab w:val="left" w:pos="3283"/>
          <w:tab w:val="left" w:pos="3830"/>
          <w:tab w:val="left" w:pos="4378"/>
        </w:tabs>
        <w:bidi/>
        <w:spacing w:before="120" w:after="120" w:line="240" w:lineRule="auto"/>
        <w:jc w:val="both"/>
        <w:outlineLvl w:val="4"/>
        <w:rPr>
          <w:rFonts w:eastAsia="Times New Roman" w:cs="Times New Roman"/>
          <w:b/>
          <w:bCs/>
          <w:iCs/>
          <w:color w:val="auto"/>
          <w:kern w:val="0"/>
          <w:sz w:val="22"/>
          <w:szCs w:val="26"/>
          <w14:ligatures w14:val="none"/>
        </w:rPr>
      </w:pPr>
      <w:r>
        <w:rPr>
          <w:rFonts w:eastAsia="Calibri" w:cs="Times New Roman"/>
          <w:kern w:val="0"/>
          <w:szCs w:val="24"/>
          <w14:ligatures w14:val="none"/>
        </w:rPr>
        <w:tab/>
      </w:r>
      <w:r>
        <w:rPr>
          <w:rFonts w:eastAsia="Calibri" w:cs="Times New Roman"/>
          <w:kern w:val="0"/>
          <w:szCs w:val="24"/>
          <w14:ligatures w14:val="none"/>
        </w:rPr>
        <w:tab/>
      </w:r>
      <w:r w:rsidR="00DD15FF">
        <w:rPr>
          <w:rFonts w:eastAsia="Calibri" w:cs="Times New Roman" w:hint="cs"/>
          <w:kern w:val="0"/>
          <w:szCs w:val="24"/>
          <w:rtl/>
          <w14:ligatures w14:val="none"/>
        </w:rPr>
        <w:t xml:space="preserve">اقرأ تكوين 37: 1 </w:t>
      </w:r>
      <w:r w:rsidR="00DD15FF">
        <w:rPr>
          <w:rFonts w:eastAsia="Calibri" w:cs="Times New Roman"/>
          <w:kern w:val="0"/>
          <w:szCs w:val="24"/>
          <w:rtl/>
          <w14:ligatures w14:val="none"/>
        </w:rPr>
        <w:t>–</w:t>
      </w:r>
      <w:r w:rsidR="00DD15FF">
        <w:rPr>
          <w:rFonts w:eastAsia="Calibri" w:cs="Times New Roman" w:hint="cs"/>
          <w:kern w:val="0"/>
          <w:szCs w:val="24"/>
          <w:rtl/>
          <w14:ligatures w14:val="none"/>
        </w:rPr>
        <w:t xml:space="preserve"> 50: 26 في كتابك المُقدَّس. </w:t>
      </w:r>
    </w:p>
    <w:p w14:paraId="23F1609F" w14:textId="77777777" w:rsidR="00DE116E" w:rsidRPr="00DE116E" w:rsidRDefault="00DE116E" w:rsidP="002D6C54">
      <w:pPr>
        <w:tabs>
          <w:tab w:val="left" w:pos="454"/>
        </w:tabs>
        <w:bidi/>
        <w:spacing w:after="60" w:line="240" w:lineRule="auto"/>
        <w:jc w:val="both"/>
        <w:rPr>
          <w:rFonts w:eastAsia="Times New Roman" w:cs="DecoType Naskh"/>
          <w:bCs/>
          <w:color w:val="auto"/>
          <w:kern w:val="0"/>
          <w:szCs w:val="28"/>
          <w:rtl/>
          <w:lang w:bidi="ar-JO"/>
          <w14:ligatures w14:val="none"/>
        </w:rPr>
      </w:pPr>
      <w:bookmarkStart w:id="76" w:name="_Hlk164680068"/>
      <w:bookmarkEnd w:id="75"/>
    </w:p>
    <w:bookmarkEnd w:id="76"/>
    <w:p w14:paraId="7E14801C" w14:textId="77777777" w:rsidR="00DE116E" w:rsidRPr="00DE116E" w:rsidRDefault="00DE11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DE116E">
        <w:rPr>
          <w:rFonts w:eastAsia="Times New Roman" w:cs="DecoType Naskh" w:hint="cs"/>
          <w:color w:val="auto"/>
          <w:kern w:val="0"/>
          <w:szCs w:val="26"/>
          <w:rtl/>
          <w:lang w:bidi="ar-JO"/>
          <w14:ligatures w14:val="none"/>
        </w:rPr>
        <w:t>إلى ماذا يؤول مصير يعقوب؟ يصبح أولاده الاثنا عشر أسباط إسرائيل الإثني عشر، لكنهم انحطوا كثيراً.  وسنتتبع في هذا القسم التدهور الأخلاقي في نسل البركة، مما ينتج عنه إبعادهم عن أرض الموعد إلى مصر بغرض التأديب الإلهي.  وإن ما يدفعهم إلى مصر أكثر من مجرد مجاعة.  وإذا صاروا في مصر، فإن السؤال يبرز، "ما الخلل الذي أصاب برنامج الله؟ ولماذا أخرجهم الله من الأرض الموعودة ليحضرهم إلى "أتون مصر الحديدي"؟ وهم ليسوا في مصر بالصدفة؛ لكنهم هناك حسب قصد إلهي.  وفي هذه الأثناء، يقيم الله رجلاً من وسط اخوتهم سيكون محرر الأمة، أي يوسف.</w:t>
      </w:r>
    </w:p>
    <w:p w14:paraId="7383B5E5" w14:textId="77777777" w:rsidR="00DE116E" w:rsidRPr="00DE116E" w:rsidRDefault="00DE11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DE116E">
        <w:rPr>
          <w:rFonts w:eastAsia="Times New Roman" w:cs="DecoType Naskh" w:hint="cs"/>
          <w:bCs/>
          <w:color w:val="auto"/>
          <w:kern w:val="0"/>
          <w:szCs w:val="26"/>
          <w:rtl/>
          <w14:ligatures w14:val="none"/>
        </w:rPr>
        <w:t>أ.</w:t>
      </w:r>
      <w:r w:rsidRPr="00DE116E">
        <w:rPr>
          <w:rFonts w:eastAsia="Times New Roman" w:cs="DecoType Naskh" w:hint="cs"/>
          <w:bCs/>
          <w:color w:val="auto"/>
          <w:kern w:val="0"/>
          <w:szCs w:val="26"/>
          <w:rtl/>
          <w14:ligatures w14:val="none"/>
        </w:rPr>
        <w:tab/>
        <w:t xml:space="preserve">تدهور نسل البركة </w:t>
      </w:r>
    </w:p>
    <w:p w14:paraId="1EE5F89F" w14:textId="77777777" w:rsidR="00DE116E" w:rsidRPr="00DE116E" w:rsidRDefault="00DE11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DE116E">
        <w:rPr>
          <w:rFonts w:eastAsia="Times New Roman" w:cs="DecoType Naskh" w:hint="cs"/>
          <w:color w:val="auto"/>
          <w:kern w:val="0"/>
          <w:szCs w:val="26"/>
          <w:rtl/>
          <w:lang w:bidi="ar-JO"/>
          <w14:ligatures w14:val="none"/>
        </w:rPr>
        <w:t>لكي يفهم المرء رواية يوسف، يجب أن يدرك ما يحدث لنسل البركة.  لقد خُلقوا ليكونوا وسيط البركة للأمم الأخرى وليحملوا شهادة يهوه.  ويتطلب هذا تميّزهم كشعب الله، وليس أن يكونوا مقيَّدين بالخطية.  لكن بدلاً من أن يأتوا بالكنعانيين إلى معرفة يهوه، فإنهم، وهم النسل الموعود، يصيرون أكثر شبهاً بهم.  وهم يفشلون في ثلاث نواح هامة:</w:t>
      </w:r>
    </w:p>
    <w:p w14:paraId="777FAAEC" w14:textId="77777777" w:rsidR="00DE116E" w:rsidRPr="00DE116E" w:rsidRDefault="00DE11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DE116E">
        <w:rPr>
          <w:rFonts w:eastAsia="Times New Roman" w:cs="DecoType Naskh" w:hint="cs"/>
          <w:color w:val="auto"/>
          <w:kern w:val="0"/>
          <w:szCs w:val="26"/>
          <w:rtl/>
          <w:lang w:bidi="ar-JO"/>
          <w14:ligatures w14:val="none"/>
        </w:rPr>
        <w:t>1.</w:t>
      </w:r>
      <w:r w:rsidRPr="00DE116E">
        <w:rPr>
          <w:rFonts w:eastAsia="Times New Roman" w:cs="DecoType Naskh" w:hint="cs"/>
          <w:color w:val="auto"/>
          <w:kern w:val="0"/>
          <w:szCs w:val="26"/>
          <w:rtl/>
          <w:lang w:bidi="ar-JO"/>
          <w14:ligatures w14:val="none"/>
        </w:rPr>
        <w:tab/>
        <w:t>قصْد يهوه لهم في أن يكونوا شهادة له</w:t>
      </w:r>
    </w:p>
    <w:p w14:paraId="77CD24A7" w14:textId="77777777" w:rsidR="00DE116E" w:rsidRPr="00DE116E" w:rsidRDefault="00DE11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DE116E">
        <w:rPr>
          <w:rFonts w:eastAsia="Times New Roman" w:cs="DecoType Naskh" w:hint="cs"/>
          <w:color w:val="auto"/>
          <w:kern w:val="0"/>
          <w:szCs w:val="26"/>
          <w:rtl/>
          <w:lang w:bidi="ar-JO"/>
          <w14:ligatures w14:val="none"/>
        </w:rPr>
        <w:t>لنتذكر تكوين 12: 8 و26: 25 و33: 20 حيث قام الآباء ببناء مذابح.  كانوا يدعون باسم الرب، وبعملهم هذا فإنهم كانوا شهوداً لاسم يهوه.  كانت دعوتهم أن يكونوا بركة في وسط الكنعانيين.  لكن للأسف، تلاشى هذا القصد في أن يكونوا شهادة.</w:t>
      </w:r>
    </w:p>
    <w:p w14:paraId="140423DD" w14:textId="77777777" w:rsidR="00DE116E" w:rsidRPr="00DE116E" w:rsidRDefault="00DE11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DE116E">
        <w:rPr>
          <w:rFonts w:eastAsia="Times New Roman" w:cs="DecoType Naskh" w:hint="cs"/>
          <w:color w:val="auto"/>
          <w:kern w:val="0"/>
          <w:szCs w:val="26"/>
          <w:rtl/>
          <w:lang w:bidi="ar-JO"/>
          <w14:ligatures w14:val="none"/>
        </w:rPr>
        <w:lastRenderedPageBreak/>
        <w:t>2.</w:t>
      </w:r>
      <w:r w:rsidRPr="00DE116E">
        <w:rPr>
          <w:rFonts w:eastAsia="Times New Roman" w:cs="DecoType Naskh" w:hint="cs"/>
          <w:color w:val="auto"/>
          <w:kern w:val="0"/>
          <w:szCs w:val="26"/>
          <w:rtl/>
          <w:lang w:bidi="ar-JO"/>
          <w14:ligatures w14:val="none"/>
        </w:rPr>
        <w:tab/>
        <w:t xml:space="preserve">الاهتمام بالوحدة </w:t>
      </w:r>
    </w:p>
    <w:p w14:paraId="7DE09F3C" w14:textId="77777777" w:rsidR="00DE116E" w:rsidRPr="00DE116E" w:rsidRDefault="00DE11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DE116E">
        <w:rPr>
          <w:rFonts w:eastAsia="Times New Roman" w:cs="DecoType Naskh" w:hint="cs"/>
          <w:color w:val="auto"/>
          <w:kern w:val="0"/>
          <w:szCs w:val="26"/>
          <w:rtl/>
          <w:lang w:bidi="ar-JO"/>
          <w14:ligatures w14:val="none"/>
        </w:rPr>
        <w:t>لا يجب أن يكون هناك انقسام وتوتّر بين عُبّاد يهوه</w:t>
      </w:r>
    </w:p>
    <w:p w14:paraId="2D49CBB7" w14:textId="77777777" w:rsidR="00DE116E" w:rsidRPr="00DE116E" w:rsidRDefault="00DE11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DE116E">
        <w:rPr>
          <w:rFonts w:eastAsia="Times New Roman" w:cs="DecoType Naskh" w:hint="cs"/>
          <w:color w:val="auto"/>
          <w:kern w:val="0"/>
          <w:szCs w:val="26"/>
          <w:rtl/>
          <w:lang w:bidi="ar-JO"/>
          <w14:ligatures w14:val="none"/>
        </w:rPr>
        <w:t>أ.</w:t>
      </w:r>
      <w:r w:rsidRPr="00DE116E">
        <w:rPr>
          <w:rFonts w:eastAsia="Times New Roman" w:cs="DecoType Naskh" w:hint="cs"/>
          <w:color w:val="auto"/>
          <w:kern w:val="0"/>
          <w:szCs w:val="26"/>
          <w:rtl/>
          <w:lang w:bidi="ar-JO"/>
          <w14:ligatures w14:val="none"/>
        </w:rPr>
        <w:tab/>
        <w:t>في تكوين 13: 5-8 يعطي أبرام اختيار الأرض للوط (لنلاحظ الآية السابعة التي توحي بأن هذا كان على مرأى من الكنعانيين).</w:t>
      </w:r>
    </w:p>
    <w:p w14:paraId="0318FC55" w14:textId="77777777" w:rsidR="00DE116E" w:rsidRPr="00DE116E" w:rsidRDefault="00DE11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DE116E">
        <w:rPr>
          <w:rFonts w:eastAsia="Times New Roman" w:cs="DecoType Naskh" w:hint="cs"/>
          <w:color w:val="auto"/>
          <w:kern w:val="0"/>
          <w:szCs w:val="26"/>
          <w:rtl/>
          <w:lang w:bidi="ar-JO"/>
          <w14:ligatures w14:val="none"/>
        </w:rPr>
        <w:t>ب.</w:t>
      </w:r>
      <w:r w:rsidRPr="00DE116E">
        <w:rPr>
          <w:rFonts w:eastAsia="Times New Roman" w:cs="DecoType Naskh" w:hint="cs"/>
          <w:color w:val="auto"/>
          <w:kern w:val="0"/>
          <w:szCs w:val="26"/>
          <w:rtl/>
          <w:lang w:bidi="ar-JO"/>
          <w14:ligatures w14:val="none"/>
        </w:rPr>
        <w:tab/>
        <w:t>على نقيض ذلك يقوم أبناء يعقوب الاثنا عشر بأخذ يوسف ومحاولة التخلص منه.  إذ يوجد حسد وغيرة بينهم.</w:t>
      </w:r>
    </w:p>
    <w:p w14:paraId="7094FBFA" w14:textId="77777777" w:rsidR="00DE116E" w:rsidRPr="00DE116E" w:rsidRDefault="00DE11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DE116E">
        <w:rPr>
          <w:rFonts w:eastAsia="Times New Roman" w:cs="DecoType Naskh" w:hint="cs"/>
          <w:color w:val="auto"/>
          <w:kern w:val="0"/>
          <w:szCs w:val="26"/>
          <w:rtl/>
          <w:lang w:bidi="ar-JO"/>
          <w14:ligatures w14:val="none"/>
        </w:rPr>
        <w:t>3.</w:t>
      </w:r>
      <w:r w:rsidRPr="00DE116E">
        <w:rPr>
          <w:rFonts w:eastAsia="Times New Roman" w:cs="DecoType Naskh" w:hint="cs"/>
          <w:color w:val="auto"/>
          <w:kern w:val="0"/>
          <w:szCs w:val="26"/>
          <w:rtl/>
          <w:lang w:bidi="ar-JO"/>
          <w14:ligatures w14:val="none"/>
        </w:rPr>
        <w:tab/>
        <w:t>ضرورة البقاء متميزين (منفصلين عن الكنعانيين)</w:t>
      </w:r>
    </w:p>
    <w:p w14:paraId="1E93A162" w14:textId="77777777" w:rsidR="00DE116E" w:rsidRPr="00DE116E" w:rsidRDefault="00DE11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DE116E">
        <w:rPr>
          <w:rFonts w:eastAsia="Times New Roman" w:cs="DecoType Naskh" w:hint="cs"/>
          <w:color w:val="auto"/>
          <w:kern w:val="0"/>
          <w:szCs w:val="26"/>
          <w:rtl/>
          <w:lang w:bidi="ar-JO"/>
          <w14:ligatures w14:val="none"/>
        </w:rPr>
        <w:t>حرصت الأجيال السابقة على عدم التزاوج مع الكنعانيين (انظر تكوين 24: 1-3؛ 27: 46).  أمّا الآن فيوجد تدهور:</w:t>
      </w:r>
    </w:p>
    <w:p w14:paraId="20A2E4E0" w14:textId="77777777" w:rsidR="00DE116E" w:rsidRPr="00DE116E" w:rsidRDefault="00DE11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14:ligatures w14:val="none"/>
        </w:rPr>
      </w:pPr>
      <w:r w:rsidRPr="00DE116E">
        <w:rPr>
          <w:rFonts w:eastAsia="Times New Roman" w:cs="DecoType Naskh" w:hint="cs"/>
          <w:color w:val="auto"/>
          <w:kern w:val="0"/>
          <w:szCs w:val="26"/>
          <w:rtl/>
          <w:lang w:bidi="ar-JO"/>
          <w14:ligatures w14:val="none"/>
        </w:rPr>
        <w:t>أ.</w:t>
      </w:r>
      <w:r w:rsidRPr="00DE116E">
        <w:rPr>
          <w:rFonts w:eastAsia="Times New Roman" w:cs="DecoType Naskh" w:hint="cs"/>
          <w:color w:val="auto"/>
          <w:kern w:val="0"/>
          <w:szCs w:val="26"/>
          <w:rtl/>
          <w:lang w:bidi="ar-JO"/>
          <w14:ligatures w14:val="none"/>
        </w:rPr>
        <w:tab/>
        <w:t>بعد اغتصاب دينة، قام شمعون ولاوي بتحريف الاستعمال الروحي للختان لجلب الموت على شعب تلك المنطقة (الأصحاح 34).</w:t>
      </w:r>
    </w:p>
    <w:p w14:paraId="243328AA" w14:textId="77777777" w:rsidR="00DE116E" w:rsidRPr="00DE116E" w:rsidRDefault="00DE11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14:ligatures w14:val="none"/>
        </w:rPr>
      </w:pPr>
      <w:r w:rsidRPr="00DE116E">
        <w:rPr>
          <w:rFonts w:eastAsia="Times New Roman" w:cs="DecoType Naskh" w:hint="cs"/>
          <w:color w:val="auto"/>
          <w:kern w:val="0"/>
          <w:szCs w:val="26"/>
          <w:rtl/>
          <w:lang w:bidi="ar-JO"/>
          <w14:ligatures w14:val="none"/>
        </w:rPr>
        <w:t>ب.</w:t>
      </w:r>
      <w:r w:rsidRPr="00DE116E">
        <w:rPr>
          <w:rFonts w:eastAsia="Times New Roman" w:cs="DecoType Naskh" w:hint="cs"/>
          <w:color w:val="auto"/>
          <w:kern w:val="0"/>
          <w:szCs w:val="26"/>
          <w:rtl/>
          <w:lang w:bidi="ar-JO"/>
          <w14:ligatures w14:val="none"/>
        </w:rPr>
        <w:tab/>
        <w:t>ارتكب رأوبين، أكبر أبناء يعقوب، السّفاح مع محظيّة أبيه (35: 22).</w:t>
      </w:r>
      <w:r w:rsidRPr="00DE116E">
        <w:rPr>
          <w:rFonts w:eastAsia="Times New Roman" w:cs="DecoType Naskh"/>
          <w:color w:val="auto"/>
          <w:kern w:val="0"/>
          <w:sz w:val="30"/>
          <w:szCs w:val="28"/>
          <w:vertAlign w:val="superscript"/>
          <w:rtl/>
          <w:lang w:bidi="ar-JO"/>
          <w14:ligatures w14:val="none"/>
        </w:rPr>
        <w:footnoteReference w:customMarkFollows="1" w:id="45"/>
        <w:t>2</w:t>
      </w:r>
    </w:p>
    <w:p w14:paraId="59ABB994" w14:textId="77777777" w:rsidR="00DE116E" w:rsidRPr="00DE116E" w:rsidRDefault="00DE11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DE116E">
        <w:rPr>
          <w:rFonts w:eastAsia="Times New Roman" w:cs="DecoType Naskh" w:hint="cs"/>
          <w:color w:val="auto"/>
          <w:kern w:val="0"/>
          <w:szCs w:val="26"/>
          <w:rtl/>
          <w:lang w:bidi="ar-JO"/>
          <w14:ligatures w14:val="none"/>
        </w:rPr>
        <w:t>جـ.</w:t>
      </w:r>
      <w:r w:rsidRPr="00DE116E">
        <w:rPr>
          <w:rFonts w:eastAsia="Times New Roman" w:cs="DecoType Naskh" w:hint="cs"/>
          <w:color w:val="auto"/>
          <w:kern w:val="0"/>
          <w:szCs w:val="26"/>
          <w:rtl/>
          <w:lang w:bidi="ar-JO"/>
          <w14:ligatures w14:val="none"/>
        </w:rPr>
        <w:tab/>
        <w:t>يذهب يهوذا ويأخذ زوجة كنعانية.  ويؤدّي هذا بدوره إلى عمل بغاء مع كنّته تامار.  ونتيجة لذلك يصوَّر لنا يهوذا على أنه لا يصلح ممثلاً ليهوه (38: 26)، ويفقد شهادته المؤثرة أمام الكنعانيين (38: 21-22).</w:t>
      </w:r>
    </w:p>
    <w:p w14:paraId="2BFB48F8" w14:textId="77777777" w:rsidR="00DE116E" w:rsidRPr="00DE116E" w:rsidRDefault="00DE11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22B22A4" w14:textId="1531B6DF" w:rsidR="00DE116E" w:rsidRPr="00DE116E" w:rsidRDefault="00DE11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DE116E">
        <w:rPr>
          <w:rFonts w:eastAsia="Times New Roman" w:cs="DecoType Naskh" w:hint="cs"/>
          <w:color w:val="auto"/>
          <w:kern w:val="0"/>
          <w:szCs w:val="26"/>
          <w:rtl/>
          <w:lang w:bidi="ar-JO"/>
          <w14:ligatures w14:val="none"/>
        </w:rPr>
        <w:t>أضاع نسل يعقوب القصد السامي من المأمورية التي أوكلها يهوه إليهم، وصاروا في خطر الاندماج مع الكنعانيين وبهذا يعمل الله بطريقةٍ فريدة ليحضر "النسل" إلى مصر.</w:t>
      </w:r>
      <w:r w:rsidRPr="00DE116E">
        <w:rPr>
          <w:rFonts w:eastAsia="Times New Roman" w:cs="DecoType Naskh"/>
          <w:color w:val="auto"/>
          <w:kern w:val="0"/>
          <w:sz w:val="30"/>
          <w:szCs w:val="28"/>
          <w:vertAlign w:val="superscript"/>
          <w:rtl/>
          <w:lang w:bidi="ar-JO"/>
          <w14:ligatures w14:val="none"/>
        </w:rPr>
        <w:footnoteReference w:customMarkFollows="1" w:id="46"/>
        <w:t>3</w:t>
      </w:r>
      <w:r w:rsidRPr="00DE116E">
        <w:rPr>
          <w:rFonts w:eastAsia="Times New Roman" w:cs="DecoType Naskh" w:hint="cs"/>
          <w:color w:val="auto"/>
          <w:kern w:val="0"/>
          <w:sz w:val="30"/>
          <w:szCs w:val="28"/>
          <w:rtl/>
          <w:lang w:bidi="ar-JO"/>
          <w14:ligatures w14:val="none"/>
        </w:rPr>
        <w:t xml:space="preserve"> </w:t>
      </w:r>
      <w:r w:rsidRPr="00DE116E">
        <w:rPr>
          <w:rFonts w:eastAsia="Times New Roman" w:cs="DecoType Naskh" w:hint="cs"/>
          <w:color w:val="auto"/>
          <w:kern w:val="0"/>
          <w:szCs w:val="26"/>
          <w:rtl/>
          <w:lang w:bidi="ar-JO"/>
          <w14:ligatures w14:val="none"/>
        </w:rPr>
        <w:t>ولم تكن الهجرة إلى مصر تصرفاً يتسم بالعصيان منهم، بل كانت إرادة الله لهم (قارن 15: 13؛ 46: 3) والسؤال هو: لماذا مصر؟</w:t>
      </w:r>
    </w:p>
    <w:p w14:paraId="2BDCD189" w14:textId="77777777" w:rsidR="00DE116E" w:rsidRPr="00DE116E" w:rsidRDefault="00DE11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DE116E">
        <w:rPr>
          <w:rFonts w:eastAsia="Times New Roman" w:cs="DecoType Naskh" w:hint="cs"/>
          <w:color w:val="auto"/>
          <w:kern w:val="0"/>
          <w:szCs w:val="26"/>
          <w:rtl/>
          <w:lang w:bidi="ar-JO"/>
          <w14:ligatures w14:val="none"/>
        </w:rPr>
        <w:t>حمل المصريون نظرة مختلفة إلى العبرانيين من تلك التي حملها الكنعانيون.  ففي الوقت الذي رحّب فيه الكنعانيون بالعبرانيين وأبدوا استعداداً لإدماجهم في مجتمعهم، مارس المصريون التمييز العنصري ولم يريدوا أن تكون لهم صلة بالعبرانيين (انظر 43: 32، 34؛ 46: 34).  ونتيجة لذلك، جاء العبرانيون إلى مصر وبقوا في عزلة (ممّا مكنهم من التطوّر إلى أمّة).  وبوضع الله لهم في حضارة مختلفة يرفض فيها المصريون مخالطتهم، فإنه كان يحفظ برنامجه اللاهوتي بخلق درع حامٍ لشعبه.  فالله لم يتخلَّ عن برنامجه.  لكنه يعمل فيهم (رغم أخطائهم وعيوبهم) ليبنيهم كأمة متميزة (50: 20).</w:t>
      </w:r>
    </w:p>
    <w:p w14:paraId="515F3415" w14:textId="77777777" w:rsidR="00DE116E" w:rsidRPr="00DE116E" w:rsidRDefault="00DE11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C5DF620" w14:textId="77777777" w:rsidR="00DE116E" w:rsidRPr="00DE116E" w:rsidRDefault="00DE11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DE116E">
        <w:rPr>
          <w:rFonts w:eastAsia="Times New Roman" w:cs="DecoType Naskh" w:hint="cs"/>
          <w:color w:val="auto"/>
          <w:kern w:val="0"/>
          <w:szCs w:val="26"/>
          <w:rtl/>
          <w:lang w:bidi="ar-JO"/>
          <w14:ligatures w14:val="none"/>
        </w:rPr>
        <w:t>وبطبيعة الحال تتسلط الأضواء على يوسف.</w:t>
      </w:r>
      <w:r w:rsidRPr="00DE116E">
        <w:rPr>
          <w:rFonts w:eastAsia="Times New Roman" w:cs="DecoType Naskh"/>
          <w:color w:val="auto"/>
          <w:kern w:val="0"/>
          <w:szCs w:val="26"/>
          <w:vertAlign w:val="superscript"/>
          <w:rtl/>
          <w:lang w:bidi="ar-JO"/>
          <w14:ligatures w14:val="none"/>
        </w:rPr>
        <w:footnoteReference w:customMarkFollows="1" w:id="47"/>
        <w:t>4</w:t>
      </w:r>
      <w:r w:rsidRPr="00DE116E">
        <w:rPr>
          <w:rFonts w:eastAsia="Times New Roman" w:cs="DecoType Naskh" w:hint="cs"/>
          <w:color w:val="auto"/>
          <w:kern w:val="0"/>
          <w:szCs w:val="26"/>
          <w:rtl/>
          <w:lang w:bidi="ar-JO"/>
          <w14:ligatures w14:val="none"/>
        </w:rPr>
        <w:t xml:space="preserve">  كان الثوب (القميص) الذي أخذه من والده (تكوين 37: 3) إشارة إلى أنه سيكون الوريث (المدير الثيوقراطي </w:t>
      </w:r>
      <w:r w:rsidRPr="00DE116E">
        <w:rPr>
          <w:rFonts w:eastAsia="Times New Roman" w:cs="DecoType Naskh"/>
          <w:color w:val="auto"/>
          <w:kern w:val="0"/>
          <w:szCs w:val="26"/>
          <w:rtl/>
          <w:lang w:bidi="ar-JO"/>
          <w14:ligatures w14:val="none"/>
        </w:rPr>
        <w:t>–</w:t>
      </w:r>
      <w:r w:rsidRPr="00DE116E">
        <w:rPr>
          <w:rFonts w:eastAsia="Times New Roman" w:cs="DecoType Naskh" w:hint="cs"/>
          <w:color w:val="auto"/>
          <w:kern w:val="0"/>
          <w:szCs w:val="26"/>
          <w:rtl/>
          <w:lang w:bidi="ar-JO"/>
          <w14:ligatures w14:val="none"/>
        </w:rPr>
        <w:t xml:space="preserve"> بمثابة تقليد للسلطة).  وقد تملّكت الغيرة إخوته وحاولوا أن يتخلصوا منه.  وإنه لمن السخرية الأدبية أن هذا كلّه يؤدي إلى أن يتولى منصبه الكبير في مصر الذي يصبح وسيلة لتخليص إخوته ونسل البركة.  وتشبه حياة يوسف من نواح كثيرة حياة المسيح.  فمع أن المسيح احتُقر ورُفض من بني أمته اليهود إلاّ أنه صار مخلّص إخوته.</w:t>
      </w:r>
    </w:p>
    <w:p w14:paraId="4BB80410" w14:textId="77777777" w:rsidR="00DE116E" w:rsidRPr="00DE116E" w:rsidRDefault="00DE11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D80BCDE" w14:textId="77777777" w:rsidR="00DE116E" w:rsidRPr="00DE116E" w:rsidRDefault="00DE11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DE116E">
        <w:rPr>
          <w:rFonts w:eastAsia="Times New Roman" w:cs="DecoType Naskh" w:hint="cs"/>
          <w:color w:val="auto"/>
          <w:kern w:val="0"/>
          <w:szCs w:val="26"/>
          <w:rtl/>
          <w:lang w:bidi="ar-JO"/>
          <w14:ligatures w14:val="none"/>
        </w:rPr>
        <w:t>ومع اقتراب السفر من نهايته، نسمع من شفتي يوسف ثقته بالعهد الإبراهيمي: "أنا أموت، لكن الله سيفتقدكم ويُصعدكم من هذه الأرض إلى الأرض التي حلف لإبراهيم وإسحاق ويعقوب (50: 24).  لقد بدأ سفر التكوين في جنة عدن، لكنه ينتهي بيوسف في كفن.  لكننا الآن مستعدون لفهم أحداث سفر الخروج.  ونحن نفهم أن البرنامج الإلهي هو على هذا النحو لكي يدركوا أنه يجب عليهم أن يخرجوا من مصر إلى كنعان، ونحن نفهم كيف وصلوا إلى مصر أصلاً.</w:t>
      </w:r>
    </w:p>
    <w:p w14:paraId="7EDA6F6E" w14:textId="77777777" w:rsidR="00DE116E" w:rsidRPr="00DE116E" w:rsidRDefault="00DE11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CF1C6A0" w14:textId="77777777" w:rsidR="00DE116E" w:rsidRPr="00DE116E" w:rsidRDefault="00DE11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DE116E">
        <w:rPr>
          <w:rFonts w:eastAsia="Times New Roman" w:cs="DecoType Naskh" w:hint="cs"/>
          <w:color w:val="auto"/>
          <w:kern w:val="0"/>
          <w:szCs w:val="26"/>
          <w:rtl/>
          <w:lang w:bidi="ar-JO"/>
          <w14:ligatures w14:val="none"/>
        </w:rPr>
        <w:t xml:space="preserve">هنالك تعليق أخير حول البركة على الأبناء في تكوين 49.  نرى في الآية العاشرة نبوءة مسيّانية: "لا يزول قضيب (صولجان) من يهوذا ومشترع (أو حاكم) من بين رجليه </w:t>
      </w:r>
      <w:r w:rsidRPr="00DE116E">
        <w:rPr>
          <w:rFonts w:eastAsia="Times New Roman" w:cs="DecoType Naskh" w:hint="cs"/>
          <w:color w:val="auto"/>
          <w:kern w:val="0"/>
          <w:szCs w:val="26"/>
          <w:u w:val="single"/>
          <w:rtl/>
          <w:lang w:bidi="ar-JO"/>
          <w14:ligatures w14:val="none"/>
        </w:rPr>
        <w:t xml:space="preserve">حتى يأتي شيلون </w:t>
      </w:r>
      <w:r w:rsidRPr="00DE116E">
        <w:rPr>
          <w:rFonts w:eastAsia="Times New Roman" w:cs="DecoType Naskh" w:hint="cs"/>
          <w:color w:val="auto"/>
          <w:kern w:val="0"/>
          <w:szCs w:val="26"/>
          <w:rtl/>
          <w:lang w:bidi="ar-JO"/>
          <w14:ligatures w14:val="none"/>
        </w:rPr>
        <w:t xml:space="preserve">وله يكون خضوع الشعوب."  يمكن أن تعني شيلون "السلام الكامل" (وهي مرتبطة بكلمة </w:t>
      </w:r>
      <w:r w:rsidRPr="00DE116E">
        <w:rPr>
          <w:rFonts w:ascii="Ezra SIL" w:eastAsia="Times New Roman" w:hAnsi="Ezra SIL" w:cs="Ezra SIL" w:hint="cs"/>
          <w:color w:val="auto"/>
          <w:kern w:val="0"/>
          <w:sz w:val="20"/>
          <w:szCs w:val="20"/>
          <w:rtl/>
          <w:lang w:bidi="he-IL"/>
          <w14:ligatures w14:val="none"/>
        </w:rPr>
        <w:t>שָׁלוֺם</w:t>
      </w:r>
      <w:r w:rsidRPr="00DE116E">
        <w:rPr>
          <w:rFonts w:eastAsia="Times New Roman" w:cs="DecoType Naskh" w:hint="cs"/>
          <w:color w:val="auto"/>
          <w:kern w:val="0"/>
          <w:szCs w:val="26"/>
          <w:rtl/>
          <w:lang w:bidi="ar-JO"/>
          <w14:ligatures w14:val="none"/>
        </w:rPr>
        <w:t xml:space="preserve">)، لكن يجب ترجمتها على الأرجح إلى "ذاك الذي له الصولجان"  (حسب ترجمة </w:t>
      </w:r>
      <w:r w:rsidRPr="00DE116E">
        <w:rPr>
          <w:rFonts w:eastAsia="Times New Roman" w:cs="DecoType Naskh"/>
          <w:color w:val="auto"/>
          <w:kern w:val="0"/>
          <w:szCs w:val="26"/>
          <w14:ligatures w14:val="none"/>
        </w:rPr>
        <w:t>NIV</w:t>
      </w:r>
      <w:r w:rsidRPr="00DE116E">
        <w:rPr>
          <w:rFonts w:eastAsia="Times New Roman" w:cs="DecoType Naskh" w:hint="cs"/>
          <w:color w:val="auto"/>
          <w:kern w:val="0"/>
          <w:szCs w:val="26"/>
          <w:rtl/>
          <w:lang w:bidi="ar-JO"/>
          <w14:ligatures w14:val="none"/>
        </w:rPr>
        <w:t xml:space="preserve"> المفضلة في هذه النقطة على </w:t>
      </w:r>
      <w:r w:rsidRPr="00DE116E">
        <w:rPr>
          <w:rFonts w:eastAsia="Times New Roman" w:cs="DecoType Naskh"/>
          <w:color w:val="auto"/>
          <w:kern w:val="0"/>
          <w:szCs w:val="26"/>
          <w14:ligatures w14:val="none"/>
        </w:rPr>
        <w:t>NASB</w:t>
      </w:r>
      <w:r w:rsidRPr="00DE116E">
        <w:rPr>
          <w:rFonts w:eastAsia="Times New Roman" w:cs="DecoType Naskh" w:hint="cs"/>
          <w:color w:val="auto"/>
          <w:kern w:val="0"/>
          <w:szCs w:val="26"/>
          <w:rtl/>
          <w:lang w:bidi="ar-JO"/>
          <w14:ligatures w14:val="none"/>
        </w:rPr>
        <w:t xml:space="preserve">).  وإذا كانت الترجمة الأخيرة صحيحة، فإن الآية تعني أن صولجان الحكم سينتقل عبر سبط يهوذا </w:t>
      </w:r>
      <w:r w:rsidRPr="00DE116E">
        <w:rPr>
          <w:rFonts w:eastAsia="Times New Roman" w:cs="DecoType Naskh" w:hint="cs"/>
          <w:color w:val="auto"/>
          <w:kern w:val="0"/>
          <w:szCs w:val="26"/>
          <w:u w:val="single"/>
          <w:rtl/>
          <w:lang w:bidi="ar-JO"/>
          <w14:ligatures w14:val="none"/>
        </w:rPr>
        <w:t>حتى</w:t>
      </w:r>
      <w:r w:rsidRPr="00DE116E">
        <w:rPr>
          <w:rFonts w:eastAsia="Times New Roman" w:cs="DecoType Naskh" w:hint="cs"/>
          <w:color w:val="auto"/>
          <w:kern w:val="0"/>
          <w:szCs w:val="26"/>
          <w:rtl/>
          <w:lang w:bidi="ar-JO"/>
          <w14:ligatures w14:val="none"/>
        </w:rPr>
        <w:t xml:space="preserve"> مجيء ذاك الذي سيحكم كل الشعوب.  إذاً يعتمد رجاء الشعب على شخص واحد من نسل يهوذا، ولا شك أن يسوع الناصري سيُخضع الشعوب له ويجعلها تطيعه!</w:t>
      </w:r>
      <w:r w:rsidRPr="00DE116E">
        <w:rPr>
          <w:rFonts w:eastAsia="Times New Roman" w:cs="DecoType Naskh" w:hint="cs"/>
          <w:color w:val="auto"/>
          <w:kern w:val="0"/>
          <w:szCs w:val="26"/>
          <w:u w:val="single"/>
          <w:rtl/>
          <w:lang w:bidi="ar-JO"/>
          <w14:ligatures w14:val="none"/>
        </w:rPr>
        <w:t xml:space="preserve">  </w:t>
      </w:r>
      <w:r w:rsidRPr="00DE116E">
        <w:rPr>
          <w:rFonts w:eastAsia="Times New Roman" w:cs="DecoType Naskh" w:hint="cs"/>
          <w:color w:val="auto"/>
          <w:kern w:val="0"/>
          <w:szCs w:val="26"/>
          <w:rtl/>
          <w:lang w:bidi="ar-JO"/>
          <w14:ligatures w14:val="none"/>
        </w:rPr>
        <w:t xml:space="preserve">   </w:t>
      </w:r>
    </w:p>
    <w:p w14:paraId="025D9EC0" w14:textId="77777777" w:rsidR="00DE116E" w:rsidRPr="00DE116E" w:rsidRDefault="00DE116E" w:rsidP="002D6C54">
      <w:pPr>
        <w:bidi/>
        <w:spacing w:after="0" w:line="240" w:lineRule="auto"/>
        <w:rPr>
          <w:rFonts w:eastAsia="Times New Roman" w:cs="DecoType Naskh"/>
          <w:color w:val="auto"/>
          <w:kern w:val="0"/>
          <w:szCs w:val="18"/>
          <w:rtl/>
          <w:lang w:bidi="ar-JO"/>
          <w14:ligatures w14:val="none"/>
        </w:rPr>
      </w:pPr>
      <w:r w:rsidRPr="00DE116E">
        <w:rPr>
          <w:rFonts w:eastAsia="Times New Roman" w:cs="DecoType Naskh" w:hint="cs"/>
          <w:color w:val="auto"/>
          <w:kern w:val="0"/>
          <w:szCs w:val="18"/>
          <w:rtl/>
          <w14:ligatures w14:val="none"/>
        </w:rPr>
        <w:t xml:space="preserve"> </w:t>
      </w:r>
    </w:p>
    <w:p w14:paraId="5C9FEF2F" w14:textId="77777777" w:rsidR="00DE116E" w:rsidRPr="00DE116E" w:rsidRDefault="00DE116E" w:rsidP="002D6C54">
      <w:pPr>
        <w:bidi/>
        <w:spacing w:after="0" w:line="240" w:lineRule="auto"/>
        <w:rPr>
          <w:rFonts w:eastAsia="Times New Roman" w:cs="DecoType Naskh"/>
          <w:color w:val="auto"/>
          <w:kern w:val="0"/>
          <w:szCs w:val="18"/>
          <w:rtl/>
          <w:lang w:bidi="ar-KW"/>
          <w14:ligatures w14:val="none"/>
        </w:rPr>
      </w:pPr>
    </w:p>
    <w:p w14:paraId="4AB95FC4" w14:textId="77777777" w:rsidR="00DC7FD4" w:rsidRPr="00DC7FD4" w:rsidRDefault="00DC7FD4" w:rsidP="002D6C54">
      <w:pPr>
        <w:tabs>
          <w:tab w:val="left" w:pos="547"/>
          <w:tab w:val="left" w:pos="1094"/>
          <w:tab w:val="left" w:pos="1642"/>
          <w:tab w:val="left" w:pos="2189"/>
          <w:tab w:val="left" w:pos="2736"/>
          <w:tab w:val="left" w:pos="3283"/>
          <w:tab w:val="left" w:pos="3830"/>
          <w:tab w:val="left" w:pos="4378"/>
        </w:tabs>
        <w:spacing w:after="120" w:line="240" w:lineRule="auto"/>
        <w:jc w:val="both"/>
        <w:rPr>
          <w:rFonts w:eastAsia="Times New Roman" w:cs="Times New Roman"/>
          <w:color w:val="auto"/>
          <w:kern w:val="0"/>
          <w:sz w:val="22"/>
          <w:szCs w:val="24"/>
          <w14:ligatures w14:val="none"/>
        </w:rPr>
      </w:pPr>
    </w:p>
    <w:p w14:paraId="7D1FC0C4" w14:textId="77777777" w:rsidR="006311FA" w:rsidRDefault="006311FA"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strike/>
          <w:kern w:val="0"/>
          <w:szCs w:val="24"/>
          <w14:ligatures w14:val="none"/>
        </w:rPr>
      </w:pPr>
    </w:p>
    <w:p w14:paraId="31FE22FA" w14:textId="557768D8" w:rsidR="00E41548" w:rsidRDefault="00E41548"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strike/>
          <w:kern w:val="0"/>
          <w:szCs w:val="24"/>
          <w14:ligatures w14:val="none"/>
        </w:rPr>
      </w:pPr>
      <w:r>
        <w:rPr>
          <w:rFonts w:eastAsia="Calibri" w:cs="Times New Roman"/>
          <w:strike/>
          <w:kern w:val="0"/>
          <w:szCs w:val="24"/>
          <w14:ligatures w14:val="none"/>
        </w:rPr>
        <w:br w:type="page"/>
      </w:r>
    </w:p>
    <w:p w14:paraId="128FADCF" w14:textId="77777777" w:rsidR="001E6B52" w:rsidRPr="001E6B52" w:rsidRDefault="001E6B52" w:rsidP="001E6B52">
      <w:pPr>
        <w:bidi/>
        <w:spacing w:after="0" w:line="240" w:lineRule="auto"/>
        <w:contextualSpacing/>
        <w:jc w:val="center"/>
        <w:rPr>
          <w:rFonts w:ascii="Simplified Arabic" w:hAnsi="Simplified Arabic" w:cs="Simplified Arabic"/>
          <w:bCs/>
          <w:kern w:val="0"/>
          <w:sz w:val="40"/>
          <w:szCs w:val="40"/>
          <w14:ligatures w14:val="none"/>
        </w:rPr>
      </w:pPr>
      <w:bookmarkStart w:id="77" w:name="_Hlk178778489"/>
      <w:r w:rsidRPr="001E6B52">
        <w:rPr>
          <w:rFonts w:ascii="Simplified Arabic" w:hAnsi="Simplified Arabic" w:cs="Simplified Arabic"/>
          <w:bCs/>
          <w:kern w:val="0"/>
          <w:sz w:val="40"/>
          <w:szCs w:val="40"/>
          <w:rtl/>
          <w14:ligatures w14:val="none"/>
        </w:rPr>
        <w:lastRenderedPageBreak/>
        <w:t xml:space="preserve">الدرس </w:t>
      </w:r>
      <w:r w:rsidRPr="001E6B52">
        <w:rPr>
          <w:rFonts w:ascii="Simplified Arabic" w:hAnsi="Simplified Arabic" w:cs="Simplified Arabic" w:hint="cs"/>
          <w:bCs/>
          <w:kern w:val="0"/>
          <w:sz w:val="40"/>
          <w:szCs w:val="40"/>
          <w:rtl/>
          <w14:ligatures w14:val="none"/>
        </w:rPr>
        <w:t>5</w:t>
      </w:r>
      <w:r w:rsidRPr="001E6B52">
        <w:rPr>
          <w:rFonts w:ascii="Simplified Arabic" w:hAnsi="Simplified Arabic" w:cs="Simplified Arabic"/>
          <w:bCs/>
          <w:kern w:val="0"/>
          <w:sz w:val="40"/>
          <w:szCs w:val="40"/>
          <w:rtl/>
          <w14:ligatures w14:val="none"/>
        </w:rPr>
        <w:t>:</w:t>
      </w:r>
      <w:r w:rsidRPr="001E6B52">
        <w:rPr>
          <w:rFonts w:ascii="Simplified Arabic" w:hAnsi="Simplified Arabic" w:cs="Simplified Arabic" w:hint="cs"/>
          <w:bCs/>
          <w:kern w:val="0"/>
          <w:sz w:val="40"/>
          <w:szCs w:val="40"/>
          <w:rtl/>
          <w14:ligatures w14:val="none"/>
        </w:rPr>
        <w:t xml:space="preserve"> تحرير إسرائيل من مصر </w:t>
      </w:r>
    </w:p>
    <w:p w14:paraId="79BBCF73" w14:textId="4FBFF7BB" w:rsidR="001E6B52" w:rsidRPr="001E6B52" w:rsidRDefault="001E6B52" w:rsidP="001E6B52">
      <w:pPr>
        <w:bidi/>
        <w:spacing w:after="0" w:line="240" w:lineRule="auto"/>
        <w:contextualSpacing/>
        <w:jc w:val="center"/>
        <w:rPr>
          <w:rFonts w:ascii="Simplified Arabic" w:hAnsi="Simplified Arabic" w:cs="Simplified Arabic"/>
          <w:bCs/>
          <w:kern w:val="0"/>
          <w:sz w:val="40"/>
          <w:szCs w:val="40"/>
          <w:rtl/>
          <w14:ligatures w14:val="none"/>
        </w:rPr>
      </w:pPr>
      <w:r w:rsidRPr="001E6B52">
        <w:rPr>
          <w:rFonts w:ascii="Simplified Arabic" w:hAnsi="Simplified Arabic" w:cs="Simplified Arabic" w:hint="cs"/>
          <w:bCs/>
          <w:kern w:val="0"/>
          <w:sz w:val="40"/>
          <w:szCs w:val="40"/>
          <w:rtl/>
          <w14:ligatures w14:val="none"/>
        </w:rPr>
        <w:t>(خروج 1: 1-18: 27)</w:t>
      </w:r>
    </w:p>
    <w:p w14:paraId="09F478AB" w14:textId="06C61FBA" w:rsidR="00E41548" w:rsidRPr="007A4B15" w:rsidRDefault="00E41548" w:rsidP="002D6C54">
      <w:pPr>
        <w:pStyle w:val="Heading2"/>
      </w:pPr>
    </w:p>
    <w:p w14:paraId="0A84D3FD" w14:textId="77777777" w:rsidR="00311C51" w:rsidRPr="007A4B15" w:rsidRDefault="00311C51"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kern w:val="0"/>
          <w:szCs w:val="24"/>
          <w14:ligatures w14:val="none"/>
        </w:rPr>
      </w:pPr>
    </w:p>
    <w:p w14:paraId="02C5FFAF" w14:textId="1BD11681" w:rsidR="00E41548" w:rsidRPr="00ED6082" w:rsidRDefault="00ED6082" w:rsidP="00ED6082">
      <w:pPr>
        <w:pStyle w:val="Heading3"/>
        <w:bidi/>
        <w:spacing w:line="240" w:lineRule="auto"/>
        <w:rPr>
          <w:rFonts w:ascii="Simplified Arabic" w:hAnsi="Simplified Arabic" w:cs="Simplified Arabic"/>
          <w:lang w:val="fr-FR"/>
        </w:rPr>
      </w:pPr>
      <w:r w:rsidRPr="00ED6082">
        <w:rPr>
          <w:rFonts w:ascii="Simplified Arabic" w:hAnsi="Simplified Arabic" w:cs="Simplified Arabic"/>
          <w:rtl/>
          <w:lang w:val="fr-FR"/>
        </w:rPr>
        <w:t>مُقدِّمة الدرس</w:t>
      </w:r>
    </w:p>
    <w:p w14:paraId="3B93BB32" w14:textId="38EC1771" w:rsidR="001F5A1B" w:rsidRDefault="00ED6082" w:rsidP="00ED6082">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sidRPr="00ED6082">
        <w:rPr>
          <w:rFonts w:ascii="Simplified Arabic" w:eastAsia="Calibri" w:hAnsi="Simplified Arabic" w:cs="Simplified Arabic"/>
          <w:kern w:val="0"/>
          <w:sz w:val="26"/>
          <w:szCs w:val="26"/>
          <w:rtl/>
          <w14:ligatures w14:val="none"/>
        </w:rPr>
        <w:t>في الجزء الأخير من سفر التكوين، نرى العبرانيّين يعيشون في مصر، بدل أن يكونوا في أرض الموعد في هناء.</w:t>
      </w:r>
      <w:r>
        <w:rPr>
          <w:rFonts w:ascii="Simplified Arabic" w:eastAsia="Calibri" w:hAnsi="Simplified Arabic" w:cs="Simplified Arabic" w:hint="cs"/>
          <w:kern w:val="0"/>
          <w:sz w:val="26"/>
          <w:szCs w:val="26"/>
          <w:rtl/>
          <w14:ligatures w14:val="none"/>
        </w:rPr>
        <w:t xml:space="preserve"> في سيادة الله كانوا في نوعٍ من "السبي" من الأرض. فبدل</w:t>
      </w:r>
      <w:r w:rsidR="00B965B2">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أن يكونوا شهودًا أمناء للرب</w:t>
      </w:r>
      <w:r w:rsidR="00475B9B">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الإله</w:t>
      </w:r>
      <w:r w:rsidR="0043414B">
        <w:rPr>
          <w:rFonts w:ascii="Simplified Arabic" w:eastAsia="Calibri" w:hAnsi="Simplified Arabic" w:cs="Simplified Arabic" w:hint="cs"/>
          <w:kern w:val="0"/>
          <w:sz w:val="26"/>
          <w:szCs w:val="26"/>
          <w:rtl/>
          <w14:ligatures w14:val="none"/>
        </w:rPr>
        <w:t>، كانوا يصيرون أكثر شب</w:t>
      </w:r>
      <w:r w:rsidR="001E0CC1">
        <w:rPr>
          <w:rFonts w:ascii="Simplified Arabic" w:eastAsia="Calibri" w:hAnsi="Simplified Arabic" w:cs="Simplified Arabic" w:hint="cs"/>
          <w:kern w:val="0"/>
          <w:sz w:val="26"/>
          <w:szCs w:val="26"/>
          <w:rtl/>
          <w14:ligatures w14:val="none"/>
        </w:rPr>
        <w:t>َ</w:t>
      </w:r>
      <w:r w:rsidR="0043414B">
        <w:rPr>
          <w:rFonts w:ascii="Simplified Arabic" w:eastAsia="Calibri" w:hAnsi="Simplified Arabic" w:cs="Simplified Arabic" w:hint="cs"/>
          <w:kern w:val="0"/>
          <w:sz w:val="26"/>
          <w:szCs w:val="26"/>
          <w:rtl/>
          <w14:ligatures w14:val="none"/>
        </w:rPr>
        <w:t>هًا بالكنعانيّين. ولذا، فقد أتى اغترابهم في مصر تأديبًا لهم من الرب</w:t>
      </w:r>
      <w:r w:rsidR="001E0CC1">
        <w:rPr>
          <w:rFonts w:ascii="Simplified Arabic" w:eastAsia="Calibri" w:hAnsi="Simplified Arabic" w:cs="Simplified Arabic" w:hint="cs"/>
          <w:kern w:val="0"/>
          <w:sz w:val="26"/>
          <w:szCs w:val="26"/>
          <w:rtl/>
          <w14:ligatures w14:val="none"/>
        </w:rPr>
        <w:t>ّ</w:t>
      </w:r>
      <w:r w:rsidR="0043414B">
        <w:rPr>
          <w:rFonts w:ascii="Simplified Arabic" w:eastAsia="Calibri" w:hAnsi="Simplified Arabic" w:cs="Simplified Arabic" w:hint="cs"/>
          <w:kern w:val="0"/>
          <w:sz w:val="26"/>
          <w:szCs w:val="26"/>
          <w:rtl/>
          <w14:ligatures w14:val="none"/>
        </w:rPr>
        <w:t xml:space="preserve">. وفي الوقت المناسب، قاد هذا إلى صيرورتهم عبيدًا لفرعون مصر. ومع هذا، فإنّه بسبب العهد الإبراهيم، لم يكن الله قد تركهم. فحين وصلت صرخاتهم إلى السماء، أقام الله لهم مُخلِّصًا هو موسى. تروي هذه الأصحاحات الأحد عشر قصّة المواجهة التي كانت لموسى وهارون مع فرعون، وكيف أظهر الله قوّته العظيمة في إجبار فرعون على أن يخضع لإرادته نتيجةً للضربات فوق الطبيعيّة التي أتت على المصريّين. </w:t>
      </w:r>
    </w:p>
    <w:p w14:paraId="083419DD" w14:textId="0990A1EA" w:rsidR="0043414B" w:rsidRPr="00ED6082" w:rsidRDefault="0043414B" w:rsidP="0043414B">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وقبل أن يغادر العبرانيّون مصر، احتفلوا بأول عشاء فصحٍ، حيثُ وُضِع دم خروفٍ بريء</w:t>
      </w:r>
      <w:r w:rsidR="001E0CC1">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على قائمتي أبواب بيوتهم (وهو رمزٌ لدم المسيح الكفّاري)، فحماهم من ملاك الموت المُهلِك. أم</w:t>
      </w:r>
      <w:r w:rsidR="001E0CC1">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ا بقيّة الأصحاحات 12-18 فتوثِّق لنا معجزة عبور البحر الأحمر العظيمة، متبوعةً بامتحان إيمانهم في الرحلة إلى جبل سيناء. </w:t>
      </w:r>
    </w:p>
    <w:p w14:paraId="4ADE25A3" w14:textId="77777777" w:rsidR="00ED6082" w:rsidRPr="007A4B15" w:rsidRDefault="00ED6082" w:rsidP="00ED6082">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eastAsia="Calibri" w:cs="Times New Roman"/>
          <w:kern w:val="0"/>
          <w:szCs w:val="24"/>
          <w14:ligatures w14:val="none"/>
        </w:rPr>
      </w:pPr>
    </w:p>
    <w:p w14:paraId="580857B4" w14:textId="236EC2BF" w:rsidR="00E41548" w:rsidRPr="007A4B15" w:rsidRDefault="0043414B" w:rsidP="0043414B">
      <w:pPr>
        <w:pStyle w:val="Heading3"/>
        <w:bidi/>
        <w:spacing w:line="240" w:lineRule="auto"/>
      </w:pPr>
      <w:r>
        <w:rPr>
          <w:rFonts w:hint="cs"/>
          <w:rtl/>
        </w:rPr>
        <w:t>مخطّط الدرس</w:t>
      </w:r>
    </w:p>
    <w:p w14:paraId="377E8D69" w14:textId="77777777" w:rsidR="0043414B" w:rsidRPr="0043414B" w:rsidRDefault="0043414B" w:rsidP="0043414B">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r w:rsidRPr="0043414B">
        <w:rPr>
          <w:rFonts w:ascii="Simplified Arabic" w:eastAsia="Calibri" w:hAnsi="Simplified Arabic" w:cs="Simplified Arabic"/>
          <w:kern w:val="0"/>
          <w:sz w:val="26"/>
          <w:szCs w:val="26"/>
          <w:rtl/>
          <w14:ligatures w14:val="none"/>
        </w:rPr>
        <w:t xml:space="preserve">الموضوع 1: نظرة عامّة إلى سفر الخروج </w:t>
      </w:r>
    </w:p>
    <w:p w14:paraId="1C777E53" w14:textId="77777777" w:rsidR="0043414B" w:rsidRPr="0043414B" w:rsidRDefault="0043414B" w:rsidP="0043414B">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r w:rsidRPr="0043414B">
        <w:rPr>
          <w:rFonts w:ascii="Simplified Arabic" w:eastAsia="Calibri" w:hAnsi="Simplified Arabic" w:cs="Simplified Arabic"/>
          <w:kern w:val="0"/>
          <w:sz w:val="26"/>
          <w:szCs w:val="26"/>
          <w:rtl/>
          <w14:ligatures w14:val="none"/>
        </w:rPr>
        <w:t xml:space="preserve">الموضوع 2: عبوديّة الشعب في مصر (خروج 1-11) </w:t>
      </w:r>
    </w:p>
    <w:p w14:paraId="53196AED" w14:textId="5BAC1BF7" w:rsidR="00E41548" w:rsidRPr="007A4B15" w:rsidRDefault="0043414B" w:rsidP="0043414B">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eastAsia="Calibri" w:cs="Times New Roman"/>
          <w:kern w:val="0"/>
          <w:szCs w:val="24"/>
          <w14:ligatures w14:val="none"/>
        </w:rPr>
      </w:pPr>
      <w:r w:rsidRPr="0043414B">
        <w:rPr>
          <w:rFonts w:ascii="Simplified Arabic" w:eastAsia="Calibri" w:hAnsi="Simplified Arabic" w:cs="Simplified Arabic"/>
          <w:kern w:val="0"/>
          <w:sz w:val="26"/>
          <w:szCs w:val="26"/>
          <w:rtl/>
          <w14:ligatures w14:val="none"/>
        </w:rPr>
        <w:t>الموضوع 3: الافتداء من العبودية (خروج 12: 1 – 18: 27)</w:t>
      </w:r>
      <w:r w:rsidR="00E41548" w:rsidRPr="007A4B15">
        <w:rPr>
          <w:rFonts w:eastAsia="Calibri" w:cs="Times New Roman"/>
          <w:kern w:val="0"/>
          <w:szCs w:val="24"/>
          <w14:ligatures w14:val="none"/>
        </w:rPr>
        <w:br/>
      </w:r>
    </w:p>
    <w:p w14:paraId="1127EB54" w14:textId="1A3C67B4" w:rsidR="00E41548" w:rsidRPr="00825859" w:rsidRDefault="00825859" w:rsidP="00825859">
      <w:pPr>
        <w:pStyle w:val="Heading3"/>
        <w:bidi/>
        <w:spacing w:line="240" w:lineRule="auto"/>
        <w:rPr>
          <w:rFonts w:ascii="Simplified Arabic" w:hAnsi="Simplified Arabic" w:cs="Simplified Arabic"/>
          <w:lang w:val="fr-FR"/>
        </w:rPr>
      </w:pPr>
      <w:r w:rsidRPr="00825859">
        <w:rPr>
          <w:rFonts w:ascii="Simplified Arabic" w:hAnsi="Simplified Arabic" w:cs="Simplified Arabic"/>
          <w:rtl/>
          <w:lang w:val="fr-FR"/>
        </w:rPr>
        <w:t>أهداف الدرس</w:t>
      </w:r>
    </w:p>
    <w:p w14:paraId="437BB834" w14:textId="5D79E347" w:rsidR="00E41548" w:rsidRPr="00825859" w:rsidRDefault="00825859" w:rsidP="00825859">
      <w:pPr>
        <w:bidi/>
        <w:spacing w:before="120" w:after="80" w:line="240" w:lineRule="auto"/>
        <w:rPr>
          <w:rFonts w:ascii="Simplified Arabic" w:eastAsia="Calibri" w:hAnsi="Simplified Arabic" w:cs="Simplified Arabic"/>
          <w:kern w:val="0"/>
          <w:szCs w:val="24"/>
          <w14:ligatures w14:val="none"/>
        </w:rPr>
      </w:pPr>
      <w:r w:rsidRPr="00825859">
        <w:rPr>
          <w:rFonts w:ascii="Simplified Arabic" w:eastAsia="Calibri" w:hAnsi="Simplified Arabic" w:cs="Simplified Arabic"/>
          <w:kern w:val="0"/>
          <w:szCs w:val="24"/>
          <w:rtl/>
          <w14:ligatures w14:val="none"/>
        </w:rPr>
        <w:t xml:space="preserve">بانتهائك من دراسة هذا الدرس، ستكون قادرًا على ما يلي: </w:t>
      </w:r>
    </w:p>
    <w:p w14:paraId="14D3FB9E" w14:textId="34895DA5" w:rsidR="000F57FB" w:rsidRPr="00825859" w:rsidRDefault="00825859" w:rsidP="00825859">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Cs w:val="24"/>
          <w14:ligatures w14:val="none"/>
        </w:rPr>
      </w:pPr>
      <w:r w:rsidRPr="00825859">
        <w:rPr>
          <w:rFonts w:ascii="Simplified Arabic" w:eastAsia="Calibri" w:hAnsi="Simplified Arabic" w:cs="Simplified Arabic"/>
          <w:kern w:val="0"/>
          <w:szCs w:val="24"/>
          <w:rtl/>
          <w14:ligatures w14:val="none"/>
        </w:rPr>
        <w:t xml:space="preserve">أن تبيّن مغزى وأهمّيّة اسم الله الشخصي، يهوه، وعلاقته بتحرير العبرانيّين من مصر. </w:t>
      </w:r>
    </w:p>
    <w:p w14:paraId="14DA5969" w14:textId="5582CCBB" w:rsidR="00825859" w:rsidRPr="00825859" w:rsidRDefault="00825859" w:rsidP="00825859">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Cs w:val="24"/>
          <w14:ligatures w14:val="none"/>
        </w:rPr>
      </w:pPr>
      <w:r w:rsidRPr="00825859">
        <w:rPr>
          <w:rFonts w:ascii="Simplified Arabic" w:eastAsia="Calibri" w:hAnsi="Simplified Arabic" w:cs="Simplified Arabic"/>
          <w:kern w:val="0"/>
          <w:szCs w:val="24"/>
          <w:rtl/>
          <w14:ligatures w14:val="none"/>
        </w:rPr>
        <w:lastRenderedPageBreak/>
        <w:t xml:space="preserve">أن تندهش أمام قوّة الله وسيادته في مواجهة فرعون (أقوى حكّام الأرض في ذلك الوقت). </w:t>
      </w:r>
    </w:p>
    <w:p w14:paraId="15F508F6" w14:textId="17EA7350" w:rsidR="00825859" w:rsidRPr="00825859" w:rsidRDefault="00825859" w:rsidP="00825859">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Cs w:val="24"/>
          <w14:ligatures w14:val="none"/>
        </w:rPr>
      </w:pPr>
      <w:r w:rsidRPr="00825859">
        <w:rPr>
          <w:rFonts w:ascii="Simplified Arabic" w:eastAsia="Calibri" w:hAnsi="Simplified Arabic" w:cs="Simplified Arabic"/>
          <w:kern w:val="0"/>
          <w:szCs w:val="24"/>
          <w:rtl/>
          <w14:ligatures w14:val="none"/>
        </w:rPr>
        <w:t xml:space="preserve">أن تشرح مغزى الرموز التي يتضمّنها عشاء الفصح وأكل الخبز الفطير. </w:t>
      </w:r>
    </w:p>
    <w:p w14:paraId="185691B1" w14:textId="0CA05006" w:rsidR="00825859" w:rsidRPr="00825859" w:rsidRDefault="00825859" w:rsidP="00825859">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Cs w:val="24"/>
          <w14:ligatures w14:val="none"/>
        </w:rPr>
      </w:pPr>
      <w:r w:rsidRPr="00825859">
        <w:rPr>
          <w:rFonts w:ascii="Simplified Arabic" w:eastAsia="Calibri" w:hAnsi="Simplified Arabic" w:cs="Simplified Arabic"/>
          <w:kern w:val="0"/>
          <w:szCs w:val="24"/>
          <w:rtl/>
          <w14:ligatures w14:val="none"/>
        </w:rPr>
        <w:t>أن تتولَّد لديك ثقة</w:t>
      </w:r>
      <w:r w:rsidR="001E0CC1">
        <w:rPr>
          <w:rFonts w:ascii="Simplified Arabic" w:eastAsia="Calibri" w:hAnsi="Simplified Arabic" w:cs="Simplified Arabic" w:hint="cs"/>
          <w:kern w:val="0"/>
          <w:szCs w:val="24"/>
          <w:rtl/>
          <w14:ligatures w14:val="none"/>
        </w:rPr>
        <w:t>ٌ</w:t>
      </w:r>
      <w:r w:rsidRPr="00825859">
        <w:rPr>
          <w:rFonts w:ascii="Simplified Arabic" w:eastAsia="Calibri" w:hAnsi="Simplified Arabic" w:cs="Simplified Arabic"/>
          <w:kern w:val="0"/>
          <w:szCs w:val="24"/>
          <w:rtl/>
          <w14:ligatures w14:val="none"/>
        </w:rPr>
        <w:t xml:space="preserve"> أعظم بقدرة الله على تحرير شعب في ضوء معجزة البحر الأحمر. </w:t>
      </w:r>
    </w:p>
    <w:p w14:paraId="69597DAA" w14:textId="3385F2D0" w:rsidR="00825859" w:rsidRPr="00825859" w:rsidRDefault="00825859" w:rsidP="00825859">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Cs w:val="24"/>
          <w14:ligatures w14:val="none"/>
        </w:rPr>
      </w:pPr>
      <w:r w:rsidRPr="00825859">
        <w:rPr>
          <w:rFonts w:ascii="Simplified Arabic" w:eastAsia="Calibri" w:hAnsi="Simplified Arabic" w:cs="Simplified Arabic"/>
          <w:kern w:val="0"/>
          <w:szCs w:val="24"/>
          <w:rtl/>
          <w14:ligatures w14:val="none"/>
        </w:rPr>
        <w:t xml:space="preserve">أن تدرِك الدروس </w:t>
      </w:r>
      <w:r w:rsidR="001E0CC1">
        <w:rPr>
          <w:rFonts w:ascii="Simplified Arabic" w:eastAsia="Calibri" w:hAnsi="Simplified Arabic" w:cs="Simplified Arabic" w:hint="cs"/>
          <w:kern w:val="0"/>
          <w:szCs w:val="24"/>
          <w:rtl/>
          <w14:ligatures w14:val="none"/>
        </w:rPr>
        <w:t>التي ت</w:t>
      </w:r>
      <w:r w:rsidRPr="00825859">
        <w:rPr>
          <w:rFonts w:ascii="Simplified Arabic" w:eastAsia="Calibri" w:hAnsi="Simplified Arabic" w:cs="Simplified Arabic"/>
          <w:kern w:val="0"/>
          <w:szCs w:val="24"/>
          <w:rtl/>
          <w14:ligatures w14:val="none"/>
        </w:rPr>
        <w:t xml:space="preserve">تعلَّمها من تذمُّر العبرانيّين في ارتحالهم إلى جبل سيناء. </w:t>
      </w:r>
    </w:p>
    <w:p w14:paraId="6CDBACDF" w14:textId="2231BE2D" w:rsidR="00825859" w:rsidRDefault="00825859" w:rsidP="00825859">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ind w:left="360"/>
        <w:contextualSpacing/>
        <w:rPr>
          <w:rFonts w:eastAsia="Calibri" w:cs="Times New Roman"/>
          <w:kern w:val="0"/>
          <w:szCs w:val="24"/>
          <w14:ligatures w14:val="none"/>
        </w:rPr>
      </w:pPr>
      <w:r>
        <w:rPr>
          <w:rFonts w:eastAsia="Calibri" w:cs="Times New Roman" w:hint="cs"/>
          <w:kern w:val="0"/>
          <w:szCs w:val="24"/>
          <w:rtl/>
          <w14:ligatures w14:val="none"/>
        </w:rPr>
        <w:t xml:space="preserve"> </w:t>
      </w:r>
    </w:p>
    <w:p w14:paraId="2D8BABA6" w14:textId="644C0686" w:rsidR="006311FA" w:rsidRDefault="00825859" w:rsidP="00825859">
      <w:pPr>
        <w:pStyle w:val="Heading3"/>
        <w:bidi/>
        <w:spacing w:line="240" w:lineRule="auto"/>
        <w:rPr>
          <w:rFonts w:ascii="Simplified Arabic" w:hAnsi="Simplified Arabic" w:cs="Simplified Arabic"/>
          <w:rtl/>
        </w:rPr>
      </w:pPr>
      <w:bookmarkStart w:id="78" w:name="_Hlk157171992"/>
      <w:r w:rsidRPr="00825859">
        <w:rPr>
          <w:rFonts w:ascii="Simplified Arabic" w:hAnsi="Simplified Arabic" w:cs="Simplified Arabic"/>
          <w:rtl/>
        </w:rPr>
        <w:t>الموضوع 1: نظرة عامّة إلى سفر الخروج</w:t>
      </w:r>
      <w:r w:rsidR="001E0CC1">
        <w:rPr>
          <w:rFonts w:ascii="Simplified Arabic" w:hAnsi="Simplified Arabic" w:cs="Simplified Arabic" w:hint="cs"/>
          <w:rtl/>
        </w:rPr>
        <w:t xml:space="preserve"> </w:t>
      </w:r>
    </w:p>
    <w:p w14:paraId="00BC59B2" w14:textId="6056C79C" w:rsidR="006311FA" w:rsidRPr="007A4B15" w:rsidRDefault="006311FA" w:rsidP="00D12AA9">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bookmarkStart w:id="79" w:name="_Hlk157176458"/>
      <w:bookmarkEnd w:id="78"/>
      <w:r w:rsidRPr="007A4B15">
        <w:rPr>
          <w:rFonts w:ascii="Verdana" w:eastAsia="Calibri" w:hAnsi="Verdana" w:cs="Times New Roman"/>
          <w:b/>
          <w:caps/>
          <w:noProof/>
          <w:color w:val="006699"/>
          <w:kern w:val="0"/>
          <w:sz w:val="21"/>
          <w:szCs w:val="24"/>
          <w14:ligatures w14:val="none"/>
        </w:rPr>
        <w:lastRenderedPageBreak/>
        <w:drawing>
          <wp:inline distT="0" distB="0" distL="0" distR="0" wp14:anchorId="35873E50" wp14:editId="206E4F6B">
            <wp:extent cx="613692" cy="541464"/>
            <wp:effectExtent l="0" t="0" r="0" b="0"/>
            <wp:docPr id="103953203" name="Picture 103953203"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D12AA9">
        <w:rPr>
          <w:rFonts w:ascii="Verdana" w:eastAsia="Calibri" w:hAnsi="Verdana" w:cs="Times New Roman" w:hint="cs"/>
          <w:b/>
          <w:caps/>
          <w:color w:val="006699"/>
          <w:kern w:val="0"/>
          <w:sz w:val="21"/>
          <w:szCs w:val="24"/>
          <w:u w:val="single"/>
          <w:rtl/>
          <w14:ligatures w14:val="none"/>
        </w:rPr>
        <w:t>القراءة:</w:t>
      </w:r>
    </w:p>
    <w:p w14:paraId="1C7C7B5C" w14:textId="77D22FFF" w:rsidR="002B24E1" w:rsidRDefault="00D12AA9" w:rsidP="00D12AA9">
      <w:pPr>
        <w:pStyle w:val="Heading4RED"/>
        <w:numPr>
          <w:ilvl w:val="0"/>
          <w:numId w:val="34"/>
        </w:numPr>
        <w:bidi/>
        <w:rPr>
          <w:b w:val="0"/>
          <w:bCs w:val="0"/>
          <w:sz w:val="24"/>
          <w:szCs w:val="24"/>
        </w:rPr>
      </w:pPr>
      <w:r>
        <w:rPr>
          <w:rFonts w:hint="cs"/>
          <w:b w:val="0"/>
          <w:bCs w:val="0"/>
          <w:sz w:val="24"/>
          <w:szCs w:val="24"/>
          <w:rtl/>
        </w:rPr>
        <w:t>اقرأ ميرل، لاهوت العهد القديم، "مُقدِّمة".</w:t>
      </w:r>
    </w:p>
    <w:p w14:paraId="39D24D12" w14:textId="1674C0FD" w:rsidR="00D12AA9" w:rsidRPr="002B24E1" w:rsidRDefault="00D12AA9" w:rsidP="00D12AA9">
      <w:pPr>
        <w:pStyle w:val="Heading4RED"/>
        <w:numPr>
          <w:ilvl w:val="0"/>
          <w:numId w:val="34"/>
        </w:numPr>
        <w:bidi/>
        <w:rPr>
          <w:b w:val="0"/>
          <w:bCs w:val="0"/>
          <w:sz w:val="24"/>
          <w:szCs w:val="24"/>
        </w:rPr>
      </w:pPr>
      <w:r>
        <w:rPr>
          <w:rFonts w:hint="cs"/>
          <w:b w:val="0"/>
          <w:bCs w:val="0"/>
          <w:sz w:val="24"/>
          <w:szCs w:val="24"/>
          <w:rtl/>
        </w:rPr>
        <w:t>اقرأ ميرل، لاهوت العهد القديم، "لاهوت سفر التكوين".</w:t>
      </w:r>
    </w:p>
    <w:p w14:paraId="55884A36" w14:textId="77777777" w:rsidR="00D12AA9" w:rsidRPr="002B24E1" w:rsidRDefault="00D12AA9" w:rsidP="00D12AA9">
      <w:pPr>
        <w:pStyle w:val="Heading4RED"/>
        <w:bidi/>
        <w:ind w:left="360" w:firstLine="0"/>
        <w:rPr>
          <w:b w:val="0"/>
          <w:bCs w:val="0"/>
          <w:sz w:val="24"/>
          <w:szCs w:val="24"/>
        </w:rPr>
      </w:pPr>
    </w:p>
    <w:bookmarkEnd w:id="79"/>
    <w:p w14:paraId="606E60A7" w14:textId="77777777" w:rsidR="00A5655F" w:rsidRDefault="00A5655F" w:rsidP="002D6C54">
      <w:pPr>
        <w:pStyle w:val="Heading4RED"/>
      </w:pPr>
    </w:p>
    <w:p w14:paraId="230145D4" w14:textId="58EDD2DE" w:rsidR="006C5779" w:rsidRDefault="000467AC" w:rsidP="000467AC">
      <w:pPr>
        <w:pStyle w:val="Heading4RED"/>
        <w:bidi/>
      </w:pPr>
      <w:r>
        <w:rPr>
          <w:rFonts w:hint="cs"/>
          <w:rtl/>
        </w:rPr>
        <w:t>أوّلًا، لوحة سفر الخروج</w:t>
      </w:r>
    </w:p>
    <w:bookmarkEnd w:id="77"/>
    <w:p w14:paraId="6ECDDD4E" w14:textId="77777777" w:rsidR="00A5655F" w:rsidRPr="006C5779" w:rsidRDefault="00A5655F" w:rsidP="002D6C54">
      <w:pPr>
        <w:pStyle w:val="Heading4RED"/>
      </w:pPr>
    </w:p>
    <w:p w14:paraId="590630F2" w14:textId="3B0E79B8" w:rsidR="006311FA" w:rsidRDefault="00E166B2"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strike/>
          <w:kern w:val="0"/>
          <w:szCs w:val="24"/>
          <w14:ligatures w14:val="none"/>
        </w:rPr>
      </w:pPr>
      <w:r w:rsidRPr="00E166B2">
        <w:rPr>
          <w:rFonts w:eastAsia="Calibri" w:cs="Times New Roman"/>
          <w:strike/>
          <w:noProof/>
          <w:kern w:val="0"/>
          <w:szCs w:val="24"/>
          <w14:ligatures w14:val="none"/>
        </w:rPr>
        <w:drawing>
          <wp:inline distT="0" distB="0" distL="0" distR="0" wp14:anchorId="35606295" wp14:editId="2A7EC431">
            <wp:extent cx="5943600" cy="4614545"/>
            <wp:effectExtent l="0" t="0" r="0" b="0"/>
            <wp:docPr id="361235162" name="Picture 1" descr="A white sheet with black text and a picture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235162" name="Picture 1" descr="A white sheet with black text and a picture of a tree&#10;&#10;Description automatically generated"/>
                    <pic:cNvPicPr/>
                  </pic:nvPicPr>
                  <pic:blipFill>
                    <a:blip r:embed="rId37"/>
                    <a:stretch>
                      <a:fillRect/>
                    </a:stretch>
                  </pic:blipFill>
                  <pic:spPr>
                    <a:xfrm>
                      <a:off x="0" y="0"/>
                      <a:ext cx="5943600" cy="4614545"/>
                    </a:xfrm>
                    <a:prstGeom prst="rect">
                      <a:avLst/>
                    </a:prstGeom>
                  </pic:spPr>
                </pic:pic>
              </a:graphicData>
            </a:graphic>
          </wp:inline>
        </w:drawing>
      </w:r>
    </w:p>
    <w:p w14:paraId="7B616A0E" w14:textId="77777777" w:rsidR="00B3103C" w:rsidRDefault="00B3103C" w:rsidP="002D6C54">
      <w:pPr>
        <w:pStyle w:val="Heading3"/>
        <w:spacing w:line="240" w:lineRule="auto"/>
      </w:pPr>
      <w:r>
        <w:br w:type="page"/>
      </w:r>
    </w:p>
    <w:p w14:paraId="421F1C50" w14:textId="7FB8D7E9" w:rsidR="00B3103C" w:rsidRDefault="000467AC" w:rsidP="000467AC">
      <w:pPr>
        <w:pStyle w:val="Heading4RED"/>
        <w:bidi/>
      </w:pPr>
      <w:bookmarkStart w:id="80" w:name="_Hlk178778510"/>
      <w:r>
        <w:rPr>
          <w:rFonts w:hint="cs"/>
          <w:rtl/>
        </w:rPr>
        <w:lastRenderedPageBreak/>
        <w:t xml:space="preserve">ثانيًا، الخروج وحياة موسى في تزامنٍ مع فراعنة مصر. </w:t>
      </w:r>
    </w:p>
    <w:bookmarkEnd w:id="80"/>
    <w:p w14:paraId="558B8280" w14:textId="3624D866" w:rsidR="00C1309E" w:rsidRPr="00C1309E" w:rsidRDefault="002F290C" w:rsidP="002D6C54">
      <w:pPr>
        <w:spacing w:line="240" w:lineRule="auto"/>
        <w:jc w:val="center"/>
      </w:pPr>
      <w:r w:rsidRPr="002F290C">
        <w:rPr>
          <w:noProof/>
        </w:rPr>
        <w:drawing>
          <wp:inline distT="0" distB="0" distL="0" distR="0" wp14:anchorId="3E8E9F9D" wp14:editId="6ED3877B">
            <wp:extent cx="5612506" cy="7609263"/>
            <wp:effectExtent l="0" t="0" r="0" b="0"/>
            <wp:docPr id="22965158"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65158" name="Picture 1" descr="A screenshot of a document&#10;&#10;Description automatically generated"/>
                    <pic:cNvPicPr/>
                  </pic:nvPicPr>
                  <pic:blipFill>
                    <a:blip r:embed="rId38"/>
                    <a:stretch>
                      <a:fillRect/>
                    </a:stretch>
                  </pic:blipFill>
                  <pic:spPr>
                    <a:xfrm>
                      <a:off x="0" y="0"/>
                      <a:ext cx="5613008" cy="7609944"/>
                    </a:xfrm>
                    <a:prstGeom prst="rect">
                      <a:avLst/>
                    </a:prstGeom>
                  </pic:spPr>
                </pic:pic>
              </a:graphicData>
            </a:graphic>
          </wp:inline>
        </w:drawing>
      </w:r>
    </w:p>
    <w:p w14:paraId="5D9090D3" w14:textId="1AF9DE29" w:rsidR="006311FA" w:rsidRPr="000467AC" w:rsidRDefault="00C1309E" w:rsidP="000467AC">
      <w:pPr>
        <w:pStyle w:val="Heading3"/>
        <w:bidi/>
        <w:spacing w:line="240" w:lineRule="auto"/>
        <w:rPr>
          <w:rFonts w:ascii="Simplified Arabic" w:hAnsi="Simplified Arabic" w:cs="Simplified Arabic"/>
        </w:rPr>
      </w:pPr>
      <w:r>
        <w:br w:type="page"/>
      </w:r>
      <w:bookmarkStart w:id="81" w:name="_Hlk178778527"/>
      <w:r w:rsidR="000467AC" w:rsidRPr="000467AC">
        <w:rPr>
          <w:rFonts w:ascii="Simplified Arabic" w:hAnsi="Simplified Arabic" w:cs="Simplified Arabic"/>
          <w:rtl/>
        </w:rPr>
        <w:lastRenderedPageBreak/>
        <w:t xml:space="preserve">الموضوع 2: </w:t>
      </w:r>
      <w:r w:rsidR="000467AC" w:rsidRPr="000467AC">
        <w:rPr>
          <w:rFonts w:ascii="Simplified Arabic" w:eastAsia="Calibri" w:hAnsi="Simplified Arabic" w:cs="Simplified Arabic"/>
          <w:rtl/>
          <w14:ligatures w14:val="none"/>
        </w:rPr>
        <w:t>عبوديّة الشعب في مصر (خروج 1-11)</w:t>
      </w:r>
    </w:p>
    <w:p w14:paraId="020AA0B0" w14:textId="155D3A0A" w:rsidR="006311FA" w:rsidRPr="007A4B15" w:rsidRDefault="006311FA" w:rsidP="000467AC">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r w:rsidRPr="007A4B15">
        <w:rPr>
          <w:rFonts w:ascii="Verdana" w:eastAsia="Calibri" w:hAnsi="Verdana" w:cs="Times New Roman"/>
          <w:b/>
          <w:caps/>
          <w:noProof/>
          <w:color w:val="006699"/>
          <w:kern w:val="0"/>
          <w:sz w:val="21"/>
          <w:szCs w:val="24"/>
          <w14:ligatures w14:val="none"/>
        </w:rPr>
        <w:drawing>
          <wp:inline distT="0" distB="0" distL="0" distR="0" wp14:anchorId="42E972DE" wp14:editId="10E894EE">
            <wp:extent cx="613692" cy="541464"/>
            <wp:effectExtent l="0" t="0" r="0" b="0"/>
            <wp:docPr id="1640776784" name="Picture 1640776784"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0467AC" w:rsidRPr="000467AC">
        <w:rPr>
          <w:rFonts w:ascii="Verdana" w:eastAsia="Calibri" w:hAnsi="Verdana" w:cs="Times New Roman" w:hint="cs"/>
          <w:bCs/>
          <w:caps/>
          <w:color w:val="006699"/>
          <w:kern w:val="0"/>
          <w:sz w:val="21"/>
          <w:szCs w:val="24"/>
          <w:u w:val="single"/>
          <w:rtl/>
          <w14:ligatures w14:val="none"/>
        </w:rPr>
        <w:t>القراءة:</w:t>
      </w:r>
      <w:r w:rsidR="000467AC">
        <w:rPr>
          <w:rFonts w:ascii="Verdana" w:eastAsia="Calibri" w:hAnsi="Verdana" w:cs="Times New Roman" w:hint="cs"/>
          <w:b/>
          <w:caps/>
          <w:color w:val="006699"/>
          <w:kern w:val="0"/>
          <w:sz w:val="21"/>
          <w:szCs w:val="24"/>
          <w:u w:val="single"/>
          <w:rtl/>
          <w14:ligatures w14:val="none"/>
        </w:rPr>
        <w:t xml:space="preserve"> </w:t>
      </w:r>
    </w:p>
    <w:p w14:paraId="6CC32E64" w14:textId="49033FBE" w:rsidR="006311FA" w:rsidRDefault="00F67B20" w:rsidP="000467AC">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eastAsia="Calibri" w:cs="Times New Roman"/>
          <w:kern w:val="0"/>
          <w:szCs w:val="24"/>
          <w14:ligatures w14:val="none"/>
        </w:rPr>
      </w:pPr>
      <w:r>
        <w:rPr>
          <w:rFonts w:eastAsia="Calibri" w:cs="Times New Roman"/>
          <w:kern w:val="0"/>
          <w:szCs w:val="24"/>
          <w14:ligatures w14:val="none"/>
        </w:rPr>
        <w:tab/>
      </w:r>
      <w:r>
        <w:rPr>
          <w:rFonts w:eastAsia="Calibri" w:cs="Times New Roman"/>
          <w:kern w:val="0"/>
          <w:szCs w:val="24"/>
          <w14:ligatures w14:val="none"/>
        </w:rPr>
        <w:tab/>
      </w:r>
      <w:r w:rsidR="000467AC">
        <w:rPr>
          <w:rFonts w:eastAsia="Calibri" w:cs="Times New Roman" w:hint="cs"/>
          <w:kern w:val="0"/>
          <w:szCs w:val="24"/>
          <w:rtl/>
          <w14:ligatures w14:val="none"/>
        </w:rPr>
        <w:t xml:space="preserve">اقرأ خروج 1: 1 </w:t>
      </w:r>
      <w:r w:rsidR="000467AC">
        <w:rPr>
          <w:rFonts w:eastAsia="Calibri" w:cs="Times New Roman"/>
          <w:kern w:val="0"/>
          <w:szCs w:val="24"/>
          <w:rtl/>
          <w14:ligatures w14:val="none"/>
        </w:rPr>
        <w:t>–</w:t>
      </w:r>
      <w:r w:rsidR="000467AC">
        <w:rPr>
          <w:rFonts w:eastAsia="Calibri" w:cs="Times New Roman" w:hint="cs"/>
          <w:kern w:val="0"/>
          <w:szCs w:val="24"/>
          <w:rtl/>
          <w14:ligatures w14:val="none"/>
        </w:rPr>
        <w:t xml:space="preserve"> 11: 10 في كتابك المُقدَّس. </w:t>
      </w:r>
    </w:p>
    <w:bookmarkEnd w:id="81"/>
    <w:p w14:paraId="16D7A3DA" w14:textId="07C62980" w:rsidR="006311FA" w:rsidRDefault="002F290C"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strike/>
          <w:kern w:val="0"/>
          <w:szCs w:val="24"/>
          <w14:ligatures w14:val="none"/>
        </w:rPr>
      </w:pPr>
      <w:r w:rsidRPr="002F290C">
        <w:rPr>
          <w:rFonts w:eastAsia="Calibri" w:cs="Times New Roman"/>
          <w:strike/>
          <w:noProof/>
          <w:kern w:val="0"/>
          <w:szCs w:val="24"/>
          <w14:ligatures w14:val="none"/>
        </w:rPr>
        <w:drawing>
          <wp:inline distT="0" distB="0" distL="0" distR="0" wp14:anchorId="5832D1FD" wp14:editId="19222DB3">
            <wp:extent cx="5943600" cy="4140835"/>
            <wp:effectExtent l="0" t="0" r="0" b="0"/>
            <wp:docPr id="7633009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00957" name="Picture 1" descr="A screenshot of a computer&#10;&#10;Description automatically generated"/>
                    <pic:cNvPicPr/>
                  </pic:nvPicPr>
                  <pic:blipFill>
                    <a:blip r:embed="rId39"/>
                    <a:stretch>
                      <a:fillRect/>
                    </a:stretch>
                  </pic:blipFill>
                  <pic:spPr>
                    <a:xfrm>
                      <a:off x="0" y="0"/>
                      <a:ext cx="5943600" cy="4140835"/>
                    </a:xfrm>
                    <a:prstGeom prst="rect">
                      <a:avLst/>
                    </a:prstGeom>
                  </pic:spPr>
                </pic:pic>
              </a:graphicData>
            </a:graphic>
          </wp:inline>
        </w:drawing>
      </w:r>
    </w:p>
    <w:p w14:paraId="190AA457" w14:textId="77777777" w:rsidR="00B35650" w:rsidRPr="00B35650" w:rsidRDefault="00B35650"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B35650">
        <w:rPr>
          <w:rFonts w:eastAsia="Times New Roman" w:cs="DecoType Naskh" w:hint="cs"/>
          <w:bCs/>
          <w:color w:val="auto"/>
          <w:kern w:val="0"/>
          <w:szCs w:val="28"/>
          <w:rtl/>
          <w:lang w:bidi="ar-JO"/>
          <w14:ligatures w14:val="none"/>
        </w:rPr>
        <w:t>1.</w:t>
      </w:r>
      <w:r w:rsidRPr="00B35650">
        <w:rPr>
          <w:rFonts w:eastAsia="Times New Roman" w:cs="DecoType Naskh" w:hint="cs"/>
          <w:bCs/>
          <w:color w:val="auto"/>
          <w:kern w:val="0"/>
          <w:szCs w:val="28"/>
          <w:rtl/>
          <w:lang w:bidi="ar-JO"/>
          <w14:ligatures w14:val="none"/>
        </w:rPr>
        <w:tab/>
        <w:t xml:space="preserve">تعريف بسفر الخروج </w:t>
      </w:r>
    </w:p>
    <w:p w14:paraId="484F4AC0"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سفر الخروج أكثر من رد فعل لإله عادل على اضطهاد مجتمع لآخر أو شريحة اجتماعية لأخرى.  وهو أكثر من مجرّد قصة شفقة الله على محنة شعب وضيقهم.  ولسوء الحظ فإن كثيراً من اللاهوتيين المتحررين يتناولون السفر بمثل هذه الطريقة.  غير أن سفر الخروج لا يتناول أي "مجتمع مضطهَد".  فنحن نتحدث عن أمة إسرائيل، أمّة الله الفريدة المختارة من بين الشعوب من أجل تنفيذ برنامج الله (تكوين 12).  يقول ميريل:</w:t>
      </w:r>
    </w:p>
    <w:p w14:paraId="24F37F3B"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0"/>
          <w:szCs w:val="28"/>
          <w:rtl/>
          <w:lang w:bidi="ar-KW"/>
          <w14:ligatures w14:val="none"/>
        </w:rPr>
      </w:pPr>
      <w:r w:rsidRPr="00B35650">
        <w:rPr>
          <w:rFonts w:eastAsia="Times New Roman" w:cs="DecoType Naskh" w:hint="cs"/>
          <w:color w:val="auto"/>
          <w:kern w:val="0"/>
          <w:szCs w:val="26"/>
          <w:rtl/>
          <w14:ligatures w14:val="none"/>
        </w:rPr>
        <w:tab/>
      </w:r>
      <w:r w:rsidRPr="00B35650">
        <w:rPr>
          <w:rFonts w:eastAsia="Times New Roman" w:cs="DecoType Naskh" w:hint="cs"/>
          <w:color w:val="auto"/>
          <w:kern w:val="0"/>
          <w:szCs w:val="26"/>
          <w:rtl/>
          <w:lang w:bidi="ar-JO"/>
          <w14:ligatures w14:val="none"/>
        </w:rPr>
        <w:t xml:space="preserve">إن الخروج أهم حدث تاريخي ولاهوتي في العهد القديم، لأنه يشكل أقوى أعمال الله التي قام بها لأجل شعبه.  وهو عمل نقلهم من العبودية إلى الحرية، ومن التشرذُم إلى التضامن، ومن شعب الوعد </w:t>
      </w:r>
      <w:r w:rsidRPr="00B35650">
        <w:rPr>
          <w:rFonts w:eastAsia="Times New Roman" w:cs="DecoType Naskh"/>
          <w:color w:val="auto"/>
          <w:kern w:val="0"/>
          <w:szCs w:val="26"/>
          <w:rtl/>
          <w:lang w:bidi="ar-JO"/>
          <w14:ligatures w14:val="none"/>
        </w:rPr>
        <w:t>–</w:t>
      </w:r>
      <w:r w:rsidRPr="00B35650">
        <w:rPr>
          <w:rFonts w:eastAsia="Times New Roman" w:cs="DecoType Naskh" w:hint="cs"/>
          <w:color w:val="auto"/>
          <w:kern w:val="0"/>
          <w:szCs w:val="26"/>
          <w:rtl/>
          <w:lang w:bidi="ar-JO"/>
          <w14:ligatures w14:val="none"/>
        </w:rPr>
        <w:t xml:space="preserve">العبرانيين- إلى أمة تحقيق الوعد </w:t>
      </w:r>
      <w:r w:rsidRPr="00B35650">
        <w:rPr>
          <w:rFonts w:eastAsia="Times New Roman" w:cs="DecoType Naskh"/>
          <w:color w:val="auto"/>
          <w:kern w:val="0"/>
          <w:szCs w:val="26"/>
          <w:rtl/>
          <w:lang w:bidi="ar-JO"/>
          <w14:ligatures w14:val="none"/>
        </w:rPr>
        <w:t>–</w:t>
      </w:r>
      <w:r w:rsidRPr="00B35650">
        <w:rPr>
          <w:rFonts w:eastAsia="Times New Roman" w:cs="DecoType Naskh" w:hint="cs"/>
          <w:color w:val="auto"/>
          <w:kern w:val="0"/>
          <w:szCs w:val="26"/>
          <w:rtl/>
          <w:lang w:bidi="ar-JO"/>
          <w14:ligatures w14:val="none"/>
        </w:rPr>
        <w:t>إسرائيل.</w:t>
      </w:r>
      <w:r w:rsidRPr="00B35650">
        <w:rPr>
          <w:rFonts w:eastAsia="Times New Roman" w:cs="DecoType Naskh"/>
          <w:color w:val="auto"/>
          <w:kern w:val="0"/>
          <w:sz w:val="30"/>
          <w:szCs w:val="28"/>
          <w:vertAlign w:val="superscript"/>
          <w:rtl/>
          <w:lang w:bidi="ar-JO"/>
          <w14:ligatures w14:val="none"/>
        </w:rPr>
        <w:footnoteReference w:customMarkFollows="1" w:id="48"/>
        <w:t>1</w:t>
      </w:r>
    </w:p>
    <w:p w14:paraId="2C64C391"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30AF4FF1"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 xml:space="preserve">لا يمكن للمرء أن يفهم الخروج دون أن يفهم سفر التكوين.  فالخروج خطوة إلى الأمام في تنفيذ الوعود الإلهية لإبراهيم.  وخطة الله هي أن يجلب البركة إلى العالم من خلال ذرية إبراهيم، ويتضمن هذا تشكيل أمة ترتبط </w:t>
      </w:r>
      <w:r w:rsidRPr="00B35650">
        <w:rPr>
          <w:rFonts w:eastAsia="Times New Roman" w:cs="DecoType Naskh" w:hint="cs"/>
          <w:color w:val="auto"/>
          <w:kern w:val="0"/>
          <w:szCs w:val="26"/>
          <w:rtl/>
          <w:lang w:bidi="ar-JO"/>
          <w14:ligatures w14:val="none"/>
        </w:rPr>
        <w:lastRenderedPageBreak/>
        <w:t>بيهوه بشكل فريد.  ويتضمن برنامج بناء الأمة ما يلي:          (1) شعباً و(2) دستوراً و(3) أرضاً.  وقد وصل سفر التكوين ذروته بإحضار عائلة يعقوب (وريث البركة الإبراهيمية) إلى مصر لكي تُحفظ وتتطور.  وقبل موت يوسف في مصر عبّر عن توقُّعه أن يحقق الله وعوده لإبراهيم.  ونتيجة لذلك يتناول سفر الخروج موضوع العهد الإبراهيمي هذا وتطوّر القصة المثيرة بتفصيلِ علاقة العهد القومي القائم بين يهوه وإسرائيل.  وباختصار، يركّز سفر الخروج على تشكيل إسرائيل كأمة تحت حكم يهوه.</w:t>
      </w:r>
    </w:p>
    <w:p w14:paraId="509AA837"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83433C0"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 xml:space="preserve">يتألف سفر الخروج من أربعة تقسيمات رئيسية (انظر </w:t>
      </w:r>
      <w:r w:rsidRPr="00B35650">
        <w:rPr>
          <w:rFonts w:eastAsia="Times New Roman" w:cs="DecoType Naskh" w:hint="cs"/>
          <w:i/>
          <w:iCs/>
          <w:color w:val="auto"/>
          <w:kern w:val="0"/>
          <w:szCs w:val="26"/>
          <w:rtl/>
          <w:lang w:bidi="ar-JO"/>
          <w14:ligatures w14:val="none"/>
        </w:rPr>
        <w:t>الملحق 8-1</w:t>
      </w:r>
      <w:r w:rsidRPr="00B35650">
        <w:rPr>
          <w:rFonts w:eastAsia="Times New Roman" w:cs="DecoType Naskh" w:hint="cs"/>
          <w:color w:val="auto"/>
          <w:kern w:val="0"/>
          <w:szCs w:val="26"/>
          <w:rtl/>
          <w:lang w:bidi="ar-JO"/>
          <w14:ligatures w14:val="none"/>
        </w:rPr>
        <w:t>):</w:t>
      </w:r>
    </w:p>
    <w:p w14:paraId="65B22A8F"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F1799AB" w14:textId="792F6381" w:rsidR="00B35650" w:rsidRPr="00B35650" w:rsidRDefault="009D4EAB"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center"/>
        <w:rPr>
          <w:rFonts w:eastAsia="Times New Roman" w:cs="DecoType Naskh"/>
          <w:color w:val="auto"/>
          <w:kern w:val="0"/>
          <w:szCs w:val="26"/>
          <w:rtl/>
          <w14:ligatures w14:val="none"/>
        </w:rPr>
      </w:pPr>
      <w:r w:rsidRPr="009D4EAB">
        <w:rPr>
          <w:rFonts w:eastAsia="Times New Roman" w:cs="DecoType Naskh"/>
          <w:noProof/>
          <w:color w:val="auto"/>
          <w:kern w:val="0"/>
          <w:szCs w:val="26"/>
          <w:rtl/>
          <w14:ligatures w14:val="none"/>
        </w:rPr>
        <w:drawing>
          <wp:inline distT="0" distB="0" distL="0" distR="0" wp14:anchorId="2A09568F" wp14:editId="03DAF0C6">
            <wp:extent cx="5547358" cy="1386840"/>
            <wp:effectExtent l="0" t="0" r="0" b="0"/>
            <wp:docPr id="1622575985" name="Picture 1" descr="A diagram of a math equ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575985" name="Picture 1" descr="A diagram of a math equation&#10;&#10;Description automatically generated with medium confidence"/>
                    <pic:cNvPicPr/>
                  </pic:nvPicPr>
                  <pic:blipFill>
                    <a:blip r:embed="rId40"/>
                    <a:stretch>
                      <a:fillRect/>
                    </a:stretch>
                  </pic:blipFill>
                  <pic:spPr>
                    <a:xfrm>
                      <a:off x="0" y="0"/>
                      <a:ext cx="5552293" cy="1388074"/>
                    </a:xfrm>
                    <a:prstGeom prst="rect">
                      <a:avLst/>
                    </a:prstGeom>
                  </pic:spPr>
                </pic:pic>
              </a:graphicData>
            </a:graphic>
          </wp:inline>
        </w:drawing>
      </w:r>
    </w:p>
    <w:p w14:paraId="476F40A3" w14:textId="77777777" w:rsidR="00B35650" w:rsidRPr="00B35650" w:rsidRDefault="00B35650" w:rsidP="002D6C54">
      <w:pPr>
        <w:bidi/>
        <w:spacing w:after="0" w:line="240" w:lineRule="auto"/>
        <w:rPr>
          <w:rFonts w:eastAsia="Times New Roman" w:cs="DecoType Naskh"/>
          <w:color w:val="auto"/>
          <w:kern w:val="0"/>
          <w:szCs w:val="18"/>
          <w:rtl/>
          <w14:ligatures w14:val="none"/>
        </w:rPr>
      </w:pPr>
    </w:p>
    <w:p w14:paraId="120F8F73"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 xml:space="preserve">لتشكيل أمّة من إسرائيل، يجب أن يحرَّروا أولاً من عبودية مصر وسيادتها.  ومن هنا يعلن يهوه نفسه من خلال عرض أعمال قوة ودينونة لقوى الشر (مثلاً، 9: 16).  وبتحرير يهوه لشعبه من الظلم الشرير، فإنه يعلن نفسه كإله الخلاص </w:t>
      </w:r>
      <w:r w:rsidRPr="00B35650">
        <w:rPr>
          <w:rFonts w:eastAsia="Times New Roman" w:cs="DecoType Naskh"/>
          <w:color w:val="auto"/>
          <w:kern w:val="0"/>
          <w:szCs w:val="26"/>
          <w:rtl/>
          <w:lang w:bidi="ar-JO"/>
          <w14:ligatures w14:val="none"/>
        </w:rPr>
        <w:t>–</w:t>
      </w:r>
      <w:r w:rsidRPr="00B35650">
        <w:rPr>
          <w:rFonts w:eastAsia="Times New Roman" w:cs="DecoType Naskh" w:hint="cs"/>
          <w:color w:val="auto"/>
          <w:kern w:val="0"/>
          <w:szCs w:val="26"/>
          <w:rtl/>
          <w:lang w:bidi="ar-JO"/>
          <w14:ligatures w14:val="none"/>
        </w:rPr>
        <w:t xml:space="preserve"> الإنقاذ.  وعندما فداهم يهوه، أتى بهم إلى سيناء لكي يدخلوا في دستور مع يهوه، (يأخذ هذا الدستور شكل معاهدات الشرق الأدنى المألوفة بين دولة متسلطة تفرض سلطانها في حقل الشؤون الخارجية على دولة تابعة، تاركة لها حرية التصرف في الشؤون الداخلية).  وهنا صار الشعبُ أمّةً (دولةً) باتفاقية عهد بين الدولة التابعة، إسرائيل، وبين الدولة المتسلطة، يهوه (تأسيس حكم ثيوقراطي).  ويختتم السفر ببناء خيمة الاجتماع (الإصحاح 25-40) لكي يسكن يهوه في وسطهم، أي لكي يتوّج ملكاً في وسط الأمة.  وفي ما يلي </w:t>
      </w:r>
      <w:r w:rsidRPr="00B35650">
        <w:rPr>
          <w:rFonts w:eastAsia="Times New Roman" w:cs="DecoType Naskh" w:hint="cs"/>
          <w:i/>
          <w:iCs/>
          <w:color w:val="auto"/>
          <w:kern w:val="0"/>
          <w:szCs w:val="26"/>
          <w:rtl/>
          <w:lang w:bidi="ar-JO"/>
          <w14:ligatures w14:val="none"/>
        </w:rPr>
        <w:t xml:space="preserve">جملة تلخيصية </w:t>
      </w:r>
      <w:r w:rsidRPr="00B35650">
        <w:rPr>
          <w:rFonts w:eastAsia="Times New Roman" w:cs="DecoType Naskh" w:hint="cs"/>
          <w:color w:val="auto"/>
          <w:kern w:val="0"/>
          <w:szCs w:val="26"/>
          <w:rtl/>
          <w:lang w:bidi="ar-JO"/>
          <w14:ligatures w14:val="none"/>
        </w:rPr>
        <w:t>لسفر الخروج:</w:t>
      </w:r>
    </w:p>
    <w:p w14:paraId="79FEE745"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يقوم يهوه في أمانته للعهد الإبراهيمي بتحرير شعبه المختار من مصر لكي يجعل منهم شعباً عابداً تحت حكمه الملكي استعداداً لنوال أرض الموعد.</w:t>
      </w:r>
    </w:p>
    <w:p w14:paraId="42FB409F"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 xml:space="preserve">يتعلق القسم الرئيسي الأول (الأصحاحات 1-11) بالعبودية في مصر، موثِّقاً ما حُرِّرت إسرائيل منه.  ويركز الأصحاح الأول على حالة الظلم التي عاشتها إسرائيل، وتفصّل الأصحاحات 2-4 كيف يقيم الله موسى ليحرر العبرانيين.  وتتحدث الأصحاحات 5-11 عن ترسيخ الله سيادته على مصر كتمهيد لتحرير إسرائيل.  </w:t>
      </w:r>
    </w:p>
    <w:p w14:paraId="3BEAE5A9"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D794C54" w14:textId="77777777" w:rsidR="00B35650" w:rsidRPr="00B35650" w:rsidRDefault="00B35650"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B35650">
        <w:rPr>
          <w:rFonts w:eastAsia="Times New Roman" w:cs="DecoType Naskh" w:hint="cs"/>
          <w:bCs/>
          <w:color w:val="auto"/>
          <w:kern w:val="0"/>
          <w:szCs w:val="28"/>
          <w:rtl/>
          <w:lang w:bidi="ar-JO"/>
          <w14:ligatures w14:val="none"/>
        </w:rPr>
        <w:t>2.</w:t>
      </w:r>
      <w:r w:rsidRPr="00B35650">
        <w:rPr>
          <w:rFonts w:eastAsia="Times New Roman" w:cs="DecoType Naskh" w:hint="cs"/>
          <w:bCs/>
          <w:color w:val="auto"/>
          <w:kern w:val="0"/>
          <w:szCs w:val="28"/>
          <w:rtl/>
          <w:lang w:bidi="ar-JO"/>
          <w14:ligatures w14:val="none"/>
        </w:rPr>
        <w:tab/>
        <w:t>اضطهاد العبرانيين (1: 1-22)</w:t>
      </w:r>
    </w:p>
    <w:p w14:paraId="7171F460"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بعد ختام سفر التكوين بقي بنو إسرائيل في مصر مدة 400 سنة.  وعلى الرغم من أنهم كانوا يلقون معاملة طيبة أثناء حياة يوسف، إلا أنهم استُعبدوا في نهاية الأمر.  لكن حتى في ذلك الحين، كانت مقاصد الله تتحقق في أنهم كانوا يتكاثرون حتى أصبحوا شعباً كثير العدد.  وهذا هو ما ينبّر عليه الأصحاح الأول في الآيات 7 و12 و20.  يقول كاسوتو:  "يعاد التوكيد على الفكرة الرئيسية في نهاية كل فقرة، وهي أنه رغم جهود كل أعداء إسرائيل، فإن البركة التي يمنحها لهم الله العلي تتحقق فيهم بشكل يؤكدها وتجعلهم ينمون بشكل متزايد عدداً وقوة."</w:t>
      </w:r>
      <w:r w:rsidRPr="00B35650">
        <w:rPr>
          <w:rFonts w:eastAsia="Times New Roman" w:cs="DecoType Naskh"/>
          <w:color w:val="auto"/>
          <w:kern w:val="0"/>
          <w:sz w:val="30"/>
          <w:szCs w:val="28"/>
          <w:vertAlign w:val="superscript"/>
          <w:rtl/>
          <w:lang w:bidi="ar-JO"/>
          <w14:ligatures w14:val="none"/>
        </w:rPr>
        <w:footnoteReference w:customMarkFollows="1" w:id="49"/>
        <w:t>2</w:t>
      </w:r>
      <w:r w:rsidRPr="00B35650">
        <w:rPr>
          <w:rFonts w:eastAsia="Times New Roman" w:cs="DecoType Naskh" w:hint="cs"/>
          <w:color w:val="auto"/>
          <w:kern w:val="0"/>
          <w:szCs w:val="26"/>
          <w:rtl/>
          <w:lang w:bidi="ar-JO"/>
          <w14:ligatures w14:val="none"/>
        </w:rPr>
        <w:t xml:space="preserve">  وعلى الرغم من أنهم استعبدوا إلاّ أنهم ظلّوا متميزين وتكاثروا جداً.  وصاروا الآن جاهزين لأن يشكّلوا أمّة!</w:t>
      </w:r>
    </w:p>
    <w:p w14:paraId="3BB8FA1E"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2601276" w14:textId="389D3189"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lastRenderedPageBreak/>
        <w:t>ينصب كل المشهد في الأصحاحات 1-11 على مسألة العهد الإبراهيمي (لاحظ على وجه الخصوص 2: 24-25).  ويُعِد</w:t>
      </w:r>
      <w:r w:rsidR="001E0CC1">
        <w:rPr>
          <w:rFonts w:eastAsia="Times New Roman" w:cs="DecoType Naskh" w:hint="cs"/>
          <w:color w:val="auto"/>
          <w:kern w:val="0"/>
          <w:szCs w:val="26"/>
          <w:rtl/>
          <w:lang w:bidi="ar-JO"/>
          <w14:ligatures w14:val="none"/>
        </w:rPr>
        <w:t>ّ</w:t>
      </w:r>
      <w:r w:rsidRPr="00B35650">
        <w:rPr>
          <w:rFonts w:eastAsia="Times New Roman" w:cs="DecoType Naskh" w:hint="cs"/>
          <w:color w:val="auto"/>
          <w:kern w:val="0"/>
          <w:szCs w:val="26"/>
          <w:rtl/>
          <w:lang w:bidi="ar-JO"/>
          <w14:ligatures w14:val="none"/>
        </w:rPr>
        <w:t xml:space="preserve"> الأصحاح الأول المسرح الذي سيُكرم منه الله العهد الإبراهيمي (بالإضافة إلى تحقيق تكوين 15: 13-15).</w:t>
      </w:r>
    </w:p>
    <w:p w14:paraId="7AB1103B" w14:textId="77777777" w:rsid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lang w:bidi="ar-JO"/>
          <w14:ligatures w14:val="none"/>
        </w:rPr>
      </w:pPr>
      <w:r w:rsidRPr="00B35650">
        <w:rPr>
          <w:rFonts w:eastAsia="Times New Roman" w:cs="DecoType Naskh" w:hint="cs"/>
          <w:color w:val="auto"/>
          <w:kern w:val="0"/>
          <w:szCs w:val="26"/>
          <w:rtl/>
          <w:lang w:bidi="ar-JO"/>
          <w14:ligatures w14:val="none"/>
        </w:rPr>
        <w:t>ويجب أن نلحظ أيضاً التنبير في الفصل الأول على "العمل الشاق" الذي فُرض على بني إسرائيل و"الصرامة الشديدة" التي كانوا يُعامَلون بها (1: 13-14).  وفكرة العبودية مهيمنة على هذا الجزء.  وهذا أمر جدير بالملاحظة لأن سفر الخروج يصوغ عدّة أفكار كتابية رئيسية (خاصة العبودية للخطية، والفداء، والعهد).</w:t>
      </w:r>
    </w:p>
    <w:p w14:paraId="7CE82381" w14:textId="77777777" w:rsidR="009D4EAB" w:rsidRPr="00B35650" w:rsidRDefault="009D4EAB"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5C89FB1" w14:textId="77777777" w:rsidR="00B35650" w:rsidRPr="00B35650" w:rsidRDefault="00B35650"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B35650">
        <w:rPr>
          <w:rFonts w:eastAsia="Times New Roman" w:cs="DecoType Naskh" w:hint="cs"/>
          <w:bCs/>
          <w:color w:val="auto"/>
          <w:kern w:val="0"/>
          <w:szCs w:val="28"/>
          <w:rtl/>
          <w:lang w:bidi="ar-JO"/>
          <w14:ligatures w14:val="none"/>
        </w:rPr>
        <w:t>3.</w:t>
      </w:r>
      <w:r w:rsidRPr="00B35650">
        <w:rPr>
          <w:rFonts w:eastAsia="Times New Roman" w:cs="DecoType Naskh" w:hint="cs"/>
          <w:bCs/>
          <w:color w:val="auto"/>
          <w:kern w:val="0"/>
          <w:szCs w:val="28"/>
          <w:rtl/>
          <w:lang w:bidi="ar-JO"/>
          <w14:ligatures w14:val="none"/>
        </w:rPr>
        <w:tab/>
        <w:t>إقامة الله لموسى المنقذ (2: 1-4: 31)</w:t>
      </w:r>
    </w:p>
    <w:p w14:paraId="2CA337AC"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تتطلب المرحلة التالية في إخراج الشعب من العبودية إقامة منقذ، أي موسى [حوالي 1526-1406ق م].</w:t>
      </w:r>
    </w:p>
    <w:p w14:paraId="0C9B8A65"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4618EE0D" w14:textId="77777777" w:rsidR="00B35650" w:rsidRPr="00B35650" w:rsidRDefault="00B35650"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B35650">
        <w:rPr>
          <w:rFonts w:eastAsia="Times New Roman" w:cs="DecoType Naskh" w:hint="cs"/>
          <w:bCs/>
          <w:color w:val="auto"/>
          <w:kern w:val="0"/>
          <w:szCs w:val="26"/>
          <w:rtl/>
          <w14:ligatures w14:val="none"/>
        </w:rPr>
        <w:t>أ.</w:t>
      </w:r>
      <w:r w:rsidRPr="00B35650">
        <w:rPr>
          <w:rFonts w:eastAsia="Times New Roman" w:cs="DecoType Naskh" w:hint="cs"/>
          <w:bCs/>
          <w:color w:val="auto"/>
          <w:kern w:val="0"/>
          <w:szCs w:val="26"/>
          <w:rtl/>
          <w14:ligatures w14:val="none"/>
        </w:rPr>
        <w:tab/>
        <w:t>خلفية موسى (2: 1- 22)</w:t>
      </w:r>
    </w:p>
    <w:p w14:paraId="45714CC0"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تدرّب موسى 80 سنة وخدم مدة 40 (أعمال 7: 23؛ خروج 7: 7).  وقد تضمن تدريبه قضاء 40 سنة في بلاط فرعون:  "</w:t>
      </w:r>
      <w:r w:rsidRPr="00B35650">
        <w:rPr>
          <w:rFonts w:eastAsia="Times New Roman" w:cs="DecoType Naskh" w:hint="cs"/>
          <w:i/>
          <w:iCs/>
          <w:color w:val="auto"/>
          <w:kern w:val="0"/>
          <w:szCs w:val="26"/>
          <w:rtl/>
          <w:lang w:bidi="ar-JO"/>
          <w14:ligatures w14:val="none"/>
        </w:rPr>
        <w:t>فتهذب موسى بكل حكمة المصريين</w:t>
      </w:r>
      <w:r w:rsidRPr="00B35650">
        <w:rPr>
          <w:rFonts w:eastAsia="Times New Roman" w:cs="DecoType Naskh" w:hint="cs"/>
          <w:color w:val="auto"/>
          <w:kern w:val="0"/>
          <w:szCs w:val="26"/>
          <w:rtl/>
          <w:lang w:bidi="ar-JO"/>
          <w14:ligatures w14:val="none"/>
        </w:rPr>
        <w:t>"  (أعمال 7: 22).  وفي نهاية الأمر اضطر إلى مواجهة خيار هويته.  نقرأ في 2: 10 أنه "</w:t>
      </w:r>
      <w:r w:rsidRPr="00B35650">
        <w:rPr>
          <w:rFonts w:eastAsia="Times New Roman" w:cs="DecoType Naskh" w:hint="cs"/>
          <w:i/>
          <w:iCs/>
          <w:color w:val="auto"/>
          <w:kern w:val="0"/>
          <w:szCs w:val="26"/>
          <w:rtl/>
          <w:lang w:bidi="ar-JO"/>
          <w14:ligatures w14:val="none"/>
        </w:rPr>
        <w:t>صار لها ابناً</w:t>
      </w:r>
      <w:r w:rsidRPr="00B35650">
        <w:rPr>
          <w:rFonts w:eastAsia="Times New Roman" w:cs="DecoType Naskh" w:hint="cs"/>
          <w:color w:val="auto"/>
          <w:kern w:val="0"/>
          <w:szCs w:val="26"/>
          <w:rtl/>
          <w:lang w:bidi="ar-JO"/>
          <w14:ligatures w14:val="none"/>
        </w:rPr>
        <w:t>"، أي أن ابنة فرعون كانت مستعدة أن تعطي موسى كل حقوق الميراث وامتيازاته.  ولا بد أن تعيينه وريثاً عنى مسؤوليات معينة في البلاط الملكي، التي كان يمكن بدورها أن تجرّه إلى ممارسات دنيوية ودينية كثيرة آثمة.  كان أمام موسى الخيار بين أن يكون إدارياً دنيوياً وبين أن يكون إدارياً ثيوقراطياً.  فرفض موسى الخيار الأول كما توضح عبرانيين 11: 24-25: "</w:t>
      </w:r>
      <w:r w:rsidRPr="00B35650">
        <w:rPr>
          <w:rFonts w:eastAsia="Times New Roman" w:cs="DecoType Naskh" w:hint="cs"/>
          <w:i/>
          <w:iCs/>
          <w:color w:val="auto"/>
          <w:kern w:val="0"/>
          <w:szCs w:val="26"/>
          <w:rtl/>
          <w:lang w:bidi="ar-JO"/>
          <w14:ligatures w14:val="none"/>
        </w:rPr>
        <w:t>بالإيمان موسى لما كبر أبى أن يدعى ابن ابنة فرعون، مفضلاً بالأحرى أن يذل مع شعب الله على أن يكون له تمتع وقتي بالخَطيّة</w:t>
      </w:r>
      <w:r w:rsidRPr="00B35650">
        <w:rPr>
          <w:rFonts w:eastAsia="Times New Roman" w:cs="DecoType Naskh" w:hint="cs"/>
          <w:color w:val="auto"/>
          <w:kern w:val="0"/>
          <w:szCs w:val="26"/>
          <w:rtl/>
          <w:lang w:bidi="ar-JO"/>
          <w14:ligatures w14:val="none"/>
        </w:rPr>
        <w:t>."</w:t>
      </w:r>
    </w:p>
    <w:p w14:paraId="269A4E66"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08BE6112"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توجد بعض التشابهات المثيرة للاهتمام بين المخلّص موسى وبين "موسى الجديد."  فالله في سيادته يحفظ كليهما من ملك شرير يحاول أن يقتلهما (وبنفس الأسلوب في محاولة قتل كل الذكور الرُّضع).  ومن نسب عادي متواضع، يقيم الله فادياً مخلِّصاً! وكان لا بد أن يُخفى كلاهما؛ إذ قامت أم موسى بإخفائه في مصر، وقام أبوا يسوع الأرضيان بإخفائه في مصر.</w:t>
      </w:r>
    </w:p>
    <w:p w14:paraId="0A9EA3FE"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 xml:space="preserve">وحين رُزِق موسى بابن من صفّورة أسماه جرشوم (وهو يعني "غريب هناك"، </w:t>
      </w:r>
      <w:r w:rsidRPr="00B35650">
        <w:rPr>
          <w:rFonts w:eastAsia="Times New Roman" w:cs="DecoType Naskh" w:hint="cs"/>
          <w:i/>
          <w:iCs/>
          <w:color w:val="auto"/>
          <w:kern w:val="0"/>
          <w:szCs w:val="26"/>
          <w:rtl/>
          <w:lang w:bidi="ar-JO"/>
          <w14:ligatures w14:val="none"/>
        </w:rPr>
        <w:t>قائلاً "كنت نزيلاً في أرضٍ غريبة."</w:t>
      </w:r>
      <w:r w:rsidRPr="00B35650">
        <w:rPr>
          <w:rFonts w:eastAsia="Times New Roman" w:cs="DecoType Naskh" w:hint="cs"/>
          <w:color w:val="auto"/>
          <w:kern w:val="0"/>
          <w:szCs w:val="26"/>
          <w:rtl/>
          <w:lang w:bidi="ar-JO"/>
          <w14:ligatures w14:val="none"/>
        </w:rPr>
        <w:t xml:space="preserve"> يدرك موسى حقّه في الأرض التي وُعِد بها إبراهيم وأن هناك ضرورة لتحقيق العهد.  ومع تسمية ابنه، صار مستعداً لدعوة الله له.</w:t>
      </w:r>
    </w:p>
    <w:p w14:paraId="03060073"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84BDF99" w14:textId="77777777" w:rsidR="00B35650" w:rsidRPr="00B35650" w:rsidRDefault="00B35650"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B35650">
        <w:rPr>
          <w:rFonts w:eastAsia="Times New Roman" w:cs="DecoType Naskh" w:hint="cs"/>
          <w:bCs/>
          <w:color w:val="auto"/>
          <w:kern w:val="0"/>
          <w:szCs w:val="26"/>
          <w:rtl/>
          <w14:ligatures w14:val="none"/>
        </w:rPr>
        <w:t>ب.</w:t>
      </w:r>
      <w:r w:rsidRPr="00B35650">
        <w:rPr>
          <w:rFonts w:eastAsia="Times New Roman" w:cs="DecoType Naskh" w:hint="cs"/>
          <w:bCs/>
          <w:color w:val="auto"/>
          <w:kern w:val="0"/>
          <w:szCs w:val="26"/>
          <w:rtl/>
          <w14:ligatures w14:val="none"/>
        </w:rPr>
        <w:tab/>
        <w:t>دعوة موسى (2: 32-4: 17)</w:t>
      </w:r>
    </w:p>
    <w:p w14:paraId="31CD9D51"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لا توجد علاقة كبيرة بين ذكر موت الملك في 2: 23 وبين العبودية وصراخ بني إسرائيل، لكن هذه الآية توضح أنه بموت الملك الذي كان يسعى إلى قتل موسى، لم يعد هناك ما يمنع موسى من العودة إلى مصر.</w:t>
      </w:r>
    </w:p>
    <w:p w14:paraId="381907C4"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B35650">
        <w:rPr>
          <w:rFonts w:eastAsia="Times New Roman" w:cs="DecoType Naskh" w:hint="cs"/>
          <w:color w:val="auto"/>
          <w:kern w:val="0"/>
          <w:szCs w:val="26"/>
          <w:rtl/>
          <w:lang w:bidi="ar-JO"/>
          <w14:ligatures w14:val="none"/>
        </w:rPr>
        <w:t>مع إدراك موسى أن المكان الصحيح لبني إسرائيل هو أرض الموعد، كان الله مستعداً أن يحقق وعد العهد (2: 23-25).  فالله لم ينس بني إسرائيل في مصر! فهم الشعب الذي ينوي أن ينفّذ من خلالهم برنامجه الإلهي.  وعلى الرغم من مرور مئات السنوات على هذا الشعب في أرض مصر، إلاّ أن هذا لم يبطل العهد.  لكن هذه الفترة المتوسطة قدّمت إسهاماً في البرنامج الإلهي</w:t>
      </w:r>
      <w:r w:rsidRPr="00B35650">
        <w:rPr>
          <w:rFonts w:eastAsia="Times New Roman" w:cs="DecoType Naskh" w:hint="cs"/>
          <w:color w:val="auto"/>
          <w:kern w:val="0"/>
          <w:szCs w:val="26"/>
          <w:rtl/>
          <w14:ligatures w14:val="none"/>
        </w:rPr>
        <w:t>.</w:t>
      </w:r>
    </w:p>
    <w:p w14:paraId="334BADCA"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لا شك أن الكلمات الافتتاحية للأصحاح الثالث ذات معنى: "وأمّا موسى فكان يرعى الغنم..."  ربما لم يدرك مدى أهمية هذه المهمة العادية لدوره مستقبلاً كراعٍ لشعب الله.</w:t>
      </w:r>
    </w:p>
    <w:p w14:paraId="7956F213"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 xml:space="preserve">عندما يظهر الله لموسى في العلّيقة المشتعلة، فإنه يعرّف نفسه على أساس الوعد الإبراهيمي معبّراً عن رغبته في إعطاء الأرض لشعبه.  وبظهور العلّيقة المشتعلة، كان الله يقدّم إعلاناً عن </w:t>
      </w:r>
      <w:r w:rsidRPr="00B35650">
        <w:rPr>
          <w:rFonts w:eastAsia="Times New Roman" w:cs="DecoType Naskh" w:hint="cs"/>
          <w:i/>
          <w:iCs/>
          <w:color w:val="auto"/>
          <w:kern w:val="0"/>
          <w:szCs w:val="26"/>
          <w:rtl/>
          <w:lang w:bidi="ar-JO"/>
          <w14:ligatures w14:val="none"/>
        </w:rPr>
        <w:t>الشكينة</w:t>
      </w:r>
      <w:r w:rsidRPr="00B35650">
        <w:rPr>
          <w:rFonts w:eastAsia="Times New Roman" w:cs="DecoType Naskh" w:hint="cs"/>
          <w:color w:val="auto"/>
          <w:kern w:val="0"/>
          <w:szCs w:val="26"/>
          <w:rtl/>
          <w:lang w:bidi="ar-JO"/>
          <w14:ligatures w14:val="none"/>
        </w:rPr>
        <w:t xml:space="preserve"> (وهي كلمة تصف الحضور الإلهي في العالم).  كان قصد هذا هو أن يشير إلى أي إله هو (3: 5-"</w:t>
      </w:r>
      <w:r w:rsidRPr="00B35650">
        <w:rPr>
          <w:rFonts w:eastAsia="Times New Roman" w:cs="DecoType Naskh" w:hint="cs"/>
          <w:i/>
          <w:iCs/>
          <w:color w:val="auto"/>
          <w:kern w:val="0"/>
          <w:szCs w:val="26"/>
          <w:rtl/>
          <w:lang w:bidi="ar-JO"/>
          <w14:ligatures w14:val="none"/>
        </w:rPr>
        <w:t>لا تقترب إلى ههنا</w:t>
      </w:r>
      <w:r w:rsidRPr="00B35650">
        <w:rPr>
          <w:rFonts w:eastAsia="Times New Roman" w:cs="DecoType Naskh" w:hint="cs"/>
          <w:color w:val="auto"/>
          <w:kern w:val="0"/>
          <w:szCs w:val="26"/>
          <w:rtl/>
          <w:lang w:bidi="ar-JO"/>
          <w14:ligatures w14:val="none"/>
        </w:rPr>
        <w:t>.) ... إنه إله مجد.  كانت العلّيقة مجرّد مسكن مؤقت كما ستكون خيمة الاجتماع فيما بعد، لكن لم يستطع موسى أن يقترب لأن الله لم يكن قد قدّم بع</w:t>
      </w:r>
      <w:r w:rsidRPr="00B35650">
        <w:rPr>
          <w:rFonts w:eastAsia="Times New Roman" w:cs="DecoType Naskh" w:hint="cs"/>
          <w:color w:val="auto"/>
          <w:kern w:val="0"/>
          <w:szCs w:val="26"/>
          <w:rtl/>
          <w14:ligatures w14:val="none"/>
        </w:rPr>
        <w:t>د</w:t>
      </w:r>
      <w:r w:rsidRPr="00B35650">
        <w:rPr>
          <w:rFonts w:eastAsia="Times New Roman" w:cs="DecoType Naskh" w:hint="cs"/>
          <w:color w:val="auto"/>
          <w:kern w:val="0"/>
          <w:szCs w:val="26"/>
          <w:rtl/>
          <w:lang w:bidi="ar-JO"/>
          <w14:ligatures w14:val="none"/>
        </w:rPr>
        <w:t xml:space="preserve"> طريقة الوصول إليه.  وتشكل بقية سفر الخروج والعدد ويشوع تطبيق ما وعد به الله في 3: 8.</w:t>
      </w:r>
    </w:p>
    <w:p w14:paraId="1791BEFD"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lastRenderedPageBreak/>
        <w:t>ويتضح من الآية السادسة الغرض من الإعلان عن طريق العلّيقة المشتعلة، إذ نرى أن هذه هي طريقة الله في أن يُفهم شعبه أنه يعلم أحوالهم ويهتم بهم، وأنه مستمرٌ في تذكُّر العهد (2: 24-25).</w:t>
      </w:r>
    </w:p>
    <w:p w14:paraId="4D589B98"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u w:val="single"/>
          <w:rtl/>
          <w:lang w:bidi="ar-JO"/>
          <w14:ligatures w14:val="none"/>
        </w:rPr>
      </w:pPr>
    </w:p>
    <w:p w14:paraId="5B55EC16" w14:textId="77777777" w:rsidR="00B35650" w:rsidRPr="00B35650" w:rsidRDefault="00B35650"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B35650">
        <w:rPr>
          <w:rFonts w:eastAsia="Times New Roman" w:cs="DecoType Naskh" w:hint="cs"/>
          <w:bCs/>
          <w:color w:val="auto"/>
          <w:kern w:val="0"/>
          <w:szCs w:val="28"/>
          <w:rtl/>
          <w:lang w:bidi="ar-JO"/>
          <w14:ligatures w14:val="none"/>
        </w:rPr>
        <w:t xml:space="preserve">الاسم الإلهي: يهوه </w:t>
      </w:r>
    </w:p>
    <w:p w14:paraId="0A4EE7FB"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 xml:space="preserve">لابدّ أن فكرة تحرير بني إسرائيل كانت أخباراً رائعة لموسى، لكنه تلقى على مضض فكرة أن يكون هو المحرّض على التحرير.  وهكذا يعد الله بأن يكون معه، ويعلن له نفسه بصفته "أنا من أنا" أو "أكون من أكون"، وهو أساس اسم يهوه (وكلا التعبيرين مصاغ من الفعل </w:t>
      </w:r>
      <w:proofErr w:type="spellStart"/>
      <w:r w:rsidRPr="00B35650">
        <w:rPr>
          <w:rFonts w:ascii="Hebrew" w:eastAsia="Times New Roman" w:hAnsi="Hebrew" w:cs="Hebrew"/>
          <w:color w:val="auto"/>
          <w:kern w:val="0"/>
          <w14:ligatures w14:val="none"/>
        </w:rPr>
        <w:t>hy`h</w:t>
      </w:r>
      <w:proofErr w:type="spellEnd"/>
      <w:r w:rsidRPr="00B35650">
        <w:rPr>
          <w:rFonts w:ascii="Hebrew" w:eastAsia="Times New Roman" w:hAnsi="Hebrew" w:cs="Hebrew"/>
          <w:color w:val="auto"/>
          <w:kern w:val="0"/>
          <w14:ligatures w14:val="none"/>
        </w:rPr>
        <w:t>*</w:t>
      </w:r>
      <w:r w:rsidRPr="00B35650">
        <w:rPr>
          <w:rFonts w:eastAsia="Times New Roman" w:cs="DecoType Naskh"/>
          <w:color w:val="auto"/>
          <w:kern w:val="0"/>
          <w14:ligatures w14:val="none"/>
        </w:rPr>
        <w:t xml:space="preserve"> [</w:t>
      </w:r>
      <w:r w:rsidRPr="00B35650">
        <w:rPr>
          <w:rFonts w:ascii="Hebrewtl" w:eastAsia="Times New Roman" w:hAnsi="Hebrewtl" w:cs="Hebrewtl"/>
          <w:color w:val="auto"/>
          <w:kern w:val="0"/>
          <w14:ligatures w14:val="none"/>
        </w:rPr>
        <w:t>h*y*h</w:t>
      </w:r>
      <w:r w:rsidRPr="00B35650">
        <w:rPr>
          <w:rFonts w:eastAsia="Times New Roman" w:cs="DecoType Naskh"/>
          <w:color w:val="auto"/>
          <w:kern w:val="0"/>
          <w14:ligatures w14:val="none"/>
        </w:rPr>
        <w:t>]</w:t>
      </w:r>
      <w:r w:rsidRPr="00B35650">
        <w:rPr>
          <w:rFonts w:eastAsia="Times New Roman" w:cs="DecoType Naskh" w:hint="cs"/>
          <w:color w:val="auto"/>
          <w:kern w:val="0"/>
          <w:szCs w:val="26"/>
          <w:rtl/>
          <w:lang w:bidi="ar-JO"/>
          <w14:ligatures w14:val="none"/>
        </w:rPr>
        <w:t xml:space="preserve"> (هاياه)، الذي يعني "يكون").</w:t>
      </w:r>
      <w:r w:rsidRPr="00B35650">
        <w:rPr>
          <w:rFonts w:eastAsia="Times New Roman" w:cs="DecoType Naskh"/>
          <w:color w:val="auto"/>
          <w:kern w:val="0"/>
          <w:sz w:val="30"/>
          <w:szCs w:val="28"/>
          <w:vertAlign w:val="superscript"/>
          <w:rtl/>
          <w:lang w:bidi="ar-JO"/>
          <w14:ligatures w14:val="none"/>
        </w:rPr>
        <w:footnoteReference w:customMarkFollows="1" w:id="50"/>
        <w:t>3</w:t>
      </w:r>
      <w:r w:rsidRPr="00B35650">
        <w:rPr>
          <w:rFonts w:eastAsia="Times New Roman" w:cs="DecoType Naskh" w:hint="cs"/>
          <w:color w:val="auto"/>
          <w:kern w:val="0"/>
          <w:szCs w:val="26"/>
          <w:rtl/>
          <w:lang w:bidi="ar-JO"/>
          <w14:ligatures w14:val="none"/>
        </w:rPr>
        <w:t xml:space="preserve"> ويؤكد هذا الاسم على استقلاله السيادي وعلاقته العهدية.  والاسم كشفٌ لطبيعته الأخلاقية.  وبهذه الطبيعة الأخلاقية، سيقوم بالسيطرة على التاريخ بشكل فاعل في انسجام مع عهده مع إبراهيم.</w:t>
      </w:r>
    </w:p>
    <w:p w14:paraId="10262F73"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23F70926"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وهكذا فإن هذا الاسم يرتبط بوعود الله وأمانته.  يقول كاسوتو: "وتوجد أيضاً فكرة متضمنة حول تنفيذ الوعود في هذا التفسير: أنا من أنا على الدوام، باقٍ أبداً على نفس الطبيعة؛ ولهذا فإني مخلص لكلمتي وأحققها...."</w:t>
      </w:r>
      <w:r w:rsidRPr="00B35650">
        <w:rPr>
          <w:rFonts w:eastAsia="Times New Roman" w:cs="DecoType Naskh"/>
          <w:color w:val="auto"/>
          <w:kern w:val="0"/>
          <w:sz w:val="30"/>
          <w:szCs w:val="28"/>
          <w:vertAlign w:val="superscript"/>
          <w:rtl/>
          <w:lang w:bidi="ar-JO"/>
          <w14:ligatures w14:val="none"/>
        </w:rPr>
        <w:footnoteReference w:customMarkFollows="1" w:id="51"/>
        <w:t>4</w:t>
      </w:r>
      <w:r w:rsidRPr="00B35650">
        <w:rPr>
          <w:rFonts w:eastAsia="Times New Roman" w:cs="DecoType Naskh" w:hint="cs"/>
          <w:color w:val="auto"/>
          <w:kern w:val="0"/>
          <w:szCs w:val="26"/>
          <w:rtl/>
          <w:lang w:bidi="ar-JO"/>
          <w14:ligatures w14:val="none"/>
        </w:rPr>
        <w:t xml:space="preserve">  وهكذا يذكرنا اسم الله بأمانته والتزامه غير المتزعزع بوعوده وشعبه وعهوده! هذا هو كل ما سيقوله لشعبه عن نفسه: "أنا كائن" (أنا أكون).  لكن حين يجرؤون على العمل استجابة لأوامره وتعليماته، فإنهم سيجدون فعلاً أنه المعين الوفي الأمين أبداً لكلمته ... الذي يمكن الاعتماد عليه! وإذا كان هنالك قدر من عدم المحدودية في هذا الاسم، فإنه يهدف إلى أن يستحضر في أذهانهم فكرة أنه تماماً كما أعلن عن نفسه في الماضي، خاصةً للآباء.  وهو لا يقول إنه لا يريد أن يُعرف بشكل أكثر حميمية؛ لكنه كشف كل ما أراد أن يكشفه عن نفسه في هذه المرحلة.  ويتفق هذا مع الإعلان التدرّجي... حيث سيُكشف المزيد في الوقت المناسب.  [انظر التعليقات على 6: 3]  </w:t>
      </w:r>
    </w:p>
    <w:p w14:paraId="5726BD63"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مع مفاتحة موسى للعبرانيين بخطة الله المعلنة له، عليه أن يذكّرهم بأن يهوه يتصرف وفق العهد الإبراهيمي (انظر 3: 16).  عليه أن يطلعهم أولاً على واقعة الظهور الإلهي له، ثم على الأخبار السارة: "</w:t>
      </w:r>
      <w:r w:rsidRPr="00B35650">
        <w:rPr>
          <w:rFonts w:eastAsia="Times New Roman" w:cs="DecoType Naskh" w:hint="cs"/>
          <w:i/>
          <w:iCs/>
          <w:color w:val="auto"/>
          <w:kern w:val="0"/>
          <w:szCs w:val="26"/>
          <w:rtl/>
          <w:lang w:bidi="ar-JO"/>
          <w14:ligatures w14:val="none"/>
        </w:rPr>
        <w:t>إني قد افتقدتكم</w:t>
      </w:r>
      <w:r w:rsidRPr="00B35650">
        <w:rPr>
          <w:rFonts w:eastAsia="Times New Roman" w:cs="DecoType Naskh" w:hint="cs"/>
          <w:color w:val="auto"/>
          <w:kern w:val="0"/>
          <w:szCs w:val="26"/>
          <w:rtl/>
          <w:lang w:bidi="ar-JO"/>
          <w14:ligatures w14:val="none"/>
        </w:rPr>
        <w:t>."  "تهدف طريقة صياغة هذه الفقرة إلى أن توقظ في قلوب الشعب المستعبد في مصر حقيقة أن وقت الفداء قد حان."</w:t>
      </w:r>
      <w:r w:rsidRPr="00B35650">
        <w:rPr>
          <w:rFonts w:eastAsia="Times New Roman" w:cs="DecoType Naskh"/>
          <w:color w:val="auto"/>
          <w:kern w:val="0"/>
          <w:sz w:val="30"/>
          <w:szCs w:val="28"/>
          <w:vertAlign w:val="superscript"/>
          <w:rtl/>
          <w:lang w:bidi="ar-JO"/>
          <w14:ligatures w14:val="none"/>
        </w:rPr>
        <w:footnoteReference w:customMarkFollows="1" w:id="52"/>
        <w:t>5</w:t>
      </w:r>
      <w:r w:rsidRPr="00B35650">
        <w:rPr>
          <w:rFonts w:eastAsia="Times New Roman" w:cs="DecoType Naskh" w:hint="cs"/>
          <w:color w:val="auto"/>
          <w:kern w:val="0"/>
          <w:sz w:val="30"/>
          <w:szCs w:val="28"/>
          <w:rtl/>
          <w14:ligatures w14:val="none"/>
        </w:rPr>
        <w:t xml:space="preserve"> </w:t>
      </w:r>
      <w:r w:rsidRPr="00B35650">
        <w:rPr>
          <w:rFonts w:eastAsia="Times New Roman" w:cs="DecoType Naskh" w:hint="cs"/>
          <w:color w:val="auto"/>
          <w:kern w:val="0"/>
          <w:szCs w:val="26"/>
          <w:rtl/>
          <w:lang w:bidi="ar-JO"/>
          <w14:ligatures w14:val="none"/>
        </w:rPr>
        <w:t xml:space="preserve"> في 4: 1-17 يقاوم موسى دعوة الله مقدماً ثلاثة اعتراضات:</w:t>
      </w:r>
    </w:p>
    <w:p w14:paraId="043C5CDB" w14:textId="77777777" w:rsidR="00B35650" w:rsidRPr="00B35650" w:rsidRDefault="00B35650"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14:ligatures w14:val="none"/>
        </w:rPr>
      </w:pPr>
      <w:r w:rsidRPr="00B35650">
        <w:rPr>
          <w:rFonts w:eastAsia="Times New Roman" w:cs="DecoType Naskh" w:hint="cs"/>
          <w:color w:val="auto"/>
          <w:kern w:val="0"/>
          <w:szCs w:val="26"/>
          <w:rtl/>
          <w:lang w:bidi="ar-JO"/>
          <w14:ligatures w14:val="none"/>
        </w:rPr>
        <w:t>1.</w:t>
      </w:r>
      <w:r w:rsidRPr="00B35650">
        <w:rPr>
          <w:rFonts w:eastAsia="Times New Roman" w:cs="DecoType Naskh" w:hint="cs"/>
          <w:color w:val="auto"/>
          <w:kern w:val="0"/>
          <w:szCs w:val="26"/>
          <w:rtl/>
          <w:lang w:bidi="ar-JO"/>
          <w14:ligatures w14:val="none"/>
        </w:rPr>
        <w:tab/>
        <w:t>عدم ثقته من قبول الشعب له (4: 1-9)</w:t>
      </w:r>
    </w:p>
    <w:p w14:paraId="1AC2E187"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كان الجيل الأقدم منه يربطه ببلاط فرعون، أمّا جيل الشباب الذين لم يعرفوه فلن يرضوا بأن يتبعوا راعياً من الصحراء.  وردّاً على ذلك أعطاه الله "آيات إعجازية" (وهذا هو أول عرض للمعجزات في الكتاب المقدس) لكي يصادق على الرسول ورسالته (لاحظ في 4: 29-31 كيف أن الآية أو المعجزة ثانوية بالنسبة للكلمة التي أراده الله أن يوصلها).  عندما تعطى آيات (علامات) في الكتاب المقدس، فإنها تدل عادة على بدء برنامج جديد.  والعصا هنا ذات دلالة لأنها تبين "أن موسى ليس أقل من السحرة المصريين الذين يعرفون كيف يرقون الأفاعي ويجعلونها بلا حراك كالعصا، ثم يأمرونها فيما بعد أن تعود إلى حيويتها العادية فحسب، لكنها تبين أيضاً أنه قادر على فعل العمليات العكسية أيضاً، والتي هي أكثر إدهاشاً."</w:t>
      </w:r>
      <w:r w:rsidRPr="00B35650">
        <w:rPr>
          <w:rFonts w:eastAsia="Times New Roman" w:cs="DecoType Naskh"/>
          <w:color w:val="auto"/>
          <w:kern w:val="0"/>
          <w:sz w:val="30"/>
          <w:szCs w:val="28"/>
          <w:vertAlign w:val="superscript"/>
          <w:rtl/>
          <w:lang w:bidi="ar-JO"/>
          <w14:ligatures w14:val="none"/>
        </w:rPr>
        <w:footnoteReference w:customMarkFollows="1" w:id="53"/>
        <w:t>6</w:t>
      </w:r>
      <w:r w:rsidRPr="00B35650">
        <w:rPr>
          <w:rFonts w:eastAsia="Times New Roman" w:cs="DecoType Naskh" w:hint="cs"/>
          <w:color w:val="auto"/>
          <w:kern w:val="0"/>
          <w:szCs w:val="26"/>
          <w:rtl/>
          <w:lang w:bidi="ar-JO"/>
          <w14:ligatures w14:val="none"/>
        </w:rPr>
        <w:t xml:space="preserve">  وكانت اليد البرصاء ذات دلالة أيضاً:</w:t>
      </w:r>
    </w:p>
    <w:p w14:paraId="4152B2B6"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14:ligatures w14:val="none"/>
        </w:rPr>
      </w:pPr>
      <w:r w:rsidRPr="00B35650">
        <w:rPr>
          <w:rFonts w:eastAsia="Times New Roman" w:cs="DecoType Naskh" w:hint="cs"/>
          <w:color w:val="auto"/>
          <w:kern w:val="0"/>
          <w:szCs w:val="26"/>
          <w:rtl/>
          <w:lang w:bidi="ar-JO"/>
          <w14:ligatures w14:val="none"/>
        </w:rPr>
        <w:t>تنسجم هذه المعجزة أيضاً مع البيئة المصرية، إذ كان البرص منتشراً في مصر.  وبما أن البرص كان يعتبر مرضاً لا شفاء منه، فإن إزالته عن يد موسى عمل إعجازي تهدف إلى ترك انطباع عميق في نفوس كل الذين شهدوه.</w:t>
      </w:r>
      <w:r w:rsidRPr="00B35650">
        <w:rPr>
          <w:rFonts w:eastAsia="Times New Roman" w:cs="DecoType Naskh"/>
          <w:color w:val="auto"/>
          <w:kern w:val="0"/>
          <w:sz w:val="30"/>
          <w:szCs w:val="28"/>
          <w:vertAlign w:val="superscript"/>
          <w:rtl/>
          <w:lang w:bidi="ar-JO"/>
          <w14:ligatures w14:val="none"/>
        </w:rPr>
        <w:footnoteReference w:customMarkFollows="1" w:id="54"/>
        <w:t>7</w:t>
      </w:r>
    </w:p>
    <w:p w14:paraId="1C9ED293"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أمّا في ما يتعلق بمعجزة ماء النيل الذي تحوّل إلى دم، فيقول كاسوتو:</w:t>
      </w:r>
    </w:p>
    <w:p w14:paraId="14011ECE"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14:ligatures w14:val="none"/>
        </w:rPr>
      </w:pPr>
      <w:r w:rsidRPr="00B35650">
        <w:rPr>
          <w:rFonts w:eastAsia="Times New Roman" w:cs="DecoType Naskh" w:hint="cs"/>
          <w:color w:val="auto"/>
          <w:kern w:val="0"/>
          <w:szCs w:val="26"/>
          <w:rtl/>
          <w:lang w:bidi="ar-JO"/>
          <w14:ligatures w14:val="none"/>
        </w:rPr>
        <w:lastRenderedPageBreak/>
        <w:t>اعتبر المصريون نهر النيل، وهو مصدر الحياة والخصب في أرض مصر، إلهاً. فكأن الله يقول لموسى:</w:t>
      </w:r>
      <w:r w:rsidRPr="00B35650">
        <w:rPr>
          <w:rFonts w:eastAsia="Times New Roman" w:cs="DecoType Naskh" w:hint="cs"/>
          <w:color w:val="auto"/>
          <w:kern w:val="0"/>
          <w:szCs w:val="26"/>
          <w:rtl/>
          <w14:ligatures w14:val="none"/>
        </w:rPr>
        <w:t xml:space="preserve"> </w:t>
      </w:r>
      <w:r w:rsidRPr="00B35650">
        <w:rPr>
          <w:rFonts w:eastAsia="Times New Roman" w:cs="DecoType Naskh" w:hint="cs"/>
          <w:color w:val="auto"/>
          <w:kern w:val="0"/>
          <w:szCs w:val="26"/>
          <w:rtl/>
          <w:lang w:bidi="ar-JO"/>
          <w14:ligatures w14:val="none"/>
        </w:rPr>
        <w:t>إذا أريت اخوتك أن الذي أرسلك يسود حتى على النيل، فسيرون في ذلك برهاناً واضحاً على أنه قادر على التغلب على كل القوات التي تقف إلى جانب مصر، بمن في ذلك أولئك الذين يُعتَبرون آلهة، ولن يعودوا يشكّون في مهمّتك.</w:t>
      </w:r>
      <w:r w:rsidRPr="00B35650">
        <w:rPr>
          <w:rFonts w:eastAsia="Times New Roman" w:cs="DecoType Naskh"/>
          <w:color w:val="auto"/>
          <w:kern w:val="0"/>
          <w:sz w:val="30"/>
          <w:szCs w:val="28"/>
          <w:vertAlign w:val="superscript"/>
          <w:rtl/>
          <w:lang w:bidi="ar-JO"/>
          <w14:ligatures w14:val="none"/>
        </w:rPr>
        <w:footnoteReference w:customMarkFollows="1" w:id="55"/>
        <w:t>8</w:t>
      </w:r>
    </w:p>
    <w:p w14:paraId="0A0790AB" w14:textId="77777777" w:rsidR="00B35650" w:rsidRPr="00B35650" w:rsidRDefault="00B35650"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2.</w:t>
      </w:r>
      <w:r w:rsidRPr="00B35650">
        <w:rPr>
          <w:rFonts w:eastAsia="Times New Roman" w:cs="DecoType Naskh" w:hint="cs"/>
          <w:color w:val="auto"/>
          <w:kern w:val="0"/>
          <w:szCs w:val="26"/>
          <w:rtl/>
          <w:lang w:bidi="ar-JO"/>
          <w14:ligatures w14:val="none"/>
        </w:rPr>
        <w:tab/>
        <w:t>إدّعاء موسى بأنه غير قادر على الكلام والتواصل (4: 10-12)</w:t>
      </w:r>
    </w:p>
    <w:p w14:paraId="5F459CB4"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 xml:space="preserve">لنلاحظ أن الوعد في الآية 12 هو </w:t>
      </w:r>
      <w:r w:rsidRPr="00B35650">
        <w:rPr>
          <w:rFonts w:eastAsia="Times New Roman" w:cs="DecoType Naskh" w:hint="cs"/>
          <w:i/>
          <w:iCs/>
          <w:color w:val="auto"/>
          <w:kern w:val="0"/>
          <w:szCs w:val="26"/>
          <w:rtl/>
          <w:lang w:bidi="ar-JO"/>
          <w14:ligatures w14:val="none"/>
        </w:rPr>
        <w:t>رسالة</w:t>
      </w:r>
      <w:r w:rsidRPr="00B35650">
        <w:rPr>
          <w:rFonts w:eastAsia="Times New Roman" w:cs="DecoType Naskh" w:hint="cs"/>
          <w:color w:val="auto"/>
          <w:kern w:val="0"/>
          <w:szCs w:val="26"/>
          <w:rtl/>
          <w:lang w:bidi="ar-JO"/>
          <w14:ligatures w14:val="none"/>
        </w:rPr>
        <w:t>، مشيراً بذلك إلى أن المشكلة ليست مشكلة نُطق، لكنها مشكلة غياب الرسالة.</w:t>
      </w:r>
    </w:p>
    <w:p w14:paraId="0C998228"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7822E70F" w14:textId="77777777" w:rsidR="00B35650" w:rsidRPr="00B35650" w:rsidRDefault="00B35650"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3.</w:t>
      </w:r>
      <w:r w:rsidRPr="00B35650">
        <w:rPr>
          <w:rFonts w:eastAsia="Times New Roman" w:cs="DecoType Naskh" w:hint="cs"/>
          <w:color w:val="auto"/>
          <w:kern w:val="0"/>
          <w:szCs w:val="26"/>
          <w:rtl/>
          <w:lang w:bidi="ar-JO"/>
          <w14:ligatures w14:val="none"/>
        </w:rPr>
        <w:tab/>
        <w:t>عدم الرغبة أو الاستعداد (4: 13-17)</w:t>
      </w:r>
    </w:p>
    <w:p w14:paraId="6E0722EE"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 xml:space="preserve">الاعتراض الثالث هو أكثرها خطورة: فهو لا يرغب حقاً في الذهاب.  وقد أثار هذا غضب الله.  ونتيجة لذلك عيّن هارون مساعداً له (وهو قرار سيندم عليه موسى فيما بعد).  وقد حدد الله دوري موسى وهارون "وأنت تكون له إلهاً (كإله)" (الآية 16)، لتحديد قناة الرسالة الإلهية (الله </w:t>
      </w:r>
      <w:r w:rsidRPr="00B35650">
        <w:rPr>
          <w:rFonts w:eastAsia="Times New Roman" w:cs="DecoType Naskh"/>
          <w:color w:val="auto"/>
          <w:kern w:val="0"/>
          <w:szCs w:val="26"/>
          <w:lang w:bidi="ar-JO"/>
          <w14:ligatures w14:val="none"/>
        </w:rPr>
        <w:sym w:font="Wingdings" w:char="F0DF"/>
      </w:r>
      <w:r w:rsidRPr="00B35650">
        <w:rPr>
          <w:rFonts w:eastAsia="Times New Roman" w:cs="DecoType Naskh" w:hint="cs"/>
          <w:color w:val="auto"/>
          <w:kern w:val="0"/>
          <w:szCs w:val="26"/>
          <w:rtl/>
          <w:lang w:bidi="ar-JO"/>
          <w14:ligatures w14:val="none"/>
        </w:rPr>
        <w:t xml:space="preserve"> موسى </w:t>
      </w:r>
      <w:r w:rsidRPr="00B35650">
        <w:rPr>
          <w:rFonts w:eastAsia="Times New Roman" w:cs="DecoType Naskh"/>
          <w:color w:val="auto"/>
          <w:kern w:val="0"/>
          <w:szCs w:val="26"/>
          <w:lang w:bidi="ar-JO"/>
          <w14:ligatures w14:val="none"/>
        </w:rPr>
        <w:sym w:font="Wingdings" w:char="F0DF"/>
      </w:r>
      <w:r w:rsidRPr="00B35650">
        <w:rPr>
          <w:rFonts w:eastAsia="Times New Roman" w:cs="DecoType Naskh" w:hint="cs"/>
          <w:color w:val="auto"/>
          <w:kern w:val="0"/>
          <w:szCs w:val="26"/>
          <w:rtl/>
          <w:lang w:bidi="ar-JO"/>
          <w14:ligatures w14:val="none"/>
        </w:rPr>
        <w:t>هارون).</w:t>
      </w:r>
    </w:p>
    <w:p w14:paraId="22D407AA"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3B36BA55" w14:textId="77777777" w:rsidR="00B35650" w:rsidRPr="00B35650" w:rsidRDefault="00B35650"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B35650">
        <w:rPr>
          <w:rFonts w:eastAsia="Times New Roman" w:cs="DecoType Naskh" w:hint="cs"/>
          <w:bCs/>
          <w:color w:val="auto"/>
          <w:kern w:val="0"/>
          <w:szCs w:val="26"/>
          <w:rtl/>
          <w14:ligatures w14:val="none"/>
        </w:rPr>
        <w:t>جـ.</w:t>
      </w:r>
      <w:r w:rsidRPr="00B35650">
        <w:rPr>
          <w:rFonts w:eastAsia="Times New Roman" w:cs="DecoType Naskh" w:hint="cs"/>
          <w:bCs/>
          <w:color w:val="auto"/>
          <w:kern w:val="0"/>
          <w:szCs w:val="26"/>
          <w:rtl/>
          <w14:ligatures w14:val="none"/>
        </w:rPr>
        <w:tab/>
        <w:t>العودة إلى مصر (4: 18-31)</w:t>
      </w:r>
    </w:p>
    <w:p w14:paraId="3D9723D9"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أوشك الرب أن يقتل موسى وهو في طريقه إلى مصر.  وقد غضب الله من موسى بسبب مسألة ختّان ابنه، ويبدو أن موسى كان يتّبع رغبات زوجته بدلاً من أمر الرب في هذا الأمر (انظر تكوين 17: 14).  كانت هذه مسؤولية موسى، وعدم القيام بختن ابنه كان علامة على عدم الأمانة نحو العهد وعدم الإيمان به.  والفكرة هنا هي أنه كانت لموسى التزامات تجاه العهد، ولم يكن حتى موسى معفياً منها!</w:t>
      </w:r>
    </w:p>
    <w:p w14:paraId="6A4714EB"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3FA7A73" w14:textId="77777777" w:rsidR="00B35650" w:rsidRPr="00B35650" w:rsidRDefault="00B35650"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B35650">
        <w:rPr>
          <w:rFonts w:eastAsia="Times New Roman" w:cs="DecoType Naskh" w:hint="cs"/>
          <w:bCs/>
          <w:color w:val="auto"/>
          <w:kern w:val="0"/>
          <w:szCs w:val="28"/>
          <w:rtl/>
          <w:lang w:bidi="ar-JO"/>
          <w14:ligatures w14:val="none"/>
        </w:rPr>
        <w:t>4.</w:t>
      </w:r>
      <w:r w:rsidRPr="00B35650">
        <w:rPr>
          <w:rFonts w:eastAsia="Times New Roman" w:cs="DecoType Naskh" w:hint="cs"/>
          <w:bCs/>
          <w:color w:val="auto"/>
          <w:kern w:val="0"/>
          <w:szCs w:val="28"/>
          <w:rtl/>
          <w:lang w:bidi="ar-JO"/>
          <w14:ligatures w14:val="none"/>
        </w:rPr>
        <w:tab/>
        <w:t>سيادة يهوه على مصر (5: 1-11: 10)</w:t>
      </w:r>
    </w:p>
    <w:p w14:paraId="7B386A03"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هذه الأصحاحات دروس في اللاهوت عن الله.  وهي تشرح من هو الله ولماذا يجب أن يخضع فرعون له.  يبدأ فرعون بطرح سؤال "من هو الرب؟" فأعلمه موسى معنى اسم الله، أي طبيعته الأخلاقية (7: 5، 17؛ 8: 22؛ 10: 2؛ 14: 4، 18؛ 16: 12؛ 29: 46؛             31: 13).</w:t>
      </w:r>
    </w:p>
    <w:p w14:paraId="3E47E5EF" w14:textId="77777777" w:rsidR="00B35650" w:rsidRPr="00B35650" w:rsidRDefault="00B35650"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B35650">
        <w:rPr>
          <w:rFonts w:eastAsia="Times New Roman" w:cs="DecoType Naskh" w:hint="cs"/>
          <w:bCs/>
          <w:color w:val="auto"/>
          <w:kern w:val="0"/>
          <w:szCs w:val="26"/>
          <w:rtl/>
          <w14:ligatures w14:val="none"/>
        </w:rPr>
        <w:t>أ.</w:t>
      </w:r>
      <w:r w:rsidRPr="00B35650">
        <w:rPr>
          <w:rFonts w:eastAsia="Times New Roman" w:cs="DecoType Naskh" w:hint="cs"/>
          <w:bCs/>
          <w:color w:val="auto"/>
          <w:kern w:val="0"/>
          <w:szCs w:val="26"/>
          <w:rtl/>
          <w14:ligatures w14:val="none"/>
        </w:rPr>
        <w:tab/>
        <w:t>خطة الله لإعلان نفسه كيهوه (5: 1-7: 7)</w:t>
      </w:r>
    </w:p>
    <w:p w14:paraId="674CCA94" w14:textId="018218E2"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 xml:space="preserve">يبدأ هذا القسم بمواجهة أولية بين موسى وفرعون تُسهم في زيادة الصعوبات والمشقات على العبرانيين، مما أثار استياء العبرانيين.  ويوضح لنا النص أن فرعون لا يعرف اسم يهوه، فهو لا يعرف إلا تعبير "إله العبرانيين".  لم يعرف من هو هذا الإله الذي يطالبه بإطلاق العبرانيين." وفي غطرسته وجهله يسمّي </w:t>
      </w:r>
      <w:r w:rsidRPr="00B35650">
        <w:rPr>
          <w:rFonts w:eastAsia="Times New Roman" w:cs="DecoType Naskh" w:hint="cs"/>
          <w:i/>
          <w:iCs/>
          <w:color w:val="auto"/>
          <w:kern w:val="0"/>
          <w:szCs w:val="26"/>
          <w:rtl/>
          <w:lang w:bidi="ar-JO"/>
          <w14:ligatures w14:val="none"/>
        </w:rPr>
        <w:t>الكلام الذي تكلم به الرب</w:t>
      </w:r>
      <w:r w:rsidRPr="00B35650">
        <w:rPr>
          <w:rFonts w:eastAsia="Times New Roman" w:cs="DecoType Naskh" w:hint="cs"/>
          <w:color w:val="auto"/>
          <w:kern w:val="0"/>
          <w:szCs w:val="26"/>
          <w:rtl/>
          <w:lang w:bidi="ar-JO"/>
          <w14:ligatures w14:val="none"/>
        </w:rPr>
        <w:t xml:space="preserve"> ’كلام الكذب,</w:t>
      </w:r>
      <w:r w:rsidRPr="00B35650">
        <w:rPr>
          <w:rFonts w:eastAsia="Times New Roman" w:cs="DecoType Naskh"/>
          <w:color w:val="auto"/>
          <w:kern w:val="0"/>
          <w:sz w:val="28"/>
          <w:szCs w:val="28"/>
          <w:vertAlign w:val="superscript"/>
          <w:rtl/>
          <w:lang w:bidi="ar-JO"/>
          <w14:ligatures w14:val="none"/>
        </w:rPr>
        <w:footnoteReference w:customMarkFollows="1" w:id="56"/>
        <w:t>9</w:t>
      </w:r>
      <w:r w:rsidRPr="00B35650">
        <w:rPr>
          <w:rFonts w:eastAsia="Times New Roman" w:cs="DecoType Naskh" w:hint="cs"/>
          <w:color w:val="auto"/>
          <w:kern w:val="0"/>
          <w:szCs w:val="28"/>
          <w:rtl/>
          <w:lang w:bidi="ar-JO"/>
          <w14:ligatures w14:val="none"/>
        </w:rPr>
        <w:t xml:space="preserve"> </w:t>
      </w:r>
      <w:r w:rsidRPr="00B35650">
        <w:rPr>
          <w:rFonts w:eastAsia="Times New Roman" w:cs="DecoType Naskh" w:hint="cs"/>
          <w:color w:val="auto"/>
          <w:kern w:val="0"/>
          <w:szCs w:val="26"/>
          <w:rtl/>
          <w:lang w:bidi="ar-JO"/>
          <w14:ligatures w14:val="none"/>
        </w:rPr>
        <w:t>(5: 9).</w:t>
      </w:r>
    </w:p>
    <w:p w14:paraId="080477EB"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2E793848"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B35650">
        <w:rPr>
          <w:rFonts w:eastAsia="Times New Roman" w:cs="DecoType Naskh" w:hint="cs"/>
          <w:color w:val="auto"/>
          <w:kern w:val="0"/>
          <w:szCs w:val="26"/>
          <w:rtl/>
          <w:lang w:bidi="ar-JO"/>
          <w14:ligatures w14:val="none"/>
        </w:rPr>
        <w:t xml:space="preserve">يقدّم استياء اخوته العبرانيين المسحوقين خلفية ودلالة للإعلان الوشيك.  </w:t>
      </w:r>
      <w:r w:rsidRPr="00B35650">
        <w:rPr>
          <w:rFonts w:eastAsia="Times New Roman" w:cs="DecoType Naskh"/>
          <w:color w:val="auto"/>
          <w:kern w:val="0"/>
          <w:szCs w:val="26"/>
          <w:rtl/>
          <w:lang w:bidi="ar-JO"/>
          <w14:ligatures w14:val="none"/>
        </w:rPr>
        <w:t>"</w:t>
      </w:r>
      <w:r w:rsidRPr="00B35650">
        <w:rPr>
          <w:rFonts w:eastAsia="Times New Roman" w:cs="DecoType Naskh" w:hint="cs"/>
          <w:color w:val="auto"/>
          <w:kern w:val="0"/>
          <w:szCs w:val="26"/>
          <w:rtl/>
          <w:lang w:bidi="ar-JO"/>
          <w14:ligatures w14:val="none"/>
        </w:rPr>
        <w:t>فقد خاب أمل موسى أيضاً، وعبّر عن لومه (للرب)، لا لأن فرعون رفض أن ينصاع لطلبه، فقد كان مستعداً لهذا الأمر منذ البداية، بل لأنه علم أن تصرّفه الأولي جلب مصيبة جديدة على رؤوس إخوته المضطهدين."</w:t>
      </w:r>
      <w:r w:rsidRPr="00B35650">
        <w:rPr>
          <w:rFonts w:eastAsia="Times New Roman" w:cs="DecoType Naskh"/>
          <w:color w:val="auto"/>
          <w:kern w:val="0"/>
          <w:sz w:val="30"/>
          <w:szCs w:val="28"/>
          <w:vertAlign w:val="superscript"/>
          <w:rtl/>
          <w:lang w:bidi="ar-JO"/>
          <w14:ligatures w14:val="none"/>
        </w:rPr>
        <w:footnoteReference w:customMarkFollows="1" w:id="57"/>
        <w:t>10</w:t>
      </w:r>
    </w:p>
    <w:p w14:paraId="7B70E7B0"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تحيّر موسى وذهب إلى الرب ساعياً إلى جواب.  وتتركز مشورة الله لموسى (5: 22-6: 13) على العهد الإبراهيمي! فبعيداً عن العهد الإبراهيمي لا يوجد أي سبب يجعل الله يتحرك لتحرير العبرانيين.</w:t>
      </w:r>
    </w:p>
    <w:p w14:paraId="35753A5B"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وبصفته إيل شاداي (الله القدير)، فإن لديه القدرة على تحريرهم.  وبصفته يهوه، فقد كان وفياً وملتزماً أخلاقياً بإنقاذهم.  والفكرة من قوله في 6: 3: "</w:t>
      </w:r>
      <w:r w:rsidRPr="00B35650">
        <w:rPr>
          <w:rFonts w:eastAsia="Times New Roman" w:cs="DecoType Naskh" w:hint="cs"/>
          <w:i/>
          <w:iCs/>
          <w:color w:val="auto"/>
          <w:kern w:val="0"/>
          <w:szCs w:val="26"/>
          <w:rtl/>
          <w:lang w:bidi="ar-JO"/>
          <w14:ligatures w14:val="none"/>
        </w:rPr>
        <w:t>وأمّا باسم يهوه فلم أُعرف عندهم</w:t>
      </w:r>
      <w:r w:rsidRPr="00B35650">
        <w:rPr>
          <w:rFonts w:eastAsia="Times New Roman" w:cs="DecoType Naskh" w:hint="cs"/>
          <w:color w:val="auto"/>
          <w:kern w:val="0"/>
          <w:szCs w:val="26"/>
          <w:rtl/>
          <w:lang w:bidi="ar-JO"/>
          <w14:ligatures w14:val="none"/>
        </w:rPr>
        <w:t xml:space="preserve">"، هو أن الدلالة الخاصة لاسم يهوه لم تُظهر لهم بالطريقة التي سيوشك على إظهارها (لا أنه لم يُعترف به من قبل).  [انظر الملاحظات على 3: 13 </w:t>
      </w:r>
      <w:r w:rsidRPr="00B35650">
        <w:rPr>
          <w:rFonts w:eastAsia="Times New Roman" w:cs="DecoType Naskh" w:hint="cs"/>
          <w:color w:val="auto"/>
          <w:kern w:val="0"/>
          <w:szCs w:val="26"/>
          <w:rtl/>
          <w:lang w:bidi="ar-JO"/>
          <w14:ligatures w14:val="none"/>
        </w:rPr>
        <w:lastRenderedPageBreak/>
        <w:t>فصاعداً].  لقد سبق أن أظهر نفسه في الطبيعة الأخلاقية بصفته إيل شاداي، لكن ليس في طبيعته الأخلاقية كيهوه (انظر الآيتين 3 و7)، خاصة في مجال القوة الفادية.</w:t>
      </w:r>
    </w:p>
    <w:p w14:paraId="6D4C92CB"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2DA85881"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30"/>
          <w:szCs w:val="28"/>
          <w:rtl/>
          <w:lang w:bidi="ar-JO"/>
          <w14:ligatures w14:val="none"/>
        </w:rPr>
      </w:pPr>
      <w:r w:rsidRPr="00B35650">
        <w:rPr>
          <w:rFonts w:eastAsia="Times New Roman" w:cs="DecoType Naskh" w:hint="cs"/>
          <w:color w:val="auto"/>
          <w:kern w:val="0"/>
          <w:szCs w:val="26"/>
          <w:rtl/>
          <w:lang w:bidi="ar-JO"/>
          <w14:ligatures w14:val="none"/>
        </w:rPr>
        <w:t>إن أحد الأعمدة الأساسية "للفرضية الوثائقية" (انظر الملاحظات حول تحليل المصادر -</w:t>
      </w:r>
      <w:r w:rsidRPr="00B35650">
        <w:rPr>
          <w:rFonts w:eastAsia="Times New Roman" w:cs="DecoType Naskh" w:hint="cs"/>
          <w:color w:val="auto"/>
          <w:kern w:val="0"/>
          <w:szCs w:val="26"/>
          <w:rtl/>
          <w14:ligatures w14:val="none"/>
        </w:rPr>
        <w:t xml:space="preserve"> </w:t>
      </w:r>
      <w:r w:rsidRPr="00B35650">
        <w:rPr>
          <w:rFonts w:eastAsia="Times New Roman" w:cs="DecoType Naskh" w:hint="cs"/>
          <w:color w:val="auto"/>
          <w:kern w:val="0"/>
          <w:szCs w:val="26"/>
          <w:rtl/>
          <w:lang w:bidi="ar-JO"/>
          <w14:ligatures w14:val="none"/>
        </w:rPr>
        <w:t>الدرس 12) مأخوذ من خروج 6 بسبب علاقته المفترضة بما يسمى "المصادر" المحدَّدة بالاستعمالات المختلفة لأسماء الله.  وليست الفكرة هنا أن اسم يهوه لم يكن معروفاً لبني إسرائيل القدماء، لكن إظهار طبيعته التي يعكسها اسم يهوه لم يكن واضحاً بعد.</w:t>
      </w:r>
      <w:r w:rsidRPr="00B35650">
        <w:rPr>
          <w:rFonts w:eastAsia="Times New Roman" w:cs="DecoType Naskh"/>
          <w:color w:val="auto"/>
          <w:kern w:val="0"/>
          <w:sz w:val="30"/>
          <w:szCs w:val="28"/>
          <w:vertAlign w:val="superscript"/>
          <w:rtl/>
          <w:lang w:bidi="ar-JO"/>
          <w14:ligatures w14:val="none"/>
        </w:rPr>
        <w:footnoteReference w:customMarkFollows="1" w:id="58"/>
        <w:t>11</w:t>
      </w:r>
    </w:p>
    <w:p w14:paraId="2E580FED"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 xml:space="preserve"> </w:t>
      </w:r>
    </w:p>
    <w:p w14:paraId="0367C062"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يجب أن نحرص على ملاحظة كلمة "أنقذ" (أفدي) في الآية السادسة.  إذ سيخرجهم الله من تحت العبودية، وسيحرّرهم، وسيفديهم.  هذه هي أول إشارة في الكتابة المقدس إلى افتداء الله لشعبه.  يشكّل عمل الفداء في الخروج خلفية فكرتنا عن الفداء في العهد الجديد.</w:t>
      </w:r>
    </w:p>
    <w:p w14:paraId="3E4C1571"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وإن الأمر مذهل بعد هذه المواجهة الجديدة الرائعة مع يهوه وتصاعد الوعود العظيمة، أن نقرأ في 6: 9 أن بني إسرائيل رفضوا الاستماع إلى موسى.  يقول كاسوتو:</w:t>
      </w:r>
    </w:p>
    <w:p w14:paraId="07DF5F7B"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B35650">
        <w:rPr>
          <w:rFonts w:eastAsia="Times New Roman" w:cs="DecoType Naskh" w:hint="cs"/>
          <w:color w:val="auto"/>
          <w:kern w:val="0"/>
          <w:szCs w:val="26"/>
          <w:rtl/>
          <w:lang w:bidi="ar-JO"/>
          <w14:ligatures w14:val="none"/>
        </w:rPr>
        <w:t>مرة أخرى يُسَد طريق موسى.  وهذا هو قدَر كل من ينشغل بمشروع فائق الأهمية ومحفوف بالمخاطر في نفس الوقت.  إنه يمر بلحظات انتصار ويمر أيضاً بنقيضها، لكن عظمته الحقيقية تظهر عندما لا يسمح لساعة الهزيمة أن تحوّله عن طريقه أو قضيته إلى اليأس من النجاح في نهاية الأمر.</w:t>
      </w:r>
      <w:r w:rsidRPr="00B35650">
        <w:rPr>
          <w:rFonts w:eastAsia="Times New Roman" w:cs="DecoType Naskh"/>
          <w:color w:val="auto"/>
          <w:kern w:val="0"/>
          <w:sz w:val="30"/>
          <w:szCs w:val="28"/>
          <w:vertAlign w:val="superscript"/>
          <w:rtl/>
          <w:lang w:bidi="ar-JO"/>
          <w14:ligatures w14:val="none"/>
        </w:rPr>
        <w:footnoteReference w:customMarkFollows="1" w:id="59"/>
        <w:t>12</w:t>
      </w:r>
    </w:p>
    <w:p w14:paraId="1F5E937B" w14:textId="10433576"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يتطلع إيراد سلسلة النسب في 6: 14-27 إلى اللاهوت اللاوي الآتي ويؤكد على إدخال موسى وهارون في هذا النسل الهام.  فدورهما في إعلان يهوه لنفسه وطبيعته الفدائية من خلال تقسي</w:t>
      </w:r>
      <w:r w:rsidR="001E0CC1">
        <w:rPr>
          <w:rFonts w:eastAsia="Times New Roman" w:cs="DecoType Naskh" w:hint="cs"/>
          <w:color w:val="auto"/>
          <w:kern w:val="0"/>
          <w:szCs w:val="26"/>
          <w:rtl/>
          <w:lang w:bidi="ar-JO"/>
          <w14:ligatures w14:val="none"/>
        </w:rPr>
        <w:t>ة</w:t>
      </w:r>
      <w:r w:rsidRPr="00B35650">
        <w:rPr>
          <w:rFonts w:eastAsia="Times New Roman" w:cs="DecoType Naskh" w:hint="cs"/>
          <w:color w:val="auto"/>
          <w:kern w:val="0"/>
          <w:szCs w:val="26"/>
          <w:rtl/>
          <w:lang w:bidi="ar-JO"/>
          <w14:ligatures w14:val="none"/>
        </w:rPr>
        <w:t xml:space="preserve"> فرعون كان عملاً كهنوتياً.</w:t>
      </w:r>
    </w:p>
    <w:p w14:paraId="0A4C8617"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يكشف لنا القسم 6: 28-7: 7 الخطة الإلهية لتقسية قلب فرعون بغرض الإكثار من آيات يهوه الإعجازية وعجائبه في مصر، مضخماً بهذا من عظمة عمله الفدائي.</w:t>
      </w:r>
    </w:p>
    <w:p w14:paraId="34C0E0DF" w14:textId="3679EB9D"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قبل الظهور السابق لموسى أمام فرعون، أخبر الله موسى أن فرعون لن يوافق على طلبه.  وهنا يقدم الله تحذيراً مسبقاً ثانياً. ويعكس التوكيد على طاعتهما في 7: 6 إدراكهما لـ 7: 3. إن من شأن عدم تردُّد فرعون أن يؤول إلى تقدّم مقاصد الله (قارن 6: 12، 13 بـ 7: 6).  لقد أخذا على ما يبدو يستوعبان خطة يهوه وضرورة رفض فرعون طلبهما كجزء من هذه الخطة.</w:t>
      </w:r>
    </w:p>
    <w:p w14:paraId="667F8D8C"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6661916" w14:textId="77777777" w:rsidR="00B35650" w:rsidRPr="00B35650" w:rsidRDefault="00B35650"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B35650">
        <w:rPr>
          <w:rFonts w:eastAsia="Times New Roman" w:cs="DecoType Naskh" w:hint="cs"/>
          <w:bCs/>
          <w:color w:val="auto"/>
          <w:kern w:val="0"/>
          <w:szCs w:val="26"/>
          <w:rtl/>
          <w14:ligatures w14:val="none"/>
        </w:rPr>
        <w:t>ب.</w:t>
      </w:r>
      <w:r w:rsidRPr="00B35650">
        <w:rPr>
          <w:rFonts w:eastAsia="Times New Roman" w:cs="DecoType Naskh" w:hint="cs"/>
          <w:bCs/>
          <w:color w:val="auto"/>
          <w:kern w:val="0"/>
          <w:szCs w:val="26"/>
          <w:rtl/>
          <w14:ligatures w14:val="none"/>
        </w:rPr>
        <w:tab/>
        <w:t>سكب الكوارث العشر (7: 8-11: 10)</w:t>
      </w:r>
    </w:p>
    <w:p w14:paraId="55DD4A0A" w14:textId="520A9F8B"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إن تقسية قلب الفرعون أمر ضروري لإعلان يهوه عن نفسه لكل من مصر وإسرائيل.  وسيظهر الله تفوقه بإرساله الكوارث العشر.  وليست هذه الكوارث لمجرد التسبب بإزعاج المصريين. بل أكثر من ذلك، تشكّل هذه الكوارث دينونة للعبادة المتعددة الآلهة وانغماس المصريين في الأمور الخارقة الشريرة (كأنواع السحر المختلفة).  لهذا يجب أن نقضي وقتاً كافياً في فهم هذه الكوارث في ضوء العبادة الدينية المصرية.</w:t>
      </w:r>
    </w:p>
    <w:p w14:paraId="256E54CD"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4B7F6EB"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إن المواجهة الأولية مع الأفعى- العصا إشارة يُفهم منها أن الكوارث ليست مجرّد عرض لألعاب نارية خارقة، إذ يقدر حتى سحرة المصريين أن يقوموا بما هو خارق.  ففي وسط مجتمع منشغل بالخوارق، كيف يستطيع الفرعون أن يميز يد الله؟ هذه هي المسألة كما يوضح بريفارد تشايلدز:</w:t>
      </w:r>
    </w:p>
    <w:p w14:paraId="708862EB"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0"/>
          <w:szCs w:val="28"/>
          <w:rtl/>
          <w:lang w:bidi="ar-KW"/>
          <w14:ligatures w14:val="none"/>
        </w:rPr>
      </w:pPr>
      <w:r w:rsidRPr="00B35650">
        <w:rPr>
          <w:rFonts w:eastAsia="Times New Roman" w:cs="DecoType Naskh" w:hint="cs"/>
          <w:color w:val="auto"/>
          <w:kern w:val="0"/>
          <w:szCs w:val="26"/>
          <w:rtl/>
          <w:lang w:bidi="ar-JO"/>
          <w14:ligatures w14:val="none"/>
        </w:rPr>
        <w:lastRenderedPageBreak/>
        <w:t>كيف يمكن لله أن يجعل فرعون يميز أن يده هي التي تعمل؟ لم يكن العنصر "الخارق" في حد ذاته كافياً.  إذ تبدو الآية الإلهية كحيلة بهلوانية رخيصة يمكن لمجموعة كبيرة من السحرة المصريين أن يقلّدوها ببساطة ظاهرة.</w:t>
      </w:r>
      <w:r w:rsidRPr="00B35650">
        <w:rPr>
          <w:rFonts w:eastAsia="Times New Roman" w:cs="DecoType Naskh"/>
          <w:color w:val="auto"/>
          <w:kern w:val="0"/>
          <w:sz w:val="30"/>
          <w:szCs w:val="28"/>
          <w:vertAlign w:val="superscript"/>
          <w:rtl/>
          <w:lang w:bidi="ar-JO"/>
          <w14:ligatures w14:val="none"/>
        </w:rPr>
        <w:footnoteReference w:customMarkFollows="1" w:id="60"/>
        <w:t>13</w:t>
      </w:r>
    </w:p>
    <w:p w14:paraId="3B47D180"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KW"/>
          <w14:ligatures w14:val="none"/>
        </w:rPr>
      </w:pPr>
    </w:p>
    <w:p w14:paraId="4D3CE65A"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إن ما نجد</w:t>
      </w:r>
      <w:r w:rsidRPr="00B35650">
        <w:rPr>
          <w:rFonts w:eastAsia="Times New Roman" w:cs="DecoType Naskh" w:hint="cs"/>
          <w:color w:val="auto"/>
          <w:kern w:val="0"/>
          <w:szCs w:val="26"/>
          <w:rtl/>
          <w14:ligatures w14:val="none"/>
        </w:rPr>
        <w:t>ه</w:t>
      </w:r>
      <w:r w:rsidRPr="00B35650">
        <w:rPr>
          <w:rFonts w:eastAsia="Times New Roman" w:cs="DecoType Naskh" w:hint="cs"/>
          <w:color w:val="auto"/>
          <w:kern w:val="0"/>
          <w:szCs w:val="26"/>
          <w:rtl/>
          <w:lang w:bidi="ar-JO"/>
          <w14:ligatures w14:val="none"/>
        </w:rPr>
        <w:t xml:space="preserve"> هنا صراع قوة حقيقي، ويجب أن يظهر الله لا ما هو خارق فحسب، لكن سيادته على العالم فوق الطبيعي أيضاً.  لن يكتفي يهوه بالقيام بما هو خارق وغير طبيعي، بل سيفعل ما لا يقدرون أن يفعلوه، وسيوجه ضربة ساحقة للآلهة التي يعبدونها.  يتألّف عالم الديانة المصرية من عدد لا يُحصى من الآلهة، إذ كان هنالك ما لا يقل عن 80 إلهاً رئيسياً.  فكان نهر النيل والشمس من بين الآلهة الأكثر شهرة.  وكان </w:t>
      </w:r>
      <w:r w:rsidRPr="00B35650">
        <w:rPr>
          <w:rFonts w:eastAsia="Times New Roman" w:cs="DecoType Naskh" w:hint="cs"/>
          <w:color w:val="auto"/>
          <w:kern w:val="0"/>
          <w:szCs w:val="26"/>
          <w:rtl/>
          <w14:ligatures w14:val="none"/>
        </w:rPr>
        <w:t>"</w:t>
      </w:r>
      <w:r w:rsidRPr="00B35650">
        <w:rPr>
          <w:rFonts w:eastAsia="Times New Roman" w:cs="DecoType Naskh" w:hint="cs"/>
          <w:color w:val="auto"/>
          <w:kern w:val="0"/>
          <w:szCs w:val="26"/>
          <w:rtl/>
          <w:lang w:bidi="ar-JO"/>
          <w14:ligatures w14:val="none"/>
        </w:rPr>
        <w:t>رع</w:t>
      </w:r>
      <w:r w:rsidRPr="00B35650">
        <w:rPr>
          <w:rFonts w:eastAsia="Times New Roman" w:cs="DecoType Naskh" w:hint="cs"/>
          <w:color w:val="auto"/>
          <w:kern w:val="0"/>
          <w:szCs w:val="26"/>
          <w:rtl/>
          <w14:ligatures w14:val="none"/>
        </w:rPr>
        <w:t>"</w:t>
      </w:r>
      <w:r w:rsidRPr="00B35650">
        <w:rPr>
          <w:rFonts w:eastAsia="Times New Roman" w:cs="DecoType Naskh" w:hint="cs"/>
          <w:color w:val="auto"/>
          <w:kern w:val="0"/>
          <w:szCs w:val="26"/>
          <w:rtl/>
          <w:lang w:bidi="ar-JO"/>
          <w14:ligatures w14:val="none"/>
        </w:rPr>
        <w:t xml:space="preserve"> هو إله الشمس.  وأثناء فترة المملكة الجديدة في مصر صار </w:t>
      </w:r>
      <w:r w:rsidRPr="00B35650">
        <w:rPr>
          <w:rFonts w:eastAsia="Times New Roman" w:cs="DecoType Naskh" w:hint="cs"/>
          <w:color w:val="auto"/>
          <w:kern w:val="0"/>
          <w:szCs w:val="26"/>
          <w:rtl/>
          <w14:ligatures w14:val="none"/>
        </w:rPr>
        <w:t>"</w:t>
      </w:r>
      <w:r w:rsidRPr="00B35650">
        <w:rPr>
          <w:rFonts w:eastAsia="Times New Roman" w:cs="DecoType Naskh" w:hint="cs"/>
          <w:color w:val="auto"/>
          <w:kern w:val="0"/>
          <w:szCs w:val="26"/>
          <w:rtl/>
          <w:lang w:bidi="ar-JO"/>
          <w14:ligatures w14:val="none"/>
        </w:rPr>
        <w:t>رع</w:t>
      </w:r>
      <w:r w:rsidRPr="00B35650">
        <w:rPr>
          <w:rFonts w:eastAsia="Times New Roman" w:cs="DecoType Naskh" w:hint="cs"/>
          <w:color w:val="auto"/>
          <w:kern w:val="0"/>
          <w:szCs w:val="26"/>
          <w:rtl/>
          <w14:ligatures w14:val="none"/>
        </w:rPr>
        <w:t>"</w:t>
      </w:r>
      <w:r w:rsidRPr="00B35650">
        <w:rPr>
          <w:rFonts w:eastAsia="Times New Roman" w:cs="DecoType Naskh" w:hint="cs"/>
          <w:color w:val="auto"/>
          <w:kern w:val="0"/>
          <w:szCs w:val="26"/>
          <w:rtl/>
          <w:lang w:bidi="ar-JO"/>
          <w14:ligatures w14:val="none"/>
        </w:rPr>
        <w:t xml:space="preserve"> يسيطر على الديانة الوطنية بصفته إله الدولة، آمون- رع.</w:t>
      </w:r>
      <w:r w:rsidRPr="00B35650">
        <w:rPr>
          <w:rFonts w:eastAsia="Times New Roman" w:cs="DecoType Naskh"/>
          <w:color w:val="auto"/>
          <w:kern w:val="0"/>
          <w:sz w:val="30"/>
          <w:szCs w:val="28"/>
          <w:vertAlign w:val="superscript"/>
          <w:rtl/>
          <w:lang w:bidi="ar-JO"/>
          <w14:ligatures w14:val="none"/>
        </w:rPr>
        <w:footnoteReference w:customMarkFollows="1" w:id="61"/>
        <w:t>14</w:t>
      </w:r>
      <w:r w:rsidRPr="00B35650">
        <w:rPr>
          <w:rFonts w:eastAsia="Times New Roman" w:cs="DecoType Naskh" w:hint="cs"/>
          <w:color w:val="auto"/>
          <w:kern w:val="0"/>
          <w:szCs w:val="26"/>
          <w:rtl/>
          <w:lang w:bidi="ar-JO"/>
          <w14:ligatures w14:val="none"/>
        </w:rPr>
        <w:t xml:space="preserve"> لكن النيل كان هاماً أيضاً:</w:t>
      </w:r>
    </w:p>
    <w:p w14:paraId="345DF625"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KW"/>
          <w14:ligatures w14:val="none"/>
        </w:rPr>
      </w:pPr>
      <w:r w:rsidRPr="00B35650">
        <w:rPr>
          <w:rFonts w:eastAsia="Times New Roman" w:cs="DecoType Naskh" w:hint="cs"/>
          <w:color w:val="auto"/>
          <w:kern w:val="0"/>
          <w:szCs w:val="26"/>
          <w:rtl/>
          <w:lang w:bidi="ar-JO"/>
          <w14:ligatures w14:val="none"/>
        </w:rPr>
        <w:t xml:space="preserve">أُدمجت الآلهة التي تشكّل تشخيصاً لقوى الطبيعة النباتية في إله يدعى أوزيريس، الذي كان إله النيل أيضاً.  وعلى مدى التاريخ المصري، تنافست هاتان القوتان اللتان حكمتا الكون، </w:t>
      </w:r>
      <w:r w:rsidRPr="00B35650">
        <w:rPr>
          <w:rFonts w:eastAsia="Times New Roman" w:cs="DecoType Naskh" w:hint="cs"/>
          <w:color w:val="auto"/>
          <w:kern w:val="0"/>
          <w:szCs w:val="26"/>
          <w:rtl/>
          <w14:ligatures w14:val="none"/>
        </w:rPr>
        <w:t>"</w:t>
      </w:r>
      <w:r w:rsidRPr="00B35650">
        <w:rPr>
          <w:rFonts w:eastAsia="Times New Roman" w:cs="DecoType Naskh" w:hint="cs"/>
          <w:color w:val="auto"/>
          <w:kern w:val="0"/>
          <w:szCs w:val="26"/>
          <w:rtl/>
          <w:lang w:bidi="ar-JO"/>
          <w14:ligatures w14:val="none"/>
        </w:rPr>
        <w:t>رع</w:t>
      </w:r>
      <w:r w:rsidRPr="00B35650">
        <w:rPr>
          <w:rFonts w:eastAsia="Times New Roman" w:cs="DecoType Naskh" w:hint="cs"/>
          <w:color w:val="auto"/>
          <w:kern w:val="0"/>
          <w:szCs w:val="26"/>
          <w:rtl/>
          <w14:ligatures w14:val="none"/>
        </w:rPr>
        <w:t>"</w:t>
      </w:r>
      <w:r w:rsidRPr="00B35650">
        <w:rPr>
          <w:rFonts w:eastAsia="Times New Roman" w:cs="DecoType Naskh" w:hint="cs"/>
          <w:color w:val="auto"/>
          <w:kern w:val="0"/>
          <w:szCs w:val="26"/>
          <w:rtl/>
          <w:lang w:bidi="ar-JO"/>
          <w14:ligatures w14:val="none"/>
        </w:rPr>
        <w:t xml:space="preserve"> و</w:t>
      </w:r>
      <w:r w:rsidRPr="00B35650">
        <w:rPr>
          <w:rFonts w:eastAsia="Times New Roman" w:cs="DecoType Naskh" w:hint="cs"/>
          <w:color w:val="auto"/>
          <w:kern w:val="0"/>
          <w:szCs w:val="26"/>
          <w:rtl/>
          <w14:ligatures w14:val="none"/>
        </w:rPr>
        <w:t xml:space="preserve"> "</w:t>
      </w:r>
      <w:r w:rsidRPr="00B35650">
        <w:rPr>
          <w:rFonts w:eastAsia="Times New Roman" w:cs="DecoType Naskh" w:hint="cs"/>
          <w:color w:val="auto"/>
          <w:kern w:val="0"/>
          <w:szCs w:val="26"/>
          <w:rtl/>
          <w:lang w:bidi="ar-JO"/>
          <w14:ligatures w14:val="none"/>
        </w:rPr>
        <w:t>أوزيريس"، أحدهما مع الآخر على مركز السيادة.</w:t>
      </w:r>
      <w:r w:rsidRPr="00B35650">
        <w:rPr>
          <w:rFonts w:eastAsia="Times New Roman" w:cs="DecoType Naskh"/>
          <w:color w:val="auto"/>
          <w:kern w:val="0"/>
          <w:sz w:val="30"/>
          <w:szCs w:val="28"/>
          <w:vertAlign w:val="superscript"/>
          <w:rtl/>
          <w:lang w:bidi="ar-JO"/>
          <w14:ligatures w14:val="none"/>
        </w:rPr>
        <w:footnoteReference w:customMarkFollows="1" w:id="62"/>
        <w:t>15</w:t>
      </w:r>
    </w:p>
    <w:p w14:paraId="13B8AF0E"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لم يكن تحويل النيل إلى دم وإعتام السماء مجرد نصر ليهوه، لكنه كان إهانة ما بعدها إهانة لهذا المجتمع الوثني.</w:t>
      </w:r>
    </w:p>
    <w:p w14:paraId="2F2055BF"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30"/>
          <w:szCs w:val="28"/>
          <w:rtl/>
          <w:lang w:bidi="ar-JO"/>
          <w14:ligatures w14:val="none"/>
        </w:rPr>
      </w:pPr>
      <w:r w:rsidRPr="00B35650">
        <w:rPr>
          <w:rFonts w:eastAsia="Times New Roman" w:cs="DecoType Naskh" w:hint="cs"/>
          <w:color w:val="auto"/>
          <w:kern w:val="0"/>
          <w:szCs w:val="26"/>
          <w:rtl/>
          <w:lang w:bidi="ar-JO"/>
          <w14:ligatures w14:val="none"/>
        </w:rPr>
        <w:t>لقد حققت الكوارث التي نزلت على مصر أكثر من موافقة فرعون على إخلاء سبيل العبرانيين.  فقد نزعت أيضاً المصداقية عن آلهة مصر وجعلت الفرعون يدرك أن يهوه متسيد.  وكانت هذه دروساً لإسرائيل أيضاً، خاصة في ما يخص أشكال عبادة الأوثان الباطلة.  يقول جون ديفيس: "استخدم الله هذه الكوارث لكي يبين قوّته الهائلة المهوب</w:t>
      </w:r>
      <w:r w:rsidRPr="00B35650">
        <w:rPr>
          <w:rFonts w:eastAsia="Times New Roman" w:cs="DecoType Naskh" w:hint="cs"/>
          <w:color w:val="auto"/>
          <w:kern w:val="0"/>
          <w:szCs w:val="26"/>
          <w:rtl/>
          <w14:ligatures w14:val="none"/>
        </w:rPr>
        <w:t>ة</w:t>
      </w:r>
      <w:r w:rsidRPr="00B35650">
        <w:rPr>
          <w:rFonts w:eastAsia="Times New Roman" w:cs="DecoType Naskh" w:hint="cs"/>
          <w:color w:val="auto"/>
          <w:kern w:val="0"/>
          <w:szCs w:val="26"/>
          <w:rtl/>
          <w:lang w:bidi="ar-JO"/>
          <w14:ligatures w14:val="none"/>
        </w:rPr>
        <w:t xml:space="preserve"> لا في افتداء شعبه من أرض مصر فحسب، بل أيضاً في قدرته على الاهتمام بهم ورعايتهم وسد حاجاتهم."</w:t>
      </w:r>
      <w:r w:rsidRPr="00B35650">
        <w:rPr>
          <w:rFonts w:eastAsia="Times New Roman" w:cs="DecoType Naskh"/>
          <w:color w:val="auto"/>
          <w:kern w:val="0"/>
          <w:sz w:val="30"/>
          <w:szCs w:val="28"/>
          <w:vertAlign w:val="superscript"/>
          <w:rtl/>
          <w:lang w:bidi="ar-JO"/>
          <w14:ligatures w14:val="none"/>
        </w:rPr>
        <w:footnoteReference w:customMarkFollows="1" w:id="63"/>
        <w:t>16</w:t>
      </w:r>
    </w:p>
    <w:p w14:paraId="068659EE"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B34B542" w14:textId="77777777" w:rsidR="00B35650" w:rsidRPr="00B35650" w:rsidRDefault="00B35650"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B35650">
        <w:rPr>
          <w:rFonts w:eastAsia="Times New Roman" w:cs="DecoType Naskh" w:hint="cs"/>
          <w:bCs/>
          <w:color w:val="auto"/>
          <w:kern w:val="0"/>
          <w:szCs w:val="26"/>
          <w:rtl/>
          <w14:ligatures w14:val="none"/>
        </w:rPr>
        <w:t>ج.</w:t>
      </w:r>
      <w:r w:rsidRPr="00B35650">
        <w:rPr>
          <w:rFonts w:eastAsia="Times New Roman" w:cs="DecoType Naskh" w:hint="cs"/>
          <w:bCs/>
          <w:color w:val="auto"/>
          <w:kern w:val="0"/>
          <w:szCs w:val="26"/>
          <w:rtl/>
          <w14:ligatures w14:val="none"/>
        </w:rPr>
        <w:tab/>
        <w:t>ملاحظات أخرى حول الكوارث</w:t>
      </w:r>
    </w:p>
    <w:p w14:paraId="601A8ED9"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u w:val="single"/>
          <w:rtl/>
          <w:lang w:bidi="ar-JO"/>
          <w14:ligatures w14:val="none"/>
        </w:rPr>
        <w:t>مقدّمة</w:t>
      </w:r>
      <w:r w:rsidRPr="00B35650">
        <w:rPr>
          <w:rFonts w:eastAsia="Times New Roman" w:cs="DecoType Naskh" w:hint="cs"/>
          <w:color w:val="auto"/>
          <w:kern w:val="0"/>
          <w:szCs w:val="26"/>
          <w:rtl/>
          <w:lang w:bidi="ar-JO"/>
          <w14:ligatures w14:val="none"/>
        </w:rPr>
        <w:t>: تعكس الفقرات التي تتحدث عن الكوارث التي أنزلها الله بمصر بنية منسجمة.  ويمكن تقسيم الكوارث التسع الأولى إلى ثلاث دورات تتألف كل واحدة منها من ثلاث وحدات. "تحدث الكارثتان الأولى والثانية من كل دورة بعد أن يكون موسى قد حذّر فرعون؛ أمّا الثالثة فتأتي دون تحذير... وقبل كل كارثة من كل دورة يأمر موسى بأن يقف في الصباح أمام فرعون في العراء، أمّا قبل الكارثة الثانية فيؤمر أن يمثل أمام فرعون في قصره." (</w:t>
      </w:r>
      <w:r w:rsidRPr="00B35650">
        <w:rPr>
          <w:rFonts w:eastAsia="Times New Roman" w:cs="DecoType Naskh"/>
          <w:color w:val="auto"/>
          <w:kern w:val="0"/>
          <w:szCs w:val="26"/>
          <w14:ligatures w14:val="none"/>
        </w:rPr>
        <w:t>Cassuto 92-3</w:t>
      </w:r>
      <w:r w:rsidRPr="00B35650">
        <w:rPr>
          <w:rFonts w:eastAsia="Times New Roman" w:cs="DecoType Naskh" w:hint="cs"/>
          <w:color w:val="auto"/>
          <w:kern w:val="0"/>
          <w:szCs w:val="26"/>
          <w:rtl/>
          <w:lang w:bidi="ar-JO"/>
          <w14:ligatures w14:val="none"/>
        </w:rPr>
        <w:t>).  ويقول كاسوتو: "... من الواضح أننا أمام نص كتب أصلاً بتركيب متجانس، ولم يكن نتيجة صدفة تضمنت وضع أجزاء متنوعة من مصادر مختلفة جنباً إلى جنب." (93).</w:t>
      </w:r>
    </w:p>
    <w:p w14:paraId="75E70DFE"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u w:val="single"/>
          <w:rtl/>
          <w:lang w:bidi="ar-JO"/>
          <w14:ligatures w14:val="none"/>
        </w:rPr>
      </w:pPr>
    </w:p>
    <w:p w14:paraId="3C10D072"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u w:val="single"/>
          <w:rtl/>
          <w:lang w:bidi="ar-JO"/>
          <w14:ligatures w14:val="none"/>
        </w:rPr>
        <w:t>تمهيد</w:t>
      </w:r>
      <w:r w:rsidRPr="00B35650">
        <w:rPr>
          <w:rFonts w:eastAsia="Times New Roman" w:cs="DecoType Naskh" w:hint="cs"/>
          <w:color w:val="auto"/>
          <w:kern w:val="0"/>
          <w:szCs w:val="26"/>
          <w:rtl/>
          <w:lang w:bidi="ar-JO"/>
          <w14:ligatures w14:val="none"/>
        </w:rPr>
        <w:t xml:space="preserve"> (7: 8-13)</w:t>
      </w:r>
      <w:r w:rsidRPr="00B35650">
        <w:rPr>
          <w:rFonts w:eastAsia="Times New Roman" w:cs="DecoType Naskh" w:hint="cs"/>
          <w:color w:val="auto"/>
          <w:kern w:val="0"/>
          <w:szCs w:val="26"/>
          <w:rtl/>
          <w14:ligatures w14:val="none"/>
        </w:rPr>
        <w:t xml:space="preserve"> </w:t>
      </w:r>
      <w:r w:rsidRPr="00B35650">
        <w:rPr>
          <w:rFonts w:eastAsia="Times New Roman" w:cs="DecoType Naskh" w:hint="cs"/>
          <w:color w:val="auto"/>
          <w:kern w:val="0"/>
          <w:szCs w:val="26"/>
          <w:rtl/>
          <w:lang w:bidi="ar-JO"/>
          <w14:ligatures w14:val="none"/>
        </w:rPr>
        <w:t>تعارض التوراة كل أشكال السحر، لأنه يسعى إلى إجبار قوى الطبيعة والأرواح الشريرة وحتى الآلهة على تنفيذ إرادة الإنسان بعيداً عن الله.  وعلى الرغم من قدرة السحرة على القيام بالسحر، فإن إله إسرائيل متفوق عليها! وسيكون هذا درساً هاماً لمستقبل إسرائيل في كنعان.</w:t>
      </w:r>
    </w:p>
    <w:p w14:paraId="6C1972F6"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275C477F" w14:textId="77777777" w:rsidR="00B35650" w:rsidRPr="00B35650" w:rsidRDefault="00B35650"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1.</w:t>
      </w:r>
      <w:r w:rsidRPr="00B35650">
        <w:rPr>
          <w:rFonts w:eastAsia="Times New Roman" w:cs="DecoType Naskh" w:hint="cs"/>
          <w:color w:val="auto"/>
          <w:kern w:val="0"/>
          <w:szCs w:val="26"/>
          <w:rtl/>
          <w:lang w:bidi="ar-JO"/>
          <w14:ligatures w14:val="none"/>
        </w:rPr>
        <w:tab/>
      </w:r>
      <w:r w:rsidRPr="00B35650">
        <w:rPr>
          <w:rFonts w:eastAsia="Times New Roman" w:cs="DecoType Naskh" w:hint="cs"/>
          <w:i/>
          <w:iCs/>
          <w:color w:val="auto"/>
          <w:kern w:val="0"/>
          <w:szCs w:val="26"/>
          <w:rtl/>
          <w:lang w:bidi="ar-JO"/>
          <w14:ligatures w14:val="none"/>
        </w:rPr>
        <w:t>الكارثة الأولى</w:t>
      </w:r>
      <w:r w:rsidRPr="00B35650">
        <w:rPr>
          <w:rFonts w:eastAsia="Times New Roman" w:cs="DecoType Naskh" w:hint="cs"/>
          <w:color w:val="auto"/>
          <w:kern w:val="0"/>
          <w:szCs w:val="26"/>
          <w:rtl/>
          <w:lang w:bidi="ar-JO"/>
          <w14:ligatures w14:val="none"/>
        </w:rPr>
        <w:t xml:space="preserve"> (7: 14-25)</w:t>
      </w:r>
    </w:p>
    <w:p w14:paraId="1A2F9DFE"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تركز الكارثة الأولى على النيل، العامل الأكثر أهمية في رفاه مصر.  وحتى اليوم يسكن ما يزيد على 90% من سكان مصر ضمن مناطق قريبة جداً من نهر النيل، فالنيل هو شريان الحياة في مصر!</w:t>
      </w:r>
    </w:p>
    <w:p w14:paraId="2FCCDE5C"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يعتبر المصريون نهر النيل الذي يعطي أرض مصر خصبها إلهاً.  وكأن موسى يقول لفرعون: لكنك سترى يا فرعون أنني، بأمر إلهي الذي يهيمن على كل الأشياء، سأضرب هذا المخلوق "الإلهي</w:t>
      </w:r>
      <w:r w:rsidRPr="00B35650">
        <w:rPr>
          <w:rFonts w:eastAsia="Times New Roman" w:cs="DecoType Naskh" w:hint="cs"/>
          <w:color w:val="auto"/>
          <w:kern w:val="0"/>
          <w:szCs w:val="26"/>
          <w:rtl/>
          <w14:ligatures w14:val="none"/>
        </w:rPr>
        <w:t>،</w:t>
      </w:r>
      <w:r w:rsidRPr="00B35650">
        <w:rPr>
          <w:rFonts w:eastAsia="Times New Roman" w:cs="DecoType Naskh" w:hint="cs"/>
          <w:color w:val="auto"/>
          <w:kern w:val="0"/>
          <w:szCs w:val="26"/>
          <w:rtl/>
          <w:lang w:bidi="ar-JO"/>
          <w14:ligatures w14:val="none"/>
        </w:rPr>
        <w:t xml:space="preserve">" أي </w:t>
      </w:r>
      <w:r w:rsidRPr="00B35650">
        <w:rPr>
          <w:rFonts w:eastAsia="Times New Roman" w:cs="DecoType Naskh" w:hint="cs"/>
          <w:color w:val="auto"/>
          <w:kern w:val="0"/>
          <w:szCs w:val="26"/>
          <w:rtl/>
          <w:lang w:bidi="ar-JO"/>
          <w14:ligatures w14:val="none"/>
        </w:rPr>
        <w:lastRenderedPageBreak/>
        <w:t>نهر النيل.  وبعد هذه الضربة ستتحلل طبيعته، ولن تعود مياهه مصدر بركة لمصر كالمعتاد (كاسوتو، 97).</w:t>
      </w:r>
    </w:p>
    <w:p w14:paraId="617B3507" w14:textId="77777777" w:rsidR="00B35650" w:rsidRPr="00B35650" w:rsidRDefault="00B35650"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2.</w:t>
      </w:r>
      <w:r w:rsidRPr="00B35650">
        <w:rPr>
          <w:rFonts w:eastAsia="Times New Roman" w:cs="DecoType Naskh" w:hint="cs"/>
          <w:color w:val="auto"/>
          <w:kern w:val="0"/>
          <w:szCs w:val="26"/>
          <w:rtl/>
          <w:lang w:bidi="ar-JO"/>
          <w14:ligatures w14:val="none"/>
        </w:rPr>
        <w:tab/>
        <w:t xml:space="preserve">الكارثة الثانية (8: 1-15) </w:t>
      </w:r>
    </w:p>
    <w:p w14:paraId="4EAE43EE"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كان استخدام الضفادع أمراً ذا دلالة في الحضارة المصرية.  يقول كاسوتو (101):</w:t>
      </w:r>
    </w:p>
    <w:p w14:paraId="0E70DB01"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B35650">
        <w:rPr>
          <w:rFonts w:eastAsia="Times New Roman" w:cs="DecoType Naskh"/>
          <w:color w:val="auto"/>
          <w:kern w:val="0"/>
          <w:szCs w:val="26"/>
          <w:rtl/>
          <w:lang w:bidi="ar-JO"/>
          <w14:ligatures w14:val="none"/>
        </w:rPr>
        <w:t>نسب المصريون إلى الضفادع التي كانت تعج بها المياه بأعداد لا حصر لها قوة إلهية، واعتبروها رمزاً للخصب.</w:t>
      </w:r>
      <w:r w:rsidRPr="00B35650">
        <w:rPr>
          <w:rFonts w:eastAsia="Times New Roman" w:cs="DecoType Naskh" w:hint="cs"/>
          <w:color w:val="auto"/>
          <w:kern w:val="0"/>
          <w:szCs w:val="26"/>
          <w:rtl/>
          <w:lang w:bidi="ar-JO"/>
          <w14:ligatures w14:val="none"/>
        </w:rPr>
        <w:t xml:space="preserve">  وكان يُعتقد أن إلهة من مجموعة الآلهة المصرية واسمها هِكِت، زوجة الإله خنوم، والتي تصوَّر على شكل امرأة لها رأس ضفدع، تنفخ نفَس الحياة في مناخير الأجساد، التي شكَّلها زوجها على دولاب الخزاف من تراب الأرض.... تهدف رواية التوراة إلى توصيل فكرة أن إله إسرائيل هو وحده الذي يحكم العالم، وهو وحده الذي يمنح مخلوقاته حسب إرادته القدرة على الخصب، وأن هذه الضفادع التي اعتبرها المصريون رمزاً للخصب بمكن أن تتحول، إذا شاء يهوه ذلك .... من رمز للبركة إلى رمز للآفة والتلف. </w:t>
      </w:r>
    </w:p>
    <w:p w14:paraId="1A8E6B2A"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64B1EDC4"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 xml:space="preserve">ستصبح فكرة "الخصب" هذه فكرة مهيمنة حال وجود إسرائيل في الأرض! وتتسم نتيجة الكارثة بالسخرية، عندما يدعو فرعون السحرة لاتخاذ إجراء ما.  فهم قادرون على زيادة الكارثة، لكنهم عاجزون عن إنهائها؛ ولا شك أن هذا أغضب فرعون.  هذه هي النقطة الهامّة: فالله الحقيقي وحده هو القادر على جلب الراحة المطلوبة ..." </w:t>
      </w:r>
      <w:r w:rsidRPr="00B35650">
        <w:rPr>
          <w:rFonts w:eastAsia="Times New Roman" w:cs="DecoType Naskh" w:hint="cs"/>
          <w:i/>
          <w:iCs/>
          <w:color w:val="auto"/>
          <w:kern w:val="0"/>
          <w:szCs w:val="26"/>
          <w:rtl/>
          <w:lang w:bidi="ar-JO"/>
          <w14:ligatures w14:val="none"/>
        </w:rPr>
        <w:t>لكي تعرف أن ليس مثل الرب إلهنا</w:t>
      </w:r>
      <w:r w:rsidRPr="00B35650">
        <w:rPr>
          <w:rFonts w:eastAsia="Times New Roman" w:cs="DecoType Naskh" w:hint="cs"/>
          <w:color w:val="auto"/>
          <w:kern w:val="0"/>
          <w:szCs w:val="26"/>
          <w:rtl/>
          <w:lang w:bidi="ar-JO"/>
          <w14:ligatures w14:val="none"/>
        </w:rPr>
        <w:t>"               (8: 10).</w:t>
      </w:r>
    </w:p>
    <w:p w14:paraId="18FB6B4C"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004FF617" w14:textId="7E50A951" w:rsidR="00B35650" w:rsidRPr="00B35650" w:rsidRDefault="00B35650"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3.</w:t>
      </w:r>
      <w:r w:rsidRPr="00B35650">
        <w:rPr>
          <w:rFonts w:eastAsia="Times New Roman" w:cs="DecoType Naskh" w:hint="cs"/>
          <w:color w:val="auto"/>
          <w:kern w:val="0"/>
          <w:szCs w:val="26"/>
          <w:rtl/>
          <w:lang w:bidi="ar-JO"/>
          <w14:ligatures w14:val="none"/>
        </w:rPr>
        <w:tab/>
        <w:t>الكارثة الثالثة: البعوض (8: 16-19)</w:t>
      </w:r>
    </w:p>
    <w:p w14:paraId="16A07BAB"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لا يوجد تحذير من الكارثة الثالثة أو أي مثول لموسى أمام الفرعون.  وإنه لأمر ذو دلالة أن السحرة مستعدون للإقرار بهزيمتهم بقولهم لفرعون: "</w:t>
      </w:r>
      <w:r w:rsidRPr="00B35650">
        <w:rPr>
          <w:rFonts w:eastAsia="Times New Roman" w:cs="DecoType Naskh" w:hint="cs"/>
          <w:i/>
          <w:iCs/>
          <w:color w:val="auto"/>
          <w:kern w:val="0"/>
          <w:szCs w:val="26"/>
          <w:rtl/>
          <w:lang w:bidi="ar-JO"/>
          <w14:ligatures w14:val="none"/>
        </w:rPr>
        <w:t>هذا إصبع الله</w:t>
      </w:r>
      <w:r w:rsidRPr="00B35650">
        <w:rPr>
          <w:rFonts w:eastAsia="Times New Roman" w:cs="DecoType Naskh" w:hint="cs"/>
          <w:color w:val="auto"/>
          <w:kern w:val="0"/>
          <w:szCs w:val="26"/>
          <w:rtl/>
          <w:lang w:bidi="ar-JO"/>
          <w14:ligatures w14:val="none"/>
        </w:rPr>
        <w:t>" (8: 19).  لكن لنلاحظ أنهم يقولون "الله" فقط، ولا يقولون "يهوه"؛ فهو اعتراف جزئي فقط.</w:t>
      </w:r>
    </w:p>
    <w:p w14:paraId="25B50227"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 xml:space="preserve">     </w:t>
      </w:r>
    </w:p>
    <w:p w14:paraId="2C204866" w14:textId="77777777" w:rsidR="00B35650" w:rsidRPr="00B35650" w:rsidRDefault="00B35650"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4.</w:t>
      </w:r>
      <w:r w:rsidRPr="00B35650">
        <w:rPr>
          <w:rFonts w:eastAsia="Times New Roman" w:cs="DecoType Naskh" w:hint="cs"/>
          <w:color w:val="auto"/>
          <w:kern w:val="0"/>
          <w:szCs w:val="26"/>
          <w:rtl/>
          <w:lang w:bidi="ar-JO"/>
          <w14:ligatures w14:val="none"/>
        </w:rPr>
        <w:tab/>
        <w:t>الكارثة الرابعة: حشرات (8: 20-32)</w:t>
      </w:r>
    </w:p>
    <w:p w14:paraId="6D863FE0"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إن إحدى السمات الملحوظة لهذه الكارثة هي التوكيد على التمييز بين شعب الرب والشعب المصري: "</w:t>
      </w:r>
      <w:r w:rsidRPr="00B35650">
        <w:rPr>
          <w:rFonts w:eastAsia="Times New Roman" w:cs="DecoType Naskh" w:hint="cs"/>
          <w:i/>
          <w:iCs/>
          <w:color w:val="auto"/>
          <w:kern w:val="0"/>
          <w:szCs w:val="26"/>
          <w:rtl/>
          <w:lang w:bidi="ar-JO"/>
          <w14:ligatures w14:val="none"/>
        </w:rPr>
        <w:t>أجعل فرقاً بين شعبي وشعبك</w:t>
      </w:r>
      <w:r w:rsidRPr="00B35650">
        <w:rPr>
          <w:rFonts w:eastAsia="Times New Roman" w:cs="DecoType Naskh" w:hint="cs"/>
          <w:color w:val="auto"/>
          <w:kern w:val="0"/>
          <w:szCs w:val="26"/>
          <w:rtl/>
          <w:lang w:bidi="ar-JO"/>
          <w14:ligatures w14:val="none"/>
        </w:rPr>
        <w:t xml:space="preserve">."  ويتعظم يهوه من خلال هذا.  ففي كل الأرض يتم كل شيء حسب إرادته، وشعبه مميز في نظره.  لكن فرعون مازال غير قادر على استيعاب حق الرب في الحكم المطلق: فعلى الرغم من أنه بدأ يتنازل عن حقوق (كالسماح لهم بالذهاب ليقدّموا ذبائح)، فإنه يحاول أن يقيّد هذا العمل، كما لو أنه ما زال من بيده القرار! </w:t>
      </w:r>
    </w:p>
    <w:p w14:paraId="524D77E0"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00FC9DD4" w14:textId="77777777" w:rsidR="00B35650" w:rsidRPr="00B35650" w:rsidRDefault="00B35650"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5.</w:t>
      </w:r>
      <w:r w:rsidRPr="00B35650">
        <w:rPr>
          <w:rFonts w:eastAsia="Times New Roman" w:cs="DecoType Naskh" w:hint="cs"/>
          <w:color w:val="auto"/>
          <w:kern w:val="0"/>
          <w:szCs w:val="26"/>
          <w:rtl/>
          <w:lang w:bidi="ar-JO"/>
          <w14:ligatures w14:val="none"/>
        </w:rPr>
        <w:tab/>
        <w:t>الكارثة الخامسة: وبأ شديد لقتل المواشي (9: 1-7)</w:t>
      </w:r>
    </w:p>
    <w:p w14:paraId="763F6C22"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إنه لأمر مثير للاهتمام أن نلاحظ أن "يد الله" هي التي تتهددهم بالخطر، بينما لاحظ السحرة في ما مضى "إصبع الله" (8: 19).  وفضلاً عن ذلك، يمتد التفريق بين الشعبين إلى مواشي إسرائيل، ولا يعطى الفرعون فرصة اختيار الوقت.</w:t>
      </w:r>
    </w:p>
    <w:p w14:paraId="7A24554D"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5EE96794" w14:textId="777C8CF9" w:rsidR="00B35650" w:rsidRPr="00B35650" w:rsidRDefault="00B35650"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6.</w:t>
      </w:r>
      <w:r w:rsidRPr="00B35650">
        <w:rPr>
          <w:rFonts w:eastAsia="Times New Roman" w:cs="DecoType Naskh" w:hint="cs"/>
          <w:color w:val="auto"/>
          <w:kern w:val="0"/>
          <w:szCs w:val="26"/>
          <w:rtl/>
          <w:lang w:bidi="ar-JO"/>
          <w14:ligatures w14:val="none"/>
        </w:rPr>
        <w:tab/>
        <w:t>الكارثة السادسة: الدمامل (9: 8-12)</w:t>
      </w:r>
    </w:p>
    <w:p w14:paraId="3B37754D"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مرة أخرى لا يعطى تحذير من الكارثة الثالثة لهذه الدورة الثانية.  ويتعرض السحرة المرافقون لفرعون لهجوم عنيف: لم يعجزوا عن إزالة المرض من أرض مصر فقط، لكنهم لم يستطيعوا أن يحموا أنفسهم منه أيضاً، نجد هنا تطوّراً تدرُّجياً: لقد انتقلوا من المشاركة الفاعلة إلى الصمت، وهم الآن غير قادرين حتى على الوقوف بصمت!</w:t>
      </w:r>
    </w:p>
    <w:p w14:paraId="599BF153"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4E85DBA3" w14:textId="77777777" w:rsidR="00B35650" w:rsidRPr="00B35650" w:rsidRDefault="00B35650"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7.</w:t>
      </w:r>
      <w:r w:rsidRPr="00B35650">
        <w:rPr>
          <w:rFonts w:eastAsia="Times New Roman" w:cs="DecoType Naskh" w:hint="cs"/>
          <w:color w:val="auto"/>
          <w:kern w:val="0"/>
          <w:szCs w:val="26"/>
          <w:rtl/>
          <w:lang w:bidi="ar-JO"/>
          <w14:ligatures w14:val="none"/>
        </w:rPr>
        <w:tab/>
        <w:t>الكارثة السابعة: البَرَد (9: 13-35)</w:t>
      </w:r>
    </w:p>
    <w:p w14:paraId="0047D7EE" w14:textId="32CDB6CC"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 xml:space="preserve">هذه هي بداية الدورة الثالثة، وهي أكثر قسوة وحسماً من سابقتيها.  وهنا لا يمثل موسى أمام الفرعون ثانية فحسب، لكنه يجلب معه توبيخاً لاسعاً من الرب أيضاً.  ويعلن يهوه عن نيّته في استخدام المسألة </w:t>
      </w:r>
      <w:r w:rsidRPr="00B35650">
        <w:rPr>
          <w:rFonts w:eastAsia="Times New Roman" w:cs="DecoType Naskh" w:hint="cs"/>
          <w:color w:val="auto"/>
          <w:kern w:val="0"/>
          <w:szCs w:val="26"/>
          <w:rtl/>
          <w:lang w:bidi="ar-JO"/>
          <w14:ligatures w14:val="none"/>
        </w:rPr>
        <w:lastRenderedPageBreak/>
        <w:t>كلها لكي يعلّم الأرض كلّها درساً: لا يوجد إله آخر مثله؛ ولا يوجد من يملك قوّته؛ وسينادى باسمه في كل الأرض.  ومن ناحية أخرى، يوبّخ الرب فرعون لأنه مستمر في تعظيم نفسه بعدم تواضعه أمام يهوه (9: 17).  ومع هذا الوبأ، يصل فرعون إلى نقطة الاعتراف (9: 27)، لكن هذا الاعتراف كان ناقصاً: "لكنه مازال متمسكاً بغطرسته ويرفض الاعتراف بخطاياه الأولى والكبيرة؛ ومن هنا فإنه يضيف: ’هذه المرة‘، كما لو أنه لم تكن له أية خطية أخرى تؤرق ضميره إلاّ رفضه في هذه المرة" (كاسوتو، 120).  وعلى الرغم من الخضوع الشكلي للفرعون، إلا أن موسى يتهمه قائلاً: "</w:t>
      </w:r>
      <w:r w:rsidRPr="00B35650">
        <w:rPr>
          <w:rFonts w:eastAsia="Times New Roman" w:cs="DecoType Naskh" w:hint="cs"/>
          <w:i/>
          <w:iCs/>
          <w:color w:val="auto"/>
          <w:kern w:val="0"/>
          <w:szCs w:val="26"/>
          <w:rtl/>
          <w:lang w:bidi="ar-JO"/>
          <w14:ligatures w14:val="none"/>
        </w:rPr>
        <w:t>أنا أعلم أنكم لم تخشوا بعد من الرب الإله</w:t>
      </w:r>
      <w:r w:rsidRPr="00B35650">
        <w:rPr>
          <w:rFonts w:eastAsia="Times New Roman" w:cs="DecoType Naskh" w:hint="cs"/>
          <w:color w:val="auto"/>
          <w:kern w:val="0"/>
          <w:szCs w:val="26"/>
          <w:rtl/>
          <w:lang w:bidi="ar-JO"/>
          <w14:ligatures w14:val="none"/>
        </w:rPr>
        <w:t>" (9: 30).  "على الرغم من أنك تخشى من قسوة الكارثة، وتخشى أيضاً بشكل عام من القوة الإلهية، إلاّ أنك لم تميّز بعد ولم تخش بعد الرب الإله، الرب الذي ندعوه باسم يهوه" (كاسوتو، 121).</w:t>
      </w:r>
    </w:p>
    <w:p w14:paraId="5F338586"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56964B22" w14:textId="77777777" w:rsidR="00B35650" w:rsidRPr="00B35650" w:rsidRDefault="00B35650"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8.</w:t>
      </w:r>
      <w:r w:rsidRPr="00B35650">
        <w:rPr>
          <w:rFonts w:eastAsia="Times New Roman" w:cs="DecoType Naskh" w:hint="cs"/>
          <w:color w:val="auto"/>
          <w:kern w:val="0"/>
          <w:szCs w:val="26"/>
          <w:rtl/>
          <w:lang w:bidi="ar-JO"/>
          <w14:ligatures w14:val="none"/>
        </w:rPr>
        <w:tab/>
        <w:t>الكارثة الثامنة: الجراد (10: 1-20)</w:t>
      </w:r>
    </w:p>
    <w:p w14:paraId="5ECD3D54"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لا شك أن هذه الكارثة دمّرت مصر اقتصادياً، مما دعا حتى خدم الفرعون (الآية 7) إلى تبني نظرية تصالحية.  لكن موافقته في الآية الثامنة سطحية، كما في المرة السابقة، ويشهد على ذلك سؤال عن تحديد هوية الذين سيذهبون.  فكأنه يقول: "أرغب أن أعرف بالضبط من هم من بينكم الذين سيذهبون، فأنا لن أعطي إذناً بالخروج في هذه الرحلة إلاّ للذين أوافق عليهم" (كاسوتو، 125).  لم يتعلم بعد أن يهوه يستحق خضوعاً كاملاً... وأن الفرعون هو لا شيء! وبعد الكارثة يصير اعترافه أكثر صدقاً: فهو يعترف بخطيته ضدّ يهوه، ولا يلجأ إلى فرض قيود كما فعل في السابق.</w:t>
      </w:r>
    </w:p>
    <w:p w14:paraId="02B6A187" w14:textId="77777777" w:rsidR="00B35650" w:rsidRPr="00B35650" w:rsidRDefault="00B35650"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9.</w:t>
      </w:r>
      <w:r w:rsidRPr="00B35650">
        <w:rPr>
          <w:rFonts w:eastAsia="Times New Roman" w:cs="DecoType Naskh" w:hint="cs"/>
          <w:color w:val="auto"/>
          <w:kern w:val="0"/>
          <w:szCs w:val="26"/>
          <w:rtl/>
          <w:lang w:bidi="ar-JO"/>
          <w14:ligatures w14:val="none"/>
        </w:rPr>
        <w:tab/>
        <w:t>الكارثة التاسعة: الظلمة (10: 21-29)</w:t>
      </w:r>
    </w:p>
    <w:p w14:paraId="335F5BA3"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تشكل هذه الكارثة اللقاء الأخير بين القائدين (الآيتان 28-29).  ولأن هذه هي الكارثة الثالثة في هذه الدورة.  فإنها تأتي دون سابق إنذار.  قد تبدو هذه الكارثة من القراءة الأولى غير شديدة (وهي واقعة أكثر لفتاً للنظر لأنها الكارثة الثالثة للدورة الثالثة).  غير أن هذا كان هجوماً قوياً ضد نظام العبادة المصرية البعيدة عن التقوى، إذ كانت الشمس في حضارتهم تُعبد فوق كل شيء وفوق كُل إله آخر.  يقول كاسوتو: "ستُثبِت هذه الكارثة مدى عِظم قوة الرب ضد آلهة مصر؛ فعندما يشاء إله إسرائيل، فإن الشمس التي يعتبرها المصريون الإله الرئيسي ستختفي ولن تستطيع أن تسطع على عابديها" (129).  فهذه الكارثة لا تسبب مجرد ألم، لكنها تنسف ديانتهم كلها!</w:t>
      </w:r>
    </w:p>
    <w:p w14:paraId="6C4B3A68"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1D0C8F7C" w14:textId="77777777" w:rsidR="00B35650" w:rsidRPr="00B35650" w:rsidRDefault="00B35650"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10.</w:t>
      </w:r>
      <w:r w:rsidRPr="00B35650">
        <w:rPr>
          <w:rFonts w:eastAsia="Times New Roman" w:cs="DecoType Naskh" w:hint="cs"/>
          <w:color w:val="auto"/>
          <w:kern w:val="0"/>
          <w:szCs w:val="26"/>
          <w:rtl/>
          <w:lang w:bidi="ar-JO"/>
          <w14:ligatures w14:val="none"/>
        </w:rPr>
        <w:tab/>
        <w:t>الكارثة العاشرة: موت كل بكر (11: 1-8)</w:t>
      </w:r>
    </w:p>
    <w:p w14:paraId="05E94A83"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B35650">
        <w:rPr>
          <w:rFonts w:eastAsia="Times New Roman" w:cs="DecoType Naskh" w:hint="cs"/>
          <w:color w:val="auto"/>
          <w:kern w:val="0"/>
          <w:szCs w:val="26"/>
          <w:rtl/>
          <w:lang w:bidi="ar-JO"/>
          <w14:ligatures w14:val="none"/>
        </w:rPr>
        <w:t xml:space="preserve">الكلام هنا استمرار للآية (10: 29)، فهو ينتهي بموسى وهو يغادر قصر فرعون في غضب شديد.  فعلى الرغم من أن فرعون هدد موسى بالموت (10: 28)، إلا أن الأمر سيكون معكوساً: إذ سيصيب الموت المصريين، حتى بيت فرعون نفسه.  لم تكن مغادرة موسى النهائية مغادرة شخص يُنفى، لكنها كانت مغادرة من يذهب بملء إرادته، مغادرة من لم يعد يرغب أن يقف في حضرة الفرعون! </w:t>
      </w:r>
    </w:p>
    <w:p w14:paraId="61DC3B7C" w14:textId="77777777" w:rsidR="00B35650" w:rsidRPr="00B35650" w:rsidRDefault="00B35650" w:rsidP="002D6C54">
      <w:pPr>
        <w:bidi/>
        <w:spacing w:after="0" w:line="240" w:lineRule="auto"/>
        <w:rPr>
          <w:rFonts w:eastAsia="Times New Roman" w:cs="DecoType Naskh"/>
          <w:color w:val="auto"/>
          <w:kern w:val="0"/>
          <w:szCs w:val="18"/>
          <w:rtl/>
          <w14:ligatures w14:val="none"/>
        </w:rPr>
      </w:pPr>
      <w:r w:rsidRPr="00B35650">
        <w:rPr>
          <w:rFonts w:eastAsia="Times New Roman" w:cs="DecoType Naskh" w:hint="cs"/>
          <w:color w:val="auto"/>
          <w:kern w:val="0"/>
          <w:szCs w:val="18"/>
          <w:rtl/>
          <w14:ligatures w14:val="none"/>
        </w:rPr>
        <w:t xml:space="preserve">    </w:t>
      </w:r>
    </w:p>
    <w:p w14:paraId="58E2F137" w14:textId="77777777" w:rsidR="00B35650" w:rsidRPr="00B35650" w:rsidRDefault="00B35650"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14:ligatures w14:val="none"/>
        </w:rPr>
      </w:pPr>
    </w:p>
    <w:p w14:paraId="69B58D6D" w14:textId="6B4AB24C" w:rsidR="006311FA" w:rsidRPr="00C567C5" w:rsidRDefault="000467AC" w:rsidP="00B46125">
      <w:pPr>
        <w:bidi/>
        <w:rPr>
          <w:rFonts w:ascii="Simplified Arabic" w:hAnsi="Simplified Arabic" w:cs="Simplified Arabic"/>
          <w:b/>
          <w:bCs/>
          <w:sz w:val="28"/>
          <w:szCs w:val="28"/>
        </w:rPr>
      </w:pPr>
      <w:r w:rsidRPr="00C567C5">
        <w:rPr>
          <w:rFonts w:ascii="Simplified Arabic" w:hAnsi="Simplified Arabic" w:cs="Simplified Arabic"/>
          <w:b/>
          <w:bCs/>
          <w:sz w:val="28"/>
          <w:szCs w:val="28"/>
          <w:rtl/>
        </w:rPr>
        <w:t xml:space="preserve">الموضوع 3: </w:t>
      </w:r>
      <w:r w:rsidR="00B46125" w:rsidRPr="00C567C5">
        <w:rPr>
          <w:rFonts w:ascii="Simplified Arabic" w:eastAsia="Calibri" w:hAnsi="Simplified Arabic" w:cs="Simplified Arabic"/>
          <w:b/>
          <w:bCs/>
          <w:kern w:val="0"/>
          <w:sz w:val="28"/>
          <w:szCs w:val="28"/>
          <w:rtl/>
          <w14:ligatures w14:val="none"/>
        </w:rPr>
        <w:t>الافتداء من العبودية (خروج 12: 1 – 18: 27)</w:t>
      </w:r>
    </w:p>
    <w:p w14:paraId="6E216BDB" w14:textId="77777777" w:rsidR="00F67B20" w:rsidRPr="00F67B20" w:rsidRDefault="00F67B20" w:rsidP="002D6C54">
      <w:pPr>
        <w:spacing w:line="240" w:lineRule="auto"/>
      </w:pPr>
    </w:p>
    <w:p w14:paraId="4D9F7F6C" w14:textId="27D9C866" w:rsidR="006311FA" w:rsidRDefault="005221F7"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strike/>
          <w:kern w:val="0"/>
          <w:szCs w:val="24"/>
          <w14:ligatures w14:val="none"/>
        </w:rPr>
      </w:pPr>
      <w:r>
        <w:rPr>
          <w:rFonts w:eastAsia="Calibri" w:cs="Times New Roman"/>
          <w:strike/>
          <w:noProof/>
          <w:kern w:val="0"/>
          <w:szCs w:val="24"/>
          <w14:ligatures w14:val="none"/>
        </w:rPr>
        <w:lastRenderedPageBreak/>
        <w:drawing>
          <wp:inline distT="0" distB="0" distL="0" distR="0" wp14:anchorId="33D4004A" wp14:editId="1F695B21">
            <wp:extent cx="5943600" cy="4152900"/>
            <wp:effectExtent l="0" t="0" r="0" b="0"/>
            <wp:docPr id="9401792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4152900"/>
                    </a:xfrm>
                    <a:prstGeom prst="rect">
                      <a:avLst/>
                    </a:prstGeom>
                    <a:noFill/>
                    <a:ln>
                      <a:noFill/>
                    </a:ln>
                  </pic:spPr>
                </pic:pic>
              </a:graphicData>
            </a:graphic>
          </wp:inline>
        </w:drawing>
      </w:r>
    </w:p>
    <w:p w14:paraId="4CCD5FCF" w14:textId="2700C3AA" w:rsidR="00F67B20" w:rsidRPr="007A4B15" w:rsidRDefault="00F67B20" w:rsidP="00B46125">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bookmarkStart w:id="82" w:name="_Hlk178778630"/>
      <w:r w:rsidRPr="007A4B15">
        <w:rPr>
          <w:rFonts w:ascii="Verdana" w:eastAsia="Calibri" w:hAnsi="Verdana" w:cs="Times New Roman"/>
          <w:b/>
          <w:caps/>
          <w:noProof/>
          <w:color w:val="006699"/>
          <w:kern w:val="0"/>
          <w:sz w:val="21"/>
          <w:szCs w:val="24"/>
          <w14:ligatures w14:val="none"/>
        </w:rPr>
        <w:drawing>
          <wp:inline distT="0" distB="0" distL="0" distR="0" wp14:anchorId="4B8EDEE4" wp14:editId="43099E61">
            <wp:extent cx="613692" cy="541464"/>
            <wp:effectExtent l="0" t="0" r="0" b="0"/>
            <wp:docPr id="81674109" name="Picture 81674109"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B46125" w:rsidRPr="00B46125">
        <w:rPr>
          <w:rFonts w:ascii="Verdana" w:eastAsia="Calibri" w:hAnsi="Verdana" w:cs="Times New Roman" w:hint="cs"/>
          <w:bCs/>
          <w:caps/>
          <w:color w:val="006699"/>
          <w:kern w:val="0"/>
          <w:sz w:val="21"/>
          <w:szCs w:val="24"/>
          <w:u w:val="single"/>
          <w:rtl/>
          <w14:ligatures w14:val="none"/>
        </w:rPr>
        <w:t>القراءة:</w:t>
      </w:r>
      <w:r w:rsidR="00B46125">
        <w:rPr>
          <w:rFonts w:ascii="Verdana" w:eastAsia="Calibri" w:hAnsi="Verdana" w:cs="Times New Roman" w:hint="cs"/>
          <w:b/>
          <w:caps/>
          <w:color w:val="006699"/>
          <w:kern w:val="0"/>
          <w:sz w:val="21"/>
          <w:szCs w:val="24"/>
          <w:u w:val="single"/>
          <w:rtl/>
          <w14:ligatures w14:val="none"/>
        </w:rPr>
        <w:t xml:space="preserve"> </w:t>
      </w:r>
    </w:p>
    <w:p w14:paraId="7DE1693A" w14:textId="2335D29A" w:rsidR="00F67B20" w:rsidRDefault="00F67B20" w:rsidP="00B46125">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eastAsia="Calibri" w:cs="Times New Roman"/>
          <w:kern w:val="0"/>
          <w:szCs w:val="24"/>
          <w14:ligatures w14:val="none"/>
        </w:rPr>
      </w:pPr>
      <w:r>
        <w:rPr>
          <w:rFonts w:eastAsia="Calibri" w:cs="Times New Roman"/>
          <w:kern w:val="0"/>
          <w:szCs w:val="24"/>
          <w14:ligatures w14:val="none"/>
        </w:rPr>
        <w:tab/>
      </w:r>
      <w:r>
        <w:rPr>
          <w:rFonts w:eastAsia="Calibri" w:cs="Times New Roman"/>
          <w:kern w:val="0"/>
          <w:szCs w:val="24"/>
          <w14:ligatures w14:val="none"/>
        </w:rPr>
        <w:tab/>
      </w:r>
      <w:r w:rsidR="00B46125">
        <w:rPr>
          <w:rFonts w:eastAsia="Calibri" w:cs="Times New Roman" w:hint="cs"/>
          <w:kern w:val="0"/>
          <w:szCs w:val="24"/>
          <w:rtl/>
          <w14:ligatures w14:val="none"/>
        </w:rPr>
        <w:t xml:space="preserve">اقرأ خروج 12: 1 </w:t>
      </w:r>
      <w:r w:rsidR="00B46125">
        <w:rPr>
          <w:rFonts w:eastAsia="Calibri" w:cs="Times New Roman"/>
          <w:kern w:val="0"/>
          <w:szCs w:val="24"/>
          <w:rtl/>
          <w14:ligatures w14:val="none"/>
        </w:rPr>
        <w:t>–</w:t>
      </w:r>
      <w:r w:rsidR="00B46125">
        <w:rPr>
          <w:rFonts w:eastAsia="Calibri" w:cs="Times New Roman" w:hint="cs"/>
          <w:kern w:val="0"/>
          <w:szCs w:val="24"/>
          <w:rtl/>
          <w14:ligatures w14:val="none"/>
        </w:rPr>
        <w:t xml:space="preserve"> 18: 27 في كتابك المُقدَّس. </w:t>
      </w:r>
    </w:p>
    <w:p w14:paraId="1AFB97C9" w14:textId="77777777" w:rsidR="00355D9E" w:rsidRDefault="00355D9E" w:rsidP="002D6C54">
      <w:pPr>
        <w:pStyle w:val="Head4"/>
        <w:jc w:val="both"/>
        <w:rPr>
          <w:rtl/>
        </w:rPr>
      </w:pPr>
      <w:bookmarkStart w:id="83" w:name="_Toc164420026"/>
      <w:bookmarkEnd w:id="82"/>
      <w:r>
        <w:rPr>
          <w:rFonts w:hint="cs"/>
          <w:rtl/>
        </w:rPr>
        <w:t>1.</w:t>
      </w:r>
      <w:r>
        <w:rPr>
          <w:rFonts w:hint="cs"/>
          <w:rtl/>
        </w:rPr>
        <w:tab/>
        <w:t>مقدمة</w:t>
      </w:r>
    </w:p>
    <w:p w14:paraId="40FAB60A" w14:textId="77777777" w:rsidR="00355D9E" w:rsidRDefault="00355D9E" w:rsidP="002D6C54">
      <w:pPr>
        <w:pStyle w:val="BodyTxt"/>
        <w:rPr>
          <w:rtl/>
        </w:rPr>
      </w:pPr>
      <w:r>
        <w:rPr>
          <w:rFonts w:hint="cs"/>
          <w:rtl/>
        </w:rPr>
        <w:t>يتضمن سفر الخروج تطبيق الوعد الإبراهيمي بتشكيل أمّة من نسل إبراهيم.  يتعلق الجزء الأول من السفر (1-18) بتحرير رعايا الشعب من خلال الوسيط موسى.  توضح الأصحاحات 1-11 عبوديتهم، بينما تصوّر الأصحاحات 12-18 فداءهم.  وسنتتبع في هذا القسم الأحداث الهامة منذ إخلاء سبيل إسرائيل إلى مجيئهم إلى جبل سيناء.  وسيتضمن هذا ثلاث مراحل: (1) الفصح والخروج (2) الإنقاذ عند البحر الأحمر (3) هجرة إسرائيل إلى سيناء.</w:t>
      </w:r>
    </w:p>
    <w:p w14:paraId="6D266410" w14:textId="77777777" w:rsidR="00355D9E" w:rsidRDefault="00355D9E" w:rsidP="002D6C54">
      <w:pPr>
        <w:pStyle w:val="BodyTxt"/>
        <w:rPr>
          <w:rtl/>
        </w:rPr>
      </w:pPr>
    </w:p>
    <w:p w14:paraId="74D9B01F" w14:textId="77777777" w:rsidR="00355D9E" w:rsidRDefault="00355D9E" w:rsidP="002D6C54">
      <w:pPr>
        <w:pStyle w:val="Head4"/>
        <w:jc w:val="both"/>
        <w:rPr>
          <w:rtl/>
        </w:rPr>
      </w:pPr>
      <w:r>
        <w:rPr>
          <w:rFonts w:hint="cs"/>
          <w:rtl/>
        </w:rPr>
        <w:t>2.</w:t>
      </w:r>
      <w:r>
        <w:rPr>
          <w:rFonts w:hint="cs"/>
          <w:rtl/>
        </w:rPr>
        <w:tab/>
        <w:t>الفصح والخروج (12: 1-13: 16)</w:t>
      </w:r>
    </w:p>
    <w:p w14:paraId="5E468E45" w14:textId="77777777" w:rsidR="00355D9E" w:rsidRDefault="00355D9E" w:rsidP="002D6C54">
      <w:pPr>
        <w:pStyle w:val="Head5"/>
        <w:jc w:val="both"/>
        <w:rPr>
          <w:rtl/>
        </w:rPr>
      </w:pPr>
      <w:r>
        <w:rPr>
          <w:rFonts w:hint="cs"/>
          <w:rtl/>
        </w:rPr>
        <w:t>أ.</w:t>
      </w:r>
      <w:r>
        <w:rPr>
          <w:rFonts w:hint="cs"/>
          <w:rtl/>
        </w:rPr>
        <w:tab/>
        <w:t xml:space="preserve">فريضة الفصح </w:t>
      </w:r>
    </w:p>
    <w:p w14:paraId="53CCD464" w14:textId="77777777" w:rsidR="00355D9E" w:rsidRDefault="00355D9E" w:rsidP="002D6C54">
      <w:pPr>
        <w:pStyle w:val="BodyTxt"/>
        <w:rPr>
          <w:rtl/>
        </w:rPr>
      </w:pPr>
      <w:r>
        <w:rPr>
          <w:rFonts w:hint="cs"/>
          <w:rtl/>
        </w:rPr>
        <w:t>الفصح (</w:t>
      </w:r>
      <w:r w:rsidRPr="007C16D2">
        <w:rPr>
          <w:rFonts w:ascii="Ezra SIL" w:hAnsi="Ezra SIL" w:cs="Ezra SIL" w:hint="cs"/>
          <w:b/>
          <w:szCs w:val="22"/>
          <w:rtl/>
          <w:lang w:bidi="he-IL"/>
        </w:rPr>
        <w:t>פֶּסַח</w:t>
      </w:r>
      <w:r>
        <w:rPr>
          <w:rFonts w:ascii="Ezra SIL" w:hAnsi="Ezra SIL" w:cs="Ezra SIL" w:hint="cs"/>
          <w:b/>
          <w:szCs w:val="22"/>
          <w:rtl/>
          <w:lang w:bidi="he-IL"/>
        </w:rPr>
        <w:t xml:space="preserve"> </w:t>
      </w:r>
      <w:r>
        <w:rPr>
          <w:lang w:bidi="ar-SA"/>
        </w:rPr>
        <w:t xml:space="preserve">, </w:t>
      </w:r>
      <w:r w:rsidRPr="007C16D2">
        <w:rPr>
          <w:rFonts w:ascii="Charis SIL" w:hAnsi="Charis SIL" w:cs="Charis SIL"/>
          <w:bCs/>
          <w:i/>
          <w:iCs/>
        </w:rPr>
        <w:t>pesaḥ</w:t>
      </w:r>
      <w:r>
        <w:rPr>
          <w:rFonts w:hint="cs"/>
          <w:rtl/>
        </w:rPr>
        <w:t xml:space="preserve"> </w:t>
      </w:r>
      <w:r>
        <w:rPr>
          <w:rFonts w:hint="cs"/>
          <w:i/>
          <w:iCs/>
          <w:rtl/>
        </w:rPr>
        <w:t>بيساخ</w:t>
      </w:r>
      <w:r>
        <w:rPr>
          <w:rFonts w:hint="cs"/>
          <w:rtl/>
        </w:rPr>
        <w:t>) هو الطقس المشروط المسبق لتحرير يهوه لبني إسرائيل.  وخلفية الفصح هو الكارثة العاشرة على المصريين التي حُكِم فيها على كل بكر في مصر بالموت، بما في ذلك إسرائيل، ما لم تقم إسرائيل بالطقس المطلوب.</w:t>
      </w:r>
    </w:p>
    <w:p w14:paraId="73FCECAC" w14:textId="77777777" w:rsidR="00355D9E" w:rsidRDefault="00355D9E" w:rsidP="002D6C54">
      <w:pPr>
        <w:pStyle w:val="BodyTxt"/>
        <w:rPr>
          <w:rtl/>
        </w:rPr>
      </w:pPr>
    </w:p>
    <w:p w14:paraId="49107559" w14:textId="77777777" w:rsidR="00355D9E" w:rsidRDefault="00355D9E" w:rsidP="002D6C54">
      <w:pPr>
        <w:pStyle w:val="BodyTxt"/>
        <w:rPr>
          <w:rtl/>
        </w:rPr>
      </w:pPr>
      <w:r>
        <w:rPr>
          <w:rFonts w:hint="cs"/>
          <w:rtl/>
        </w:rPr>
        <w:lastRenderedPageBreak/>
        <w:t>إن الفكرة الأساسية لهذا القسم هو "الفداء."  وسيحدد هذا من نواحٍ كثيرة المفهوم الكتابي للفداء الذي سنراه في نهاية الأمر في ملئه في العهد الجديد.  غير أن ما نجده في هذا القسم هو فداء أمّة، لا فداء أفراد.  فالآن يفتدي الله إسرائيل كأمّة.... وهو يحرّرهم من عبودية أرضية ليكونوا شعب الله.  ولا يعني هذا أنهم كانوا جميعاً مخلَّصين بالمعنى الذي يقدّمه العهد الجديد لكلمة الخلاص.  فعلى الرغم من اختيارهم من خلال إبراهيم، إلا أنهم لم يستطيعوا أن يشكّلوا أمّة من دون أن يفتديهم الله.</w:t>
      </w:r>
    </w:p>
    <w:p w14:paraId="1772C2B5" w14:textId="77777777" w:rsidR="00355D9E" w:rsidRDefault="00355D9E" w:rsidP="002D6C54">
      <w:pPr>
        <w:pStyle w:val="BodyTxt"/>
        <w:rPr>
          <w:rtl/>
        </w:rPr>
      </w:pPr>
    </w:p>
    <w:p w14:paraId="28A45865" w14:textId="368905DB" w:rsidR="00355D9E" w:rsidRDefault="00355D9E" w:rsidP="002D6C54">
      <w:pPr>
        <w:pStyle w:val="BodyTxt"/>
        <w:rPr>
          <w:rtl/>
        </w:rPr>
      </w:pPr>
      <w:r>
        <w:rPr>
          <w:rFonts w:hint="cs"/>
          <w:rtl/>
        </w:rPr>
        <w:t>يتركز "فداء" سفر الخروج على طقس الفصح.  كان وعد الرب في خروج 6: 6 بالفداء: "</w:t>
      </w:r>
      <w:r>
        <w:rPr>
          <w:rFonts w:hint="cs"/>
          <w:i/>
          <w:iCs/>
          <w:rtl/>
        </w:rPr>
        <w:t>وأخلّصكم (أفديكم</w:t>
      </w:r>
      <w:r>
        <w:rPr>
          <w:rFonts w:hint="cs"/>
          <w:rtl/>
        </w:rPr>
        <w:t xml:space="preserve">) </w:t>
      </w:r>
      <w:r>
        <w:rPr>
          <w:rFonts w:hint="cs"/>
          <w:i/>
          <w:iCs/>
          <w:rtl/>
        </w:rPr>
        <w:t>بذراع ممدودة وبأحكام عظيمة</w:t>
      </w:r>
      <w:r>
        <w:rPr>
          <w:rFonts w:hint="cs"/>
          <w:rtl/>
        </w:rPr>
        <w:t xml:space="preserve">."  وفي ترنيمة التسبيح التي رنّمها العبرانيون بعد إنقاذهم في البحر الأحمر، قالوا: "ترشد (تقود) برأفتك الشعب الذي </w:t>
      </w:r>
      <w:r>
        <w:rPr>
          <w:rFonts w:hint="cs"/>
          <w:u w:val="single"/>
          <w:rtl/>
        </w:rPr>
        <w:t>فديته</w:t>
      </w:r>
      <w:r>
        <w:rPr>
          <w:rFonts w:hint="cs"/>
          <w:rtl/>
        </w:rPr>
        <w:t>" (خروج 15: 13) غير أن عمل "الفداء" القديم هذا يعد الطريق "للفداء الأعظم" الآتي.  إذ سيكون في أيام مستقبلية فداء مستقبلي سيفعل الله بموجبه أكثر من مجرد تحريرهم من عبودية أرضية.</w:t>
      </w:r>
    </w:p>
    <w:p w14:paraId="43DFEED6" w14:textId="77777777" w:rsidR="00355D9E" w:rsidRDefault="00355D9E" w:rsidP="002D6C54">
      <w:pPr>
        <w:pStyle w:val="BodyTxt"/>
        <w:rPr>
          <w:rtl/>
        </w:rPr>
      </w:pPr>
    </w:p>
    <w:p w14:paraId="00DA60E9" w14:textId="77777777" w:rsidR="00355D9E" w:rsidRDefault="00355D9E" w:rsidP="002D6C54">
      <w:pPr>
        <w:pStyle w:val="BodyTxt"/>
        <w:rPr>
          <w:rtl/>
        </w:rPr>
      </w:pPr>
      <w:r>
        <w:rPr>
          <w:rFonts w:hint="cs"/>
          <w:rtl/>
        </w:rPr>
        <w:t>ولاشك أن أحداث خروج 12-14 تشير إلى ذروة أعظم.  ولا يجب علينا أن نغفل عن أن الفصح صورة لخلاصنا من العالم اليوم.  إذ تصرّح 1كورنثوس 5: 7 أن المسيح هو فِصحنا! يشكل خروف الفصح توقّعاً واضحاً للمسيح وتألُّمه من أجلنا، حيث يقدّم دمه حماية لنا.  ولا يخرج المرء من حكم الموت ليصبح جزءاً من شعب الله إلاّ حين يشارك في طقس الفصح.  ويتبع الفداء من عبودية مصر التحرير والنجاة عند البحر الأحمر، لكن الاشتراك في طقس الفصح هو التمهيد الضروري للتحرير والنجاة.</w:t>
      </w:r>
    </w:p>
    <w:p w14:paraId="54C483F7" w14:textId="77777777" w:rsidR="00355D9E" w:rsidRDefault="00355D9E" w:rsidP="002D6C54">
      <w:pPr>
        <w:pStyle w:val="BodyTxt"/>
        <w:rPr>
          <w:rtl/>
        </w:rPr>
      </w:pPr>
    </w:p>
    <w:p w14:paraId="120772DA" w14:textId="77777777" w:rsidR="00355D9E" w:rsidRDefault="00355D9E" w:rsidP="002D6C54">
      <w:pPr>
        <w:pStyle w:val="BodyTxt"/>
        <w:rPr>
          <w:rtl/>
        </w:rPr>
      </w:pPr>
      <w:r>
        <w:rPr>
          <w:rFonts w:hint="cs"/>
          <w:rtl/>
        </w:rPr>
        <w:t>إنه لأمر واضح من خروج 12: 1-2 أن هذا "الفداء" عنصر هام من عناصر تاريخ إسرائيل: "</w:t>
      </w:r>
      <w:r>
        <w:rPr>
          <w:rFonts w:hint="cs"/>
          <w:i/>
          <w:iCs/>
          <w:rtl/>
        </w:rPr>
        <w:t>هذا الشهر يكون لكم رأس الشهور</w:t>
      </w:r>
      <w:r>
        <w:rPr>
          <w:rFonts w:hint="cs"/>
          <w:rtl/>
        </w:rPr>
        <w:t>."  لم يعد التقويم المصري مقبولاً لدى شعب الله؛ إذ شكّل الفصح بداية جديدة.  وصار لدى إسرائيل في نهاية الأمر طريقتان لحساب شهور السنة: النظام الديني والنظام المدني (انظر الملحق 9-2).  تبدأ السنة الجديدة حسب التقويم الديني بهذا الشهر الذي احتفلوا فيه لأول مرة بالفصح (انظر خروج 40: 2، 17؛ لاويين 23: 5).  فقد أوصى الله أن يكون ذاك أول شهر، لأنه جلب معه، بمعنى ما، تغييراً في مصيرهم!</w:t>
      </w:r>
    </w:p>
    <w:p w14:paraId="42CDC526" w14:textId="77777777" w:rsidR="00355D9E" w:rsidRDefault="00355D9E" w:rsidP="002D6C54">
      <w:pPr>
        <w:pStyle w:val="BodyTxt"/>
        <w:rPr>
          <w:rtl/>
        </w:rPr>
      </w:pPr>
    </w:p>
    <w:p w14:paraId="6B11263B" w14:textId="77777777" w:rsidR="00355D9E" w:rsidRDefault="00355D9E" w:rsidP="002D6C54">
      <w:pPr>
        <w:pStyle w:val="Head5"/>
        <w:jc w:val="both"/>
        <w:rPr>
          <w:rtl/>
        </w:rPr>
      </w:pPr>
      <w:r>
        <w:rPr>
          <w:rFonts w:hint="cs"/>
          <w:rtl/>
        </w:rPr>
        <w:t>ب.</w:t>
      </w:r>
      <w:r>
        <w:rPr>
          <w:rFonts w:hint="cs"/>
          <w:rtl/>
        </w:rPr>
        <w:tab/>
        <w:t>حمل الفصح (12: 1-7)</w:t>
      </w:r>
    </w:p>
    <w:p w14:paraId="0BF4A710" w14:textId="77777777" w:rsidR="00355D9E" w:rsidRDefault="00355D9E" w:rsidP="002D6C54">
      <w:pPr>
        <w:pStyle w:val="BodyTxt"/>
        <w:rPr>
          <w:rtl/>
        </w:rPr>
      </w:pPr>
      <w:r>
        <w:rPr>
          <w:rFonts w:hint="cs"/>
          <w:rtl/>
        </w:rPr>
        <w:t>ينقسم طقس الفصح إلى قسمين: 1) ذبح الحمل الذي يوفّر الدم الذي يحمي (الآيات 1-7)؛ و2) العشاء أو تناول الحمل (الآيات 8-11).</w:t>
      </w:r>
    </w:p>
    <w:p w14:paraId="43B9CD94" w14:textId="77777777" w:rsidR="00355D9E" w:rsidRDefault="00355D9E" w:rsidP="00813D5E">
      <w:pPr>
        <w:pStyle w:val="Hang1"/>
        <w:bidi/>
        <w:rPr>
          <w:rtl/>
        </w:rPr>
      </w:pPr>
      <w:r>
        <w:rPr>
          <w:rFonts w:hint="cs"/>
          <w:rtl/>
        </w:rPr>
        <w:t>1.</w:t>
      </w:r>
      <w:r>
        <w:rPr>
          <w:rFonts w:hint="cs"/>
          <w:rtl/>
        </w:rPr>
        <w:tab/>
        <w:t>ذبح الحمل (12: 1-7)</w:t>
      </w:r>
    </w:p>
    <w:p w14:paraId="4A108C85" w14:textId="77777777" w:rsidR="00355D9E" w:rsidRDefault="00355D9E" w:rsidP="00813D5E">
      <w:pPr>
        <w:pStyle w:val="Hang2"/>
        <w:bidi/>
        <w:rPr>
          <w:rtl/>
        </w:rPr>
      </w:pPr>
      <w:r>
        <w:rPr>
          <w:rFonts w:hint="cs"/>
          <w:rtl/>
        </w:rPr>
        <w:t>أ.</w:t>
      </w:r>
      <w:r>
        <w:rPr>
          <w:rFonts w:hint="cs"/>
          <w:rtl/>
        </w:rPr>
        <w:tab/>
        <w:t>تقديم الحمل (3-4)</w:t>
      </w:r>
    </w:p>
    <w:p w14:paraId="77EB976A" w14:textId="77777777" w:rsidR="00355D9E" w:rsidRDefault="00355D9E" w:rsidP="002D6C54">
      <w:pPr>
        <w:pStyle w:val="BodyInd2"/>
        <w:rPr>
          <w:rtl/>
        </w:rPr>
      </w:pPr>
      <w:r>
        <w:rPr>
          <w:rFonts w:hint="cs"/>
          <w:rtl/>
        </w:rPr>
        <w:t>كانت الوسيلة التي سيوفّر الله الفداء لشعبه بواسطتها هي ذبح الحمل.  ومثَّل هذا العمل والنشاطات المتنوعة المرتبطة به درساً موضوعياً للشعب.  ومن الواضح أنه لم يكون واضحاً لدى الشعب أن الرب يسوع المسيح هو الحمل الحقيقي.  فمثل هذا الإدراك لا يأتي إلاّ بعد إعلان لاحق.  لكن ذبح الحمل، كدرس موضوعي، علّم الشعب عدة دروس ليس أقلها الثمن الفظيع الذي تطالب به الخطية والحاجة إلى بديل مقبول ليحمل الخطية.  وفي زمن مستقبلي، يصرّح نبي معروف باسم يوحنّا المعمدان علناً: "</w:t>
      </w:r>
      <w:r>
        <w:rPr>
          <w:rFonts w:hint="cs"/>
          <w:i/>
          <w:iCs/>
          <w:rtl/>
        </w:rPr>
        <w:t>هوذا حمل الله الذي يرفع خطية العالم</w:t>
      </w:r>
      <w:r>
        <w:rPr>
          <w:rFonts w:hint="cs"/>
          <w:rtl/>
        </w:rPr>
        <w:t>!" (يوحنا 1: 29).  كان الله يتطلع إلى ذبيحة ابنه نفسه عندما استخدم صورة الحمل الذبيحي ليُعد الشعب لمجيئه.</w:t>
      </w:r>
    </w:p>
    <w:p w14:paraId="241CBA31" w14:textId="77777777" w:rsidR="00355D9E" w:rsidRDefault="00355D9E" w:rsidP="002D6C54">
      <w:pPr>
        <w:pStyle w:val="BodyInd2"/>
        <w:rPr>
          <w:rtl/>
        </w:rPr>
      </w:pPr>
    </w:p>
    <w:p w14:paraId="7D1FA6DD" w14:textId="77777777" w:rsidR="00355D9E" w:rsidRDefault="00355D9E" w:rsidP="002D6C54">
      <w:pPr>
        <w:pStyle w:val="BodyInd2"/>
        <w:rPr>
          <w:rtl/>
        </w:rPr>
      </w:pPr>
      <w:r>
        <w:rPr>
          <w:rFonts w:hint="cs"/>
          <w:rtl/>
        </w:rPr>
        <w:t>كان على كل عائلة أن تأخذ حملاً (الآية 3)... فكانت المؤونة كافية لكل من يرغب في الحمل، أي لكل من يرغب في أن يحرَّر من حكم الموت الآتي على مصر.  وكانت المؤونة ثمينة أيضاً ولا يجوز تبديدها (الآية 4).  فحيث يوجد تدبير كافٍ للجميع بموت يسوع المسيح، لا يجب أن يبدَّد، وأن يحسب رخيصاً.</w:t>
      </w:r>
    </w:p>
    <w:p w14:paraId="42516DE9" w14:textId="77777777" w:rsidR="00355D9E" w:rsidRDefault="00355D9E" w:rsidP="002D6C54">
      <w:pPr>
        <w:pStyle w:val="BodyInd2"/>
        <w:rPr>
          <w:rtl/>
        </w:rPr>
      </w:pPr>
    </w:p>
    <w:p w14:paraId="48F266C6" w14:textId="77777777" w:rsidR="00355D9E" w:rsidRDefault="00355D9E" w:rsidP="00813D5E">
      <w:pPr>
        <w:pStyle w:val="Hang2"/>
        <w:bidi/>
        <w:rPr>
          <w:rtl/>
        </w:rPr>
      </w:pPr>
      <w:r>
        <w:rPr>
          <w:rFonts w:hint="cs"/>
          <w:rtl/>
        </w:rPr>
        <w:lastRenderedPageBreak/>
        <w:t>ب.</w:t>
      </w:r>
      <w:r>
        <w:rPr>
          <w:rFonts w:hint="cs"/>
          <w:rtl/>
        </w:rPr>
        <w:tab/>
        <w:t>مقاييس للحمل (5-6أ)</w:t>
      </w:r>
    </w:p>
    <w:p w14:paraId="165D9FAF" w14:textId="77777777" w:rsidR="00355D9E" w:rsidRDefault="00355D9E" w:rsidP="002D6C54">
      <w:pPr>
        <w:pStyle w:val="BodyInd2"/>
        <w:rPr>
          <w:rtl/>
        </w:rPr>
      </w:pPr>
      <w:r>
        <w:rPr>
          <w:rFonts w:hint="cs"/>
          <w:rtl/>
        </w:rPr>
        <w:t>توجّب أن يكون الحمل الذي سيُختار لذبيحة الفصح "</w:t>
      </w:r>
      <w:r>
        <w:rPr>
          <w:rFonts w:hint="cs"/>
          <w:i/>
          <w:iCs/>
          <w:rtl/>
        </w:rPr>
        <w:t>شاةً صحيحة ذكراً ابن سنة</w:t>
      </w:r>
      <w:r>
        <w:rPr>
          <w:rFonts w:hint="cs"/>
          <w:rtl/>
        </w:rPr>
        <w:t>."  عَكَسَ هذا الشرط الحاجة إلى أن يكون البديل الذبيحي مقبولاً لدى الله.  وبطبيعة الحال، لم يوجد قط حمل يحقق هذا الشرط تماماً... فالله كان يتطلع إلى "الذبيحة الكاملة"، أي ذبيحة ابن الله.  وهكذا رمزت الحاجة إلى حمل كامل إلى طهارة المسيح وخلوّه من أية خطية.  حتى إن بيلاطس لم يجد فيه عيباً أو علّة، كما أن تلاميذه الذين عرفوه أوثق معرفة صرّحوا أنه كان بلا خطية!</w:t>
      </w:r>
    </w:p>
    <w:p w14:paraId="20C3C9AD" w14:textId="77777777" w:rsidR="00355D9E" w:rsidRDefault="00355D9E" w:rsidP="002D6C54">
      <w:pPr>
        <w:pStyle w:val="BodyInd2"/>
        <w:rPr>
          <w:rtl/>
        </w:rPr>
      </w:pPr>
    </w:p>
    <w:p w14:paraId="121CC82B" w14:textId="77777777" w:rsidR="00355D9E" w:rsidRDefault="00355D9E" w:rsidP="00813D5E">
      <w:pPr>
        <w:pStyle w:val="Hang2"/>
        <w:bidi/>
        <w:rPr>
          <w:rtl/>
        </w:rPr>
      </w:pPr>
      <w:r>
        <w:rPr>
          <w:rFonts w:hint="cs"/>
          <w:rtl/>
        </w:rPr>
        <w:t>جـ.</w:t>
      </w:r>
      <w:r>
        <w:rPr>
          <w:rFonts w:hint="cs"/>
          <w:rtl/>
        </w:rPr>
        <w:tab/>
        <w:t>ذبح الحمل (6ب)</w:t>
      </w:r>
    </w:p>
    <w:p w14:paraId="7537D6AF" w14:textId="77777777" w:rsidR="00355D9E" w:rsidRDefault="00355D9E" w:rsidP="002D6C54">
      <w:pPr>
        <w:pStyle w:val="BodyInd2"/>
        <w:rPr>
          <w:rtl/>
        </w:rPr>
      </w:pPr>
      <w:r>
        <w:rPr>
          <w:rFonts w:hint="cs"/>
          <w:rtl/>
        </w:rPr>
        <w:t>كان على "كل جمهور" الجماعة أن يذبحوا الحمل في العشيّة (عند الغسق).  وعلى الرغم من أن الباحثين منقسمون حول المعنى الدقيق للعبارة المستخدمة هنا، ("بين العشائين")، إلاّ أن آلان كول يقول: "فهم اليهود الأتقياء الأرثوذكس من جماعة الفريسيين معنى هذا التعبير على أنه بين ذاك الوقت الذي تقل فيه حرارة الشمس بعد الظهر (حوالي الثالثة أو الرابعة) وبين الغروب."</w:t>
      </w:r>
      <w:r>
        <w:rPr>
          <w:rStyle w:val="FootnoteReference"/>
          <w:sz w:val="30"/>
          <w:szCs w:val="28"/>
          <w:rtl/>
        </w:rPr>
        <w:footnoteReference w:customMarkFollows="1" w:id="64"/>
        <w:t>1</w:t>
      </w:r>
      <w:r>
        <w:rPr>
          <w:rFonts w:hint="cs"/>
          <w:rtl/>
        </w:rPr>
        <w:t xml:space="preserve"> ولاحظ يوسيفس (وهو مؤرخ يهودي معاصر للمسيح) أن العادة في عصره كانت تقديم حمل في حوالي الساعة الثالثة من بعد الظهر (</w:t>
      </w:r>
      <w:r>
        <w:rPr>
          <w:i/>
          <w:iCs/>
          <w:lang w:bidi="ar-SA"/>
        </w:rPr>
        <w:t>Antiquities</w:t>
      </w:r>
      <w:r>
        <w:rPr>
          <w:lang w:bidi="ar-SA"/>
        </w:rPr>
        <w:t>, XIV, 4: 3</w:t>
      </w:r>
      <w:r>
        <w:rPr>
          <w:rFonts w:hint="cs"/>
          <w:rtl/>
        </w:rPr>
        <w:t>).  وليست مجرّد مصادفة أن يسوع مات في يوم الفصح؛ وفضلاً عن ذلك، يخبرنا العهد الجديد أن موته حدث بين الساعتين 3 و6 من بعد الظهر.  وفي الساعة التاسعة (أي الثالثة بعد الظهر) صرخ، "إلهي إلهي،" وقبل الساعة السادسة بعد الظهر كان يتوجب إنزاله عن الصليب لئلا تنتهك عادة حفظ يوم السبت.</w:t>
      </w:r>
    </w:p>
    <w:p w14:paraId="7A33F932" w14:textId="77777777" w:rsidR="00355D9E" w:rsidRDefault="00355D9E" w:rsidP="002D6C54">
      <w:pPr>
        <w:pStyle w:val="BodyInd2"/>
        <w:rPr>
          <w:rtl/>
        </w:rPr>
      </w:pPr>
    </w:p>
    <w:p w14:paraId="36EBFCA9" w14:textId="77777777" w:rsidR="00355D9E" w:rsidRDefault="00355D9E" w:rsidP="002D6C54">
      <w:pPr>
        <w:pStyle w:val="BodyInd2"/>
        <w:rPr>
          <w:rtl/>
        </w:rPr>
      </w:pPr>
      <w:r>
        <w:rPr>
          <w:rFonts w:hint="cs"/>
          <w:rtl/>
        </w:rPr>
        <w:t>يضيف خروج 12: 46 أنه لا يجب أن يكسر أي عظم من عظام الحمل، منبئاً بحقيقة أن الجنود الذين صلبوا يسوع لم يكسروا عظامه (يوحنا 19: 33).  أمّا اشتراط اشتراك كل الجماعة في ذبح الحمل فيعكس حقيقة أن الجميع يشتركون في مسؤولية موت الحمل.  وبنفس الطريقة فإننا جميعاً مسؤولون عن ذهاب يسوع إلى الصليب.  فخطاياي وخطاياك هي التي سمّرته على الصليب؛ ولا يمكننا أن نكتفي بلوم بعض اليهود القساة القلوب الذين عاشوا في القرن الأول!</w:t>
      </w:r>
    </w:p>
    <w:p w14:paraId="16489EDD" w14:textId="77777777" w:rsidR="00355D9E" w:rsidRDefault="00355D9E" w:rsidP="002D6C54">
      <w:pPr>
        <w:pStyle w:val="BodyInd2"/>
        <w:rPr>
          <w:rtl/>
        </w:rPr>
      </w:pPr>
    </w:p>
    <w:p w14:paraId="7B0331FD" w14:textId="77777777" w:rsidR="00355D9E" w:rsidRDefault="00355D9E" w:rsidP="00813D5E">
      <w:pPr>
        <w:pStyle w:val="Hang2"/>
        <w:bidi/>
        <w:rPr>
          <w:rtl/>
        </w:rPr>
      </w:pPr>
      <w:r>
        <w:rPr>
          <w:rFonts w:hint="cs"/>
          <w:rtl/>
        </w:rPr>
        <w:t>د.</w:t>
      </w:r>
      <w:r>
        <w:rPr>
          <w:rFonts w:hint="cs"/>
          <w:rtl/>
        </w:rPr>
        <w:tab/>
        <w:t>رش دم الحمل (7)</w:t>
      </w:r>
    </w:p>
    <w:p w14:paraId="44A1AF78" w14:textId="77777777" w:rsidR="00355D9E" w:rsidRDefault="00355D9E" w:rsidP="002D6C54">
      <w:pPr>
        <w:pStyle w:val="BodyInd2"/>
        <w:rPr>
          <w:rtl/>
        </w:rPr>
      </w:pPr>
      <w:r>
        <w:rPr>
          <w:rFonts w:hint="cs"/>
          <w:rtl/>
        </w:rPr>
        <w:t>يقول النص إنه كان عليهم أن يضعوا الدم على قائمتي الباب وعتبته العليا لكي يكون فعّالاً.  مثّل الدم الثمن الذي دفعه الحمل، وكان يوفِّر حمايةً للبيت من هلاك البكر.  يقول ديفيس:</w:t>
      </w:r>
    </w:p>
    <w:p w14:paraId="09D5727A" w14:textId="77777777" w:rsidR="00355D9E" w:rsidRDefault="00355D9E" w:rsidP="002D6C54">
      <w:pPr>
        <w:pStyle w:val="BodyInd2"/>
        <w:rPr>
          <w:rtl/>
        </w:rPr>
      </w:pPr>
      <w:r>
        <w:rPr>
          <w:rFonts w:hint="cs"/>
          <w:rtl/>
        </w:rPr>
        <w:t>يعبّر رش الدم بشكل فصيح عن كفّارة بديلية.  فكما كان الحمل بديلاً عن البكر حامياً إياه بذلك من الموت، فإن حمل الله سيموت يوماً ما مكان كل الخطاة، موفّراً بهذا النجاة من دينونة الله.</w:t>
      </w:r>
      <w:r>
        <w:rPr>
          <w:rStyle w:val="FootnoteReference"/>
          <w:sz w:val="30"/>
          <w:szCs w:val="28"/>
          <w:rtl/>
        </w:rPr>
        <w:footnoteReference w:customMarkFollows="1" w:id="65"/>
        <w:t>2</w:t>
      </w:r>
      <w:r>
        <w:rPr>
          <w:rFonts w:hint="cs"/>
          <w:rtl/>
        </w:rPr>
        <w:t xml:space="preserve"> </w:t>
      </w:r>
    </w:p>
    <w:p w14:paraId="5C956AAA" w14:textId="77777777" w:rsidR="00355D9E" w:rsidRDefault="00355D9E" w:rsidP="002D6C54">
      <w:pPr>
        <w:pStyle w:val="BodyInd2"/>
        <w:rPr>
          <w:rtl/>
        </w:rPr>
      </w:pPr>
    </w:p>
    <w:p w14:paraId="6B29EC5F" w14:textId="77777777" w:rsidR="00355D9E" w:rsidRDefault="00355D9E" w:rsidP="002D6C54">
      <w:pPr>
        <w:pStyle w:val="BodyInd2"/>
        <w:rPr>
          <w:rtl/>
          <w:lang w:bidi="ar-SA"/>
        </w:rPr>
      </w:pPr>
      <w:r>
        <w:rPr>
          <w:rFonts w:hint="cs"/>
          <w:rtl/>
        </w:rPr>
        <w:t>لكن لم يكن كافياً أن يذبح الحمل؛ إذ كان لا بد أن يوضع الدم على قائمتي الباب وعتبته العليا لكي يكون فعّالاً.  يقول كاسوتو: "القائمتان والعتبة العليا مناسِبة بشكل طبيعي لحمْل علامة الشخص الذي يسكن البيت، وهذه هي العادة المعمول بها حتى يومنا هذا" (139).  ميّز الدم البيوت التي آمنت من البيوت التي لم تؤمن.  وبنفس الطريقة، يجب على كل واحد أن يتكل على دم المسيح بشكل شخصي بالإيمان!</w:t>
      </w:r>
    </w:p>
    <w:p w14:paraId="425DF8F0" w14:textId="77777777" w:rsidR="00355D9E" w:rsidRDefault="00355D9E" w:rsidP="002D6C54">
      <w:pPr>
        <w:pStyle w:val="BodyInd4"/>
        <w:rPr>
          <w:rtl/>
          <w:lang w:bidi="ar-SA"/>
        </w:rPr>
      </w:pPr>
    </w:p>
    <w:p w14:paraId="2A23F5EA" w14:textId="77777777" w:rsidR="00355D9E" w:rsidRDefault="00355D9E" w:rsidP="00813D5E">
      <w:pPr>
        <w:pStyle w:val="Hang1"/>
        <w:bidi/>
        <w:rPr>
          <w:rtl/>
        </w:rPr>
      </w:pPr>
      <w:r>
        <w:rPr>
          <w:rFonts w:hint="cs"/>
          <w:rtl/>
        </w:rPr>
        <w:t>2.</w:t>
      </w:r>
      <w:r>
        <w:rPr>
          <w:rFonts w:hint="cs"/>
          <w:rtl/>
        </w:rPr>
        <w:tab/>
        <w:t>عشاء الحمل (12: 8-13)</w:t>
      </w:r>
    </w:p>
    <w:p w14:paraId="409DECF9" w14:textId="77777777" w:rsidR="00355D9E" w:rsidRDefault="00355D9E" w:rsidP="00813D5E">
      <w:pPr>
        <w:pStyle w:val="Hang2"/>
        <w:bidi/>
        <w:rPr>
          <w:rtl/>
        </w:rPr>
      </w:pPr>
      <w:r>
        <w:rPr>
          <w:rFonts w:hint="cs"/>
          <w:rtl/>
        </w:rPr>
        <w:t>أ.</w:t>
      </w:r>
      <w:r>
        <w:rPr>
          <w:rFonts w:hint="cs"/>
          <w:rtl/>
        </w:rPr>
        <w:tab/>
        <w:t>الوجبة (8)</w:t>
      </w:r>
    </w:p>
    <w:p w14:paraId="0598D391" w14:textId="77777777" w:rsidR="00355D9E" w:rsidRDefault="00355D9E" w:rsidP="002D6C54">
      <w:pPr>
        <w:pStyle w:val="BodyInd2"/>
        <w:rPr>
          <w:rtl/>
        </w:rPr>
      </w:pPr>
      <w:r>
        <w:rPr>
          <w:rFonts w:hint="cs"/>
          <w:rtl/>
        </w:rPr>
        <w:t xml:space="preserve">كانت الوجبة تتألَّف من ثلاثة أجزاء رئيسية </w:t>
      </w:r>
    </w:p>
    <w:p w14:paraId="52F9239D" w14:textId="77777777" w:rsidR="00355D9E" w:rsidRDefault="00355D9E" w:rsidP="00813D5E">
      <w:pPr>
        <w:pStyle w:val="Hang3"/>
        <w:bidi/>
        <w:rPr>
          <w:rtl/>
        </w:rPr>
      </w:pPr>
      <w:r>
        <w:rPr>
          <w:rFonts w:hint="cs"/>
          <w:rtl/>
        </w:rPr>
        <w:t>1)</w:t>
      </w:r>
      <w:r>
        <w:rPr>
          <w:rFonts w:hint="cs"/>
          <w:rtl/>
        </w:rPr>
        <w:tab/>
        <w:t xml:space="preserve">تناوْل الحمل المشوي </w:t>
      </w:r>
    </w:p>
    <w:p w14:paraId="3AD811E1" w14:textId="77777777" w:rsidR="00355D9E" w:rsidRDefault="00355D9E" w:rsidP="002D6C54">
      <w:pPr>
        <w:pStyle w:val="BodyInd3"/>
        <w:rPr>
          <w:rtl/>
        </w:rPr>
      </w:pPr>
      <w:r>
        <w:rPr>
          <w:rFonts w:hint="cs"/>
          <w:rtl/>
        </w:rPr>
        <w:lastRenderedPageBreak/>
        <w:t>كان يجب أن يشوى الحمل بالنار قبل ن يؤكل.  وغالباً ما تستخدم النار في العهد القديم لتصوير الدينونة كما هو الحال هنا.  ويعبّر شي الحمل عن الدينونة التي حملها.  عندما عانى يسوع من نار غضب الله ودينونته، صرخ على الصليب: "إلهي، إلهي، لماذا تركتَني؟" (متى 27: 46؛ قارن إشعياء 53: 7، 10).  عندما نؤمن بالمسيح ونرتبط به، يجب أن ندرك أننا نشترك في ذاك الذي تألم من أجلنا تحت غضب الله.</w:t>
      </w:r>
    </w:p>
    <w:p w14:paraId="0E32C865" w14:textId="77777777" w:rsidR="00355D9E" w:rsidRDefault="00355D9E" w:rsidP="002D6C54">
      <w:pPr>
        <w:pStyle w:val="BodyInd3"/>
        <w:rPr>
          <w:rtl/>
        </w:rPr>
      </w:pPr>
    </w:p>
    <w:p w14:paraId="4D3E947F" w14:textId="77777777" w:rsidR="00355D9E" w:rsidRDefault="00355D9E" w:rsidP="002D6C54">
      <w:pPr>
        <w:pStyle w:val="Hang3"/>
        <w:numPr>
          <w:ilvl w:val="0"/>
          <w:numId w:val="27"/>
        </w:numPr>
        <w:tabs>
          <w:tab w:val="clear" w:pos="547"/>
          <w:tab w:val="clear" w:pos="1094"/>
          <w:tab w:val="clear" w:pos="1642"/>
          <w:tab w:val="clear" w:pos="2189"/>
          <w:tab w:val="clear" w:pos="2736"/>
          <w:tab w:val="clear" w:pos="3283"/>
          <w:tab w:val="clear" w:pos="3830"/>
          <w:tab w:val="clear" w:pos="4378"/>
          <w:tab w:val="left" w:pos="550"/>
          <w:tab w:val="left" w:pos="1100"/>
          <w:tab w:val="left" w:pos="1650"/>
          <w:tab w:val="left" w:pos="2200"/>
          <w:tab w:val="left" w:pos="2750"/>
          <w:tab w:val="left" w:pos="3300"/>
          <w:tab w:val="left" w:pos="3850"/>
          <w:tab w:val="left" w:pos="4400"/>
        </w:tabs>
        <w:bidi/>
        <w:rPr>
          <w:rtl/>
        </w:rPr>
      </w:pPr>
      <w:r>
        <w:rPr>
          <w:rFonts w:hint="cs"/>
          <w:rtl/>
        </w:rPr>
        <w:t>الخبز غير المخمّر (انظر التعليقات أو 12: 14 فصاعداً)</w:t>
      </w:r>
    </w:p>
    <w:p w14:paraId="74D3A2C0" w14:textId="77777777" w:rsidR="00355D9E" w:rsidRDefault="00355D9E" w:rsidP="002D6C54">
      <w:pPr>
        <w:pStyle w:val="Hang3"/>
        <w:ind w:left="1588" w:firstLine="0"/>
        <w:rPr>
          <w:rtl/>
        </w:rPr>
      </w:pPr>
    </w:p>
    <w:p w14:paraId="76179F0D" w14:textId="77777777" w:rsidR="00355D9E" w:rsidRDefault="00355D9E" w:rsidP="00813D5E">
      <w:pPr>
        <w:pStyle w:val="Hang3"/>
        <w:bidi/>
        <w:rPr>
          <w:rtl/>
        </w:rPr>
      </w:pPr>
      <w:r>
        <w:rPr>
          <w:rFonts w:hint="cs"/>
          <w:rtl/>
        </w:rPr>
        <w:t>3)</w:t>
      </w:r>
      <w:r>
        <w:rPr>
          <w:rFonts w:hint="cs"/>
          <w:rtl/>
        </w:rPr>
        <w:tab/>
        <w:t xml:space="preserve">أكل الحمل مع أعشاب مرّة </w:t>
      </w:r>
    </w:p>
    <w:p w14:paraId="033DA6F1" w14:textId="77777777" w:rsidR="00355D9E" w:rsidRDefault="00355D9E" w:rsidP="002D6C54">
      <w:pPr>
        <w:pStyle w:val="BodyInd3"/>
        <w:rPr>
          <w:rtl/>
        </w:rPr>
      </w:pPr>
      <w:r>
        <w:rPr>
          <w:rFonts w:hint="cs"/>
          <w:rtl/>
        </w:rPr>
        <w:t>كان هذا تذكيراً لهم بمرارة عبودية مصر.  وبنفس الطريقة، لا يجب أن تغيب عن بالنا مرارة عبوديتنا للخطية وحياتنا السابقة قبل المسيح.</w:t>
      </w:r>
    </w:p>
    <w:p w14:paraId="6F3A30B5" w14:textId="77777777" w:rsidR="00355D9E" w:rsidRDefault="00355D9E" w:rsidP="002D6C54">
      <w:pPr>
        <w:pStyle w:val="BodyInd3"/>
        <w:rPr>
          <w:rtl/>
        </w:rPr>
      </w:pPr>
    </w:p>
    <w:p w14:paraId="266B82B3" w14:textId="77777777" w:rsidR="00355D9E" w:rsidRDefault="00355D9E" w:rsidP="002D6C54">
      <w:pPr>
        <w:pStyle w:val="BodyInd3"/>
        <w:rPr>
          <w:rtl/>
        </w:rPr>
      </w:pPr>
    </w:p>
    <w:p w14:paraId="0581C9A6" w14:textId="77777777" w:rsidR="00355D9E" w:rsidRDefault="00355D9E" w:rsidP="002D6C54">
      <w:pPr>
        <w:pStyle w:val="BodyInd3"/>
        <w:rPr>
          <w:rtl/>
        </w:rPr>
      </w:pPr>
    </w:p>
    <w:p w14:paraId="5F2196C1" w14:textId="77777777" w:rsidR="00355D9E" w:rsidRDefault="00355D9E" w:rsidP="002D6C54">
      <w:pPr>
        <w:pStyle w:val="BodyInd3"/>
        <w:rPr>
          <w:rtl/>
        </w:rPr>
      </w:pPr>
    </w:p>
    <w:p w14:paraId="26A165D2" w14:textId="77777777" w:rsidR="00355D9E" w:rsidRDefault="00355D9E" w:rsidP="002D6C54">
      <w:pPr>
        <w:pStyle w:val="BodyInd3"/>
        <w:rPr>
          <w:rtl/>
        </w:rPr>
      </w:pPr>
    </w:p>
    <w:p w14:paraId="18CBFEDC" w14:textId="77777777" w:rsidR="00355D9E" w:rsidRDefault="00355D9E" w:rsidP="00813D5E">
      <w:pPr>
        <w:pStyle w:val="Hang2"/>
        <w:bidi/>
        <w:rPr>
          <w:rtl/>
        </w:rPr>
      </w:pPr>
      <w:r>
        <w:rPr>
          <w:rFonts w:hint="cs"/>
          <w:rtl/>
        </w:rPr>
        <w:t>ب.</w:t>
      </w:r>
      <w:r>
        <w:rPr>
          <w:rFonts w:hint="cs"/>
          <w:rtl/>
        </w:rPr>
        <w:tab/>
        <w:t xml:space="preserve">ملبسهم استعداداً لوجبة الفصح </w:t>
      </w:r>
    </w:p>
    <w:p w14:paraId="64FD0208" w14:textId="77777777" w:rsidR="00355D9E" w:rsidRDefault="00355D9E" w:rsidP="002D6C54">
      <w:pPr>
        <w:pStyle w:val="BodyInd2"/>
        <w:rPr>
          <w:rtl/>
        </w:rPr>
      </w:pPr>
      <w:r>
        <w:rPr>
          <w:rFonts w:hint="cs"/>
          <w:rtl/>
        </w:rPr>
        <w:t>أوعز الله لبني إسرائيل أن يأكلوا وجبة الفصح وأحْقاؤهم مشدودة وأحذيتهم في أرجلهم، وعِصِيُّهم في أيديهم.  وشد الأحْقاء هو رفع الثياب الطويلة إلى الخصر.  والفكرة واضحة هنا: يجب أن يلبسوا كما لو أنهم ذاهبون إلى مكان ما، أي، كسوّاح غرباء.  فلن يعودوا موضع ترحيب في أرض مصر.  وتطبيقاً لهذا علينا، لا يجب أن نتباطأ أو نتردد، بل يجب علينا أن ننطلق فوراً في رحلة الحياة المسيحية.  لا يجب أن نؤخِّر انضمامنا إلى طريق التلمذة، بل يتوجب علينا أن نباشر بذلك فوراً.</w:t>
      </w:r>
    </w:p>
    <w:p w14:paraId="5943CB04" w14:textId="77777777" w:rsidR="00355D9E" w:rsidRDefault="00355D9E" w:rsidP="002D6C54">
      <w:pPr>
        <w:pStyle w:val="BodyInd2"/>
        <w:rPr>
          <w:rtl/>
        </w:rPr>
      </w:pPr>
    </w:p>
    <w:p w14:paraId="18D037B1" w14:textId="77777777" w:rsidR="00355D9E" w:rsidRDefault="00355D9E" w:rsidP="002D6C54">
      <w:pPr>
        <w:pStyle w:val="BodyInd2"/>
        <w:rPr>
          <w:sz w:val="30"/>
          <w:szCs w:val="28"/>
          <w:rtl/>
          <w:lang w:bidi="ar-KW"/>
        </w:rPr>
      </w:pPr>
      <w:r>
        <w:rPr>
          <w:rFonts w:hint="cs"/>
          <w:i/>
          <w:iCs/>
          <w:rtl/>
        </w:rPr>
        <w:t>تعليقات إضافية</w:t>
      </w:r>
      <w:r>
        <w:rPr>
          <w:rFonts w:hint="cs"/>
          <w:rtl/>
        </w:rPr>
        <w:t>: لنلاحظ في الآية 12 أن الكارثة العاشرة لم تؤثر على أبكار المصريين فحسب، لكنها شكلت دينونة لآلهة مصر أيضاً.  وفي عملية الدينونة هذه، سيوضح الله عجز عبادة الأوثان المصرية. "لم تكن صرخة الموت التي سُمعت في كل أرجاء مصر مجرّد نواح على خسارة ابن أو حيوانات ثمينة، لكنها كانت ندباً لعجز آلهة مصر الكثيرة على الرد وحمايتهم من مثل هذه المأساة."</w:t>
      </w:r>
      <w:r>
        <w:rPr>
          <w:rStyle w:val="FootnoteReference"/>
          <w:sz w:val="30"/>
          <w:szCs w:val="28"/>
          <w:rtl/>
        </w:rPr>
        <w:footnoteReference w:customMarkFollows="1" w:id="66"/>
        <w:t>3</w:t>
      </w:r>
    </w:p>
    <w:p w14:paraId="06F52F9C" w14:textId="77777777" w:rsidR="00355D9E" w:rsidRDefault="00355D9E" w:rsidP="002D6C54">
      <w:pPr>
        <w:pStyle w:val="BodyInd2"/>
        <w:rPr>
          <w:rtl/>
          <w:lang w:bidi="ar-KW"/>
        </w:rPr>
      </w:pPr>
    </w:p>
    <w:p w14:paraId="073030E4" w14:textId="77777777" w:rsidR="00355D9E" w:rsidRDefault="00355D9E" w:rsidP="002D6C54">
      <w:pPr>
        <w:pStyle w:val="BodyInd2"/>
        <w:rPr>
          <w:rtl/>
        </w:rPr>
      </w:pPr>
      <w:r>
        <w:rPr>
          <w:rFonts w:hint="cs"/>
          <w:rtl/>
        </w:rPr>
        <w:t>ما أروع كلمات الآية 13: "</w:t>
      </w:r>
      <w:r>
        <w:rPr>
          <w:rFonts w:hint="cs"/>
          <w:i/>
          <w:iCs/>
          <w:rtl/>
        </w:rPr>
        <w:t>فأرى (حين أرى) الدم وأعبُر عنكم، فلا يكون عليكم ضربة للهلاك حين أضرب أرض مصر</w:t>
      </w:r>
      <w:r>
        <w:rPr>
          <w:rFonts w:hint="cs"/>
          <w:rtl/>
        </w:rPr>
        <w:t>."  يعلمنا إعلان العهد الجديد أننا بالإيمان بالمسيح نكون تحت دم المسيح متمتعين بمناعة من دينونة الله على الهالكين.  "</w:t>
      </w:r>
      <w:r>
        <w:rPr>
          <w:rFonts w:hint="cs"/>
          <w:i/>
          <w:iCs/>
          <w:rtl/>
        </w:rPr>
        <w:t>الحق الحق أقول لكم: إن من يسمع كلامي ويؤمن بالذي أرسلني فله حياة أبدية، ولا يأتي إلى الدينونة، بل يكون قد انتقل من الموت إلى الحياة</w:t>
      </w:r>
      <w:r>
        <w:rPr>
          <w:rFonts w:hint="cs"/>
          <w:rtl/>
        </w:rPr>
        <w:t>" (يوحنا 5: 24).</w:t>
      </w:r>
    </w:p>
    <w:p w14:paraId="5ED05DAA" w14:textId="77777777" w:rsidR="00355D9E" w:rsidRDefault="00355D9E" w:rsidP="002D6C54">
      <w:pPr>
        <w:pStyle w:val="BodyInd2"/>
        <w:rPr>
          <w:rtl/>
        </w:rPr>
      </w:pPr>
    </w:p>
    <w:p w14:paraId="7AA61D7E" w14:textId="77777777" w:rsidR="00355D9E" w:rsidRDefault="00355D9E" w:rsidP="002D6C54">
      <w:pPr>
        <w:pStyle w:val="Head5"/>
        <w:jc w:val="both"/>
        <w:rPr>
          <w:rtl/>
        </w:rPr>
      </w:pPr>
      <w:r>
        <w:rPr>
          <w:rFonts w:hint="cs"/>
          <w:rtl/>
        </w:rPr>
        <w:t>جـ.</w:t>
      </w:r>
      <w:r>
        <w:rPr>
          <w:rFonts w:hint="cs"/>
          <w:rtl/>
        </w:rPr>
        <w:tab/>
        <w:t>الفطير (الخبز غير المخمّر) (12: 14-20)</w:t>
      </w:r>
    </w:p>
    <w:p w14:paraId="51C669B4" w14:textId="77777777" w:rsidR="00355D9E" w:rsidRDefault="00355D9E" w:rsidP="002D6C54">
      <w:pPr>
        <w:pStyle w:val="BodyTxt"/>
        <w:rPr>
          <w:rtl/>
        </w:rPr>
      </w:pPr>
      <w:r>
        <w:rPr>
          <w:rFonts w:hint="cs"/>
          <w:rtl/>
        </w:rPr>
        <w:t xml:space="preserve">أصبح طقس الفصح حدثاً مقدّساً عند إسرائيل، واحتفلوا به دائماً أثناء فترة الأيام السبعة المعروفة بعيد الفطير أو عيد الخبز غير المختمر (الفطير).  وكان العيدان لا ينفصلان أحدهما عن الآخر.  تحمل هذه الفقرة الإجراءات التي يجب أن تتبعها الأجيال القادمة في الاحتفال بالفصح، حيثُ سيُحتفل بالفصح أثناء عيد الفطير الذي يستمر أسبوعاً.  حمل مطلب الخبز الفطير، حتى في بداية تأسيس هذا الاحتفال، معنى رمزياً، إذ كان مرتبطاً بالعجلة </w:t>
      </w:r>
      <w:r>
        <w:rPr>
          <w:rFonts w:hint="cs"/>
          <w:rtl/>
        </w:rPr>
        <w:lastRenderedPageBreak/>
        <w:t>التي كان على العبرانيين أن يتركوا بها مصر (دون أن يكون لديهم حتى الوقت الكافي لاختمار عجينهم- انظر 12: 33-34).  غير أن هنالك بعداً آخر لهذا المطلب: يجب أن يغادروا في عجلة، لا لمجرد أنهم غير مرغوب فيهم في مصر، بل أيضاً لأن مصر شريرة وتمثل حياة العبودية القديمة.</w:t>
      </w:r>
    </w:p>
    <w:p w14:paraId="43D1ECD7" w14:textId="77777777" w:rsidR="00355D9E" w:rsidRDefault="00355D9E" w:rsidP="002D6C54">
      <w:pPr>
        <w:pStyle w:val="BodyTxt"/>
        <w:rPr>
          <w:rtl/>
        </w:rPr>
      </w:pPr>
      <w:r>
        <w:rPr>
          <w:rFonts w:hint="cs"/>
          <w:rtl/>
        </w:rPr>
        <w:t xml:space="preserve"> لنلاحظ كيف يطوّر العهد الجديد هذه الفكرة: تقول 1كورنثوس 5: 8 إن الخمير رمز للخطية... والمكر والإثم وهي أمور يجب الانفصال عنها.  يجب أن يكون الاشتراك في خلاص الحمل (الفصح) متبوعاً دائماً بالانفصال عن الخطية وبالحياة المقدسة.  يجب أن نترك الأسلوب القديم للحياة في عجلة، متّكلين على تدبيره لنا ونحن نبدأ حياة الإيمان الجديدة.</w:t>
      </w:r>
    </w:p>
    <w:p w14:paraId="6777D4C3" w14:textId="77777777" w:rsidR="00355D9E" w:rsidRDefault="00355D9E" w:rsidP="002D6C54">
      <w:pPr>
        <w:pStyle w:val="BodyTxt"/>
        <w:rPr>
          <w:rtl/>
        </w:rPr>
      </w:pPr>
      <w:r>
        <w:rPr>
          <w:rFonts w:hint="cs"/>
          <w:rtl/>
        </w:rPr>
        <w:t>وتلخيصاً لما سبق نقول إن الفصح كان بداية جديدة تحتّم تقويماً زمنياً جديداً، ويشكل بداية الأمّة كشعب مفدي (أمّة اقتناها الله لنفسه؛ انظر إشعياء 43: 1).</w:t>
      </w:r>
    </w:p>
    <w:p w14:paraId="7B2A22D0" w14:textId="77777777" w:rsidR="00355D9E" w:rsidRDefault="00355D9E" w:rsidP="002D6C54">
      <w:pPr>
        <w:pStyle w:val="BodyTxt"/>
        <w:rPr>
          <w:rtl/>
        </w:rPr>
      </w:pPr>
    </w:p>
    <w:p w14:paraId="1A868DEF" w14:textId="77777777" w:rsidR="00355D9E" w:rsidRDefault="00355D9E" w:rsidP="002D6C54">
      <w:pPr>
        <w:pStyle w:val="Head5"/>
        <w:jc w:val="both"/>
        <w:rPr>
          <w:rtl/>
        </w:rPr>
      </w:pPr>
      <w:r>
        <w:rPr>
          <w:rFonts w:hint="cs"/>
          <w:rtl/>
        </w:rPr>
        <w:t>د.</w:t>
      </w:r>
      <w:r>
        <w:rPr>
          <w:rFonts w:hint="cs"/>
          <w:rtl/>
        </w:rPr>
        <w:tab/>
        <w:t>تكريس البكر (13: 1-16)</w:t>
      </w:r>
    </w:p>
    <w:p w14:paraId="36FFD3C8" w14:textId="77777777" w:rsidR="00355D9E" w:rsidRDefault="00355D9E" w:rsidP="002D6C54">
      <w:pPr>
        <w:pStyle w:val="BodyTxt"/>
        <w:rPr>
          <w:rtl/>
        </w:rPr>
      </w:pPr>
      <w:r>
        <w:rPr>
          <w:rFonts w:hint="cs"/>
          <w:rtl/>
        </w:rPr>
        <w:t xml:space="preserve">قد يبدو موضع هذا القسم غريباً للوهلة الأولى، لكن يجب أن يلاحظ المرء أن الآيتين 1-2 تشكّلان إعلاناً إلهياً يعطي الله بموجبه تعليمات لموسى.  أمّا الآيات 3-16 فتدوِّن لنا خطاب موسى للشعب.  يوجد هنا توازٍ بين عيد الفطر </w:t>
      </w:r>
      <w:r>
        <w:rPr>
          <w:rtl/>
        </w:rPr>
        <w:t>–</w:t>
      </w:r>
      <w:r>
        <w:rPr>
          <w:rFonts w:hint="cs"/>
          <w:rtl/>
        </w:rPr>
        <w:t xml:space="preserve"> الخبز غير المختمر </w:t>
      </w:r>
      <w:r>
        <w:rPr>
          <w:rtl/>
        </w:rPr>
        <w:t>–</w:t>
      </w:r>
      <w:r>
        <w:rPr>
          <w:rFonts w:hint="cs"/>
          <w:rtl/>
        </w:rPr>
        <w:t xml:space="preserve"> (الآيات 3-10) وتكريس البكر في الآيات 11-16 (لاحظ الموازاة بين 5 و11؛ و8 و14؛ و9 و16).  فالاهتمام المهيمن في هذين القسمين هو الجواب الذي يعطيه الأب لابنه في شرحه للإيمان.  يقول تشايلدز:</w:t>
      </w:r>
    </w:p>
    <w:p w14:paraId="0F6C5DDA" w14:textId="77777777" w:rsidR="00355D9E" w:rsidRDefault="00355D9E" w:rsidP="002D6C54">
      <w:pPr>
        <w:pStyle w:val="BodyInd1"/>
        <w:rPr>
          <w:rtl/>
          <w:lang w:bidi="ar-SA"/>
        </w:rPr>
      </w:pPr>
      <w:r>
        <w:rPr>
          <w:rFonts w:hint="cs"/>
          <w:rtl/>
        </w:rPr>
        <w:t>لقد تمت رَوْحَنة (إعطاء بعد روحي لـ) الفكرة الأولية التي تتحدث عن مطالبة الله بالبكر له.  وقد امتدت هذه المطالبة لتشمل كل إسرائيل، لا البكر فحسب.  فلله حق خاص في شعبه: "إنه لي".</w:t>
      </w:r>
      <w:r>
        <w:rPr>
          <w:rStyle w:val="FootnoteReference"/>
          <w:sz w:val="30"/>
          <w:szCs w:val="28"/>
          <w:rtl/>
        </w:rPr>
        <w:footnoteReference w:customMarkFollows="1" w:id="67"/>
        <w:t>4</w:t>
      </w:r>
    </w:p>
    <w:p w14:paraId="4B591E88" w14:textId="77777777" w:rsidR="00355D9E" w:rsidRDefault="00355D9E" w:rsidP="002D6C54">
      <w:pPr>
        <w:pStyle w:val="BodyTxt"/>
        <w:rPr>
          <w:rtl/>
        </w:rPr>
      </w:pPr>
      <w:r>
        <w:rPr>
          <w:rFonts w:hint="cs"/>
          <w:rtl/>
        </w:rPr>
        <w:t>ولا يعني هذا أقل من تكريس اختباري مستمر من القلب استجابة لما يفعله الله.  فكل ما هو دون التكريس غير مقبول (13: 13)، ممّا يذكّرنا بالأمر الموجه لنا في رومية 12: 1-2.  أمّا التوكيد على "بيت العبودية" (13، 14، 16) فهو تذكير للمرء بأن لا ينسى من أين جاء  (أي من العبودية)، وألا ينسى عظمة العمل الذي فداه به يهوه.</w:t>
      </w:r>
    </w:p>
    <w:p w14:paraId="34F512EF" w14:textId="77777777" w:rsidR="00355D9E" w:rsidRDefault="00355D9E" w:rsidP="002D6C54">
      <w:pPr>
        <w:pStyle w:val="BodyTxt"/>
        <w:rPr>
          <w:rtl/>
        </w:rPr>
      </w:pPr>
    </w:p>
    <w:p w14:paraId="38E43843" w14:textId="77777777" w:rsidR="00355D9E" w:rsidRDefault="00355D9E" w:rsidP="002D6C54">
      <w:pPr>
        <w:pStyle w:val="Head4"/>
        <w:jc w:val="both"/>
        <w:rPr>
          <w:rtl/>
        </w:rPr>
      </w:pPr>
      <w:r>
        <w:rPr>
          <w:rFonts w:hint="cs"/>
          <w:rtl/>
        </w:rPr>
        <w:t>3.</w:t>
      </w:r>
      <w:r>
        <w:rPr>
          <w:rFonts w:hint="cs"/>
          <w:rtl/>
        </w:rPr>
        <w:tab/>
        <w:t>إنقاذ في البحر (13: 17-15: 21)</w:t>
      </w:r>
    </w:p>
    <w:p w14:paraId="264F2939" w14:textId="77777777" w:rsidR="00355D9E" w:rsidRDefault="00355D9E" w:rsidP="002D6C54">
      <w:pPr>
        <w:pStyle w:val="BodyTxt"/>
        <w:rPr>
          <w:rtl/>
        </w:rPr>
      </w:pPr>
      <w:r>
        <w:rPr>
          <w:rFonts w:hint="cs"/>
          <w:rtl/>
        </w:rPr>
        <w:t>يركّز هذا القسم على الخلاص (أي الإنقاذ) من العبودية.  وتستخدم فكرة "الخلاص" بالمعنى الأكثر شيوعاً للكلمة وهو الإنقاذ (وهو في هذه الحالة إنقاذ مادي من فرعون والجيش المصري).  كان هذا تحقيق لخروج 6: 6: "</w:t>
      </w:r>
      <w:r>
        <w:rPr>
          <w:rFonts w:hint="cs"/>
          <w:i/>
          <w:iCs/>
          <w:rtl/>
        </w:rPr>
        <w:t>أنا الرب، وأنا أُخرجكم من تحت أثقال المصريين وأُنقذكم من عبوديتهم</w:t>
      </w:r>
      <w:r>
        <w:rPr>
          <w:rFonts w:hint="cs"/>
          <w:rtl/>
        </w:rPr>
        <w:t>." والخلاص-الإنقاذ أو التحرير في هذه الحالة هو على نطاق قومي (ولا يعكس بالضرورة خلاص المرء الروحي الشخصي، أي نحن لا نستنتج بالضرورة أن كل العبرانيين الخارجين من مصر كانوا "مخلَّصين روحياً").  لكن توجد بلا شك خطوط توازٍ يمكن استخلاصها ودروس يمكن تعلّمها على سبيل التطبيق (انظر 1كورنثوس 10).</w:t>
      </w:r>
    </w:p>
    <w:p w14:paraId="45ED431A" w14:textId="77777777" w:rsidR="00355D9E" w:rsidRDefault="00355D9E" w:rsidP="002D6C54">
      <w:pPr>
        <w:pStyle w:val="BodyTxt"/>
        <w:rPr>
          <w:rtl/>
        </w:rPr>
      </w:pPr>
      <w:r>
        <w:rPr>
          <w:rFonts w:hint="cs"/>
          <w:rtl/>
        </w:rPr>
        <w:t>منع الله شعبه في 13: 17 من المرور في طريق الفلسطيين (</w:t>
      </w:r>
      <w:r>
        <w:rPr>
          <w:lang w:bidi="ar-SA"/>
        </w:rPr>
        <w:t>Philistines</w:t>
      </w:r>
      <w:r>
        <w:rPr>
          <w:rFonts w:hint="cs"/>
          <w:rtl/>
        </w:rPr>
        <w:t>) (على الرغم من كونه الطريق الأقرب).  وقد كان لهذا غرض.  "بحسب هذه الآية، على الرغم من أن هذه الطريق كانت مناسِبة بصفتها أقصر الطرق إلى كنعان، إلاّ أن الله لم يسمح لشعبه باستخدامها.  والسبب الرئيسي لذلك هو تجنيبهم الحرب؛ فقد كانت هذه الطريق مرصوفة بحصون مصرية.  فكان المرور منها يعني مواجهة قوية وربما تثبيطاً لعزيمة الشعب."</w:t>
      </w:r>
      <w:r>
        <w:rPr>
          <w:rStyle w:val="FootnoteReference"/>
          <w:sz w:val="30"/>
          <w:szCs w:val="28"/>
          <w:rtl/>
        </w:rPr>
        <w:footnoteReference w:customMarkFollows="1" w:id="68"/>
        <w:t>5</w:t>
      </w:r>
      <w:r>
        <w:rPr>
          <w:rFonts w:hint="cs"/>
          <w:rtl/>
        </w:rPr>
        <w:t xml:space="preserve"> لم يُرد الله أن تثبّط عزيمة شعبه خاصة أنهم ما زالوا في طور "الطفولة الروحية</w:t>
      </w:r>
      <w:r>
        <w:rPr>
          <w:rFonts w:hint="cs"/>
          <w:rtl/>
          <w:lang w:bidi="ar-SA"/>
        </w:rPr>
        <w:t>.</w:t>
      </w:r>
      <w:r>
        <w:rPr>
          <w:rFonts w:hint="cs"/>
          <w:rtl/>
        </w:rPr>
        <w:t>"  أمّا "الطريق الالتفافية" فستعلّمهم الكثير عن الله، والسير معه، والاتكال عليه، إلخ.  وبالنسبة لهم، كما هو الحال معنا، لا توجد طرق مختصرة للنضج الروحي!</w:t>
      </w:r>
    </w:p>
    <w:p w14:paraId="3A341CA7" w14:textId="77777777" w:rsidR="00355D9E" w:rsidRDefault="00355D9E" w:rsidP="002D6C54">
      <w:pPr>
        <w:pStyle w:val="BodyTxt"/>
        <w:rPr>
          <w:rtl/>
        </w:rPr>
      </w:pPr>
      <w:r>
        <w:rPr>
          <w:rFonts w:hint="cs"/>
          <w:rtl/>
        </w:rPr>
        <w:t>ربطت عملية حمل عظام يوسف من مصر الجيل الحاضر بالآباء الذين أكد لهم الله العهد.  وقد أعاد هذا لأذهانهم أن الله لم يفشل في تحقيق وعوده أو برنامجه بعد كل هذه المئات من السنوات.</w:t>
      </w:r>
    </w:p>
    <w:p w14:paraId="7C3C1532" w14:textId="77777777" w:rsidR="00355D9E" w:rsidRDefault="00355D9E" w:rsidP="002D6C54">
      <w:pPr>
        <w:pStyle w:val="BodyTxt"/>
        <w:rPr>
          <w:rtl/>
        </w:rPr>
      </w:pPr>
    </w:p>
    <w:p w14:paraId="280619E6" w14:textId="77777777" w:rsidR="00355D9E" w:rsidRDefault="00355D9E" w:rsidP="002D6C54">
      <w:pPr>
        <w:pStyle w:val="BodyTxt"/>
        <w:rPr>
          <w:rtl/>
        </w:rPr>
      </w:pPr>
      <w:r>
        <w:rPr>
          <w:rFonts w:hint="cs"/>
          <w:rtl/>
        </w:rPr>
        <w:t>ونتعلم من 13: 21-22 أن مجد الله كان بينهم منذ بداية رحلتهم، وسمّي هذا المجد فيما بعد "شكينة" (16: 10؛ 40: 34).  فكان هذا مصدر تعزية وطمأنة للذين ارتحلوا وهم مضطربون.  فكم بالأحرى نحن الذين نتمتع اليوم بامتياز أعظم بسكنى روح المجد، الروح المعزيّ فينا!</w:t>
      </w:r>
    </w:p>
    <w:p w14:paraId="0D1C546A" w14:textId="77777777" w:rsidR="00355D9E" w:rsidRDefault="00355D9E" w:rsidP="002D6C54">
      <w:pPr>
        <w:pStyle w:val="BodyTxt"/>
        <w:rPr>
          <w:rtl/>
        </w:rPr>
      </w:pPr>
      <w:r>
        <w:rPr>
          <w:rFonts w:hint="cs"/>
          <w:rtl/>
        </w:rPr>
        <w:t xml:space="preserve"> </w:t>
      </w:r>
    </w:p>
    <w:p w14:paraId="12DF2168" w14:textId="77777777" w:rsidR="00355D9E" w:rsidRDefault="00355D9E" w:rsidP="002D6C54">
      <w:pPr>
        <w:pStyle w:val="BodyTxt"/>
        <w:rPr>
          <w:rtl/>
        </w:rPr>
      </w:pPr>
      <w:r>
        <w:rPr>
          <w:rFonts w:hint="cs"/>
          <w:rtl/>
        </w:rPr>
        <w:t>وكان هنالك درس أخير يحتاج أن يفهمه كل من المصريين وإسرائيل، وهو ما قصده الله حين قال: "</w:t>
      </w:r>
      <w:r>
        <w:rPr>
          <w:rFonts w:hint="cs"/>
          <w:i/>
          <w:iCs/>
          <w:rtl/>
        </w:rPr>
        <w:t>أنا الرب.</w:t>
      </w:r>
      <w:r>
        <w:rPr>
          <w:rFonts w:hint="cs"/>
          <w:rtl/>
        </w:rPr>
        <w:t xml:space="preserve">"  سيتذكّر الجميع خلاص بني إسرائيل في البحر الأحمر (حرفياً </w:t>
      </w:r>
      <w:r>
        <w:rPr>
          <w:rFonts w:hint="cs"/>
          <w:u w:val="single"/>
          <w:rtl/>
        </w:rPr>
        <w:t>بحر القصب</w:t>
      </w:r>
      <w:r>
        <w:rPr>
          <w:rFonts w:hint="cs"/>
          <w:rtl/>
        </w:rPr>
        <w:t>) بصفته أعظم معجزة في العهد القديم.  فمن شأن هزيمة عسكرية على يد الرب أن تبرهن بشكل حاسم لفرعون وجيشه أنهم بلا حول ولا قوة أمامه.  فهو، بصفته الرب، منتصر! وقد احتاج بنو إسرائيل أن يروا بأعينهم هزيمة عدوهم.  فكم يفوق نصر الصليب كل ذلك عظمةً! لنلاحظ في 14: 1-9 أن الرب تعمّد أن يجعل شعبه يسلكون بشكل يُظهرهم مرتبكين وفريسة عاجزة أمام فرعون.  وبهذا العمل جلبهم الله للمواجهة التي ستبرهن أنه الرب!</w:t>
      </w:r>
    </w:p>
    <w:p w14:paraId="15113D6B" w14:textId="77777777" w:rsidR="00355D9E" w:rsidRDefault="00355D9E" w:rsidP="002D6C54">
      <w:pPr>
        <w:pStyle w:val="BodyTxt"/>
        <w:rPr>
          <w:rtl/>
        </w:rPr>
      </w:pPr>
    </w:p>
    <w:p w14:paraId="516DF2E8" w14:textId="77777777" w:rsidR="00355D9E" w:rsidRDefault="00355D9E" w:rsidP="002D6C54">
      <w:pPr>
        <w:pStyle w:val="BodyTxt"/>
        <w:rPr>
          <w:rtl/>
        </w:rPr>
      </w:pPr>
      <w:r>
        <w:rPr>
          <w:rFonts w:hint="cs"/>
          <w:rtl/>
        </w:rPr>
        <w:t>بيّن الاحتجاج على موسى (10-12) أن العبرانيين لم يكونوا خاضعين لموسى عن طيب خاطر (قابل مع 14: 31)؛ إذ رفضوا الاعتراف بسلطته.  ويكشف احتجاجهم أيضاً ضحالة إيمانهم:</w:t>
      </w:r>
    </w:p>
    <w:p w14:paraId="020CA19A" w14:textId="77777777" w:rsidR="00355D9E" w:rsidRDefault="00355D9E" w:rsidP="002D6C54">
      <w:pPr>
        <w:pStyle w:val="BodyInd1"/>
        <w:rPr>
          <w:rtl/>
          <w:lang w:bidi="ar-SA"/>
        </w:rPr>
      </w:pPr>
      <w:r>
        <w:rPr>
          <w:rFonts w:hint="cs"/>
          <w:rtl/>
        </w:rPr>
        <w:t>يعبّر قولهم إنهم كان أفضل لهم أن يخدموا المصريين من أن يموتوا في البرّية عن ذاكرة ضعيفة جداً.  فهل نسوا بهذه السرعة الإذلال واليأس في الوضع الذي أُنقذوا منه (انظر 2: 23-24)؟ ينطبق رد فعل العبرانيين على أولئك الذين يكيّف الحاضر وحده منظورهم الروحي.</w:t>
      </w:r>
      <w:r>
        <w:rPr>
          <w:rStyle w:val="FootnoteReference"/>
          <w:sz w:val="30"/>
          <w:szCs w:val="28"/>
          <w:rtl/>
        </w:rPr>
        <w:footnoteReference w:customMarkFollows="1" w:id="69"/>
        <w:t>6</w:t>
      </w:r>
    </w:p>
    <w:p w14:paraId="39A032F7" w14:textId="77777777" w:rsidR="00355D9E" w:rsidRDefault="00355D9E" w:rsidP="002D6C54">
      <w:pPr>
        <w:pStyle w:val="BodyTxt"/>
        <w:rPr>
          <w:rtl/>
        </w:rPr>
      </w:pPr>
      <w:r>
        <w:rPr>
          <w:rFonts w:hint="cs"/>
          <w:rtl/>
        </w:rPr>
        <w:t>على الرغم من صرخات الشعب غير الناضجة، إلاّ أن موسى يظهر إيماناً ناضجاً وشجاعة (14: 13): "</w:t>
      </w:r>
      <w:r>
        <w:rPr>
          <w:rFonts w:hint="cs"/>
          <w:i/>
          <w:iCs/>
          <w:rtl/>
        </w:rPr>
        <w:t>لا تخافوا.   قفوا وانظروا خلاص الرب الذي يصنعه لكم اليوم... الرب يقاتل عنكم وأنتم تصمتون</w:t>
      </w:r>
      <w:r>
        <w:rPr>
          <w:rFonts w:hint="cs"/>
          <w:rtl/>
        </w:rPr>
        <w:t>."  على الرغم من أن هذا الخلاص ليس تحريراً من الخطية، وإنما من الجيش المصري، إلا أنه يعكس بالفعل حقيقة هامة: الخلاص هو عمل الله وحده! وسيكون "الخلاص الأعظم الآتي" وفق هذا (انظر 1كورنثوس 1: 30-31).</w:t>
      </w:r>
    </w:p>
    <w:p w14:paraId="51CFF30A" w14:textId="77777777" w:rsidR="00355D9E" w:rsidRDefault="00355D9E" w:rsidP="002D6C54">
      <w:pPr>
        <w:pStyle w:val="BodyTxt"/>
        <w:rPr>
          <w:rtl/>
        </w:rPr>
      </w:pPr>
    </w:p>
    <w:p w14:paraId="31ABB826" w14:textId="77777777" w:rsidR="00355D9E" w:rsidRDefault="00355D9E" w:rsidP="002D6C54">
      <w:pPr>
        <w:pStyle w:val="BodyTxt"/>
        <w:rPr>
          <w:rtl/>
        </w:rPr>
      </w:pPr>
      <w:r>
        <w:rPr>
          <w:rFonts w:hint="cs"/>
          <w:rtl/>
        </w:rPr>
        <w:t xml:space="preserve">قد يتأثر تقرير مكان العبور بالترجمة الصحيحة للعبارة العبرية نفسها.  وإن من الواضح أن البحر "الذي عبره العبرانيون في الأصحاح 14 كان يم </w:t>
      </w:r>
      <w:r>
        <w:rPr>
          <w:rtl/>
        </w:rPr>
        <w:t>–</w:t>
      </w:r>
      <w:r>
        <w:rPr>
          <w:rFonts w:hint="cs"/>
          <w:rtl/>
        </w:rPr>
        <w:t xml:space="preserve"> سوف </w:t>
      </w:r>
      <w:r w:rsidRPr="0019553C">
        <w:rPr>
          <w:rFonts w:ascii="Charis SIL" w:hAnsi="Charis SIL" w:cs="Charis SIL"/>
          <w:i/>
          <w:iCs/>
        </w:rPr>
        <w:t>yam-sûp̄</w:t>
      </w:r>
      <w:r w:rsidRPr="0019553C">
        <w:rPr>
          <w:rtl/>
        </w:rPr>
        <w:t xml:space="preserve"> (</w:t>
      </w:r>
      <w:r w:rsidRPr="0019553C">
        <w:rPr>
          <w:rFonts w:ascii="Ezra SIL" w:hAnsi="Ezra SIL" w:cs="Ezra SIL"/>
          <w:sz w:val="22"/>
          <w:szCs w:val="22"/>
          <w:rtl/>
          <w:lang w:bidi="he-IL"/>
        </w:rPr>
        <w:t>יַם־סוּף</w:t>
      </w:r>
      <w:r w:rsidRPr="0019553C">
        <w:rPr>
          <w:rFonts w:cs="Times New Roman"/>
          <w:rtl/>
          <w:lang w:bidi="he-IL"/>
        </w:rPr>
        <w:t>)</w:t>
      </w:r>
      <w:r>
        <w:rPr>
          <w:rFonts w:hint="cs"/>
          <w:rtl/>
        </w:rPr>
        <w:t>، أي "بحر القصب."</w:t>
      </w:r>
      <w:r>
        <w:rPr>
          <w:rStyle w:val="FootnoteReference"/>
          <w:sz w:val="30"/>
          <w:szCs w:val="28"/>
          <w:rtl/>
        </w:rPr>
        <w:footnoteReference w:customMarkFollows="1" w:id="70"/>
        <w:t>7</w:t>
      </w:r>
      <w:r>
        <w:rPr>
          <w:rFonts w:hint="cs"/>
          <w:rtl/>
        </w:rPr>
        <w:t xml:space="preserve"> </w:t>
      </w:r>
      <w:r>
        <w:rPr>
          <w:rFonts w:hint="cs"/>
          <w:rtl/>
          <w:lang w:bidi="ar-SA"/>
        </w:rPr>
        <w:t xml:space="preserve"> </w:t>
      </w:r>
      <w:r>
        <w:rPr>
          <w:rFonts w:hint="cs"/>
          <w:rtl/>
        </w:rPr>
        <w:t>أمّا تعبير "البحر ال</w:t>
      </w:r>
      <w:r>
        <w:rPr>
          <w:rFonts w:hint="cs"/>
          <w:rtl/>
          <w:lang w:bidi="ar-SA"/>
        </w:rPr>
        <w:t>أحمر</w:t>
      </w:r>
      <w:r>
        <w:rPr>
          <w:rFonts w:hint="cs"/>
          <w:rtl/>
        </w:rPr>
        <w:t>" المأخوذ من الترجمة السبعينية فلا يمثّل أفضل ترجمة للنص العبري."</w:t>
      </w:r>
      <w:r>
        <w:rPr>
          <w:rStyle w:val="FootnoteReference"/>
          <w:sz w:val="30"/>
          <w:szCs w:val="28"/>
          <w:rtl/>
        </w:rPr>
        <w:footnoteReference w:customMarkFollows="1" w:id="71"/>
        <w:t>8</w:t>
      </w:r>
      <w:r>
        <w:rPr>
          <w:rFonts w:hint="cs"/>
          <w:rtl/>
        </w:rPr>
        <w:t xml:space="preserve"> </w:t>
      </w:r>
      <w:r>
        <w:rPr>
          <w:rFonts w:hint="cs"/>
          <w:rtl/>
          <w:lang w:bidi="ar-SA"/>
        </w:rPr>
        <w:t xml:space="preserve"> </w:t>
      </w:r>
      <w:r>
        <w:rPr>
          <w:rFonts w:hint="cs"/>
          <w:rtl/>
        </w:rPr>
        <w:t>ويعتقد عدد من الباحثين المحافظين أن المكان الفعلي للعبور هو في مكان ما من منطقة البحيرات المُرّة، على الرغم من أنه لا يمكن تحديد موقع العبور بدقة اليوم.  يقترح ك. أ. كتشن طريقاً ممكناً للخروج:</w:t>
      </w:r>
    </w:p>
    <w:p w14:paraId="23C46AC4" w14:textId="77777777" w:rsidR="00355D9E" w:rsidRDefault="00355D9E" w:rsidP="002D6C54">
      <w:pPr>
        <w:pStyle w:val="BodyInd1"/>
        <w:rPr>
          <w:rtl/>
          <w:lang w:bidi="ar-SA"/>
        </w:rPr>
      </w:pPr>
      <w:r>
        <w:rPr>
          <w:rFonts w:hint="cs"/>
          <w:rtl/>
        </w:rPr>
        <w:t>... من رمسيس (في القنطير) إلى سكوث (تل المسخوطة) ثم إلى حافة البرية عائدين إلى بحيرة البلح عبر بحر القصب في منطقة ما هناك.  ومن ذلك المكان توجّهوا جنوباً عبر شور/إيثام نحو الساحل الغربي لشبه جزيرة سيناء.</w:t>
      </w:r>
      <w:r>
        <w:rPr>
          <w:rStyle w:val="FootnoteReference"/>
          <w:sz w:val="30"/>
          <w:szCs w:val="28"/>
          <w:rtl/>
        </w:rPr>
        <w:footnoteReference w:customMarkFollows="1" w:id="72"/>
        <w:t>9</w:t>
      </w:r>
    </w:p>
    <w:p w14:paraId="41409654" w14:textId="77777777" w:rsidR="00355D9E" w:rsidRDefault="00355D9E" w:rsidP="002D6C54">
      <w:pPr>
        <w:pStyle w:val="BodyTxt"/>
        <w:rPr>
          <w:rtl/>
        </w:rPr>
      </w:pPr>
      <w:r>
        <w:rPr>
          <w:rFonts w:hint="cs"/>
          <w:rtl/>
        </w:rPr>
        <w:t>على الرغم من أن الله استخدم ريحاً لشق البحر، إلاّ أن هذا كان عملاً خارقاً (انظر مزمور 74: 13- "</w:t>
      </w:r>
      <w:r>
        <w:rPr>
          <w:rFonts w:hint="cs"/>
          <w:i/>
          <w:iCs/>
          <w:rtl/>
        </w:rPr>
        <w:t>أنتَ شققت البحر بقوّتك</w:t>
      </w:r>
      <w:r>
        <w:rPr>
          <w:rFonts w:hint="cs"/>
          <w:rtl/>
        </w:rPr>
        <w:t>...").</w:t>
      </w:r>
    </w:p>
    <w:p w14:paraId="65D3E609" w14:textId="77777777" w:rsidR="00355D9E" w:rsidRDefault="00355D9E" w:rsidP="002D6C54">
      <w:pPr>
        <w:pStyle w:val="BodyTxt"/>
        <w:rPr>
          <w:rtl/>
        </w:rPr>
      </w:pPr>
    </w:p>
    <w:p w14:paraId="0D2CD917" w14:textId="77777777" w:rsidR="00355D9E" w:rsidRDefault="00355D9E" w:rsidP="002D6C54">
      <w:pPr>
        <w:pStyle w:val="BodyTxt"/>
        <w:rPr>
          <w:rtl/>
        </w:rPr>
      </w:pPr>
      <w:r>
        <w:rPr>
          <w:rFonts w:hint="cs"/>
          <w:rtl/>
        </w:rPr>
        <w:t>تنعكس نتيجة عمل الرب في البحر في الآية 14: 13: "</w:t>
      </w:r>
      <w:r>
        <w:rPr>
          <w:rFonts w:hint="cs"/>
          <w:i/>
          <w:iCs/>
          <w:rtl/>
        </w:rPr>
        <w:t>ورأى إسرائيل الفعل العظيم الذي صنعه الرب بالمصريين، فخاف الشعب الرب وآمنوا بالرب وبعبده موسى.</w:t>
      </w:r>
      <w:r>
        <w:rPr>
          <w:rFonts w:hint="cs"/>
          <w:rtl/>
        </w:rPr>
        <w:t xml:space="preserve">"  ولا يجب أن نفهم أن هذا يعني أن الشعب مارسوا "إيمان مخَلِّصاً" في هذه المرة.  فالفكرة هنا هي أنهم بدأوا يفهمون ويؤمنون بما كان يعلنه الله الآن عن نفسه كيهوه (يجب أن نفهم هذا كمقابلة مع 14: 10، 11).  استخدم موسى عصاه في شق البحر، فرَّسخ الله بهذا </w:t>
      </w:r>
      <w:r>
        <w:rPr>
          <w:rFonts w:hint="cs"/>
          <w:rtl/>
        </w:rPr>
        <w:lastRenderedPageBreak/>
        <w:t>سلطة موسى أمام الشعب المفدي.  وقد أدّى قضاء الله على المصريين بهذه الطريقة إلى إخضاع الشعب له وللإداري الثيوقراطي الذي عيّنه، أي موسى.</w:t>
      </w:r>
    </w:p>
    <w:p w14:paraId="0C90F777" w14:textId="77777777" w:rsidR="00355D9E" w:rsidRDefault="00355D9E" w:rsidP="002D6C54">
      <w:pPr>
        <w:pStyle w:val="BodyTxt"/>
        <w:rPr>
          <w:rtl/>
        </w:rPr>
      </w:pPr>
    </w:p>
    <w:p w14:paraId="307234DF" w14:textId="77777777" w:rsidR="00355D9E" w:rsidRDefault="00355D9E" w:rsidP="002D6C54">
      <w:pPr>
        <w:pStyle w:val="BodyTxt"/>
        <w:rPr>
          <w:rtl/>
        </w:rPr>
      </w:pPr>
    </w:p>
    <w:p w14:paraId="28632209" w14:textId="77777777" w:rsidR="00355D9E" w:rsidRDefault="00355D9E" w:rsidP="002D6C54">
      <w:pPr>
        <w:pStyle w:val="BodyTxt"/>
        <w:rPr>
          <w:rtl/>
        </w:rPr>
      </w:pPr>
    </w:p>
    <w:p w14:paraId="7E1D70A2" w14:textId="77777777" w:rsidR="00355D9E" w:rsidRDefault="00355D9E" w:rsidP="002D6C54">
      <w:pPr>
        <w:pStyle w:val="BodyTxt"/>
        <w:rPr>
          <w:rtl/>
        </w:rPr>
      </w:pPr>
      <w:r>
        <w:rPr>
          <w:rFonts w:hint="cs"/>
          <w:u w:val="single"/>
          <w:rtl/>
        </w:rPr>
        <w:t>ترنيمة موسى</w:t>
      </w:r>
      <w:r>
        <w:rPr>
          <w:rFonts w:hint="cs"/>
          <w:rtl/>
        </w:rPr>
        <w:t xml:space="preserve"> (15: 1-21).</w:t>
      </w:r>
      <w:r>
        <w:rPr>
          <w:rFonts w:hint="cs"/>
          <w:rtl/>
          <w:lang w:bidi="ar-SA"/>
        </w:rPr>
        <w:t xml:space="preserve">  </w:t>
      </w:r>
      <w:r>
        <w:rPr>
          <w:rFonts w:hint="cs"/>
          <w:rtl/>
        </w:rPr>
        <w:t>تتبع "ترنيمة موسى" الإنقاذ والتحرير.  ونتعلم من هذه الترنيمة أن الشعب المفدي سيكون شعباً عابداً.  وتؤكد الترنيمة أيضاً على حقائق هامة تعلمها المفديون:</w:t>
      </w:r>
    </w:p>
    <w:p w14:paraId="4A76EDFD" w14:textId="77777777" w:rsidR="00355D9E" w:rsidRDefault="00355D9E" w:rsidP="00727D64">
      <w:pPr>
        <w:pStyle w:val="Hang2"/>
        <w:bidi/>
        <w:rPr>
          <w:rtl/>
        </w:rPr>
      </w:pPr>
      <w:r>
        <w:rPr>
          <w:rFonts w:hint="cs"/>
          <w:rtl/>
        </w:rPr>
        <w:t>1)</w:t>
      </w:r>
      <w:r>
        <w:rPr>
          <w:rFonts w:hint="cs"/>
          <w:rtl/>
        </w:rPr>
        <w:tab/>
        <w:t xml:space="preserve">إدراك فرادة يهوه </w:t>
      </w:r>
    </w:p>
    <w:p w14:paraId="4F94D58E" w14:textId="77777777" w:rsidR="00355D9E" w:rsidRDefault="00355D9E" w:rsidP="002D6C54">
      <w:pPr>
        <w:pStyle w:val="BodyInd2"/>
        <w:rPr>
          <w:rtl/>
        </w:rPr>
      </w:pPr>
      <w:r>
        <w:rPr>
          <w:rFonts w:hint="cs"/>
          <w:rtl/>
        </w:rPr>
        <w:t xml:space="preserve">"من مثلك بين الآلهة يا رب؟" </w:t>
      </w:r>
    </w:p>
    <w:p w14:paraId="1BD18FD7" w14:textId="77777777" w:rsidR="00355D9E" w:rsidRDefault="00355D9E" w:rsidP="00727D64">
      <w:pPr>
        <w:pStyle w:val="Hang2"/>
        <w:bidi/>
        <w:rPr>
          <w:rtl/>
        </w:rPr>
      </w:pPr>
      <w:r>
        <w:rPr>
          <w:rFonts w:hint="cs"/>
          <w:rtl/>
        </w:rPr>
        <w:t>2)</w:t>
      </w:r>
      <w:r>
        <w:rPr>
          <w:rFonts w:hint="cs"/>
          <w:rtl/>
        </w:rPr>
        <w:tab/>
        <w:t xml:space="preserve">الإقرار بحق يهوه في الحكم </w:t>
      </w:r>
    </w:p>
    <w:p w14:paraId="5187EA1F" w14:textId="77777777" w:rsidR="00355D9E" w:rsidRDefault="00355D9E" w:rsidP="002D6C54">
      <w:pPr>
        <w:pStyle w:val="BodyInd2"/>
        <w:rPr>
          <w:rtl/>
        </w:rPr>
      </w:pPr>
      <w:r>
        <w:rPr>
          <w:rFonts w:hint="cs"/>
          <w:rtl/>
        </w:rPr>
        <w:t>"الرب يملك (سيملك) إلى الدهر والأبد" (الآية 8).  يفسّر الشعب المفدي فداءهم كعلامة وفاء من الله لوعده، ويرون أنه يرسّخ حقه في الحكم من خلال وعده.</w:t>
      </w:r>
    </w:p>
    <w:p w14:paraId="662D77E2" w14:textId="77777777" w:rsidR="00355D9E" w:rsidRDefault="00355D9E" w:rsidP="002D6C54">
      <w:pPr>
        <w:pStyle w:val="BodyInd2"/>
        <w:rPr>
          <w:rtl/>
        </w:rPr>
      </w:pPr>
    </w:p>
    <w:p w14:paraId="795D0405" w14:textId="77777777" w:rsidR="00355D9E" w:rsidRDefault="00355D9E" w:rsidP="002D6C54">
      <w:pPr>
        <w:pStyle w:val="Head4"/>
        <w:jc w:val="both"/>
        <w:rPr>
          <w:rtl/>
        </w:rPr>
      </w:pPr>
      <w:r>
        <w:rPr>
          <w:rFonts w:hint="cs"/>
          <w:rtl/>
        </w:rPr>
        <w:t>4.</w:t>
      </w:r>
      <w:r>
        <w:rPr>
          <w:rFonts w:hint="cs"/>
          <w:rtl/>
        </w:rPr>
        <w:tab/>
        <w:t>هجرة إسرائيل إلى سيناء (15: 22-18: 27)</w:t>
      </w:r>
    </w:p>
    <w:p w14:paraId="00703BBE" w14:textId="77777777" w:rsidR="00355D9E" w:rsidRDefault="00355D9E" w:rsidP="002D6C54">
      <w:pPr>
        <w:pStyle w:val="Head5"/>
        <w:jc w:val="both"/>
        <w:rPr>
          <w:rtl/>
        </w:rPr>
      </w:pPr>
      <w:r>
        <w:rPr>
          <w:rFonts w:hint="cs"/>
          <w:rtl/>
        </w:rPr>
        <w:t>امتحانات في البرية (15: 22-17: 16)</w:t>
      </w:r>
    </w:p>
    <w:p w14:paraId="6CB08851" w14:textId="77777777" w:rsidR="00355D9E" w:rsidRDefault="00355D9E" w:rsidP="002D6C54">
      <w:pPr>
        <w:pStyle w:val="BodyTxt"/>
        <w:rPr>
          <w:rtl/>
        </w:rPr>
      </w:pPr>
      <w:r>
        <w:rPr>
          <w:rFonts w:hint="cs"/>
          <w:rtl/>
        </w:rPr>
        <w:t>يتناول معظم هذا القسم الشعب المفدي في البرية (انظر 15: 25؛ 16: 4).  لم تكن الصعوبات والمشقات التي واجهوها مجرد صدفة.  فقد كان الله يقودهم مستخدماً الظروف أداة لتثقيف شعبه.  أمّا التذمر والتمرد على الرب فليس الاستجابة الصحيحة لشعب مفدي.  فالله قادر على تسديد حاجاتهم وقيادتهم إلى البركة إذا كانوا على استعداد لطلب نعمته والسلوك بالإيمان.  كان واضحاً من هذه التجارب أنهم جلبوا معهم أجزاء من حياتهم الماضية وأنه لا بدّ أن يتعامل الله معها.  غير أنهم لم يكونوا وحدهم هناك: "</w:t>
      </w:r>
      <w:r>
        <w:rPr>
          <w:rFonts w:hint="cs"/>
          <w:i/>
          <w:iCs/>
          <w:rtl/>
        </w:rPr>
        <w:t>وجميعهم شربوا شراباً واحداً روحياً، لأنهم كانوا يشربون من صخرة روحيّة تابعتهم، والصخرة كانت المسيح</w:t>
      </w:r>
      <w:r>
        <w:rPr>
          <w:rFonts w:hint="cs"/>
          <w:rtl/>
        </w:rPr>
        <w:t>" (1كونثوس 10: 4).  وفي يوحنا 6: 33 ذكّر المسيح بنزول المنّ من السماء، ذلك المن الذي يعطي الحياة للعالم (ومن يأتي إليه- إلى المسيح- لن يجوع).  لقد دبّر الله احتياجات شعبه في البرية بشكل خارق للطبيعة، على الرغم من أنه لم يكن راضياً عن معظمهم (1كورنثوس 10).</w:t>
      </w:r>
    </w:p>
    <w:p w14:paraId="4B6A7048" w14:textId="77777777" w:rsidR="00355D9E" w:rsidRDefault="00355D9E" w:rsidP="002D6C54">
      <w:pPr>
        <w:pStyle w:val="BodyTxt"/>
        <w:rPr>
          <w:rtl/>
        </w:rPr>
      </w:pPr>
      <w:r>
        <w:rPr>
          <w:rFonts w:hint="cs"/>
          <w:rtl/>
        </w:rPr>
        <w:t xml:space="preserve"> </w:t>
      </w:r>
    </w:p>
    <w:p w14:paraId="4D624BE7" w14:textId="77777777" w:rsidR="00355D9E" w:rsidRDefault="00355D9E" w:rsidP="002D6C54">
      <w:pPr>
        <w:pStyle w:val="Head4"/>
        <w:jc w:val="both"/>
        <w:rPr>
          <w:rtl/>
        </w:rPr>
      </w:pPr>
      <w:r>
        <w:rPr>
          <w:rFonts w:hint="cs"/>
          <w:rtl/>
        </w:rPr>
        <w:t xml:space="preserve">5. </w:t>
      </w:r>
      <w:r>
        <w:rPr>
          <w:rFonts w:hint="cs"/>
          <w:rtl/>
        </w:rPr>
        <w:tab/>
        <w:t xml:space="preserve">درس لحياتنا </w:t>
      </w:r>
    </w:p>
    <w:p w14:paraId="4F06BD46" w14:textId="77777777" w:rsidR="00355D9E" w:rsidRDefault="00355D9E" w:rsidP="002D6C54">
      <w:pPr>
        <w:pStyle w:val="BodyTxt"/>
        <w:rPr>
          <w:rtl/>
        </w:rPr>
      </w:pPr>
      <w:r>
        <w:rPr>
          <w:rFonts w:hint="cs"/>
          <w:rtl/>
        </w:rPr>
        <w:t xml:space="preserve">يمكننا أن نتعلم الكثير من خروج : 13: 1-16.  فهو يذكِّرنا أيضاً بمسؤوليتنا نحو أبنائنا.  يحتاج أبناؤنا أن يعرفوا عن العبودية التي عشناها وعن عمل التحرير العظيم الذي أوصلنا إلى نقطة التكريس للرب.  وعندما أتذكر عبوديتي للخطية والظلمة التي كنت محتجزاً فيها، وعندما أذكر عمل الله القوي الذي حقق لي الخلاص في المسيح، يجب أن تكون استجابتي لهذا تكريساً كلياً له.      </w:t>
      </w:r>
    </w:p>
    <w:p w14:paraId="509816E5" w14:textId="77777777" w:rsidR="00355D9E" w:rsidRDefault="00355D9E" w:rsidP="002D6C54">
      <w:pPr>
        <w:pStyle w:val="FootnoteTxt"/>
        <w:rPr>
          <w:lang w:bidi="ar-SA"/>
        </w:rPr>
      </w:pPr>
    </w:p>
    <w:p w14:paraId="75B341AE" w14:textId="77777777" w:rsidR="00355D9E" w:rsidRDefault="00355D9E" w:rsidP="002D6C54">
      <w:pPr>
        <w:pStyle w:val="Head1"/>
        <w:rPr>
          <w:rtl/>
        </w:rPr>
      </w:pPr>
    </w:p>
    <w:p w14:paraId="78EB9F07" w14:textId="77777777" w:rsidR="00355D9E" w:rsidRDefault="00355D9E" w:rsidP="002D6C54">
      <w:pPr>
        <w:pStyle w:val="Head1"/>
        <w:rPr>
          <w:rtl/>
        </w:rPr>
      </w:pPr>
    </w:p>
    <w:p w14:paraId="0240C243" w14:textId="77777777" w:rsidR="00355D9E" w:rsidRDefault="00355D9E" w:rsidP="002D6C54">
      <w:pPr>
        <w:pStyle w:val="Head1"/>
        <w:rPr>
          <w:rtl/>
        </w:rPr>
      </w:pPr>
    </w:p>
    <w:p w14:paraId="467DE449" w14:textId="77777777" w:rsidR="001E6B52" w:rsidRDefault="001E6B52" w:rsidP="001E6B52">
      <w:pPr>
        <w:pStyle w:val="Heading2"/>
        <w:bidi/>
        <w:rPr>
          <w:rFonts w:ascii="Simplified Arabic" w:hAnsi="Simplified Arabic" w:cs="Simplified Arabic"/>
          <w14:ligatures w14:val="none"/>
        </w:rPr>
      </w:pPr>
      <w:bookmarkStart w:id="84" w:name="_Hlk178778659"/>
      <w:bookmarkEnd w:id="83"/>
      <w:r w:rsidRPr="001E6B52">
        <w:rPr>
          <w:rFonts w:ascii="Simplified Arabic" w:hAnsi="Simplified Arabic" w:cs="Simplified Arabic"/>
          <w:rtl/>
          <w14:ligatures w14:val="none"/>
        </w:rPr>
        <w:t xml:space="preserve">الدرس </w:t>
      </w:r>
      <w:r w:rsidRPr="001E6B52">
        <w:rPr>
          <w:rFonts w:ascii="Simplified Arabic" w:hAnsi="Simplified Arabic" w:cs="Simplified Arabic" w:hint="cs"/>
          <w:rtl/>
          <w14:ligatures w14:val="none"/>
        </w:rPr>
        <w:t>6</w:t>
      </w:r>
      <w:r w:rsidRPr="001E6B52">
        <w:rPr>
          <w:rFonts w:ascii="Simplified Arabic" w:hAnsi="Simplified Arabic" w:cs="Simplified Arabic"/>
          <w:rtl/>
          <w14:ligatures w14:val="none"/>
        </w:rPr>
        <w:t xml:space="preserve">: </w:t>
      </w:r>
      <w:r w:rsidRPr="001E6B52">
        <w:rPr>
          <w:rFonts w:ascii="Simplified Arabic" w:hAnsi="Simplified Arabic" w:cs="Simplified Arabic" w:hint="cs"/>
          <w:rtl/>
          <w14:ligatures w14:val="none"/>
        </w:rPr>
        <w:t xml:space="preserve">إعطاء الشريعة وصنع خيمة الاجتماع </w:t>
      </w:r>
    </w:p>
    <w:p w14:paraId="2F7596D6" w14:textId="790EC3E3" w:rsidR="00227002" w:rsidRPr="001E6B52" w:rsidRDefault="001E6B52" w:rsidP="001E6B52">
      <w:pPr>
        <w:pStyle w:val="Heading2"/>
        <w:bidi/>
      </w:pPr>
      <w:r w:rsidRPr="001E6B52">
        <w:rPr>
          <w:rFonts w:ascii="Simplified Arabic" w:hAnsi="Simplified Arabic" w:cs="Simplified Arabic" w:hint="cs"/>
          <w:rtl/>
          <w14:ligatures w14:val="none"/>
        </w:rPr>
        <w:t>(خروج 19: 1-40: 38)</w:t>
      </w:r>
    </w:p>
    <w:p w14:paraId="64F40451" w14:textId="77777777" w:rsidR="00311C51" w:rsidRPr="007A4B15" w:rsidRDefault="00311C51"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kern w:val="0"/>
          <w:szCs w:val="24"/>
          <w14:ligatures w14:val="none"/>
        </w:rPr>
      </w:pPr>
    </w:p>
    <w:p w14:paraId="3A6EC712" w14:textId="26B3F834" w:rsidR="00E41548" w:rsidRPr="00CE2100" w:rsidRDefault="00CE2100" w:rsidP="00CE2100">
      <w:pPr>
        <w:pStyle w:val="Heading3"/>
        <w:bidi/>
        <w:spacing w:line="240" w:lineRule="auto"/>
        <w:rPr>
          <w:rFonts w:ascii="Simplified Arabic" w:hAnsi="Simplified Arabic" w:cs="Simplified Arabic"/>
          <w:lang w:val="fr-FR"/>
        </w:rPr>
      </w:pPr>
      <w:r w:rsidRPr="00CE2100">
        <w:rPr>
          <w:rFonts w:ascii="Simplified Arabic" w:hAnsi="Simplified Arabic" w:cs="Simplified Arabic"/>
          <w:rtl/>
          <w:lang w:val="fr-FR"/>
        </w:rPr>
        <w:lastRenderedPageBreak/>
        <w:t>مُقدِّمة الدرس</w:t>
      </w:r>
    </w:p>
    <w:p w14:paraId="1F758C83" w14:textId="7A49F2DE" w:rsidR="00CE2100" w:rsidRDefault="00CE2100" w:rsidP="00CE2100">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sidRPr="00CE2100">
        <w:rPr>
          <w:rFonts w:ascii="Simplified Arabic" w:eastAsia="Calibri" w:hAnsi="Simplified Arabic" w:cs="Simplified Arabic"/>
          <w:kern w:val="0"/>
          <w:sz w:val="26"/>
          <w:szCs w:val="26"/>
          <w:rtl/>
          <w14:ligatures w14:val="none"/>
        </w:rPr>
        <w:t>بعد خروج العبرانيين من مصر وإنقاذهم عند البحر الأحمر، أتوا إلى جبل سيناء. وما حدث هناك كان حدثًا رئيسيًّا بالغ الأهمّيّة في حياة الأمة.</w:t>
      </w:r>
      <w:r>
        <w:rPr>
          <w:rFonts w:ascii="Simplified Arabic" w:eastAsia="Calibri" w:hAnsi="Simplified Arabic" w:cs="Simplified Arabic" w:hint="cs"/>
          <w:kern w:val="0"/>
          <w:sz w:val="26"/>
          <w:szCs w:val="26"/>
          <w:rtl/>
          <w14:ligatures w14:val="none"/>
        </w:rPr>
        <w:t xml:space="preserve"> ففي جبل سيناء، أعطى الله العبرانيين الفرصّة لأن يكونوا شعبه المختار والخاص</w:t>
      </w:r>
      <w:r w:rsidR="00727D64">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الذي به سيتمِّم خطته للخلاص وبركة العالم. لكنّ هذه البركة كان مشروطة بموافقتهم على أن يطيعوا الشريعة (العهد الموسوي). وحين وافق العبراني</w:t>
      </w:r>
      <w:r w:rsidR="00727D64">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ون على هذا، أُعطي موسى الوصايا العشرة، التي كانت جوهر كل</w:t>
      </w:r>
      <w:r w:rsidR="00727D64">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التشريعات المُفصَّلة التي تلته. ومع أن</w:t>
      </w:r>
      <w:r w:rsidR="0007568B">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الشريعة لم تُعطَ لتكون وسيلة</w:t>
      </w:r>
      <w:r w:rsidR="0007568B">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للخلاص، فإنّ</w:t>
      </w:r>
      <w:r w:rsidR="0007568B">
        <w:rPr>
          <w:rFonts w:ascii="Simplified Arabic" w:eastAsia="Calibri" w:hAnsi="Simplified Arabic" w:cs="Simplified Arabic" w:hint="cs"/>
          <w:kern w:val="0"/>
          <w:sz w:val="26"/>
          <w:szCs w:val="26"/>
          <w:rtl/>
          <w14:ligatures w14:val="none"/>
        </w:rPr>
        <w:t xml:space="preserve"> الأم نالت بركةً من الله بقدر طاعتها </w:t>
      </w:r>
      <w:r>
        <w:rPr>
          <w:rFonts w:ascii="Simplified Arabic" w:eastAsia="Calibri" w:hAnsi="Simplified Arabic" w:cs="Simplified Arabic" w:hint="cs"/>
          <w:kern w:val="0"/>
          <w:sz w:val="26"/>
          <w:szCs w:val="26"/>
          <w:rtl/>
          <w14:ligatures w14:val="none"/>
        </w:rPr>
        <w:t>للشريعة. وقد تعلَّمت الأم</w:t>
      </w:r>
      <w:r w:rsidR="0007568B">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ة من خلال حفظها الناموس أن إلهها إله قدّوس. قُطِع العهد في سيناء بدم حيوانات، ولكنّ هذا العهد سيتنحّى يومًا ما بالعهد الجديد الذي يُقطَع بدم المسيح نفسه. </w:t>
      </w:r>
    </w:p>
    <w:p w14:paraId="5FBD2B92" w14:textId="4A740758" w:rsidR="00CE2100" w:rsidRPr="00CE2100" w:rsidRDefault="00CE2100" w:rsidP="00CE2100">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يركِّز جزءٌ كبير من هذه الأصحاحات على مخطَّطات خيمة الاجتماع وص</w:t>
      </w:r>
      <w:r w:rsidR="0007568B">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نعها. تمثِّل خيمة الاجتماع مركز نظام العبادة عند الشعب، الذي كان يشملّ ذبائح حيوانية، وكان كل هذا النظام بذبائحه يرمز </w:t>
      </w:r>
      <w:r w:rsidR="0007568B">
        <w:rPr>
          <w:rFonts w:ascii="Simplified Arabic" w:eastAsia="Calibri" w:hAnsi="Simplified Arabic" w:cs="Simplified Arabic" w:hint="cs"/>
          <w:kern w:val="0"/>
          <w:sz w:val="26"/>
          <w:szCs w:val="26"/>
          <w:rtl/>
          <w14:ligatures w14:val="none"/>
        </w:rPr>
        <w:t>إ</w:t>
      </w:r>
      <w:r>
        <w:rPr>
          <w:rFonts w:ascii="Simplified Arabic" w:eastAsia="Calibri" w:hAnsi="Simplified Arabic" w:cs="Simplified Arabic" w:hint="cs"/>
          <w:kern w:val="0"/>
          <w:sz w:val="26"/>
          <w:szCs w:val="26"/>
          <w:rtl/>
          <w14:ligatures w14:val="none"/>
        </w:rPr>
        <w:t xml:space="preserve">لى المسيح وذبيحته الكفاريّة التي ستأتي لاحقًا. </w:t>
      </w:r>
    </w:p>
    <w:p w14:paraId="33049FFC" w14:textId="77777777" w:rsidR="00CE2100" w:rsidRDefault="00CE2100"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kern w:val="0"/>
          <w:szCs w:val="24"/>
          <w:rtl/>
          <w14:ligatures w14:val="none"/>
        </w:rPr>
      </w:pPr>
    </w:p>
    <w:p w14:paraId="5F0FF132" w14:textId="31E93A55" w:rsidR="00E41548" w:rsidRPr="006C789F" w:rsidRDefault="00CE2100" w:rsidP="00CE2100">
      <w:pPr>
        <w:pStyle w:val="Heading3"/>
        <w:bidi/>
        <w:spacing w:line="240" w:lineRule="auto"/>
        <w:rPr>
          <w:rFonts w:ascii="Simplified Arabic" w:hAnsi="Simplified Arabic" w:cs="Simplified Arabic"/>
        </w:rPr>
      </w:pPr>
      <w:r w:rsidRPr="006C789F">
        <w:rPr>
          <w:rFonts w:ascii="Simplified Arabic" w:hAnsi="Simplified Arabic" w:cs="Simplified Arabic"/>
          <w:rtl/>
        </w:rPr>
        <w:t>مُخطَّط الدرس</w:t>
      </w:r>
    </w:p>
    <w:p w14:paraId="7D458268" w14:textId="52138405" w:rsidR="00A8569F" w:rsidRPr="006C789F" w:rsidRDefault="006C789F" w:rsidP="00CE2100">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bookmarkStart w:id="85" w:name="_Hlk190495001"/>
      <w:r w:rsidRPr="006C789F">
        <w:rPr>
          <w:rFonts w:ascii="Simplified Arabic" w:eastAsia="Calibri" w:hAnsi="Simplified Arabic" w:cs="Simplified Arabic"/>
          <w:kern w:val="0"/>
          <w:sz w:val="26"/>
          <w:szCs w:val="26"/>
          <w:rtl/>
          <w14:ligatures w14:val="none"/>
        </w:rPr>
        <w:t xml:space="preserve">الموضوع 1: العهد في سيناء (خروج 19: 1 – 24: 18) </w:t>
      </w:r>
    </w:p>
    <w:p w14:paraId="3A43D28D" w14:textId="51BC84E3" w:rsidR="006C789F" w:rsidRPr="006C789F" w:rsidRDefault="006C789F" w:rsidP="006C789F">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r w:rsidRPr="006C789F">
        <w:rPr>
          <w:rFonts w:ascii="Simplified Arabic" w:eastAsia="Calibri" w:hAnsi="Simplified Arabic" w:cs="Simplified Arabic"/>
          <w:kern w:val="0"/>
          <w:sz w:val="26"/>
          <w:szCs w:val="26"/>
          <w:rtl/>
          <w14:ligatures w14:val="none"/>
        </w:rPr>
        <w:t xml:space="preserve">الموضوع 2: الخلاص في العهد القديم </w:t>
      </w:r>
    </w:p>
    <w:p w14:paraId="7AF924D9" w14:textId="67AB13C7" w:rsidR="006C789F" w:rsidRDefault="006C789F" w:rsidP="006C789F">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r w:rsidRPr="006C789F">
        <w:rPr>
          <w:rFonts w:ascii="Simplified Arabic" w:eastAsia="Calibri" w:hAnsi="Simplified Arabic" w:cs="Simplified Arabic"/>
          <w:kern w:val="0"/>
          <w:sz w:val="26"/>
          <w:szCs w:val="26"/>
          <w:rtl/>
          <w14:ligatures w14:val="none"/>
        </w:rPr>
        <w:t>الموضوع 3: خيمة الاجتماع في البرّيّة (خروج 25: 1 – 40: 38)</w:t>
      </w:r>
    </w:p>
    <w:p w14:paraId="2922AD6F" w14:textId="77777777" w:rsidR="006C789F" w:rsidRPr="006C789F" w:rsidRDefault="006C789F" w:rsidP="006C789F">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rPr>
          <w:rFonts w:ascii="Simplified Arabic" w:eastAsia="Calibri" w:hAnsi="Simplified Arabic" w:cs="Simplified Arabic"/>
          <w:b/>
          <w:bCs/>
          <w:sz w:val="26"/>
          <w:szCs w:val="26"/>
        </w:rPr>
      </w:pPr>
    </w:p>
    <w:bookmarkEnd w:id="85"/>
    <w:p w14:paraId="31B51DB6" w14:textId="56BE901A" w:rsidR="00E41548" w:rsidRPr="006C789F" w:rsidRDefault="006C789F" w:rsidP="006C789F">
      <w:pPr>
        <w:pStyle w:val="Heading3"/>
        <w:bidi/>
        <w:spacing w:line="240" w:lineRule="auto"/>
        <w:rPr>
          <w:rFonts w:ascii="Simplified Arabic" w:hAnsi="Simplified Arabic" w:cs="Simplified Arabic"/>
          <w:lang w:val="fr-FR"/>
        </w:rPr>
      </w:pPr>
      <w:r w:rsidRPr="006C789F">
        <w:rPr>
          <w:rFonts w:ascii="Simplified Arabic" w:hAnsi="Simplified Arabic" w:cs="Simplified Arabic"/>
          <w:rtl/>
          <w:lang w:val="fr-FR"/>
        </w:rPr>
        <w:t>أهداف الدرس</w:t>
      </w:r>
    </w:p>
    <w:p w14:paraId="0C41A909" w14:textId="28110D5C" w:rsidR="00E41548" w:rsidRPr="006C789F" w:rsidRDefault="006C789F" w:rsidP="006C789F">
      <w:pPr>
        <w:bidi/>
        <w:spacing w:before="120" w:after="80" w:line="240" w:lineRule="auto"/>
        <w:rPr>
          <w:rFonts w:ascii="Simplified Arabic" w:eastAsia="Calibri" w:hAnsi="Simplified Arabic" w:cs="Simplified Arabic"/>
          <w:kern w:val="0"/>
          <w:sz w:val="26"/>
          <w:szCs w:val="26"/>
          <w14:ligatures w14:val="none"/>
        </w:rPr>
      </w:pPr>
      <w:r w:rsidRPr="006C789F">
        <w:rPr>
          <w:rFonts w:ascii="Simplified Arabic" w:eastAsia="Calibri" w:hAnsi="Simplified Arabic" w:cs="Simplified Arabic"/>
          <w:kern w:val="0"/>
          <w:sz w:val="26"/>
          <w:szCs w:val="26"/>
          <w:rtl/>
          <w14:ligatures w14:val="none"/>
        </w:rPr>
        <w:t xml:space="preserve">بانتهائك من دراسة هذا الدرس، ستكون قادرًا على ما يلي: </w:t>
      </w:r>
    </w:p>
    <w:p w14:paraId="4DFE7C0C" w14:textId="5AFAC919" w:rsidR="00E41548" w:rsidRPr="006C789F" w:rsidRDefault="006C789F" w:rsidP="006C789F">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6C789F">
        <w:rPr>
          <w:rFonts w:ascii="Simplified Arabic" w:eastAsia="Calibri" w:hAnsi="Simplified Arabic" w:cs="Simplified Arabic"/>
          <w:kern w:val="0"/>
          <w:sz w:val="26"/>
          <w:szCs w:val="26"/>
          <w:rtl/>
          <w14:ligatures w14:val="none"/>
        </w:rPr>
        <w:t xml:space="preserve">أن تفهم الامتيازات التي مُنِحت لشعب إسرائيل بموافقتها على أن تلتزم بحفظ الناموس الموسوي (العهد القديم). </w:t>
      </w:r>
    </w:p>
    <w:p w14:paraId="6201A723" w14:textId="2B40AA14" w:rsidR="006C789F" w:rsidRPr="006C789F" w:rsidRDefault="006C789F" w:rsidP="006C789F">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6C789F">
        <w:rPr>
          <w:rFonts w:ascii="Simplified Arabic" w:eastAsia="Calibri" w:hAnsi="Simplified Arabic" w:cs="Simplified Arabic"/>
          <w:kern w:val="0"/>
          <w:sz w:val="26"/>
          <w:szCs w:val="26"/>
          <w:rtl/>
          <w14:ligatures w14:val="none"/>
        </w:rPr>
        <w:t>أن تقد</w:t>
      </w:r>
      <w:r w:rsidR="0007568B">
        <w:rPr>
          <w:rFonts w:ascii="Simplified Arabic" w:eastAsia="Calibri" w:hAnsi="Simplified Arabic" w:cs="Simplified Arabic" w:hint="cs"/>
          <w:kern w:val="0"/>
          <w:sz w:val="26"/>
          <w:szCs w:val="26"/>
          <w:rtl/>
          <w14:ligatures w14:val="none"/>
        </w:rPr>
        <w:t>ّ</w:t>
      </w:r>
      <w:r w:rsidRPr="006C789F">
        <w:rPr>
          <w:rFonts w:ascii="Simplified Arabic" w:eastAsia="Calibri" w:hAnsi="Simplified Arabic" w:cs="Simplified Arabic"/>
          <w:kern w:val="0"/>
          <w:sz w:val="26"/>
          <w:szCs w:val="26"/>
          <w:rtl/>
          <w14:ligatures w14:val="none"/>
        </w:rPr>
        <w:t xml:space="preserve">ر جمال الوصايا العشرة وأهميتها العميقة بوصفها أساس مؤسَّستي العائلة والأمّة. </w:t>
      </w:r>
    </w:p>
    <w:p w14:paraId="6A07DADF" w14:textId="284EE733" w:rsidR="006C789F" w:rsidRPr="006C789F" w:rsidRDefault="006C789F" w:rsidP="006C789F">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6C789F">
        <w:rPr>
          <w:rFonts w:ascii="Simplified Arabic" w:eastAsia="Calibri" w:hAnsi="Simplified Arabic" w:cs="Simplified Arabic"/>
          <w:kern w:val="0"/>
          <w:sz w:val="26"/>
          <w:szCs w:val="26"/>
          <w:rtl/>
          <w14:ligatures w14:val="none"/>
        </w:rPr>
        <w:t xml:space="preserve">أن تعرف المقاصد الأساسية من الشريعة الموسوية، وأن تتكلَّم عن أهميتها المؤقتة بمقابل العهد الإبراهيم. </w:t>
      </w:r>
    </w:p>
    <w:p w14:paraId="76085668" w14:textId="6AC98A65" w:rsidR="006C789F" w:rsidRPr="006C789F" w:rsidRDefault="006C789F" w:rsidP="006C789F">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6C789F">
        <w:rPr>
          <w:rFonts w:ascii="Simplified Arabic" w:eastAsia="Calibri" w:hAnsi="Simplified Arabic" w:cs="Simplified Arabic"/>
          <w:kern w:val="0"/>
          <w:sz w:val="26"/>
          <w:szCs w:val="26"/>
          <w:rtl/>
          <w14:ligatures w14:val="none"/>
        </w:rPr>
        <w:t>أن توضِّح كيف كان الناس "يخل</w:t>
      </w:r>
      <w:r w:rsidR="0007568B">
        <w:rPr>
          <w:rFonts w:ascii="Simplified Arabic" w:eastAsia="Calibri" w:hAnsi="Simplified Arabic" w:cs="Simplified Arabic" w:hint="cs"/>
          <w:kern w:val="0"/>
          <w:sz w:val="26"/>
          <w:szCs w:val="26"/>
          <w:rtl/>
          <w14:ligatures w14:val="none"/>
        </w:rPr>
        <w:t>ُ</w:t>
      </w:r>
      <w:r w:rsidRPr="006C789F">
        <w:rPr>
          <w:rFonts w:ascii="Simplified Arabic" w:eastAsia="Calibri" w:hAnsi="Simplified Arabic" w:cs="Simplified Arabic"/>
          <w:kern w:val="0"/>
          <w:sz w:val="26"/>
          <w:szCs w:val="26"/>
          <w:rtl/>
          <w14:ligatures w14:val="none"/>
        </w:rPr>
        <w:t xml:space="preserve">صون" في أزمنة العهد القديم من عقاب خطاياهم. </w:t>
      </w:r>
    </w:p>
    <w:p w14:paraId="0163D3B5" w14:textId="1CB8DD55" w:rsidR="006C789F" w:rsidRPr="006C789F" w:rsidRDefault="006C789F" w:rsidP="006C789F">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6C789F">
        <w:rPr>
          <w:rFonts w:ascii="Simplified Arabic" w:eastAsia="Calibri" w:hAnsi="Simplified Arabic" w:cs="Simplified Arabic"/>
          <w:kern w:val="0"/>
          <w:sz w:val="26"/>
          <w:szCs w:val="26"/>
          <w:rtl/>
          <w14:ligatures w14:val="none"/>
        </w:rPr>
        <w:t xml:space="preserve">أن تشرح الرموز الكامنة في مخطَّطات خيمة الاجتماع الأرضيّة وتصميمها. </w:t>
      </w:r>
    </w:p>
    <w:p w14:paraId="78BFE676" w14:textId="257D4746" w:rsidR="002630DB" w:rsidRDefault="002630DB" w:rsidP="006C789F">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ind w:left="720"/>
        <w:contextualSpacing/>
        <w:rPr>
          <w:rFonts w:eastAsia="Calibri" w:cs="Times New Roman"/>
          <w:kern w:val="0"/>
          <w:szCs w:val="24"/>
          <w14:ligatures w14:val="none"/>
        </w:rPr>
      </w:pPr>
    </w:p>
    <w:p w14:paraId="3FE8BEC5" w14:textId="77777777" w:rsidR="00E41548" w:rsidRDefault="00E41548"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ind w:left="720"/>
        <w:contextualSpacing/>
        <w:rPr>
          <w:rFonts w:eastAsia="Calibri" w:cs="Times New Roman"/>
          <w:kern w:val="0"/>
          <w:szCs w:val="24"/>
          <w14:ligatures w14:val="none"/>
        </w:rPr>
      </w:pPr>
      <w:r>
        <w:rPr>
          <w:rFonts w:eastAsia="Calibri" w:cs="Times New Roman"/>
          <w:kern w:val="0"/>
          <w:szCs w:val="24"/>
          <w14:ligatures w14:val="none"/>
        </w:rPr>
        <w:br w:type="page"/>
      </w:r>
    </w:p>
    <w:p w14:paraId="5EF36A99" w14:textId="21627905" w:rsidR="00432F08" w:rsidRPr="006C789F" w:rsidRDefault="006C789F" w:rsidP="006C789F">
      <w:pPr>
        <w:pStyle w:val="Heading3"/>
        <w:bidi/>
        <w:spacing w:line="240" w:lineRule="auto"/>
        <w:rPr>
          <w:rFonts w:ascii="Simplified Arabic" w:hAnsi="Simplified Arabic" w:cs="Simplified Arabic"/>
        </w:rPr>
      </w:pPr>
      <w:bookmarkStart w:id="86" w:name="_Hlk156482615"/>
      <w:r w:rsidRPr="006C789F">
        <w:rPr>
          <w:rFonts w:ascii="Simplified Arabic" w:hAnsi="Simplified Arabic" w:cs="Simplified Arabic"/>
          <w:rtl/>
        </w:rPr>
        <w:lastRenderedPageBreak/>
        <w:t xml:space="preserve">الموضوع 1: </w:t>
      </w:r>
      <w:r w:rsidRPr="006C789F">
        <w:rPr>
          <w:rFonts w:ascii="Simplified Arabic" w:eastAsia="Calibri" w:hAnsi="Simplified Arabic" w:cs="Simplified Arabic"/>
          <w:rtl/>
          <w14:ligatures w14:val="none"/>
        </w:rPr>
        <w:t>العهد في سيناء (خروج 19: 1 – 24: 18)</w:t>
      </w:r>
    </w:p>
    <w:p w14:paraId="630DC900" w14:textId="7EB40A9B" w:rsidR="00F67B20" w:rsidRPr="007A4B15" w:rsidRDefault="00F40A90" w:rsidP="006C789F">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r>
        <w:rPr>
          <w:rFonts w:eastAsia="Calibri" w:cs="Times New Roman"/>
          <w:noProof/>
          <w:kern w:val="0"/>
          <w:szCs w:val="24"/>
        </w:rPr>
        <w:drawing>
          <wp:anchor distT="0" distB="0" distL="114300" distR="114300" simplePos="0" relativeHeight="251648000" behindDoc="0" locked="0" layoutInCell="1" allowOverlap="1" wp14:anchorId="372F88D2" wp14:editId="68BFE99E">
            <wp:simplePos x="0" y="0"/>
            <wp:positionH relativeFrom="column">
              <wp:posOffset>3402330</wp:posOffset>
            </wp:positionH>
            <wp:positionV relativeFrom="paragraph">
              <wp:posOffset>262255</wp:posOffset>
            </wp:positionV>
            <wp:extent cx="2569210" cy="1929130"/>
            <wp:effectExtent l="0" t="0" r="2540" b="0"/>
            <wp:wrapSquare wrapText="bothSides"/>
            <wp:docPr id="1549081437" name="Picture 3" descr="A desert landscape with a mountain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081437" name="Picture 3" descr="A desert landscape with a mountain in the background&#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2569210" cy="1929130"/>
                    </a:xfrm>
                    <a:prstGeom prst="rect">
                      <a:avLst/>
                    </a:prstGeom>
                  </pic:spPr>
                </pic:pic>
              </a:graphicData>
            </a:graphic>
            <wp14:sizeRelH relativeFrom="margin">
              <wp14:pctWidth>0</wp14:pctWidth>
            </wp14:sizeRelH>
            <wp14:sizeRelV relativeFrom="margin">
              <wp14:pctHeight>0</wp14:pctHeight>
            </wp14:sizeRelV>
          </wp:anchor>
        </w:drawing>
      </w:r>
      <w:r w:rsidR="00F67B20" w:rsidRPr="007A4B15">
        <w:rPr>
          <w:rFonts w:ascii="Verdana" w:eastAsia="Calibri" w:hAnsi="Verdana" w:cs="Times New Roman"/>
          <w:b/>
          <w:caps/>
          <w:noProof/>
          <w:color w:val="006699"/>
          <w:kern w:val="0"/>
          <w:sz w:val="21"/>
          <w:szCs w:val="24"/>
          <w14:ligatures w14:val="none"/>
        </w:rPr>
        <w:drawing>
          <wp:inline distT="0" distB="0" distL="0" distR="0" wp14:anchorId="44C0C7B0" wp14:editId="32B978CA">
            <wp:extent cx="613692" cy="541464"/>
            <wp:effectExtent l="0" t="0" r="0" b="0"/>
            <wp:docPr id="1872286407" name="Picture 1872286407"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00F67B20" w:rsidRPr="007A4B15">
        <w:rPr>
          <w:rFonts w:ascii="Verdana" w:eastAsia="Calibri" w:hAnsi="Verdana" w:cs="Times New Roman"/>
          <w:b/>
          <w:caps/>
          <w:color w:val="006699"/>
          <w:kern w:val="0"/>
          <w:sz w:val="21"/>
          <w:szCs w:val="24"/>
          <w14:ligatures w14:val="none"/>
        </w:rPr>
        <w:t xml:space="preserve"> </w:t>
      </w:r>
      <w:r w:rsidR="006C789F" w:rsidRPr="006C789F">
        <w:rPr>
          <w:rFonts w:ascii="Verdana" w:eastAsia="Calibri" w:hAnsi="Verdana" w:cs="Times New Roman" w:hint="cs"/>
          <w:bCs/>
          <w:caps/>
          <w:color w:val="006699"/>
          <w:kern w:val="0"/>
          <w:sz w:val="21"/>
          <w:szCs w:val="24"/>
          <w:u w:val="single"/>
          <w:rtl/>
          <w14:ligatures w14:val="none"/>
        </w:rPr>
        <w:t>القراءة:</w:t>
      </w:r>
    </w:p>
    <w:p w14:paraId="22E4F612" w14:textId="0284F732" w:rsidR="00F67B20" w:rsidRDefault="00F67B20" w:rsidP="006C789F">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eastAsia="Calibri" w:cs="Times New Roman"/>
          <w:kern w:val="0"/>
          <w:szCs w:val="24"/>
          <w14:ligatures w14:val="none"/>
        </w:rPr>
      </w:pPr>
      <w:r>
        <w:rPr>
          <w:rFonts w:eastAsia="Calibri" w:cs="Times New Roman"/>
          <w:kern w:val="0"/>
          <w:szCs w:val="24"/>
          <w14:ligatures w14:val="none"/>
        </w:rPr>
        <w:tab/>
      </w:r>
      <w:r>
        <w:rPr>
          <w:rFonts w:eastAsia="Calibri" w:cs="Times New Roman"/>
          <w:kern w:val="0"/>
          <w:szCs w:val="24"/>
          <w14:ligatures w14:val="none"/>
        </w:rPr>
        <w:tab/>
      </w:r>
      <w:r w:rsidR="006C789F">
        <w:rPr>
          <w:rFonts w:eastAsia="Calibri" w:cs="Times New Roman" w:hint="cs"/>
          <w:kern w:val="0"/>
          <w:szCs w:val="24"/>
          <w:rtl/>
          <w14:ligatures w14:val="none"/>
        </w:rPr>
        <w:t xml:space="preserve">اقرأ خروج 19: 1 </w:t>
      </w:r>
      <w:r w:rsidR="006C789F">
        <w:rPr>
          <w:rFonts w:eastAsia="Calibri" w:cs="Times New Roman"/>
          <w:kern w:val="0"/>
          <w:szCs w:val="24"/>
          <w:rtl/>
          <w14:ligatures w14:val="none"/>
        </w:rPr>
        <w:t>–</w:t>
      </w:r>
      <w:r w:rsidR="006C789F">
        <w:rPr>
          <w:rFonts w:eastAsia="Calibri" w:cs="Times New Roman" w:hint="cs"/>
          <w:kern w:val="0"/>
          <w:szCs w:val="24"/>
          <w:rtl/>
          <w14:ligatures w14:val="none"/>
        </w:rPr>
        <w:t xml:space="preserve"> 24: 18 في كتابك المُقدَّس. </w:t>
      </w:r>
    </w:p>
    <w:bookmarkEnd w:id="84"/>
    <w:bookmarkEnd w:id="86"/>
    <w:p w14:paraId="5902747B"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تمثُل ا</w:t>
      </w:r>
      <w:r w:rsidRPr="00355D9E">
        <w:rPr>
          <w:rFonts w:eastAsia="Times New Roman" w:cs="DecoType Naskh" w:hint="cs"/>
          <w:color w:val="auto"/>
          <w:kern w:val="0"/>
          <w:szCs w:val="26"/>
          <w:rtl/>
          <w:lang w:bidi="ar-JO"/>
          <w14:ligatures w14:val="none"/>
        </w:rPr>
        <w:t>لأ</w:t>
      </w:r>
      <w:r w:rsidRPr="00355D9E">
        <w:rPr>
          <w:rFonts w:eastAsia="Times New Roman" w:cs="DecoType Naskh"/>
          <w:color w:val="auto"/>
          <w:kern w:val="0"/>
          <w:szCs w:val="26"/>
          <w:rtl/>
          <w:lang w:bidi="ar-JO"/>
          <w14:ligatures w14:val="none"/>
        </w:rPr>
        <w:t>صحاحات 19-24 واحداً من أهم أقسام الكتاب المقدس كلّه.  إذ يشكّل هذا القسم تقدّماً كبيراً ذا دلالة في تطبيق العهد الإبراهيمي مع الأمّة التي اختارها الله.  وقد صارت هذه الأمة مرتبطة بيهوه بوساطة دستور يفرض عليها التزامات من نواحٍ كثيرة أمام ملكها.  غير أن هذه النقلة فتحت الباب أمام عالم "الشريعة" وعلاقة الإنسان بالله من خلالها.</w:t>
      </w:r>
    </w:p>
    <w:p w14:paraId="4E3B8459"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C513939" w14:textId="77777777" w:rsidR="00355D9E" w:rsidRPr="00355D9E" w:rsidRDefault="00355D9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355D9E">
        <w:rPr>
          <w:rFonts w:eastAsia="Times New Roman" w:cs="DecoType Naskh" w:hint="cs"/>
          <w:bCs/>
          <w:color w:val="auto"/>
          <w:kern w:val="0"/>
          <w:szCs w:val="28"/>
          <w:rtl/>
          <w:lang w:bidi="ar-JO"/>
          <w14:ligatures w14:val="none"/>
        </w:rPr>
        <w:t>1</w:t>
      </w:r>
      <w:r w:rsidRPr="00355D9E">
        <w:rPr>
          <w:rFonts w:eastAsia="Times New Roman" w:cs="DecoType Naskh"/>
          <w:bCs/>
          <w:color w:val="auto"/>
          <w:kern w:val="0"/>
          <w:szCs w:val="28"/>
          <w:rtl/>
          <w:lang w:bidi="ar-JO"/>
          <w14:ligatures w14:val="none"/>
        </w:rPr>
        <w:t>.</w:t>
      </w:r>
      <w:r w:rsidRPr="00355D9E">
        <w:rPr>
          <w:rFonts w:eastAsia="Times New Roman" w:cs="DecoType Naskh"/>
          <w:bCs/>
          <w:color w:val="auto"/>
          <w:kern w:val="0"/>
          <w:szCs w:val="28"/>
          <w:rtl/>
          <w:lang w:bidi="ar-JO"/>
          <w14:ligatures w14:val="none"/>
        </w:rPr>
        <w:tab/>
        <w:t xml:space="preserve">مقدمة لعهد سيناء </w:t>
      </w:r>
    </w:p>
    <w:p w14:paraId="330D3951"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 xml:space="preserve">إن أول ملاحظة جديرة بالذكر حول الشريعة هي أن الله لم يقصد لها أن تكون وسيلة للخلاص. فقد سبق أن حدّد الله وسيلة التبرير في تعامله مع إبراهيم: آمن إبراهيم (أي أنه اتكل على كلمة الله ووعوده) </w:t>
      </w:r>
      <w:r w:rsidRPr="00355D9E">
        <w:rPr>
          <w:rFonts w:eastAsia="Times New Roman" w:cs="DecoType Naskh" w:hint="cs"/>
          <w:color w:val="auto"/>
          <w:kern w:val="0"/>
          <w:szCs w:val="26"/>
          <w:rtl/>
          <w:lang w:bidi="ar-JO"/>
          <w14:ligatures w14:val="none"/>
        </w:rPr>
        <w:t>فحُسب إيمانه هذا له براً</w:t>
      </w:r>
      <w:r w:rsidRPr="00355D9E">
        <w:rPr>
          <w:rFonts w:eastAsia="Times New Roman" w:cs="DecoType Naskh"/>
          <w:color w:val="auto"/>
          <w:kern w:val="0"/>
          <w:szCs w:val="26"/>
          <w:rtl/>
          <w:lang w:bidi="ar-JO"/>
          <w14:ligatures w14:val="none"/>
        </w:rPr>
        <w:t xml:space="preserve"> (انظر رومية 4؛ غلاطية 2).  إن أساس هذا التبرير في كل عصر هو ذبيحة المسيح الكفّارية، على الرغم من أن الفهم الواعي لهذا الجانب كان يوضَّح بشكل تدرّجي مع الكشف عن مزيد من الإعلان.</w:t>
      </w:r>
      <w:r w:rsidRPr="00355D9E">
        <w:rPr>
          <w:rFonts w:eastAsia="Times New Roman" w:cs="DecoType Naskh"/>
          <w:color w:val="auto"/>
          <w:kern w:val="0"/>
          <w:sz w:val="28"/>
          <w:szCs w:val="28"/>
          <w:vertAlign w:val="superscript"/>
          <w:rtl/>
          <w:lang w:bidi="ar-JO"/>
          <w14:ligatures w14:val="none"/>
        </w:rPr>
        <w:footnoteReference w:id="73"/>
      </w:r>
      <w:r w:rsidRPr="00355D9E">
        <w:rPr>
          <w:rFonts w:eastAsia="Times New Roman" w:cs="DecoType Naskh"/>
          <w:color w:val="auto"/>
          <w:kern w:val="0"/>
          <w:szCs w:val="26"/>
          <w:rtl/>
          <w:lang w:bidi="ar-JO"/>
          <w14:ligatures w14:val="none"/>
        </w:rPr>
        <w:t xml:space="preserve"> </w:t>
      </w:r>
    </w:p>
    <w:p w14:paraId="1D5CAAB3"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070D5971"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 xml:space="preserve">لم تكن الشريعة، كما سبق أن ذكرت، وسيلة للخلاص، بل كانت تشكل خطوة أخرى في تنفيذ البرنامج الإلهي الذي بدأ بإبراهيم.  وقد وعد الله بأن تخرج من إبراهيم أمّة ستكون وسيطة البركة للعالم.  </w:t>
      </w:r>
      <w:r w:rsidRPr="00355D9E">
        <w:rPr>
          <w:rFonts w:eastAsia="Times New Roman" w:cs="DecoType Naskh" w:hint="cs"/>
          <w:color w:val="auto"/>
          <w:kern w:val="0"/>
          <w:szCs w:val="26"/>
          <w:rtl/>
          <w:lang w:bidi="ar-JO"/>
          <w14:ligatures w14:val="none"/>
        </w:rPr>
        <w:t>والآن، لدينا الشعب لتكوين الأمة، لكن ليس لديهم دستوراً أو أرضاً</w:t>
      </w:r>
      <w:r w:rsidRPr="00355D9E">
        <w:rPr>
          <w:rFonts w:eastAsia="Times New Roman" w:cs="DecoType Naskh"/>
          <w:color w:val="auto"/>
          <w:kern w:val="0"/>
          <w:szCs w:val="26"/>
          <w:rtl/>
          <w:lang w:bidi="ar-JO"/>
          <w14:ligatures w14:val="none"/>
        </w:rPr>
        <w:t xml:space="preserve">.  والشريعة في خروج 20-24 هي الدستور </w:t>
      </w:r>
      <w:r w:rsidRPr="00355D9E">
        <w:rPr>
          <w:rFonts w:eastAsia="Times New Roman" w:cs="DecoType Naskh" w:hint="cs"/>
          <w:color w:val="auto"/>
          <w:kern w:val="0"/>
          <w:szCs w:val="26"/>
          <w:rtl/>
          <w:lang w:bidi="ar-JO"/>
          <w14:ligatures w14:val="none"/>
        </w:rPr>
        <w:t>لرعايا</w:t>
      </w:r>
      <w:r w:rsidRPr="00355D9E">
        <w:rPr>
          <w:rFonts w:eastAsia="Times New Roman" w:cs="DecoType Naskh"/>
          <w:color w:val="auto"/>
          <w:kern w:val="0"/>
          <w:szCs w:val="26"/>
          <w:rtl/>
          <w:lang w:bidi="ar-JO"/>
          <w14:ligatures w14:val="none"/>
        </w:rPr>
        <w:t xml:space="preserve"> الأمّة. وبقبولهم لشروط العهد، فإنهم يوافقون على ربط أنفسهم بيهوه، وربما يكونون وسيط البركة لبقية العالم.  ووعد البركة أمر يقيني، لأنه يعتمد على الوعد الإبراهيمي.  غير أن تحقيق البركة يعتمد على الطاعة.  فإذا أطاعت الأمّة، </w:t>
      </w:r>
      <w:r w:rsidRPr="00355D9E">
        <w:rPr>
          <w:rFonts w:eastAsia="Times New Roman" w:cs="DecoType Naskh" w:hint="cs"/>
          <w:color w:val="auto"/>
          <w:kern w:val="0"/>
          <w:szCs w:val="26"/>
          <w:rtl/>
          <w:lang w:bidi="ar-JO"/>
          <w14:ligatures w14:val="none"/>
        </w:rPr>
        <w:t>فسيحصدون</w:t>
      </w:r>
      <w:r w:rsidRPr="00355D9E">
        <w:rPr>
          <w:rFonts w:eastAsia="Times New Roman" w:cs="DecoType Naskh"/>
          <w:color w:val="auto"/>
          <w:kern w:val="0"/>
          <w:szCs w:val="26"/>
          <w:rtl/>
          <w:lang w:bidi="ar-JO"/>
          <w14:ligatures w14:val="none"/>
        </w:rPr>
        <w:t xml:space="preserve"> البركة وتكون قناة للبركة للعالم.</w:t>
      </w:r>
    </w:p>
    <w:p w14:paraId="262CF14F"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 xml:space="preserve">تُطرح العلاقة بين يهوه والأمّة على شكل معاهدة من تلك المعاهدات </w:t>
      </w:r>
      <w:r w:rsidRPr="00355D9E">
        <w:rPr>
          <w:rFonts w:eastAsia="Times New Roman" w:cs="DecoType Naskh" w:hint="cs"/>
          <w:color w:val="auto"/>
          <w:kern w:val="0"/>
          <w:szCs w:val="26"/>
          <w:rtl/>
          <w:lang w:bidi="ar-JO"/>
          <w14:ligatures w14:val="none"/>
        </w:rPr>
        <w:t>التي كانت سائدة</w:t>
      </w:r>
      <w:r w:rsidRPr="00355D9E">
        <w:rPr>
          <w:rFonts w:eastAsia="Times New Roman" w:cs="DecoType Naskh"/>
          <w:color w:val="auto"/>
          <w:kern w:val="0"/>
          <w:szCs w:val="26"/>
          <w:rtl/>
          <w:lang w:bidi="ar-JO"/>
          <w14:ligatures w14:val="none"/>
        </w:rPr>
        <w:t xml:space="preserve"> في الشرق الأدنى القديم بين ملك متسيد منتصر ودولة تابعة، يلتزم بموجبها الطرفان بالشروط الصريحة للمعاهدة (انظر القسم </w:t>
      </w:r>
      <w:r w:rsidRPr="00355D9E">
        <w:rPr>
          <w:rFonts w:eastAsia="Times New Roman" w:cs="DecoType Naskh" w:hint="cs"/>
          <w:color w:val="auto"/>
          <w:kern w:val="0"/>
          <w:szCs w:val="26"/>
          <w:rtl/>
          <w:lang w:bidi="ar-JO"/>
          <w14:ligatures w14:val="none"/>
        </w:rPr>
        <w:t>2</w:t>
      </w:r>
      <w:r w:rsidRPr="00355D9E">
        <w:rPr>
          <w:rFonts w:eastAsia="Times New Roman" w:cs="DecoType Naskh"/>
          <w:color w:val="auto"/>
          <w:kern w:val="0"/>
          <w:szCs w:val="26"/>
          <w:rtl/>
          <w:lang w:bidi="ar-JO"/>
          <w14:ligatures w14:val="none"/>
        </w:rPr>
        <w:t xml:space="preserve">).  ويقدّم الملك المتسيد (يهوه) امتيازات ومزايا إذا وافقت الأمّة </w:t>
      </w:r>
      <w:r w:rsidRPr="00355D9E">
        <w:rPr>
          <w:rFonts w:eastAsia="Times New Roman" w:cs="DecoType Naskh" w:hint="cs"/>
          <w:color w:val="auto"/>
          <w:kern w:val="0"/>
          <w:szCs w:val="26"/>
          <w:rtl/>
          <w:lang w:bidi="ar-JO"/>
          <w14:ligatures w14:val="none"/>
        </w:rPr>
        <w:t>التابعة</w:t>
      </w:r>
      <w:r w:rsidRPr="00355D9E">
        <w:rPr>
          <w:rFonts w:eastAsia="Times New Roman" w:cs="DecoType Naskh"/>
          <w:color w:val="auto"/>
          <w:kern w:val="0"/>
          <w:szCs w:val="26"/>
          <w:rtl/>
          <w:lang w:bidi="ar-JO"/>
          <w14:ligatures w14:val="none"/>
        </w:rPr>
        <w:t xml:space="preserve"> (إسرائيل) على الشروط.  ستُذكر هذه الشروط في خروج 20: 1-23: 33: أمّا المزايا </w:t>
      </w:r>
      <w:r w:rsidRPr="00355D9E">
        <w:rPr>
          <w:rFonts w:eastAsia="Times New Roman" w:cs="DecoType Naskh" w:hint="cs"/>
          <w:color w:val="auto"/>
          <w:kern w:val="0"/>
          <w:szCs w:val="26"/>
          <w:rtl/>
          <w:lang w:bidi="ar-JO"/>
          <w14:ligatures w14:val="none"/>
        </w:rPr>
        <w:t>فتذكر</w:t>
      </w:r>
      <w:r w:rsidRPr="00355D9E">
        <w:rPr>
          <w:rFonts w:eastAsia="Times New Roman" w:cs="DecoType Naskh"/>
          <w:color w:val="auto"/>
          <w:kern w:val="0"/>
          <w:szCs w:val="26"/>
          <w:rtl/>
          <w:lang w:bidi="ar-JO"/>
          <w14:ligatures w14:val="none"/>
        </w:rPr>
        <w:t xml:space="preserve"> في خروج 19: 5-6.  وكأن لسان حال الله يقول: "إن وافقتم على أن تفعلوا هذا، فسأقدم لكم هذه الامتيازات."</w:t>
      </w:r>
    </w:p>
    <w:p w14:paraId="25323273"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فالآن إن سمعتم لصوتي، وحفظتم عهدي تكونون لي خاصّة بين جميع الشعوب.  فإن لي كلّ الأرض.  وأنتم تكونون لي مملكة  كهنة، وأمّة مقدسة. (خروج 19: 5-6).</w:t>
      </w:r>
    </w:p>
    <w:p w14:paraId="11C63BF3"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 xml:space="preserve">توافق أمّة إسرائيل في 19: 8 على هذا العرض: "كلَّ ما تكلم به الرب نفعل."  (قارن 24: 7).  ولسوء الحظ فقد فهم بعضهم أن هذا يعني أن إسرائيل كانت بهذا تتخلى عن مبدأ النعمة لتقبل مبدأ الشريعة عوضاً عنه (انظر </w:t>
      </w:r>
      <w:r w:rsidRPr="00355D9E">
        <w:rPr>
          <w:rFonts w:eastAsia="Times New Roman" w:cs="DecoType Naskh"/>
          <w:color w:val="auto"/>
          <w:kern w:val="0"/>
          <w:szCs w:val="26"/>
          <w14:ligatures w14:val="none"/>
        </w:rPr>
        <w:t>The Scofield Ref. Bible</w:t>
      </w:r>
      <w:r w:rsidRPr="00355D9E">
        <w:rPr>
          <w:rFonts w:eastAsia="Times New Roman" w:cs="DecoType Naskh"/>
          <w:color w:val="auto"/>
          <w:kern w:val="0"/>
          <w:szCs w:val="26"/>
          <w:rtl/>
          <w:lang w:bidi="ar-JO"/>
          <w14:ligatures w14:val="none"/>
        </w:rPr>
        <w:t>).  لكن في ضوء امتداح الله لقرارهم (انظر تثنية 5: 27، 28)، فإن هذا أمر بعيد الاحتمال جداً.  لكن المسألة هنا هي الفرصة المتاحة لهم في أن يكونوا وسيط يهوه للبركة.  لنلاحظ الوعود المتاحة لإسرائيل في خروج 19: 5-6.</w:t>
      </w:r>
    </w:p>
    <w:p w14:paraId="7CF68867"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lastRenderedPageBreak/>
        <w:t>1.</w:t>
      </w:r>
      <w:r w:rsidRPr="00355D9E">
        <w:rPr>
          <w:rFonts w:eastAsia="Times New Roman" w:cs="DecoType Naskh"/>
          <w:color w:val="auto"/>
          <w:kern w:val="0"/>
          <w:szCs w:val="26"/>
          <w:rtl/>
          <w:lang w:bidi="ar-JO"/>
          <w14:ligatures w14:val="none"/>
        </w:rPr>
        <w:tab/>
        <w:t xml:space="preserve">"لي خاصّة (أي مقتنى، </w:t>
      </w:r>
      <w:r w:rsidRPr="00355D9E">
        <w:rPr>
          <w:rFonts w:ascii="Ezra SIL" w:eastAsia="Times New Roman" w:hAnsi="Ezra SIL" w:cs="Ezra SIL"/>
          <w:b/>
          <w:color w:val="auto"/>
          <w:kern w:val="0"/>
          <w:rtl/>
          <w:lang w:bidi="he-IL"/>
          <w14:ligatures w14:val="none"/>
        </w:rPr>
        <w:t>סְגֻלָּה</w:t>
      </w:r>
      <w:r w:rsidRPr="00355D9E">
        <w:rPr>
          <w:rFonts w:eastAsia="Times New Roman" w:cs="DecoType Naskh"/>
          <w:color w:val="auto"/>
          <w:kern w:val="0"/>
          <w:szCs w:val="26"/>
          <w14:ligatures w14:val="none"/>
        </w:rPr>
        <w:t xml:space="preserve">, </w:t>
      </w:r>
      <w:r w:rsidRPr="00355D9E">
        <w:rPr>
          <w:rFonts w:ascii="Charis SIL" w:eastAsia="Times New Roman" w:hAnsi="Charis SIL" w:cs="Charis SIL"/>
          <w:bCs/>
          <w:i/>
          <w:iCs/>
          <w:color w:val="auto"/>
          <w:kern w:val="0"/>
          <w:szCs w:val="26"/>
          <w:lang w:bidi="ar-JO"/>
          <w14:ligatures w14:val="none"/>
        </w:rPr>
        <w:t>sᵊḡullâ</w:t>
      </w:r>
      <w:r w:rsidRPr="00355D9E">
        <w:rPr>
          <w:rFonts w:ascii="Charis SIL" w:eastAsia="Times New Roman" w:hAnsi="Charis SIL" w:cs="Arial"/>
          <w:bCs/>
          <w:color w:val="auto"/>
          <w:kern w:val="0"/>
          <w:szCs w:val="26"/>
          <w:lang w:bidi="he-IL"/>
          <w14:ligatures w14:val="none"/>
        </w:rPr>
        <w:t xml:space="preserve">, </w:t>
      </w:r>
      <w:r w:rsidRPr="00355D9E">
        <w:rPr>
          <w:rFonts w:eastAsia="Times New Roman" w:cs="DecoType Naskh"/>
          <w:color w:val="auto"/>
          <w:kern w:val="0"/>
          <w:szCs w:val="26"/>
          <w:rtl/>
          <w:lang w:bidi="ar-JO"/>
          <w14:ligatures w14:val="none"/>
        </w:rPr>
        <w:t xml:space="preserve"> س</w:t>
      </w:r>
      <w:r w:rsidRPr="00355D9E">
        <w:rPr>
          <w:rFonts w:eastAsia="Times New Roman" w:cs="DecoType Naskh" w:hint="cs"/>
          <w:color w:val="auto"/>
          <w:kern w:val="0"/>
          <w:szCs w:val="26"/>
          <w:rtl/>
          <w14:ligatures w14:val="none"/>
        </w:rPr>
        <w:t>ـِ</w:t>
      </w:r>
      <w:r w:rsidRPr="00355D9E">
        <w:rPr>
          <w:rFonts w:ascii="Arial" w:eastAsia="Times New Roman" w:hAnsi="Arial" w:cs="Arial"/>
          <w:color w:val="auto"/>
          <w:kern w:val="0"/>
          <w:sz w:val="42"/>
          <w:szCs w:val="44"/>
          <w:vertAlign w:val="subscript"/>
          <w14:ligatures w14:val="none"/>
        </w:rPr>
        <w:t>ﮕ</w:t>
      </w:r>
      <w:r w:rsidRPr="00355D9E">
        <w:rPr>
          <w:rFonts w:eastAsia="Times New Roman" w:cs="DecoType Naskh" w:hint="cs"/>
          <w:color w:val="auto"/>
          <w:kern w:val="0"/>
          <w:szCs w:val="26"/>
          <w:rtl/>
          <w14:ligatures w14:val="none"/>
        </w:rPr>
        <w:t>و</w:t>
      </w:r>
      <w:r w:rsidRPr="00355D9E">
        <w:rPr>
          <w:rFonts w:eastAsia="Times New Roman" w:cs="DecoType Naskh"/>
          <w:color w:val="auto"/>
          <w:kern w:val="0"/>
          <w:szCs w:val="26"/>
          <w:rtl/>
          <w:lang w:bidi="ar-JO"/>
          <w14:ligatures w14:val="none"/>
        </w:rPr>
        <w:t>لـل</w:t>
      </w:r>
      <w:r w:rsidRPr="00355D9E">
        <w:rPr>
          <w:rFonts w:eastAsia="Times New Roman" w:cs="DecoType Naskh" w:hint="cs"/>
          <w:color w:val="auto"/>
          <w:kern w:val="0"/>
          <w:szCs w:val="26"/>
          <w:rtl/>
          <w14:ligatures w14:val="none"/>
        </w:rPr>
        <w:t>ي</w:t>
      </w:r>
      <w:r w:rsidRPr="00355D9E">
        <w:rPr>
          <w:rFonts w:eastAsia="Times New Roman" w:cs="DecoType Naskh"/>
          <w:color w:val="auto"/>
          <w:kern w:val="0"/>
          <w:szCs w:val="26"/>
          <w:rtl/>
          <w:lang w:bidi="ar-JO"/>
          <w14:ligatures w14:val="none"/>
        </w:rPr>
        <w:t>ـه) من بين جميع الشعوب."  أي أنهم يمكن أن يكونوا كنزاً مميَّزاً.  يقول يهوه ما مفاده</w:t>
      </w:r>
      <w:r w:rsidRPr="00355D9E">
        <w:rPr>
          <w:rFonts w:eastAsia="Times New Roman" w:cs="DecoType Naskh" w:hint="cs"/>
          <w:color w:val="auto"/>
          <w:kern w:val="0"/>
          <w:szCs w:val="26"/>
          <w:rtl/>
          <w:lang w:bidi="ar-JO"/>
          <w14:ligatures w14:val="none"/>
        </w:rPr>
        <w:t>:</w:t>
      </w:r>
      <w:r w:rsidRPr="00355D9E">
        <w:rPr>
          <w:rFonts w:eastAsia="Times New Roman" w:cs="DecoType Naskh"/>
          <w:color w:val="auto"/>
          <w:kern w:val="0"/>
          <w:szCs w:val="26"/>
          <w:rtl/>
          <w:lang w:bidi="ar-JO"/>
          <w14:ligatures w14:val="none"/>
        </w:rPr>
        <w:t xml:space="preserve"> "على الرغم من أن كل الأرض لي، فإنكم ستكون كنزاً فريداً وثميناً لي."</w:t>
      </w:r>
    </w:p>
    <w:p w14:paraId="18DBE14A"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2.</w:t>
      </w:r>
      <w:r w:rsidRPr="00355D9E">
        <w:rPr>
          <w:rFonts w:eastAsia="Times New Roman" w:cs="DecoType Naskh"/>
          <w:color w:val="auto"/>
          <w:kern w:val="0"/>
          <w:szCs w:val="26"/>
          <w:rtl/>
          <w:lang w:bidi="ar-JO"/>
          <w14:ligatures w14:val="none"/>
        </w:rPr>
        <w:tab/>
        <w:t>"مملكة كهنة" يشكل الكاهن صلة وصل بين الله والإنسان.  كان يمكن أن تكون لإسرائيل وظيفة كهنوتية تخدم فيها الأمم الأخرى بأن تدلهم على الطريق إلى يهوه (انظر إشعياء 49: 6</w:t>
      </w:r>
      <w:r w:rsidRPr="00355D9E">
        <w:rPr>
          <w:rFonts w:eastAsia="Times New Roman" w:cs="DecoType Naskh" w:hint="cs"/>
          <w:color w:val="auto"/>
          <w:kern w:val="0"/>
          <w:szCs w:val="26"/>
          <w:rtl/>
          <w:lang w:bidi="ar-JO"/>
          <w14:ligatures w14:val="none"/>
        </w:rPr>
        <w:t xml:space="preserve"> </w:t>
      </w:r>
      <w:r w:rsidRPr="00355D9E">
        <w:rPr>
          <w:rFonts w:eastAsia="Times New Roman" w:cs="DecoType Naskh"/>
          <w:color w:val="auto"/>
          <w:kern w:val="0"/>
          <w:szCs w:val="26"/>
          <w:rtl/>
          <w:lang w:bidi="ar-JO"/>
          <w14:ligatures w14:val="none"/>
        </w:rPr>
        <w:t>حيث يُنظر إلى عبد يهوه بصفته "نوراً للأمم").  يقول ميريل</w:t>
      </w:r>
      <w:r w:rsidRPr="00355D9E">
        <w:rPr>
          <w:rFonts w:eastAsia="Times New Roman" w:cs="DecoType Naskh" w:hint="cs"/>
          <w:color w:val="auto"/>
          <w:kern w:val="0"/>
          <w:szCs w:val="26"/>
          <w:rtl/>
          <w:lang w:bidi="ar-JO"/>
          <w14:ligatures w14:val="none"/>
        </w:rPr>
        <w:t>:</w:t>
      </w:r>
    </w:p>
    <w:p w14:paraId="465E8FC0"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14:ligatures w14:val="none"/>
        </w:rPr>
      </w:pPr>
      <w:r w:rsidRPr="00355D9E">
        <w:rPr>
          <w:rFonts w:eastAsia="Times New Roman" w:cs="DecoType Naskh"/>
          <w:color w:val="auto"/>
          <w:kern w:val="0"/>
          <w:szCs w:val="26"/>
          <w:rtl/>
          <w:lang w:bidi="ar-JO"/>
          <w14:ligatures w14:val="none"/>
        </w:rPr>
        <w:t>كان يفترض أن يكون دورهم منذ ذلك الوقت فصاعداً هو التشّفع أو التوسط بين الله القدوس وأمم العالم الضالّة.  وليس الهدف المنظور هو أن يعلنوا خلاصه فحسب، بل أيضاً أن يكونوا القناة التي يُنجز من خلالها ذلك الخلاص.</w:t>
      </w:r>
      <w:r w:rsidRPr="00355D9E">
        <w:rPr>
          <w:rFonts w:eastAsia="Times New Roman" w:cs="DecoType Naskh"/>
          <w:color w:val="auto"/>
          <w:kern w:val="0"/>
          <w:sz w:val="28"/>
          <w:szCs w:val="28"/>
          <w:vertAlign w:val="superscript"/>
          <w:rtl/>
          <w:lang w:bidi="ar-JO"/>
          <w14:ligatures w14:val="none"/>
        </w:rPr>
        <w:footnoteReference w:id="74"/>
      </w:r>
    </w:p>
    <w:p w14:paraId="34BD979C"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3.</w:t>
      </w:r>
      <w:r w:rsidRPr="00355D9E">
        <w:rPr>
          <w:rFonts w:eastAsia="Times New Roman" w:cs="DecoType Naskh"/>
          <w:color w:val="auto"/>
          <w:kern w:val="0"/>
          <w:szCs w:val="26"/>
          <w:rtl/>
          <w:lang w:bidi="ar-JO"/>
          <w14:ligatures w14:val="none"/>
        </w:rPr>
        <w:tab/>
        <w:t>"أمّة مقدّسة."  يمكن أن يُفرَزوا ويميَّزوا، لا أن يُستعب</w:t>
      </w:r>
      <w:r w:rsidRPr="00355D9E">
        <w:rPr>
          <w:rFonts w:eastAsia="Times New Roman" w:cs="DecoType Naskh" w:hint="cs"/>
          <w:color w:val="auto"/>
          <w:kern w:val="0"/>
          <w:szCs w:val="26"/>
          <w:rtl/>
          <w:lang w:bidi="ar-JO"/>
          <w14:ligatures w14:val="none"/>
        </w:rPr>
        <w:t>َ</w:t>
      </w:r>
      <w:r w:rsidRPr="00355D9E">
        <w:rPr>
          <w:rFonts w:eastAsia="Times New Roman" w:cs="DecoType Naskh"/>
          <w:color w:val="auto"/>
          <w:kern w:val="0"/>
          <w:szCs w:val="26"/>
          <w:rtl/>
          <w:lang w:bidi="ar-JO"/>
          <w14:ligatures w14:val="none"/>
        </w:rPr>
        <w:t>دوا للخطية كالشعوب الأخرى.</w:t>
      </w:r>
    </w:p>
    <w:p w14:paraId="686E13DC"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1FCD71B"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كانت هذه فرصة الامتياز.  فبعد أن يوافَق على الشريعة، صارت الشريعة شكلاً لعلاقة بين يهوه والأمّة إلى أن مات المسيح على الصليب.</w:t>
      </w:r>
    </w:p>
    <w:p w14:paraId="3BD50E23"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 xml:space="preserve">ومع تقدّم التاريخ كان واضحاً أن الأمّة لن تكون وفية لعلاقة العهد هذه.  وبالمقابلة مع العهد الإبراهيمي غير المشروط، كان العهد الموسوي مشروطاً.  ونتيجة لذلك، كان لابد من تجديد العهد.  ويمكننا أن نرى عدة أمثلة على تجديد العهد.  يعطى العهد الأولي ويوافَق عليه في خروج 19-24.  ويجدَّد العهد في خروج </w:t>
      </w:r>
      <w:r w:rsidRPr="00355D9E">
        <w:rPr>
          <w:rFonts w:eastAsia="Times New Roman" w:cs="DecoType Naskh" w:hint="cs"/>
          <w:color w:val="auto"/>
          <w:kern w:val="0"/>
          <w:szCs w:val="26"/>
          <w:rtl/>
          <w:lang w:bidi="ar-JO"/>
          <w14:ligatures w14:val="none"/>
        </w:rPr>
        <w:t>32-34</w:t>
      </w:r>
      <w:r w:rsidRPr="00355D9E">
        <w:rPr>
          <w:rFonts w:eastAsia="Times New Roman" w:cs="DecoType Naskh"/>
          <w:color w:val="auto"/>
          <w:kern w:val="0"/>
          <w:szCs w:val="26"/>
          <w:rtl/>
          <w:lang w:bidi="ar-JO"/>
          <w14:ligatures w14:val="none"/>
        </w:rPr>
        <w:t xml:space="preserve"> عند دخول الأرض (تثنية)، وتحت قيادة يشوع (انظر يشوع 24).  وهذا هو ما يجعل عمل الأنبياء ذا أهمية خاصّة. إذ كانوا يدعون الأمّة إلى تحمّل مسؤولياتها في ما يتعلق بخرق العهد، وينبّهون الأمّة إلى عواقب عدم طاعتهم (انظر تثنية 28-30).</w:t>
      </w:r>
    </w:p>
    <w:p w14:paraId="778C1AB2" w14:textId="77777777" w:rsidR="00355D9E" w:rsidRPr="00355D9E" w:rsidRDefault="00355D9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355D9E">
        <w:rPr>
          <w:rFonts w:eastAsia="Times New Roman" w:cs="DecoType Naskh" w:hint="cs"/>
          <w:bCs/>
          <w:color w:val="auto"/>
          <w:kern w:val="0"/>
          <w:szCs w:val="28"/>
          <w:rtl/>
          <w:lang w:bidi="ar-JO"/>
          <w14:ligatures w14:val="none"/>
        </w:rPr>
        <w:t>2</w:t>
      </w:r>
      <w:r w:rsidRPr="00355D9E">
        <w:rPr>
          <w:rFonts w:eastAsia="Times New Roman" w:cs="DecoType Naskh"/>
          <w:bCs/>
          <w:color w:val="auto"/>
          <w:kern w:val="0"/>
          <w:szCs w:val="28"/>
          <w:rtl/>
          <w:lang w:bidi="ar-JO"/>
          <w14:ligatures w14:val="none"/>
        </w:rPr>
        <w:t>.</w:t>
      </w:r>
      <w:r w:rsidRPr="00355D9E">
        <w:rPr>
          <w:rFonts w:eastAsia="Times New Roman" w:cs="DecoType Naskh"/>
          <w:bCs/>
          <w:color w:val="auto"/>
          <w:kern w:val="0"/>
          <w:szCs w:val="28"/>
          <w:rtl/>
          <w:lang w:bidi="ar-JO"/>
          <w14:ligatures w14:val="none"/>
        </w:rPr>
        <w:tab/>
      </w:r>
      <w:r w:rsidRPr="00355D9E">
        <w:rPr>
          <w:rFonts w:eastAsia="Times New Roman" w:cs="DecoType Naskh" w:hint="cs"/>
          <w:bCs/>
          <w:color w:val="auto"/>
          <w:kern w:val="0"/>
          <w:szCs w:val="28"/>
          <w:rtl/>
          <w:lang w:bidi="ar-JO"/>
          <w14:ligatures w14:val="none"/>
        </w:rPr>
        <w:t>شكَّل</w:t>
      </w:r>
      <w:r w:rsidRPr="00355D9E">
        <w:rPr>
          <w:rFonts w:eastAsia="Times New Roman" w:cs="DecoType Naskh"/>
          <w:bCs/>
          <w:color w:val="auto"/>
          <w:kern w:val="0"/>
          <w:szCs w:val="28"/>
          <w:rtl/>
          <w:lang w:bidi="ar-JO"/>
          <w14:ligatures w14:val="none"/>
        </w:rPr>
        <w:t xml:space="preserve"> العهد </w:t>
      </w:r>
    </w:p>
    <w:p w14:paraId="54E91187"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28"/>
          <w:szCs w:val="28"/>
          <w:rtl/>
          <w:lang w:bidi="ar-JO"/>
          <w14:ligatures w14:val="none"/>
        </w:rPr>
      </w:pPr>
      <w:r w:rsidRPr="00355D9E">
        <w:rPr>
          <w:rFonts w:eastAsia="Times New Roman" w:cs="DecoType Naskh"/>
          <w:color w:val="auto"/>
          <w:kern w:val="0"/>
          <w:szCs w:val="26"/>
          <w:rtl/>
          <w:lang w:bidi="ar-JO"/>
          <w14:ligatures w14:val="none"/>
        </w:rPr>
        <w:t>قدّم لنا جـ. إي. مندنهال، وميريديث كلاين، و ك. أ. كتشن خدمة قيّمة جدّاً في ما يتعلق بالتوازي الموجود بين العهد الموسوي وعهود الشرق الأدنى في الألفية الثانية ق م.</w:t>
      </w:r>
      <w:r w:rsidRPr="00355D9E">
        <w:rPr>
          <w:rFonts w:eastAsia="Times New Roman" w:cs="DecoType Naskh"/>
          <w:color w:val="auto"/>
          <w:kern w:val="0"/>
          <w:szCs w:val="26"/>
          <w:vertAlign w:val="superscript"/>
          <w:rtl/>
          <w:lang w:bidi="ar-JO"/>
          <w14:ligatures w14:val="none"/>
        </w:rPr>
        <w:footnoteReference w:id="75"/>
      </w:r>
      <w:r w:rsidRPr="00355D9E">
        <w:rPr>
          <w:rFonts w:eastAsia="Times New Roman" w:cs="DecoType Naskh" w:hint="cs"/>
          <w:color w:val="auto"/>
          <w:kern w:val="0"/>
          <w:szCs w:val="26"/>
          <w:rtl/>
          <w14:ligatures w14:val="none"/>
        </w:rPr>
        <w:t xml:space="preserve">  </w:t>
      </w:r>
      <w:r w:rsidRPr="00355D9E">
        <w:rPr>
          <w:rFonts w:eastAsia="Times New Roman" w:cs="DecoType Naskh"/>
          <w:color w:val="auto"/>
          <w:kern w:val="0"/>
          <w:szCs w:val="26"/>
          <w:rtl/>
          <w:lang w:bidi="ar-JO"/>
          <w14:ligatures w14:val="none"/>
        </w:rPr>
        <w:t>ي</w:t>
      </w:r>
      <w:r w:rsidRPr="00355D9E">
        <w:rPr>
          <w:rFonts w:eastAsia="Times New Roman" w:cs="DecoType Naskh" w:hint="cs"/>
          <w:color w:val="auto"/>
          <w:kern w:val="0"/>
          <w:szCs w:val="26"/>
          <w:rtl/>
          <w14:ligatures w14:val="none"/>
        </w:rPr>
        <w:t>ُ</w:t>
      </w:r>
      <w:r w:rsidRPr="00355D9E">
        <w:rPr>
          <w:rFonts w:eastAsia="Times New Roman" w:cs="DecoType Naskh"/>
          <w:color w:val="auto"/>
          <w:kern w:val="0"/>
          <w:szCs w:val="26"/>
          <w:rtl/>
          <w:lang w:bidi="ar-JO"/>
          <w14:ligatures w14:val="none"/>
        </w:rPr>
        <w:t>طلق على هذا الشكل أو هذه الصيغة "صيغة المعاهدة بين الدولة المتسيدة (أو الملك المتسيد) والدولة التابعة".  وقد كانت هذه صيغة معاهدة شائعة متعارفاً عليها في العالم الحِثّي، حيث كان</w:t>
      </w:r>
      <w:r w:rsidRPr="00355D9E">
        <w:rPr>
          <w:rFonts w:eastAsia="Times New Roman" w:cs="DecoType Naskh" w:hint="cs"/>
          <w:color w:val="auto"/>
          <w:kern w:val="0"/>
          <w:szCs w:val="26"/>
          <w:rtl/>
          <w14:ligatures w14:val="none"/>
        </w:rPr>
        <w:t>ت</w:t>
      </w:r>
      <w:r w:rsidRPr="00355D9E">
        <w:rPr>
          <w:rFonts w:eastAsia="Times New Roman" w:cs="DecoType Naskh"/>
          <w:color w:val="auto"/>
          <w:kern w:val="0"/>
          <w:szCs w:val="26"/>
          <w:rtl/>
          <w:lang w:bidi="ar-JO"/>
          <w14:ligatures w14:val="none"/>
        </w:rPr>
        <w:t xml:space="preserve"> ت</w:t>
      </w:r>
      <w:r w:rsidRPr="00355D9E">
        <w:rPr>
          <w:rFonts w:eastAsia="Times New Roman" w:cs="DecoType Naskh" w:hint="cs"/>
          <w:color w:val="auto"/>
          <w:kern w:val="0"/>
          <w:szCs w:val="26"/>
          <w:rtl/>
          <w14:ligatures w14:val="none"/>
        </w:rPr>
        <w:t>دخل</w:t>
      </w:r>
      <w:r w:rsidRPr="00355D9E">
        <w:rPr>
          <w:rFonts w:eastAsia="Times New Roman" w:cs="DecoType Naskh"/>
          <w:color w:val="auto"/>
          <w:kern w:val="0"/>
          <w:szCs w:val="26"/>
          <w:rtl/>
          <w:lang w:bidi="ar-JO"/>
          <w14:ligatures w14:val="none"/>
        </w:rPr>
        <w:t xml:space="preserve"> </w:t>
      </w:r>
      <w:r w:rsidRPr="00355D9E">
        <w:rPr>
          <w:rFonts w:eastAsia="Times New Roman" w:cs="DecoType Naskh" w:hint="cs"/>
          <w:color w:val="auto"/>
          <w:kern w:val="0"/>
          <w:szCs w:val="26"/>
          <w:rtl/>
          <w:lang w:bidi="ar-JO"/>
          <w14:ligatures w14:val="none"/>
        </w:rPr>
        <w:t>ال</w:t>
      </w:r>
      <w:r w:rsidRPr="00355D9E">
        <w:rPr>
          <w:rFonts w:eastAsia="Times New Roman" w:cs="DecoType Naskh"/>
          <w:color w:val="auto"/>
          <w:kern w:val="0"/>
          <w:szCs w:val="26"/>
          <w:rtl/>
          <w:lang w:bidi="ar-JO"/>
          <w14:ligatures w14:val="none"/>
        </w:rPr>
        <w:t xml:space="preserve">دولة </w:t>
      </w:r>
      <w:r w:rsidRPr="00355D9E">
        <w:rPr>
          <w:rFonts w:eastAsia="Times New Roman" w:cs="DecoType Naskh" w:hint="cs"/>
          <w:color w:val="auto"/>
          <w:kern w:val="0"/>
          <w:szCs w:val="26"/>
          <w:rtl/>
          <w14:ligatures w14:val="none"/>
        </w:rPr>
        <w:t>ال</w:t>
      </w:r>
      <w:r w:rsidRPr="00355D9E">
        <w:rPr>
          <w:rFonts w:eastAsia="Times New Roman" w:cs="DecoType Naskh"/>
          <w:color w:val="auto"/>
          <w:kern w:val="0"/>
          <w:szCs w:val="26"/>
          <w:rtl/>
          <w:lang w:bidi="ar-JO"/>
          <w14:ligatures w14:val="none"/>
        </w:rPr>
        <w:t>أقوى و</w:t>
      </w:r>
      <w:r w:rsidRPr="00355D9E">
        <w:rPr>
          <w:rFonts w:eastAsia="Times New Roman" w:cs="DecoType Naskh" w:hint="cs"/>
          <w:color w:val="auto"/>
          <w:kern w:val="0"/>
          <w:szCs w:val="26"/>
          <w:rtl/>
          <w14:ligatures w14:val="none"/>
        </w:rPr>
        <w:t>ال</w:t>
      </w:r>
      <w:r w:rsidRPr="00355D9E">
        <w:rPr>
          <w:rFonts w:eastAsia="Times New Roman" w:cs="DecoType Naskh"/>
          <w:color w:val="auto"/>
          <w:kern w:val="0"/>
          <w:szCs w:val="26"/>
          <w:rtl/>
          <w:lang w:bidi="ar-JO"/>
          <w14:ligatures w14:val="none"/>
        </w:rPr>
        <w:t xml:space="preserve">أعظم </w:t>
      </w:r>
      <w:r w:rsidRPr="00355D9E">
        <w:rPr>
          <w:rFonts w:eastAsia="Times New Roman" w:cs="DecoType Naskh" w:hint="cs"/>
          <w:color w:val="auto"/>
          <w:kern w:val="0"/>
          <w:szCs w:val="26"/>
          <w:rtl/>
          <w:lang w:bidi="ar-JO"/>
          <w14:ligatures w14:val="none"/>
        </w:rPr>
        <w:t xml:space="preserve">في </w:t>
      </w:r>
      <w:r w:rsidRPr="00355D9E">
        <w:rPr>
          <w:rFonts w:eastAsia="Times New Roman" w:cs="DecoType Naskh"/>
          <w:color w:val="auto"/>
          <w:kern w:val="0"/>
          <w:szCs w:val="26"/>
          <w:rtl/>
          <w:lang w:bidi="ar-JO"/>
          <w14:ligatures w14:val="none"/>
        </w:rPr>
        <w:t xml:space="preserve">معاهدة مع دولة تابعة أضعف </w:t>
      </w:r>
      <w:r w:rsidRPr="00355D9E">
        <w:rPr>
          <w:rFonts w:eastAsia="Times New Roman" w:cs="DecoType Naskh" w:hint="cs"/>
          <w:color w:val="auto"/>
          <w:kern w:val="0"/>
          <w:szCs w:val="26"/>
          <w:rtl/>
          <w14:ligatures w14:val="none"/>
        </w:rPr>
        <w:t>"</w:t>
      </w:r>
      <w:r w:rsidRPr="00355D9E">
        <w:rPr>
          <w:rFonts w:eastAsia="Times New Roman" w:cs="DecoType Naskh"/>
          <w:color w:val="auto"/>
          <w:kern w:val="0"/>
          <w:szCs w:val="26"/>
          <w:rtl/>
          <w:lang w:bidi="ar-JO"/>
          <w14:ligatures w14:val="none"/>
        </w:rPr>
        <w:t>مُقْطَعة</w:t>
      </w:r>
      <w:r w:rsidRPr="00355D9E">
        <w:rPr>
          <w:rFonts w:eastAsia="Times New Roman" w:cs="DecoType Naskh" w:hint="cs"/>
          <w:color w:val="auto"/>
          <w:kern w:val="0"/>
          <w:szCs w:val="26"/>
          <w:rtl/>
          <w14:ligatures w14:val="none"/>
        </w:rPr>
        <w:t>"</w:t>
      </w:r>
      <w:r w:rsidRPr="00355D9E">
        <w:rPr>
          <w:rFonts w:eastAsia="Times New Roman" w:cs="DecoType Naskh"/>
          <w:color w:val="auto"/>
          <w:kern w:val="0"/>
          <w:szCs w:val="26"/>
          <w:rtl/>
          <w:lang w:bidi="ar-JO"/>
          <w14:ligatures w14:val="none"/>
        </w:rPr>
        <w:t xml:space="preserve"> (وتَشهد بهذا بكثرة وفيرة السجلات الملكية الحثية التي وجدت في بوغازكوي في تركيا).  كانت الدولة </w:t>
      </w:r>
      <w:r w:rsidRPr="00355D9E">
        <w:rPr>
          <w:rFonts w:eastAsia="Times New Roman" w:cs="DecoType Naskh" w:hint="cs"/>
          <w:color w:val="auto"/>
          <w:kern w:val="0"/>
          <w:szCs w:val="26"/>
          <w:rtl/>
          <w:lang w:bidi="ar-JO"/>
          <w14:ligatures w14:val="none"/>
        </w:rPr>
        <w:t>التابعة</w:t>
      </w:r>
      <w:r w:rsidRPr="00355D9E">
        <w:rPr>
          <w:rFonts w:eastAsia="Times New Roman" w:cs="DecoType Naskh"/>
          <w:color w:val="auto"/>
          <w:kern w:val="0"/>
          <w:szCs w:val="26"/>
          <w:rtl/>
          <w:lang w:bidi="ar-JO"/>
          <w14:ligatures w14:val="none"/>
        </w:rPr>
        <w:t xml:space="preserve"> تربط نفسها بقسم</w:t>
      </w:r>
      <w:r w:rsidRPr="00355D9E">
        <w:rPr>
          <w:rFonts w:eastAsia="Times New Roman" w:cs="DecoType Naskh" w:hint="cs"/>
          <w:color w:val="auto"/>
          <w:kern w:val="0"/>
          <w:szCs w:val="26"/>
          <w:rtl/>
          <w:lang w:bidi="ar-JO"/>
          <w14:ligatures w14:val="none"/>
        </w:rPr>
        <w:t>ٍ</w:t>
      </w:r>
      <w:r w:rsidRPr="00355D9E">
        <w:rPr>
          <w:rFonts w:eastAsia="Times New Roman" w:cs="DecoType Naskh"/>
          <w:color w:val="auto"/>
          <w:kern w:val="0"/>
          <w:szCs w:val="26"/>
          <w:rtl/>
          <w:lang w:bidi="ar-JO"/>
          <w14:ligatures w14:val="none"/>
        </w:rPr>
        <w:t xml:space="preserve"> بالدولة/الملك المتسيد وتتعهد بأداء واجبات معينة.  وكان لهذه المعاهدات شكل واضح المعالم (على الرغم من أنها لم تكن تأخذ شكل قالب غير مرن على الإطلاق).</w:t>
      </w:r>
      <w:r w:rsidRPr="00355D9E">
        <w:rPr>
          <w:rFonts w:eastAsia="Times New Roman" w:cs="DecoType Naskh"/>
          <w:color w:val="auto"/>
          <w:kern w:val="0"/>
          <w:sz w:val="28"/>
          <w:szCs w:val="28"/>
          <w:vertAlign w:val="superscript"/>
          <w:rtl/>
          <w:lang w:bidi="ar-JO"/>
          <w14:ligatures w14:val="none"/>
        </w:rPr>
        <w:footnoteReference w:id="76"/>
      </w:r>
      <w:r w:rsidRPr="00355D9E">
        <w:rPr>
          <w:rFonts w:eastAsia="Times New Roman" w:cs="DecoType Naskh"/>
          <w:color w:val="auto"/>
          <w:kern w:val="0"/>
          <w:sz w:val="28"/>
          <w:szCs w:val="28"/>
          <w:rtl/>
          <w:lang w:bidi="ar-JO"/>
          <w14:ligatures w14:val="none"/>
        </w:rPr>
        <w:t xml:space="preserve"> </w:t>
      </w:r>
    </w:p>
    <w:p w14:paraId="0C52536B"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 xml:space="preserve">      </w:t>
      </w:r>
    </w:p>
    <w:p w14:paraId="4D56EE83"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1.</w:t>
      </w:r>
      <w:r w:rsidRPr="00355D9E">
        <w:rPr>
          <w:rFonts w:eastAsia="Times New Roman" w:cs="DecoType Naskh"/>
          <w:color w:val="auto"/>
          <w:kern w:val="0"/>
          <w:szCs w:val="26"/>
          <w:rtl/>
          <w:lang w:bidi="ar-JO"/>
          <w14:ligatures w14:val="none"/>
        </w:rPr>
        <w:tab/>
        <w:t>مقدمة المعاهدة- تعريف بالدولة/الملك المتسيدة.</w:t>
      </w:r>
    </w:p>
    <w:p w14:paraId="1B08EBBD"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2.</w:t>
      </w:r>
      <w:r w:rsidRPr="00355D9E">
        <w:rPr>
          <w:rFonts w:eastAsia="Times New Roman" w:cs="DecoType Naskh"/>
          <w:color w:val="auto"/>
          <w:kern w:val="0"/>
          <w:szCs w:val="26"/>
          <w:rtl/>
          <w:lang w:bidi="ar-JO"/>
          <w14:ligatures w14:val="none"/>
        </w:rPr>
        <w:tab/>
        <w:t xml:space="preserve">تمهيد تاريخي- يشمل هذا ذكر الأعمال التي تتم لفائدة الدولة </w:t>
      </w:r>
      <w:r w:rsidRPr="00355D9E">
        <w:rPr>
          <w:rFonts w:eastAsia="Times New Roman" w:cs="DecoType Naskh" w:hint="cs"/>
          <w:color w:val="auto"/>
          <w:kern w:val="0"/>
          <w:szCs w:val="26"/>
          <w:rtl/>
          <w:lang w:bidi="ar-JO"/>
          <w14:ligatures w14:val="none"/>
        </w:rPr>
        <w:t>التابعة</w:t>
      </w:r>
      <w:r w:rsidRPr="00355D9E">
        <w:rPr>
          <w:rFonts w:eastAsia="Times New Roman" w:cs="DecoType Naskh"/>
          <w:color w:val="auto"/>
          <w:kern w:val="0"/>
          <w:szCs w:val="26"/>
          <w:rtl/>
          <w:lang w:bidi="ar-JO"/>
          <w14:ligatures w14:val="none"/>
        </w:rPr>
        <w:t xml:space="preserve">، حتى تكون الدولة </w:t>
      </w:r>
      <w:r w:rsidRPr="00355D9E">
        <w:rPr>
          <w:rFonts w:eastAsia="Times New Roman" w:cs="DecoType Naskh" w:hint="cs"/>
          <w:color w:val="auto"/>
          <w:kern w:val="0"/>
          <w:szCs w:val="26"/>
          <w:rtl/>
          <w:lang w:bidi="ar-JO"/>
          <w14:ligatures w14:val="none"/>
        </w:rPr>
        <w:t>التابعة</w:t>
      </w:r>
      <w:r w:rsidRPr="00355D9E">
        <w:rPr>
          <w:rFonts w:eastAsia="Times New Roman" w:cs="DecoType Naskh"/>
          <w:color w:val="auto"/>
          <w:kern w:val="0"/>
          <w:szCs w:val="26"/>
          <w:rtl/>
          <w:lang w:bidi="ar-JO"/>
          <w14:ligatures w14:val="none"/>
        </w:rPr>
        <w:t xml:space="preserve"> مدينةً بالعرفان الدائم للملك العظيم بسبب الخير والاعتبار والأفضال التي تلقّتها.</w:t>
      </w:r>
    </w:p>
    <w:p w14:paraId="40486476"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3.</w:t>
      </w:r>
      <w:r w:rsidRPr="00355D9E">
        <w:rPr>
          <w:rFonts w:eastAsia="Times New Roman" w:cs="DecoType Naskh"/>
          <w:color w:val="auto"/>
          <w:kern w:val="0"/>
          <w:szCs w:val="26"/>
          <w:rtl/>
          <w:lang w:bidi="ar-JO"/>
          <w14:ligatures w14:val="none"/>
        </w:rPr>
        <w:tab/>
        <w:t>شروط التعاقد- أي الالتزامات التي فُرضت وقبلتها الدولة التابعة (وتتضمن تعبيراً عن الولاء للملك المتسيد).</w:t>
      </w:r>
    </w:p>
    <w:p w14:paraId="3442E28D"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4.</w:t>
      </w:r>
      <w:r w:rsidRPr="00355D9E">
        <w:rPr>
          <w:rFonts w:eastAsia="Times New Roman" w:cs="DecoType Naskh"/>
          <w:color w:val="auto"/>
          <w:kern w:val="0"/>
          <w:szCs w:val="26"/>
          <w:rtl/>
          <w:lang w:bidi="ar-JO"/>
          <w14:ligatures w14:val="none"/>
        </w:rPr>
        <w:tab/>
        <w:t>ترتيب وضع نسخة في الهيكل وقراءة دورية علنية لنص المعاهدة.</w:t>
      </w:r>
    </w:p>
    <w:p w14:paraId="04FA1358"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5.</w:t>
      </w:r>
      <w:r w:rsidRPr="00355D9E">
        <w:rPr>
          <w:rFonts w:eastAsia="Times New Roman" w:cs="DecoType Naskh"/>
          <w:color w:val="auto"/>
          <w:kern w:val="0"/>
          <w:szCs w:val="26"/>
          <w:rtl/>
          <w:lang w:bidi="ar-JO"/>
          <w14:ligatures w14:val="none"/>
        </w:rPr>
        <w:tab/>
      </w:r>
      <w:r w:rsidRPr="00355D9E">
        <w:rPr>
          <w:rFonts w:eastAsia="Times New Roman" w:cs="DecoType Naskh" w:hint="cs"/>
          <w:color w:val="auto"/>
          <w:kern w:val="0"/>
          <w:szCs w:val="26"/>
          <w:rtl/>
          <w:lang w:bidi="ar-JO"/>
          <w14:ligatures w14:val="none"/>
        </w:rPr>
        <w:t>دعوة الآلهة للشهادة</w:t>
      </w:r>
      <w:r w:rsidRPr="00355D9E">
        <w:rPr>
          <w:rFonts w:eastAsia="Times New Roman" w:cs="DecoType Naskh"/>
          <w:color w:val="auto"/>
          <w:kern w:val="0"/>
          <w:szCs w:val="26"/>
          <w:rtl/>
          <w:lang w:bidi="ar-JO"/>
          <w14:ligatures w14:val="none"/>
        </w:rPr>
        <w:t xml:space="preserve"> تشهد على العهد.</w:t>
      </w:r>
    </w:p>
    <w:p w14:paraId="08C4BB76"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lastRenderedPageBreak/>
        <w:t>6.</w:t>
      </w:r>
      <w:r w:rsidRPr="00355D9E">
        <w:rPr>
          <w:rFonts w:eastAsia="Times New Roman" w:cs="DecoType Naskh"/>
          <w:color w:val="auto"/>
          <w:kern w:val="0"/>
          <w:szCs w:val="26"/>
          <w:rtl/>
          <w:lang w:bidi="ar-JO"/>
          <w14:ligatures w14:val="none"/>
        </w:rPr>
        <w:tab/>
        <w:t>إعلان لعنات وبركات.</w:t>
      </w:r>
    </w:p>
    <w:p w14:paraId="7E5862F3"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7.</w:t>
      </w:r>
      <w:r w:rsidRPr="00355D9E">
        <w:rPr>
          <w:rFonts w:eastAsia="Times New Roman" w:cs="DecoType Naskh"/>
          <w:color w:val="auto"/>
          <w:kern w:val="0"/>
          <w:szCs w:val="26"/>
          <w:rtl/>
          <w:lang w:bidi="ar-JO"/>
          <w14:ligatures w14:val="none"/>
        </w:rPr>
        <w:tab/>
        <w:t>القسَم الرسمي الذي يُعلن بموجبه الملك التابع الولاء.</w:t>
      </w:r>
      <w:r w:rsidRPr="00355D9E">
        <w:rPr>
          <w:rFonts w:eastAsia="Times New Roman" w:cs="DecoType Naskh"/>
          <w:color w:val="auto"/>
          <w:kern w:val="0"/>
          <w:szCs w:val="26"/>
          <w:rtl/>
          <w:lang w:bidi="ar-JO"/>
          <w14:ligatures w14:val="none"/>
        </w:rPr>
        <w:tab/>
      </w:r>
    </w:p>
    <w:p w14:paraId="1FD8F040"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8.</w:t>
      </w:r>
      <w:r w:rsidRPr="00355D9E">
        <w:rPr>
          <w:rFonts w:eastAsia="Times New Roman" w:cs="DecoType Naskh"/>
          <w:color w:val="auto"/>
          <w:kern w:val="0"/>
          <w:szCs w:val="26"/>
          <w:rtl/>
          <w:lang w:bidi="ar-JO"/>
          <w14:ligatures w14:val="none"/>
        </w:rPr>
        <w:tab/>
        <w:t xml:space="preserve">احتفال مهيب مرافق للقسَم. </w:t>
      </w:r>
    </w:p>
    <w:p w14:paraId="60859759" w14:textId="77777777" w:rsidR="00355D9E" w:rsidRPr="00355D9E" w:rsidRDefault="00355D9E" w:rsidP="002D6C54">
      <w:pPr>
        <w:numPr>
          <w:ilvl w:val="0"/>
          <w:numId w:val="28"/>
        </w:numPr>
        <w:tabs>
          <w:tab w:val="left" w:pos="550"/>
          <w:tab w:val="left" w:pos="1100"/>
          <w:tab w:val="left" w:pos="1650"/>
          <w:tab w:val="left" w:pos="2200"/>
          <w:tab w:val="left" w:pos="2750"/>
          <w:tab w:val="left" w:pos="3300"/>
          <w:tab w:val="left" w:pos="3850"/>
          <w:tab w:val="left" w:pos="4400"/>
        </w:tabs>
        <w:bidi/>
        <w:spacing w:after="0" w:line="240" w:lineRule="auto"/>
        <w:jc w:val="both"/>
        <w:rPr>
          <w:rFonts w:eastAsia="Times New Roman" w:cs="DecoType Naskh"/>
          <w:color w:val="auto"/>
          <w:kern w:val="0"/>
          <w:szCs w:val="26"/>
          <w:rtl/>
          <w:lang w:bidi="ar-JO"/>
          <w14:ligatures w14:val="none"/>
        </w:rPr>
      </w:pPr>
      <w:r w:rsidRPr="00355D9E">
        <w:rPr>
          <w:rFonts w:eastAsia="Times New Roman" w:cs="DecoType Naskh" w:hint="cs"/>
          <w:color w:val="auto"/>
          <w:kern w:val="0"/>
          <w:szCs w:val="26"/>
          <w:rtl/>
          <w:lang w:bidi="ar-JO"/>
          <w14:ligatures w14:val="none"/>
        </w:rPr>
        <w:t>شكل من أشكال الإجراءات الأولية ضد الدولة التابعة إن تمرَّدت</w:t>
      </w:r>
      <w:r w:rsidRPr="00355D9E">
        <w:rPr>
          <w:rFonts w:eastAsia="Times New Roman" w:cs="DecoType Naskh"/>
          <w:color w:val="auto"/>
          <w:kern w:val="0"/>
          <w:szCs w:val="26"/>
          <w:rtl/>
          <w:lang w:bidi="ar-JO"/>
          <w14:ligatures w14:val="none"/>
        </w:rPr>
        <w:t>.</w:t>
      </w:r>
    </w:p>
    <w:p w14:paraId="000C11D8"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6A153D25"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4BD79EB1"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29EFC325"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إن كثيراً من هذه التفصيلات (على الرغم من أنها معدَّلة من بعض النواحي) موجودة في العهد الموسوي، خاصّة مقدمة العهد، والتمهيد التاريخي، والشروط.  ومن الطبيعي أنه لا يوجد إشهاد لآلهة أخرى على العهد.  وبفهمنا لهذا النوع من المعاهدات بين الملك القوي المتسيد والدولة التابعة، يمكننا أن نحصل على فكرة أفضل لأهمية هذه ا</w:t>
      </w:r>
      <w:r w:rsidRPr="00355D9E">
        <w:rPr>
          <w:rFonts w:eastAsia="Times New Roman" w:cs="DecoType Naskh" w:hint="cs"/>
          <w:color w:val="auto"/>
          <w:kern w:val="0"/>
          <w:szCs w:val="26"/>
          <w:rtl/>
          <w:lang w:bidi="ar-JO"/>
          <w14:ligatures w14:val="none"/>
        </w:rPr>
        <w:t>لأ</w:t>
      </w:r>
      <w:r w:rsidRPr="00355D9E">
        <w:rPr>
          <w:rFonts w:eastAsia="Times New Roman" w:cs="DecoType Naskh"/>
          <w:color w:val="auto"/>
          <w:kern w:val="0"/>
          <w:szCs w:val="26"/>
          <w:rtl/>
          <w:lang w:bidi="ar-JO"/>
          <w14:ligatures w14:val="none"/>
        </w:rPr>
        <w:t>صحاحات بالنسبة لبني إسرائيل.  وأخيراً يجب أن نلخّص نشاطات سيناء بصفتها عهداً يربط الشعب بيهوه كملك عليهم، ويربط الأسباط بعضهم ببعض بصفتهم تابعين للملك.  ويشكّل هذا العهد ولادة دولة ثيوقراطية (دينية يحكمها الله).</w:t>
      </w:r>
    </w:p>
    <w:p w14:paraId="6E1E29EC"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63B2784" w14:textId="77777777" w:rsidR="00355D9E" w:rsidRPr="00355D9E" w:rsidRDefault="00355D9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355D9E">
        <w:rPr>
          <w:rFonts w:eastAsia="Times New Roman" w:cs="DecoType Naskh" w:hint="cs"/>
          <w:bCs/>
          <w:color w:val="auto"/>
          <w:kern w:val="0"/>
          <w:szCs w:val="28"/>
          <w:rtl/>
          <w:lang w:bidi="ar-JO"/>
          <w14:ligatures w14:val="none"/>
        </w:rPr>
        <w:t>3</w:t>
      </w:r>
      <w:r w:rsidRPr="00355D9E">
        <w:rPr>
          <w:rFonts w:eastAsia="Times New Roman" w:cs="DecoType Naskh"/>
          <w:bCs/>
          <w:color w:val="auto"/>
          <w:kern w:val="0"/>
          <w:szCs w:val="28"/>
          <w:rtl/>
          <w:lang w:bidi="ar-JO"/>
          <w14:ligatures w14:val="none"/>
        </w:rPr>
        <w:t>.</w:t>
      </w:r>
      <w:r w:rsidRPr="00355D9E">
        <w:rPr>
          <w:rFonts w:eastAsia="Times New Roman" w:cs="DecoType Naskh"/>
          <w:bCs/>
          <w:color w:val="auto"/>
          <w:kern w:val="0"/>
          <w:szCs w:val="28"/>
          <w:rtl/>
          <w:lang w:bidi="ar-JO"/>
          <w14:ligatures w14:val="none"/>
        </w:rPr>
        <w:tab/>
        <w:t>تعليقات على الوصايا العشر</w:t>
      </w:r>
    </w:p>
    <w:p w14:paraId="7667B244"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 xml:space="preserve">من المؤكد أن الوصايا العشر لا </w:t>
      </w:r>
      <w:r w:rsidRPr="00355D9E">
        <w:rPr>
          <w:rFonts w:eastAsia="Times New Roman" w:cs="DecoType Naskh" w:hint="cs"/>
          <w:color w:val="auto"/>
          <w:kern w:val="0"/>
          <w:szCs w:val="26"/>
          <w:rtl/>
          <w:lang w:bidi="ar-JO"/>
          <w14:ligatures w14:val="none"/>
        </w:rPr>
        <w:t>تُمثِّل</w:t>
      </w:r>
      <w:r w:rsidRPr="00355D9E">
        <w:rPr>
          <w:rFonts w:eastAsia="Times New Roman" w:cs="DecoType Naskh"/>
          <w:color w:val="auto"/>
          <w:kern w:val="0"/>
          <w:szCs w:val="26"/>
          <w:rtl/>
          <w:lang w:bidi="ar-JO"/>
          <w14:ligatures w14:val="none"/>
        </w:rPr>
        <w:t xml:space="preserve"> كل شروط العهد.  غير أنها تمثّل الدستور الأساسي (لنلاحظ </w:t>
      </w:r>
      <w:r w:rsidRPr="00355D9E">
        <w:rPr>
          <w:rFonts w:eastAsia="Times New Roman" w:cs="DecoType Naskh" w:hint="cs"/>
          <w:color w:val="auto"/>
          <w:kern w:val="0"/>
          <w:szCs w:val="26"/>
          <w:rtl/>
          <w:lang w:bidi="ar-JO"/>
          <w14:ligatures w14:val="none"/>
        </w:rPr>
        <w:t>أنها الوحيدة التي</w:t>
      </w:r>
      <w:r w:rsidRPr="00355D9E">
        <w:rPr>
          <w:rFonts w:eastAsia="Times New Roman" w:cs="DecoType Naskh"/>
          <w:color w:val="auto"/>
          <w:kern w:val="0"/>
          <w:szCs w:val="26"/>
          <w:rtl/>
          <w:lang w:bidi="ar-JO"/>
          <w14:ligatures w14:val="none"/>
        </w:rPr>
        <w:t xml:space="preserve"> وُضعت في تابوت العهد).  وتنقسم الوصايا العشر إلى فئتين رئيسيتين، حيث تتعلق الوصايا الأربع الأولى منها بيهوه، بينما تتعلق الوصايا الست الأخيرة بعلاقة الأعضاء التابعين أحدهم بالآخر.</w:t>
      </w:r>
    </w:p>
    <w:p w14:paraId="032EC734"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49CC9F8"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 xml:space="preserve">يجب أن يلاحظ المرء العبارات التفسيرية في الوصايا الأربع الأولى (افعل هذا من أجل...أو لكي...) ويتوقف استخدام العبارات التفسيرية بدءاً بالوصية الخامسة، وهو بهذا سمة خاصة </w:t>
      </w:r>
      <w:r w:rsidRPr="00355D9E">
        <w:rPr>
          <w:rFonts w:eastAsia="Times New Roman" w:cs="DecoType Naskh" w:hint="cs"/>
          <w:color w:val="auto"/>
          <w:kern w:val="0"/>
          <w:szCs w:val="26"/>
          <w:rtl/>
          <w:lang w:bidi="ar-JO"/>
          <w14:ligatures w14:val="none"/>
        </w:rPr>
        <w:t>للقسم</w:t>
      </w:r>
      <w:r w:rsidRPr="00355D9E">
        <w:rPr>
          <w:rFonts w:eastAsia="Times New Roman" w:cs="DecoType Naskh"/>
          <w:color w:val="auto"/>
          <w:kern w:val="0"/>
          <w:szCs w:val="26"/>
          <w:rtl/>
          <w:lang w:bidi="ar-JO"/>
          <w14:ligatures w14:val="none"/>
        </w:rPr>
        <w:t xml:space="preserve"> المرتبط بيهوه (انظر الآيات 5، 7، 11)؛ وتغطّي العبارة التفسيرية في الآية الخامسة أول وصيتين).  ويرجع السبب في وجود هذه العبارات التفسيرية إلى الطبيعة الفريدة للوصايا الأربع الأولى.  أمّا الوصايا الست الأخيرة فكانت عادية شائعة، إذ كانت موجودة في قوانين أخرى في الشرق الأدنى القديم (مثلاً قانون حمورابي) حيث كانت ضرورية للحفاظ على المجتمع.  كانت الوصايا الأربع الأولى فريدة، ولهذا فهي تحتاج تفسيراً (خاصّة فكرة عبادة إله واحد فقط).</w:t>
      </w:r>
    </w:p>
    <w:p w14:paraId="7DFCEBC9"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AEE73CE"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 xml:space="preserve">لا تهدف الوصية الأولى </w:t>
      </w:r>
      <w:r w:rsidRPr="00355D9E">
        <w:rPr>
          <w:rFonts w:eastAsia="Times New Roman" w:cs="DecoType Naskh" w:hint="cs"/>
          <w:color w:val="auto"/>
          <w:kern w:val="0"/>
          <w:szCs w:val="26"/>
          <w:rtl/>
          <w:lang w:bidi="ar-JO"/>
          <w14:ligatures w14:val="none"/>
        </w:rPr>
        <w:t>بعدم عبادة</w:t>
      </w:r>
      <w:r w:rsidRPr="00355D9E">
        <w:rPr>
          <w:rFonts w:eastAsia="Times New Roman" w:cs="DecoType Naskh"/>
          <w:color w:val="auto"/>
          <w:kern w:val="0"/>
          <w:szCs w:val="26"/>
          <w:rtl/>
          <w:lang w:bidi="ar-JO"/>
          <w14:ligatures w14:val="none"/>
        </w:rPr>
        <w:t xml:space="preserve"> آلهة أخرى بأن توحي بالاعتراف بتعدد الآلهة.  فالفكرة هي ما يلي: "لا تفضّلوا علي آلهة أخرى." ففي اللحظة التي يذهب فيها رجل إلى أي إله آخر (وإن لم يكن هذا </w:t>
      </w:r>
      <w:r w:rsidRPr="00355D9E">
        <w:rPr>
          <w:rFonts w:eastAsia="Times New Roman" w:cs="DecoType Naskh" w:hint="cs"/>
          <w:color w:val="auto"/>
          <w:kern w:val="0"/>
          <w:szCs w:val="26"/>
          <w:rtl/>
          <w:lang w:bidi="ar-JO"/>
          <w14:ligatures w14:val="none"/>
        </w:rPr>
        <w:t xml:space="preserve">الإله </w:t>
      </w:r>
      <w:r w:rsidRPr="00355D9E">
        <w:rPr>
          <w:rFonts w:eastAsia="Times New Roman" w:cs="DecoType Naskh"/>
          <w:color w:val="auto"/>
          <w:kern w:val="0"/>
          <w:szCs w:val="26"/>
          <w:rtl/>
          <w:lang w:bidi="ar-JO"/>
          <w14:ligatures w14:val="none"/>
        </w:rPr>
        <w:t>حقيقياً، أي أنه كان مجرّد صنم)، فإنه يفضّل هذا الإله غير الحقيقي أو الصنم على يهوه.  وبالتضمين فإن عليهم أن يرفضوا كل العلاقات الأجنبية أيضاً، لأن التحالف مع أمّة أجنبية بمثابة الاعتراف بآلهتها.  وتعود بنا الوصية الثانية المتعلقة بالنهي عن عبادة الأصنام إلى ا</w:t>
      </w:r>
      <w:r w:rsidRPr="00355D9E">
        <w:rPr>
          <w:rFonts w:eastAsia="Times New Roman" w:cs="DecoType Naskh" w:hint="cs"/>
          <w:color w:val="auto"/>
          <w:kern w:val="0"/>
          <w:szCs w:val="26"/>
          <w:rtl/>
          <w:lang w:bidi="ar-JO"/>
          <w14:ligatures w14:val="none"/>
        </w:rPr>
        <w:t>لأ</w:t>
      </w:r>
      <w:r w:rsidRPr="00355D9E">
        <w:rPr>
          <w:rFonts w:eastAsia="Times New Roman" w:cs="DecoType Naskh"/>
          <w:color w:val="auto"/>
          <w:kern w:val="0"/>
          <w:szCs w:val="26"/>
          <w:rtl/>
          <w:lang w:bidi="ar-JO"/>
          <w14:ligatures w14:val="none"/>
        </w:rPr>
        <w:t>صحاح الأول من سفر التكوين وعملية الخلق.  إن يهوه إله غيور، وهذا يعني أن له غيرة ورغبة حارّة في امتلاك ما يخصّه.  أمّا الوصية الثالثة التي تحرّم استخدام اسم الرب باطلاً فتتحدث عمّا هو أكثر بكثير من لعن اسمه.  وهي تعني أنه لا يجب أن تستخدم اسم الرب في قضية باطلة (كالحروب الصليبية، مثلاً)، وأن تفعل الشر باسم يهوه.  ويرجّح أن هذا تضمّن تحريم القسم الكاذب الذي من شأنه أن يسيء إلى اسمه (لاويين 19: 12)، على الرغم من أنه كان أمراً مشروعاً أن يقسم المرء صادقاً باسم يهوه (تثنية 6: 13).</w:t>
      </w:r>
    </w:p>
    <w:p w14:paraId="58DD945B"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 xml:space="preserve">أمّا الوصية الرابعة المتعلقة بحفظ السبت فهي علامة العهد.  وهي تعكس على ما يبدو نمط الله في الخلق، مناديةً بهذا أن يهوه هو الخالق المتسيّد المطلق، وهو بالتالي متسيّد على الأمّة أيضاً.  </w:t>
      </w:r>
    </w:p>
    <w:p w14:paraId="47913DE6"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 xml:space="preserve">أمّا الوصايا الست الأخيرة فمتعلقة بالإنسان، وهي تدل على أن كل الرعايا التابعين متساوون ومحميون من الملك، وأن العداء لتابع شريك هو بمثابة عداوة للملك نفسه (حيث إن ذلك يعرض مصالح الملك للخطر).  إن تعبير "أَكْرِم" في الآية 12 مأخوذ من جذر معناه "ثقيل"، والذي تشتق منه فكرة "يحسب شيئاً ثميناً".  أمّا أفضل ترجمة للوصية السادسة المتعلقة بانتزاع الحياة فهي "لا تَغْتَلْ أحداً"، أي أن لا ينتزع المرء حياة أحد بشكل </w:t>
      </w:r>
      <w:r w:rsidRPr="00355D9E">
        <w:rPr>
          <w:rFonts w:eastAsia="Times New Roman" w:cs="DecoType Naskh"/>
          <w:color w:val="auto"/>
          <w:kern w:val="0"/>
          <w:szCs w:val="26"/>
          <w:rtl/>
          <w:lang w:bidi="ar-JO"/>
          <w14:ligatures w14:val="none"/>
        </w:rPr>
        <w:lastRenderedPageBreak/>
        <w:t xml:space="preserve">إجرامي (أي بأسلوب لا </w:t>
      </w:r>
      <w:r w:rsidRPr="00355D9E">
        <w:rPr>
          <w:rFonts w:eastAsia="Times New Roman" w:cs="DecoType Naskh" w:hint="cs"/>
          <w:color w:val="auto"/>
          <w:kern w:val="0"/>
          <w:szCs w:val="26"/>
          <w:rtl/>
          <w:lang w:bidi="ar-JO"/>
          <w14:ligatures w14:val="none"/>
        </w:rPr>
        <w:t>تسمح به</w:t>
      </w:r>
      <w:r w:rsidRPr="00355D9E">
        <w:rPr>
          <w:rFonts w:eastAsia="Times New Roman" w:cs="DecoType Naskh"/>
          <w:color w:val="auto"/>
          <w:kern w:val="0"/>
          <w:szCs w:val="26"/>
          <w:rtl/>
          <w:lang w:bidi="ar-JO"/>
          <w14:ligatures w14:val="none"/>
        </w:rPr>
        <w:t xml:space="preserve"> إرادة الله المعلنة).  وإنه لأمر مثير للاهتمام أن بولس يختار الوصية الأخيرة ("لا تشتهِ") في رومية 7.  فإذا استطاع البشر حفظ الوصايا التسع الأخرى، فإن هذه الوصية الأخيرة هي مقتل الجميع.  فلا يمكننا أن نتحايل على الوصية العاشرة بأن لا نشتهي.</w:t>
      </w:r>
    </w:p>
    <w:p w14:paraId="2A008E67"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7263C3D5" w14:textId="77777777" w:rsidR="00355D9E" w:rsidRPr="00355D9E" w:rsidRDefault="00355D9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355D9E">
        <w:rPr>
          <w:rFonts w:eastAsia="Times New Roman" w:cs="DecoType Naskh" w:hint="cs"/>
          <w:bCs/>
          <w:color w:val="auto"/>
          <w:kern w:val="0"/>
          <w:szCs w:val="28"/>
          <w:rtl/>
          <w:lang w:bidi="ar-JO"/>
          <w14:ligatures w14:val="none"/>
        </w:rPr>
        <w:t>4</w:t>
      </w:r>
      <w:r w:rsidRPr="00355D9E">
        <w:rPr>
          <w:rFonts w:eastAsia="Times New Roman" w:cs="DecoType Naskh"/>
          <w:bCs/>
          <w:color w:val="auto"/>
          <w:kern w:val="0"/>
          <w:szCs w:val="28"/>
          <w:rtl/>
          <w:lang w:bidi="ar-JO"/>
          <w14:ligatures w14:val="none"/>
        </w:rPr>
        <w:t>.</w:t>
      </w:r>
      <w:r w:rsidRPr="00355D9E">
        <w:rPr>
          <w:rFonts w:eastAsia="Times New Roman" w:cs="DecoType Naskh"/>
          <w:bCs/>
          <w:color w:val="auto"/>
          <w:kern w:val="0"/>
          <w:szCs w:val="28"/>
          <w:rtl/>
          <w:lang w:bidi="ar-JO"/>
          <w14:ligatures w14:val="none"/>
        </w:rPr>
        <w:tab/>
        <w:t>علاقة الناموس بالبرنامج الثيوقراطي (الحكم الإلهي)</w:t>
      </w:r>
    </w:p>
    <w:p w14:paraId="785CA7FB"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 xml:space="preserve">هنالك ملاحظة هامة وهي أن الوصايا العشر أعطيت لشعب مفدي (لم يعطَ لهم </w:t>
      </w:r>
      <w:r w:rsidRPr="00355D9E">
        <w:rPr>
          <w:rFonts w:eastAsia="Times New Roman" w:cs="DecoType Naskh" w:hint="cs"/>
          <w:color w:val="auto"/>
          <w:kern w:val="0"/>
          <w:szCs w:val="26"/>
          <w:rtl/>
          <w:lang w:bidi="ar-JO"/>
          <w14:ligatures w14:val="none"/>
        </w:rPr>
        <w:t>كأفرادٍِ</w:t>
      </w:r>
      <w:r w:rsidRPr="00355D9E">
        <w:rPr>
          <w:rFonts w:eastAsia="Times New Roman" w:cs="DecoType Naskh"/>
          <w:color w:val="auto"/>
          <w:kern w:val="0"/>
          <w:szCs w:val="26"/>
          <w:rtl/>
          <w:lang w:bidi="ar-JO"/>
          <w14:ligatures w14:val="none"/>
        </w:rPr>
        <w:t xml:space="preserve"> فحسب، بل كأمّة أيضاً).  فهم كأمة مفديون ولديهم التزام نحو فاديهم.  وبربط الأمّة نفسها بيهوه، تشكّلت الأمة ككهنوت، فكانت بهذا مسؤولة عن تمثيل الله أمام الناس.</w:t>
      </w:r>
    </w:p>
    <w:p w14:paraId="15A52DB7"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وبتعبير مبسط فإن الله يعيّن إسرائيل ممثّلة له أمام شعوب الأرض.  لكن قبل أن يقوموا بوظيفتهم ككهنة، يجب أن يعرفوا الله (بما في ذلك قداسته).  يجب أن يفرز الله إسرائيل لهذه الخدمة، ويجب أن تكون لديها رسالة من الله توصلها لهذه الشعوب.  لقد عرفوا الله فادياً وعرفوه معيلاً لهم يسد احتياجاتهم، لكن كانت أمامهم أمور كثيرة لم يتعلّموها بعد.</w:t>
      </w:r>
    </w:p>
    <w:p w14:paraId="7CD77DC0"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2001865"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كانت المنارة تذكاراً دائماً لهم بأن عليهم أن يكونوا نوراً للشعوب.  ونتيجة لفشلهم في أن يرتفعوا إلى مستوى دعوتهم، أرسل الله شخصاً أعلن قائلاً</w:t>
      </w:r>
      <w:r w:rsidRPr="00355D9E">
        <w:rPr>
          <w:rFonts w:eastAsia="Times New Roman" w:cs="DecoType Naskh" w:hint="cs"/>
          <w:color w:val="auto"/>
          <w:kern w:val="0"/>
          <w:szCs w:val="26"/>
          <w:rtl/>
          <w:lang w:bidi="ar-JO"/>
          <w14:ligatures w14:val="none"/>
        </w:rPr>
        <w:t>:</w:t>
      </w:r>
      <w:r w:rsidRPr="00355D9E">
        <w:rPr>
          <w:rFonts w:eastAsia="Times New Roman" w:cs="DecoType Naskh"/>
          <w:color w:val="auto"/>
          <w:kern w:val="0"/>
          <w:szCs w:val="26"/>
          <w:rtl/>
          <w:lang w:bidi="ar-JO"/>
          <w14:ligatures w14:val="none"/>
        </w:rPr>
        <w:t xml:space="preserve"> "أنا هو النور الحقيقي." وبنفس الطريقة كان يسوع "الكرمة الحقيقية" و"الراعي الحقيقي".</w:t>
      </w:r>
    </w:p>
    <w:p w14:paraId="08B4DF65"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DEACD2E"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hint="cs"/>
          <w:color w:val="auto"/>
          <w:kern w:val="0"/>
          <w:szCs w:val="26"/>
          <w:rtl/>
          <w:lang w:bidi="ar-JO"/>
          <w14:ligatures w14:val="none"/>
        </w:rPr>
        <w:t xml:space="preserve">بوجود </w:t>
      </w:r>
      <w:r w:rsidRPr="00355D9E">
        <w:rPr>
          <w:rFonts w:eastAsia="Times New Roman" w:cs="DecoType Naskh"/>
          <w:color w:val="auto"/>
          <w:kern w:val="0"/>
          <w:szCs w:val="26"/>
          <w:rtl/>
          <w:lang w:bidi="ar-JO"/>
          <w14:ligatures w14:val="none"/>
        </w:rPr>
        <w:t>الشريعة</w:t>
      </w:r>
      <w:r w:rsidRPr="00355D9E">
        <w:rPr>
          <w:rFonts w:eastAsia="Times New Roman" w:cs="DecoType Naskh" w:hint="cs"/>
          <w:color w:val="auto"/>
          <w:kern w:val="0"/>
          <w:szCs w:val="26"/>
          <w:rtl/>
          <w14:ligatures w14:val="none"/>
        </w:rPr>
        <w:t>،</w:t>
      </w:r>
      <w:r w:rsidRPr="00355D9E">
        <w:rPr>
          <w:rFonts w:eastAsia="Times New Roman" w:cs="DecoType Naskh"/>
          <w:color w:val="auto"/>
          <w:kern w:val="0"/>
          <w:szCs w:val="26"/>
          <w:rtl/>
          <w:lang w:bidi="ar-JO"/>
          <w14:ligatures w14:val="none"/>
        </w:rPr>
        <w:t xml:space="preserve"> </w:t>
      </w:r>
      <w:r w:rsidRPr="00355D9E">
        <w:rPr>
          <w:rFonts w:eastAsia="Times New Roman" w:cs="DecoType Naskh" w:hint="cs"/>
          <w:color w:val="auto"/>
          <w:kern w:val="0"/>
          <w:szCs w:val="26"/>
          <w:rtl/>
          <w:lang w:bidi="ar-JO"/>
          <w14:ligatures w14:val="none"/>
        </w:rPr>
        <w:t xml:space="preserve">تم تعيين </w:t>
      </w:r>
      <w:r w:rsidRPr="00355D9E">
        <w:rPr>
          <w:rFonts w:eastAsia="Times New Roman" w:cs="DecoType Naskh"/>
          <w:color w:val="auto"/>
          <w:kern w:val="0"/>
          <w:szCs w:val="26"/>
          <w:rtl/>
          <w:lang w:bidi="ar-JO"/>
          <w14:ligatures w14:val="none"/>
        </w:rPr>
        <w:t>إسرائيل لكي تؤدي وظيفة ثيوقراطية في انسجام مع خط</w:t>
      </w:r>
      <w:r w:rsidRPr="00355D9E">
        <w:rPr>
          <w:rFonts w:eastAsia="Times New Roman" w:cs="DecoType Naskh" w:hint="cs"/>
          <w:color w:val="auto"/>
          <w:kern w:val="0"/>
          <w:szCs w:val="26"/>
          <w:rtl/>
          <w14:ligatures w14:val="none"/>
        </w:rPr>
        <w:t>ة الله</w:t>
      </w:r>
      <w:r w:rsidRPr="00355D9E">
        <w:rPr>
          <w:rFonts w:eastAsia="Times New Roman" w:cs="DecoType Naskh"/>
          <w:color w:val="auto"/>
          <w:kern w:val="0"/>
          <w:szCs w:val="26"/>
          <w:rtl/>
          <w:lang w:bidi="ar-JO"/>
          <w14:ligatures w14:val="none"/>
        </w:rPr>
        <w:t xml:space="preserve"> الأصلية في جعل الإنسان يحكم الخليقة.  وكان يفترض أن تكون إسرائيل أداة الله في جلب الشعوب تحت سلطة الله، وذلك بكشف الحق الذي كان يُعلن لها.  وهكذا كانت استجابتهم الإيجابية في خروج 19: 8 عمل خضوع وافقوا بموجبه على أن يفعلوا كل ما يريده الله.  وقد امتُدحوا على هذا (تثنية 5: 27-28)، لكن الله تحسَّر قائلاً</w:t>
      </w:r>
      <w:r w:rsidRPr="00355D9E">
        <w:rPr>
          <w:rFonts w:eastAsia="Times New Roman" w:cs="DecoType Naskh" w:hint="cs"/>
          <w:color w:val="auto"/>
          <w:kern w:val="0"/>
          <w:szCs w:val="26"/>
          <w:rtl/>
          <w:lang w:bidi="ar-JO"/>
          <w14:ligatures w14:val="none"/>
        </w:rPr>
        <w:t>:</w:t>
      </w:r>
      <w:r w:rsidRPr="00355D9E">
        <w:rPr>
          <w:rFonts w:eastAsia="Times New Roman" w:cs="DecoType Naskh"/>
          <w:color w:val="auto"/>
          <w:kern w:val="0"/>
          <w:szCs w:val="26"/>
          <w:rtl/>
          <w:lang w:bidi="ar-JO"/>
          <w14:ligatures w14:val="none"/>
        </w:rPr>
        <w:t xml:space="preserve"> "يا ليت قلبهم كان هكذا فيهم" (تثنية 5: 29).  غير أنهم كانوا مستعدين أن يكونوا القناة التي </w:t>
      </w:r>
      <w:r w:rsidRPr="00355D9E">
        <w:rPr>
          <w:rFonts w:eastAsia="Times New Roman" w:cs="DecoType Naskh" w:hint="cs"/>
          <w:color w:val="auto"/>
          <w:kern w:val="0"/>
          <w:szCs w:val="26"/>
          <w:rtl/>
          <w:lang w:bidi="ar-JO"/>
          <w14:ligatures w14:val="none"/>
        </w:rPr>
        <w:t>عمل</w:t>
      </w:r>
      <w:r w:rsidRPr="00355D9E">
        <w:rPr>
          <w:rFonts w:eastAsia="Times New Roman" w:cs="DecoType Naskh"/>
          <w:color w:val="auto"/>
          <w:kern w:val="0"/>
          <w:szCs w:val="26"/>
          <w:rtl/>
          <w:lang w:bidi="ar-JO"/>
          <w14:ligatures w14:val="none"/>
        </w:rPr>
        <w:t xml:space="preserve"> الله من خلالها (تكوين 12: 3).</w:t>
      </w:r>
    </w:p>
    <w:p w14:paraId="53CE2CFC"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27A0A022"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كان العهد الإبراهيمي غير مشروط، غير أن البركات كانت مشروطة.  عرفت أمّة إسرائيل أن عليها مسؤولية الطاعة، لكنها لم تعرف كيف يجب أن تحي</w:t>
      </w:r>
      <w:r w:rsidRPr="00355D9E">
        <w:rPr>
          <w:rFonts w:eastAsia="Times New Roman" w:cs="DecoType Naskh" w:hint="cs"/>
          <w:color w:val="auto"/>
          <w:kern w:val="0"/>
          <w:szCs w:val="26"/>
          <w:rtl/>
          <w14:ligatures w14:val="none"/>
        </w:rPr>
        <w:t>َ</w:t>
      </w:r>
      <w:r w:rsidRPr="00355D9E">
        <w:rPr>
          <w:rFonts w:eastAsia="Times New Roman" w:cs="DecoType Naskh"/>
          <w:color w:val="auto"/>
          <w:kern w:val="0"/>
          <w:szCs w:val="26"/>
          <w:rtl/>
          <w:lang w:bidi="ar-JO"/>
          <w14:ligatures w14:val="none"/>
        </w:rPr>
        <w:t xml:space="preserve"> لترضي إلهاً قدوساً بارّاً.  ونتيجة لذلك، وُجِّهت الشريعة إلى طفولتهم الروحية، لتخبرهم بما يجب وما لا يجب أن يفعلوه.  ومن الواضح أن تقديرهم لأنفسهم جعلهم يعتقدون أنهم قادرون على الوفاء بهذا الواجب.  أمّا الله فيعرف في كمال معرفته أنهم لن يكونوا قادرين على ذلك دون قلب جديد (وسيعطى هذا القلب الجديد من خلال العهد الجديد؛ انظر إرميا 31).  وسيكون هنالك يوم نضج لإسرائيل عندما تعطى قلباً جديداً.  وفي هذه العملية سيرسل الله يسوع –وهو واحد من هذه الأمّة- الذي سيطيع وينجز المهمة التي كانت معطاة لإسرائيل كوسيط البركة لهذا العالم.</w:t>
      </w:r>
    </w:p>
    <w:p w14:paraId="582BF0FF"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28C94CC4" w14:textId="77777777" w:rsidR="00355D9E" w:rsidRPr="00355D9E" w:rsidRDefault="00355D9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355D9E">
        <w:rPr>
          <w:rFonts w:eastAsia="Times New Roman" w:cs="DecoType Naskh" w:hint="cs"/>
          <w:bCs/>
          <w:color w:val="auto"/>
          <w:kern w:val="0"/>
          <w:szCs w:val="28"/>
          <w:rtl/>
          <w:lang w:bidi="ar-JO"/>
          <w14:ligatures w14:val="none"/>
        </w:rPr>
        <w:t>5</w:t>
      </w:r>
      <w:r w:rsidRPr="00355D9E">
        <w:rPr>
          <w:rFonts w:eastAsia="Times New Roman" w:cs="DecoType Naskh"/>
          <w:bCs/>
          <w:color w:val="auto"/>
          <w:kern w:val="0"/>
          <w:szCs w:val="28"/>
          <w:rtl/>
          <w:lang w:bidi="ar-JO"/>
          <w14:ligatures w14:val="none"/>
        </w:rPr>
        <w:t>.</w:t>
      </w:r>
      <w:r w:rsidRPr="00355D9E">
        <w:rPr>
          <w:rFonts w:eastAsia="Times New Roman" w:cs="DecoType Naskh"/>
          <w:bCs/>
          <w:color w:val="auto"/>
          <w:kern w:val="0"/>
          <w:szCs w:val="28"/>
          <w:rtl/>
          <w:lang w:bidi="ar-JO"/>
          <w14:ligatures w14:val="none"/>
        </w:rPr>
        <w:tab/>
        <w:t xml:space="preserve">أغراض أساسية للشريعة    </w:t>
      </w:r>
    </w:p>
    <w:p w14:paraId="4D92C4C8"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للشريعة عدة مقاصد للتطبيق الشامل لبرنامج الله:</w:t>
      </w:r>
    </w:p>
    <w:p w14:paraId="129414BC"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1.</w:t>
      </w:r>
      <w:r w:rsidRPr="00355D9E">
        <w:rPr>
          <w:rFonts w:eastAsia="Times New Roman" w:cs="DecoType Naskh"/>
          <w:color w:val="auto"/>
          <w:kern w:val="0"/>
          <w:szCs w:val="26"/>
          <w:rtl/>
          <w:lang w:bidi="ar-JO"/>
          <w14:ligatures w14:val="none"/>
        </w:rPr>
        <w:tab/>
        <w:t>تكشف الشريعة قداسة الله.</w:t>
      </w:r>
    </w:p>
    <w:p w14:paraId="55EC2F3C"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 xml:space="preserve">الشريعة كالمرآة.  فهي ليست الواقع، بل انعكاس للواقع.  فالله على الأقل قدّوس </w:t>
      </w:r>
      <w:r w:rsidRPr="00355D9E">
        <w:rPr>
          <w:rFonts w:eastAsia="Times New Roman" w:cs="DecoType Naskh" w:hint="cs"/>
          <w:color w:val="auto"/>
          <w:kern w:val="0"/>
          <w:szCs w:val="26"/>
          <w:rtl/>
          <w:lang w:bidi="ar-JO"/>
          <w14:ligatures w14:val="none"/>
        </w:rPr>
        <w:t>بقداسة</w:t>
      </w:r>
      <w:r w:rsidRPr="00355D9E">
        <w:rPr>
          <w:rFonts w:eastAsia="Times New Roman" w:cs="DecoType Naskh"/>
          <w:color w:val="auto"/>
          <w:kern w:val="0"/>
          <w:szCs w:val="26"/>
          <w:rtl/>
          <w:lang w:bidi="ar-JO"/>
          <w14:ligatures w14:val="none"/>
        </w:rPr>
        <w:t xml:space="preserve"> الشريعة.</w:t>
      </w:r>
    </w:p>
    <w:p w14:paraId="60DD00D0"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2.</w:t>
      </w:r>
      <w:r w:rsidRPr="00355D9E">
        <w:rPr>
          <w:rFonts w:eastAsia="Times New Roman" w:cs="DecoType Naskh"/>
          <w:color w:val="auto"/>
          <w:kern w:val="0"/>
          <w:szCs w:val="26"/>
          <w:rtl/>
          <w:lang w:bidi="ar-JO"/>
          <w14:ligatures w14:val="none"/>
        </w:rPr>
        <w:tab/>
        <w:t>تكشف الشريعة نجاسة الإنسان بكشفها لقداسة الله!</w:t>
      </w:r>
    </w:p>
    <w:p w14:paraId="19751A9C"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 xml:space="preserve">تكشف الشريعة القداسة، ويقاس الإنسان حسب تلك القداسة، ولهذا </w:t>
      </w:r>
      <w:r w:rsidRPr="00355D9E">
        <w:rPr>
          <w:rFonts w:eastAsia="Times New Roman" w:cs="DecoType Naskh" w:hint="cs"/>
          <w:color w:val="auto"/>
          <w:kern w:val="0"/>
          <w:szCs w:val="26"/>
          <w:rtl/>
          <w:lang w:bidi="ar-JO"/>
          <w14:ligatures w14:val="none"/>
        </w:rPr>
        <w:t>تبيَّن</w:t>
      </w:r>
      <w:r w:rsidRPr="00355D9E">
        <w:rPr>
          <w:rFonts w:eastAsia="Times New Roman" w:cs="DecoType Naskh"/>
          <w:color w:val="auto"/>
          <w:kern w:val="0"/>
          <w:szCs w:val="26"/>
          <w:rtl/>
          <w:lang w:bidi="ar-JO"/>
          <w14:ligatures w14:val="none"/>
        </w:rPr>
        <w:t xml:space="preserve"> أنه يفتقر إلى القداسة (انظر رومية 3: 23؛ غلاطية 3: 19-22).</w:t>
      </w:r>
    </w:p>
    <w:p w14:paraId="3C8A8D7E"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3.</w:t>
      </w:r>
      <w:r w:rsidRPr="00355D9E">
        <w:rPr>
          <w:rFonts w:eastAsia="Times New Roman" w:cs="DecoType Naskh"/>
          <w:color w:val="auto"/>
          <w:kern w:val="0"/>
          <w:szCs w:val="26"/>
          <w:rtl/>
          <w:lang w:bidi="ar-JO"/>
          <w14:ligatures w14:val="none"/>
        </w:rPr>
        <w:tab/>
        <w:t xml:space="preserve">تكشف الشريعة مقياس القداسة الذي </w:t>
      </w:r>
      <w:r w:rsidRPr="00355D9E">
        <w:rPr>
          <w:rFonts w:eastAsia="Times New Roman" w:cs="DecoType Naskh" w:hint="cs"/>
          <w:color w:val="auto"/>
          <w:kern w:val="0"/>
          <w:szCs w:val="26"/>
          <w:rtl/>
          <w:lang w:bidi="ar-JO"/>
          <w14:ligatures w14:val="none"/>
        </w:rPr>
        <w:t>يطلبه</w:t>
      </w:r>
      <w:r w:rsidRPr="00355D9E">
        <w:rPr>
          <w:rFonts w:eastAsia="Times New Roman" w:cs="DecoType Naskh"/>
          <w:color w:val="auto"/>
          <w:kern w:val="0"/>
          <w:szCs w:val="26"/>
          <w:rtl/>
          <w:lang w:bidi="ar-JO"/>
          <w14:ligatures w14:val="none"/>
        </w:rPr>
        <w:t xml:space="preserve"> الله من الذين يريدهم الله أن يحيوا في شركة معه.</w:t>
      </w:r>
    </w:p>
    <w:p w14:paraId="2A62E4CE" w14:textId="50CF2952"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4.</w:t>
      </w:r>
      <w:r w:rsidRPr="00355D9E">
        <w:rPr>
          <w:rFonts w:eastAsia="Times New Roman" w:cs="DecoType Naskh"/>
          <w:color w:val="auto"/>
          <w:kern w:val="0"/>
          <w:szCs w:val="26"/>
          <w:rtl/>
          <w:lang w:bidi="ar-JO"/>
          <w14:ligatures w14:val="none"/>
        </w:rPr>
        <w:tab/>
        <w:t>لعبت الشريعة دور مؤدِّب الطفل أو مُربٍّ خاص (غلاطية 3: 23 فصاعداً) من أجل حماية الشعب والإشراف عليهم إلى أن جاء إعلان المسيح الكامل.</w:t>
      </w:r>
    </w:p>
    <w:p w14:paraId="2EF077FF"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5.</w:t>
      </w:r>
      <w:r w:rsidRPr="00355D9E">
        <w:rPr>
          <w:rFonts w:eastAsia="Times New Roman" w:cs="DecoType Naskh"/>
          <w:color w:val="auto"/>
          <w:kern w:val="0"/>
          <w:szCs w:val="26"/>
          <w:rtl/>
          <w:lang w:bidi="ar-JO"/>
          <w14:ligatures w14:val="none"/>
        </w:rPr>
        <w:tab/>
        <w:t>أُعطيت الشريعة لتكون المبدأ الموحِّد للأمّة، مقدّمة طريقة للخضوع لسلطة معترف بها.</w:t>
      </w:r>
    </w:p>
    <w:p w14:paraId="5A383E36"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lastRenderedPageBreak/>
        <w:t>6.</w:t>
      </w:r>
      <w:r w:rsidRPr="00355D9E">
        <w:rPr>
          <w:rFonts w:eastAsia="Times New Roman" w:cs="DecoType Naskh"/>
          <w:color w:val="auto"/>
          <w:kern w:val="0"/>
          <w:szCs w:val="26"/>
          <w:rtl/>
          <w:lang w:bidi="ar-JO"/>
          <w14:ligatures w14:val="none"/>
        </w:rPr>
        <w:tab/>
        <w:t>هدفت الشريعة إلى فصل إسرائيل عن الأمم لكي تستطيع أن تؤدي وظيفة مملكة الكهنة، حافظةً بهذا الشعب.</w:t>
      </w:r>
    </w:p>
    <w:p w14:paraId="3AB78FE2"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7.</w:t>
      </w:r>
      <w:r w:rsidRPr="00355D9E">
        <w:rPr>
          <w:rFonts w:eastAsia="Times New Roman" w:cs="DecoType Naskh"/>
          <w:color w:val="auto"/>
          <w:kern w:val="0"/>
          <w:szCs w:val="26"/>
          <w:rtl/>
          <w:lang w:bidi="ar-JO"/>
          <w14:ligatures w14:val="none"/>
        </w:rPr>
        <w:tab/>
        <w:t>قدّمت الشريعة وسيلة للعبادة، حيث لم يكن في إمكان الشعب أن يتّبعوا نظام عبادة الهيكل في مصر.  وقدّمت أيضاً وسيلة لردّ العلاقة مع الله (انظر لاويين 1-7).</w:t>
      </w:r>
    </w:p>
    <w:p w14:paraId="2F17AB04"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8.</w:t>
      </w:r>
      <w:r w:rsidRPr="00355D9E">
        <w:rPr>
          <w:rFonts w:eastAsia="Times New Roman" w:cs="DecoType Naskh"/>
          <w:color w:val="auto"/>
          <w:kern w:val="0"/>
          <w:szCs w:val="26"/>
          <w:rtl/>
          <w:lang w:bidi="ar-JO"/>
          <w14:ligatures w14:val="none"/>
        </w:rPr>
        <w:tab/>
        <w:t>كانت الشريعة ترتيباً مؤقتاً حتى مجيء المسيح.  والجانب الدائم هو العهد الإبراهيمي الذي سيبقى عاملاً عبر الكتاب المقدس.  وقد أضيفت الشريعة إلى جانب العهد الإبراهيمي لكي تساعد الذين كانوا تحت العهد الإبراهيمي.  كان العهد الإبراهيمي غير مشروط، لكن البركات كانت مشروطة.  وتُطلعنا الشريعة على الشروط التي يجب تلبيتها من أجل الحصول على البركات المشروطة من العهد غير المشروط.</w:t>
      </w:r>
    </w:p>
    <w:p w14:paraId="3A089118"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75B31AFC" w14:textId="77777777" w:rsidR="00355D9E" w:rsidRPr="00355D9E" w:rsidRDefault="00355D9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355D9E">
        <w:rPr>
          <w:rFonts w:eastAsia="Times New Roman" w:cs="DecoType Naskh" w:hint="cs"/>
          <w:bCs/>
          <w:color w:val="auto"/>
          <w:kern w:val="0"/>
          <w:szCs w:val="28"/>
          <w:rtl/>
          <w:lang w:bidi="ar-JO"/>
          <w14:ligatures w14:val="none"/>
        </w:rPr>
        <w:t>6</w:t>
      </w:r>
      <w:r w:rsidRPr="00355D9E">
        <w:rPr>
          <w:rFonts w:eastAsia="Times New Roman" w:cs="DecoType Naskh"/>
          <w:bCs/>
          <w:color w:val="auto"/>
          <w:kern w:val="0"/>
          <w:szCs w:val="28"/>
          <w:rtl/>
          <w:lang w:bidi="ar-JO"/>
          <w14:ligatures w14:val="none"/>
        </w:rPr>
        <w:t>.</w:t>
      </w:r>
      <w:r w:rsidRPr="00355D9E">
        <w:rPr>
          <w:rFonts w:eastAsia="Times New Roman" w:cs="DecoType Naskh"/>
          <w:bCs/>
          <w:color w:val="auto"/>
          <w:kern w:val="0"/>
          <w:szCs w:val="28"/>
          <w:rtl/>
          <w:lang w:bidi="ar-JO"/>
          <w14:ligatures w14:val="none"/>
        </w:rPr>
        <w:tab/>
        <w:t>بروز نظام وسطاء جديد من العهد الموسوي</w:t>
      </w:r>
    </w:p>
    <w:p w14:paraId="731F2A82"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 xml:space="preserve">كان الإنسان تحت نظام الخليقة الأصلية في اتصال مع الله </w:t>
      </w:r>
      <w:r w:rsidRPr="00355D9E">
        <w:rPr>
          <w:rFonts w:eastAsia="Times New Roman" w:cs="DecoType Naskh" w:hint="cs"/>
          <w:color w:val="auto"/>
          <w:kern w:val="0"/>
          <w:szCs w:val="26"/>
          <w:rtl/>
          <w:lang w:bidi="ar-JO"/>
          <w14:ligatures w14:val="none"/>
        </w:rPr>
        <w:t>عاملاً كوسيطٍ لله في حكم الأرض</w:t>
      </w:r>
      <w:r w:rsidRPr="00355D9E">
        <w:rPr>
          <w:rFonts w:eastAsia="Times New Roman" w:cs="DecoType Naskh"/>
          <w:color w:val="auto"/>
          <w:kern w:val="0"/>
          <w:szCs w:val="26"/>
          <w:rtl/>
          <w:lang w:bidi="ar-JO"/>
          <w14:ligatures w14:val="none"/>
        </w:rPr>
        <w:t>.  غير أن القوى المضادة للحكم الإلهي أحبطت الخطة الأصلية.  ونتيجة لذلك، رسّخ الله مبدأ تنفيذ قصده من خلال وسطاء.  فحتى زمن موسى، نفّذ الله حكمه من خلال وسيط ثيوقراطي واحد في كل مرة (أي إبراهيم، ثم إسحق، إلخ).  ومع إعطاء الشريعة في سيناء تمّ تقسيم المسؤوليات الوسيطية بين أربع وظائف: الن</w:t>
      </w:r>
      <w:r w:rsidRPr="00355D9E">
        <w:rPr>
          <w:rFonts w:eastAsia="Times New Roman" w:cs="DecoType Naskh" w:hint="cs"/>
          <w:color w:val="auto"/>
          <w:kern w:val="0"/>
          <w:szCs w:val="26"/>
          <w:rtl/>
          <w14:ligatures w14:val="none"/>
        </w:rPr>
        <w:t>ب</w:t>
      </w:r>
      <w:r w:rsidRPr="00355D9E">
        <w:rPr>
          <w:rFonts w:eastAsia="Times New Roman" w:cs="DecoType Naskh"/>
          <w:color w:val="auto"/>
          <w:kern w:val="0"/>
          <w:szCs w:val="26"/>
          <w:rtl/>
          <w:lang w:bidi="ar-JO"/>
          <w14:ligatures w14:val="none"/>
        </w:rPr>
        <w:t>ي، الكاهن، والقائد السياسي، والرجل الحكيم.  كان موسى آخر الوسطاء الثيوقراطيين</w:t>
      </w:r>
      <w:r w:rsidRPr="00355D9E">
        <w:rPr>
          <w:rFonts w:eastAsia="Times New Roman" w:cs="DecoType Naskh" w:hint="cs"/>
          <w:color w:val="auto"/>
          <w:kern w:val="0"/>
          <w:szCs w:val="26"/>
          <w:rtl/>
          <w:lang w:bidi="ar-JO"/>
          <w14:ligatures w14:val="none"/>
        </w:rPr>
        <w:t xml:space="preserve"> كفردٍ واحدٍ</w:t>
      </w:r>
      <w:r w:rsidRPr="00355D9E">
        <w:rPr>
          <w:rFonts w:eastAsia="Times New Roman" w:cs="DecoType Naskh"/>
          <w:color w:val="auto"/>
          <w:kern w:val="0"/>
          <w:szCs w:val="26"/>
          <w:rtl/>
          <w:lang w:bidi="ar-JO"/>
          <w14:ligatures w14:val="none"/>
        </w:rPr>
        <w:t>.  ومن خلال هذا النظام الجديد من المناصب الوسيطية الأربعة، أراد الله أن يتحقق قصده الأصلي في إعادة الصلة والشركة والحكم.  وقد تقدّم القصد الثيوقراطي مع قيام كل من وسطاء العهد هؤلاء بتنفيذ المسؤوليات المُناطة به في مجاله.  غير أن هذا القصد كان يُحبَط مع فشل كل واحد منهم.  لكن ظلّ العهد الموسوي وسيلة لتقدّم قصد الله.  وقد أتاح العهد، بتوفيره لوسيط كهنوتي، الفرصة للتواصل والشركة مع الله، وأتاح الوسطاء السياسيون الفرصة للاشتراك في حكم الله.  وفي ضوء هذا كانت الشريعة إجراء مؤقتاً ينتظر مجيء المسيح الذي سيقوم بدور الوظائف الأربع كلها.</w:t>
      </w:r>
    </w:p>
    <w:p w14:paraId="0DAEABE6"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010554F9"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وفيما يلي بعض الملاحظات حول هذه الوظائف الأربع:</w:t>
      </w:r>
    </w:p>
    <w:p w14:paraId="449993B2" w14:textId="77777777" w:rsidR="00355D9E" w:rsidRPr="00355D9E" w:rsidRDefault="00355D9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355D9E">
        <w:rPr>
          <w:rFonts w:eastAsia="Times New Roman" w:cs="DecoType Naskh"/>
          <w:bCs/>
          <w:color w:val="auto"/>
          <w:kern w:val="0"/>
          <w:szCs w:val="26"/>
          <w:rtl/>
          <w14:ligatures w14:val="none"/>
        </w:rPr>
        <w:t>أ.</w:t>
      </w:r>
      <w:r w:rsidRPr="00355D9E">
        <w:rPr>
          <w:rFonts w:eastAsia="Times New Roman" w:cs="DecoType Naskh"/>
          <w:bCs/>
          <w:color w:val="auto"/>
          <w:kern w:val="0"/>
          <w:szCs w:val="26"/>
          <w:rtl/>
          <w14:ligatures w14:val="none"/>
        </w:rPr>
        <w:tab/>
        <w:t>الملك</w:t>
      </w:r>
    </w:p>
    <w:p w14:paraId="52C3F931"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 xml:space="preserve">كان للقائد السياسي </w:t>
      </w:r>
      <w:r w:rsidRPr="00355D9E">
        <w:rPr>
          <w:rFonts w:eastAsia="Times New Roman" w:cs="DecoType Naskh" w:hint="cs"/>
          <w:color w:val="auto"/>
          <w:kern w:val="0"/>
          <w:szCs w:val="26"/>
          <w:rtl/>
          <w:lang w:bidi="ar-JO"/>
          <w14:ligatures w14:val="none"/>
        </w:rPr>
        <w:t>سيادة</w:t>
      </w:r>
      <w:r w:rsidRPr="00355D9E">
        <w:rPr>
          <w:rFonts w:eastAsia="Times New Roman" w:cs="DecoType Naskh"/>
          <w:color w:val="auto"/>
          <w:kern w:val="0"/>
          <w:szCs w:val="26"/>
          <w:rtl/>
          <w:lang w:bidi="ar-JO"/>
          <w14:ligatures w14:val="none"/>
        </w:rPr>
        <w:t xml:space="preserve"> على الشريعة الدنيوية وقيادة الأمة لكي يقود الأمة الثيوقراطية في مدّ حكمها البار على الأرض.</w:t>
      </w:r>
    </w:p>
    <w:p w14:paraId="433BB6D3" w14:textId="77777777" w:rsidR="00355D9E" w:rsidRPr="00355D9E" w:rsidRDefault="00355D9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355D9E">
        <w:rPr>
          <w:rFonts w:eastAsia="Times New Roman" w:cs="DecoType Naskh"/>
          <w:bCs/>
          <w:color w:val="auto"/>
          <w:kern w:val="0"/>
          <w:szCs w:val="26"/>
          <w:rtl/>
          <w14:ligatures w14:val="none"/>
        </w:rPr>
        <w:t>ب.</w:t>
      </w:r>
      <w:r w:rsidRPr="00355D9E">
        <w:rPr>
          <w:rFonts w:eastAsia="Times New Roman" w:cs="DecoType Naskh"/>
          <w:bCs/>
          <w:color w:val="auto"/>
          <w:kern w:val="0"/>
          <w:szCs w:val="26"/>
          <w:rtl/>
          <w14:ligatures w14:val="none"/>
        </w:rPr>
        <w:tab/>
        <w:t>الكاهن</w:t>
      </w:r>
    </w:p>
    <w:p w14:paraId="64E19750"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 xml:space="preserve">أُعطي الوسيط الكهنوتي </w:t>
      </w:r>
      <w:r w:rsidRPr="00355D9E">
        <w:rPr>
          <w:rFonts w:eastAsia="Times New Roman" w:cs="DecoType Naskh" w:hint="cs"/>
          <w:color w:val="auto"/>
          <w:kern w:val="0"/>
          <w:szCs w:val="26"/>
          <w:rtl/>
          <w:lang w:bidi="ar-JO"/>
          <w14:ligatures w14:val="none"/>
        </w:rPr>
        <w:t>السيادة</w:t>
      </w:r>
      <w:r w:rsidRPr="00355D9E">
        <w:rPr>
          <w:rFonts w:eastAsia="Times New Roman" w:cs="DecoType Naskh"/>
          <w:color w:val="auto"/>
          <w:kern w:val="0"/>
          <w:szCs w:val="26"/>
          <w:rtl/>
          <w:lang w:bidi="ar-JO"/>
          <w14:ligatures w14:val="none"/>
        </w:rPr>
        <w:t xml:space="preserve"> على الكهنوت (العبادة) بغرض إعادة الاتصال والشركة بين الله والإنسان.</w:t>
      </w:r>
    </w:p>
    <w:p w14:paraId="3D76D006" w14:textId="77777777" w:rsidR="00355D9E" w:rsidRPr="00355D9E" w:rsidRDefault="00355D9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355D9E">
        <w:rPr>
          <w:rFonts w:eastAsia="Times New Roman" w:cs="DecoType Naskh"/>
          <w:bCs/>
          <w:color w:val="auto"/>
          <w:kern w:val="0"/>
          <w:szCs w:val="26"/>
          <w:rtl/>
          <w14:ligatures w14:val="none"/>
        </w:rPr>
        <w:t>جـ.</w:t>
      </w:r>
      <w:r w:rsidRPr="00355D9E">
        <w:rPr>
          <w:rFonts w:eastAsia="Times New Roman" w:cs="DecoType Naskh"/>
          <w:bCs/>
          <w:color w:val="auto"/>
          <w:kern w:val="0"/>
          <w:szCs w:val="26"/>
          <w:rtl/>
          <w14:ligatures w14:val="none"/>
        </w:rPr>
        <w:tab/>
        <w:t>النبي</w:t>
      </w:r>
    </w:p>
    <w:p w14:paraId="1217489B"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كان الوسيط النبوي معطي الإعلان الجديد ذي السلطان وحارس العهد ضد القوى المضادّة للثيوقراطية.  وفي ما يتعلق بقصد الله، حرس النبي العهد وصار الناطق باسم الله من أجل الإنذار بالإضافة إلى لفت انتباه الأمّة لحكم المسيّا.</w:t>
      </w:r>
    </w:p>
    <w:p w14:paraId="22490E4B" w14:textId="77777777" w:rsidR="00355D9E" w:rsidRPr="00355D9E" w:rsidRDefault="00355D9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355D9E">
        <w:rPr>
          <w:rFonts w:eastAsia="Times New Roman" w:cs="DecoType Naskh"/>
          <w:bCs/>
          <w:color w:val="auto"/>
          <w:kern w:val="0"/>
          <w:szCs w:val="26"/>
          <w:rtl/>
          <w14:ligatures w14:val="none"/>
        </w:rPr>
        <w:t>د.</w:t>
      </w:r>
      <w:r w:rsidRPr="00355D9E">
        <w:rPr>
          <w:rFonts w:eastAsia="Times New Roman" w:cs="DecoType Naskh"/>
          <w:bCs/>
          <w:color w:val="auto"/>
          <w:kern w:val="0"/>
          <w:szCs w:val="26"/>
          <w:rtl/>
          <w14:ligatures w14:val="none"/>
        </w:rPr>
        <w:tab/>
        <w:t>الحكيم</w:t>
      </w:r>
    </w:p>
    <w:p w14:paraId="67B61E9F"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 xml:space="preserve">قدّم الرجل الحكيم النصيحة السياسية والحكمة في توافق مع التوراة في ما يتعلق بكل جانب من جوانب الحياة تقريباً.  فكان يقدّم مشورة تعين الذين تحت العهد </w:t>
      </w:r>
      <w:r w:rsidRPr="00355D9E">
        <w:rPr>
          <w:rFonts w:eastAsia="Times New Roman" w:cs="DecoType Naskh" w:hint="cs"/>
          <w:color w:val="auto"/>
          <w:kern w:val="0"/>
          <w:szCs w:val="26"/>
          <w:rtl/>
          <w:lang w:bidi="ar-JO"/>
          <w14:ligatures w14:val="none"/>
        </w:rPr>
        <w:t>ليحيا</w:t>
      </w:r>
      <w:r w:rsidRPr="00355D9E">
        <w:rPr>
          <w:rFonts w:eastAsia="Times New Roman" w:cs="DecoType Naskh"/>
          <w:color w:val="auto"/>
          <w:kern w:val="0"/>
          <w:szCs w:val="26"/>
          <w:rtl/>
          <w:lang w:bidi="ar-JO"/>
          <w14:ligatures w14:val="none"/>
        </w:rPr>
        <w:t xml:space="preserve"> حياة ناجحة </w:t>
      </w:r>
      <w:r w:rsidRPr="00355D9E">
        <w:rPr>
          <w:rFonts w:eastAsia="Times New Roman" w:cs="DecoType Naskh" w:hint="cs"/>
          <w:color w:val="auto"/>
          <w:kern w:val="0"/>
          <w:szCs w:val="26"/>
          <w:rtl/>
          <w:lang w:bidi="ar-JO"/>
          <w14:ligatures w14:val="none"/>
        </w:rPr>
        <w:t>ويحقِّق</w:t>
      </w:r>
      <w:r w:rsidRPr="00355D9E">
        <w:rPr>
          <w:rFonts w:eastAsia="Times New Roman" w:cs="DecoType Naskh"/>
          <w:color w:val="auto"/>
          <w:kern w:val="0"/>
          <w:szCs w:val="26"/>
          <w:rtl/>
          <w:lang w:bidi="ar-JO"/>
          <w14:ligatures w14:val="none"/>
        </w:rPr>
        <w:t xml:space="preserve"> مسؤوليات العهد.</w:t>
      </w:r>
    </w:p>
    <w:p w14:paraId="50C1AFA0"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t>كان يفترض أن تقوم الأمة من خلال هؤلاء الوسطاء ببسط حكم الله وبركته على الأرض.  وتتتبع بقية العهد القديم مدى نجاحهم في تحقيق هذا الغرض.</w:t>
      </w:r>
    </w:p>
    <w:p w14:paraId="317B5C40"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648ED5E5" w14:textId="77777777" w:rsidR="00355D9E" w:rsidRPr="00355D9E" w:rsidRDefault="00355D9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355D9E">
        <w:rPr>
          <w:rFonts w:eastAsia="Times New Roman" w:cs="DecoType Naskh" w:hint="cs"/>
          <w:bCs/>
          <w:color w:val="auto"/>
          <w:kern w:val="0"/>
          <w:szCs w:val="28"/>
          <w:rtl/>
          <w:lang w:bidi="ar-JO"/>
          <w14:ligatures w14:val="none"/>
        </w:rPr>
        <w:t>7</w:t>
      </w:r>
      <w:r w:rsidRPr="00355D9E">
        <w:rPr>
          <w:rFonts w:eastAsia="Times New Roman" w:cs="DecoType Naskh"/>
          <w:bCs/>
          <w:color w:val="auto"/>
          <w:kern w:val="0"/>
          <w:szCs w:val="28"/>
          <w:rtl/>
          <w:lang w:bidi="ar-JO"/>
          <w14:ligatures w14:val="none"/>
        </w:rPr>
        <w:t>.</w:t>
      </w:r>
      <w:r w:rsidRPr="00355D9E">
        <w:rPr>
          <w:rFonts w:eastAsia="Times New Roman" w:cs="DecoType Naskh"/>
          <w:bCs/>
          <w:color w:val="auto"/>
          <w:kern w:val="0"/>
          <w:szCs w:val="28"/>
          <w:rtl/>
          <w:lang w:bidi="ar-JO"/>
          <w14:ligatures w14:val="none"/>
        </w:rPr>
        <w:tab/>
        <w:t>صلة مؤمن العهد الجديد بالشريعة</w:t>
      </w:r>
    </w:p>
    <w:p w14:paraId="56B09971"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355D9E">
        <w:rPr>
          <w:rFonts w:eastAsia="Times New Roman" w:cs="DecoType Naskh"/>
          <w:color w:val="auto"/>
          <w:kern w:val="0"/>
          <w:szCs w:val="26"/>
          <w:rtl/>
          <w:lang w:bidi="ar-JO"/>
          <w14:ligatures w14:val="none"/>
        </w:rPr>
        <w:lastRenderedPageBreak/>
        <w:t>لا يسمح المجال هنا بتناول كامل لهذا الموضوع، لكني سأقدم بعض الملاحظات.</w:t>
      </w:r>
      <w:r w:rsidRPr="00355D9E">
        <w:rPr>
          <w:rFonts w:eastAsia="Times New Roman" w:cs="DecoType Naskh"/>
          <w:color w:val="auto"/>
          <w:kern w:val="0"/>
          <w:szCs w:val="26"/>
          <w:vertAlign w:val="superscript"/>
          <w:rtl/>
          <w:lang w:bidi="ar-JO"/>
          <w14:ligatures w14:val="none"/>
        </w:rPr>
        <w:footnoteReference w:id="77"/>
      </w:r>
      <w:r w:rsidRPr="00355D9E">
        <w:rPr>
          <w:rFonts w:eastAsia="Times New Roman" w:cs="DecoType Naskh"/>
          <w:color w:val="auto"/>
          <w:kern w:val="0"/>
          <w:szCs w:val="26"/>
          <w:rtl/>
          <w:lang w:bidi="ar-JO"/>
          <w14:ligatures w14:val="none"/>
        </w:rPr>
        <w:t xml:space="preserve">  وإنه لأمر جوهري القول إنه لم يكن هنالك أي عيب في الشريعة. "إذاً الناموس مقدَّس، والوصيّة مقدسة وعادلة وصالحة" (رومية 7: 12).  لكن لأن للإنسان طبيعة فاسدة منحرفة، فإن الشريعة تثير في الإنسان العواطف الجامحة الخاطئة التي تعمل في أعضاء جسدنا مثمرةً للموت بدلاً من أن تثمر لله (رومية 7: 5).  ولهذا فإننا بالإيمان بالمسيح، نموت عن الشريعة ونحرَّر منها لكي نخدم الله في جِدّة الروح.  ونتيجة لذلك فإننا لم نعد تحت الشريعة ولسنا ملزمين </w:t>
      </w:r>
      <w:r w:rsidRPr="00355D9E">
        <w:rPr>
          <w:rFonts w:eastAsia="Times New Roman" w:cs="DecoType Naskh" w:hint="cs"/>
          <w:color w:val="auto"/>
          <w:kern w:val="0"/>
          <w:szCs w:val="26"/>
          <w:rtl/>
          <w:lang w:bidi="ar-JO"/>
          <w14:ligatures w14:val="none"/>
        </w:rPr>
        <w:t>بها</w:t>
      </w:r>
      <w:r w:rsidRPr="00355D9E">
        <w:rPr>
          <w:rFonts w:eastAsia="Times New Roman" w:cs="DecoType Naskh"/>
          <w:color w:val="auto"/>
          <w:kern w:val="0"/>
          <w:szCs w:val="26"/>
          <w:rtl/>
          <w:lang w:bidi="ar-JO"/>
          <w14:ligatures w14:val="none"/>
        </w:rPr>
        <w:t xml:space="preserve"> (رومية 7: 1-7؛ 1كورنثوس 9: 20-21؛ 2 كورنثوس 3؛ انظر تعليقات بولس حول السبت في كولوسي 2: 16-17).    غير أن كثيراً من هذه الوصايا مؤكّد عليه في العهد الجديد (مثلاً، الوصية بعدم السرقة).  فالسرقة خاطئة أخلاقياً اليوم بنفس مقدار ما كانت عليه عندما كانت إسرائيل تحت الشريعة.  غير أننا نمتنع عن السرقة، لا لكي نحفظ الشريعة، بل لأننا نريد أن نطيع روح الله.</w:t>
      </w:r>
    </w:p>
    <w:p w14:paraId="4FFB696E" w14:textId="77777777" w:rsidR="00355D9E" w:rsidRPr="00355D9E" w:rsidRDefault="00355D9E"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14:ligatures w14:val="none"/>
        </w:rPr>
      </w:pPr>
    </w:p>
    <w:p w14:paraId="7B087195" w14:textId="77777777" w:rsidR="00355D9E" w:rsidRPr="00355D9E" w:rsidRDefault="00355D9E" w:rsidP="002D6C54">
      <w:pPr>
        <w:bidi/>
        <w:spacing w:after="0" w:line="240" w:lineRule="auto"/>
        <w:jc w:val="center"/>
        <w:rPr>
          <w:rFonts w:eastAsia="Times New Roman" w:cs="DecoType Naskh"/>
          <w:color w:val="A50021"/>
          <w:kern w:val="0"/>
          <w:szCs w:val="32"/>
          <w:rtl/>
          <w:lang w:bidi="ar-JO"/>
          <w14:ligatures w14:val="none"/>
        </w:rPr>
      </w:pPr>
    </w:p>
    <w:p w14:paraId="0DFA4C0E" w14:textId="77777777" w:rsidR="00355D9E" w:rsidRPr="00355D9E" w:rsidRDefault="00355D9E" w:rsidP="002D6C54">
      <w:pPr>
        <w:bidi/>
        <w:spacing w:after="0" w:line="240" w:lineRule="auto"/>
        <w:jc w:val="center"/>
        <w:rPr>
          <w:rFonts w:eastAsia="Times New Roman" w:cs="DecoType Naskh"/>
          <w:color w:val="A50021"/>
          <w:kern w:val="0"/>
          <w:szCs w:val="32"/>
          <w:rtl/>
          <w:lang w:bidi="ar-JO"/>
          <w14:ligatures w14:val="none"/>
        </w:rPr>
      </w:pPr>
    </w:p>
    <w:p w14:paraId="5644705A" w14:textId="77777777" w:rsidR="00355D9E" w:rsidRPr="00355D9E" w:rsidRDefault="00355D9E" w:rsidP="002D6C54">
      <w:pPr>
        <w:bidi/>
        <w:spacing w:after="0" w:line="240" w:lineRule="auto"/>
        <w:jc w:val="center"/>
        <w:rPr>
          <w:rFonts w:eastAsia="Times New Roman" w:cs="DecoType Naskh"/>
          <w:color w:val="A50021"/>
          <w:kern w:val="0"/>
          <w:szCs w:val="32"/>
          <w:rtl/>
          <w:lang w:bidi="ar-JO"/>
          <w14:ligatures w14:val="none"/>
        </w:rPr>
      </w:pPr>
    </w:p>
    <w:p w14:paraId="1A972089" w14:textId="77777777" w:rsidR="00355D9E" w:rsidRPr="00355D9E" w:rsidRDefault="00355D9E" w:rsidP="002D6C54">
      <w:pPr>
        <w:bidi/>
        <w:spacing w:after="0" w:line="240" w:lineRule="auto"/>
        <w:jc w:val="center"/>
        <w:rPr>
          <w:rFonts w:eastAsia="Times New Roman" w:cs="DecoType Naskh"/>
          <w:color w:val="A50021"/>
          <w:kern w:val="0"/>
          <w:szCs w:val="32"/>
          <w:rtl/>
          <w:lang w:bidi="ar-JO"/>
          <w14:ligatures w14:val="none"/>
        </w:rPr>
      </w:pPr>
    </w:p>
    <w:p w14:paraId="13318DED" w14:textId="77777777" w:rsidR="00E5619A" w:rsidRDefault="00E5619A" w:rsidP="002D6C54">
      <w:pPr>
        <w:pStyle w:val="Heading3"/>
        <w:spacing w:line="240" w:lineRule="auto"/>
      </w:pPr>
      <w:r>
        <w:br w:type="page"/>
      </w:r>
    </w:p>
    <w:p w14:paraId="791A63ED" w14:textId="1ABEB0EB" w:rsidR="009D4EAB" w:rsidRDefault="009D4EAB" w:rsidP="002D6C54">
      <w:pPr>
        <w:pStyle w:val="Heading4RED"/>
      </w:pPr>
      <w:r w:rsidRPr="009D4EAB">
        <w:rPr>
          <w:noProof/>
        </w:rPr>
        <w:lastRenderedPageBreak/>
        <w:drawing>
          <wp:inline distT="0" distB="0" distL="0" distR="0" wp14:anchorId="2095D77A" wp14:editId="2F782E53">
            <wp:extent cx="5677392" cy="7750212"/>
            <wp:effectExtent l="0" t="0" r="0" b="3175"/>
            <wp:docPr id="552936676" name="Picture 1" descr="A close-up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36676" name="Picture 1" descr="A close-up of a book&#10;&#10;Description automatically generated"/>
                    <pic:cNvPicPr/>
                  </pic:nvPicPr>
                  <pic:blipFill>
                    <a:blip r:embed="rId43"/>
                    <a:stretch>
                      <a:fillRect/>
                    </a:stretch>
                  </pic:blipFill>
                  <pic:spPr>
                    <a:xfrm>
                      <a:off x="0" y="0"/>
                      <a:ext cx="5677392" cy="7750212"/>
                    </a:xfrm>
                    <a:prstGeom prst="rect">
                      <a:avLst/>
                    </a:prstGeom>
                  </pic:spPr>
                </pic:pic>
              </a:graphicData>
            </a:graphic>
          </wp:inline>
        </w:drawing>
      </w:r>
    </w:p>
    <w:p w14:paraId="023EAC23" w14:textId="77777777" w:rsidR="009D4EAB" w:rsidRDefault="009D4EAB" w:rsidP="002D6C54">
      <w:pPr>
        <w:pStyle w:val="Heading3"/>
        <w:spacing w:line="240" w:lineRule="auto"/>
      </w:pPr>
      <w:bookmarkStart w:id="87" w:name="_Toc164420031"/>
    </w:p>
    <w:p w14:paraId="57E54EBF" w14:textId="672E973B" w:rsidR="00DE7B8A" w:rsidRPr="006C789F" w:rsidRDefault="006C789F" w:rsidP="006C789F">
      <w:pPr>
        <w:pStyle w:val="Heading3"/>
        <w:bidi/>
        <w:spacing w:line="240" w:lineRule="auto"/>
        <w:rPr>
          <w:rFonts w:ascii="Simplified Arabic" w:hAnsi="Simplified Arabic" w:cs="Simplified Arabic"/>
        </w:rPr>
      </w:pPr>
      <w:bookmarkStart w:id="88" w:name="_Hlk178778713"/>
      <w:bookmarkEnd w:id="87"/>
      <w:r w:rsidRPr="006C789F">
        <w:rPr>
          <w:rFonts w:ascii="Simplified Arabic" w:hAnsi="Simplified Arabic" w:cs="Simplified Arabic"/>
          <w:rtl/>
        </w:rPr>
        <w:lastRenderedPageBreak/>
        <w:t>الموضوع 2: الخلاص في العهد القديم</w:t>
      </w:r>
    </w:p>
    <w:p w14:paraId="777D9579" w14:textId="528B7669" w:rsidR="00DE7B8A" w:rsidRPr="006C789F" w:rsidRDefault="006C789F" w:rsidP="006C789F">
      <w:pPr>
        <w:pStyle w:val="Heading4"/>
        <w:bidi/>
        <w:spacing w:line="240" w:lineRule="auto"/>
        <w:rPr>
          <w:rFonts w:ascii="Simplified Arabic" w:hAnsi="Simplified Arabic" w:cs="Simplified Arabic"/>
          <w:color w:val="C00000"/>
        </w:rPr>
      </w:pPr>
      <w:r w:rsidRPr="006C789F">
        <w:rPr>
          <w:rFonts w:ascii="Simplified Arabic" w:hAnsi="Simplified Arabic" w:cs="Simplified Arabic"/>
          <w:color w:val="C00000"/>
          <w:rtl/>
        </w:rPr>
        <w:t>مُقدِّمة</w:t>
      </w:r>
    </w:p>
    <w:p w14:paraId="7FA22EE0" w14:textId="6A4BBF41" w:rsidR="00673832" w:rsidRPr="00673832" w:rsidRDefault="00673832" w:rsidP="00673832">
      <w:pPr>
        <w:pStyle w:val="Heading4RED"/>
        <w:bidi/>
        <w:ind w:left="0" w:firstLine="0"/>
        <w:rPr>
          <w:rFonts w:ascii="Simplified Arabic" w:hAnsi="Simplified Arabic" w:cs="Simplified Arabic"/>
          <w:b w:val="0"/>
          <w:bCs w:val="0"/>
          <w:szCs w:val="26"/>
          <w:rtl/>
        </w:rPr>
      </w:pPr>
      <w:r w:rsidRPr="00673832">
        <w:rPr>
          <w:rFonts w:ascii="Simplified Arabic" w:hAnsi="Simplified Arabic" w:cs="Simplified Arabic"/>
          <w:b w:val="0"/>
          <w:bCs w:val="0"/>
          <w:szCs w:val="26"/>
          <w:rtl/>
        </w:rPr>
        <w:t>نفهم</w:t>
      </w:r>
      <w:r>
        <w:rPr>
          <w:rFonts w:ascii="Simplified Arabic" w:hAnsi="Simplified Arabic" w:cs="Simplified Arabic" w:hint="cs"/>
          <w:b w:val="0"/>
          <w:bCs w:val="0"/>
          <w:szCs w:val="26"/>
          <w:rtl/>
        </w:rPr>
        <w:t xml:space="preserve">، نحنُ المؤمنين، أنّ الخلاص هبة مجانيّة مُقدَّمة للخطاة على أساس موت المسيح البديلي على الصليب. ولكنْ، ماذا بشأن الذين عاشوا قبل زمن المسيح؟ كيف "خلصوا"؟ هل خلصوا بحفظ الناموس الموسوي؟ إن لم يخلصوا به، فماذا كان عليهم أن يفعلوا؟ </w:t>
      </w:r>
    </w:p>
    <w:p w14:paraId="450449AA" w14:textId="20585353" w:rsidR="009022CC" w:rsidRDefault="00673832" w:rsidP="00673832">
      <w:pPr>
        <w:pStyle w:val="Heading4RED"/>
        <w:bidi/>
      </w:pPr>
      <w:r>
        <w:rPr>
          <w:rFonts w:hint="cs"/>
          <w:rtl/>
        </w:rPr>
        <w:t xml:space="preserve">خطة الله الشاملة للخلاص </w:t>
      </w:r>
    </w:p>
    <w:p w14:paraId="39436FB1" w14:textId="06505EC7" w:rsidR="00673832" w:rsidRDefault="005776DB" w:rsidP="00673832">
      <w:pPr>
        <w:bidi/>
        <w:spacing w:line="240" w:lineRule="auto"/>
        <w:rPr>
          <w:rFonts w:ascii="Simplified Arabic" w:hAnsi="Simplified Arabic" w:cs="Simplified Arabic"/>
          <w:sz w:val="26"/>
          <w:szCs w:val="26"/>
          <w:rtl/>
        </w:rPr>
      </w:pPr>
      <w:r>
        <w:rPr>
          <w:sz w:val="22"/>
        </w:rPr>
        <w:br/>
      </w:r>
      <w:r w:rsidR="00673832">
        <w:rPr>
          <w:rFonts w:ascii="Simplified Arabic" w:hAnsi="Simplified Arabic" w:cs="Simplified Arabic" w:hint="cs"/>
          <w:sz w:val="26"/>
          <w:szCs w:val="26"/>
          <w:rtl/>
        </w:rPr>
        <w:t xml:space="preserve">الكتاب المُقدَّس واضحٌ </w:t>
      </w:r>
      <w:r w:rsidR="00F34FF0">
        <w:rPr>
          <w:rFonts w:ascii="Simplified Arabic" w:hAnsi="Simplified Arabic" w:cs="Simplified Arabic" w:hint="cs"/>
          <w:sz w:val="26"/>
          <w:szCs w:val="26"/>
          <w:rtl/>
        </w:rPr>
        <w:t>ب</w:t>
      </w:r>
      <w:r w:rsidR="00673832">
        <w:rPr>
          <w:rFonts w:ascii="Simplified Arabic" w:hAnsi="Simplified Arabic" w:cs="Simplified Arabic" w:hint="cs"/>
          <w:sz w:val="26"/>
          <w:szCs w:val="26"/>
          <w:rtl/>
        </w:rPr>
        <w:t xml:space="preserve">أنّ قصد الله كان دائمًا أن يفدي الجنس البشري. فقد كان الله قبل خلقه الرجل والمرأة الأوّلين </w:t>
      </w:r>
      <w:r w:rsidR="00F34FF0">
        <w:rPr>
          <w:rFonts w:ascii="Simplified Arabic" w:hAnsi="Simplified Arabic" w:cs="Simplified Arabic" w:hint="cs"/>
          <w:sz w:val="26"/>
          <w:szCs w:val="26"/>
          <w:rtl/>
        </w:rPr>
        <w:t xml:space="preserve">يعرف </w:t>
      </w:r>
      <w:r w:rsidR="00673832">
        <w:rPr>
          <w:rFonts w:ascii="Simplified Arabic" w:hAnsi="Simplified Arabic" w:cs="Simplified Arabic" w:hint="cs"/>
          <w:sz w:val="26"/>
          <w:szCs w:val="26"/>
          <w:rtl/>
        </w:rPr>
        <w:t>أنّهما سيعصيان، وبالتالي سيصيران خاطئين. وعرف أن</w:t>
      </w:r>
      <w:r w:rsidR="00F34FF0">
        <w:rPr>
          <w:rFonts w:ascii="Simplified Arabic" w:hAnsi="Simplified Arabic" w:cs="Simplified Arabic" w:hint="cs"/>
          <w:sz w:val="26"/>
          <w:szCs w:val="26"/>
          <w:rtl/>
        </w:rPr>
        <w:t>ّ</w:t>
      </w:r>
      <w:r w:rsidR="00673832">
        <w:rPr>
          <w:rFonts w:ascii="Simplified Arabic" w:hAnsi="Simplified Arabic" w:cs="Simplified Arabic" w:hint="cs"/>
          <w:sz w:val="26"/>
          <w:szCs w:val="26"/>
          <w:rtl/>
        </w:rPr>
        <w:t xml:space="preserve"> طبيعة الخطيّة التي فيهم</w:t>
      </w:r>
      <w:r w:rsidR="00F34FF0">
        <w:rPr>
          <w:rFonts w:ascii="Simplified Arabic" w:hAnsi="Simplified Arabic" w:cs="Simplified Arabic" w:hint="cs"/>
          <w:sz w:val="26"/>
          <w:szCs w:val="26"/>
          <w:rtl/>
        </w:rPr>
        <w:t>ا</w:t>
      </w:r>
      <w:r w:rsidR="00673832">
        <w:rPr>
          <w:rFonts w:ascii="Simplified Arabic" w:hAnsi="Simplified Arabic" w:cs="Simplified Arabic" w:hint="cs"/>
          <w:sz w:val="26"/>
          <w:szCs w:val="26"/>
          <w:rtl/>
        </w:rPr>
        <w:t xml:space="preserve"> ستنتقل إلى نسلهما. وإذ</w:t>
      </w:r>
      <w:r w:rsidR="00F34FF0">
        <w:rPr>
          <w:rFonts w:ascii="Simplified Arabic" w:hAnsi="Simplified Arabic" w:cs="Simplified Arabic" w:hint="cs"/>
          <w:sz w:val="26"/>
          <w:szCs w:val="26"/>
          <w:rtl/>
        </w:rPr>
        <w:t>ْ</w:t>
      </w:r>
      <w:r w:rsidR="00673832">
        <w:rPr>
          <w:rFonts w:ascii="Simplified Arabic" w:hAnsi="Simplified Arabic" w:cs="Simplified Arabic" w:hint="cs"/>
          <w:sz w:val="26"/>
          <w:szCs w:val="26"/>
          <w:rtl/>
        </w:rPr>
        <w:t xml:space="preserve"> كان الجنس البشري خطاةً بطبيعتهم، فإنّه</w:t>
      </w:r>
      <w:r w:rsidR="00F34FF0">
        <w:rPr>
          <w:rFonts w:ascii="Simplified Arabic" w:hAnsi="Simplified Arabic" w:cs="Simplified Arabic" w:hint="cs"/>
          <w:sz w:val="26"/>
          <w:szCs w:val="26"/>
          <w:rtl/>
        </w:rPr>
        <w:t>م</w:t>
      </w:r>
      <w:r w:rsidR="00673832">
        <w:rPr>
          <w:rFonts w:ascii="Simplified Arabic" w:hAnsi="Simplified Arabic" w:cs="Simplified Arabic" w:hint="cs"/>
          <w:sz w:val="26"/>
          <w:szCs w:val="26"/>
          <w:rtl/>
        </w:rPr>
        <w:t xml:space="preserve"> سيكون</w:t>
      </w:r>
      <w:r w:rsidR="00F34FF0">
        <w:rPr>
          <w:rFonts w:ascii="Simplified Arabic" w:hAnsi="Simplified Arabic" w:cs="Simplified Arabic" w:hint="cs"/>
          <w:sz w:val="26"/>
          <w:szCs w:val="26"/>
          <w:rtl/>
        </w:rPr>
        <w:t>ون</w:t>
      </w:r>
      <w:r w:rsidR="00673832">
        <w:rPr>
          <w:rFonts w:ascii="Simplified Arabic" w:hAnsi="Simplified Arabic" w:cs="Simplified Arabic" w:hint="cs"/>
          <w:sz w:val="26"/>
          <w:szCs w:val="26"/>
          <w:rtl/>
        </w:rPr>
        <w:t xml:space="preserve"> عاجز</w:t>
      </w:r>
      <w:r w:rsidR="00F34FF0">
        <w:rPr>
          <w:rFonts w:ascii="Simplified Arabic" w:hAnsi="Simplified Arabic" w:cs="Simplified Arabic" w:hint="cs"/>
          <w:sz w:val="26"/>
          <w:szCs w:val="26"/>
          <w:rtl/>
        </w:rPr>
        <w:t>ين</w:t>
      </w:r>
      <w:r w:rsidR="00673832">
        <w:rPr>
          <w:rFonts w:ascii="Simplified Arabic" w:hAnsi="Simplified Arabic" w:cs="Simplified Arabic" w:hint="cs"/>
          <w:sz w:val="26"/>
          <w:szCs w:val="26"/>
          <w:rtl/>
        </w:rPr>
        <w:t xml:space="preserve"> عن أن يعيش</w:t>
      </w:r>
      <w:r w:rsidR="00F34FF0">
        <w:rPr>
          <w:rFonts w:ascii="Simplified Arabic" w:hAnsi="Simplified Arabic" w:cs="Simplified Arabic" w:hint="cs"/>
          <w:sz w:val="26"/>
          <w:szCs w:val="26"/>
          <w:rtl/>
        </w:rPr>
        <w:t>وا</w:t>
      </w:r>
      <w:r w:rsidR="00673832">
        <w:rPr>
          <w:rFonts w:ascii="Simplified Arabic" w:hAnsi="Simplified Arabic" w:cs="Simplified Arabic" w:hint="cs"/>
          <w:sz w:val="26"/>
          <w:szCs w:val="26"/>
          <w:rtl/>
        </w:rPr>
        <w:t xml:space="preserve"> بحسب معايير القداسة التي وضعها الله (مزمور 14: 3؛ رومية 3: 10-12). ومع هذا، فإنّه لكون الله يتّصف بالمحبة، وضع خطّةً للفداء، وهي خطّة تمجّده. </w:t>
      </w:r>
      <w:r w:rsidR="00F34FF0">
        <w:rPr>
          <w:rFonts w:ascii="Simplified Arabic" w:hAnsi="Simplified Arabic" w:cs="Simplified Arabic" w:hint="cs"/>
          <w:sz w:val="26"/>
          <w:szCs w:val="26"/>
          <w:rtl/>
        </w:rPr>
        <w:t>تكلَّم بطرس</w:t>
      </w:r>
      <w:r w:rsidR="00673832">
        <w:rPr>
          <w:rFonts w:ascii="Simplified Arabic" w:hAnsi="Simplified Arabic" w:cs="Simplified Arabic" w:hint="cs"/>
          <w:sz w:val="26"/>
          <w:szCs w:val="26"/>
          <w:rtl/>
        </w:rPr>
        <w:t xml:space="preserve"> في يوم الخمسين لليهود</w:t>
      </w:r>
      <w:r w:rsidR="00F34FF0">
        <w:rPr>
          <w:rFonts w:ascii="Simplified Arabic" w:hAnsi="Simplified Arabic" w:cs="Simplified Arabic" w:hint="cs"/>
          <w:sz w:val="26"/>
          <w:szCs w:val="26"/>
          <w:rtl/>
        </w:rPr>
        <w:t xml:space="preserve"> عن هذه الخطّة قائلًا</w:t>
      </w:r>
      <w:r w:rsidR="00673832">
        <w:rPr>
          <w:rFonts w:ascii="Simplified Arabic" w:hAnsi="Simplified Arabic" w:cs="Simplified Arabic" w:hint="cs"/>
          <w:sz w:val="26"/>
          <w:szCs w:val="26"/>
          <w:rtl/>
        </w:rPr>
        <w:t xml:space="preserve">: "هذا أخذتموه (يكلّم اليهود) مُسلَّمًا بمشورة الله المحتومة وعلمه السابق، وبأيدي أثمة صلبتموه وقتلتموه" (أعمال الرسل 2: 23؛ انظر أعمال الرسل 3: 18؛ 4: 27؛ رؤيا 13: 8). </w:t>
      </w:r>
    </w:p>
    <w:p w14:paraId="30DEFC27" w14:textId="22A74A4D" w:rsidR="00673832" w:rsidRDefault="000D6827" w:rsidP="00673832">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لأن</w:t>
      </w:r>
      <w:r w:rsidR="00F34FF0">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الإنسان كان عاجزًا عن العيش بحسب معايير الله للبرّ، فلا بدَّ من وجود طريقة يستطيع الله بها أن يقبل الخطاة في محضره، من دون مساوَمة على قداسته وعدالته. ولهذا، ينبغي أن تشمل خطته ح</w:t>
      </w:r>
      <w:r w:rsidR="00F34FF0">
        <w:rPr>
          <w:rFonts w:ascii="Simplified Arabic" w:hAnsi="Simplified Arabic" w:cs="Simplified Arabic" w:hint="cs"/>
          <w:sz w:val="26"/>
          <w:szCs w:val="26"/>
          <w:rtl/>
        </w:rPr>
        <w:t>َ</w:t>
      </w:r>
      <w:r>
        <w:rPr>
          <w:rFonts w:ascii="Simplified Arabic" w:hAnsi="Simplified Arabic" w:cs="Simplified Arabic" w:hint="cs"/>
          <w:sz w:val="26"/>
          <w:szCs w:val="26"/>
          <w:rtl/>
        </w:rPr>
        <w:t>م</w:t>
      </w:r>
      <w:r w:rsidR="00F34FF0">
        <w:rPr>
          <w:rFonts w:ascii="Simplified Arabic" w:hAnsi="Simplified Arabic" w:cs="Simplified Arabic" w:hint="cs"/>
          <w:sz w:val="26"/>
          <w:szCs w:val="26"/>
          <w:rtl/>
        </w:rPr>
        <w:t>ْ</w:t>
      </w:r>
      <w:r>
        <w:rPr>
          <w:rFonts w:ascii="Simplified Arabic" w:hAnsi="Simplified Arabic" w:cs="Simplified Arabic" w:hint="cs"/>
          <w:sz w:val="26"/>
          <w:szCs w:val="26"/>
          <w:rtl/>
        </w:rPr>
        <w:t>ل</w:t>
      </w:r>
      <w:r w:rsidR="00F34FF0">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عقوبة الخطايا المُرتَكبة، ومنح الغفران وحسبان البرّ. وفي حكمة الله غير المحدود</w:t>
      </w:r>
      <w:r w:rsidR="00801F93">
        <w:rPr>
          <w:rFonts w:ascii="Simplified Arabic" w:hAnsi="Simplified Arabic" w:cs="Simplified Arabic" w:hint="cs"/>
          <w:sz w:val="26"/>
          <w:szCs w:val="26"/>
          <w:rtl/>
        </w:rPr>
        <w:t>ة</w:t>
      </w:r>
      <w:r>
        <w:rPr>
          <w:rFonts w:ascii="Simplified Arabic" w:hAnsi="Simplified Arabic" w:cs="Simplified Arabic" w:hint="cs"/>
          <w:sz w:val="26"/>
          <w:szCs w:val="26"/>
          <w:rtl/>
        </w:rPr>
        <w:t xml:space="preserve"> ومحبته التي لا يُستقصى عمقها، وضع خطّة للخلاص أساسها موت المسيح البديلي على الصليب لأجل كلّ الجنس البشري. طبعًا، كانت هذه الخطّة أمرًا لا يستحقّه الإنسان. ومن أجل أن يأتي كلّ المجد لله، ينبغي أن تكون هذه الخط</w:t>
      </w:r>
      <w:r w:rsidR="00801F93">
        <w:rPr>
          <w:rFonts w:ascii="Simplified Arabic" w:hAnsi="Simplified Arabic" w:cs="Simplified Arabic" w:hint="cs"/>
          <w:sz w:val="26"/>
          <w:szCs w:val="26"/>
          <w:rtl/>
        </w:rPr>
        <w:t>ّ</w:t>
      </w:r>
      <w:r>
        <w:rPr>
          <w:rFonts w:ascii="Simplified Arabic" w:hAnsi="Simplified Arabic" w:cs="Simplified Arabic" w:hint="cs"/>
          <w:sz w:val="26"/>
          <w:szCs w:val="26"/>
          <w:rtl/>
        </w:rPr>
        <w:t xml:space="preserve">ة مؤسَّسة على النعمة، وليس على أي شيءٍ يمكن للإنسان أن يعمله ليستحقّ الخلاص أو يساهم به. وبتوافق مع النعمة، سيكون المطلب الوحيد أن يقبل الإنسان هذا الخلاص هبةً من الله </w:t>
      </w:r>
      <w:r w:rsidR="00801F93">
        <w:rPr>
          <w:rFonts w:ascii="Simplified Arabic" w:hAnsi="Simplified Arabic" w:cs="Simplified Arabic" w:hint="cs"/>
          <w:sz w:val="26"/>
          <w:szCs w:val="26"/>
          <w:rtl/>
        </w:rPr>
        <w:t>ب</w:t>
      </w:r>
      <w:r>
        <w:rPr>
          <w:rFonts w:ascii="Simplified Arabic" w:hAnsi="Simplified Arabic" w:cs="Simplified Arabic" w:hint="cs"/>
          <w:sz w:val="26"/>
          <w:szCs w:val="26"/>
          <w:rtl/>
        </w:rPr>
        <w:t xml:space="preserve">الإيمان. </w:t>
      </w:r>
      <w:r w:rsidR="00001AF1">
        <w:rPr>
          <w:rFonts w:ascii="Simplified Arabic" w:hAnsi="Simplified Arabic" w:cs="Simplified Arabic" w:hint="cs"/>
          <w:sz w:val="26"/>
          <w:szCs w:val="26"/>
          <w:rtl/>
        </w:rPr>
        <w:t>وهكذا، فإنّ خطّة الله في كل الأزمان والعصور هي الخلاص بالنعمة من خلال الإيمان. وهذه الحقيقة تظهر بصورة جميل</w:t>
      </w:r>
      <w:r w:rsidR="00801F93">
        <w:rPr>
          <w:rFonts w:ascii="Simplified Arabic" w:hAnsi="Simplified Arabic" w:cs="Simplified Arabic" w:hint="cs"/>
          <w:sz w:val="26"/>
          <w:szCs w:val="26"/>
          <w:rtl/>
        </w:rPr>
        <w:t>ة</w:t>
      </w:r>
      <w:r w:rsidR="00001AF1">
        <w:rPr>
          <w:rFonts w:ascii="Simplified Arabic" w:hAnsi="Simplified Arabic" w:cs="Simplified Arabic" w:hint="cs"/>
          <w:sz w:val="26"/>
          <w:szCs w:val="26"/>
          <w:rtl/>
        </w:rPr>
        <w:t xml:space="preserve"> في أفسس 2: 8-9، إذ كتب الرسول بولس: "لأنّكم بالنعمة مُخلَّصون، بالإيمان، وذلك ليس منكم. هو عطيّة الله. ليس من أعمالٍ كيلا يفتخر أحد." فلو كان الإنسان يستطيع أن يساهم بأي</w:t>
      </w:r>
      <w:r w:rsidR="00801F93">
        <w:rPr>
          <w:rFonts w:ascii="Simplified Arabic" w:hAnsi="Simplified Arabic" w:cs="Simplified Arabic" w:hint="cs"/>
          <w:sz w:val="26"/>
          <w:szCs w:val="26"/>
          <w:rtl/>
        </w:rPr>
        <w:t>ّ</w:t>
      </w:r>
      <w:r w:rsidR="00001AF1">
        <w:rPr>
          <w:rFonts w:ascii="Simplified Arabic" w:hAnsi="Simplified Arabic" w:cs="Simplified Arabic" w:hint="cs"/>
          <w:sz w:val="26"/>
          <w:szCs w:val="26"/>
          <w:rtl/>
        </w:rPr>
        <w:t xml:space="preserve"> شيءٍ في خلاصه، فسيكون له ما يفتخر به، ولكنّ الله استبعد هذه الإمكان</w:t>
      </w:r>
      <w:r w:rsidR="00801F93">
        <w:rPr>
          <w:rFonts w:ascii="Simplified Arabic" w:hAnsi="Simplified Arabic" w:cs="Simplified Arabic" w:hint="cs"/>
          <w:sz w:val="26"/>
          <w:szCs w:val="26"/>
          <w:rtl/>
        </w:rPr>
        <w:t>يّة</w:t>
      </w:r>
      <w:r w:rsidR="00001AF1">
        <w:rPr>
          <w:rFonts w:ascii="Simplified Arabic" w:hAnsi="Simplified Arabic" w:cs="Simplified Arabic" w:hint="cs"/>
          <w:sz w:val="26"/>
          <w:szCs w:val="26"/>
          <w:rtl/>
        </w:rPr>
        <w:t xml:space="preserve"> حتّى يكون كل المجد له (كما ينبغي!). لا ينطبق هذا المبدأ (مبدأ الخلاص بالنعمة من خلال الإيمان) علينا نحنُ الذين نعيش بعد الصليب</w:t>
      </w:r>
      <w:r w:rsidR="00801F93">
        <w:rPr>
          <w:rFonts w:ascii="Simplified Arabic" w:hAnsi="Simplified Arabic" w:cs="Simplified Arabic" w:hint="cs"/>
          <w:sz w:val="26"/>
          <w:szCs w:val="26"/>
          <w:rtl/>
        </w:rPr>
        <w:t xml:space="preserve"> فقط</w:t>
      </w:r>
      <w:r w:rsidR="00001AF1">
        <w:rPr>
          <w:rFonts w:ascii="Simplified Arabic" w:hAnsi="Simplified Arabic" w:cs="Simplified Arabic" w:hint="cs"/>
          <w:sz w:val="26"/>
          <w:szCs w:val="26"/>
          <w:rtl/>
        </w:rPr>
        <w:t xml:space="preserve">، بل ينطبق أيضًا على الذين عاشوا قبل الصليب أيضًا. </w:t>
      </w:r>
    </w:p>
    <w:p w14:paraId="37E5811C" w14:textId="68FCCC70" w:rsidR="00673832" w:rsidRDefault="00673832" w:rsidP="00673832">
      <w:pPr>
        <w:bidi/>
        <w:spacing w:line="240" w:lineRule="auto"/>
        <w:rPr>
          <w:rFonts w:ascii="Simplified Arabic" w:hAnsi="Simplified Arabic" w:cs="Simplified Arabic"/>
          <w:sz w:val="26"/>
          <w:szCs w:val="26"/>
          <w:rtl/>
        </w:rPr>
      </w:pPr>
    </w:p>
    <w:p w14:paraId="414890A4" w14:textId="514D0360" w:rsidR="001A1FCD" w:rsidRPr="00001AF1" w:rsidRDefault="00001AF1" w:rsidP="00001AF1">
      <w:pPr>
        <w:pStyle w:val="Heading4RED"/>
        <w:bidi/>
        <w:rPr>
          <w:rFonts w:ascii="Simplified Arabic" w:hAnsi="Simplified Arabic" w:cs="Simplified Arabic"/>
        </w:rPr>
      </w:pPr>
      <w:r w:rsidRPr="00001AF1">
        <w:rPr>
          <w:rFonts w:ascii="Simplified Arabic" w:hAnsi="Simplified Arabic" w:cs="Simplified Arabic"/>
          <w:rtl/>
        </w:rPr>
        <w:lastRenderedPageBreak/>
        <w:t>مسألة الإعلان التدريجي</w:t>
      </w:r>
    </w:p>
    <w:p w14:paraId="35DB127F" w14:textId="40A6D240" w:rsidR="001A1FCD" w:rsidRDefault="005776DB" w:rsidP="00001AF1">
      <w:pPr>
        <w:bidi/>
        <w:spacing w:line="240" w:lineRule="auto"/>
        <w:rPr>
          <w:rFonts w:ascii="Simplified Arabic" w:hAnsi="Simplified Arabic" w:cs="Simplified Arabic"/>
          <w:sz w:val="26"/>
          <w:szCs w:val="26"/>
          <w:rtl/>
        </w:rPr>
      </w:pPr>
      <w:r>
        <w:rPr>
          <w:sz w:val="22"/>
        </w:rPr>
        <w:br/>
      </w:r>
      <w:r w:rsidR="00001AF1">
        <w:rPr>
          <w:rFonts w:ascii="Simplified Arabic" w:hAnsi="Simplified Arabic" w:cs="Simplified Arabic" w:hint="cs"/>
          <w:sz w:val="26"/>
          <w:szCs w:val="26"/>
          <w:rtl/>
        </w:rPr>
        <w:t>إحدى المسائل المهمّة في هذا النقاش مسألة ما كان الإنسان يحتاج إلى معرفته ليخلص. يمكننا أن نقول إن الناس في زمن العهد القديم لم يمتلكو</w:t>
      </w:r>
      <w:r w:rsidR="005A1B4F">
        <w:rPr>
          <w:rFonts w:ascii="Simplified Arabic" w:hAnsi="Simplified Arabic" w:cs="Simplified Arabic" w:hint="cs"/>
          <w:sz w:val="26"/>
          <w:szCs w:val="26"/>
          <w:rtl/>
        </w:rPr>
        <w:t>ا</w:t>
      </w:r>
      <w:r w:rsidR="00001AF1">
        <w:rPr>
          <w:rFonts w:ascii="Simplified Arabic" w:hAnsi="Simplified Arabic" w:cs="Simplified Arabic" w:hint="cs"/>
          <w:sz w:val="26"/>
          <w:szCs w:val="26"/>
          <w:rtl/>
        </w:rPr>
        <w:t xml:space="preserve"> فهمًا كاملًا كما لدينا اليوم عن شخصٍ يسوع المسيح وعمله على الصليب. وحتّى الرسل في زمن وجود المسيح على الأرض لم يكن لديهم الفهم الكامل. هذا واضحٌ مما نقرأ في لوقا 18: 31-34: </w:t>
      </w:r>
    </w:p>
    <w:p w14:paraId="44EAC690" w14:textId="78A7F465" w:rsidR="009C722A" w:rsidRPr="00001AF1" w:rsidRDefault="00001AF1" w:rsidP="00001AF1">
      <w:pPr>
        <w:pStyle w:val="Quote"/>
        <w:bidi/>
        <w:rPr>
          <w:rFonts w:ascii="Simplified Arabic" w:hAnsi="Simplified Arabic" w:cs="Simplified Arabic"/>
          <w:i/>
          <w:iCs w:val="0"/>
          <w:color w:val="C00000"/>
          <w:sz w:val="26"/>
          <w:szCs w:val="26"/>
        </w:rPr>
      </w:pPr>
      <w:r w:rsidRPr="00001AF1">
        <w:rPr>
          <w:rFonts w:ascii="Simplified Arabic" w:hAnsi="Simplified Arabic" w:cs="Simplified Arabic"/>
          <w:i/>
          <w:iCs w:val="0"/>
          <w:color w:val="C00000"/>
          <w:sz w:val="26"/>
          <w:szCs w:val="26"/>
          <w:vertAlign w:val="superscript"/>
          <w:rtl/>
          <w:lang w:val="en"/>
        </w:rPr>
        <w:t>31</w:t>
      </w:r>
      <w:r w:rsidRPr="00001AF1">
        <w:rPr>
          <w:rFonts w:ascii="Simplified Arabic" w:hAnsi="Simplified Arabic" w:cs="Simplified Arabic"/>
          <w:i/>
          <w:iCs w:val="0"/>
          <w:color w:val="C00000"/>
          <w:sz w:val="26"/>
          <w:szCs w:val="26"/>
          <w:rtl/>
          <w:lang w:val="en"/>
        </w:rPr>
        <w:t>وأخذ</w:t>
      </w:r>
      <w:r>
        <w:rPr>
          <w:rFonts w:ascii="Simplified Arabic" w:hAnsi="Simplified Arabic" w:cs="Simplified Arabic" w:hint="cs"/>
          <w:i/>
          <w:iCs w:val="0"/>
          <w:color w:val="C00000"/>
          <w:sz w:val="26"/>
          <w:szCs w:val="26"/>
          <w:rtl/>
          <w:lang w:val="en"/>
        </w:rPr>
        <w:t xml:space="preserve"> الاثني عشر وقال لهم: "ها نحنُ صاعدِون إلى أورشليم، وسيتمّ كلُّ ما هو مكتوب بالأنبياء عن ابن الإنسان، </w:t>
      </w:r>
      <w:r w:rsidRPr="00001AF1">
        <w:rPr>
          <w:rFonts w:ascii="Simplified Arabic" w:hAnsi="Simplified Arabic" w:cs="Simplified Arabic" w:hint="cs"/>
          <w:i/>
          <w:iCs w:val="0"/>
          <w:color w:val="C00000"/>
          <w:sz w:val="26"/>
          <w:szCs w:val="26"/>
          <w:vertAlign w:val="superscript"/>
          <w:rtl/>
          <w:lang w:val="en"/>
        </w:rPr>
        <w:t>32</w:t>
      </w:r>
      <w:r>
        <w:rPr>
          <w:rFonts w:ascii="Simplified Arabic" w:hAnsi="Simplified Arabic" w:cs="Simplified Arabic" w:hint="cs"/>
          <w:i/>
          <w:iCs w:val="0"/>
          <w:color w:val="C00000"/>
          <w:sz w:val="26"/>
          <w:szCs w:val="26"/>
          <w:rtl/>
          <w:lang w:val="en"/>
        </w:rPr>
        <w:t>لأنّه ي</w:t>
      </w:r>
      <w:r w:rsidR="005A1B4F">
        <w:rPr>
          <w:rFonts w:ascii="Simplified Arabic" w:hAnsi="Simplified Arabic" w:cs="Simplified Arabic" w:hint="cs"/>
          <w:i/>
          <w:iCs w:val="0"/>
          <w:color w:val="C00000"/>
          <w:sz w:val="26"/>
          <w:szCs w:val="26"/>
          <w:rtl/>
          <w:lang w:val="en"/>
        </w:rPr>
        <w:t>ُ</w:t>
      </w:r>
      <w:r>
        <w:rPr>
          <w:rFonts w:ascii="Simplified Arabic" w:hAnsi="Simplified Arabic" w:cs="Simplified Arabic" w:hint="cs"/>
          <w:i/>
          <w:iCs w:val="0"/>
          <w:color w:val="C00000"/>
          <w:sz w:val="26"/>
          <w:szCs w:val="26"/>
          <w:rtl/>
          <w:lang w:val="en"/>
        </w:rPr>
        <w:t xml:space="preserve">سلَّم إلى الأمم، ويُستهزَأ به، ويُشتَم ويُتفَل عليه، </w:t>
      </w:r>
      <w:r w:rsidRPr="00CF6E2A">
        <w:rPr>
          <w:rFonts w:ascii="Simplified Arabic" w:hAnsi="Simplified Arabic" w:cs="Simplified Arabic" w:hint="cs"/>
          <w:i/>
          <w:iCs w:val="0"/>
          <w:color w:val="C00000"/>
          <w:sz w:val="26"/>
          <w:szCs w:val="26"/>
          <w:vertAlign w:val="superscript"/>
          <w:rtl/>
          <w:lang w:val="en"/>
        </w:rPr>
        <w:t>33</w:t>
      </w:r>
      <w:r>
        <w:rPr>
          <w:rFonts w:ascii="Simplified Arabic" w:hAnsi="Simplified Arabic" w:cs="Simplified Arabic" w:hint="cs"/>
          <w:i/>
          <w:iCs w:val="0"/>
          <w:color w:val="C00000"/>
          <w:sz w:val="26"/>
          <w:szCs w:val="26"/>
          <w:rtl/>
          <w:lang w:val="en"/>
        </w:rPr>
        <w:t xml:space="preserve">ويجلدونه، ويقتلونه، وفي اليوم الثالث يقوم." </w:t>
      </w:r>
      <w:r w:rsidRPr="00CF6E2A">
        <w:rPr>
          <w:rFonts w:ascii="Simplified Arabic" w:hAnsi="Simplified Arabic" w:cs="Simplified Arabic" w:hint="cs"/>
          <w:i/>
          <w:iCs w:val="0"/>
          <w:color w:val="C00000"/>
          <w:sz w:val="26"/>
          <w:szCs w:val="26"/>
          <w:vertAlign w:val="superscript"/>
          <w:rtl/>
          <w:lang w:val="en"/>
        </w:rPr>
        <w:t>34</w:t>
      </w:r>
      <w:r>
        <w:rPr>
          <w:rFonts w:ascii="Simplified Arabic" w:hAnsi="Simplified Arabic" w:cs="Simplified Arabic" w:hint="cs"/>
          <w:i/>
          <w:iCs w:val="0"/>
          <w:color w:val="C00000"/>
          <w:sz w:val="26"/>
          <w:szCs w:val="26"/>
          <w:rtl/>
          <w:lang w:val="en"/>
        </w:rPr>
        <w:t>وأمّا هم فلم يفهموا من ذلك شيئًا، وكان هذا الأمر مُخفىً عنهم، ولم يعلموا ما قيل.</w:t>
      </w:r>
    </w:p>
    <w:p w14:paraId="5C7E2D18" w14:textId="77777777" w:rsidR="005A1B4F" w:rsidRDefault="005A1B4F" w:rsidP="00CF6E2A">
      <w:pPr>
        <w:bidi/>
        <w:spacing w:line="240" w:lineRule="auto"/>
        <w:rPr>
          <w:rFonts w:ascii="Simplified Arabic" w:hAnsi="Simplified Arabic" w:cs="Simplified Arabic"/>
          <w:sz w:val="26"/>
          <w:szCs w:val="26"/>
          <w:rtl/>
        </w:rPr>
      </w:pPr>
    </w:p>
    <w:p w14:paraId="64B104EA" w14:textId="66230BA2" w:rsidR="009C722A" w:rsidRDefault="00CF6E2A" w:rsidP="005A1B4F">
      <w:pPr>
        <w:bidi/>
        <w:spacing w:line="240" w:lineRule="auto"/>
        <w:rPr>
          <w:rFonts w:ascii="Simplified Arabic" w:hAnsi="Simplified Arabic" w:cs="Simplified Arabic"/>
          <w:sz w:val="26"/>
          <w:szCs w:val="26"/>
        </w:rPr>
      </w:pPr>
      <w:r>
        <w:rPr>
          <w:rFonts w:ascii="Simplified Arabic" w:hAnsi="Simplified Arabic" w:cs="Simplified Arabic" w:hint="cs"/>
          <w:sz w:val="26"/>
          <w:szCs w:val="26"/>
          <w:rtl/>
        </w:rPr>
        <w:t>يمكننا أن ندرِك من دراستنا الكتاب المُقدَّس أنّه مع تكشُّف العهد القديم بصورة تدريجيّة، ازداد وضوح خطة الله للخلاص. فالذين ماتوا قرب زمن الصليب (الذين كان لديهم المزيد من أسفار العهد القديم) كان يمكنهم أن يحظوا بفهم أعظم من الذين كانوا يعيشون في بداية العهد القديم. ومع كل</w:t>
      </w:r>
      <w:r w:rsidR="005A1B4F">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جيلٍ جديد، كان هناك إعلانٌ للمزيد، ولذا كانت هناك إمكانيّة لمعرفة المزيد. يُشير علماء الكتاب المُقدَّس إلى هذا بـ"الإعلان التدريجي." يكتب فينبيرغ (</w:t>
      </w:r>
      <w:r>
        <w:rPr>
          <w:rFonts w:ascii="Simplified Arabic" w:hAnsi="Simplified Arabic" w:cs="Simplified Arabic"/>
          <w:sz w:val="26"/>
          <w:szCs w:val="26"/>
        </w:rPr>
        <w:t>Feinberg</w:t>
      </w:r>
      <w:r>
        <w:rPr>
          <w:rFonts w:ascii="Simplified Arabic" w:hAnsi="Simplified Arabic" w:cs="Simplified Arabic" w:hint="cs"/>
          <w:sz w:val="26"/>
          <w:szCs w:val="26"/>
          <w:rtl/>
        </w:rPr>
        <w:t xml:space="preserve">) بشأن هذا: </w:t>
      </w:r>
    </w:p>
    <w:p w14:paraId="5AB94E50" w14:textId="7F3124A2" w:rsidR="008E6BA9" w:rsidRPr="008E6BA9" w:rsidRDefault="00CF6E2A" w:rsidP="00CF6E2A">
      <w:pPr>
        <w:bidi/>
        <w:spacing w:line="240" w:lineRule="auto"/>
        <w:ind w:left="864" w:right="864"/>
      </w:pPr>
      <w:r>
        <w:rPr>
          <w:rFonts w:ascii="Simplified Arabic" w:hAnsi="Simplified Arabic" w:cs="Simplified Arabic" w:hint="cs"/>
          <w:sz w:val="26"/>
          <w:szCs w:val="26"/>
          <w:rtl/>
          <w:lang w:bidi="ar-JO"/>
        </w:rPr>
        <w:t>في البداية، يبدو مهمًّا أن نفهم أنّه مع أن الله استخدم باستمرار الطريقة نفسها لتخليص البشر (وهو نقطة تحافظ على وحدة الفداء والمفديّين)، فإنّ ما يعلِنه بشأن تلك الطريقة يتعاظم بصورة تدريجيّة، ويتطلب تغييرات في الطريقة التي يعبِّر بها المؤمن عن الحقيقة بأنه قب</w:t>
      </w:r>
      <w:r w:rsidR="005A1B4F">
        <w:rPr>
          <w:rFonts w:ascii="Simplified Arabic" w:hAnsi="Simplified Arabic" w:cs="Simplified Arabic" w:hint="cs"/>
          <w:sz w:val="26"/>
          <w:szCs w:val="26"/>
          <w:rtl/>
          <w:lang w:bidi="ar-JO"/>
        </w:rPr>
        <w:t>ِ</w:t>
      </w:r>
      <w:r>
        <w:rPr>
          <w:rFonts w:ascii="Simplified Arabic" w:hAnsi="Simplified Arabic" w:cs="Simplified Arabic" w:hint="cs"/>
          <w:sz w:val="26"/>
          <w:szCs w:val="26"/>
          <w:rtl/>
          <w:lang w:bidi="ar-JO"/>
        </w:rPr>
        <w:t>ل طريقة الله الوحيد</w:t>
      </w:r>
      <w:r w:rsidR="005A1B4F">
        <w:rPr>
          <w:rFonts w:ascii="Simplified Arabic" w:hAnsi="Simplified Arabic" w:cs="Simplified Arabic" w:hint="cs"/>
          <w:sz w:val="26"/>
          <w:szCs w:val="26"/>
          <w:rtl/>
          <w:lang w:bidi="ar-JO"/>
        </w:rPr>
        <w:t>ة</w:t>
      </w:r>
      <w:r>
        <w:rPr>
          <w:rFonts w:ascii="Simplified Arabic" w:hAnsi="Simplified Arabic" w:cs="Simplified Arabic" w:hint="cs"/>
          <w:sz w:val="26"/>
          <w:szCs w:val="26"/>
          <w:rtl/>
          <w:lang w:bidi="ar-JO"/>
        </w:rPr>
        <w:t xml:space="preserve"> للخلاص (وهي النقطة التي تسمح بالتنوُّع الذي يتطل</w:t>
      </w:r>
      <w:r w:rsidR="005A1B4F">
        <w:rPr>
          <w:rFonts w:ascii="Simplified Arabic" w:hAnsi="Simplified Arabic" w:cs="Simplified Arabic" w:hint="cs"/>
          <w:sz w:val="26"/>
          <w:szCs w:val="26"/>
          <w:rtl/>
          <w:lang w:bidi="ar-JO"/>
        </w:rPr>
        <w:t>َّ</w:t>
      </w:r>
      <w:r>
        <w:rPr>
          <w:rFonts w:ascii="Simplified Arabic" w:hAnsi="Simplified Arabic" w:cs="Simplified Arabic" w:hint="cs"/>
          <w:sz w:val="26"/>
          <w:szCs w:val="26"/>
          <w:rtl/>
          <w:lang w:bidi="ar-JO"/>
        </w:rPr>
        <w:t>به الإعلان التدري</w:t>
      </w:r>
      <w:r w:rsidR="00E82C1B">
        <w:rPr>
          <w:rFonts w:ascii="Simplified Arabic" w:hAnsi="Simplified Arabic" w:cs="Simplified Arabic" w:hint="cs"/>
          <w:sz w:val="26"/>
          <w:szCs w:val="26"/>
          <w:rtl/>
          <w:lang w:bidi="ar-JO"/>
        </w:rPr>
        <w:t>ج</w:t>
      </w:r>
      <w:r>
        <w:rPr>
          <w:rFonts w:ascii="Simplified Arabic" w:hAnsi="Simplified Arabic" w:cs="Simplified Arabic" w:hint="cs"/>
          <w:sz w:val="26"/>
          <w:szCs w:val="26"/>
          <w:rtl/>
          <w:lang w:bidi="ar-JO"/>
        </w:rPr>
        <w:t>ي).</w:t>
      </w:r>
      <w:r w:rsidR="008E6BA9">
        <w:rPr>
          <w:rStyle w:val="FootnoteReference"/>
        </w:rPr>
        <w:footnoteReference w:id="78"/>
      </w:r>
    </w:p>
    <w:p w14:paraId="13807632" w14:textId="76D875F2" w:rsidR="008E6BA9" w:rsidRDefault="00CF6E2A" w:rsidP="00CF6E2A">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ليس المقصود</w:t>
      </w:r>
      <w:r w:rsidR="00E82C1B">
        <w:rPr>
          <w:rFonts w:ascii="Simplified Arabic" w:hAnsi="Simplified Arabic" w:cs="Simplified Arabic" w:hint="cs"/>
          <w:sz w:val="26"/>
          <w:szCs w:val="26"/>
          <w:rtl/>
        </w:rPr>
        <w:t xml:space="preserve"> </w:t>
      </w:r>
      <w:r w:rsidR="009C3BC8">
        <w:rPr>
          <w:rFonts w:ascii="Simplified Arabic" w:hAnsi="Simplified Arabic" w:cs="Simplified Arabic" w:hint="cs"/>
          <w:sz w:val="26"/>
          <w:szCs w:val="26"/>
          <w:rtl/>
        </w:rPr>
        <w:t>هنا أن</w:t>
      </w:r>
      <w:r w:rsidR="005A1B4F">
        <w:rPr>
          <w:rFonts w:ascii="Simplified Arabic" w:hAnsi="Simplified Arabic" w:cs="Simplified Arabic" w:hint="cs"/>
          <w:sz w:val="26"/>
          <w:szCs w:val="26"/>
          <w:rtl/>
        </w:rPr>
        <w:t>َّ</w:t>
      </w:r>
      <w:r w:rsidR="009C3BC8">
        <w:rPr>
          <w:rFonts w:ascii="Simplified Arabic" w:hAnsi="Simplified Arabic" w:cs="Simplified Arabic" w:hint="cs"/>
          <w:sz w:val="26"/>
          <w:szCs w:val="26"/>
          <w:rtl/>
        </w:rPr>
        <w:t xml:space="preserve"> الذين كانوا في الجزء الأو</w:t>
      </w:r>
      <w:r w:rsidR="005A1B4F">
        <w:rPr>
          <w:rFonts w:ascii="Simplified Arabic" w:hAnsi="Simplified Arabic" w:cs="Simplified Arabic" w:hint="cs"/>
          <w:sz w:val="26"/>
          <w:szCs w:val="26"/>
          <w:rtl/>
        </w:rPr>
        <w:t>ّ</w:t>
      </w:r>
      <w:r w:rsidR="009C3BC8">
        <w:rPr>
          <w:rFonts w:ascii="Simplified Arabic" w:hAnsi="Simplified Arabic" w:cs="Simplified Arabic" w:hint="cs"/>
          <w:sz w:val="26"/>
          <w:szCs w:val="26"/>
          <w:rtl/>
        </w:rPr>
        <w:t>ل من التاريخ البشري كان لديهم فهمٌ غير كافٍ للخلاص. ولذا نكونُ أكثر دقَّةً إن قلنا إنّه كان لديهم مقدار محدود من الإعلان الإلهي، ولكنّ ما كان لديهم كان كافيًا لخلاصهم. ولذا فإن المهمّ بالنسبة إليهم هو أن يتجاوبوا بالإيمان مع الله ووعوده التي عرفوها وما كان مُعلَنًا. في الوضع الطبيعي، كان هذا الإعلان تراكميًّا بالنسبة إلى الأجيال المتعاقبة. وبغض</w:t>
      </w:r>
      <w:r w:rsidR="005A1B4F">
        <w:rPr>
          <w:rFonts w:ascii="Simplified Arabic" w:hAnsi="Simplified Arabic" w:cs="Simplified Arabic" w:hint="cs"/>
          <w:sz w:val="26"/>
          <w:szCs w:val="26"/>
          <w:rtl/>
        </w:rPr>
        <w:t>ّ</w:t>
      </w:r>
      <w:r w:rsidR="009C3BC8">
        <w:rPr>
          <w:rFonts w:ascii="Simplified Arabic" w:hAnsi="Simplified Arabic" w:cs="Simplified Arabic" w:hint="cs"/>
          <w:sz w:val="26"/>
          <w:szCs w:val="26"/>
          <w:rtl/>
        </w:rPr>
        <w:t xml:space="preserve"> النظر ع</w:t>
      </w:r>
      <w:r w:rsidR="005A1B4F">
        <w:rPr>
          <w:rFonts w:ascii="Simplified Arabic" w:hAnsi="Simplified Arabic" w:cs="Simplified Arabic" w:hint="cs"/>
          <w:sz w:val="26"/>
          <w:szCs w:val="26"/>
          <w:rtl/>
        </w:rPr>
        <w:t>ن</w:t>
      </w:r>
      <w:r w:rsidR="009C3BC8">
        <w:rPr>
          <w:rFonts w:ascii="Simplified Arabic" w:hAnsi="Simplified Arabic" w:cs="Simplified Arabic" w:hint="cs"/>
          <w:sz w:val="26"/>
          <w:szCs w:val="26"/>
          <w:rtl/>
        </w:rPr>
        <w:t xml:space="preserve"> مقدار ما كان المرء يعرفه في فترة العهد القديم، بقي المبدأ نفسه: الخلاص بالنعمة من خلال الإيمان. كانت هذه هي الطريقة الواحدة والوحيدة لنوال الخلاص. </w:t>
      </w:r>
    </w:p>
    <w:p w14:paraId="7FB76A9C" w14:textId="77777777" w:rsidR="00CF6E2A" w:rsidRPr="00CF6E2A" w:rsidRDefault="00CF6E2A" w:rsidP="00CF6E2A">
      <w:pPr>
        <w:bidi/>
        <w:spacing w:line="240" w:lineRule="auto"/>
        <w:rPr>
          <w:rFonts w:ascii="Simplified Arabic" w:hAnsi="Simplified Arabic" w:cs="Simplified Arabic"/>
          <w:sz w:val="26"/>
          <w:szCs w:val="26"/>
        </w:rPr>
      </w:pPr>
    </w:p>
    <w:p w14:paraId="4D6096FC" w14:textId="4B323452" w:rsidR="000747FF" w:rsidRPr="009C3BC8" w:rsidRDefault="009C3BC8" w:rsidP="009C3BC8">
      <w:pPr>
        <w:pStyle w:val="Heading4RED"/>
        <w:bidi/>
        <w:rPr>
          <w:rFonts w:ascii="Simplified Arabic" w:hAnsi="Simplified Arabic" w:cs="Simplified Arabic"/>
          <w:sz w:val="28"/>
        </w:rPr>
      </w:pPr>
      <w:r>
        <w:rPr>
          <w:rFonts w:ascii="Simplified Arabic" w:hAnsi="Simplified Arabic" w:cs="Simplified Arabic" w:hint="cs"/>
          <w:sz w:val="28"/>
          <w:rtl/>
        </w:rPr>
        <w:lastRenderedPageBreak/>
        <w:t>أربع فترات زمنية قبل موت المسيح على الصليب</w:t>
      </w:r>
    </w:p>
    <w:p w14:paraId="74E5B53E" w14:textId="440BBE25" w:rsidR="000747FF" w:rsidRPr="009C3BC8" w:rsidRDefault="005776DB" w:rsidP="009C3BC8">
      <w:pPr>
        <w:bidi/>
        <w:spacing w:line="240" w:lineRule="auto"/>
        <w:rPr>
          <w:rFonts w:ascii="Simplified Arabic" w:hAnsi="Simplified Arabic" w:cs="Simplified Arabic"/>
          <w:sz w:val="26"/>
          <w:szCs w:val="26"/>
          <w:rtl/>
          <w:lang w:bidi="ar-JO"/>
        </w:rPr>
      </w:pPr>
      <w:r>
        <w:rPr>
          <w:sz w:val="22"/>
        </w:rPr>
        <w:br/>
      </w:r>
      <w:r w:rsidR="009C3BC8" w:rsidRPr="009C3BC8">
        <w:rPr>
          <w:rFonts w:ascii="Simplified Arabic" w:hAnsi="Simplified Arabic" w:cs="Simplified Arabic"/>
          <w:sz w:val="26"/>
          <w:szCs w:val="26"/>
          <w:rtl/>
        </w:rPr>
        <w:t xml:space="preserve">حين </w:t>
      </w:r>
      <w:r w:rsidR="009C3BC8">
        <w:rPr>
          <w:rFonts w:ascii="Simplified Arabic" w:hAnsi="Simplified Arabic" w:cs="Simplified Arabic" w:hint="cs"/>
          <w:sz w:val="26"/>
          <w:szCs w:val="26"/>
          <w:rtl/>
          <w:lang w:bidi="ar-JO"/>
        </w:rPr>
        <w:t>نفكِّر بتاريخ العهد القديم ككلّ، علينا أوّلًا أن ندرك أنّه في معظم هذه الفترة الطويلة لم يكن الناس تحتَ الناموس الموسوي. فلأنّ الناموس لم يُعط</w:t>
      </w:r>
      <w:r w:rsidR="005A1B4F">
        <w:rPr>
          <w:rFonts w:ascii="Simplified Arabic" w:hAnsi="Simplified Arabic" w:cs="Simplified Arabic" w:hint="cs"/>
          <w:sz w:val="26"/>
          <w:szCs w:val="26"/>
          <w:rtl/>
          <w:lang w:bidi="ar-JO"/>
        </w:rPr>
        <w:t>َ</w:t>
      </w:r>
      <w:r w:rsidR="009C3BC8">
        <w:rPr>
          <w:rFonts w:ascii="Simplified Arabic" w:hAnsi="Simplified Arabic" w:cs="Simplified Arabic" w:hint="cs"/>
          <w:sz w:val="26"/>
          <w:szCs w:val="26"/>
          <w:rtl/>
          <w:lang w:bidi="ar-JO"/>
        </w:rPr>
        <w:t xml:space="preserve"> حتّى العام 1446 ق.م.، فقد مرّت قرونٌ كثيرة عاش فيها الناس قبلًا من دون معرفة الناموس الموسوي. وعلاوةً على ذلك، حتّى حين أُعطي الناموس الموسوي، لم يُفرَض على كلّ الناس، بل فُرِض على شعب إسرائيل فقط.</w:t>
      </w:r>
      <w:r w:rsidR="007D39BF">
        <w:rPr>
          <w:rFonts w:ascii="Simplified Arabic" w:hAnsi="Simplified Arabic" w:cs="Simplified Arabic" w:hint="cs"/>
          <w:sz w:val="26"/>
          <w:szCs w:val="26"/>
          <w:rtl/>
          <w:lang w:bidi="ar-JO"/>
        </w:rPr>
        <w:t xml:space="preserve"> ولم يحدث أن أشار الله </w:t>
      </w:r>
      <w:r w:rsidR="005A1B4F">
        <w:rPr>
          <w:rFonts w:ascii="Simplified Arabic" w:hAnsi="Simplified Arabic" w:cs="Simplified Arabic" w:hint="cs"/>
          <w:sz w:val="26"/>
          <w:szCs w:val="26"/>
          <w:rtl/>
          <w:lang w:bidi="ar-JO"/>
        </w:rPr>
        <w:t xml:space="preserve">إلى </w:t>
      </w:r>
      <w:r w:rsidR="007D39BF">
        <w:rPr>
          <w:rFonts w:ascii="Simplified Arabic" w:hAnsi="Simplified Arabic" w:cs="Simplified Arabic" w:hint="cs"/>
          <w:sz w:val="26"/>
          <w:szCs w:val="26"/>
          <w:rtl/>
          <w:lang w:bidi="ar-JO"/>
        </w:rPr>
        <w:t>أنّ الأمم ملتزمة بأن تعيش بحسب الناموس. وفي تفكيرنا بالخلاص قبل الصليب، قد يكون مفيدًا أن نميِّز أربع فترات</w:t>
      </w:r>
      <w:r w:rsidR="005A1B4F">
        <w:rPr>
          <w:rFonts w:ascii="Simplified Arabic" w:hAnsi="Simplified Arabic" w:cs="Simplified Arabic" w:hint="cs"/>
          <w:sz w:val="26"/>
          <w:szCs w:val="26"/>
          <w:rtl/>
          <w:lang w:bidi="ar-JO"/>
        </w:rPr>
        <w:t>ٍ</w:t>
      </w:r>
      <w:r w:rsidR="007D39BF">
        <w:rPr>
          <w:rFonts w:ascii="Simplified Arabic" w:hAnsi="Simplified Arabic" w:cs="Simplified Arabic" w:hint="cs"/>
          <w:sz w:val="26"/>
          <w:szCs w:val="26"/>
          <w:rtl/>
          <w:lang w:bidi="ar-JO"/>
        </w:rPr>
        <w:t xml:space="preserve"> زمنية في التاريخ البشري الباكر. وبحسب اللوحة التوضيحيّة التالية، حين غادر إبراهيم حاران إلى أرض كنعان كان في الخامسة والسبعين من عمره، وكان العام 1446 ق.م. هو الوقت الذي </w:t>
      </w:r>
      <w:r w:rsidR="005A1B4F">
        <w:rPr>
          <w:rFonts w:ascii="Simplified Arabic" w:hAnsi="Simplified Arabic" w:cs="Simplified Arabic" w:hint="cs"/>
          <w:sz w:val="26"/>
          <w:szCs w:val="26"/>
          <w:rtl/>
          <w:lang w:bidi="ar-JO"/>
        </w:rPr>
        <w:t xml:space="preserve">فيه </w:t>
      </w:r>
      <w:r w:rsidR="007D39BF">
        <w:rPr>
          <w:rFonts w:ascii="Simplified Arabic" w:hAnsi="Simplified Arabic" w:cs="Simplified Arabic" w:hint="cs"/>
          <w:sz w:val="26"/>
          <w:szCs w:val="26"/>
          <w:rtl/>
          <w:lang w:bidi="ar-JO"/>
        </w:rPr>
        <w:t xml:space="preserve">تلقّى موسى الناموس في جبل سيناء. </w:t>
      </w:r>
    </w:p>
    <w:p w14:paraId="37ACE457" w14:textId="77777777" w:rsidR="009C3BC8" w:rsidRPr="009C3BC8" w:rsidRDefault="009C3BC8" w:rsidP="009C3BC8">
      <w:pPr>
        <w:bidi/>
        <w:spacing w:line="240" w:lineRule="auto"/>
        <w:rPr>
          <w:rFonts w:ascii="Simplified Arabic" w:hAnsi="Simplified Arabic" w:cs="Simplified Arabic"/>
          <w:sz w:val="26"/>
          <w:szCs w:val="26"/>
        </w:rPr>
      </w:pPr>
    </w:p>
    <w:bookmarkEnd w:id="88"/>
    <w:p w14:paraId="6E2A1327" w14:textId="77777777" w:rsidR="00CF5CE5" w:rsidRPr="00CF5CE5" w:rsidRDefault="00CF5CE5" w:rsidP="002D6C54">
      <w:pPr>
        <w:spacing w:after="0" w:line="240" w:lineRule="auto"/>
        <w:jc w:val="right"/>
        <w:rPr>
          <w:rFonts w:eastAsia="Calibri" w:cs="Times New Roman"/>
          <w:color w:val="auto"/>
          <w:kern w:val="0"/>
          <w:sz w:val="36"/>
          <w:szCs w:val="28"/>
          <w:lang w:bidi="ar-JO"/>
          <w14:ligatures w14:val="none"/>
        </w:rPr>
      </w:pPr>
      <w:r w:rsidRPr="00CF5CE5">
        <w:rPr>
          <w:rFonts w:eastAsia="Calibri" w:cs="Times New Roman" w:hint="cs"/>
          <w:color w:val="auto"/>
          <w:kern w:val="0"/>
          <w:sz w:val="36"/>
          <w:szCs w:val="28"/>
          <w:rtl/>
          <w:lang w:bidi="ar-JO"/>
          <w14:ligatures w14:val="none"/>
        </w:rPr>
        <w:t>أربع فترات قبل الصليب</w:t>
      </w:r>
    </w:p>
    <w:p w14:paraId="0EAFFAC8" w14:textId="77777777" w:rsidR="00CF5CE5" w:rsidRDefault="00CF5CE5" w:rsidP="002D6C54">
      <w:pPr>
        <w:spacing w:line="240" w:lineRule="auto"/>
        <w:rPr>
          <w:sz w:val="22"/>
        </w:rPr>
      </w:pPr>
    </w:p>
    <w:p w14:paraId="4C36093A" w14:textId="77777777" w:rsidR="00CF5CE5" w:rsidRPr="001F4831" w:rsidRDefault="00CF5CE5" w:rsidP="002D6C54">
      <w:pPr>
        <w:spacing w:line="240" w:lineRule="auto"/>
        <w:rPr>
          <w:sz w:val="22"/>
        </w:rPr>
      </w:pPr>
    </w:p>
    <w:p w14:paraId="122AD67F" w14:textId="231B33BC" w:rsidR="000747FF" w:rsidRDefault="00CF5CE5" w:rsidP="002D6C54">
      <w:pPr>
        <w:tabs>
          <w:tab w:val="left" w:pos="547"/>
          <w:tab w:val="left" w:pos="1094"/>
          <w:tab w:val="left" w:pos="1642"/>
          <w:tab w:val="left" w:pos="2189"/>
          <w:tab w:val="left" w:pos="2736"/>
          <w:tab w:val="left" w:pos="3283"/>
          <w:tab w:val="left" w:pos="3830"/>
          <w:tab w:val="left" w:pos="4378"/>
        </w:tabs>
        <w:spacing w:after="120" w:line="240" w:lineRule="auto"/>
        <w:jc w:val="both"/>
        <w:rPr>
          <w:rFonts w:eastAsia="Times New Roman" w:cs="Times New Roman"/>
          <w:bCs/>
          <w:color w:val="auto"/>
          <w:kern w:val="0"/>
          <w:sz w:val="22"/>
          <w:szCs w:val="24"/>
          <w14:ligatures w14:val="none"/>
        </w:rPr>
      </w:pPr>
      <w:r w:rsidRPr="00CF5CE5">
        <w:rPr>
          <w:rFonts w:eastAsia="Times New Roman" w:cs="Times New Roman"/>
          <w:bCs/>
          <w:noProof/>
          <w:color w:val="auto"/>
          <w:kern w:val="0"/>
          <w:sz w:val="22"/>
          <w:szCs w:val="24"/>
          <w14:ligatures w14:val="none"/>
        </w:rPr>
        <w:drawing>
          <wp:inline distT="0" distB="0" distL="0" distR="0" wp14:anchorId="659C6652" wp14:editId="75FE5086">
            <wp:extent cx="5943600" cy="1750695"/>
            <wp:effectExtent l="0" t="0" r="0" b="0"/>
            <wp:docPr id="649563726" name="Picture 1" descr="A green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563726" name="Picture 1" descr="A green and black text&#10;&#10;Description automatically generated"/>
                    <pic:cNvPicPr/>
                  </pic:nvPicPr>
                  <pic:blipFill>
                    <a:blip r:embed="rId44"/>
                    <a:stretch>
                      <a:fillRect/>
                    </a:stretch>
                  </pic:blipFill>
                  <pic:spPr>
                    <a:xfrm>
                      <a:off x="0" y="0"/>
                      <a:ext cx="5943600" cy="1750695"/>
                    </a:xfrm>
                    <a:prstGeom prst="rect">
                      <a:avLst/>
                    </a:prstGeom>
                  </pic:spPr>
                </pic:pic>
              </a:graphicData>
            </a:graphic>
          </wp:inline>
        </w:drawing>
      </w:r>
    </w:p>
    <w:p w14:paraId="0CCC4CBB" w14:textId="77777777" w:rsidR="00CF5CE5" w:rsidRDefault="00CF5CE5" w:rsidP="002D6C54">
      <w:pPr>
        <w:spacing w:line="240" w:lineRule="auto"/>
        <w:rPr>
          <w:b/>
          <w:bCs/>
        </w:rPr>
      </w:pPr>
    </w:p>
    <w:p w14:paraId="6582A991" w14:textId="5427A552" w:rsidR="000747FF" w:rsidRPr="007D39BF" w:rsidRDefault="007D39BF" w:rsidP="007D39BF">
      <w:pPr>
        <w:bidi/>
        <w:spacing w:line="240" w:lineRule="auto"/>
        <w:rPr>
          <w:rFonts w:ascii="Simplified Arabic" w:hAnsi="Simplified Arabic" w:cs="Simplified Arabic"/>
          <w:b/>
          <w:bCs/>
          <w:sz w:val="26"/>
          <w:szCs w:val="26"/>
        </w:rPr>
      </w:pPr>
      <w:bookmarkStart w:id="89" w:name="_Hlk178778743"/>
      <w:r w:rsidRPr="007D39BF">
        <w:rPr>
          <w:rFonts w:ascii="Simplified Arabic" w:hAnsi="Simplified Arabic" w:cs="Simplified Arabic"/>
          <w:b/>
          <w:bCs/>
          <w:sz w:val="26"/>
          <w:szCs w:val="26"/>
          <w:rtl/>
        </w:rPr>
        <w:t>الخلاص في فترة ما قبل إبراهيم (تكوين 1: 1 – 11: 26)</w:t>
      </w:r>
    </w:p>
    <w:p w14:paraId="512AA7F2" w14:textId="26CCBD67" w:rsidR="007D39BF" w:rsidRDefault="007D39BF" w:rsidP="007D39BF">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تُغطّي هذه الفترة الوقت من خلق الزوجين الأوّلين وحتّى وقت دعوة الله لإبراهيم بأن يترك أور الكلدانيّين من أجل أن يكوِّن أمّةً جديدة. ولأننا نعرف أن الناس كانوا يُحسَبون "أبرارًا" في هذه الفترة، فلا بدَّ أنّهم كانوا يأتون إلى علاقة مُخلِّصًة مع الله. فأخنوخ، مثلًا، قِيل إنّه "سار مع الله"، وإنّه "أخذه" الله من دون أن يذوق الموت (تكوين 5: 21-24). ويقول تكوين 6: 9: "كان نوحٌ رجلًا كاملًا في أجياله، وسار نوحٌ مع الله." لا شكّ أنّه كان هناك آخرون يُشبِهون هذين الرجلين. ولا بدَّ أنّهم اختبروا خلاص الله. </w:t>
      </w:r>
    </w:p>
    <w:p w14:paraId="178ADFD4" w14:textId="11B1C9FD" w:rsidR="00E82C1B" w:rsidRDefault="00E82C1B" w:rsidP="00E82C1B">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إذْ خُلِق آدم وحوّاء بيد الله بصورة مباشرة، لم يكونا في البداية في احتياجٍ إلى الخلاص. </w:t>
      </w:r>
      <w:r w:rsidR="00BA553C">
        <w:rPr>
          <w:rFonts w:ascii="Simplified Arabic" w:hAnsi="Simplified Arabic" w:cs="Simplified Arabic" w:hint="cs"/>
          <w:sz w:val="26"/>
          <w:szCs w:val="26"/>
          <w:rtl/>
        </w:rPr>
        <w:t xml:space="preserve">لكن بعد عصيانهما وسقوطهما، صارا في احتياجٍ إلى الخلاص. ينبغي أن نبدأ بالتفكير باحتياجهما إلى فهم الخلاص. فمثلاً، عرفا أنّه </w:t>
      </w:r>
      <w:r w:rsidR="00BA553C">
        <w:rPr>
          <w:rFonts w:ascii="Simplified Arabic" w:hAnsi="Simplified Arabic" w:cs="Simplified Arabic" w:hint="cs"/>
          <w:sz w:val="26"/>
          <w:szCs w:val="26"/>
          <w:rtl/>
        </w:rPr>
        <w:lastRenderedPageBreak/>
        <w:t xml:space="preserve">سيكون هناك انتصار نهائي على الشرّير الذي خدعهما، وهذا "الانتصار" سيتحقَّق بنسل المرأة. فقد قال الله للحيّة: "وأضع عداوةً بينك وبين المرأة، وبين نسلك ونسلها. هو يسحق رأسك، وأنت تسحقين عقبه" (تكوين 3: 15). [انظر الدرس 12، الموضوع 4 للاطّلاع على نقاشٍ مطوَّل </w:t>
      </w:r>
      <w:r w:rsidR="005A1B4F">
        <w:rPr>
          <w:rFonts w:ascii="Simplified Arabic" w:hAnsi="Simplified Arabic" w:cs="Simplified Arabic" w:hint="cs"/>
          <w:sz w:val="26"/>
          <w:szCs w:val="26"/>
          <w:rtl/>
        </w:rPr>
        <w:t xml:space="preserve">بشأن </w:t>
      </w:r>
      <w:r w:rsidR="00BA553C">
        <w:rPr>
          <w:rFonts w:ascii="Simplified Arabic" w:hAnsi="Simplified Arabic" w:cs="Simplified Arabic" w:hint="cs"/>
          <w:sz w:val="26"/>
          <w:szCs w:val="26"/>
          <w:rtl/>
        </w:rPr>
        <w:t xml:space="preserve">هذه الآية.] </w:t>
      </w:r>
      <w:r w:rsidR="005A1B4F">
        <w:rPr>
          <w:rFonts w:ascii="Simplified Arabic" w:hAnsi="Simplified Arabic" w:cs="Simplified Arabic" w:hint="cs"/>
          <w:sz w:val="26"/>
          <w:szCs w:val="26"/>
          <w:rtl/>
        </w:rPr>
        <w:t xml:space="preserve">مع </w:t>
      </w:r>
      <w:r w:rsidR="003D1B67">
        <w:rPr>
          <w:rFonts w:ascii="Simplified Arabic" w:hAnsi="Simplified Arabic" w:cs="Simplified Arabic" w:hint="cs"/>
          <w:sz w:val="26"/>
          <w:szCs w:val="26"/>
          <w:rtl/>
        </w:rPr>
        <w:t>أنهما لم يعرفا بالضبط هوية "نسل المرأة" هذا (من منظورنا نعرف أنّه يسوع المسيح)، كان بإمكانهما أن يؤمنا بهذا النسل الموعود. وفي تكوين 3 نُعطى أيضًا إشارة إلى اختبارهما الروحيّ للخلاص. فقبل أن يُطرَدا من الجنة، نقرأ: "وصنع الرب الإله لآدم وامرأته أقمصةً من جلد وألبسهما" (تكوين 3: 21). قبل ذلك (ولكن بعد أن أخطآ)، حاول الرجل والمرأة الأوّلان أن يصنعا لنفسيهما أغطيةً من ورق التين (تكوين 3: 7). يمكن استخلاص مبدأ</w:t>
      </w:r>
      <w:r w:rsidR="005A1B4F">
        <w:rPr>
          <w:rFonts w:ascii="Simplified Arabic" w:hAnsi="Simplified Arabic" w:cs="Simplified Arabic" w:hint="cs"/>
          <w:sz w:val="26"/>
          <w:szCs w:val="26"/>
          <w:rtl/>
        </w:rPr>
        <w:t>ً</w:t>
      </w:r>
      <w:r w:rsidR="003D1B67">
        <w:rPr>
          <w:rFonts w:ascii="Simplified Arabic" w:hAnsi="Simplified Arabic" w:cs="Simplified Arabic" w:hint="cs"/>
          <w:sz w:val="26"/>
          <w:szCs w:val="26"/>
          <w:rtl/>
        </w:rPr>
        <w:t xml:space="preserve"> روحي</w:t>
      </w:r>
      <w:r w:rsidR="005A1B4F">
        <w:rPr>
          <w:rFonts w:ascii="Simplified Arabic" w:hAnsi="Simplified Arabic" w:cs="Simplified Arabic" w:hint="cs"/>
          <w:sz w:val="26"/>
          <w:szCs w:val="26"/>
          <w:rtl/>
        </w:rPr>
        <w:t>ًّا</w:t>
      </w:r>
      <w:r w:rsidR="003D1B67">
        <w:rPr>
          <w:rFonts w:ascii="Simplified Arabic" w:hAnsi="Simplified Arabic" w:cs="Simplified Arabic" w:hint="cs"/>
          <w:sz w:val="26"/>
          <w:szCs w:val="26"/>
          <w:rtl/>
        </w:rPr>
        <w:t xml:space="preserve"> من هذه الآيات: إن</w:t>
      </w:r>
      <w:r w:rsidR="005A1B4F">
        <w:rPr>
          <w:rFonts w:ascii="Simplified Arabic" w:hAnsi="Simplified Arabic" w:cs="Simplified Arabic" w:hint="cs"/>
          <w:sz w:val="26"/>
          <w:szCs w:val="26"/>
          <w:rtl/>
        </w:rPr>
        <w:t>ّ</w:t>
      </w:r>
      <w:r w:rsidR="003D1B67">
        <w:rPr>
          <w:rFonts w:ascii="Simplified Arabic" w:hAnsi="Simplified Arabic" w:cs="Simplified Arabic" w:hint="cs"/>
          <w:sz w:val="26"/>
          <w:szCs w:val="26"/>
          <w:rtl/>
        </w:rPr>
        <w:t xml:space="preserve"> محاولات الإنسان لتغطية إثمه وعار خطي</w:t>
      </w:r>
      <w:r w:rsidR="005A1B4F">
        <w:rPr>
          <w:rFonts w:ascii="Simplified Arabic" w:hAnsi="Simplified Arabic" w:cs="Simplified Arabic" w:hint="cs"/>
          <w:sz w:val="26"/>
          <w:szCs w:val="26"/>
          <w:rtl/>
        </w:rPr>
        <w:t>ّ</w:t>
      </w:r>
      <w:r w:rsidR="003D1B67">
        <w:rPr>
          <w:rFonts w:ascii="Simplified Arabic" w:hAnsi="Simplified Arabic" w:cs="Simplified Arabic" w:hint="cs"/>
          <w:sz w:val="26"/>
          <w:szCs w:val="26"/>
          <w:rtl/>
        </w:rPr>
        <w:t xml:space="preserve">ته ليست مقبولة أبدًا أمام الله، فالإنسان في احتياج </w:t>
      </w:r>
      <w:r w:rsidR="005A1B4F">
        <w:rPr>
          <w:rFonts w:ascii="Simplified Arabic" w:hAnsi="Simplified Arabic" w:cs="Simplified Arabic" w:hint="cs"/>
          <w:sz w:val="26"/>
          <w:szCs w:val="26"/>
          <w:rtl/>
        </w:rPr>
        <w:t xml:space="preserve">إلى </w:t>
      </w:r>
      <w:r w:rsidR="003D1B67">
        <w:rPr>
          <w:rFonts w:ascii="Simplified Arabic" w:hAnsi="Simplified Arabic" w:cs="Simplified Arabic" w:hint="cs"/>
          <w:sz w:val="26"/>
          <w:szCs w:val="26"/>
          <w:rtl/>
        </w:rPr>
        <w:t>أن</w:t>
      </w:r>
      <w:r w:rsidR="005A1B4F">
        <w:rPr>
          <w:rFonts w:ascii="Simplified Arabic" w:hAnsi="Simplified Arabic" w:cs="Simplified Arabic" w:hint="cs"/>
          <w:sz w:val="26"/>
          <w:szCs w:val="26"/>
          <w:rtl/>
        </w:rPr>
        <w:t>ْ</w:t>
      </w:r>
      <w:r w:rsidR="003D1B67">
        <w:rPr>
          <w:rFonts w:ascii="Simplified Arabic" w:hAnsi="Simplified Arabic" w:cs="Simplified Arabic" w:hint="cs"/>
          <w:sz w:val="26"/>
          <w:szCs w:val="26"/>
          <w:rtl/>
        </w:rPr>
        <w:t xml:space="preserve"> يُلبِسه الله بطريقة ملائمة أكثر تتوافق مع قبول الله. ومع أنّ الآية 21 لا تصرِّ</w:t>
      </w:r>
      <w:r w:rsidR="005A1B4F">
        <w:rPr>
          <w:rFonts w:ascii="Simplified Arabic" w:hAnsi="Simplified Arabic" w:cs="Simplified Arabic" w:hint="cs"/>
          <w:sz w:val="26"/>
          <w:szCs w:val="26"/>
          <w:rtl/>
        </w:rPr>
        <w:t>ح</w:t>
      </w:r>
      <w:r w:rsidR="003D1B67">
        <w:rPr>
          <w:rFonts w:ascii="Simplified Arabic" w:hAnsi="Simplified Arabic" w:cs="Simplified Arabic" w:hint="cs"/>
          <w:sz w:val="26"/>
          <w:szCs w:val="26"/>
          <w:rtl/>
        </w:rPr>
        <w:t xml:space="preserve"> عن هذا الأمر بصورة مباشرة، يمكننا أن نستنتج أن الله علَّم أيضًا الرجل والمرأة الأوّلين عن الذبيحة الحيوانيّة لأجل الخطية وعن ارتداء الثياب بصورة مقبولة أمام الله. </w:t>
      </w:r>
      <w:r w:rsidR="00721165">
        <w:rPr>
          <w:rFonts w:ascii="Simplified Arabic" w:hAnsi="Simplified Arabic" w:cs="Simplified Arabic" w:hint="cs"/>
          <w:sz w:val="26"/>
          <w:szCs w:val="26"/>
          <w:rtl/>
        </w:rPr>
        <w:t>ويمكننا أن نستنتج من الآية 21 أن الله علّم الرجل والمرأة الأوّلين عن الذبائح الحيوانية لأجل الخطية وارتداء الثياب بصورة مناسبة</w:t>
      </w:r>
      <w:r w:rsidR="00845B64">
        <w:rPr>
          <w:rFonts w:ascii="Simplified Arabic" w:hAnsi="Simplified Arabic" w:cs="Simplified Arabic" w:hint="cs"/>
          <w:sz w:val="26"/>
          <w:szCs w:val="26"/>
          <w:rtl/>
        </w:rPr>
        <w:t>. و</w:t>
      </w:r>
      <w:r w:rsidR="00721165">
        <w:rPr>
          <w:rFonts w:ascii="Simplified Arabic" w:hAnsi="Simplified Arabic" w:cs="Simplified Arabic" w:hint="cs"/>
          <w:sz w:val="26"/>
          <w:szCs w:val="26"/>
          <w:rtl/>
        </w:rPr>
        <w:t>سيبني العهد الجديد على هذا المبدأ الأساسي</w:t>
      </w:r>
      <w:r w:rsidR="00845B64">
        <w:rPr>
          <w:rFonts w:ascii="Simplified Arabic" w:hAnsi="Simplified Arabic" w:cs="Simplified Arabic" w:hint="cs"/>
          <w:sz w:val="26"/>
          <w:szCs w:val="26"/>
          <w:rtl/>
        </w:rPr>
        <w:t>ّ</w:t>
      </w:r>
      <w:r w:rsidR="00721165">
        <w:rPr>
          <w:rFonts w:ascii="Simplified Arabic" w:hAnsi="Simplified Arabic" w:cs="Simplified Arabic" w:hint="cs"/>
          <w:sz w:val="26"/>
          <w:szCs w:val="26"/>
          <w:rtl/>
        </w:rPr>
        <w:t xml:space="preserve"> لتوضيح أن</w:t>
      </w:r>
      <w:r w:rsidR="00845B64">
        <w:rPr>
          <w:rFonts w:ascii="Simplified Arabic" w:hAnsi="Simplified Arabic" w:cs="Simplified Arabic" w:hint="cs"/>
          <w:sz w:val="26"/>
          <w:szCs w:val="26"/>
          <w:rtl/>
        </w:rPr>
        <w:t>ّ</w:t>
      </w:r>
      <w:r w:rsidR="00721165">
        <w:rPr>
          <w:rFonts w:ascii="Simplified Arabic" w:hAnsi="Simplified Arabic" w:cs="Simplified Arabic" w:hint="cs"/>
          <w:sz w:val="26"/>
          <w:szCs w:val="26"/>
          <w:rtl/>
        </w:rPr>
        <w:t xml:space="preserve"> ذبيحة المسيح الكاملة تؤدّي إلى أن نلبس بر</w:t>
      </w:r>
      <w:r w:rsidR="00845B64">
        <w:rPr>
          <w:rFonts w:ascii="Simplified Arabic" w:hAnsi="Simplified Arabic" w:cs="Simplified Arabic" w:hint="cs"/>
          <w:sz w:val="26"/>
          <w:szCs w:val="26"/>
          <w:rtl/>
        </w:rPr>
        <w:t>َّ</w:t>
      </w:r>
      <w:r w:rsidR="00721165">
        <w:rPr>
          <w:rFonts w:ascii="Simplified Arabic" w:hAnsi="Simplified Arabic" w:cs="Simplified Arabic" w:hint="cs"/>
          <w:sz w:val="26"/>
          <w:szCs w:val="26"/>
          <w:rtl/>
        </w:rPr>
        <w:t xml:space="preserve"> المسيح. </w:t>
      </w:r>
    </w:p>
    <w:p w14:paraId="15BB9570" w14:textId="2B6084B1" w:rsidR="007D39BF" w:rsidRDefault="00721165" w:rsidP="007F7100">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ومع أنّ ناموس موسى لم يأتِ إلا بعد سنواتٍ عديدة، فإنّ مفهوم الذبائح والقرابين ظاهرٌ بصورة واضحة في سفر التكوين.</w:t>
      </w:r>
      <w:r>
        <w:rPr>
          <w:rStyle w:val="FootnoteReference"/>
          <w:rFonts w:ascii="Simplified Arabic" w:hAnsi="Simplified Arabic" w:cs="Simplified Arabic"/>
          <w:sz w:val="26"/>
          <w:szCs w:val="26"/>
          <w:rtl/>
        </w:rPr>
        <w:footnoteReference w:id="79"/>
      </w:r>
      <w:r>
        <w:rPr>
          <w:rFonts w:ascii="Simplified Arabic" w:hAnsi="Simplified Arabic" w:cs="Simplified Arabic" w:hint="cs"/>
          <w:sz w:val="26"/>
          <w:szCs w:val="26"/>
          <w:rtl/>
        </w:rPr>
        <w:t xml:space="preserve"> </w:t>
      </w:r>
      <w:r w:rsidR="00845B64">
        <w:rPr>
          <w:rFonts w:ascii="Simplified Arabic" w:hAnsi="Simplified Arabic" w:cs="Simplified Arabic" w:hint="cs"/>
          <w:sz w:val="26"/>
          <w:szCs w:val="26"/>
          <w:rtl/>
        </w:rPr>
        <w:t>ف</w:t>
      </w:r>
      <w:r>
        <w:rPr>
          <w:rFonts w:ascii="Simplified Arabic" w:hAnsi="Simplified Arabic" w:cs="Simplified Arabic" w:hint="cs"/>
          <w:sz w:val="26"/>
          <w:szCs w:val="26"/>
          <w:rtl/>
        </w:rPr>
        <w:t>نقرأ عن تقديم قايين وهابيل قرابين، وعن إصعاد نوح محرَقات. يشهد كل هذا لحقيقة أنّه كان هناك مؤمنون في العهد القديم قبل إبراهيم، وكان إيمانهم بالله يظهر بالذبائح التي كانوا يقدِّمونه</w:t>
      </w:r>
      <w:r w:rsidR="00845B64">
        <w:rPr>
          <w:rFonts w:ascii="Simplified Arabic" w:hAnsi="Simplified Arabic" w:cs="Simplified Arabic" w:hint="cs"/>
          <w:sz w:val="26"/>
          <w:szCs w:val="26"/>
          <w:rtl/>
        </w:rPr>
        <w:t>ا</w:t>
      </w:r>
      <w:r>
        <w:rPr>
          <w:rFonts w:ascii="Simplified Arabic" w:hAnsi="Simplified Arabic" w:cs="Simplified Arabic" w:hint="cs"/>
          <w:sz w:val="26"/>
          <w:szCs w:val="26"/>
          <w:rtl/>
        </w:rPr>
        <w:t xml:space="preserve"> لله (مع أن</w:t>
      </w:r>
      <w:r w:rsidR="00845B64">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الذبائح نفسها لم تكن ما يخلِّصهم). كان إيمانهم بشخصِ الله ووعده الذي سيتحقَّق بنسل المرأة. </w:t>
      </w:r>
    </w:p>
    <w:p w14:paraId="685BFF89" w14:textId="77777777" w:rsidR="007F7100" w:rsidRPr="007D39BF" w:rsidRDefault="007F7100" w:rsidP="007F7100">
      <w:pPr>
        <w:bidi/>
        <w:spacing w:line="240" w:lineRule="auto"/>
        <w:rPr>
          <w:rFonts w:ascii="Simplified Arabic" w:hAnsi="Simplified Arabic" w:cs="Simplified Arabic"/>
          <w:sz w:val="26"/>
          <w:szCs w:val="26"/>
          <w:rtl/>
        </w:rPr>
      </w:pPr>
    </w:p>
    <w:p w14:paraId="7AB57722" w14:textId="4DCB543E" w:rsidR="0053442C" w:rsidRPr="007F7100" w:rsidRDefault="007F7100" w:rsidP="007F7100">
      <w:pPr>
        <w:bidi/>
        <w:spacing w:line="240" w:lineRule="auto"/>
        <w:rPr>
          <w:rFonts w:ascii="Simplified Arabic" w:hAnsi="Simplified Arabic" w:cs="Simplified Arabic"/>
          <w:b/>
          <w:bCs/>
          <w:sz w:val="26"/>
          <w:szCs w:val="26"/>
        </w:rPr>
      </w:pPr>
      <w:bookmarkStart w:id="90" w:name="_Hlk163487103"/>
      <w:r w:rsidRPr="007F7100">
        <w:rPr>
          <w:rFonts w:ascii="Simplified Arabic" w:hAnsi="Simplified Arabic" w:cs="Simplified Arabic"/>
          <w:b/>
          <w:bCs/>
          <w:sz w:val="26"/>
          <w:szCs w:val="26"/>
          <w:rtl/>
        </w:rPr>
        <w:t>الخلاص في الفترة ما بين إبراهيم وإعطاء الشريعة (تكوين 11: 27 – خروج 18: 27)</w:t>
      </w:r>
    </w:p>
    <w:p w14:paraId="088880DE" w14:textId="02BF8DC6" w:rsidR="007F7100" w:rsidRDefault="004776FD" w:rsidP="007F7100">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في ضوء الوعود التي أعطاها الله لإبراهيم في تكوين 12: 1-3، عرف</w:t>
      </w:r>
      <w:r w:rsidR="00845B64">
        <w:rPr>
          <w:rFonts w:ascii="Simplified Arabic" w:hAnsi="Simplified Arabic" w:cs="Simplified Arabic" w:hint="cs"/>
          <w:sz w:val="26"/>
          <w:szCs w:val="26"/>
          <w:rtl/>
        </w:rPr>
        <w:t xml:space="preserve"> إبراهيم</w:t>
      </w:r>
      <w:r>
        <w:rPr>
          <w:rFonts w:ascii="Simplified Arabic" w:hAnsi="Simplified Arabic" w:cs="Simplified Arabic" w:hint="cs"/>
          <w:sz w:val="26"/>
          <w:szCs w:val="26"/>
          <w:rtl/>
        </w:rPr>
        <w:t xml:space="preserve"> أن خطّة الله الأسمى هي أن يبارك كلّ عشائر الأرض، وسيحدث هذا من خلال شخصٍ يُولَد من صُلبه. كان إيمانه بشخص</w:t>
      </w:r>
      <w:r w:rsidR="00845B64">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الله ويقينه بأنّ هذا النسل المستقبلي سيخرج من صُلبه. ونقرأ عن استجابته </w:t>
      </w:r>
      <w:r w:rsidR="00845B64">
        <w:rPr>
          <w:rFonts w:ascii="Simplified Arabic" w:hAnsi="Simplified Arabic" w:cs="Simplified Arabic" w:hint="cs"/>
          <w:sz w:val="26"/>
          <w:szCs w:val="26"/>
          <w:rtl/>
        </w:rPr>
        <w:t xml:space="preserve">تجاه </w:t>
      </w:r>
      <w:r>
        <w:rPr>
          <w:rFonts w:ascii="Simplified Arabic" w:hAnsi="Simplified Arabic" w:cs="Simplified Arabic" w:hint="cs"/>
          <w:sz w:val="26"/>
          <w:szCs w:val="26"/>
          <w:rtl/>
        </w:rPr>
        <w:t xml:space="preserve">تأكيد الله بشأن هذا النسل المستقبلي: "فآمن بالربّ فحسبه له برًّا" (تكوين 15: 6). هذه الآية مهمّة لأسباب عديدة. أوّلًا، </w:t>
      </w:r>
      <w:r w:rsidR="00845B64">
        <w:rPr>
          <w:rFonts w:ascii="Simplified Arabic" w:hAnsi="Simplified Arabic" w:cs="Simplified Arabic" w:hint="cs"/>
          <w:sz w:val="26"/>
          <w:szCs w:val="26"/>
          <w:rtl/>
        </w:rPr>
        <w:t>إنّها</w:t>
      </w:r>
      <w:r>
        <w:rPr>
          <w:rFonts w:ascii="Simplified Arabic" w:hAnsi="Simplified Arabic" w:cs="Simplified Arabic" w:hint="cs"/>
          <w:sz w:val="26"/>
          <w:szCs w:val="26"/>
          <w:rtl/>
        </w:rPr>
        <w:t xml:space="preserve"> توضِّح أن إبراهيم نال وضعًا سليمًا أمام الله بناءً على الإيمان وحده، وليس ب</w:t>
      </w:r>
      <w:r w:rsidR="00845B64">
        <w:rPr>
          <w:rFonts w:ascii="Simplified Arabic" w:hAnsi="Simplified Arabic" w:cs="Simplified Arabic" w:hint="cs"/>
          <w:sz w:val="26"/>
          <w:szCs w:val="26"/>
          <w:rtl/>
        </w:rPr>
        <w:t>أ</w:t>
      </w:r>
      <w:r>
        <w:rPr>
          <w:rFonts w:ascii="Simplified Arabic" w:hAnsi="Simplified Arabic" w:cs="Simplified Arabic" w:hint="cs"/>
          <w:sz w:val="26"/>
          <w:szCs w:val="26"/>
          <w:rtl/>
        </w:rPr>
        <w:t>يّة ذبيحة قدّمها أو فضيلة فيه. مارس إبراهيم الإيمان، وحسب الله له هذا الإيمان برًّا. وفي روميّة 4: 1-5، يتوسَّع بولس في ما تعنيه هذه الآية، مُشيرًا إلى أنّ الإيمان ليس عم</w:t>
      </w:r>
      <w:r w:rsidR="00845B64">
        <w:rPr>
          <w:rFonts w:ascii="Simplified Arabic" w:hAnsi="Simplified Arabic" w:cs="Simplified Arabic" w:hint="cs"/>
          <w:sz w:val="26"/>
          <w:szCs w:val="26"/>
          <w:rtl/>
        </w:rPr>
        <w:t>َ</w:t>
      </w:r>
      <w:r>
        <w:rPr>
          <w:rFonts w:ascii="Simplified Arabic" w:hAnsi="Simplified Arabic" w:cs="Simplified Arabic" w:hint="cs"/>
          <w:sz w:val="26"/>
          <w:szCs w:val="26"/>
          <w:rtl/>
        </w:rPr>
        <w:t xml:space="preserve">لًا يستحقّ المكافأة: </w:t>
      </w:r>
    </w:p>
    <w:p w14:paraId="58753C88" w14:textId="44A90EB4" w:rsidR="004776FD" w:rsidRPr="00931144" w:rsidRDefault="00931144" w:rsidP="00931144">
      <w:pPr>
        <w:bidi/>
        <w:spacing w:line="240" w:lineRule="auto"/>
        <w:ind w:left="1008" w:right="1008"/>
        <w:rPr>
          <w:rFonts w:ascii="Simplified Arabic" w:hAnsi="Simplified Arabic" w:cs="Simplified Arabic"/>
          <w:sz w:val="26"/>
          <w:szCs w:val="26"/>
          <w:rtl/>
        </w:rPr>
      </w:pPr>
      <w:r w:rsidRPr="00931144">
        <w:rPr>
          <w:rFonts w:ascii="Simplified Arabic" w:hAnsi="Simplified Arabic" w:cs="Simplified Arabic"/>
          <w:sz w:val="26"/>
          <w:szCs w:val="26"/>
          <w:vertAlign w:val="superscript"/>
          <w:rtl/>
          <w:lang w:bidi="ar-JO"/>
        </w:rPr>
        <w:lastRenderedPageBreak/>
        <w:t>1</w:t>
      </w:r>
      <w:r w:rsidRPr="00931144">
        <w:rPr>
          <w:rFonts w:ascii="Simplified Arabic" w:hAnsi="Simplified Arabic" w:cs="Simplified Arabic"/>
          <w:sz w:val="26"/>
          <w:szCs w:val="26"/>
          <w:rtl/>
          <w:lang w:bidi="ar-JO"/>
        </w:rPr>
        <w:t xml:space="preserve">فماذا نقول إنّ أبانا إبراهيم قد وجد حسب الجسد؟ </w:t>
      </w:r>
      <w:r w:rsidRPr="00931144">
        <w:rPr>
          <w:rFonts w:ascii="Simplified Arabic" w:hAnsi="Simplified Arabic" w:cs="Simplified Arabic"/>
          <w:sz w:val="26"/>
          <w:szCs w:val="26"/>
          <w:vertAlign w:val="superscript"/>
          <w:rtl/>
          <w:lang w:bidi="ar-JO"/>
        </w:rPr>
        <w:t>2</w:t>
      </w:r>
      <w:r w:rsidRPr="00931144">
        <w:rPr>
          <w:rFonts w:ascii="Simplified Arabic" w:hAnsi="Simplified Arabic" w:cs="Simplified Arabic"/>
          <w:sz w:val="26"/>
          <w:szCs w:val="26"/>
          <w:rtl/>
          <w:lang w:bidi="ar-JO"/>
        </w:rPr>
        <w:t xml:space="preserve">لأنّه إن كان إبراهيم قد تبرَّر بالأعمال فله فخر، ولكنْ ليس لدى الله. </w:t>
      </w:r>
      <w:r w:rsidRPr="00931144">
        <w:rPr>
          <w:rFonts w:ascii="Simplified Arabic" w:hAnsi="Simplified Arabic" w:cs="Simplified Arabic"/>
          <w:sz w:val="26"/>
          <w:szCs w:val="26"/>
          <w:vertAlign w:val="superscript"/>
          <w:rtl/>
          <w:lang w:bidi="ar-JO"/>
        </w:rPr>
        <w:t>3</w:t>
      </w:r>
      <w:r w:rsidRPr="00931144">
        <w:rPr>
          <w:rFonts w:ascii="Simplified Arabic" w:hAnsi="Simplified Arabic" w:cs="Simplified Arabic"/>
          <w:sz w:val="26"/>
          <w:szCs w:val="26"/>
          <w:rtl/>
          <w:lang w:bidi="ar-JO"/>
        </w:rPr>
        <w:t xml:space="preserve">لأنّه ماذا يقول الكتاب؟ "فآمن إبراهيم بالله، فحُسِب له برًّا." </w:t>
      </w:r>
      <w:r w:rsidRPr="00931144">
        <w:rPr>
          <w:rFonts w:ascii="Simplified Arabic" w:hAnsi="Simplified Arabic" w:cs="Simplified Arabic"/>
          <w:sz w:val="26"/>
          <w:szCs w:val="26"/>
          <w:vertAlign w:val="superscript"/>
          <w:rtl/>
          <w:lang w:bidi="ar-JO"/>
        </w:rPr>
        <w:t>4</w:t>
      </w:r>
      <w:r w:rsidRPr="00931144">
        <w:rPr>
          <w:rFonts w:ascii="Simplified Arabic" w:hAnsi="Simplified Arabic" w:cs="Simplified Arabic"/>
          <w:sz w:val="26"/>
          <w:szCs w:val="26"/>
          <w:rtl/>
          <w:lang w:bidi="ar-JO"/>
        </w:rPr>
        <w:t xml:space="preserve">أمّا الذي يعمل فلا تُحسَب له الأُجرة على سبيل نعمة، بل على سبيل دين. </w:t>
      </w:r>
      <w:r w:rsidRPr="00931144">
        <w:rPr>
          <w:rFonts w:ascii="Simplified Arabic" w:hAnsi="Simplified Arabic" w:cs="Simplified Arabic"/>
          <w:sz w:val="26"/>
          <w:szCs w:val="26"/>
          <w:vertAlign w:val="superscript"/>
          <w:rtl/>
          <w:lang w:bidi="ar-JO"/>
        </w:rPr>
        <w:t>5</w:t>
      </w:r>
      <w:r w:rsidRPr="00931144">
        <w:rPr>
          <w:rFonts w:ascii="Simplified Arabic" w:hAnsi="Simplified Arabic" w:cs="Simplified Arabic"/>
          <w:sz w:val="26"/>
          <w:szCs w:val="26"/>
          <w:rtl/>
          <w:lang w:bidi="ar-JO"/>
        </w:rPr>
        <w:t>وأمّا الذي لا يعمل، ولكنْ يؤمن بالذي يبرِّر الفاجر، فإيمانه يُحسَب له برًّا.</w:t>
      </w:r>
    </w:p>
    <w:p w14:paraId="47AB9083" w14:textId="4DE7CCE5" w:rsidR="007F7100" w:rsidRDefault="007F7100" w:rsidP="007F7100">
      <w:pPr>
        <w:bidi/>
        <w:spacing w:line="240" w:lineRule="auto"/>
        <w:rPr>
          <w:rFonts w:ascii="Simplified Arabic" w:hAnsi="Simplified Arabic" w:cs="Simplified Arabic"/>
          <w:sz w:val="26"/>
          <w:szCs w:val="26"/>
          <w:rtl/>
        </w:rPr>
      </w:pPr>
    </w:p>
    <w:p w14:paraId="50AC5677" w14:textId="21F0313B" w:rsidR="00931144" w:rsidRDefault="00931144" w:rsidP="00931144">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ثانيًا، حدث هذا قبل إعطاء الناموس الموسوي بفترةٍ طويلة. هذا لافتٌ للنظر جدًّا، لأنّ إبراهيم، أبا الشعب اليهودي، لم يخلص أو يُحسَب "بارًّا" بسبب طاعته للشريعة. ثالثًا، حدث هذا قبل أن يُختَن إبراهيم. فقد كان اليهود في زمن يسوع ينظرون إلى الختان باعتباره علامةً على التبرير، ولكنّ إبراهيم لم يُختَن إلا لاحقًا (تكوين 17: 24). ويكتب الرسول بولس أيضًا: </w:t>
      </w:r>
    </w:p>
    <w:p w14:paraId="59EE66C1" w14:textId="085660D3" w:rsidR="00931144" w:rsidRDefault="00905292" w:rsidP="00905292">
      <w:pPr>
        <w:bidi/>
        <w:spacing w:line="240" w:lineRule="auto"/>
        <w:ind w:left="1008" w:right="1008"/>
        <w:rPr>
          <w:rFonts w:ascii="Simplified Arabic" w:hAnsi="Simplified Arabic" w:cs="Simplified Arabic"/>
          <w:sz w:val="26"/>
          <w:szCs w:val="26"/>
          <w:rtl/>
          <w:lang w:bidi="ar-JO"/>
        </w:rPr>
      </w:pPr>
      <w:r w:rsidRPr="00D42462">
        <w:rPr>
          <w:rFonts w:ascii="Simplified Arabic" w:hAnsi="Simplified Arabic" w:cs="Simplified Arabic" w:hint="cs"/>
          <w:sz w:val="26"/>
          <w:szCs w:val="26"/>
          <w:vertAlign w:val="superscript"/>
          <w:rtl/>
          <w:lang w:bidi="ar-JO"/>
        </w:rPr>
        <w:t>9</w:t>
      </w:r>
      <w:r>
        <w:rPr>
          <w:rFonts w:ascii="Simplified Arabic" w:hAnsi="Simplified Arabic" w:cs="Simplified Arabic" w:hint="cs"/>
          <w:sz w:val="26"/>
          <w:szCs w:val="26"/>
          <w:rtl/>
          <w:lang w:bidi="ar-JO"/>
        </w:rPr>
        <w:t xml:space="preserve">أفهذا التطويب هو على الختان فقط، أم على الغرلة أيضًا؟ لأنّنا نقول إنّه حُسِب لإبراهيم الإيمانُ برًّا. </w:t>
      </w:r>
      <w:r w:rsidR="00D42462" w:rsidRPr="00D42462">
        <w:rPr>
          <w:rFonts w:ascii="Simplified Arabic" w:hAnsi="Simplified Arabic" w:cs="Simplified Arabic" w:hint="cs"/>
          <w:sz w:val="26"/>
          <w:szCs w:val="26"/>
          <w:vertAlign w:val="superscript"/>
          <w:rtl/>
          <w:lang w:bidi="ar-JO"/>
        </w:rPr>
        <w:t>10</w:t>
      </w:r>
      <w:r>
        <w:rPr>
          <w:rFonts w:ascii="Simplified Arabic" w:hAnsi="Simplified Arabic" w:cs="Simplified Arabic" w:hint="cs"/>
          <w:sz w:val="26"/>
          <w:szCs w:val="26"/>
          <w:rtl/>
          <w:lang w:bidi="ar-JO"/>
        </w:rPr>
        <w:t xml:space="preserve">فكيف حُسِب؟ أوهو في الختان أم في الغرلة؟ ليس في الختان، بل في الغرلة! </w:t>
      </w:r>
      <w:r w:rsidR="00D42462" w:rsidRPr="00D42462">
        <w:rPr>
          <w:rFonts w:ascii="Simplified Arabic" w:hAnsi="Simplified Arabic" w:cs="Simplified Arabic" w:hint="cs"/>
          <w:sz w:val="26"/>
          <w:szCs w:val="26"/>
          <w:vertAlign w:val="superscript"/>
          <w:rtl/>
          <w:lang w:bidi="ar-JO"/>
        </w:rPr>
        <w:t>11</w:t>
      </w:r>
      <w:r>
        <w:rPr>
          <w:rFonts w:ascii="Simplified Arabic" w:hAnsi="Simplified Arabic" w:cs="Simplified Arabic" w:hint="cs"/>
          <w:sz w:val="26"/>
          <w:szCs w:val="26"/>
          <w:rtl/>
          <w:lang w:bidi="ar-JO"/>
        </w:rPr>
        <w:t xml:space="preserve">وأخذ علامة الختان ختمًا لبرّ الإيمان الذي كان في الغرلة، ليكون أبًا لجميع الذين يؤمنون وهم في الغرلة، كي يُحسَب لهم أيضًا البرُّ، </w:t>
      </w:r>
      <w:r w:rsidR="00D42462" w:rsidRPr="00D42462">
        <w:rPr>
          <w:rFonts w:ascii="Simplified Arabic" w:hAnsi="Simplified Arabic" w:cs="Simplified Arabic" w:hint="cs"/>
          <w:sz w:val="26"/>
          <w:szCs w:val="26"/>
          <w:vertAlign w:val="superscript"/>
          <w:rtl/>
          <w:lang w:bidi="ar-JO"/>
        </w:rPr>
        <w:t>12</w:t>
      </w:r>
      <w:r>
        <w:rPr>
          <w:rFonts w:ascii="Simplified Arabic" w:hAnsi="Simplified Arabic" w:cs="Simplified Arabic" w:hint="cs"/>
          <w:sz w:val="26"/>
          <w:szCs w:val="26"/>
          <w:rtl/>
          <w:lang w:bidi="ar-JO"/>
        </w:rPr>
        <w:t>وأبًا للختان الذين ليسوا من الختان فقط، بل أيضًا يسلكون في خطوات إيمان أبينا إبراهيم الذي كان وهو في الغرلة. (رومية 4: 9-12؛ انظر 4: 18-25)</w:t>
      </w:r>
    </w:p>
    <w:p w14:paraId="412A6FA2" w14:textId="1373192F" w:rsidR="00931144" w:rsidRDefault="00931144" w:rsidP="00931144">
      <w:pPr>
        <w:bidi/>
        <w:spacing w:line="240" w:lineRule="auto"/>
        <w:rPr>
          <w:rFonts w:ascii="Simplified Arabic" w:hAnsi="Simplified Arabic" w:cs="Simplified Arabic"/>
          <w:sz w:val="26"/>
          <w:szCs w:val="26"/>
          <w:rtl/>
        </w:rPr>
      </w:pPr>
    </w:p>
    <w:p w14:paraId="4199D6D9" w14:textId="303E4B75" w:rsidR="00D42462" w:rsidRDefault="00D42462" w:rsidP="00D42462">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ليس مثال إبراهيم في تكوين 15: 6 لأجله وحده. ففي غلاطية 3: 6-9، </w:t>
      </w:r>
      <w:r w:rsidR="00894079">
        <w:rPr>
          <w:rFonts w:ascii="Simplified Arabic" w:hAnsi="Simplified Arabic" w:cs="Simplified Arabic" w:hint="cs"/>
          <w:sz w:val="26"/>
          <w:szCs w:val="26"/>
          <w:rtl/>
        </w:rPr>
        <w:t>نرى</w:t>
      </w:r>
      <w:r>
        <w:rPr>
          <w:rFonts w:ascii="Simplified Arabic" w:hAnsi="Simplified Arabic" w:cs="Simplified Arabic" w:hint="cs"/>
          <w:sz w:val="26"/>
          <w:szCs w:val="26"/>
          <w:rtl/>
        </w:rPr>
        <w:t xml:space="preserve"> </w:t>
      </w:r>
      <w:r w:rsidR="00894079">
        <w:rPr>
          <w:rFonts w:ascii="Simplified Arabic" w:hAnsi="Simplified Arabic" w:cs="Simplified Arabic" w:hint="cs"/>
          <w:sz w:val="26"/>
          <w:szCs w:val="26"/>
          <w:rtl/>
        </w:rPr>
        <w:t xml:space="preserve">أن </w:t>
      </w:r>
      <w:r>
        <w:rPr>
          <w:rFonts w:ascii="Simplified Arabic" w:hAnsi="Simplified Arabic" w:cs="Simplified Arabic" w:hint="cs"/>
          <w:sz w:val="26"/>
          <w:szCs w:val="26"/>
          <w:rtl/>
        </w:rPr>
        <w:t xml:space="preserve">ما حدث مع إبراهيم </w:t>
      </w:r>
      <w:r w:rsidR="00894079">
        <w:rPr>
          <w:rFonts w:ascii="Simplified Arabic" w:hAnsi="Simplified Arabic" w:cs="Simplified Arabic" w:hint="cs"/>
          <w:sz w:val="26"/>
          <w:szCs w:val="26"/>
          <w:rtl/>
        </w:rPr>
        <w:t xml:space="preserve">صار </w:t>
      </w:r>
      <w:r>
        <w:rPr>
          <w:rFonts w:ascii="Simplified Arabic" w:hAnsi="Simplified Arabic" w:cs="Simplified Arabic" w:hint="cs"/>
          <w:sz w:val="26"/>
          <w:szCs w:val="26"/>
          <w:rtl/>
        </w:rPr>
        <w:t xml:space="preserve">النموذج للآخرين جميعًا في التاريخ، لليهود والأمم. يكتب الرسول بولس: </w:t>
      </w:r>
    </w:p>
    <w:p w14:paraId="0ACBFC5D" w14:textId="1464204D" w:rsidR="00D42462" w:rsidRDefault="00D42462" w:rsidP="00D42462">
      <w:pPr>
        <w:bidi/>
        <w:spacing w:line="240" w:lineRule="auto"/>
        <w:ind w:left="1008" w:right="1008"/>
        <w:rPr>
          <w:rFonts w:ascii="Simplified Arabic" w:hAnsi="Simplified Arabic" w:cs="Simplified Arabic"/>
          <w:sz w:val="26"/>
          <w:szCs w:val="26"/>
          <w:rtl/>
        </w:rPr>
      </w:pPr>
      <w:r w:rsidRPr="00D42462">
        <w:rPr>
          <w:rFonts w:ascii="Simplified Arabic" w:hAnsi="Simplified Arabic" w:cs="Simplified Arabic" w:hint="cs"/>
          <w:sz w:val="26"/>
          <w:szCs w:val="26"/>
          <w:vertAlign w:val="superscript"/>
          <w:rtl/>
        </w:rPr>
        <w:t>6</w:t>
      </w:r>
      <w:r>
        <w:rPr>
          <w:rFonts w:ascii="Simplified Arabic" w:hAnsi="Simplified Arabic" w:cs="Simplified Arabic" w:hint="cs"/>
          <w:sz w:val="26"/>
          <w:szCs w:val="26"/>
          <w:rtl/>
        </w:rPr>
        <w:t xml:space="preserve">كما "آمن إبراهيم بالله فحُسِب له برًّا." </w:t>
      </w:r>
      <w:r w:rsidRPr="00D42462">
        <w:rPr>
          <w:rFonts w:ascii="Simplified Arabic" w:hAnsi="Simplified Arabic" w:cs="Simplified Arabic" w:hint="cs"/>
          <w:sz w:val="26"/>
          <w:szCs w:val="26"/>
          <w:vertAlign w:val="superscript"/>
          <w:rtl/>
        </w:rPr>
        <w:t>7</w:t>
      </w:r>
      <w:r>
        <w:rPr>
          <w:rFonts w:ascii="Simplified Arabic" w:hAnsi="Simplified Arabic" w:cs="Simplified Arabic" w:hint="cs"/>
          <w:sz w:val="26"/>
          <w:szCs w:val="26"/>
          <w:rtl/>
        </w:rPr>
        <w:t xml:space="preserve">اعلموا إذًا أنّ الذين هم من الإيمان أولئك هم بنو إبراهيم. </w:t>
      </w:r>
      <w:r w:rsidRPr="00D42462">
        <w:rPr>
          <w:rFonts w:ascii="Simplified Arabic" w:hAnsi="Simplified Arabic" w:cs="Simplified Arabic" w:hint="cs"/>
          <w:sz w:val="26"/>
          <w:szCs w:val="26"/>
          <w:vertAlign w:val="superscript"/>
          <w:rtl/>
        </w:rPr>
        <w:t>8</w:t>
      </w:r>
      <w:r>
        <w:rPr>
          <w:rFonts w:ascii="Simplified Arabic" w:hAnsi="Simplified Arabic" w:cs="Simplified Arabic" w:hint="cs"/>
          <w:sz w:val="26"/>
          <w:szCs w:val="26"/>
          <w:rtl/>
        </w:rPr>
        <w:t xml:space="preserve">والكتاب إذ سبق فرأى أنّ الله بالإيمان يبرِّر الأمم، سبق فبشَّر إبراهيم أنْ "فيك تتبارك جميع الأمم." </w:t>
      </w:r>
      <w:r w:rsidRPr="00D42462">
        <w:rPr>
          <w:rFonts w:ascii="Simplified Arabic" w:hAnsi="Simplified Arabic" w:cs="Simplified Arabic" w:hint="cs"/>
          <w:sz w:val="26"/>
          <w:szCs w:val="26"/>
          <w:vertAlign w:val="superscript"/>
          <w:rtl/>
        </w:rPr>
        <w:t>9</w:t>
      </w:r>
      <w:r>
        <w:rPr>
          <w:rFonts w:ascii="Simplified Arabic" w:hAnsi="Simplified Arabic" w:cs="Simplified Arabic" w:hint="cs"/>
          <w:sz w:val="26"/>
          <w:szCs w:val="26"/>
          <w:rtl/>
        </w:rPr>
        <w:t>إذًا الذين هم من الإيمان يتباركون مع إبراهيم المؤمن.</w:t>
      </w:r>
    </w:p>
    <w:p w14:paraId="7DCF9BC1" w14:textId="6037D55B" w:rsidR="00D42462" w:rsidRDefault="00D42462" w:rsidP="00D42462">
      <w:pPr>
        <w:bidi/>
        <w:spacing w:line="240" w:lineRule="auto"/>
        <w:rPr>
          <w:rFonts w:ascii="Simplified Arabic" w:hAnsi="Simplified Arabic" w:cs="Simplified Arabic"/>
          <w:sz w:val="26"/>
          <w:szCs w:val="26"/>
          <w:rtl/>
        </w:rPr>
      </w:pPr>
    </w:p>
    <w:p w14:paraId="5900E46A" w14:textId="1D7C9F74" w:rsidR="00D42462" w:rsidRDefault="00D42462" w:rsidP="00D42462">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والسؤال الذي يمكن أن يُثار هنا هو: "ولكن ما الذي عرفه إبراهيم عن عمل المسيح الذبيحي؟" مثيرٌ ما نقرأه عن قول يسوع في يوحنا 8: 56 حين كان يواجه ويردّ على اليهود غير المؤمنين: "أبوكم إبراهيم تهلَّل بأن يرى يومي، فرأى وفرح." ينبغي ألّا يُفهَم</w:t>
      </w:r>
      <w:r w:rsidR="005653D6">
        <w:rPr>
          <w:rFonts w:ascii="Simplified Arabic" w:hAnsi="Simplified Arabic" w:cs="Simplified Arabic" w:hint="cs"/>
          <w:sz w:val="26"/>
          <w:szCs w:val="26"/>
          <w:rtl/>
        </w:rPr>
        <w:t xml:space="preserve"> من</w:t>
      </w:r>
      <w:r>
        <w:rPr>
          <w:rFonts w:ascii="Simplified Arabic" w:hAnsi="Simplified Arabic" w:cs="Simplified Arabic" w:hint="cs"/>
          <w:sz w:val="26"/>
          <w:szCs w:val="26"/>
          <w:rtl/>
        </w:rPr>
        <w:t xml:space="preserve"> هذا أنّ إبراهيم عرف أنّ المسيا سيأتي في شخصٍ يسوع المسيح. فأنا أقترح أنّ الراجح أن يسوع كان يُشير إلى ما اختبره إبراهيم حين امتُحِن </w:t>
      </w:r>
      <w:r w:rsidR="005653D6">
        <w:rPr>
          <w:rFonts w:ascii="Simplified Arabic" w:hAnsi="Simplified Arabic" w:cs="Simplified Arabic" w:hint="cs"/>
          <w:sz w:val="26"/>
          <w:szCs w:val="26"/>
          <w:rtl/>
        </w:rPr>
        <w:t>في تقديم</w:t>
      </w:r>
      <w:r>
        <w:rPr>
          <w:rFonts w:ascii="Simplified Arabic" w:hAnsi="Simplified Arabic" w:cs="Simplified Arabic" w:hint="cs"/>
          <w:sz w:val="26"/>
          <w:szCs w:val="26"/>
          <w:rtl/>
        </w:rPr>
        <w:t xml:space="preserve"> ابنه إسحاق "</w:t>
      </w:r>
      <w:r w:rsidR="0047444D">
        <w:rPr>
          <w:rFonts w:ascii="Simplified Arabic" w:hAnsi="Simplified Arabic" w:cs="Simplified Arabic" w:hint="cs"/>
          <w:sz w:val="26"/>
          <w:szCs w:val="26"/>
          <w:rtl/>
        </w:rPr>
        <w:t>على الحطب" (تكوين 22). فق</w:t>
      </w:r>
      <w:r w:rsidR="005653D6">
        <w:rPr>
          <w:rFonts w:ascii="Simplified Arabic" w:hAnsi="Simplified Arabic" w:cs="Simplified Arabic" w:hint="cs"/>
          <w:sz w:val="26"/>
          <w:szCs w:val="26"/>
          <w:rtl/>
        </w:rPr>
        <w:t>د</w:t>
      </w:r>
      <w:r w:rsidR="0047444D">
        <w:rPr>
          <w:rFonts w:ascii="Simplified Arabic" w:hAnsi="Simplified Arabic" w:cs="Simplified Arabic" w:hint="cs"/>
          <w:sz w:val="26"/>
          <w:szCs w:val="26"/>
          <w:rtl/>
        </w:rPr>
        <w:t xml:space="preserve"> أوقف الله </w:t>
      </w:r>
      <w:r w:rsidR="0047444D">
        <w:rPr>
          <w:rFonts w:ascii="Simplified Arabic" w:hAnsi="Simplified Arabic" w:cs="Simplified Arabic" w:hint="cs"/>
          <w:sz w:val="26"/>
          <w:szCs w:val="26"/>
          <w:rtl/>
        </w:rPr>
        <w:lastRenderedPageBreak/>
        <w:t>إبراهيم عن أن يقدِّم "ابنه وحيده</w:t>
      </w:r>
      <w:r w:rsidR="005653D6">
        <w:rPr>
          <w:rFonts w:ascii="Simplified Arabic" w:hAnsi="Simplified Arabic" w:cs="Simplified Arabic" w:hint="cs"/>
          <w:sz w:val="26"/>
          <w:szCs w:val="26"/>
          <w:rtl/>
        </w:rPr>
        <w:t>،</w:t>
      </w:r>
      <w:r w:rsidR="0047444D">
        <w:rPr>
          <w:rFonts w:ascii="Simplified Arabic" w:hAnsi="Simplified Arabic" w:cs="Simplified Arabic" w:hint="cs"/>
          <w:sz w:val="26"/>
          <w:szCs w:val="26"/>
          <w:rtl/>
        </w:rPr>
        <w:t xml:space="preserve">" ونتيجةً لهذا، أعطى إبراهيم اسمًا لذلك المكان: "يهوه يرأه،" أي "الله سوف يعطي" (تكوين 22: 14). وقد أشار الله إلى وجود ارتباط بين طاعة إبراهيم في تقديم إسحاق، وتتميم الوعد الذي سيأتي في نسل إبراهيم المستقبلي: </w:t>
      </w:r>
    </w:p>
    <w:p w14:paraId="50945B07" w14:textId="60B228D7" w:rsidR="0047444D" w:rsidRDefault="0047444D" w:rsidP="0047444D">
      <w:pPr>
        <w:bidi/>
        <w:spacing w:line="240" w:lineRule="auto"/>
        <w:ind w:left="1008" w:right="1008"/>
        <w:rPr>
          <w:rFonts w:ascii="Simplified Arabic" w:hAnsi="Simplified Arabic" w:cs="Simplified Arabic"/>
          <w:sz w:val="26"/>
          <w:szCs w:val="26"/>
          <w:rtl/>
        </w:rPr>
      </w:pPr>
      <w:r w:rsidRPr="0047444D">
        <w:rPr>
          <w:rFonts w:ascii="Simplified Arabic" w:hAnsi="Simplified Arabic" w:cs="Simplified Arabic" w:hint="cs"/>
          <w:sz w:val="26"/>
          <w:szCs w:val="26"/>
          <w:vertAlign w:val="superscript"/>
          <w:rtl/>
        </w:rPr>
        <w:t>16</w:t>
      </w:r>
      <w:r>
        <w:rPr>
          <w:rFonts w:ascii="Simplified Arabic" w:hAnsi="Simplified Arabic" w:cs="Simplified Arabic" w:hint="cs"/>
          <w:sz w:val="26"/>
          <w:szCs w:val="26"/>
          <w:rtl/>
        </w:rPr>
        <w:t xml:space="preserve">... بذاتي أقسمتُ، يقول الرب، أنّي من أجلِ أنّك فعلتَ هذا الأمر، ولم تُمسِك ابنَك وحيدك، </w:t>
      </w:r>
      <w:r w:rsidRPr="0047444D">
        <w:rPr>
          <w:rFonts w:ascii="Simplified Arabic" w:hAnsi="Simplified Arabic" w:cs="Simplified Arabic" w:hint="cs"/>
          <w:sz w:val="26"/>
          <w:szCs w:val="26"/>
          <w:vertAlign w:val="superscript"/>
          <w:rtl/>
        </w:rPr>
        <w:t>17</w:t>
      </w:r>
      <w:r>
        <w:rPr>
          <w:rFonts w:ascii="Simplified Arabic" w:hAnsi="Simplified Arabic" w:cs="Simplified Arabic" w:hint="cs"/>
          <w:sz w:val="26"/>
          <w:szCs w:val="26"/>
          <w:rtl/>
        </w:rPr>
        <w:t xml:space="preserve">أباركك مباركةً، وأكثِّر نسلك تكثيرًا، كنجوم السماء وكالرمل الذي على شاطئ البحر، ويرث نسلك بابَ أعدائه، </w:t>
      </w:r>
      <w:r w:rsidRPr="0047444D">
        <w:rPr>
          <w:rFonts w:ascii="Simplified Arabic" w:hAnsi="Simplified Arabic" w:cs="Simplified Arabic" w:hint="cs"/>
          <w:sz w:val="26"/>
          <w:szCs w:val="26"/>
          <w:vertAlign w:val="superscript"/>
          <w:rtl/>
        </w:rPr>
        <w:t>18</w:t>
      </w:r>
      <w:r>
        <w:rPr>
          <w:rFonts w:ascii="Simplified Arabic" w:hAnsi="Simplified Arabic" w:cs="Simplified Arabic" w:hint="cs"/>
          <w:sz w:val="26"/>
          <w:szCs w:val="26"/>
          <w:rtl/>
        </w:rPr>
        <w:t>ويتبارك في نسلك جميعُ أمم الأرض، من أجلِ أنّك سمعتَ لقولي. (تكوين 22: 16-18)</w:t>
      </w:r>
    </w:p>
    <w:p w14:paraId="6310B816" w14:textId="3A14E167" w:rsidR="00D42462" w:rsidRDefault="0047444D" w:rsidP="00D42462">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وبهذا، نظر إبراهيم بالإيمان إلى "ابن</w:t>
      </w:r>
      <w:r w:rsidR="00031330">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وحيد" آخر سيصير يومًا ما </w:t>
      </w:r>
      <w:r w:rsidR="00031330">
        <w:rPr>
          <w:rFonts w:ascii="Simplified Arabic" w:hAnsi="Simplified Arabic" w:cs="Simplified Arabic" w:hint="cs"/>
          <w:sz w:val="26"/>
          <w:szCs w:val="26"/>
          <w:rtl/>
        </w:rPr>
        <w:t>مصدر البركة الإلهية لكلّ العالم، مع أنّه لم يعرف</w:t>
      </w:r>
      <w:r w:rsidR="000F0D72">
        <w:rPr>
          <w:rFonts w:ascii="Simplified Arabic" w:hAnsi="Simplified Arabic" w:cs="Simplified Arabic" w:hint="cs"/>
          <w:sz w:val="26"/>
          <w:szCs w:val="26"/>
          <w:rtl/>
        </w:rPr>
        <w:t xml:space="preserve"> أنّ اسمه سيكون يسوعَ الناصر</w:t>
      </w:r>
      <w:r w:rsidR="005653D6">
        <w:rPr>
          <w:rFonts w:ascii="Simplified Arabic" w:hAnsi="Simplified Arabic" w:cs="Simplified Arabic" w:hint="cs"/>
          <w:sz w:val="26"/>
          <w:szCs w:val="26"/>
          <w:rtl/>
        </w:rPr>
        <w:t>ي</w:t>
      </w:r>
      <w:r w:rsidR="000F0D72">
        <w:rPr>
          <w:rFonts w:ascii="Simplified Arabic" w:hAnsi="Simplified Arabic" w:cs="Simplified Arabic" w:hint="cs"/>
          <w:sz w:val="26"/>
          <w:szCs w:val="26"/>
          <w:rtl/>
        </w:rPr>
        <w:t xml:space="preserve">. </w:t>
      </w:r>
    </w:p>
    <w:p w14:paraId="13D2A719" w14:textId="3F08D14A" w:rsidR="0047444D" w:rsidRDefault="0047444D" w:rsidP="0047444D">
      <w:pPr>
        <w:bidi/>
        <w:spacing w:line="240" w:lineRule="auto"/>
        <w:rPr>
          <w:rFonts w:ascii="Simplified Arabic" w:hAnsi="Simplified Arabic" w:cs="Simplified Arabic"/>
          <w:sz w:val="26"/>
          <w:szCs w:val="26"/>
          <w:rtl/>
        </w:rPr>
      </w:pPr>
    </w:p>
    <w:p w14:paraId="5051D6AE" w14:textId="447C8FA8" w:rsidR="000F0D72" w:rsidRDefault="000F0D72" w:rsidP="000F0D72">
      <w:pPr>
        <w:bidi/>
        <w:spacing w:line="240" w:lineRule="auto"/>
        <w:rPr>
          <w:rFonts w:ascii="Simplified Arabic" w:hAnsi="Simplified Arabic" w:cs="Simplified Arabic"/>
          <w:b/>
          <w:bCs/>
          <w:sz w:val="26"/>
          <w:szCs w:val="26"/>
          <w:rtl/>
        </w:rPr>
      </w:pPr>
      <w:r w:rsidRPr="000F0D72">
        <w:rPr>
          <w:rFonts w:ascii="Simplified Arabic" w:hAnsi="Simplified Arabic" w:cs="Simplified Arabic" w:hint="cs"/>
          <w:b/>
          <w:bCs/>
          <w:sz w:val="26"/>
          <w:szCs w:val="26"/>
          <w:rtl/>
        </w:rPr>
        <w:t xml:space="preserve">الخلاص في فترة الناموس الموسوي (خروج 19 وحتّى الصليب) </w:t>
      </w:r>
    </w:p>
    <w:p w14:paraId="799FFBBE" w14:textId="074DEAD7" w:rsidR="000F0D72" w:rsidRDefault="000F0D72" w:rsidP="000F0D72">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بعد خروج العبرانيّين من مصر عام 1446 ق.م.، أتوا إلى جبل سيناء، حيث تلقّى موسى الشريعة من الله. وافق الشعب على أن يحفظوا شريعة الله، التي كانت تتألَّف من 613 وصيّة، فدخلوا في العهد القديم مع الله. ولكنْ لم يُقصَد أن يكون ناموس موسى طريقة</w:t>
      </w:r>
      <w:r w:rsidR="005653D6">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لنوال الخلاص الشخصي، لأنّ هذا سيعني خلاصًا بالأعمال. وقد كان أساس الخلاص "بالنعمة من خلال الإيمان،" وهو ما يتوافق مع مثال إبراهيم في تكوين 15: 6 (قارن مع غلاطية 3: 17). كانت للشريعة مقاصد عديدة غير منح الخلاص، وأحد هذه المقاصد تعليم الشعب كيف ينبغي أن يعيشوا لينالوا بركة الله في الأرض كشركاء في العهد الإبراهيم. ولكنْ لم يكن لحفظهم الشريعة أيّة قيمة خلاصية. ويوضِّح العهد الجديد هذا الأمر: </w:t>
      </w:r>
    </w:p>
    <w:p w14:paraId="7D2AB74D" w14:textId="7A9BFD73" w:rsidR="000F0D72" w:rsidRDefault="000F0D72" w:rsidP="000F0D72">
      <w:pPr>
        <w:bidi/>
        <w:spacing w:line="240" w:lineRule="auto"/>
        <w:ind w:left="1008" w:right="1008"/>
        <w:rPr>
          <w:rFonts w:ascii="Simplified Arabic" w:hAnsi="Simplified Arabic" w:cs="Simplified Arabic"/>
          <w:sz w:val="26"/>
          <w:szCs w:val="26"/>
          <w:rtl/>
        </w:rPr>
      </w:pPr>
      <w:r>
        <w:rPr>
          <w:rFonts w:ascii="Simplified Arabic" w:hAnsi="Simplified Arabic" w:cs="Simplified Arabic" w:hint="cs"/>
          <w:sz w:val="26"/>
          <w:szCs w:val="26"/>
          <w:rtl/>
        </w:rPr>
        <w:t>إذْ نعلم أن</w:t>
      </w:r>
      <w:r w:rsidR="005653D6">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الإنسان لا يتبرَّر بأعمال الناموس، بل بإيمان يسوع المسيح. آمنّا نحنُ أيضًا بيسوع المسيح، لنتبرَّر بإيمان يسوع، لا بأعمال الناموس، لأنّه بأعمال الناموس لا يتبرَّر جسدٌ ما. (غلاطية 2: 16)</w:t>
      </w:r>
    </w:p>
    <w:p w14:paraId="70D37905" w14:textId="3F33C9C5" w:rsidR="000F0D72" w:rsidRDefault="000F0D72" w:rsidP="000F0D72">
      <w:pPr>
        <w:bidi/>
        <w:spacing w:line="240" w:lineRule="auto"/>
        <w:rPr>
          <w:rFonts w:ascii="Simplified Arabic" w:hAnsi="Simplified Arabic" w:cs="Simplified Arabic"/>
          <w:sz w:val="26"/>
          <w:szCs w:val="26"/>
          <w:rtl/>
        </w:rPr>
      </w:pPr>
    </w:p>
    <w:p w14:paraId="40D06801" w14:textId="7416B3F6" w:rsidR="000F0D72" w:rsidRDefault="000F0D72" w:rsidP="000F0D72">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واستمرّ الرسول بولس في الحديث فقال: "لستُ أُبطِل نعمة الله. لأنّه إن كان بالناموس برٌّ، فالمسيح إذًا مات بلا سبب!" (غلاطية 2: 21). وهكذا، </w:t>
      </w:r>
      <w:r w:rsidR="005653D6">
        <w:rPr>
          <w:rFonts w:ascii="Simplified Arabic" w:hAnsi="Simplified Arabic" w:cs="Simplified Arabic" w:hint="cs"/>
          <w:sz w:val="26"/>
          <w:szCs w:val="26"/>
          <w:rtl/>
        </w:rPr>
        <w:t xml:space="preserve">لم تُمنَح </w:t>
      </w:r>
      <w:r>
        <w:rPr>
          <w:rFonts w:ascii="Simplified Arabic" w:hAnsi="Simplified Arabic" w:cs="Simplified Arabic" w:hint="cs"/>
          <w:sz w:val="26"/>
          <w:szCs w:val="26"/>
          <w:rtl/>
        </w:rPr>
        <w:t xml:space="preserve">هبة البرّ (كتلك التي نالها إبراهيم) </w:t>
      </w:r>
      <w:r w:rsidR="004F6EA2">
        <w:rPr>
          <w:rFonts w:ascii="Simplified Arabic" w:hAnsi="Simplified Arabic" w:cs="Simplified Arabic" w:hint="cs"/>
          <w:sz w:val="26"/>
          <w:szCs w:val="26"/>
          <w:rtl/>
        </w:rPr>
        <w:t xml:space="preserve">على أساس جهد الإنسان في سعيه </w:t>
      </w:r>
      <w:r w:rsidR="005653D6">
        <w:rPr>
          <w:rFonts w:ascii="Simplified Arabic" w:hAnsi="Simplified Arabic" w:cs="Simplified Arabic" w:hint="cs"/>
          <w:sz w:val="26"/>
          <w:szCs w:val="26"/>
          <w:rtl/>
        </w:rPr>
        <w:t xml:space="preserve">إلى </w:t>
      </w:r>
      <w:r w:rsidR="004F6EA2">
        <w:rPr>
          <w:rFonts w:ascii="Simplified Arabic" w:hAnsi="Simplified Arabic" w:cs="Simplified Arabic" w:hint="cs"/>
          <w:sz w:val="26"/>
          <w:szCs w:val="26"/>
          <w:rtl/>
        </w:rPr>
        <w:t xml:space="preserve">أن يعيش بحسب متطلَّبات الناموس. </w:t>
      </w:r>
    </w:p>
    <w:p w14:paraId="32600548" w14:textId="2602E0FA" w:rsidR="000F0D72" w:rsidRDefault="004F6EA2" w:rsidP="000F0D72">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lastRenderedPageBreak/>
        <w:t xml:space="preserve">القصد الثاني للناموس هو إدانة الذي لا يحفظه. فتبرير الله (أي أن يعلِن الله شخصًا أنّه "بارّ") لا يمكن أن يتحقَّق إلا بالإيمان، وليس بحفظ الناموس. </w:t>
      </w:r>
    </w:p>
    <w:p w14:paraId="434BC10A" w14:textId="230B9663" w:rsidR="004F6EA2" w:rsidRDefault="004F6EA2" w:rsidP="004F6EA2">
      <w:pPr>
        <w:bidi/>
        <w:spacing w:line="240" w:lineRule="auto"/>
        <w:ind w:left="1008" w:right="1008"/>
        <w:rPr>
          <w:rFonts w:ascii="Simplified Arabic" w:hAnsi="Simplified Arabic" w:cs="Simplified Arabic"/>
          <w:sz w:val="26"/>
          <w:szCs w:val="26"/>
          <w:rtl/>
        </w:rPr>
      </w:pPr>
      <w:r w:rsidRPr="004F6EA2">
        <w:rPr>
          <w:rFonts w:ascii="Simplified Arabic" w:hAnsi="Simplified Arabic" w:cs="Simplified Arabic" w:hint="cs"/>
          <w:sz w:val="26"/>
          <w:szCs w:val="26"/>
          <w:vertAlign w:val="superscript"/>
          <w:rtl/>
        </w:rPr>
        <w:t>10</w:t>
      </w:r>
      <w:r>
        <w:rPr>
          <w:rFonts w:ascii="Simplified Arabic" w:hAnsi="Simplified Arabic" w:cs="Simplified Arabic" w:hint="cs"/>
          <w:sz w:val="26"/>
          <w:szCs w:val="26"/>
          <w:rtl/>
        </w:rPr>
        <w:t>لأنّ جميع الذين هم من أعمال النّاموس هم تحتَ لعنة، لأنّه مكتوب: "ملعونٌ كلُّ من لا يثب</w:t>
      </w:r>
      <w:r w:rsidR="005653D6">
        <w:rPr>
          <w:rFonts w:ascii="Simplified Arabic" w:hAnsi="Simplified Arabic" w:cs="Simplified Arabic" w:hint="cs"/>
          <w:sz w:val="26"/>
          <w:szCs w:val="26"/>
          <w:rtl/>
        </w:rPr>
        <w:t>ُ</w:t>
      </w:r>
      <w:r>
        <w:rPr>
          <w:rFonts w:ascii="Simplified Arabic" w:hAnsi="Simplified Arabic" w:cs="Simplified Arabic" w:hint="cs"/>
          <w:sz w:val="26"/>
          <w:szCs w:val="26"/>
          <w:rtl/>
        </w:rPr>
        <w:t>ت في جميع ما هو مكتوب في كتاب النامو</w:t>
      </w:r>
      <w:r w:rsidR="005653D6">
        <w:rPr>
          <w:rFonts w:ascii="Simplified Arabic" w:hAnsi="Simplified Arabic" w:cs="Simplified Arabic" w:hint="cs"/>
          <w:sz w:val="26"/>
          <w:szCs w:val="26"/>
          <w:rtl/>
        </w:rPr>
        <w:t>س</w:t>
      </w:r>
      <w:r>
        <w:rPr>
          <w:rFonts w:ascii="Simplified Arabic" w:hAnsi="Simplified Arabic" w:cs="Simplified Arabic" w:hint="cs"/>
          <w:sz w:val="26"/>
          <w:szCs w:val="26"/>
          <w:rtl/>
        </w:rPr>
        <w:t xml:space="preserve"> ليعمل به." </w:t>
      </w:r>
      <w:r w:rsidRPr="004F6EA2">
        <w:rPr>
          <w:rFonts w:ascii="Simplified Arabic" w:hAnsi="Simplified Arabic" w:cs="Simplified Arabic" w:hint="cs"/>
          <w:sz w:val="26"/>
          <w:szCs w:val="26"/>
          <w:vertAlign w:val="superscript"/>
          <w:rtl/>
        </w:rPr>
        <w:t>11</w:t>
      </w:r>
      <w:r>
        <w:rPr>
          <w:rFonts w:ascii="Simplified Arabic" w:hAnsi="Simplified Arabic" w:cs="Simplified Arabic" w:hint="cs"/>
          <w:sz w:val="26"/>
          <w:szCs w:val="26"/>
          <w:rtl/>
        </w:rPr>
        <w:t>ولكنْ أنْ ليس أحدٌ يتبرَّر بالناموس عند الله فظاهر</w:t>
      </w:r>
      <w:r w:rsidR="005653D6">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لأنّ "البارّ بالإيمان يحيا." </w:t>
      </w:r>
      <w:r w:rsidRPr="004F6EA2">
        <w:rPr>
          <w:rFonts w:ascii="Simplified Arabic" w:hAnsi="Simplified Arabic" w:cs="Simplified Arabic" w:hint="cs"/>
          <w:sz w:val="26"/>
          <w:szCs w:val="26"/>
          <w:vertAlign w:val="superscript"/>
          <w:rtl/>
        </w:rPr>
        <w:t>12</w:t>
      </w:r>
      <w:r>
        <w:rPr>
          <w:rFonts w:ascii="Simplified Arabic" w:hAnsi="Simplified Arabic" w:cs="Simplified Arabic" w:hint="cs"/>
          <w:sz w:val="26"/>
          <w:szCs w:val="26"/>
          <w:rtl/>
        </w:rPr>
        <w:t>ولكنّ الناموس ليس من الإيمان، بل "الإنسان الذي يفعلها سيحيا بها."</w:t>
      </w:r>
    </w:p>
    <w:p w14:paraId="6F8D0CCA" w14:textId="1130A1D0" w:rsidR="004F6EA2" w:rsidRDefault="004F6EA2" w:rsidP="004F6EA2">
      <w:pPr>
        <w:bidi/>
        <w:spacing w:line="240" w:lineRule="auto"/>
        <w:rPr>
          <w:rFonts w:ascii="Simplified Arabic" w:hAnsi="Simplified Arabic" w:cs="Simplified Arabic"/>
          <w:sz w:val="26"/>
          <w:szCs w:val="26"/>
          <w:rtl/>
        </w:rPr>
      </w:pPr>
    </w:p>
    <w:p w14:paraId="11BC68EE" w14:textId="7C754D1E" w:rsidR="004F6EA2" w:rsidRDefault="004F6EA2" w:rsidP="004F6EA2">
      <w:pPr>
        <w:bidi/>
        <w:spacing w:line="240" w:lineRule="auto"/>
        <w:rPr>
          <w:rFonts w:ascii="Simplified Arabic" w:hAnsi="Simplified Arabic" w:cs="Simplified Arabic"/>
          <w:sz w:val="26"/>
          <w:szCs w:val="26"/>
          <w:rtl/>
          <w:lang w:bidi="ar-JO"/>
        </w:rPr>
      </w:pPr>
      <w:r>
        <w:rPr>
          <w:rFonts w:ascii="Simplified Arabic" w:hAnsi="Simplified Arabic" w:cs="Simplified Arabic" w:hint="cs"/>
          <w:sz w:val="26"/>
          <w:szCs w:val="26"/>
          <w:rtl/>
        </w:rPr>
        <w:t xml:space="preserve">خلال فترة الناموس الموسوي، إن أخطأ أحدٌ، يمكن أن ينال الغفران ويُسترَدّ إلى الشركة مع الله بتقديمه الذبيحة المناسبة. كانت هذه القرابين "رائحة السرور"، التي هي ذبائح الخطية (لاويّين 4: 1 </w:t>
      </w:r>
      <w:r>
        <w:rPr>
          <w:rFonts w:ascii="Simplified Arabic" w:hAnsi="Simplified Arabic" w:cs="Simplified Arabic"/>
          <w:sz w:val="26"/>
          <w:szCs w:val="26"/>
          <w:rtl/>
        </w:rPr>
        <w:t>–</w:t>
      </w:r>
      <w:r>
        <w:rPr>
          <w:rFonts w:ascii="Simplified Arabic" w:hAnsi="Simplified Arabic" w:cs="Simplified Arabic" w:hint="cs"/>
          <w:sz w:val="26"/>
          <w:szCs w:val="26"/>
          <w:rtl/>
        </w:rPr>
        <w:t xml:space="preserve"> 5: 13)، وذبائح الإثم (لاويّين 5: 14 </w:t>
      </w:r>
      <w:r>
        <w:rPr>
          <w:rFonts w:ascii="Simplified Arabic" w:hAnsi="Simplified Arabic" w:cs="Simplified Arabic"/>
          <w:sz w:val="26"/>
          <w:szCs w:val="26"/>
          <w:rtl/>
        </w:rPr>
        <w:t>–</w:t>
      </w:r>
      <w:r>
        <w:rPr>
          <w:rFonts w:ascii="Simplified Arabic" w:hAnsi="Simplified Arabic" w:cs="Simplified Arabic" w:hint="cs"/>
          <w:sz w:val="26"/>
          <w:szCs w:val="26"/>
          <w:rtl/>
        </w:rPr>
        <w:t xml:space="preserve"> 6: 7). ولكنّ هذا النوع من الغفران لم يكن يختصّ بالخلاص الأبدي</w:t>
      </w:r>
      <w:r w:rsidR="005653D6">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من عقاب الخطية، بل كان</w:t>
      </w:r>
      <w:r w:rsidR="005653D6">
        <w:rPr>
          <w:rFonts w:ascii="Simplified Arabic" w:hAnsi="Simplified Arabic" w:cs="Simplified Arabic" w:hint="cs"/>
          <w:sz w:val="26"/>
          <w:szCs w:val="26"/>
          <w:rtl/>
        </w:rPr>
        <w:t>ت</w:t>
      </w:r>
      <w:r>
        <w:rPr>
          <w:rFonts w:ascii="Simplified Arabic" w:hAnsi="Simplified Arabic" w:cs="Simplified Arabic" w:hint="cs"/>
          <w:sz w:val="26"/>
          <w:szCs w:val="26"/>
          <w:rtl/>
        </w:rPr>
        <w:t xml:space="preserve"> لأجل غفرانٍ زمني</w:t>
      </w:r>
      <w:r w:rsidR="004839C3">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ليُسترَدّ المرء إلى الشركة مع الله ويُقبَل في شركة العابدين. </w:t>
      </w:r>
      <w:r w:rsidR="004868EC">
        <w:rPr>
          <w:rFonts w:ascii="Simplified Arabic" w:hAnsi="Simplified Arabic" w:cs="Simplified Arabic" w:hint="cs"/>
          <w:sz w:val="26"/>
          <w:szCs w:val="26"/>
          <w:rtl/>
          <w:lang w:bidi="ar-JO"/>
        </w:rPr>
        <w:t xml:space="preserve">[هذا يقابل الاعتراف عند المسيحيّين اليوم بناءً على 1يوحنا 1: 9.] وبالإضافة إلى ذبيحة دمويّة، يُفترَض أنّ الذي يسعى إلى إصلاح العلاقة مع الله سيأتي بالإيمان وإخلاص وقلب تائب. </w:t>
      </w:r>
      <w:r w:rsidR="00F408F4">
        <w:rPr>
          <w:rFonts w:ascii="Simplified Arabic" w:hAnsi="Simplified Arabic" w:cs="Simplified Arabic" w:hint="cs"/>
          <w:sz w:val="26"/>
          <w:szCs w:val="26"/>
          <w:rtl/>
          <w:lang w:bidi="ar-JO"/>
        </w:rPr>
        <w:t xml:space="preserve">ولكنْ ينبغي عدم الخلط بين هذا الغفران الزمني وطريقة الخلاص الأبدي. فحسب عبرانيين 10: 4، "لأنّه لا يمكن أنّ دم ثيرانٍ وتيوس يرفع خطايا." فكلّ ما كانت الذبائح الحيوانيّة تعمله هو أن تُشير إلى الذبيحة </w:t>
      </w:r>
      <w:r w:rsidR="004839C3">
        <w:rPr>
          <w:rFonts w:ascii="Simplified Arabic" w:hAnsi="Simplified Arabic" w:cs="Simplified Arabic" w:hint="cs"/>
          <w:sz w:val="26"/>
          <w:szCs w:val="26"/>
          <w:rtl/>
          <w:lang w:bidi="ar-JO"/>
        </w:rPr>
        <w:t>العظمى</w:t>
      </w:r>
      <w:r w:rsidR="00F408F4">
        <w:rPr>
          <w:rFonts w:ascii="Simplified Arabic" w:hAnsi="Simplified Arabic" w:cs="Simplified Arabic" w:hint="cs"/>
          <w:sz w:val="26"/>
          <w:szCs w:val="26"/>
          <w:rtl/>
          <w:lang w:bidi="ar-JO"/>
        </w:rPr>
        <w:t xml:space="preserve"> التي ستأتي نتيجةً لسفك المسيح دمه. وداود، الذي حكم ملكًا خلال زمن الناموس، يتحدَّث عن مسألة الغفران الأبدي للخطايا في قوله: </w:t>
      </w:r>
    </w:p>
    <w:p w14:paraId="10170DA0" w14:textId="6368096F" w:rsidR="00F408F4" w:rsidRDefault="00F408F4" w:rsidP="00F408F4">
      <w:pPr>
        <w:bidi/>
        <w:spacing w:line="240" w:lineRule="auto"/>
        <w:ind w:left="1008" w:right="1008"/>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 xml:space="preserve">طوبى للذي غُفِر اثمه وسُتِرت خطيّته. طوبى لرجلٍ لا يحسب له الربّ خطيّة، ولا </w:t>
      </w:r>
      <w:r w:rsidR="004839C3">
        <w:rPr>
          <w:rFonts w:ascii="Simplified Arabic" w:hAnsi="Simplified Arabic" w:cs="Simplified Arabic" w:hint="cs"/>
          <w:sz w:val="26"/>
          <w:szCs w:val="26"/>
          <w:rtl/>
          <w:lang w:bidi="ar-JO"/>
        </w:rPr>
        <w:t xml:space="preserve">في </w:t>
      </w:r>
      <w:r>
        <w:rPr>
          <w:rFonts w:ascii="Simplified Arabic" w:hAnsi="Simplified Arabic" w:cs="Simplified Arabic" w:hint="cs"/>
          <w:sz w:val="26"/>
          <w:szCs w:val="26"/>
          <w:rtl/>
          <w:lang w:bidi="ar-JO"/>
        </w:rPr>
        <w:t>روحه غشّ! (مزمور 32: 1-2)</w:t>
      </w:r>
    </w:p>
    <w:p w14:paraId="7C52FEFF" w14:textId="170D7BF1" w:rsidR="004F6EA2" w:rsidRDefault="004F6EA2" w:rsidP="004F6EA2">
      <w:pPr>
        <w:bidi/>
        <w:spacing w:line="240" w:lineRule="auto"/>
        <w:rPr>
          <w:rFonts w:ascii="Simplified Arabic" w:hAnsi="Simplified Arabic" w:cs="Simplified Arabic"/>
          <w:sz w:val="26"/>
          <w:szCs w:val="26"/>
          <w:rtl/>
        </w:rPr>
      </w:pPr>
    </w:p>
    <w:p w14:paraId="7B589767" w14:textId="1452BD33" w:rsidR="004F6EA2" w:rsidRDefault="00F408F4" w:rsidP="004F6EA2">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الكلمة العبرية المُترجمة إلى "يحسب" هي الفعل نفسه المُستخدم في تكوين 15: 6 في الحديث عن إبراهيم. فالرب</w:t>
      </w:r>
      <w:r w:rsidR="004839C3">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"حس</w:t>
      </w:r>
      <w:r w:rsidR="004839C3">
        <w:rPr>
          <w:rFonts w:ascii="Simplified Arabic" w:hAnsi="Simplified Arabic" w:cs="Simplified Arabic" w:hint="cs"/>
          <w:sz w:val="26"/>
          <w:szCs w:val="26"/>
          <w:rtl/>
        </w:rPr>
        <w:t>ِ</w:t>
      </w:r>
      <w:r>
        <w:rPr>
          <w:rFonts w:ascii="Simplified Arabic" w:hAnsi="Simplified Arabic" w:cs="Simplified Arabic" w:hint="cs"/>
          <w:sz w:val="26"/>
          <w:szCs w:val="26"/>
          <w:rtl/>
        </w:rPr>
        <w:t>ب" البرّ له. وهكذا، فإنّ آية مزمور 32: 2 هي الوجه الآخر</w:t>
      </w:r>
      <w:r w:rsidR="004839C3">
        <w:rPr>
          <w:rFonts w:ascii="Simplified Arabic" w:hAnsi="Simplified Arabic" w:cs="Simplified Arabic" w:hint="cs"/>
          <w:sz w:val="26"/>
          <w:szCs w:val="26"/>
          <w:rtl/>
        </w:rPr>
        <w:t>، إذْ</w:t>
      </w:r>
      <w:r>
        <w:rPr>
          <w:rFonts w:ascii="Simplified Arabic" w:hAnsi="Simplified Arabic" w:cs="Simplified Arabic" w:hint="cs"/>
          <w:sz w:val="26"/>
          <w:szCs w:val="26"/>
          <w:rtl/>
        </w:rPr>
        <w:t xml:space="preserve"> تُشير إلى حسبان بر الله بدل حسبان الإثم والخطيّة (انظر رومية 4: 6-8). وبعمل الله هذا، تُغفر خطية الإنسان إلى الأبد. ولكنّ إنْ ارتكب هذا الإنسان خطيّة، وهو يعيش تحتَ الناموس، فإنّه يُتوقَّع منه أن يأتي بذبيحة</w:t>
      </w:r>
      <w:r w:rsidR="004839C3">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مناسبة لنوال الغفران الزمني واسترداد العلاقة مع الله، كما يُوصَف أعلاه. </w:t>
      </w:r>
    </w:p>
    <w:p w14:paraId="12E04B69" w14:textId="2EDB24A0" w:rsidR="004F6EA2" w:rsidRDefault="00310E38" w:rsidP="004F6EA2">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بقي الناموس الموسوي ساريًا حوالي 1500 سنة (1446 ق.م. </w:t>
      </w:r>
      <w:r>
        <w:rPr>
          <w:rFonts w:ascii="Simplified Arabic" w:hAnsi="Simplified Arabic" w:cs="Simplified Arabic"/>
          <w:sz w:val="26"/>
          <w:szCs w:val="26"/>
          <w:rtl/>
        </w:rPr>
        <w:t>–</w:t>
      </w:r>
      <w:r>
        <w:rPr>
          <w:rFonts w:ascii="Simplified Arabic" w:hAnsi="Simplified Arabic" w:cs="Simplified Arabic" w:hint="cs"/>
          <w:sz w:val="26"/>
          <w:szCs w:val="26"/>
          <w:rtl/>
        </w:rPr>
        <w:t xml:space="preserve"> 33 م). وخلال هذه الفترة، استمرّ الإعلان التدريجي بشأن المسيا الآتي، ولذا ازداد ما يمكن معرفته أكثر فأكثر (بالنسبة للذين كانوا يميِّزون ويدرِكون بصورة كافية). فإشعياء 53، مثلاً، كان مثلًا على ألم ومعاناة المسيا اللذين كانا متوقّ</w:t>
      </w:r>
      <w:r w:rsidR="004839C3">
        <w:rPr>
          <w:rFonts w:ascii="Simplified Arabic" w:hAnsi="Simplified Arabic" w:cs="Simplified Arabic" w:hint="cs"/>
          <w:sz w:val="26"/>
          <w:szCs w:val="26"/>
          <w:rtl/>
        </w:rPr>
        <w:t>َ</w:t>
      </w:r>
      <w:r>
        <w:rPr>
          <w:rFonts w:ascii="Simplified Arabic" w:hAnsi="Simplified Arabic" w:cs="Simplified Arabic" w:hint="cs"/>
          <w:sz w:val="26"/>
          <w:szCs w:val="26"/>
          <w:rtl/>
        </w:rPr>
        <w:t xml:space="preserve">عين (مع أنّه يبدو أنّه لم يكن مفهومًا </w:t>
      </w:r>
      <w:r>
        <w:rPr>
          <w:rFonts w:ascii="Simplified Arabic" w:hAnsi="Simplified Arabic" w:cs="Simplified Arabic" w:hint="cs"/>
          <w:sz w:val="26"/>
          <w:szCs w:val="26"/>
          <w:rtl/>
        </w:rPr>
        <w:lastRenderedPageBreak/>
        <w:t>بصورة واضحة في ذلك الوقت). ولكنّنا نُخبَر بأن</w:t>
      </w:r>
      <w:r w:rsidR="004839C3">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أنبياء العهد القديم توقَّعوا مجيء المسي</w:t>
      </w:r>
      <w:r w:rsidR="004839C3">
        <w:rPr>
          <w:rFonts w:ascii="Simplified Arabic" w:hAnsi="Simplified Arabic" w:cs="Simplified Arabic" w:hint="cs"/>
          <w:sz w:val="26"/>
          <w:szCs w:val="26"/>
          <w:rtl/>
        </w:rPr>
        <w:t>ّ</w:t>
      </w:r>
      <w:r>
        <w:rPr>
          <w:rFonts w:ascii="Simplified Arabic" w:hAnsi="Simplified Arabic" w:cs="Simplified Arabic" w:hint="cs"/>
          <w:sz w:val="26"/>
          <w:szCs w:val="26"/>
          <w:rtl/>
        </w:rPr>
        <w:t xml:space="preserve">ا وسعوا إلى فهم المزيد عن خدمته: </w:t>
      </w:r>
    </w:p>
    <w:p w14:paraId="55C78160" w14:textId="3CC363DF" w:rsidR="00310E38" w:rsidRDefault="00310E38" w:rsidP="00310E38">
      <w:pPr>
        <w:bidi/>
        <w:spacing w:line="240" w:lineRule="auto"/>
        <w:ind w:left="1008" w:right="1008"/>
        <w:rPr>
          <w:rFonts w:ascii="Simplified Arabic" w:hAnsi="Simplified Arabic" w:cs="Simplified Arabic"/>
          <w:sz w:val="26"/>
          <w:szCs w:val="26"/>
          <w:rtl/>
        </w:rPr>
      </w:pPr>
      <w:r w:rsidRPr="004839C3">
        <w:rPr>
          <w:rFonts w:ascii="Simplified Arabic" w:hAnsi="Simplified Arabic" w:cs="Simplified Arabic" w:hint="cs"/>
          <w:sz w:val="26"/>
          <w:szCs w:val="26"/>
          <w:vertAlign w:val="superscript"/>
          <w:rtl/>
        </w:rPr>
        <w:t>10</w:t>
      </w:r>
      <w:r>
        <w:rPr>
          <w:rFonts w:ascii="Simplified Arabic" w:hAnsi="Simplified Arabic" w:cs="Simplified Arabic" w:hint="cs"/>
          <w:sz w:val="26"/>
          <w:szCs w:val="26"/>
          <w:rtl/>
        </w:rPr>
        <w:t xml:space="preserve">الخلاص الذي فتَّش عنه أنبياء، الذين تنبّأوا عن النعمة التي لأجلكم، </w:t>
      </w:r>
      <w:r w:rsidRPr="004839C3">
        <w:rPr>
          <w:rFonts w:ascii="Simplified Arabic" w:hAnsi="Simplified Arabic" w:cs="Simplified Arabic" w:hint="cs"/>
          <w:sz w:val="26"/>
          <w:szCs w:val="26"/>
          <w:vertAlign w:val="superscript"/>
          <w:rtl/>
        </w:rPr>
        <w:t>11</w:t>
      </w:r>
      <w:r>
        <w:rPr>
          <w:rFonts w:ascii="Simplified Arabic" w:hAnsi="Simplified Arabic" w:cs="Simplified Arabic" w:hint="cs"/>
          <w:sz w:val="26"/>
          <w:szCs w:val="26"/>
          <w:rtl/>
        </w:rPr>
        <w:t xml:space="preserve">باحثين أيّ وقتٍ أو ما الوقت الذي كان يدل عليه روح المسيح الذي فيهم، إذْ سبق فشهد بالآلام التي للمسيح، والأمجاد التي بعدها، </w:t>
      </w:r>
      <w:r w:rsidR="004839C3" w:rsidRPr="004839C3">
        <w:rPr>
          <w:rFonts w:ascii="Simplified Arabic" w:hAnsi="Simplified Arabic" w:cs="Simplified Arabic" w:hint="cs"/>
          <w:sz w:val="26"/>
          <w:szCs w:val="26"/>
          <w:vertAlign w:val="superscript"/>
          <w:rtl/>
        </w:rPr>
        <w:t>12</w:t>
      </w:r>
      <w:r>
        <w:rPr>
          <w:rFonts w:ascii="Simplified Arabic" w:hAnsi="Simplified Arabic" w:cs="Simplified Arabic" w:hint="cs"/>
          <w:sz w:val="26"/>
          <w:szCs w:val="26"/>
          <w:rtl/>
        </w:rPr>
        <w:t>الذين أُعلِن لهم أنّهم ليس لأنفسهم، بل لنا كانوا يخدمون بهذه الأمور التي أُخبِرتم بها أنتم الآن، بواسطة الذين بشّروكم في الروح القدس المُرسَل من السماء، التي تشتهي الملائكة أن تطّلع عليها. (1بطرس 1: 10-12)</w:t>
      </w:r>
    </w:p>
    <w:p w14:paraId="6115BBD1" w14:textId="7823D045" w:rsidR="00310E38" w:rsidRDefault="00310E38" w:rsidP="00310E38">
      <w:pPr>
        <w:bidi/>
        <w:spacing w:line="240" w:lineRule="auto"/>
        <w:rPr>
          <w:rFonts w:ascii="Simplified Arabic" w:hAnsi="Simplified Arabic" w:cs="Simplified Arabic"/>
          <w:sz w:val="26"/>
          <w:szCs w:val="26"/>
          <w:rtl/>
        </w:rPr>
      </w:pPr>
    </w:p>
    <w:p w14:paraId="10F9D464" w14:textId="24AF7DC5" w:rsidR="00310E38" w:rsidRDefault="00310E38" w:rsidP="00310E38">
      <w:pPr>
        <w:bidi/>
        <w:spacing w:line="240" w:lineRule="auto"/>
        <w:rPr>
          <w:rFonts w:ascii="Simplified Arabic" w:hAnsi="Simplified Arabic" w:cs="Simplified Arabic"/>
          <w:sz w:val="26"/>
          <w:szCs w:val="26"/>
          <w:rtl/>
          <w:lang w:bidi="ar-JO"/>
        </w:rPr>
      </w:pPr>
      <w:r>
        <w:rPr>
          <w:rFonts w:ascii="Simplified Arabic" w:hAnsi="Simplified Arabic" w:cs="Simplified Arabic" w:hint="cs"/>
          <w:sz w:val="26"/>
          <w:szCs w:val="26"/>
          <w:rtl/>
        </w:rPr>
        <w:t>خلال فترة خدمة يسوع ا</w:t>
      </w:r>
      <w:r w:rsidR="00F96D7D">
        <w:rPr>
          <w:rFonts w:ascii="Simplified Arabic" w:hAnsi="Simplified Arabic" w:cs="Simplified Arabic" w:hint="cs"/>
          <w:sz w:val="26"/>
          <w:szCs w:val="26"/>
          <w:rtl/>
        </w:rPr>
        <w:t>لمسيح الأرضي</w:t>
      </w:r>
      <w:r w:rsidR="00A21E39">
        <w:rPr>
          <w:rFonts w:ascii="Simplified Arabic" w:hAnsi="Simplified Arabic" w:cs="Simplified Arabic" w:hint="cs"/>
          <w:sz w:val="26"/>
          <w:szCs w:val="26"/>
          <w:rtl/>
        </w:rPr>
        <w:t>ّ</w:t>
      </w:r>
      <w:r w:rsidR="00F96D7D">
        <w:rPr>
          <w:rFonts w:ascii="Simplified Arabic" w:hAnsi="Simplified Arabic" w:cs="Simplified Arabic" w:hint="cs"/>
          <w:sz w:val="26"/>
          <w:szCs w:val="26"/>
          <w:rtl/>
        </w:rPr>
        <w:t xml:space="preserve">ة، كان الناموس ساري المفعول، وكان على التلاميذ أن يحفظوا الناموس. وقبل ذلك الوقت، كان هناك توقُّع بشأن مجيء المسيا، ولكنْ لم تكن هناك معرفة أكيدة بشأن وقت مجيئه أو مَن سيكون بالضبط. ولكنّ بالنسبة إلى تلاميذ يسوع، أُعلِن لهم أنّ يسوع هو المسيا، وأنّ الخلاص ينبغي أن يكون على أساس الإيمان به. </w:t>
      </w:r>
      <w:r w:rsidR="00265205">
        <w:rPr>
          <w:rFonts w:ascii="Simplified Arabic" w:hAnsi="Simplified Arabic" w:cs="Simplified Arabic" w:hint="cs"/>
          <w:sz w:val="26"/>
          <w:szCs w:val="26"/>
          <w:rtl/>
        </w:rPr>
        <w:t xml:space="preserve">ومع هذا، </w:t>
      </w:r>
      <w:r w:rsidR="00A21E39">
        <w:rPr>
          <w:rFonts w:ascii="Simplified Arabic" w:hAnsi="Simplified Arabic" w:cs="Simplified Arabic" w:hint="cs"/>
          <w:sz w:val="26"/>
          <w:szCs w:val="26"/>
          <w:rtl/>
        </w:rPr>
        <w:t>و</w:t>
      </w:r>
      <w:r w:rsidR="00265205">
        <w:rPr>
          <w:rFonts w:ascii="Simplified Arabic" w:hAnsi="Simplified Arabic" w:cs="Simplified Arabic" w:hint="cs"/>
          <w:sz w:val="26"/>
          <w:szCs w:val="26"/>
          <w:rtl/>
        </w:rPr>
        <w:t>كما أُشير سابقًا، كانوا يفتقرون إلى فهم موته وقيامته. ومع هذا، أوضح يسوع أن</w:t>
      </w:r>
      <w:r w:rsidR="00A21E39">
        <w:rPr>
          <w:rFonts w:ascii="Simplified Arabic" w:hAnsi="Simplified Arabic" w:cs="Simplified Arabic" w:hint="cs"/>
          <w:sz w:val="26"/>
          <w:szCs w:val="26"/>
          <w:rtl/>
        </w:rPr>
        <w:t>َّ</w:t>
      </w:r>
      <w:r w:rsidR="00265205">
        <w:rPr>
          <w:rFonts w:ascii="Simplified Arabic" w:hAnsi="Simplified Arabic" w:cs="Simplified Arabic" w:hint="cs"/>
          <w:sz w:val="26"/>
          <w:szCs w:val="26"/>
          <w:rtl/>
        </w:rPr>
        <w:t xml:space="preserve"> "الخلاص بالنعمة من خلال الإيمان،" الذي يُرى في إبراهيم</w:t>
      </w:r>
      <w:r w:rsidR="00A21E39">
        <w:rPr>
          <w:rFonts w:ascii="Simplified Arabic" w:hAnsi="Simplified Arabic" w:cs="Simplified Arabic" w:hint="cs"/>
          <w:sz w:val="26"/>
          <w:szCs w:val="26"/>
          <w:rtl/>
        </w:rPr>
        <w:t>،</w:t>
      </w:r>
      <w:r w:rsidR="00265205">
        <w:rPr>
          <w:rFonts w:ascii="Simplified Arabic" w:hAnsi="Simplified Arabic" w:cs="Simplified Arabic" w:hint="cs"/>
          <w:sz w:val="26"/>
          <w:szCs w:val="26"/>
          <w:rtl/>
        </w:rPr>
        <w:t xml:space="preserve"> ينبغي أن يكون الآن إيمانًا به هو. فمثلًا، يؤكِّد يوحنا 3: 36 على هذه الحقيقة: "الذي يؤمن بالابن له حياة أبديّة، والذي لا يؤمن بالابن لن يرى حياةً، بل يمكث عليه غضب الله" (قارن مع يوحنا 3: 16؛ 6: 40؛ 11: 25).  </w:t>
      </w:r>
    </w:p>
    <w:p w14:paraId="01F6B67A" w14:textId="6E96DA39" w:rsidR="00310E38" w:rsidRDefault="00310E38" w:rsidP="00310E38">
      <w:pPr>
        <w:bidi/>
        <w:spacing w:line="240" w:lineRule="auto"/>
        <w:rPr>
          <w:rFonts w:ascii="Simplified Arabic" w:hAnsi="Simplified Arabic" w:cs="Simplified Arabic"/>
          <w:sz w:val="26"/>
          <w:szCs w:val="26"/>
          <w:rtl/>
        </w:rPr>
      </w:pPr>
    </w:p>
    <w:p w14:paraId="2C3EBF62" w14:textId="243EA8C6" w:rsidR="00265205" w:rsidRPr="00265205" w:rsidRDefault="00265205" w:rsidP="00265205">
      <w:pPr>
        <w:bidi/>
        <w:spacing w:line="240" w:lineRule="auto"/>
        <w:rPr>
          <w:rFonts w:ascii="Simplified Arabic" w:hAnsi="Simplified Arabic" w:cs="Simplified Arabic"/>
          <w:b/>
          <w:bCs/>
          <w:sz w:val="26"/>
          <w:szCs w:val="26"/>
          <w:rtl/>
        </w:rPr>
      </w:pPr>
      <w:r w:rsidRPr="00265205">
        <w:rPr>
          <w:rFonts w:ascii="Simplified Arabic" w:hAnsi="Simplified Arabic" w:cs="Simplified Arabic" w:hint="cs"/>
          <w:b/>
          <w:bCs/>
          <w:sz w:val="26"/>
          <w:szCs w:val="26"/>
          <w:rtl/>
        </w:rPr>
        <w:t>ملاحظات ختاميّة بشأن الخلاص في العهد القديم</w:t>
      </w:r>
    </w:p>
    <w:p w14:paraId="087F3040" w14:textId="366BE779" w:rsidR="00310E38" w:rsidRPr="000F0D72" w:rsidRDefault="00265205" w:rsidP="00310E38">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أساس </w:t>
      </w:r>
      <w:r w:rsidR="00981812">
        <w:rPr>
          <w:rFonts w:ascii="Simplified Arabic" w:hAnsi="Simplified Arabic" w:cs="Simplified Arabic" w:hint="cs"/>
          <w:sz w:val="26"/>
          <w:szCs w:val="26"/>
          <w:rtl/>
        </w:rPr>
        <w:t>الخلاص في كل</w:t>
      </w:r>
      <w:r w:rsidR="00A21E39">
        <w:rPr>
          <w:rFonts w:ascii="Simplified Arabic" w:hAnsi="Simplified Arabic" w:cs="Simplified Arabic" w:hint="cs"/>
          <w:sz w:val="26"/>
          <w:szCs w:val="26"/>
          <w:rtl/>
        </w:rPr>
        <w:t>ِّ</w:t>
      </w:r>
      <w:r w:rsidR="00981812">
        <w:rPr>
          <w:rFonts w:ascii="Simplified Arabic" w:hAnsi="Simplified Arabic" w:cs="Simplified Arabic" w:hint="cs"/>
          <w:sz w:val="26"/>
          <w:szCs w:val="26"/>
          <w:rtl/>
        </w:rPr>
        <w:t xml:space="preserve"> زمن هو دم المسيح المسفوك على الصليب. ومع أنّ هذا لم يكن دائمًا واضحًا للبشر، فقد كان واضحًا من منظور الله. طبيعة الخلاص هي النعمة، التي فيها يكتسب الإنسان هبة ثمينة لا يستحق</w:t>
      </w:r>
      <w:r w:rsidR="00910186">
        <w:rPr>
          <w:rFonts w:ascii="Simplified Arabic" w:hAnsi="Simplified Arabic" w:cs="Simplified Arabic" w:hint="cs"/>
          <w:sz w:val="26"/>
          <w:szCs w:val="26"/>
          <w:rtl/>
        </w:rPr>
        <w:t>ّ</w:t>
      </w:r>
      <w:r w:rsidR="00981812">
        <w:rPr>
          <w:rFonts w:ascii="Simplified Arabic" w:hAnsi="Simplified Arabic" w:cs="Simplified Arabic" w:hint="cs"/>
          <w:sz w:val="26"/>
          <w:szCs w:val="26"/>
          <w:rtl/>
        </w:rPr>
        <w:t>ها. ومتطلَّب الخلاص هو دائمًا الإيمان. فضيلة الإنسان (البرّ البشري) والأعمال الصالحة غير كافية لتخلِّص</w:t>
      </w:r>
      <w:r w:rsidR="00910186">
        <w:rPr>
          <w:rFonts w:ascii="Simplified Arabic" w:hAnsi="Simplified Arabic" w:cs="Simplified Arabic" w:hint="cs"/>
          <w:sz w:val="26"/>
          <w:szCs w:val="26"/>
          <w:rtl/>
        </w:rPr>
        <w:t>ه</w:t>
      </w:r>
      <w:r w:rsidR="00981812">
        <w:rPr>
          <w:rFonts w:ascii="Simplified Arabic" w:hAnsi="Simplified Arabic" w:cs="Simplified Arabic" w:hint="cs"/>
          <w:sz w:val="26"/>
          <w:szCs w:val="26"/>
          <w:rtl/>
        </w:rPr>
        <w:t>. يعلِّم الكتاب المُقدَّس أن</w:t>
      </w:r>
      <w:r w:rsidR="00910186">
        <w:rPr>
          <w:rFonts w:ascii="Simplified Arabic" w:hAnsi="Simplified Arabic" w:cs="Simplified Arabic" w:hint="cs"/>
          <w:sz w:val="26"/>
          <w:szCs w:val="26"/>
          <w:rtl/>
        </w:rPr>
        <w:t>ّ</w:t>
      </w:r>
      <w:r w:rsidR="00981812">
        <w:rPr>
          <w:rFonts w:ascii="Simplified Arabic" w:hAnsi="Simplified Arabic" w:cs="Simplified Arabic" w:hint="cs"/>
          <w:sz w:val="26"/>
          <w:szCs w:val="26"/>
          <w:rtl/>
        </w:rPr>
        <w:t xml:space="preserve"> الله </w:t>
      </w:r>
      <w:r w:rsidR="00910186">
        <w:rPr>
          <w:rFonts w:ascii="Simplified Arabic" w:hAnsi="Simplified Arabic" w:cs="Simplified Arabic" w:hint="cs"/>
          <w:sz w:val="26"/>
          <w:szCs w:val="26"/>
          <w:rtl/>
        </w:rPr>
        <w:t xml:space="preserve">خلَّصنا </w:t>
      </w:r>
      <w:r w:rsidR="00981812">
        <w:rPr>
          <w:rFonts w:ascii="Simplified Arabic" w:hAnsi="Simplified Arabic" w:cs="Simplified Arabic" w:hint="cs"/>
          <w:sz w:val="26"/>
          <w:szCs w:val="26"/>
          <w:rtl/>
        </w:rPr>
        <w:t>"لا بأعمالٍ في برٍّ عملناها نحنُ، بل بمقتضى رحمته" (تيطس 3: 5). وببساطة، لا يمكن أن يكون الخلاص شيئًا مُستحَقًّا، إذ لا يمكن نواله إلا هبة</w:t>
      </w:r>
      <w:r w:rsidR="00910186">
        <w:rPr>
          <w:rFonts w:ascii="Simplified Arabic" w:hAnsi="Simplified Arabic" w:cs="Simplified Arabic" w:hint="cs"/>
          <w:sz w:val="26"/>
          <w:szCs w:val="26"/>
          <w:rtl/>
        </w:rPr>
        <w:t>ً</w:t>
      </w:r>
      <w:r w:rsidR="00981812">
        <w:rPr>
          <w:rFonts w:ascii="Simplified Arabic" w:hAnsi="Simplified Arabic" w:cs="Simplified Arabic" w:hint="cs"/>
          <w:sz w:val="26"/>
          <w:szCs w:val="26"/>
          <w:rtl/>
        </w:rPr>
        <w:t xml:space="preserve"> من الله. يتغيَّر "محتوى" الإيمان مع تقدُّم الزمن، مع أنّه كان هناك ما يكفي من الإعلان من البداية بشأن ما يحتاج الإنسان إلى أن يفعله ليخلص. سيكون ضروريًّا أن يُحصَل على الخلاص بذبيحة (وهو ما حقَّقه المسيا نفسه في النهاية)، ونتيجة لإيمان الشخص بما كان الله قد أعلنه، يُحسَب "برٌّ" لذلك المؤمن، </w:t>
      </w:r>
      <w:r w:rsidR="00910186">
        <w:rPr>
          <w:rFonts w:ascii="Simplified Arabic" w:hAnsi="Simplified Arabic" w:cs="Simplified Arabic" w:hint="cs"/>
          <w:sz w:val="26"/>
          <w:szCs w:val="26"/>
          <w:rtl/>
        </w:rPr>
        <w:t>أي</w:t>
      </w:r>
      <w:r w:rsidR="00981812">
        <w:rPr>
          <w:rFonts w:ascii="Simplified Arabic" w:hAnsi="Simplified Arabic" w:cs="Simplified Arabic" w:hint="cs"/>
          <w:sz w:val="26"/>
          <w:szCs w:val="26"/>
          <w:rtl/>
        </w:rPr>
        <w:t xml:space="preserve"> أنّه يقف أمام الله "مبرَّرًا". </w:t>
      </w:r>
      <w:r w:rsidR="00910186">
        <w:rPr>
          <w:rFonts w:ascii="Simplified Arabic" w:hAnsi="Simplified Arabic" w:cs="Simplified Arabic" w:hint="cs"/>
          <w:sz w:val="26"/>
          <w:szCs w:val="26"/>
          <w:rtl/>
        </w:rPr>
        <w:t xml:space="preserve">وأيضًا </w:t>
      </w:r>
      <w:r w:rsidR="00981812">
        <w:rPr>
          <w:rFonts w:ascii="Simplified Arabic" w:hAnsi="Simplified Arabic" w:cs="Simplified Arabic" w:hint="cs"/>
          <w:sz w:val="26"/>
          <w:szCs w:val="26"/>
          <w:rtl/>
        </w:rPr>
        <w:t>كان محتوى الإيمان</w:t>
      </w:r>
      <w:r w:rsidR="00910186">
        <w:rPr>
          <w:rFonts w:ascii="Simplified Arabic" w:hAnsi="Simplified Arabic" w:cs="Simplified Arabic" w:hint="cs"/>
          <w:sz w:val="26"/>
          <w:szCs w:val="26"/>
          <w:rtl/>
        </w:rPr>
        <w:t xml:space="preserve"> </w:t>
      </w:r>
      <w:r w:rsidR="00981812">
        <w:rPr>
          <w:rFonts w:ascii="Simplified Arabic" w:hAnsi="Simplified Arabic" w:cs="Simplified Arabic" w:hint="cs"/>
          <w:sz w:val="26"/>
          <w:szCs w:val="26"/>
          <w:rtl/>
        </w:rPr>
        <w:t>تراكميًّا متّسعًا و</w:t>
      </w:r>
      <w:r w:rsidR="00DF6E22">
        <w:rPr>
          <w:rFonts w:ascii="Simplified Arabic" w:hAnsi="Simplified Arabic" w:cs="Simplified Arabic" w:hint="cs"/>
          <w:sz w:val="26"/>
          <w:szCs w:val="26"/>
          <w:rtl/>
        </w:rPr>
        <w:t xml:space="preserve">يُضاف إليه من جيلٍ إلى آخر. وبعمل هذا، تصير الصورة أوضح، فتُشير إلى المسيا الآتي، ليَعلَن أخيرًا في شخص يسوع المسيح بموته وقيامه. </w:t>
      </w:r>
    </w:p>
    <w:p w14:paraId="27470B9A" w14:textId="77777777" w:rsidR="007F7100" w:rsidRDefault="007F7100" w:rsidP="002D6C54">
      <w:pPr>
        <w:spacing w:line="240" w:lineRule="auto"/>
        <w:rPr>
          <w:sz w:val="22"/>
          <w:rtl/>
        </w:rPr>
      </w:pPr>
    </w:p>
    <w:bookmarkEnd w:id="90"/>
    <w:p w14:paraId="3B3F13C8" w14:textId="6CE643EE" w:rsidR="00567646" w:rsidRPr="00762500" w:rsidRDefault="00762500" w:rsidP="00DF6E22">
      <w:pPr>
        <w:spacing w:line="240" w:lineRule="auto"/>
        <w:rPr>
          <w:sz w:val="22"/>
        </w:rPr>
      </w:pPr>
      <w:r>
        <w:rPr>
          <w:sz w:val="22"/>
        </w:rPr>
        <w:br/>
      </w:r>
    </w:p>
    <w:p w14:paraId="5CBDF642" w14:textId="77777777" w:rsidR="000747FF" w:rsidRPr="00432F08" w:rsidRDefault="000747FF" w:rsidP="002D6C54">
      <w:pPr>
        <w:tabs>
          <w:tab w:val="left" w:pos="547"/>
          <w:tab w:val="left" w:pos="1094"/>
          <w:tab w:val="left" w:pos="1642"/>
          <w:tab w:val="left" w:pos="2189"/>
          <w:tab w:val="left" w:pos="2736"/>
          <w:tab w:val="left" w:pos="3283"/>
          <w:tab w:val="left" w:pos="3830"/>
          <w:tab w:val="left" w:pos="4378"/>
        </w:tabs>
        <w:spacing w:after="120" w:line="240" w:lineRule="auto"/>
        <w:jc w:val="both"/>
        <w:rPr>
          <w:rFonts w:eastAsia="Times New Roman" w:cs="Times New Roman"/>
          <w:bCs/>
          <w:color w:val="auto"/>
          <w:kern w:val="0"/>
          <w:sz w:val="22"/>
          <w:szCs w:val="24"/>
          <w14:ligatures w14:val="none"/>
        </w:rPr>
      </w:pPr>
    </w:p>
    <w:p w14:paraId="2EB579D3" w14:textId="7E05B930" w:rsidR="00DF6E22" w:rsidRPr="00DF6E22" w:rsidRDefault="00DF6E22" w:rsidP="00DF6E22">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b/>
          <w:bCs/>
          <w:kern w:val="0"/>
          <w:sz w:val="28"/>
          <w:szCs w:val="28"/>
          <w:rtl/>
          <w14:ligatures w14:val="none"/>
        </w:rPr>
      </w:pPr>
      <w:bookmarkStart w:id="91" w:name="_Hlk157172468"/>
      <w:bookmarkStart w:id="92" w:name="_Hlk156573656"/>
      <w:bookmarkStart w:id="93" w:name="_Hlk156484874"/>
      <w:r w:rsidRPr="00DF6E22">
        <w:rPr>
          <w:rFonts w:ascii="Simplified Arabic" w:eastAsia="Calibri" w:hAnsi="Simplified Arabic" w:cs="Simplified Arabic"/>
          <w:b/>
          <w:bCs/>
          <w:kern w:val="0"/>
          <w:sz w:val="28"/>
          <w:szCs w:val="28"/>
          <w:rtl/>
          <w14:ligatures w14:val="none"/>
        </w:rPr>
        <w:t>الموضوع 3: خيمة الاجتماع في البرّيّة (خروج 25: 1 – 40: 38)</w:t>
      </w:r>
    </w:p>
    <w:bookmarkEnd w:id="91"/>
    <w:bookmarkEnd w:id="92"/>
    <w:p w14:paraId="157E5C28" w14:textId="601BE0C8" w:rsidR="00432F08" w:rsidRPr="007A4B15" w:rsidRDefault="00432F08" w:rsidP="00DF6E22">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r w:rsidRPr="007A4B15">
        <w:rPr>
          <w:rFonts w:ascii="Verdana" w:eastAsia="Calibri" w:hAnsi="Verdana" w:cs="Times New Roman"/>
          <w:b/>
          <w:caps/>
          <w:noProof/>
          <w:color w:val="006699"/>
          <w:kern w:val="0"/>
          <w:sz w:val="21"/>
          <w:szCs w:val="24"/>
          <w14:ligatures w14:val="none"/>
        </w:rPr>
        <w:drawing>
          <wp:inline distT="0" distB="0" distL="0" distR="0" wp14:anchorId="629CDEBB" wp14:editId="3719A04C">
            <wp:extent cx="613692" cy="541464"/>
            <wp:effectExtent l="0" t="0" r="0" b="0"/>
            <wp:docPr id="1175290864" name="Picture 1175290864"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DF6E22" w:rsidRPr="00DF6E22">
        <w:rPr>
          <w:rFonts w:ascii="Verdana" w:eastAsia="Calibri" w:hAnsi="Verdana" w:cs="Times New Roman" w:hint="cs"/>
          <w:bCs/>
          <w:caps/>
          <w:color w:val="006699"/>
          <w:kern w:val="0"/>
          <w:sz w:val="21"/>
          <w:szCs w:val="24"/>
          <w:u w:val="single"/>
          <w:rtl/>
          <w14:ligatures w14:val="none"/>
        </w:rPr>
        <w:t>القراءة:</w:t>
      </w:r>
    </w:p>
    <w:p w14:paraId="2BA239A8" w14:textId="649BED3D" w:rsidR="00432F08" w:rsidRDefault="00F67B20" w:rsidP="00DF6E22">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eastAsia="Calibri" w:cs="Times New Roman"/>
          <w:kern w:val="0"/>
          <w:szCs w:val="24"/>
          <w14:ligatures w14:val="none"/>
        </w:rPr>
      </w:pPr>
      <w:r>
        <w:rPr>
          <w:rFonts w:eastAsia="Calibri" w:cs="Times New Roman"/>
          <w:kern w:val="0"/>
          <w:szCs w:val="24"/>
          <w14:ligatures w14:val="none"/>
        </w:rPr>
        <w:tab/>
      </w:r>
      <w:r>
        <w:rPr>
          <w:rFonts w:eastAsia="Calibri" w:cs="Times New Roman"/>
          <w:kern w:val="0"/>
          <w:szCs w:val="24"/>
          <w14:ligatures w14:val="none"/>
        </w:rPr>
        <w:tab/>
      </w:r>
      <w:r w:rsidR="00DF6E22">
        <w:rPr>
          <w:rFonts w:eastAsia="Calibri" w:cs="Times New Roman" w:hint="cs"/>
          <w:kern w:val="0"/>
          <w:szCs w:val="24"/>
          <w:rtl/>
          <w14:ligatures w14:val="none"/>
        </w:rPr>
        <w:t xml:space="preserve">اقرأ خروج 25: 1 </w:t>
      </w:r>
      <w:r w:rsidR="00DF6E22">
        <w:rPr>
          <w:rFonts w:eastAsia="Calibri" w:cs="Times New Roman"/>
          <w:kern w:val="0"/>
          <w:szCs w:val="24"/>
          <w:rtl/>
          <w14:ligatures w14:val="none"/>
        </w:rPr>
        <w:t>–</w:t>
      </w:r>
      <w:r w:rsidR="00DF6E22">
        <w:rPr>
          <w:rFonts w:eastAsia="Calibri" w:cs="Times New Roman" w:hint="cs"/>
          <w:kern w:val="0"/>
          <w:szCs w:val="24"/>
          <w:rtl/>
          <w14:ligatures w14:val="none"/>
        </w:rPr>
        <w:t xml:space="preserve"> 40: 38 في كتابك المُقدَّس. </w:t>
      </w:r>
    </w:p>
    <w:bookmarkEnd w:id="89"/>
    <w:bookmarkEnd w:id="93"/>
    <w:p w14:paraId="0226E2B8" w14:textId="77777777" w:rsidR="002E1856" w:rsidRPr="002E1856" w:rsidRDefault="002E1856"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2E1856">
        <w:rPr>
          <w:rFonts w:eastAsia="Times New Roman" w:cs="DecoType Naskh"/>
          <w:bCs/>
          <w:color w:val="auto"/>
          <w:kern w:val="0"/>
          <w:szCs w:val="28"/>
          <w:rtl/>
          <w:lang w:bidi="ar-JO"/>
          <w14:ligatures w14:val="none"/>
        </w:rPr>
        <w:t>.</w:t>
      </w:r>
      <w:r w:rsidRPr="002E1856">
        <w:rPr>
          <w:rFonts w:eastAsia="Times New Roman" w:cs="DecoType Naskh"/>
          <w:bCs/>
          <w:color w:val="auto"/>
          <w:kern w:val="0"/>
          <w:szCs w:val="28"/>
          <w:rtl/>
          <w:lang w:bidi="ar-JO"/>
          <w14:ligatures w14:val="none"/>
        </w:rPr>
        <w:tab/>
        <w:t xml:space="preserve">مقدمة </w:t>
      </w:r>
    </w:p>
    <w:p w14:paraId="28D455FB"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يركّز هذا القسم الأخير من سفر الخروج على خيمة الاجتماع التي أوعز الله للشعب بأن يبنوها.  ويشكّل هذا في حقيقة الأمر استمراراً لشروط العهد التي ظهرت اعتباراً من خروج 20.  وفي حين أن خروج 21: 1-23: 13 تركّز على الحياة الاجتماعية للأمّة، فإن خروج 25-40 تركّز على العبادة... التعبيرات الخارجية عن الحياة الدينية للأمّة.  وهذا القسم سهل جداً في بنيته. تفصّل خروج 25-31 تعليمات بناء خيمة الاجتماع (بما في ذلك الكهنوت)، وتفصّل خروج 35-40 عملية البناء الفعلية لخيمة الاجتماع، والتي تتوَّج بحلول مجد الله في خيمة الاجتماع.  ونجد في داخل هذا القسم، أي في خروج 32-34، فاصلاً تاريخياً يتحدث عن ترك الأمّة ليهوه، ويتبع ذلك إعادة الله في نعمته العهد إلى إسرائيل.</w:t>
      </w:r>
    </w:p>
    <w:p w14:paraId="74F34D4F"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34E9B959"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bookmarkStart w:id="94" w:name="_MON_1064046202"/>
    <w:bookmarkEnd w:id="94"/>
    <w:p w14:paraId="057869AC"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r w:rsidRPr="002E1856">
        <w:rPr>
          <w:rFonts w:eastAsia="Times New Roman" w:cs="DecoType Naskh"/>
          <w:color w:val="auto"/>
          <w:kern w:val="0"/>
          <w:sz w:val="18"/>
          <w:szCs w:val="20"/>
          <w:lang w:bidi="ar-JO"/>
          <w14:ligatures w14:val="none"/>
        </w:rPr>
        <w:object w:dxaOrig="3960" w:dyaOrig="865" w14:anchorId="7389A25E">
          <v:shape id="_x0000_i1032" type="#_x0000_t75" style="width:396pt;height:87pt" o:ole="">
            <v:imagedata r:id="rId45" o:title=""/>
          </v:shape>
          <o:OLEObject Type="Embed" ProgID="PowerPoint.Show.8" ShapeID="_x0000_i1032" DrawAspect="Content" ObjectID="_1802157127" r:id="rId46"/>
        </w:object>
      </w:r>
    </w:p>
    <w:p w14:paraId="777A92E5"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346249DD" w14:textId="77777777" w:rsidR="002E1856" w:rsidRPr="002E1856" w:rsidRDefault="002E1856"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2E1856">
        <w:rPr>
          <w:rFonts w:eastAsia="Times New Roman" w:cs="DecoType Naskh" w:hint="cs"/>
          <w:bCs/>
          <w:color w:val="auto"/>
          <w:kern w:val="0"/>
          <w:szCs w:val="28"/>
          <w:rtl/>
          <w:lang w:bidi="ar-JO"/>
          <w14:ligatures w14:val="none"/>
        </w:rPr>
        <w:t>2</w:t>
      </w:r>
      <w:r w:rsidRPr="002E1856">
        <w:rPr>
          <w:rFonts w:eastAsia="Times New Roman" w:cs="DecoType Naskh"/>
          <w:bCs/>
          <w:color w:val="auto"/>
          <w:kern w:val="0"/>
          <w:szCs w:val="28"/>
          <w:rtl/>
          <w:lang w:bidi="ar-JO"/>
          <w14:ligatures w14:val="none"/>
        </w:rPr>
        <w:t>.</w:t>
      </w:r>
      <w:r w:rsidRPr="002E1856">
        <w:rPr>
          <w:rFonts w:eastAsia="Times New Roman" w:cs="DecoType Naskh"/>
          <w:bCs/>
          <w:color w:val="auto"/>
          <w:kern w:val="0"/>
          <w:szCs w:val="28"/>
          <w:rtl/>
          <w:lang w:bidi="ar-JO"/>
          <w14:ligatures w14:val="none"/>
        </w:rPr>
        <w:tab/>
        <w:t xml:space="preserve">أسماء خيمة الاجتماع </w:t>
      </w:r>
    </w:p>
    <w:p w14:paraId="39B861B3"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أ.</w:t>
      </w:r>
      <w:r w:rsidRPr="002E1856">
        <w:rPr>
          <w:rFonts w:eastAsia="Times New Roman" w:cs="DecoType Naskh"/>
          <w:color w:val="auto"/>
          <w:kern w:val="0"/>
          <w:szCs w:val="26"/>
          <w:rtl/>
          <w:lang w:bidi="ar-JO"/>
          <w14:ligatures w14:val="none"/>
        </w:rPr>
        <w:tab/>
        <w:t xml:space="preserve">مِقْداش </w:t>
      </w:r>
      <w:proofErr w:type="spellStart"/>
      <w:r w:rsidRPr="002E1856">
        <w:rPr>
          <w:rFonts w:ascii="Charis SIL" w:eastAsia="Times New Roman" w:hAnsi="Charis SIL" w:cs="Charis SIL"/>
          <w:bCs/>
          <w:i/>
          <w:iCs/>
          <w:color w:val="auto"/>
          <w:kern w:val="0"/>
          <w:szCs w:val="26"/>
          <w:lang w:bidi="ar-JO"/>
          <w14:ligatures w14:val="none"/>
        </w:rPr>
        <w:t>miḵdās</w:t>
      </w:r>
      <w:proofErr w:type="spellEnd"/>
      <w:r w:rsidRPr="002E1856">
        <w:rPr>
          <w:rFonts w:ascii="Charis SIL" w:eastAsia="Times New Roman" w:hAnsi="Charis SIL" w:cs="Charis SIL"/>
          <w:bCs/>
          <w:i/>
          <w:iCs/>
          <w:color w:val="auto"/>
          <w:kern w:val="0"/>
          <w:szCs w:val="26"/>
          <w:lang w:bidi="ar-JO"/>
          <w14:ligatures w14:val="none"/>
        </w:rPr>
        <w:t>̌</w:t>
      </w:r>
      <w:r w:rsidRPr="002E1856">
        <w:rPr>
          <w:rFonts w:eastAsia="Times New Roman" w:cs="DecoType Naskh" w:hint="cs"/>
          <w:color w:val="auto"/>
          <w:kern w:val="0"/>
          <w:szCs w:val="26"/>
          <w:rtl/>
          <w:lang w:bidi="ar-JO"/>
          <w14:ligatures w14:val="none"/>
        </w:rPr>
        <w:t xml:space="preserve"> </w:t>
      </w:r>
      <w:r w:rsidRPr="002E1856">
        <w:rPr>
          <w:rFonts w:eastAsia="Times New Roman" w:cs="DecoType Naskh"/>
          <w:color w:val="auto"/>
          <w:kern w:val="0"/>
          <w:szCs w:val="26"/>
          <w:rtl/>
          <w:lang w:bidi="ar-JO"/>
          <w14:ligatures w14:val="none"/>
        </w:rPr>
        <w:t>(25: 8) –تترجم إلى "مقدس" وهي تدل على مكان مقدَّس.</w:t>
      </w:r>
    </w:p>
    <w:p w14:paraId="7188F5A1"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ب.</w:t>
      </w:r>
      <w:r w:rsidRPr="002E1856">
        <w:rPr>
          <w:rFonts w:eastAsia="Times New Roman" w:cs="DecoType Naskh"/>
          <w:color w:val="auto"/>
          <w:kern w:val="0"/>
          <w:szCs w:val="26"/>
          <w:rtl/>
          <w:lang w:bidi="ar-JO"/>
          <w14:ligatures w14:val="none"/>
        </w:rPr>
        <w:tab/>
        <w:t>مِ</w:t>
      </w:r>
      <w:r w:rsidRPr="002E1856">
        <w:rPr>
          <w:rFonts w:eastAsia="Times New Roman" w:cs="DecoType Naskh" w:hint="cs"/>
          <w:color w:val="auto"/>
          <w:kern w:val="0"/>
          <w:szCs w:val="26"/>
          <w:rtl/>
          <w:lang w:bidi="ar-JO"/>
          <w14:ligatures w14:val="none"/>
        </w:rPr>
        <w:t>ش</w:t>
      </w:r>
      <w:r w:rsidRPr="002E1856">
        <w:rPr>
          <w:rFonts w:eastAsia="Times New Roman" w:cs="DecoType Naskh"/>
          <w:color w:val="auto"/>
          <w:kern w:val="0"/>
          <w:szCs w:val="26"/>
          <w:rtl/>
          <w:lang w:bidi="ar-JO"/>
          <w14:ligatures w14:val="none"/>
        </w:rPr>
        <w:t xml:space="preserve">ْكان </w:t>
      </w:r>
      <w:proofErr w:type="spellStart"/>
      <w:r w:rsidRPr="002E1856">
        <w:rPr>
          <w:rFonts w:ascii="Charis SIL" w:eastAsia="Times New Roman" w:hAnsi="Charis SIL" w:cs="Charis SIL"/>
          <w:bCs/>
          <w:i/>
          <w:iCs/>
          <w:color w:val="auto"/>
          <w:kern w:val="0"/>
          <w:szCs w:val="26"/>
          <w:lang w:bidi="ar-JO"/>
          <w14:ligatures w14:val="none"/>
        </w:rPr>
        <w:t>miškān</w:t>
      </w:r>
      <w:proofErr w:type="spellEnd"/>
      <w:r w:rsidRPr="002E1856">
        <w:rPr>
          <w:rFonts w:eastAsia="Times New Roman" w:cs="DecoType Naskh" w:hint="cs"/>
          <w:color w:val="auto"/>
          <w:kern w:val="0"/>
          <w:szCs w:val="26"/>
          <w:rtl/>
          <w14:ligatures w14:val="none"/>
        </w:rPr>
        <w:t xml:space="preserve"> </w:t>
      </w:r>
      <w:r w:rsidRPr="002E1856">
        <w:rPr>
          <w:rFonts w:eastAsia="Times New Roman" w:cs="DecoType Naskh"/>
          <w:color w:val="auto"/>
          <w:kern w:val="0"/>
          <w:szCs w:val="26"/>
          <w:rtl/>
          <w:lang w:bidi="ar-JO"/>
          <w14:ligatures w14:val="none"/>
        </w:rPr>
        <w:t>(25: 9) – وتعني "</w:t>
      </w:r>
      <w:r w:rsidRPr="002E1856">
        <w:rPr>
          <w:rFonts w:eastAsia="Times New Roman" w:cs="DecoType Naskh" w:hint="cs"/>
          <w:color w:val="auto"/>
          <w:kern w:val="0"/>
          <w:szCs w:val="26"/>
          <w:rtl/>
          <w:lang w:bidi="ar-JO"/>
          <w14:ligatures w14:val="none"/>
        </w:rPr>
        <w:t>مُستقرّ</w:t>
      </w:r>
      <w:r w:rsidRPr="002E1856">
        <w:rPr>
          <w:rFonts w:eastAsia="Times New Roman" w:cs="DecoType Naskh"/>
          <w:color w:val="auto"/>
          <w:kern w:val="0"/>
          <w:szCs w:val="26"/>
          <w:rtl/>
          <w:lang w:bidi="ar-JO"/>
          <w14:ligatures w14:val="none"/>
        </w:rPr>
        <w:t>"، "</w:t>
      </w:r>
      <w:r w:rsidRPr="002E1856">
        <w:rPr>
          <w:rFonts w:eastAsia="Times New Roman" w:cs="DecoType Naskh" w:hint="cs"/>
          <w:color w:val="auto"/>
          <w:kern w:val="0"/>
          <w:szCs w:val="26"/>
          <w:rtl/>
          <w:lang w:bidi="ar-JO"/>
          <w14:ligatures w14:val="none"/>
        </w:rPr>
        <w:t>مسكِن</w:t>
      </w:r>
      <w:r w:rsidRPr="002E1856">
        <w:rPr>
          <w:rFonts w:eastAsia="Times New Roman" w:cs="DecoType Naskh"/>
          <w:color w:val="auto"/>
          <w:kern w:val="0"/>
          <w:szCs w:val="26"/>
          <w:rtl/>
          <w:lang w:bidi="ar-JO"/>
          <w14:ligatures w14:val="none"/>
        </w:rPr>
        <w:t>"، وهي توحي بمكان سكن أو مُسْتَقَرٍّ أو مكان إقامة لله بين شعبه.</w:t>
      </w:r>
    </w:p>
    <w:p w14:paraId="2E440704"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جـ.</w:t>
      </w:r>
      <w:r w:rsidRPr="002E1856">
        <w:rPr>
          <w:rFonts w:eastAsia="Times New Roman" w:cs="DecoType Naskh"/>
          <w:color w:val="auto"/>
          <w:kern w:val="0"/>
          <w:szCs w:val="26"/>
          <w:rtl/>
          <w:lang w:bidi="ar-JO"/>
          <w14:ligatures w14:val="none"/>
        </w:rPr>
        <w:tab/>
      </w:r>
      <w:r w:rsidRPr="002E1856">
        <w:rPr>
          <w:rFonts w:eastAsia="Times New Roman" w:cs="DecoType Naskh" w:hint="cs"/>
          <w:color w:val="auto"/>
          <w:kern w:val="0"/>
          <w:szCs w:val="26"/>
          <w:rtl/>
          <w:lang w:bidi="ar-JO"/>
          <w14:ligatures w14:val="none"/>
        </w:rPr>
        <w:t>أ</w:t>
      </w:r>
      <w:r w:rsidRPr="002E1856">
        <w:rPr>
          <w:rFonts w:eastAsia="Times New Roman" w:cs="DecoType Naskh"/>
          <w:color w:val="auto"/>
          <w:kern w:val="0"/>
          <w:szCs w:val="26"/>
          <w:rtl/>
          <w:lang w:bidi="ar-JO"/>
          <w14:ligatures w14:val="none"/>
        </w:rPr>
        <w:t xml:space="preserve">وهِل </w:t>
      </w:r>
      <w:proofErr w:type="spellStart"/>
      <w:r w:rsidRPr="002E1856">
        <w:rPr>
          <w:rFonts w:ascii="Charis SIL" w:eastAsia="Times New Roman" w:hAnsi="Charis SIL" w:cs="Charis SIL"/>
          <w:bCs/>
          <w:i/>
          <w:iCs/>
          <w:color w:val="auto"/>
          <w:kern w:val="0"/>
          <w:szCs w:val="26"/>
          <w:lang w:bidi="ar-JO"/>
          <w14:ligatures w14:val="none"/>
        </w:rPr>
        <w:t>ʾōhel</w:t>
      </w:r>
      <w:proofErr w:type="spellEnd"/>
      <w:r w:rsidRPr="002E1856">
        <w:rPr>
          <w:rFonts w:eastAsia="Times New Roman" w:cs="DecoType Naskh" w:hint="cs"/>
          <w:color w:val="auto"/>
          <w:kern w:val="0"/>
          <w:szCs w:val="26"/>
          <w:rtl/>
          <w14:ligatures w14:val="none"/>
        </w:rPr>
        <w:t xml:space="preserve"> </w:t>
      </w:r>
      <w:r w:rsidRPr="002E1856">
        <w:rPr>
          <w:rFonts w:eastAsia="Times New Roman" w:cs="DecoType Naskh"/>
          <w:color w:val="auto"/>
          <w:kern w:val="0"/>
          <w:szCs w:val="26"/>
          <w:rtl/>
          <w:lang w:bidi="ar-JO"/>
          <w14:ligatures w14:val="none"/>
        </w:rPr>
        <w:t xml:space="preserve">(26: 36) –وتترجم إلى "خيمة" لتعكس </w:t>
      </w:r>
      <w:r w:rsidRPr="002E1856">
        <w:rPr>
          <w:rFonts w:eastAsia="Times New Roman" w:cs="DecoType Naskh" w:hint="cs"/>
          <w:color w:val="auto"/>
          <w:kern w:val="0"/>
          <w:szCs w:val="26"/>
          <w:rtl/>
          <w:lang w:bidi="ar-JO"/>
          <w14:ligatures w14:val="none"/>
        </w:rPr>
        <w:t>البناء نفسه</w:t>
      </w:r>
      <w:r w:rsidRPr="002E1856">
        <w:rPr>
          <w:rFonts w:eastAsia="Times New Roman" w:cs="DecoType Naskh"/>
          <w:color w:val="auto"/>
          <w:kern w:val="0"/>
          <w:szCs w:val="26"/>
          <w:rtl/>
          <w:lang w:bidi="ar-JO"/>
          <w14:ligatures w14:val="none"/>
        </w:rPr>
        <w:t>.</w:t>
      </w:r>
    </w:p>
    <w:p w14:paraId="02CE0317"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د.</w:t>
      </w:r>
      <w:r w:rsidRPr="002E1856">
        <w:rPr>
          <w:rFonts w:eastAsia="Times New Roman" w:cs="DecoType Naskh"/>
          <w:color w:val="auto"/>
          <w:kern w:val="0"/>
          <w:szCs w:val="26"/>
          <w:rtl/>
          <w:lang w:bidi="ar-JO"/>
          <w14:ligatures w14:val="none"/>
        </w:rPr>
        <w:tab/>
      </w:r>
      <w:r w:rsidRPr="002E1856">
        <w:rPr>
          <w:rFonts w:eastAsia="Times New Roman" w:cs="DecoType Naskh" w:hint="cs"/>
          <w:color w:val="auto"/>
          <w:kern w:val="0"/>
          <w:szCs w:val="26"/>
          <w:rtl/>
          <w:lang w:bidi="ar-JO"/>
          <w14:ligatures w14:val="none"/>
        </w:rPr>
        <w:t>أ</w:t>
      </w:r>
      <w:r w:rsidRPr="002E1856">
        <w:rPr>
          <w:rFonts w:eastAsia="Times New Roman" w:cs="DecoType Naskh"/>
          <w:color w:val="auto"/>
          <w:kern w:val="0"/>
          <w:szCs w:val="26"/>
          <w:rtl/>
          <w:lang w:bidi="ar-JO"/>
          <w14:ligatures w14:val="none"/>
        </w:rPr>
        <w:t>وهِل مو</w:t>
      </w:r>
      <w:r w:rsidRPr="002E1856">
        <w:rPr>
          <w:rFonts w:eastAsia="Times New Roman" w:cs="DecoType Naskh" w:hint="cs"/>
          <w:color w:val="auto"/>
          <w:kern w:val="0"/>
          <w:szCs w:val="26"/>
          <w:rtl/>
          <w:lang w:bidi="ar-JO"/>
          <w14:ligatures w14:val="none"/>
        </w:rPr>
        <w:t>ع</w:t>
      </w:r>
      <w:r w:rsidRPr="002E1856">
        <w:rPr>
          <w:rFonts w:eastAsia="Times New Roman" w:cs="DecoType Naskh"/>
          <w:color w:val="auto"/>
          <w:kern w:val="0"/>
          <w:szCs w:val="26"/>
          <w:rtl/>
          <w:lang w:bidi="ar-JO"/>
          <w14:ligatures w14:val="none"/>
        </w:rPr>
        <w:t>ي</w:t>
      </w:r>
      <w:r w:rsidRPr="002E1856">
        <w:rPr>
          <w:rFonts w:eastAsia="Times New Roman" w:cs="DecoType Naskh" w:hint="cs"/>
          <w:color w:val="auto"/>
          <w:kern w:val="0"/>
          <w:szCs w:val="26"/>
          <w:rtl/>
          <w:lang w:bidi="ar-JO"/>
          <w14:ligatures w14:val="none"/>
        </w:rPr>
        <w:t>د</w:t>
      </w:r>
      <w:r w:rsidRPr="002E1856">
        <w:rPr>
          <w:rFonts w:eastAsia="Times New Roman" w:cs="DecoType Naskh"/>
          <w:color w:val="auto"/>
          <w:kern w:val="0"/>
          <w:szCs w:val="26"/>
          <w:rtl/>
          <w:lang w:bidi="ar-JO"/>
          <w14:ligatures w14:val="none"/>
        </w:rPr>
        <w:t xml:space="preserve"> </w:t>
      </w:r>
      <w:proofErr w:type="spellStart"/>
      <w:r w:rsidRPr="002E1856">
        <w:rPr>
          <w:rFonts w:ascii="Charis SIL" w:eastAsia="Times New Roman" w:hAnsi="Charis SIL" w:cs="Charis SIL"/>
          <w:bCs/>
          <w:i/>
          <w:iCs/>
          <w:color w:val="auto"/>
          <w:kern w:val="0"/>
          <w:szCs w:val="26"/>
          <w:lang w:bidi="ar-JO"/>
          <w14:ligatures w14:val="none"/>
        </w:rPr>
        <w:t>ʾōhel</w:t>
      </w:r>
      <w:proofErr w:type="spellEnd"/>
      <w:r w:rsidRPr="002E1856">
        <w:rPr>
          <w:rFonts w:ascii="Hebrewtl" w:eastAsia="Times New Roman" w:hAnsi="Hebrewtl" w:cs="DecoType Naskh"/>
          <w:bCs/>
          <w:color w:val="auto"/>
          <w:kern w:val="0"/>
          <w:szCs w:val="26"/>
          <w:lang w:bidi="ar-JO"/>
          <w14:ligatures w14:val="none"/>
        </w:rPr>
        <w:t xml:space="preserve"> </w:t>
      </w:r>
      <w:proofErr w:type="spellStart"/>
      <w:r w:rsidRPr="002E1856">
        <w:rPr>
          <w:rFonts w:ascii="Charis SIL" w:eastAsia="Times New Roman" w:hAnsi="Charis SIL" w:cs="Charis SIL"/>
          <w:bCs/>
          <w:i/>
          <w:iCs/>
          <w:color w:val="auto"/>
          <w:kern w:val="0"/>
          <w:szCs w:val="26"/>
          <w:lang w:bidi="ar-JO"/>
          <w14:ligatures w14:val="none"/>
        </w:rPr>
        <w:t>mǒʿēd</w:t>
      </w:r>
      <w:proofErr w:type="spellEnd"/>
      <w:r w:rsidRPr="002E1856">
        <w:rPr>
          <w:rFonts w:ascii="Charis SIL" w:eastAsia="Times New Roman" w:hAnsi="Charis SIL" w:cs="Charis SIL"/>
          <w:bCs/>
          <w:i/>
          <w:iCs/>
          <w:color w:val="auto"/>
          <w:kern w:val="0"/>
          <w:szCs w:val="26"/>
          <w:lang w:bidi="ar-JO"/>
          <w14:ligatures w14:val="none"/>
        </w:rPr>
        <w:t>̱</w:t>
      </w:r>
      <w:r w:rsidRPr="002E1856">
        <w:rPr>
          <w:rFonts w:eastAsia="Times New Roman" w:cs="DecoType Naskh" w:hint="cs"/>
          <w:color w:val="auto"/>
          <w:kern w:val="0"/>
          <w:szCs w:val="26"/>
          <w:rtl/>
          <w14:ligatures w14:val="none"/>
        </w:rPr>
        <w:t xml:space="preserve"> </w:t>
      </w:r>
      <w:r w:rsidRPr="002E1856">
        <w:rPr>
          <w:rFonts w:eastAsia="Times New Roman" w:cs="DecoType Naskh"/>
          <w:color w:val="auto"/>
          <w:kern w:val="0"/>
          <w:szCs w:val="26"/>
          <w:rtl/>
          <w:lang w:bidi="ar-JO"/>
          <w14:ligatures w14:val="none"/>
        </w:rPr>
        <w:t>(29: 42) –وهي تترجم إلى "خيمة الاجتماع" موحية بأن الله سيجتمع بشعبه هناك.</w:t>
      </w:r>
    </w:p>
    <w:p w14:paraId="34594CA4" w14:textId="77777777" w:rsid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lang w:bidi="ar-JO"/>
          <w14:ligatures w14:val="none"/>
        </w:rPr>
      </w:pPr>
      <w:r w:rsidRPr="002E1856">
        <w:rPr>
          <w:rFonts w:eastAsia="Times New Roman" w:cs="DecoType Naskh"/>
          <w:color w:val="auto"/>
          <w:kern w:val="0"/>
          <w:szCs w:val="26"/>
          <w:rtl/>
          <w:lang w:bidi="ar-JO"/>
          <w14:ligatures w14:val="none"/>
        </w:rPr>
        <w:t>هـ.</w:t>
      </w:r>
      <w:r w:rsidRPr="002E1856">
        <w:rPr>
          <w:rFonts w:eastAsia="Times New Roman" w:cs="DecoType Naskh"/>
          <w:color w:val="auto"/>
          <w:kern w:val="0"/>
          <w:szCs w:val="26"/>
          <w:rtl/>
          <w:lang w:bidi="ar-JO"/>
          <w14:ligatures w14:val="none"/>
        </w:rPr>
        <w:tab/>
        <w:t>مِ</w:t>
      </w:r>
      <w:r w:rsidRPr="002E1856">
        <w:rPr>
          <w:rFonts w:eastAsia="Times New Roman" w:cs="DecoType Naskh" w:hint="cs"/>
          <w:color w:val="auto"/>
          <w:kern w:val="0"/>
          <w:szCs w:val="26"/>
          <w:rtl/>
          <w:lang w:bidi="ar-JO"/>
          <w14:ligatures w14:val="none"/>
        </w:rPr>
        <w:t>ش</w:t>
      </w:r>
      <w:r w:rsidRPr="002E1856">
        <w:rPr>
          <w:rFonts w:eastAsia="Times New Roman" w:cs="DecoType Naskh"/>
          <w:color w:val="auto"/>
          <w:kern w:val="0"/>
          <w:szCs w:val="26"/>
          <w:rtl/>
          <w:lang w:bidi="ar-JO"/>
          <w14:ligatures w14:val="none"/>
        </w:rPr>
        <w:t>ْكان ها</w:t>
      </w:r>
      <w:r w:rsidRPr="002E1856">
        <w:rPr>
          <w:rFonts w:eastAsia="Times New Roman" w:cs="DecoType Naskh" w:hint="cs"/>
          <w:color w:val="auto"/>
          <w:kern w:val="0"/>
          <w:szCs w:val="26"/>
          <w:rtl/>
          <w:lang w:bidi="ar-JO"/>
          <w14:ligatures w14:val="none"/>
        </w:rPr>
        <w:t>عِد</w:t>
      </w:r>
      <w:r w:rsidRPr="002E1856">
        <w:rPr>
          <w:rFonts w:eastAsia="Times New Roman" w:cs="DecoType Naskh"/>
          <w:color w:val="auto"/>
          <w:kern w:val="0"/>
          <w:szCs w:val="26"/>
          <w:rtl/>
          <w:lang w:bidi="ar-JO"/>
          <w14:ligatures w14:val="none"/>
        </w:rPr>
        <w:t xml:space="preserve">وت </w:t>
      </w:r>
      <w:proofErr w:type="spellStart"/>
      <w:r w:rsidRPr="002E1856">
        <w:rPr>
          <w:rFonts w:ascii="Charis SIL" w:eastAsia="Times New Roman" w:hAnsi="Charis SIL" w:cs="Charis SIL"/>
          <w:bCs/>
          <w:i/>
          <w:iCs/>
          <w:color w:val="auto"/>
          <w:kern w:val="0"/>
          <w:szCs w:val="26"/>
          <w:lang w:bidi="ar-JO"/>
          <w14:ligatures w14:val="none"/>
        </w:rPr>
        <w:t>miškān</w:t>
      </w:r>
      <w:proofErr w:type="spellEnd"/>
      <w:r w:rsidRPr="002E1856">
        <w:rPr>
          <w:rFonts w:ascii="Hebrewtl" w:eastAsia="Times New Roman" w:hAnsi="Hebrewtl" w:cs="DecoType Naskh"/>
          <w:bCs/>
          <w:color w:val="auto"/>
          <w:kern w:val="0"/>
          <w:szCs w:val="26"/>
          <w:lang w:bidi="ar-JO"/>
          <w14:ligatures w14:val="none"/>
        </w:rPr>
        <w:t xml:space="preserve"> </w:t>
      </w:r>
      <w:proofErr w:type="spellStart"/>
      <w:r w:rsidRPr="002E1856">
        <w:rPr>
          <w:rFonts w:ascii="Charis SIL" w:eastAsia="Times New Roman" w:hAnsi="Charis SIL" w:cs="Charis SIL"/>
          <w:bCs/>
          <w:i/>
          <w:iCs/>
          <w:color w:val="auto"/>
          <w:kern w:val="0"/>
          <w:szCs w:val="26"/>
          <w:lang w:bidi="ar-JO"/>
          <w14:ligatures w14:val="none"/>
        </w:rPr>
        <w:t>hāʿēut</w:t>
      </w:r>
      <w:proofErr w:type="spellEnd"/>
      <w:r w:rsidRPr="002E1856">
        <w:rPr>
          <w:rFonts w:ascii="Charis SIL" w:eastAsia="Times New Roman" w:hAnsi="Charis SIL" w:cs="Charis SIL"/>
          <w:bCs/>
          <w:i/>
          <w:iCs/>
          <w:color w:val="auto"/>
          <w:kern w:val="0"/>
          <w:szCs w:val="26"/>
          <w:lang w:bidi="ar-JO"/>
          <w14:ligatures w14:val="none"/>
        </w:rPr>
        <w:t>̱</w:t>
      </w:r>
      <w:r w:rsidRPr="002E1856">
        <w:rPr>
          <w:rFonts w:eastAsia="Times New Roman" w:cs="DecoType Naskh" w:hint="cs"/>
          <w:color w:val="auto"/>
          <w:kern w:val="0"/>
          <w:szCs w:val="26"/>
          <w:rtl/>
          <w14:ligatures w14:val="none"/>
        </w:rPr>
        <w:t xml:space="preserve"> </w:t>
      </w:r>
      <w:r w:rsidRPr="002E1856">
        <w:rPr>
          <w:rFonts w:eastAsia="Times New Roman" w:cs="DecoType Naskh"/>
          <w:color w:val="auto"/>
          <w:kern w:val="0"/>
          <w:szCs w:val="26"/>
          <w:rtl/>
          <w:lang w:bidi="ar-JO"/>
          <w14:ligatures w14:val="none"/>
        </w:rPr>
        <w:t>(38: 21) –وتترجم إلى "خيمة الشهادة" وقد عُرف اللوحان اللذان كتبت عليهما الوصايا باسم "الشهادة"، وقد وُضعا في تابوت العهد.</w:t>
      </w:r>
    </w:p>
    <w:p w14:paraId="45A23DEE"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p>
    <w:p w14:paraId="584C427F" w14:textId="2C23F9C6" w:rsidR="002E1856" w:rsidRDefault="002E1856" w:rsidP="002D6C54">
      <w:pPr>
        <w:pStyle w:val="Head4"/>
        <w:jc w:val="both"/>
      </w:pPr>
      <w:r w:rsidRPr="002E1856">
        <w:rPr>
          <w:rFonts w:hint="cs"/>
          <w:rtl/>
        </w:rPr>
        <w:t>3</w:t>
      </w:r>
      <w:r w:rsidRPr="002E1856">
        <w:rPr>
          <w:rtl/>
        </w:rPr>
        <w:t>.</w:t>
      </w:r>
      <w:r w:rsidRPr="002E1856">
        <w:rPr>
          <w:rtl/>
        </w:rPr>
        <w:tab/>
        <w:t xml:space="preserve">مخطط خيمة الاجتماع </w:t>
      </w:r>
    </w:p>
    <w:p w14:paraId="34B64B76" w14:textId="3E8FBB1F" w:rsidR="002E1856" w:rsidRPr="002E1856" w:rsidRDefault="00C03403" w:rsidP="002D6C54">
      <w:pPr>
        <w:pStyle w:val="Head4"/>
        <w:jc w:val="center"/>
        <w:rPr>
          <w:rtl/>
        </w:rPr>
      </w:pPr>
      <w:r w:rsidRPr="00C03403">
        <w:rPr>
          <w:noProof/>
          <w:rtl/>
        </w:rPr>
        <w:lastRenderedPageBreak/>
        <w:drawing>
          <wp:inline distT="0" distB="0" distL="0" distR="0" wp14:anchorId="2B0A6290" wp14:editId="11A7B5EA">
            <wp:extent cx="5943600" cy="2749550"/>
            <wp:effectExtent l="19050" t="19050" r="0" b="0"/>
            <wp:docPr id="705866935" name="Picture 1" descr="A diagram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866935" name="Picture 1" descr="A diagram of a building&#10;&#10;Description automatically generated"/>
                    <pic:cNvPicPr/>
                  </pic:nvPicPr>
                  <pic:blipFill>
                    <a:blip r:embed="rId47"/>
                    <a:stretch>
                      <a:fillRect/>
                    </a:stretch>
                  </pic:blipFill>
                  <pic:spPr>
                    <a:xfrm>
                      <a:off x="0" y="0"/>
                      <a:ext cx="5943600" cy="2749550"/>
                    </a:xfrm>
                    <a:prstGeom prst="rect">
                      <a:avLst/>
                    </a:prstGeom>
                    <a:ln w="6350">
                      <a:solidFill>
                        <a:schemeClr val="tx1"/>
                      </a:solidFill>
                    </a:ln>
                  </pic:spPr>
                </pic:pic>
              </a:graphicData>
            </a:graphic>
          </wp:inline>
        </w:drawing>
      </w:r>
    </w:p>
    <w:p w14:paraId="6DFCDE49" w14:textId="5458A546"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532" w:firstLine="550"/>
        <w:jc w:val="both"/>
        <w:rPr>
          <w:rFonts w:eastAsia="Times New Roman" w:cs="DecoType Naskh"/>
          <w:color w:val="auto"/>
          <w:kern w:val="0"/>
          <w:sz w:val="18"/>
          <w:szCs w:val="20"/>
          <w14:ligatures w14:val="none"/>
        </w:rPr>
      </w:pPr>
    </w:p>
    <w:p w14:paraId="29E5F741" w14:textId="77777777" w:rsidR="002E1856" w:rsidRPr="002E1856" w:rsidRDefault="002E1856" w:rsidP="002D6C54">
      <w:pPr>
        <w:spacing w:line="240" w:lineRule="auto"/>
      </w:pPr>
    </w:p>
    <w:p w14:paraId="68618090" w14:textId="18D2B735" w:rsidR="00163F98" w:rsidRPr="00432F08" w:rsidRDefault="00163F98" w:rsidP="002D6C54">
      <w:pPr>
        <w:tabs>
          <w:tab w:val="left" w:pos="547"/>
          <w:tab w:val="left" w:pos="1094"/>
          <w:tab w:val="left" w:pos="1642"/>
          <w:tab w:val="left" w:pos="2189"/>
          <w:tab w:val="left" w:pos="2736"/>
          <w:tab w:val="left" w:pos="3283"/>
          <w:tab w:val="left" w:pos="3830"/>
          <w:tab w:val="left" w:pos="4378"/>
        </w:tabs>
        <w:spacing w:after="120" w:line="240" w:lineRule="auto"/>
        <w:jc w:val="center"/>
        <w:rPr>
          <w:rFonts w:eastAsia="Times New Roman" w:cs="Times New Roman"/>
          <w:bCs/>
          <w:color w:val="auto"/>
          <w:kern w:val="0"/>
          <w:sz w:val="22"/>
          <w:szCs w:val="24"/>
          <w14:ligatures w14:val="none"/>
        </w:rPr>
      </w:pPr>
      <w:r>
        <w:rPr>
          <w:rFonts w:eastAsia="Times New Roman" w:cs="Times New Roman"/>
          <w:bCs/>
          <w:noProof/>
          <w:color w:val="auto"/>
          <w:kern w:val="0"/>
          <w:sz w:val="22"/>
          <w:szCs w:val="24"/>
          <w14:ligatures w14:val="none"/>
        </w:rPr>
        <w:drawing>
          <wp:inline distT="0" distB="0" distL="0" distR="0" wp14:anchorId="46EC96DD" wp14:editId="7A29D7DF">
            <wp:extent cx="3075317" cy="2305887"/>
            <wp:effectExtent l="0" t="0" r="0" b="0"/>
            <wp:docPr id="7796624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86046" cy="2313932"/>
                    </a:xfrm>
                    <a:prstGeom prst="rect">
                      <a:avLst/>
                    </a:prstGeom>
                    <a:noFill/>
                    <a:ln>
                      <a:noFill/>
                    </a:ln>
                  </pic:spPr>
                </pic:pic>
              </a:graphicData>
            </a:graphic>
          </wp:inline>
        </w:drawing>
      </w:r>
    </w:p>
    <w:p w14:paraId="5F103FB5"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r w:rsidRPr="002E1856">
        <w:rPr>
          <w:rFonts w:eastAsia="Times New Roman" w:cs="DecoType Naskh"/>
          <w:color w:val="auto"/>
          <w:kern w:val="0"/>
          <w:sz w:val="18"/>
          <w:szCs w:val="20"/>
          <w:rtl/>
          <w14:ligatures w14:val="none"/>
        </w:rPr>
        <w:tab/>
      </w:r>
      <w:r w:rsidRPr="002E1856">
        <w:rPr>
          <w:rFonts w:eastAsia="Times New Roman" w:cs="DecoType Naskh"/>
          <w:color w:val="auto"/>
          <w:kern w:val="0"/>
          <w:sz w:val="18"/>
          <w:szCs w:val="20"/>
          <w:rtl/>
          <w14:ligatures w14:val="none"/>
        </w:rPr>
        <w:tab/>
      </w:r>
    </w:p>
    <w:p w14:paraId="0D68E6C9" w14:textId="77777777" w:rsidR="002E1856" w:rsidRPr="002E1856" w:rsidRDefault="002E1856"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2E1856">
        <w:rPr>
          <w:rFonts w:eastAsia="Times New Roman" w:cs="DecoType Naskh" w:hint="cs"/>
          <w:bCs/>
          <w:color w:val="auto"/>
          <w:kern w:val="0"/>
          <w:szCs w:val="28"/>
          <w:rtl/>
          <w:lang w:bidi="ar-JO"/>
          <w14:ligatures w14:val="none"/>
        </w:rPr>
        <w:t>4</w:t>
      </w:r>
      <w:r w:rsidRPr="002E1856">
        <w:rPr>
          <w:rFonts w:eastAsia="Times New Roman" w:cs="DecoType Naskh"/>
          <w:bCs/>
          <w:color w:val="auto"/>
          <w:kern w:val="0"/>
          <w:szCs w:val="28"/>
          <w:rtl/>
          <w:lang w:bidi="ar-JO"/>
          <w14:ligatures w14:val="none"/>
        </w:rPr>
        <w:t>.</w:t>
      </w:r>
      <w:r w:rsidRPr="002E1856">
        <w:rPr>
          <w:rFonts w:eastAsia="Times New Roman" w:cs="DecoType Naskh"/>
          <w:bCs/>
          <w:color w:val="auto"/>
          <w:kern w:val="0"/>
          <w:szCs w:val="28"/>
          <w:rtl/>
          <w:lang w:bidi="ar-JO"/>
          <w14:ligatures w14:val="none"/>
        </w:rPr>
        <w:tab/>
        <w:t xml:space="preserve">أغراض خيمة الاجتماع </w:t>
      </w:r>
    </w:p>
    <w:p w14:paraId="0C6A734E"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 xml:space="preserve">إن الوظيفة الرئيسية لخيمة الاجتماع مذكورة في خروج 25: 8، " فيصنعون لي مقْدِساً لأسكن </w:t>
      </w:r>
      <w:r w:rsidRPr="002E1856">
        <w:rPr>
          <w:rFonts w:eastAsia="Times New Roman" w:cs="DecoType Naskh" w:hint="cs"/>
          <w:color w:val="auto"/>
          <w:kern w:val="0"/>
          <w:szCs w:val="26"/>
          <w:rtl/>
          <w:lang w:bidi="ar-JO"/>
          <w14:ligatures w14:val="none"/>
        </w:rPr>
        <w:t xml:space="preserve">(في العبرية "شكنتي") </w:t>
      </w:r>
      <w:r w:rsidRPr="002E1856">
        <w:rPr>
          <w:rFonts w:eastAsia="Times New Roman" w:cs="DecoType Naskh"/>
          <w:color w:val="auto"/>
          <w:kern w:val="0"/>
          <w:szCs w:val="26"/>
          <w:rtl/>
          <w:lang w:bidi="ar-JO"/>
          <w14:ligatures w14:val="none"/>
        </w:rPr>
        <w:t>في وسطهم." وهكذا كانت خيمة الاجتماع مكان سكن لله. ولا نعني بهذا أن الله تحيَّز، بل أنه يستطيع أن يكون في وسط شعبه.  وقد انعكس هذا في كرسي الرحمة في تابوت العهد في قدس الأقداس (انظر عدد 7: 89؛ 1صموئيل 4: 4؛ 2 صموئيل 6: 2).  كان هذا أكثر مكان حميمية لحضور الله، وقد صار يعرف حضور الله الخاص هذا في الترجوم بـ "الشكينة" (</w:t>
      </w:r>
      <w:r w:rsidRPr="002E1856">
        <w:rPr>
          <w:rFonts w:ascii="Ezra SIL" w:eastAsia="Times New Roman" w:hAnsi="Ezra SIL" w:cs="Ezra SIL" w:hint="cs"/>
          <w:b/>
          <w:color w:val="auto"/>
          <w:kern w:val="0"/>
          <w:rtl/>
          <w:lang w:bidi="he-IL"/>
          <w14:ligatures w14:val="none"/>
        </w:rPr>
        <w:t>שָׁכַן</w:t>
      </w:r>
      <w:r w:rsidRPr="002E1856">
        <w:rPr>
          <w:rFonts w:eastAsia="Times New Roman" w:cs="DecoType Naskh"/>
          <w:color w:val="auto"/>
          <w:kern w:val="0"/>
          <w:szCs w:val="26"/>
          <w14:ligatures w14:val="none"/>
        </w:rPr>
        <w:t xml:space="preserve">, </w:t>
      </w:r>
      <w:proofErr w:type="spellStart"/>
      <w:r w:rsidRPr="002E1856">
        <w:rPr>
          <w:rFonts w:ascii="Charis SIL" w:eastAsia="Times New Roman" w:hAnsi="Charis SIL" w:cs="Charis SIL"/>
          <w:bCs/>
          <w:i/>
          <w:iCs/>
          <w:color w:val="auto"/>
          <w:kern w:val="0"/>
          <w:szCs w:val="26"/>
          <w:lang w:bidi="ar-JO"/>
          <w14:ligatures w14:val="none"/>
        </w:rPr>
        <w:t>šāḵan</w:t>
      </w:r>
      <w:proofErr w:type="spellEnd"/>
      <w:r w:rsidRPr="002E1856">
        <w:rPr>
          <w:rFonts w:ascii="Charis SIL" w:eastAsia="Times New Roman" w:hAnsi="Charis SIL" w:cs="Charis SIL"/>
          <w:bCs/>
          <w:i/>
          <w:iCs/>
          <w:color w:val="auto"/>
          <w:kern w:val="0"/>
          <w:szCs w:val="26"/>
          <w:lang w:bidi="ar-JO"/>
          <w14:ligatures w14:val="none"/>
        </w:rPr>
        <w:t xml:space="preserve"> </w:t>
      </w:r>
      <w:r w:rsidRPr="002E1856">
        <w:rPr>
          <w:rFonts w:eastAsia="Times New Roman" w:cs="DecoType Naskh"/>
          <w:color w:val="auto"/>
          <w:kern w:val="0"/>
          <w:szCs w:val="26"/>
          <w:rtl/>
          <w:lang w:bidi="ar-JO"/>
          <w14:ligatures w14:val="none"/>
        </w:rPr>
        <w:t xml:space="preserve"> – </w:t>
      </w:r>
      <w:r w:rsidRPr="002E1856">
        <w:rPr>
          <w:rFonts w:eastAsia="Times New Roman" w:cs="DecoType Naskh" w:hint="cs"/>
          <w:color w:val="auto"/>
          <w:kern w:val="0"/>
          <w:szCs w:val="26"/>
          <w:rtl/>
          <w:lang w:bidi="ar-JO"/>
          <w14:ligatures w14:val="none"/>
        </w:rPr>
        <w:t>شكَن</w:t>
      </w:r>
      <w:r w:rsidRPr="002E1856">
        <w:rPr>
          <w:rFonts w:eastAsia="Times New Roman" w:cs="DecoType Naskh"/>
          <w:color w:val="auto"/>
          <w:kern w:val="0"/>
          <w:szCs w:val="26"/>
          <w:rtl/>
          <w:lang w:bidi="ar-JO"/>
          <w14:ligatures w14:val="none"/>
        </w:rPr>
        <w:t xml:space="preserve"> = "يسكن").</w:t>
      </w:r>
    </w:p>
    <w:p w14:paraId="6AD63958"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762E625"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وتتضمن 25: 12 غرضاً آخر من أغراض خيمة الاجتماع، "وأنا أجتمع بك هناك..." وهكذا كانت خيمة الاجتماع ملتقى الله بشعبه، مع حضور الله فوق كرسي الرحمة.</w:t>
      </w:r>
    </w:p>
    <w:p w14:paraId="6823F8F9"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وبما أن المقدِس كان مركزاً منظوراً لعبادة الله الواحد، فقد كان هذا تذكيراً بإدانة الله لعبادة الأصنام.  ولم تكن في خيمة الاجتماع أية صورة أو تمثال يمثّل يهوه.</w:t>
      </w:r>
    </w:p>
    <w:p w14:paraId="47135900"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4C4A2818" w14:textId="77777777" w:rsidR="002E1856" w:rsidRPr="002E1856" w:rsidRDefault="002E1856"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2E1856">
        <w:rPr>
          <w:rFonts w:eastAsia="Times New Roman" w:cs="DecoType Naskh" w:hint="cs"/>
          <w:bCs/>
          <w:color w:val="auto"/>
          <w:kern w:val="0"/>
          <w:szCs w:val="28"/>
          <w:rtl/>
          <w:lang w:bidi="ar-JO"/>
          <w14:ligatures w14:val="none"/>
        </w:rPr>
        <w:lastRenderedPageBreak/>
        <w:t>5</w:t>
      </w:r>
      <w:r w:rsidRPr="002E1856">
        <w:rPr>
          <w:rFonts w:eastAsia="Times New Roman" w:cs="DecoType Naskh"/>
          <w:bCs/>
          <w:color w:val="auto"/>
          <w:kern w:val="0"/>
          <w:szCs w:val="28"/>
          <w:rtl/>
          <w:lang w:bidi="ar-JO"/>
          <w14:ligatures w14:val="none"/>
        </w:rPr>
        <w:t>.</w:t>
      </w:r>
      <w:r w:rsidRPr="002E1856">
        <w:rPr>
          <w:rFonts w:eastAsia="Times New Roman" w:cs="DecoType Naskh"/>
          <w:bCs/>
          <w:color w:val="auto"/>
          <w:kern w:val="0"/>
          <w:szCs w:val="28"/>
          <w:rtl/>
          <w:lang w:bidi="ar-JO"/>
          <w14:ligatures w14:val="none"/>
        </w:rPr>
        <w:tab/>
        <w:t>الأثاث</w:t>
      </w:r>
    </w:p>
    <w:p w14:paraId="53F10B6A"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 xml:space="preserve">كان تابوت العهد النقطة المركزية لخيمة الاجتماع، إذ كان مكان حضور الله.  فكان بهذه الصفة، قطعة الأثاث الوحيدة الموجودة في الغرفة الداخلية، أي قدس الأقداس.  وسنبدأ حديثنا التالي عن القطعة </w:t>
      </w:r>
      <w:r w:rsidRPr="002E1856">
        <w:rPr>
          <w:rFonts w:eastAsia="Times New Roman" w:cs="DecoType Naskh" w:hint="cs"/>
          <w:color w:val="auto"/>
          <w:kern w:val="0"/>
          <w:szCs w:val="26"/>
          <w:rtl/>
          <w:lang w:bidi="ar-JO"/>
          <w14:ligatures w14:val="none"/>
        </w:rPr>
        <w:t>التي في الخارج</w:t>
      </w:r>
      <w:r w:rsidRPr="002E1856">
        <w:rPr>
          <w:rFonts w:eastAsia="Times New Roman" w:cs="DecoType Naskh"/>
          <w:color w:val="auto"/>
          <w:kern w:val="0"/>
          <w:szCs w:val="26"/>
          <w:rtl/>
          <w:lang w:bidi="ar-JO"/>
          <w14:ligatures w14:val="none"/>
        </w:rPr>
        <w:t xml:space="preserve"> (مذبح المحرقة) ثم نتحرك باتجاه قدس الأقداس، وكأننا نصو</w:t>
      </w:r>
      <w:r w:rsidRPr="002E1856">
        <w:rPr>
          <w:rFonts w:eastAsia="Times New Roman" w:cs="DecoType Naskh" w:hint="cs"/>
          <w:color w:val="auto"/>
          <w:kern w:val="0"/>
          <w:szCs w:val="26"/>
          <w:rtl/>
          <w:lang w:bidi="ar-JO"/>
          <w14:ligatures w14:val="none"/>
        </w:rPr>
        <w:t>ِّ</w:t>
      </w:r>
      <w:r w:rsidRPr="002E1856">
        <w:rPr>
          <w:rFonts w:eastAsia="Times New Roman" w:cs="DecoType Naskh"/>
          <w:color w:val="auto"/>
          <w:kern w:val="0"/>
          <w:szCs w:val="26"/>
          <w:rtl/>
          <w:lang w:bidi="ar-JO"/>
          <w14:ligatures w14:val="none"/>
        </w:rPr>
        <w:t>ر الاقتراب إلى الله.</w:t>
      </w:r>
    </w:p>
    <w:p w14:paraId="614FD485"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4E98EB8D" w14:textId="77777777" w:rsidR="002E1856" w:rsidRPr="002E1856" w:rsidRDefault="002E1856"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2E1856">
        <w:rPr>
          <w:rFonts w:eastAsia="Times New Roman" w:cs="DecoType Naskh"/>
          <w:bCs/>
          <w:color w:val="auto"/>
          <w:kern w:val="0"/>
          <w:szCs w:val="26"/>
          <w:rtl/>
          <w14:ligatures w14:val="none"/>
        </w:rPr>
        <w:t>أ.</w:t>
      </w:r>
      <w:r w:rsidRPr="002E1856">
        <w:rPr>
          <w:rFonts w:eastAsia="Times New Roman" w:cs="DecoType Naskh"/>
          <w:bCs/>
          <w:color w:val="auto"/>
          <w:kern w:val="0"/>
          <w:szCs w:val="26"/>
          <w:rtl/>
          <w14:ligatures w14:val="none"/>
        </w:rPr>
        <w:tab/>
        <w:t xml:space="preserve">مذبح المحرقة </w:t>
      </w:r>
    </w:p>
    <w:p w14:paraId="5B915604"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 xml:space="preserve">عند دخول العابد من بني إسرائيل إلى الساحة من الجانب الشرقي، فإن أول شيء يراه هو المذبح النحاسي بقرونه الأربعة التي كانت تستخدم لربط الذبيحة.  وكانت الذبائح تقدم  ليهوه على هذا المذبح.  كانت تقدم عليه الذبائح عن الأفراد (لاويين 1-6)، بالإضافة إلى ذبائح يوم الكفارة والذبائح اليومية للأمّة.  </w:t>
      </w:r>
      <w:r w:rsidRPr="002E1856">
        <w:rPr>
          <w:rFonts w:eastAsia="Times New Roman" w:cs="DecoType Naskh" w:hint="cs"/>
          <w:color w:val="auto"/>
          <w:kern w:val="0"/>
          <w:szCs w:val="26"/>
          <w:rtl/>
          <w:lang w:bidi="ar-JO"/>
          <w14:ligatures w14:val="none"/>
        </w:rPr>
        <w:t>لم يكن يتم ذبح الحيوانات عليه فحسب، ولكن كان يجب ألا يطفأ مطلقاً (لاويين 6: 13).</w:t>
      </w:r>
      <w:r w:rsidRPr="002E1856">
        <w:rPr>
          <w:rFonts w:eastAsia="Times New Roman" w:cs="DecoType Naskh"/>
          <w:color w:val="auto"/>
          <w:kern w:val="0"/>
          <w:szCs w:val="26"/>
          <w:rtl/>
          <w:lang w:bidi="ar-JO"/>
          <w14:ligatures w14:val="none"/>
        </w:rPr>
        <w:t xml:space="preserve">  ومن الواضح أن "الذبيحة" كانت الفكرة المهيمنة على المذبح، خاصة الذبيحة البديلية.  وحين كان المرء يأتي للقاء الله، كان عليه أولاً أن يأتي عن طريق المذبح.  فلا يمكن للمرء أن يدخل في محضر الله دون ذبيحة.  وحين كان المتقدم يرى الحيوان البريء وهو يُذبح ويُحرق، كان </w:t>
      </w:r>
      <w:r w:rsidRPr="002E1856">
        <w:rPr>
          <w:rFonts w:eastAsia="Times New Roman" w:cs="DecoType Naskh" w:hint="cs"/>
          <w:color w:val="auto"/>
          <w:kern w:val="0"/>
          <w:szCs w:val="26"/>
          <w:rtl/>
          <w:lang w:bidi="ar-JO"/>
          <w14:ligatures w14:val="none"/>
        </w:rPr>
        <w:t>يُذكَّر</w:t>
      </w:r>
      <w:r w:rsidRPr="002E1856">
        <w:rPr>
          <w:rFonts w:eastAsia="Times New Roman" w:cs="DecoType Naskh"/>
          <w:color w:val="auto"/>
          <w:kern w:val="0"/>
          <w:szCs w:val="26"/>
          <w:rtl/>
          <w:lang w:bidi="ar-JO"/>
          <w14:ligatures w14:val="none"/>
        </w:rPr>
        <w:t xml:space="preserve"> دائماً بأن (1) الخطية تتطلب ثمناً باهظاً، و(2) أننا لا نستطيع أن ندفع ثمن الخطية بأنفسنا-إذ لا بد أن يكون هنالك بديل عنا من أجل خطايانا.</w:t>
      </w:r>
    </w:p>
    <w:p w14:paraId="719DB077"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987BD57" w14:textId="0942750E"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center"/>
        <w:rPr>
          <w:rFonts w:eastAsia="Times New Roman" w:cs="DecoType Naskh"/>
          <w:color w:val="auto"/>
          <w:kern w:val="0"/>
          <w:sz w:val="18"/>
          <w:szCs w:val="20"/>
          <w:rtl/>
          <w14:ligatures w14:val="none"/>
        </w:rPr>
      </w:pPr>
      <w:r w:rsidRPr="002E1856">
        <w:rPr>
          <w:rFonts w:eastAsia="Times New Roman" w:cs="DecoType Naskh"/>
          <w:noProof/>
          <w:color w:val="auto"/>
          <w:kern w:val="0"/>
          <w:sz w:val="18"/>
          <w:szCs w:val="20"/>
          <w:lang w:bidi="ar-JO"/>
          <w14:ligatures w14:val="none"/>
        </w:rPr>
        <w:drawing>
          <wp:inline distT="0" distB="0" distL="0" distR="0" wp14:anchorId="2F72B82C" wp14:editId="083C3824">
            <wp:extent cx="4434840" cy="3162300"/>
            <wp:effectExtent l="0" t="0" r="0" b="0"/>
            <wp:docPr id="1766636923" name="Picture 4" descr="A group of men playing instru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636923" name="Picture 4" descr="A group of men playing instruments&#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34840" cy="3162300"/>
                    </a:xfrm>
                    <a:prstGeom prst="rect">
                      <a:avLst/>
                    </a:prstGeom>
                    <a:noFill/>
                    <a:ln>
                      <a:noFill/>
                    </a:ln>
                  </pic:spPr>
                </pic:pic>
              </a:graphicData>
            </a:graphic>
          </wp:inline>
        </w:drawing>
      </w:r>
    </w:p>
    <w:p w14:paraId="77779309" w14:textId="77777777" w:rsidR="002E1856" w:rsidRPr="002E1856" w:rsidRDefault="002E1856"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2E1856">
        <w:rPr>
          <w:rFonts w:eastAsia="Times New Roman" w:cs="DecoType Naskh"/>
          <w:bCs/>
          <w:color w:val="auto"/>
          <w:kern w:val="0"/>
          <w:szCs w:val="26"/>
          <w:rtl/>
          <w14:ligatures w14:val="none"/>
        </w:rPr>
        <w:t>ب.</w:t>
      </w:r>
      <w:r w:rsidRPr="002E1856">
        <w:rPr>
          <w:rFonts w:eastAsia="Times New Roman" w:cs="DecoType Naskh"/>
          <w:bCs/>
          <w:color w:val="auto"/>
          <w:kern w:val="0"/>
          <w:szCs w:val="26"/>
          <w:rtl/>
          <w14:ligatures w14:val="none"/>
        </w:rPr>
        <w:tab/>
        <w:t>المرحضة النحاسية</w:t>
      </w:r>
    </w:p>
    <w:p w14:paraId="4150B7B5"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على النقيض من المذبح الذي كان مسموحاً لكل بني إسرائيل أن يتقدموا إليه، كانت المرحضة النحاسية للاستخدام الخاص للكهنة في خدمتهم وتأديتهم للطقوس في خيمة الاجتماع.  لم يكن ي</w:t>
      </w:r>
      <w:r w:rsidRPr="002E1856">
        <w:rPr>
          <w:rFonts w:eastAsia="Times New Roman" w:cs="DecoType Naskh" w:hint="cs"/>
          <w:color w:val="auto"/>
          <w:kern w:val="0"/>
          <w:szCs w:val="26"/>
          <w:rtl/>
          <w:lang w:bidi="ar-JO"/>
          <w14:ligatures w14:val="none"/>
        </w:rPr>
        <w:t>ُ</w:t>
      </w:r>
      <w:r w:rsidRPr="002E1856">
        <w:rPr>
          <w:rFonts w:eastAsia="Times New Roman" w:cs="DecoType Naskh"/>
          <w:color w:val="auto"/>
          <w:kern w:val="0"/>
          <w:szCs w:val="26"/>
          <w:rtl/>
          <w:lang w:bidi="ar-JO"/>
          <w14:ligatures w14:val="none"/>
        </w:rPr>
        <w:t>سم</w:t>
      </w:r>
      <w:r w:rsidRPr="002E1856">
        <w:rPr>
          <w:rFonts w:eastAsia="Times New Roman" w:cs="DecoType Naskh" w:hint="cs"/>
          <w:color w:val="auto"/>
          <w:kern w:val="0"/>
          <w:szCs w:val="26"/>
          <w:rtl/>
          <w:lang w:bidi="ar-JO"/>
          <w14:ligatures w14:val="none"/>
        </w:rPr>
        <w:t>َ</w:t>
      </w:r>
      <w:r w:rsidRPr="002E1856">
        <w:rPr>
          <w:rFonts w:eastAsia="Times New Roman" w:cs="DecoType Naskh"/>
          <w:color w:val="auto"/>
          <w:kern w:val="0"/>
          <w:szCs w:val="26"/>
          <w:rtl/>
          <w:lang w:bidi="ar-JO"/>
          <w14:ligatures w14:val="none"/>
        </w:rPr>
        <w:t xml:space="preserve">ح للكاهن بأن يدخل قدس الأقداس دون أن يقوم بالاغتسال </w:t>
      </w:r>
      <w:r w:rsidRPr="002E1856">
        <w:rPr>
          <w:rFonts w:eastAsia="Times New Roman" w:cs="DecoType Naskh" w:hint="cs"/>
          <w:color w:val="auto"/>
          <w:kern w:val="0"/>
          <w:szCs w:val="26"/>
          <w:rtl/>
          <w:lang w:bidi="ar-JO"/>
          <w14:ligatures w14:val="none"/>
        </w:rPr>
        <w:t>الطقسي</w:t>
      </w:r>
      <w:r w:rsidRPr="002E1856">
        <w:rPr>
          <w:rFonts w:eastAsia="Times New Roman" w:cs="DecoType Naskh"/>
          <w:color w:val="auto"/>
          <w:kern w:val="0"/>
          <w:szCs w:val="26"/>
          <w:rtl/>
          <w:lang w:bidi="ar-JO"/>
          <w14:ligatures w14:val="none"/>
        </w:rPr>
        <w:t xml:space="preserve">.  فكانت هذه خطوة بعد تقديم الذبيحة على المذبح، فقد كانت المرحضة شرطاً للمحافظة على </w:t>
      </w:r>
      <w:r w:rsidRPr="002E1856">
        <w:rPr>
          <w:rFonts w:eastAsia="Times New Roman" w:cs="DecoType Naskh" w:hint="cs"/>
          <w:color w:val="auto"/>
          <w:kern w:val="0"/>
          <w:szCs w:val="26"/>
          <w:rtl/>
          <w:lang w:bidi="ar-JO"/>
          <w14:ligatures w14:val="none"/>
        </w:rPr>
        <w:t>الاستعداد</w:t>
      </w:r>
      <w:r w:rsidRPr="002E1856">
        <w:rPr>
          <w:rFonts w:eastAsia="Times New Roman" w:cs="DecoType Naskh"/>
          <w:color w:val="auto"/>
          <w:kern w:val="0"/>
          <w:szCs w:val="26"/>
          <w:rtl/>
          <w:lang w:bidi="ar-JO"/>
          <w14:ligatures w14:val="none"/>
        </w:rPr>
        <w:t xml:space="preserve"> للخدمة الروحية (فكان يُحظر على الكاهن أن يدخل قدس الأقداس بدون اغتسال).  والمؤمنون اليوم (الذين هم جميعاً كهنة –مؤمنون) </w:t>
      </w:r>
      <w:r w:rsidRPr="002E1856">
        <w:rPr>
          <w:rFonts w:eastAsia="Times New Roman" w:cs="DecoType Naskh" w:hint="cs"/>
          <w:color w:val="auto"/>
          <w:kern w:val="0"/>
          <w:szCs w:val="26"/>
          <w:rtl/>
          <w:lang w:bidi="ar-JO"/>
          <w14:ligatures w14:val="none"/>
        </w:rPr>
        <w:t>مستعدون</w:t>
      </w:r>
      <w:r w:rsidRPr="002E1856">
        <w:rPr>
          <w:rFonts w:eastAsia="Times New Roman" w:cs="DecoType Naskh"/>
          <w:color w:val="auto"/>
          <w:kern w:val="0"/>
          <w:szCs w:val="26"/>
          <w:rtl/>
          <w:lang w:bidi="ar-JO"/>
          <w14:ligatures w14:val="none"/>
        </w:rPr>
        <w:t xml:space="preserve"> للخدمة في المسيح بالروح القدس الذي يقدِّس ويطهّر من خلال غسل الماء بكلمة الله (انظر أفسس 5: 26).  وترمز المغسلة إلى حاجتنا اليومية إلى التطهر من تلويث الخطية.  فالمؤمن يحافظ على اتصاله وشركته مع الله عندما يعترف له يومياً بخطاياه.</w:t>
      </w:r>
    </w:p>
    <w:p w14:paraId="50A462E9" w14:textId="77777777" w:rsidR="002E1856" w:rsidRPr="002E1856" w:rsidRDefault="002E1856"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p>
    <w:p w14:paraId="4D735B69" w14:textId="77777777" w:rsidR="002E1856" w:rsidRPr="002E1856" w:rsidRDefault="002E1856"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2E1856">
        <w:rPr>
          <w:rFonts w:eastAsia="Times New Roman" w:cs="DecoType Naskh"/>
          <w:bCs/>
          <w:color w:val="auto"/>
          <w:kern w:val="0"/>
          <w:szCs w:val="26"/>
          <w:rtl/>
          <w14:ligatures w14:val="none"/>
        </w:rPr>
        <w:t>جـ.</w:t>
      </w:r>
      <w:r w:rsidRPr="002E1856">
        <w:rPr>
          <w:rFonts w:eastAsia="Times New Roman" w:cs="DecoType Naskh"/>
          <w:bCs/>
          <w:color w:val="auto"/>
          <w:kern w:val="0"/>
          <w:szCs w:val="26"/>
          <w:rtl/>
          <w14:ligatures w14:val="none"/>
        </w:rPr>
        <w:tab/>
        <w:t xml:space="preserve">خيمة الاجتماع الفعلية </w:t>
      </w:r>
    </w:p>
    <w:p w14:paraId="5D86B205"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lastRenderedPageBreak/>
        <w:t xml:space="preserve">بعد اغتسال الكاهن كان يسمح له بالدخول إلى </w:t>
      </w:r>
      <w:r w:rsidRPr="002E1856">
        <w:rPr>
          <w:rFonts w:eastAsia="Times New Roman" w:cs="DecoType Naskh" w:hint="cs"/>
          <w:color w:val="auto"/>
          <w:kern w:val="0"/>
          <w:szCs w:val="26"/>
          <w:rtl/>
          <w:lang w:bidi="ar-JO"/>
          <w14:ligatures w14:val="none"/>
        </w:rPr>
        <w:t>خيمة الاجتماع</w:t>
      </w:r>
      <w:r w:rsidRPr="002E1856">
        <w:rPr>
          <w:rFonts w:eastAsia="Times New Roman" w:cs="DecoType Naskh"/>
          <w:color w:val="auto"/>
          <w:kern w:val="0"/>
          <w:szCs w:val="26"/>
          <w:rtl/>
          <w:lang w:bidi="ar-JO"/>
          <w14:ligatures w14:val="none"/>
        </w:rPr>
        <w:t xml:space="preserve"> (</w:t>
      </w:r>
      <w:r w:rsidRPr="002E1856">
        <w:rPr>
          <w:rFonts w:eastAsia="Times New Roman" w:cs="DecoType Naskh" w:hint="cs"/>
          <w:color w:val="auto"/>
          <w:kern w:val="0"/>
          <w:szCs w:val="26"/>
          <w:rtl/>
          <w:lang w:bidi="ar-JO"/>
          <w14:ligatures w14:val="none"/>
        </w:rPr>
        <w:t>وبشكلٍ أكثر تحديداً إلى القدس</w:t>
      </w:r>
      <w:r w:rsidRPr="002E1856">
        <w:rPr>
          <w:rFonts w:eastAsia="Times New Roman" w:cs="DecoType Naskh"/>
          <w:color w:val="auto"/>
          <w:kern w:val="0"/>
          <w:szCs w:val="26"/>
          <w:rtl/>
          <w:lang w:bidi="ar-JO"/>
          <w14:ligatures w14:val="none"/>
        </w:rPr>
        <w:t xml:space="preserve">).  ولم يكن غير الكهنة يستطيعون أن يروا من خيمة الاجتماع إلاّ ستائرها الخارجية.  ولم يعرف الذين في الخارج إلاّ أن الكاهن دخل ليمثّلهم أمام الله.  لكنهم كلّما رأوا خيمة الاجتماع (من الخارج)، كانوا </w:t>
      </w:r>
      <w:r w:rsidRPr="002E1856">
        <w:rPr>
          <w:rFonts w:eastAsia="Times New Roman" w:cs="DecoType Naskh" w:hint="cs"/>
          <w:color w:val="auto"/>
          <w:kern w:val="0"/>
          <w:szCs w:val="26"/>
          <w:rtl/>
          <w:lang w:bidi="ar-JO"/>
          <w14:ligatures w14:val="none"/>
        </w:rPr>
        <w:t>ُ</w:t>
      </w:r>
      <w:r w:rsidRPr="002E1856">
        <w:rPr>
          <w:rFonts w:eastAsia="Times New Roman" w:cs="DecoType Naskh"/>
          <w:color w:val="auto"/>
          <w:kern w:val="0"/>
          <w:szCs w:val="26"/>
          <w:rtl/>
          <w:lang w:bidi="ar-JO"/>
          <w14:ligatures w14:val="none"/>
        </w:rPr>
        <w:t xml:space="preserve">يذكَّرون بأن الله ساكن بين البشر.  فخيمة الاجتماع رمز لسكنى الله مع شعبه (خروج 25: 8؛ 1ملوك 8: 27).  وقد امتدّ هذا المفهوم إلى التجسّد </w:t>
      </w:r>
      <w:r w:rsidRPr="002E1856">
        <w:rPr>
          <w:rFonts w:eastAsia="Times New Roman" w:cs="DecoType Naskh" w:hint="cs"/>
          <w:color w:val="auto"/>
          <w:kern w:val="0"/>
          <w:szCs w:val="26"/>
          <w:rtl/>
          <w:lang w:bidi="ar-JO"/>
          <w14:ligatures w14:val="none"/>
        </w:rPr>
        <w:t>الذي</w:t>
      </w:r>
      <w:r w:rsidRPr="002E1856">
        <w:rPr>
          <w:rFonts w:eastAsia="Times New Roman" w:cs="DecoType Naskh"/>
          <w:color w:val="auto"/>
          <w:kern w:val="0"/>
          <w:szCs w:val="26"/>
          <w:rtl/>
          <w:lang w:bidi="ar-JO"/>
          <w14:ligatures w14:val="none"/>
        </w:rPr>
        <w:t xml:space="preserve"> حقّقه المسيح (انظر كولوسي 1: 19؛ 2: 9)، ومن المثير للاهتمام أن الترجمة الصحيحة ليوحنا 1: 14 هي "والكلمة صار جسداً وخيّم بيننا، ورأينا مجده..."</w:t>
      </w:r>
      <w:r w:rsidRPr="002E1856">
        <w:rPr>
          <w:rFonts w:eastAsia="Times New Roman" w:cs="DecoType Naskh"/>
          <w:color w:val="auto"/>
          <w:kern w:val="0"/>
          <w:sz w:val="28"/>
          <w:szCs w:val="28"/>
          <w:vertAlign w:val="superscript"/>
          <w:rtl/>
          <w:lang w:bidi="ar-JO"/>
          <w14:ligatures w14:val="none"/>
        </w:rPr>
        <w:footnoteReference w:id="80"/>
      </w:r>
      <w:r w:rsidRPr="002E1856">
        <w:rPr>
          <w:rFonts w:eastAsia="Times New Roman" w:cs="DecoType Naskh"/>
          <w:color w:val="auto"/>
          <w:kern w:val="0"/>
          <w:szCs w:val="26"/>
          <w:rtl/>
          <w:lang w:bidi="ar-JO"/>
          <w14:ligatures w14:val="none"/>
        </w:rPr>
        <w:t xml:space="preserve">  سكن الله</w:t>
      </w:r>
      <w:r w:rsidRPr="002E1856">
        <w:rPr>
          <w:rFonts w:eastAsia="Times New Roman" w:cs="DecoType Naskh" w:hint="cs"/>
          <w:color w:val="auto"/>
          <w:kern w:val="0"/>
          <w:szCs w:val="26"/>
          <w:rtl/>
          <w:lang w:bidi="ar-JO"/>
          <w14:ligatures w14:val="none"/>
        </w:rPr>
        <w:t xml:space="preserve"> </w:t>
      </w:r>
      <w:r w:rsidRPr="002E1856">
        <w:rPr>
          <w:rFonts w:eastAsia="Times New Roman" w:cs="DecoType Naskh"/>
          <w:color w:val="auto"/>
          <w:kern w:val="0"/>
          <w:szCs w:val="26"/>
          <w:rtl/>
          <w:lang w:bidi="ar-JO"/>
          <w14:ligatures w14:val="none"/>
        </w:rPr>
        <w:t>في يسوع بين الناس بشكلٍ أكثر حميمية.  وبعد يوم الخمسين صار الآن يسكن في كل مؤمن.</w:t>
      </w:r>
    </w:p>
    <w:p w14:paraId="136852B8"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 xml:space="preserve">وأخيراً، قُصد بخيمة الاجتماع أن تعكس </w:t>
      </w:r>
      <w:r w:rsidRPr="002E1856">
        <w:rPr>
          <w:rFonts w:eastAsia="Times New Roman" w:cs="DecoType Naskh" w:hint="cs"/>
          <w:color w:val="auto"/>
          <w:kern w:val="0"/>
          <w:szCs w:val="26"/>
          <w:rtl/>
          <w:lang w:bidi="ar-JO"/>
          <w14:ligatures w14:val="none"/>
        </w:rPr>
        <w:t>حقيقة</w:t>
      </w:r>
      <w:r w:rsidRPr="002E1856">
        <w:rPr>
          <w:rFonts w:eastAsia="Times New Roman" w:cs="DecoType Naskh"/>
          <w:color w:val="auto"/>
          <w:kern w:val="0"/>
          <w:szCs w:val="26"/>
          <w:rtl/>
          <w:lang w:bidi="ar-JO"/>
          <w14:ligatures w14:val="none"/>
        </w:rPr>
        <w:t xml:space="preserve"> أعظم.  فهنالك "خيمة اجتماع سماوية" لم تشكّل خيمة الاجتماع </w:t>
      </w:r>
      <w:r w:rsidRPr="002E1856">
        <w:rPr>
          <w:rFonts w:eastAsia="Times New Roman" w:cs="DecoType Naskh" w:hint="cs"/>
          <w:color w:val="auto"/>
          <w:kern w:val="0"/>
          <w:szCs w:val="26"/>
          <w:rtl/>
          <w:lang w:bidi="ar-JO"/>
          <w14:ligatures w14:val="none"/>
        </w:rPr>
        <w:t>الأرضية</w:t>
      </w:r>
      <w:r w:rsidRPr="002E1856">
        <w:rPr>
          <w:rFonts w:eastAsia="Times New Roman" w:cs="DecoType Naskh"/>
          <w:color w:val="auto"/>
          <w:kern w:val="0"/>
          <w:szCs w:val="26"/>
          <w:rtl/>
          <w:lang w:bidi="ar-JO"/>
          <w14:ligatures w14:val="none"/>
        </w:rPr>
        <w:t xml:space="preserve"> إلاّ ظلاًّ أو رمزاً لها (انظر عبرانيين 9: 6-14).   </w:t>
      </w:r>
    </w:p>
    <w:p w14:paraId="243A1BB6"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445D7CD" w14:textId="309F22F8" w:rsidR="002E1856" w:rsidRPr="002E1856" w:rsidRDefault="002E1856"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2E1856">
        <w:rPr>
          <w:rFonts w:eastAsia="Times New Roman" w:cs="DecoType Naskh"/>
          <w:bCs/>
          <w:noProof/>
          <w:color w:val="auto"/>
          <w:kern w:val="0"/>
          <w:sz w:val="20"/>
          <w:szCs w:val="26"/>
          <w:lang w:val="ar-SA"/>
          <w14:ligatures w14:val="none"/>
        </w:rPr>
        <w:drawing>
          <wp:anchor distT="0" distB="0" distL="114300" distR="114300" simplePos="0" relativeHeight="251660288" behindDoc="0" locked="0" layoutInCell="1" allowOverlap="0" wp14:anchorId="240B9091" wp14:editId="1E013D73">
            <wp:simplePos x="0" y="0"/>
            <wp:positionH relativeFrom="column">
              <wp:posOffset>76200</wp:posOffset>
            </wp:positionH>
            <wp:positionV relativeFrom="paragraph">
              <wp:posOffset>131445</wp:posOffset>
            </wp:positionV>
            <wp:extent cx="1371600" cy="1819275"/>
            <wp:effectExtent l="0" t="0" r="0" b="0"/>
            <wp:wrapTight wrapText="bothSides">
              <wp:wrapPolygon edited="0">
                <wp:start x="0" y="0"/>
                <wp:lineTo x="0" y="21487"/>
                <wp:lineTo x="21300" y="21487"/>
                <wp:lineTo x="21300" y="0"/>
                <wp:lineTo x="0" y="0"/>
              </wp:wrapPolygon>
            </wp:wrapTight>
            <wp:docPr id="816834823" name="Picture 9" descr="A black and white drawing of a menora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834823" name="Picture 9" descr="A black and white drawing of a menorah&#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71600" cy="1819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1856">
        <w:rPr>
          <w:rFonts w:eastAsia="Times New Roman" w:cs="DecoType Naskh" w:hint="cs"/>
          <w:bCs/>
          <w:color w:val="auto"/>
          <w:kern w:val="0"/>
          <w:szCs w:val="26"/>
          <w:rtl/>
          <w14:ligatures w14:val="none"/>
        </w:rPr>
        <w:t>د</w:t>
      </w:r>
      <w:r w:rsidRPr="002E1856">
        <w:rPr>
          <w:rFonts w:eastAsia="Times New Roman" w:cs="DecoType Naskh"/>
          <w:bCs/>
          <w:color w:val="auto"/>
          <w:kern w:val="0"/>
          <w:szCs w:val="26"/>
          <w:rtl/>
          <w14:ligatures w14:val="none"/>
        </w:rPr>
        <w:t>.</w:t>
      </w:r>
      <w:r w:rsidRPr="002E1856">
        <w:rPr>
          <w:rFonts w:eastAsia="Times New Roman" w:cs="DecoType Naskh"/>
          <w:bCs/>
          <w:color w:val="auto"/>
          <w:kern w:val="0"/>
          <w:szCs w:val="26"/>
          <w:rtl/>
          <w14:ligatures w14:val="none"/>
        </w:rPr>
        <w:tab/>
        <w:t>المنارة (الشمعدان</w:t>
      </w:r>
      <w:r w:rsidRPr="002E1856">
        <w:rPr>
          <w:rFonts w:eastAsia="Times New Roman" w:cs="DecoType Naskh" w:hint="cs"/>
          <w:bCs/>
          <w:color w:val="auto"/>
          <w:kern w:val="0"/>
          <w:szCs w:val="26"/>
          <w:rtl/>
          <w:lang w:bidi="ar-KW"/>
          <w14:ligatures w14:val="none"/>
        </w:rPr>
        <w:t>)</w:t>
      </w:r>
      <w:r w:rsidRPr="002E1856">
        <w:rPr>
          <w:rFonts w:eastAsia="Times New Roman" w:cs="DecoType Naskh"/>
          <w:bCs/>
          <w:color w:val="auto"/>
          <w:kern w:val="0"/>
          <w:szCs w:val="26"/>
          <w:rtl/>
          <w14:ligatures w14:val="none"/>
        </w:rPr>
        <w:t xml:space="preserve"> الذهبية</w:t>
      </w:r>
    </w:p>
    <w:p w14:paraId="6674C6A3"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مع دخول الكاهن بحذر ووقار إلى القدس (المكان المقدس) كان يلاحظ عدّة أشياء: المنارة (الشمعدان) الذهبية عن يساره، ومائدة خبز التقدمة عن يمينه، ومذبح البخّور مباشرة أمام الحجاب الذي يفصل القدس (المكان المقدَّس) عن قدس الأقداس.  ويخرج من المنارة ضوء ناعم مشتعل بشكل مترجرج أو متقطع ينير الغرفة، وهو ضوء</w:t>
      </w:r>
      <w:r w:rsidRPr="002E1856">
        <w:rPr>
          <w:rFonts w:eastAsia="Times New Roman" w:cs="DecoType Naskh" w:hint="cs"/>
          <w:color w:val="auto"/>
          <w:kern w:val="0"/>
          <w:szCs w:val="26"/>
          <w:rtl/>
          <w:lang w:bidi="ar-JO"/>
          <w14:ligatures w14:val="none"/>
        </w:rPr>
        <w:t>،</w:t>
      </w:r>
      <w:r w:rsidRPr="002E1856">
        <w:rPr>
          <w:rFonts w:eastAsia="Times New Roman" w:cs="DecoType Naskh"/>
          <w:color w:val="auto"/>
          <w:kern w:val="0"/>
          <w:szCs w:val="26"/>
          <w:rtl/>
          <w:lang w:bidi="ar-JO"/>
          <w14:ligatures w14:val="none"/>
        </w:rPr>
        <w:t xml:space="preserve"> </w:t>
      </w:r>
      <w:r w:rsidRPr="002E1856">
        <w:rPr>
          <w:rFonts w:eastAsia="Times New Roman" w:cs="DecoType Naskh" w:hint="cs"/>
          <w:color w:val="auto"/>
          <w:kern w:val="0"/>
          <w:szCs w:val="26"/>
          <w:rtl/>
          <w:lang w:bidi="ar-JO"/>
          <w14:ligatures w14:val="none"/>
        </w:rPr>
        <w:t>والذي كان من المفروض ألا</w:t>
      </w:r>
      <w:r w:rsidRPr="002E1856">
        <w:rPr>
          <w:rFonts w:eastAsia="Times New Roman" w:cs="DecoType Naskh"/>
          <w:color w:val="auto"/>
          <w:kern w:val="0"/>
          <w:szCs w:val="26"/>
          <w:rtl/>
          <w:lang w:bidi="ar-JO"/>
          <w14:ligatures w14:val="none"/>
        </w:rPr>
        <w:t xml:space="preserve"> ينطفئ أبداً.</w:t>
      </w:r>
    </w:p>
    <w:p w14:paraId="28F53C06"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 xml:space="preserve">ذكّرت المنارة الشعب المفدي بوظيفتهم… أن يكونوا نوراً للعالم، مملكة من الكهنة (خروج 19: 5-6)، أي وسطاء (انظر زكريا 4).  وتتحقق هذه الوظيفة، وظيفة أن يكون المرء نوراً لمن هم في الظلمة، في نهاية الأمر في المسيح نفسه الذي هو نور العالم.  ويفترض أن يكون المؤمنون بالمسيح بدورهم أنواراً للعالم.  ويرمز </w:t>
      </w:r>
      <w:r w:rsidRPr="002E1856">
        <w:rPr>
          <w:rFonts w:eastAsia="Times New Roman" w:cs="DecoType Naskh" w:hint="cs"/>
          <w:color w:val="auto"/>
          <w:kern w:val="0"/>
          <w:szCs w:val="26"/>
          <w:rtl/>
          <w:lang w:bidi="ar-JO"/>
          <w14:ligatures w14:val="none"/>
        </w:rPr>
        <w:t>زيت</w:t>
      </w:r>
      <w:r w:rsidRPr="002E1856">
        <w:rPr>
          <w:rFonts w:eastAsia="Times New Roman" w:cs="DecoType Naskh"/>
          <w:color w:val="auto"/>
          <w:kern w:val="0"/>
          <w:szCs w:val="26"/>
          <w:rtl/>
          <w:lang w:bidi="ar-JO"/>
          <w14:ligatures w14:val="none"/>
        </w:rPr>
        <w:t xml:space="preserve"> المصباح إلى الروح القدس الذي يُبقي النور مشتعلاً.</w:t>
      </w:r>
    </w:p>
    <w:p w14:paraId="630C7FBB" w14:textId="5344A05A"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r w:rsidRPr="002E1856">
        <w:rPr>
          <w:rFonts w:eastAsia="Times New Roman" w:cs="DecoType Naskh"/>
          <w:noProof/>
          <w:color w:val="auto"/>
          <w:kern w:val="0"/>
          <w:sz w:val="20"/>
          <w:szCs w:val="26"/>
          <w:rtl/>
          <w:lang w:val="ar-SA" w:eastAsia="ar-SA"/>
          <w14:ligatures w14:val="none"/>
        </w:rPr>
        <w:drawing>
          <wp:anchor distT="0" distB="0" distL="114300" distR="114300" simplePos="0" relativeHeight="251651072" behindDoc="0" locked="0" layoutInCell="1" allowOverlap="1" wp14:anchorId="6AB5CC16" wp14:editId="1683508C">
            <wp:simplePos x="0" y="0"/>
            <wp:positionH relativeFrom="column">
              <wp:posOffset>133350</wp:posOffset>
            </wp:positionH>
            <wp:positionV relativeFrom="paragraph">
              <wp:posOffset>123190</wp:posOffset>
            </wp:positionV>
            <wp:extent cx="1276350" cy="1371600"/>
            <wp:effectExtent l="0" t="0" r="0" b="0"/>
            <wp:wrapSquare wrapText="left"/>
            <wp:docPr id="893114542" name="Picture 8" descr="A drawing of a table with pancake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114542" name="Picture 8" descr="A drawing of a table with pancakes on it&#10;&#10;Description automatically generated"/>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7635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8D02B2" w14:textId="1C29CBA0" w:rsidR="002E1856" w:rsidRPr="002E1856" w:rsidRDefault="002E1856"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2E1856">
        <w:rPr>
          <w:rFonts w:eastAsia="Times New Roman" w:cs="DecoType Naskh"/>
          <w:bCs/>
          <w:color w:val="auto"/>
          <w:kern w:val="0"/>
          <w:szCs w:val="28"/>
          <w:rtl/>
          <w:lang w:bidi="ar-JO"/>
          <w14:ligatures w14:val="none"/>
        </w:rPr>
        <w:t>هـ.</w:t>
      </w:r>
      <w:r w:rsidRPr="002E1856">
        <w:rPr>
          <w:rFonts w:eastAsia="Times New Roman" w:cs="DecoType Naskh"/>
          <w:bCs/>
          <w:color w:val="auto"/>
          <w:kern w:val="0"/>
          <w:szCs w:val="28"/>
          <w:rtl/>
          <w:lang w:bidi="ar-JO"/>
          <w14:ligatures w14:val="none"/>
        </w:rPr>
        <w:tab/>
        <w:t xml:space="preserve">مائدة خبز التقدمة </w:t>
      </w:r>
    </w:p>
    <w:p w14:paraId="49AD57BB" w14:textId="505E7894"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2E1856">
        <w:rPr>
          <w:rFonts w:eastAsia="Times New Roman" w:cs="DecoType Naskh"/>
          <w:color w:val="auto"/>
          <w:kern w:val="0"/>
          <w:szCs w:val="26"/>
          <w:rtl/>
          <w:lang w:bidi="ar-JO"/>
          <w14:ligatures w14:val="none"/>
        </w:rPr>
        <w:t xml:space="preserve">كانت هنالك مقابل المنارة طاولة عليها اثنا عشر رغيفاً من الخبز، واحد لكل سبط من أسباط إسرائيل.  وكان في إمكان الكهنة أن يأكلوا هذه الأرغفة في السبت، لكن يجب أن يتم ذلك في المقدس (لاويين </w:t>
      </w:r>
      <w:r w:rsidRPr="002E1856">
        <w:rPr>
          <w:rFonts w:eastAsia="Times New Roman" w:cs="DecoType Naskh" w:hint="cs"/>
          <w:color w:val="auto"/>
          <w:kern w:val="0"/>
          <w:szCs w:val="26"/>
          <w:rtl/>
          <w:lang w:bidi="ar-JO"/>
          <w14:ligatures w14:val="none"/>
        </w:rPr>
        <w:t>24</w:t>
      </w:r>
      <w:r w:rsidRPr="002E1856">
        <w:rPr>
          <w:rFonts w:eastAsia="Times New Roman" w:cs="DecoType Naskh"/>
          <w:color w:val="auto"/>
          <w:kern w:val="0"/>
          <w:szCs w:val="26"/>
          <w:rtl/>
          <w:lang w:bidi="ar-JO"/>
          <w14:ligatures w14:val="none"/>
        </w:rPr>
        <w:t>: 5-9).  وهكذا رمَز خبز التقدمة إلى تغذية الحياة الروحية من خلال الشركة مع الله.  فبعد تقديم الذبيحة الملائمة على المذبح كانت الشركة مع الله أمراً ممكناً.  وعندما وصف يسوع نفسه أنه "خبز الحياة"، أراد أن يذك</w:t>
      </w:r>
      <w:r w:rsidRPr="002E1856">
        <w:rPr>
          <w:rFonts w:eastAsia="Times New Roman" w:cs="DecoType Naskh" w:hint="cs"/>
          <w:color w:val="auto"/>
          <w:kern w:val="0"/>
          <w:szCs w:val="26"/>
          <w:rtl/>
          <w:lang w:bidi="ar-JO"/>
          <w14:ligatures w14:val="none"/>
        </w:rPr>
        <w:t>ِّ</w:t>
      </w:r>
      <w:r w:rsidRPr="002E1856">
        <w:rPr>
          <w:rFonts w:eastAsia="Times New Roman" w:cs="DecoType Naskh"/>
          <w:color w:val="auto"/>
          <w:kern w:val="0"/>
          <w:szCs w:val="26"/>
          <w:rtl/>
          <w:lang w:bidi="ar-JO"/>
          <w14:ligatures w14:val="none"/>
        </w:rPr>
        <w:t>رنا بأنه التغذية الحقيقية للحياة الروحية.</w:t>
      </w:r>
    </w:p>
    <w:p w14:paraId="1A0B7E86"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lang w:bidi="ar-KW"/>
          <w14:ligatures w14:val="none"/>
        </w:rPr>
      </w:pPr>
    </w:p>
    <w:p w14:paraId="46018923" w14:textId="77777777" w:rsidR="002E1856" w:rsidRPr="002E1856" w:rsidRDefault="002E1856"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2E1856">
        <w:rPr>
          <w:rFonts w:eastAsia="Times New Roman" w:cs="DecoType Naskh"/>
          <w:bCs/>
          <w:color w:val="auto"/>
          <w:kern w:val="0"/>
          <w:szCs w:val="26"/>
          <w:rtl/>
          <w14:ligatures w14:val="none"/>
        </w:rPr>
        <w:t>و.</w:t>
      </w:r>
      <w:r w:rsidRPr="002E1856">
        <w:rPr>
          <w:rFonts w:eastAsia="Times New Roman" w:cs="DecoType Naskh"/>
          <w:bCs/>
          <w:color w:val="auto"/>
          <w:kern w:val="0"/>
          <w:szCs w:val="26"/>
          <w:rtl/>
          <w14:ligatures w14:val="none"/>
        </w:rPr>
        <w:tab/>
        <w:t>مذبح البخور</w:t>
      </w:r>
    </w:p>
    <w:p w14:paraId="43F6CEDE" w14:textId="1C40FAE3"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E1856">
        <w:rPr>
          <w:rFonts w:eastAsia="Times New Roman" w:cs="DecoType Naskh"/>
          <w:noProof/>
          <w:color w:val="auto"/>
          <w:kern w:val="0"/>
          <w:szCs w:val="26"/>
          <w:rtl/>
          <w:lang w:val="ar-SA" w:eastAsia="ar-SA" w:bidi="ar-JO"/>
          <w14:ligatures w14:val="none"/>
        </w:rPr>
        <w:lastRenderedPageBreak/>
        <w:drawing>
          <wp:anchor distT="0" distB="0" distL="114300" distR="114300" simplePos="0" relativeHeight="251661312" behindDoc="0" locked="0" layoutInCell="1" allowOverlap="1" wp14:anchorId="5B6357C9" wp14:editId="173D0DA4">
            <wp:simplePos x="0" y="0"/>
            <wp:positionH relativeFrom="column">
              <wp:posOffset>140335</wp:posOffset>
            </wp:positionH>
            <wp:positionV relativeFrom="paragraph">
              <wp:posOffset>12700</wp:posOffset>
            </wp:positionV>
            <wp:extent cx="975360" cy="1577975"/>
            <wp:effectExtent l="0" t="0" r="0" b="0"/>
            <wp:wrapSquare wrapText="left"/>
            <wp:docPr id="1399977029" name="Picture 7" descr="A drawing of a wooden box&#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977029" name="Picture 7" descr="A drawing of a wooden box&#10;&#10;Description automatically generated"/>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975360" cy="15779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1856">
        <w:rPr>
          <w:rFonts w:eastAsia="Times New Roman" w:cs="DecoType Naskh" w:hint="cs"/>
          <w:color w:val="auto"/>
          <w:kern w:val="0"/>
          <w:szCs w:val="26"/>
          <w:rtl/>
          <w:lang w:bidi="ar-JO"/>
          <w14:ligatures w14:val="none"/>
        </w:rPr>
        <w:t>كان</w:t>
      </w:r>
      <w:r w:rsidRPr="002E1856">
        <w:rPr>
          <w:rFonts w:eastAsia="Times New Roman" w:cs="DecoType Naskh"/>
          <w:color w:val="auto"/>
          <w:kern w:val="0"/>
          <w:szCs w:val="26"/>
          <w:rtl/>
          <w:lang w:bidi="ar-JO"/>
          <w14:ligatures w14:val="none"/>
        </w:rPr>
        <w:t xml:space="preserve"> مذبح البخور </w:t>
      </w:r>
      <w:r w:rsidRPr="002E1856">
        <w:rPr>
          <w:rFonts w:eastAsia="Times New Roman" w:cs="DecoType Naskh" w:hint="cs"/>
          <w:color w:val="auto"/>
          <w:kern w:val="0"/>
          <w:szCs w:val="26"/>
          <w:rtl/>
          <w:lang w:bidi="ar-JO"/>
          <w14:ligatures w14:val="none"/>
        </w:rPr>
        <w:t xml:space="preserve">ينتصب </w:t>
      </w:r>
      <w:r w:rsidRPr="002E1856">
        <w:rPr>
          <w:rFonts w:eastAsia="Times New Roman" w:cs="DecoType Naskh"/>
          <w:color w:val="auto"/>
          <w:kern w:val="0"/>
          <w:szCs w:val="26"/>
          <w:rtl/>
          <w:lang w:bidi="ar-JO"/>
          <w14:ligatures w14:val="none"/>
        </w:rPr>
        <w:t xml:space="preserve">أمام الحجاب مباشرة.  كان الكاهن يضع على هذا المذبح جمرات محترقة يحملها بواسطة ملقط من المذبح النحاسي في </w:t>
      </w:r>
      <w:r w:rsidRPr="002E1856">
        <w:rPr>
          <w:rFonts w:eastAsia="Times New Roman" w:cs="DecoType Naskh" w:hint="cs"/>
          <w:color w:val="auto"/>
          <w:kern w:val="0"/>
          <w:szCs w:val="26"/>
          <w:rtl/>
          <w:lang w:bidi="ar-JO"/>
          <w14:ligatures w14:val="none"/>
        </w:rPr>
        <w:t>الدار الخارجية</w:t>
      </w:r>
      <w:r w:rsidRPr="002E1856">
        <w:rPr>
          <w:rFonts w:eastAsia="Times New Roman" w:cs="DecoType Naskh"/>
          <w:color w:val="auto"/>
          <w:kern w:val="0"/>
          <w:szCs w:val="26"/>
          <w:rtl/>
          <w:lang w:bidi="ar-JO"/>
          <w14:ligatures w14:val="none"/>
        </w:rPr>
        <w:t>.  وكان الكاهن يرش على هذه الجمرات بخوراً ذا رائحة زكية م</w:t>
      </w:r>
      <w:r w:rsidRPr="002E1856">
        <w:rPr>
          <w:rFonts w:eastAsia="Times New Roman" w:cs="DecoType Naskh" w:hint="cs"/>
          <w:color w:val="auto"/>
          <w:kern w:val="0"/>
          <w:szCs w:val="26"/>
          <w:rtl/>
          <w:lang w:bidi="ar-JO"/>
          <w14:ligatures w14:val="none"/>
        </w:rPr>
        <w:t>ُ</w:t>
      </w:r>
      <w:r w:rsidRPr="002E1856">
        <w:rPr>
          <w:rFonts w:eastAsia="Times New Roman" w:cs="DecoType Naskh"/>
          <w:color w:val="auto"/>
          <w:kern w:val="0"/>
          <w:szCs w:val="26"/>
          <w:rtl/>
          <w:lang w:bidi="ar-JO"/>
          <w14:ligatures w14:val="none"/>
        </w:rPr>
        <w:t>ع</w:t>
      </w:r>
      <w:r w:rsidRPr="002E1856">
        <w:rPr>
          <w:rFonts w:eastAsia="Times New Roman" w:cs="DecoType Naskh" w:hint="cs"/>
          <w:color w:val="auto"/>
          <w:kern w:val="0"/>
          <w:szCs w:val="26"/>
          <w:rtl/>
          <w:lang w:bidi="ar-JO"/>
          <w14:ligatures w14:val="none"/>
        </w:rPr>
        <w:t>َ</w:t>
      </w:r>
      <w:r w:rsidRPr="002E1856">
        <w:rPr>
          <w:rFonts w:eastAsia="Times New Roman" w:cs="DecoType Naskh"/>
          <w:color w:val="auto"/>
          <w:kern w:val="0"/>
          <w:szCs w:val="26"/>
          <w:rtl/>
          <w:lang w:bidi="ar-JO"/>
          <w14:ligatures w14:val="none"/>
        </w:rPr>
        <w:t>د إعداداً خاصاً، فيُخرج سحابة كثيفة من الدخان العطِر مالئاً خيمة الاجتماع.  رمَز البخور إلى الصلاة (انظر رؤيا 5: 8؛ 8: 3-4) الصاعدة أمام الله، مذكِّراً المفديين بامتياز العبادة ومسؤوليتها.  وبطبيعة الحال فإن أرقى مثال لهذه الوظيفة هو المسيح في خدمته التشفُّعيّة.</w:t>
      </w:r>
    </w:p>
    <w:p w14:paraId="6E6AFB9A"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lang w:bidi="ar-KW"/>
          <w14:ligatures w14:val="none"/>
        </w:rPr>
      </w:pPr>
    </w:p>
    <w:p w14:paraId="194344CC" w14:textId="77777777" w:rsidR="002E1856" w:rsidRPr="002E1856" w:rsidRDefault="002E1856"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2E1856">
        <w:rPr>
          <w:rFonts w:eastAsia="Times New Roman" w:cs="DecoType Naskh"/>
          <w:bCs/>
          <w:color w:val="auto"/>
          <w:kern w:val="0"/>
          <w:szCs w:val="26"/>
          <w:rtl/>
          <w14:ligatures w14:val="none"/>
        </w:rPr>
        <w:t>ز.</w:t>
      </w:r>
      <w:r w:rsidRPr="002E1856">
        <w:rPr>
          <w:rFonts w:eastAsia="Times New Roman" w:cs="DecoType Naskh"/>
          <w:bCs/>
          <w:color w:val="auto"/>
          <w:kern w:val="0"/>
          <w:szCs w:val="26"/>
          <w:rtl/>
          <w14:ligatures w14:val="none"/>
        </w:rPr>
        <w:tab/>
        <w:t>الحجاب</w:t>
      </w:r>
    </w:p>
    <w:p w14:paraId="44B317B5" w14:textId="40131B73"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E1856">
        <w:rPr>
          <w:rFonts w:eastAsia="Times New Roman" w:cs="DecoType Naskh"/>
          <w:noProof/>
          <w:color w:val="auto"/>
          <w:kern w:val="0"/>
          <w:szCs w:val="26"/>
          <w:rtl/>
          <w:lang w:val="ar-SA" w:eastAsia="ar-SA" w:bidi="ar-JO"/>
          <w14:ligatures w14:val="none"/>
        </w:rPr>
        <w:drawing>
          <wp:anchor distT="0" distB="0" distL="114300" distR="114300" simplePos="0" relativeHeight="251662336" behindDoc="0" locked="0" layoutInCell="1" allowOverlap="1" wp14:anchorId="0D2B9429" wp14:editId="6C818689">
            <wp:simplePos x="0" y="0"/>
            <wp:positionH relativeFrom="column">
              <wp:posOffset>-1073150</wp:posOffset>
            </wp:positionH>
            <wp:positionV relativeFrom="paragraph">
              <wp:posOffset>175260</wp:posOffset>
            </wp:positionV>
            <wp:extent cx="1138555" cy="1774825"/>
            <wp:effectExtent l="0" t="0" r="0" b="0"/>
            <wp:wrapSquare wrapText="left"/>
            <wp:docPr id="2077227561" name="Picture 6" descr="A black and white of a person wearing a long r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227561" name="Picture 6" descr="A black and white of a person wearing a long robe&#10;&#10;Description automatically generated"/>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138555" cy="1774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1856">
        <w:rPr>
          <w:rFonts w:eastAsia="Times New Roman" w:cs="DecoType Naskh" w:hint="cs"/>
          <w:noProof/>
          <w:color w:val="auto"/>
          <w:kern w:val="0"/>
          <w:szCs w:val="26"/>
          <w:rtl/>
          <w:lang w:val="ar-SA" w:eastAsia="ar-SA" w:bidi="ar-JO"/>
          <w14:ligatures w14:val="none"/>
        </w:rPr>
        <w:t>كان هناك</w:t>
      </w:r>
      <w:r w:rsidRPr="002E1856">
        <w:rPr>
          <w:rFonts w:eastAsia="Times New Roman" w:cs="DecoType Naskh"/>
          <w:color w:val="auto"/>
          <w:kern w:val="0"/>
          <w:szCs w:val="26"/>
          <w:rtl/>
          <w:lang w:bidi="ar-JO"/>
          <w14:ligatures w14:val="none"/>
        </w:rPr>
        <w:t xml:space="preserve"> حجاب </w:t>
      </w:r>
      <w:r w:rsidRPr="002E1856">
        <w:rPr>
          <w:rFonts w:eastAsia="Times New Roman" w:cs="DecoType Naskh" w:hint="cs"/>
          <w:color w:val="auto"/>
          <w:kern w:val="0"/>
          <w:szCs w:val="26"/>
          <w:rtl/>
          <w:lang w:bidi="ar-JO"/>
          <w14:ligatures w14:val="none"/>
        </w:rPr>
        <w:t xml:space="preserve">يتدلّى </w:t>
      </w:r>
      <w:r w:rsidRPr="002E1856">
        <w:rPr>
          <w:rFonts w:eastAsia="Times New Roman" w:cs="DecoType Naskh"/>
          <w:color w:val="auto"/>
          <w:kern w:val="0"/>
          <w:szCs w:val="26"/>
          <w:rtl/>
          <w:lang w:bidi="ar-JO"/>
          <w14:ligatures w14:val="none"/>
        </w:rPr>
        <w:t xml:space="preserve">بين القدس وقدس الأقداس.  ولم يكن مسموحاً للكهنة الذين يخدمون في القدس بأن يمرّوا عبر الحجاب.  فكان </w:t>
      </w:r>
      <w:r w:rsidRPr="002E1856">
        <w:rPr>
          <w:rFonts w:eastAsia="Times New Roman" w:cs="DecoType Naskh" w:hint="cs"/>
          <w:color w:val="auto"/>
          <w:kern w:val="0"/>
          <w:szCs w:val="26"/>
          <w:rtl/>
          <w:lang w:bidi="ar-JO"/>
          <w14:ligatures w14:val="none"/>
        </w:rPr>
        <w:t>رئيس الكهنة</w:t>
      </w:r>
      <w:r w:rsidRPr="002E1856">
        <w:rPr>
          <w:rFonts w:eastAsia="Times New Roman" w:cs="DecoType Naskh"/>
          <w:color w:val="auto"/>
          <w:kern w:val="0"/>
          <w:szCs w:val="26"/>
          <w:rtl/>
          <w:lang w:bidi="ar-JO"/>
          <w14:ligatures w14:val="none"/>
        </w:rPr>
        <w:t xml:space="preserve"> هو الوحيد الذي يمكنه عبور الحجاب والدخول إلى حضرة الله القائم فوق كرسي الرحمة من تابوت العهد.  ولم يكن في مقدور </w:t>
      </w:r>
      <w:r w:rsidRPr="002E1856">
        <w:rPr>
          <w:rFonts w:eastAsia="Times New Roman" w:cs="DecoType Naskh" w:hint="cs"/>
          <w:color w:val="auto"/>
          <w:kern w:val="0"/>
          <w:szCs w:val="26"/>
          <w:rtl/>
          <w:lang w:bidi="ar-JO"/>
          <w14:ligatures w14:val="none"/>
        </w:rPr>
        <w:t>رئيس الكهنة</w:t>
      </w:r>
      <w:r w:rsidRPr="002E1856">
        <w:rPr>
          <w:rFonts w:eastAsia="Times New Roman" w:cs="DecoType Naskh"/>
          <w:color w:val="auto"/>
          <w:kern w:val="0"/>
          <w:szCs w:val="26"/>
          <w:rtl/>
          <w:lang w:bidi="ar-JO"/>
          <w14:ligatures w14:val="none"/>
        </w:rPr>
        <w:t xml:space="preserve"> أن يفعل ذلك إلاّ مرة واحدة في السنة في يوم الكفّارة.  ولا يهدف الحجاب إلى تعليم الانفصال عن الله، أي إبقاء الناس خارجاً، لأن كل شيء آخر كان يهدف إلى تعليم طريق الوصول إلى الله.  وعلى أساس عبرانيين 9: 8، كان الغرض من الحجاب هو الإشارة، </w:t>
      </w:r>
      <w:r w:rsidRPr="002E1856">
        <w:rPr>
          <w:rFonts w:eastAsia="Times New Roman" w:cs="DecoType Naskh" w:hint="cs"/>
          <w:color w:val="auto"/>
          <w:kern w:val="0"/>
          <w:szCs w:val="26"/>
          <w:rtl/>
          <w:lang w:bidi="ar-JO"/>
          <w14:ligatures w14:val="none"/>
        </w:rPr>
        <w:t>من خلال عدم</w:t>
      </w:r>
      <w:r w:rsidRPr="002E1856">
        <w:rPr>
          <w:rFonts w:eastAsia="Times New Roman" w:cs="DecoType Naskh"/>
          <w:color w:val="auto"/>
          <w:kern w:val="0"/>
          <w:szCs w:val="26"/>
          <w:rtl/>
          <w:lang w:bidi="ar-JO"/>
          <w14:ligatures w14:val="none"/>
        </w:rPr>
        <w:t xml:space="preserve"> إمكانية وصول الجميع إلى قدس ال</w:t>
      </w:r>
      <w:r w:rsidRPr="002E1856">
        <w:rPr>
          <w:rFonts w:eastAsia="Times New Roman" w:cs="DecoType Naskh" w:hint="cs"/>
          <w:color w:val="auto"/>
          <w:kern w:val="0"/>
          <w:szCs w:val="26"/>
          <w:rtl/>
          <w:lang w:bidi="ar-JO"/>
          <w14:ligatures w14:val="none"/>
        </w:rPr>
        <w:t>أ</w:t>
      </w:r>
      <w:r w:rsidRPr="002E1856">
        <w:rPr>
          <w:rFonts w:eastAsia="Times New Roman" w:cs="DecoType Naskh"/>
          <w:color w:val="auto"/>
          <w:kern w:val="0"/>
          <w:szCs w:val="26"/>
          <w:rtl/>
          <w:lang w:bidi="ar-JO"/>
          <w14:ligatures w14:val="none"/>
        </w:rPr>
        <w:t xml:space="preserve">قداس، </w:t>
      </w:r>
      <w:r w:rsidRPr="002E1856">
        <w:rPr>
          <w:rFonts w:eastAsia="Times New Roman" w:cs="DecoType Naskh" w:hint="cs"/>
          <w:color w:val="auto"/>
          <w:kern w:val="0"/>
          <w:szCs w:val="26"/>
          <w:rtl/>
          <w:lang w:bidi="ar-JO"/>
          <w14:ligatures w14:val="none"/>
        </w:rPr>
        <w:t>إلى أن</w:t>
      </w:r>
      <w:r w:rsidRPr="002E1856">
        <w:rPr>
          <w:rFonts w:eastAsia="Times New Roman" w:cs="DecoType Naskh"/>
          <w:color w:val="auto"/>
          <w:kern w:val="0"/>
          <w:szCs w:val="26"/>
          <w:rtl/>
          <w:lang w:bidi="ar-JO"/>
          <w14:ligatures w14:val="none"/>
        </w:rPr>
        <w:t xml:space="preserve"> الطريق إلى الله لم يعلن بعد.</w:t>
      </w:r>
    </w:p>
    <w:p w14:paraId="25A14D2D"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لم تكن الطريق إلى الله واضحة بعد تحت العهد القديم.  أمّا بالنسبة للمؤمنين بالمسيح اليوم، فالطريق مفتوحة بشكل واضح ويمكن الوصول إليها كما تقول عبرانيين 10: 19-22:</w:t>
      </w:r>
    </w:p>
    <w:p w14:paraId="381A89B2"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"فإذْ لنا أيها الإخوة ثقة بالدخول إلى ’الأقداس‘ بدم يسوع، طريقاً كرّسه لنا حديثاً حيّاً، بالحجاب، أي جسده، وكاهن عظيم على بيت الله، لنتقدم…"</w:t>
      </w:r>
    </w:p>
    <w:p w14:paraId="6D213D0A"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 xml:space="preserve">وفي نفس اليوم الذي صُلب فيه يسوع (متّى 27: 51) انشق حجاب الهيكل، فكان هذا دلالةً على أن الطريق صارت الآن مفتوحة أمام كل الذين يأتون من خلال يسوع.  وهكذا لنا إمكانية الدخول دائماً </w:t>
      </w:r>
      <w:r w:rsidRPr="002E1856">
        <w:rPr>
          <w:rFonts w:eastAsia="Times New Roman" w:cs="DecoType Naskh" w:hint="cs"/>
          <w:color w:val="auto"/>
          <w:kern w:val="0"/>
          <w:szCs w:val="26"/>
          <w:rtl/>
          <w:lang w:bidi="ar-JO"/>
          <w14:ligatures w14:val="none"/>
        </w:rPr>
        <w:t xml:space="preserve">وبشكلٍ مستمر </w:t>
      </w:r>
      <w:r w:rsidRPr="002E1856">
        <w:rPr>
          <w:rFonts w:eastAsia="Times New Roman" w:cs="DecoType Naskh"/>
          <w:color w:val="auto"/>
          <w:kern w:val="0"/>
          <w:szCs w:val="26"/>
          <w:rtl/>
          <w:lang w:bidi="ar-JO"/>
          <w14:ligatures w14:val="none"/>
        </w:rPr>
        <w:t>إلى حضرة الله!</w:t>
      </w:r>
    </w:p>
    <w:p w14:paraId="2F2F9E7F"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50E03D56"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459DE5DB" w14:textId="77777777" w:rsidR="002E1856" w:rsidRPr="002E1856" w:rsidRDefault="002E1856"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2E1856">
        <w:rPr>
          <w:rFonts w:eastAsia="Times New Roman" w:cs="DecoType Naskh"/>
          <w:bCs/>
          <w:color w:val="auto"/>
          <w:kern w:val="0"/>
          <w:szCs w:val="26"/>
          <w:rtl/>
          <w14:ligatures w14:val="none"/>
        </w:rPr>
        <w:t>ح.</w:t>
      </w:r>
      <w:r w:rsidRPr="002E1856">
        <w:rPr>
          <w:rFonts w:eastAsia="Times New Roman" w:cs="DecoType Naskh"/>
          <w:bCs/>
          <w:color w:val="auto"/>
          <w:kern w:val="0"/>
          <w:szCs w:val="26"/>
          <w:rtl/>
          <w14:ligatures w14:val="none"/>
        </w:rPr>
        <w:tab/>
        <w:t xml:space="preserve">تابوت العهد </w:t>
      </w:r>
    </w:p>
    <w:p w14:paraId="5587E5B0" w14:textId="41021EDA"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E1856">
        <w:rPr>
          <w:rFonts w:eastAsia="Times New Roman" w:cs="DecoType Naskh"/>
          <w:noProof/>
          <w:color w:val="auto"/>
          <w:kern w:val="0"/>
          <w:szCs w:val="26"/>
          <w:rtl/>
          <w:lang w:val="ar-SA" w:eastAsia="ar-SA" w:bidi="ar-JO"/>
          <w14:ligatures w14:val="none"/>
        </w:rPr>
        <w:lastRenderedPageBreak/>
        <w:drawing>
          <wp:anchor distT="0" distB="0" distL="114300" distR="114300" simplePos="0" relativeHeight="251663360" behindDoc="1" locked="0" layoutInCell="1" allowOverlap="1" wp14:anchorId="5BDFB013" wp14:editId="214DCEC5">
            <wp:simplePos x="0" y="0"/>
            <wp:positionH relativeFrom="column">
              <wp:posOffset>0</wp:posOffset>
            </wp:positionH>
            <wp:positionV relativeFrom="paragraph">
              <wp:posOffset>427355</wp:posOffset>
            </wp:positionV>
            <wp:extent cx="2771775" cy="1828800"/>
            <wp:effectExtent l="0" t="0" r="0" b="0"/>
            <wp:wrapSquare wrapText="left"/>
            <wp:docPr id="1021627077" name="Picture 5" descr="A drawing of a ark of the coven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627077" name="Picture 5" descr="A drawing of a ark of the covenant&#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7177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1856">
        <w:rPr>
          <w:rFonts w:eastAsia="Times New Roman" w:cs="DecoType Naskh"/>
          <w:color w:val="auto"/>
          <w:kern w:val="0"/>
          <w:szCs w:val="26"/>
          <w:rtl/>
          <w:lang w:bidi="ar-JO"/>
          <w14:ligatures w14:val="none"/>
        </w:rPr>
        <w:t>كان الكاهن الأعلى يدخل قدس الأقداس من خلال الحجاب في يوم الكفّارة، فيجد أمامه صندوقاً على شكل تابوت يعرف باسم تابوت العهد.  وكان لتابوت العهد غطاء من ذهب يدعى كرسي الرحمة الذي يقف عليه كروبان (ملاكان) متصلان، واحد عند كل طرف.  وكانت أنظار الكروبين متجهة إلى الأسفل باتجاه كرسي الرحمة.  وكان يوضع على كرسي الرحمة دم من الذبائح المقدمة في يوم الكفّارة أمّا في داخل الصندوق، فوُضِعت ثلاثة أشياء: إناء ذهبي فيه المن، وعصا هارون التي أفرخت، ولوحا الشهادة (عبرانيين 9: 4).</w:t>
      </w:r>
    </w:p>
    <w:p w14:paraId="598376B0"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يقول ديفيس،</w:t>
      </w:r>
    </w:p>
    <w:p w14:paraId="236D3167"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إن الكلمة المترجمة إلى "</w:t>
      </w:r>
      <w:r w:rsidRPr="002E1856">
        <w:rPr>
          <w:rFonts w:eastAsia="Times New Roman" w:cs="DecoType Naskh" w:hint="cs"/>
          <w:color w:val="auto"/>
          <w:kern w:val="0"/>
          <w:szCs w:val="26"/>
          <w:rtl/>
          <w:lang w:bidi="ar-JO"/>
          <w14:ligatures w14:val="none"/>
        </w:rPr>
        <w:t>كرسي الرحمة</w:t>
      </w:r>
      <w:r w:rsidRPr="002E1856">
        <w:rPr>
          <w:rFonts w:eastAsia="Times New Roman" w:cs="DecoType Naskh"/>
          <w:color w:val="auto"/>
          <w:kern w:val="0"/>
          <w:szCs w:val="26"/>
          <w:rtl/>
          <w:lang w:bidi="ar-JO"/>
          <w14:ligatures w14:val="none"/>
        </w:rPr>
        <w:t>" مشتقة من جذر عبري يعني "يغطّي"، وهي بهذا تصوّر جانباً هاماً من الرحمة الإلهية.  وفوق كرسي الرحمة كان يحلُّ مجد الشكينة الذي رمَز إلى حضور الله.</w:t>
      </w:r>
      <w:r w:rsidRPr="002E1856">
        <w:rPr>
          <w:rFonts w:eastAsia="Times New Roman" w:cs="DecoType Naskh"/>
          <w:color w:val="auto"/>
          <w:kern w:val="0"/>
          <w:sz w:val="28"/>
          <w:szCs w:val="28"/>
          <w:vertAlign w:val="superscript"/>
          <w:rtl/>
          <w:lang w:bidi="ar-JO"/>
          <w14:ligatures w14:val="none"/>
        </w:rPr>
        <w:footnoteReference w:id="81"/>
      </w:r>
      <w:r w:rsidRPr="002E1856">
        <w:rPr>
          <w:rFonts w:eastAsia="Times New Roman" w:cs="DecoType Naskh"/>
          <w:color w:val="auto"/>
          <w:kern w:val="0"/>
          <w:szCs w:val="26"/>
          <w:rtl/>
          <w:lang w:bidi="ar-JO"/>
          <w14:ligatures w14:val="none"/>
        </w:rPr>
        <w:t xml:space="preserve">  </w:t>
      </w:r>
    </w:p>
    <w:p w14:paraId="2F0D12BD"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2E1856">
        <w:rPr>
          <w:rFonts w:eastAsia="Times New Roman" w:cs="DecoType Naskh"/>
          <w:color w:val="auto"/>
          <w:kern w:val="0"/>
          <w:szCs w:val="26"/>
          <w:rtl/>
          <w:lang w:bidi="ar-JO"/>
          <w14:ligatures w14:val="none"/>
        </w:rPr>
        <w:t>دعا بنو إسرائيل كرسي الرحمة "كبّورِت</w:t>
      </w:r>
      <w:r w:rsidRPr="002E1856">
        <w:rPr>
          <w:rFonts w:eastAsia="Times New Roman" w:cs="DecoType Naskh"/>
          <w:color w:val="auto"/>
          <w:kern w:val="0"/>
          <w:szCs w:val="26"/>
          <w:lang w:bidi="ar-JO"/>
          <w14:ligatures w14:val="none"/>
        </w:rPr>
        <w:t xml:space="preserve"> </w:t>
      </w:r>
      <w:r w:rsidRPr="002E1856">
        <w:rPr>
          <w:rFonts w:eastAsia="Times New Roman" w:cs="Ezra SIL"/>
          <w:color w:val="auto"/>
          <w:kern w:val="0"/>
          <w:szCs w:val="24"/>
          <w:rtl/>
          <w:lang w:bidi="he-IL"/>
          <w14:ligatures w14:val="none"/>
        </w:rPr>
        <w:t>כַּפֹּרֶת</w:t>
      </w:r>
      <w:r w:rsidRPr="002E1856">
        <w:rPr>
          <w:rFonts w:eastAsia="Times New Roman" w:cs="DecoType Naskh" w:hint="cs"/>
          <w:color w:val="auto"/>
          <w:kern w:val="0"/>
          <w:szCs w:val="26"/>
          <w:rtl/>
          <w14:ligatures w14:val="none"/>
        </w:rPr>
        <w:t xml:space="preserve"> </w:t>
      </w:r>
      <w:proofErr w:type="spellStart"/>
      <w:r w:rsidRPr="002E1856">
        <w:rPr>
          <w:rFonts w:eastAsia="Times New Roman" w:cs="DecoType Naskh"/>
          <w:color w:val="auto"/>
          <w:kern w:val="0"/>
          <w:szCs w:val="26"/>
          <w14:ligatures w14:val="none"/>
        </w:rPr>
        <w:t>kapporeth</w:t>
      </w:r>
      <w:proofErr w:type="spellEnd"/>
      <w:r w:rsidRPr="002E1856">
        <w:rPr>
          <w:rFonts w:eastAsia="Times New Roman" w:cs="DecoType Naskh"/>
          <w:color w:val="auto"/>
          <w:kern w:val="0"/>
          <w:szCs w:val="26"/>
          <w:rtl/>
          <w:lang w:bidi="ar-JO"/>
          <w14:ligatures w14:val="none"/>
        </w:rPr>
        <w:t xml:space="preserve"> " (غطاء، أو الاسترضاء، أو مكان الغفران، أو الكفّارة)</w:t>
      </w:r>
      <w:r w:rsidRPr="002E1856">
        <w:rPr>
          <w:rFonts w:eastAsia="Times New Roman" w:cs="DecoType Naskh" w:hint="cs"/>
          <w:color w:val="auto"/>
          <w:kern w:val="0"/>
          <w:szCs w:val="26"/>
          <w:rtl/>
          <w:lang w:bidi="ar-JO"/>
          <w14:ligatures w14:val="none"/>
        </w:rPr>
        <w:t>،</w:t>
      </w:r>
      <w:r w:rsidRPr="002E1856">
        <w:rPr>
          <w:rFonts w:eastAsia="Times New Roman" w:cs="DecoType Naskh"/>
          <w:color w:val="auto"/>
          <w:kern w:val="0"/>
          <w:szCs w:val="26"/>
          <w:rtl/>
          <w:lang w:bidi="ar-JO"/>
          <w14:ligatures w14:val="none"/>
        </w:rPr>
        <w:t xml:space="preserve"> </w:t>
      </w:r>
      <w:r w:rsidRPr="002E1856">
        <w:rPr>
          <w:rFonts w:eastAsia="Times New Roman" w:cs="DecoType Naskh" w:hint="cs"/>
          <w:color w:val="auto"/>
          <w:kern w:val="0"/>
          <w:szCs w:val="26"/>
          <w:rtl/>
          <w:lang w:bidi="ar-JO"/>
          <w14:ligatures w14:val="none"/>
        </w:rPr>
        <w:t>و</w:t>
      </w:r>
      <w:r w:rsidRPr="002E1856">
        <w:rPr>
          <w:rFonts w:eastAsia="Times New Roman" w:cs="DecoType Naskh"/>
          <w:color w:val="auto"/>
          <w:kern w:val="0"/>
          <w:szCs w:val="26"/>
          <w:rtl/>
          <w:lang w:bidi="ar-JO"/>
          <w14:ligatures w14:val="none"/>
        </w:rPr>
        <w:t>هي كلمة مشتقة من الجذر</w:t>
      </w:r>
      <w:r w:rsidRPr="002E1856">
        <w:rPr>
          <w:rFonts w:eastAsia="Times New Roman" w:cs="DecoType Naskh" w:hint="cs"/>
          <w:color w:val="auto"/>
          <w:kern w:val="0"/>
          <w:szCs w:val="26"/>
          <w:rtl/>
          <w14:ligatures w14:val="none"/>
        </w:rPr>
        <w:t xml:space="preserve"> </w:t>
      </w:r>
      <w:r w:rsidRPr="002E1856">
        <w:rPr>
          <w:rFonts w:ascii="Charis SIL" w:eastAsia="Times New Roman" w:hAnsi="Charis SIL" w:cs="Charis SIL"/>
          <w:bCs/>
          <w:i/>
          <w:iCs/>
          <w:color w:val="auto"/>
          <w:kern w:val="0"/>
          <w:szCs w:val="26"/>
          <w:lang w:bidi="ar-JO"/>
          <w14:ligatures w14:val="none"/>
        </w:rPr>
        <w:t>kipper</w:t>
      </w:r>
      <w:r w:rsidRPr="002E1856">
        <w:rPr>
          <w:rFonts w:eastAsia="Times New Roman" w:cs="DecoType Naskh"/>
          <w:color w:val="auto"/>
          <w:kern w:val="0"/>
          <w:szCs w:val="26"/>
          <w:rtl/>
          <w:lang w:bidi="ar-JO"/>
          <w14:ligatures w14:val="none"/>
        </w:rPr>
        <w:t xml:space="preserve"> كاب</w:t>
      </w:r>
      <w:r w:rsidRPr="002E1856">
        <w:rPr>
          <w:rFonts w:eastAsia="Times New Roman" w:cs="DecoType Naskh" w:hint="cs"/>
          <w:color w:val="auto"/>
          <w:kern w:val="0"/>
          <w:szCs w:val="26"/>
          <w:rtl/>
          <w:lang w:bidi="ar-JO"/>
          <w14:ligatures w14:val="none"/>
        </w:rPr>
        <w:t>َ</w:t>
      </w:r>
      <w:r w:rsidRPr="002E1856">
        <w:rPr>
          <w:rFonts w:eastAsia="Times New Roman" w:cs="DecoType Naskh"/>
          <w:color w:val="auto"/>
          <w:kern w:val="0"/>
          <w:szCs w:val="26"/>
          <w:rtl/>
          <w:lang w:bidi="ar-JO"/>
          <w14:ligatures w14:val="none"/>
        </w:rPr>
        <w:t xml:space="preserve">ر (يغطّي).  وبوجود لوحي الشريعة في تابوت العهد، </w:t>
      </w:r>
      <w:r w:rsidRPr="002E1856">
        <w:rPr>
          <w:rFonts w:eastAsia="Times New Roman" w:cs="DecoType Naskh" w:hint="cs"/>
          <w:color w:val="auto"/>
          <w:kern w:val="0"/>
          <w:szCs w:val="26"/>
          <w:rtl/>
          <w:lang w:bidi="ar-JO"/>
          <w14:ligatures w14:val="none"/>
        </w:rPr>
        <w:t>كان</w:t>
      </w:r>
      <w:r w:rsidRPr="002E1856">
        <w:rPr>
          <w:rFonts w:eastAsia="Times New Roman" w:cs="DecoType Naskh"/>
          <w:color w:val="auto"/>
          <w:kern w:val="0"/>
          <w:szCs w:val="26"/>
          <w:rtl/>
          <w:lang w:bidi="ar-JO"/>
          <w14:ligatures w14:val="none"/>
        </w:rPr>
        <w:t xml:space="preserve"> كرسي الرحمة </w:t>
      </w:r>
      <w:r w:rsidRPr="002E1856">
        <w:rPr>
          <w:rFonts w:eastAsia="Times New Roman" w:cs="DecoType Naskh" w:hint="cs"/>
          <w:color w:val="auto"/>
          <w:kern w:val="0"/>
          <w:szCs w:val="26"/>
          <w:rtl/>
          <w:lang w:bidi="ar-JO"/>
          <w14:ligatures w14:val="none"/>
        </w:rPr>
        <w:t xml:space="preserve">يُشير </w:t>
      </w:r>
      <w:r w:rsidRPr="002E1856">
        <w:rPr>
          <w:rFonts w:eastAsia="Times New Roman" w:cs="DecoType Naskh"/>
          <w:color w:val="auto"/>
          <w:kern w:val="0"/>
          <w:szCs w:val="26"/>
          <w:rtl/>
          <w:lang w:bidi="ar-JO"/>
          <w14:ligatures w14:val="none"/>
        </w:rPr>
        <w:t xml:space="preserve">على أن الشريعة المكسورة يجب أن تغطّى بالدم قبل أن يصير ممكناً أن تكون لله شركة مع شعبه ويسكن بينهم.  </w:t>
      </w:r>
      <w:r w:rsidRPr="002E1856">
        <w:rPr>
          <w:rFonts w:eastAsia="Times New Roman" w:cs="DecoType Naskh"/>
          <w:color w:val="auto"/>
          <w:kern w:val="0"/>
          <w:szCs w:val="26"/>
          <w:rtl/>
          <w14:ligatures w14:val="none"/>
        </w:rPr>
        <w:t xml:space="preserve">ومع تغطية الدم لكرسي الرحمة، </w:t>
      </w:r>
      <w:r w:rsidRPr="002E1856">
        <w:rPr>
          <w:rFonts w:eastAsia="Times New Roman" w:cs="DecoType Naskh" w:hint="cs"/>
          <w:color w:val="auto"/>
          <w:kern w:val="0"/>
          <w:szCs w:val="26"/>
          <w:rtl/>
          <w14:ligatures w14:val="none"/>
        </w:rPr>
        <w:t>كانت</w:t>
      </w:r>
      <w:r w:rsidRPr="002E1856">
        <w:rPr>
          <w:rFonts w:eastAsia="Times New Roman" w:cs="DecoType Naskh"/>
          <w:color w:val="auto"/>
          <w:kern w:val="0"/>
          <w:szCs w:val="26"/>
          <w:rtl/>
          <w14:ligatures w14:val="none"/>
        </w:rPr>
        <w:t xml:space="preserve"> مطالب الله القدوس البار</w:t>
      </w:r>
      <w:r w:rsidRPr="002E1856">
        <w:rPr>
          <w:rFonts w:eastAsia="Times New Roman" w:cs="DecoType Naskh" w:hint="cs"/>
          <w:color w:val="auto"/>
          <w:kern w:val="0"/>
          <w:szCs w:val="26"/>
          <w:rtl/>
          <w14:ligatures w14:val="none"/>
        </w:rPr>
        <w:t xml:space="preserve"> تتم تلبيتها</w:t>
      </w:r>
      <w:r w:rsidRPr="002E1856">
        <w:rPr>
          <w:rFonts w:eastAsia="Times New Roman" w:cs="DecoType Naskh"/>
          <w:color w:val="auto"/>
          <w:kern w:val="0"/>
          <w:szCs w:val="26"/>
          <w:rtl/>
          <w14:ligatures w14:val="none"/>
        </w:rPr>
        <w:t xml:space="preserve"> (وهي الفكرة الأساسية في التكفير).  ت</w:t>
      </w:r>
      <w:r w:rsidRPr="002E1856">
        <w:rPr>
          <w:rFonts w:eastAsia="Times New Roman" w:cs="DecoType Naskh" w:hint="cs"/>
          <w:color w:val="auto"/>
          <w:kern w:val="0"/>
          <w:szCs w:val="26"/>
          <w:rtl/>
          <w14:ligatures w14:val="none"/>
        </w:rPr>
        <w:t>ُ</w:t>
      </w:r>
      <w:r w:rsidRPr="002E1856">
        <w:rPr>
          <w:rFonts w:eastAsia="Times New Roman" w:cs="DecoType Naskh"/>
          <w:color w:val="auto"/>
          <w:kern w:val="0"/>
          <w:szCs w:val="26"/>
          <w:rtl/>
          <w14:ligatures w14:val="none"/>
        </w:rPr>
        <w:t>صو</w:t>
      </w:r>
      <w:r w:rsidRPr="002E1856">
        <w:rPr>
          <w:rFonts w:eastAsia="Times New Roman" w:cs="DecoType Naskh" w:hint="cs"/>
          <w:color w:val="auto"/>
          <w:kern w:val="0"/>
          <w:szCs w:val="26"/>
          <w:rtl/>
          <w14:ligatures w14:val="none"/>
        </w:rPr>
        <w:t>ِّ</w:t>
      </w:r>
      <w:r w:rsidRPr="002E1856">
        <w:rPr>
          <w:rFonts w:eastAsia="Times New Roman" w:cs="DecoType Naskh"/>
          <w:color w:val="auto"/>
          <w:kern w:val="0"/>
          <w:szCs w:val="26"/>
          <w:rtl/>
          <w14:ligatures w14:val="none"/>
        </w:rPr>
        <w:t>ر رومية 3: 24،25 كرسي الرحمة عندما تشرح كي</w:t>
      </w:r>
      <w:r w:rsidRPr="002E1856">
        <w:rPr>
          <w:rFonts w:eastAsia="Times New Roman" w:cs="DecoType Naskh" w:hint="cs"/>
          <w:color w:val="auto"/>
          <w:kern w:val="0"/>
          <w:szCs w:val="26"/>
          <w:rtl/>
          <w14:ligatures w14:val="none"/>
        </w:rPr>
        <w:t>ف</w:t>
      </w:r>
      <w:r w:rsidRPr="002E1856">
        <w:rPr>
          <w:rFonts w:eastAsia="Times New Roman" w:cs="DecoType Naskh"/>
          <w:color w:val="auto"/>
          <w:kern w:val="0"/>
          <w:szCs w:val="26"/>
          <w:rtl/>
          <w14:ligatures w14:val="none"/>
        </w:rPr>
        <w:t xml:space="preserve"> أن الدم الذي كان يسكبه رئيس الكهنة يرمز إلى دم المسيح ويتوقعه: "متبرّرين مجاناً بنعمته بالفداء الذي بيسوع المسيح، الذي قدّمه الله كفّارة بالإيمان بدمه."  لم يكن ممكناً أن يلتقي الله بشعبه إلاّ عند كرسي الرحمة (خروج 25: 22)؛ وكان هذا ممكناً على أساس الكفّارة.  وهكذا كان تابوت العهد، بمعنى ما، رمزاً لعرش الله (1صموئيل 4: 4؛ 2صموئيل 6: 2؛ 1أخبار 13: 6)، ممثلاً الكرسي الأرضي للسيادة الإلهية.  فلم يكن يمكن الوصول إلى عرش الله إلاّ من خلال ما يقدّمه كرسي الرحمة.  ويشترك كرسي الرحمة في العهد القديم والصليب في العهد الجديد في شيء واحد، ألا وهو أن هذا هو المكان الذي </w:t>
      </w:r>
      <w:r w:rsidRPr="002E1856">
        <w:rPr>
          <w:rFonts w:eastAsia="Times New Roman" w:cs="DecoType Naskh" w:hint="cs"/>
          <w:color w:val="auto"/>
          <w:kern w:val="0"/>
          <w:szCs w:val="26"/>
          <w:rtl/>
          <w14:ligatures w14:val="none"/>
        </w:rPr>
        <w:t>يرضي</w:t>
      </w:r>
      <w:r w:rsidRPr="002E1856">
        <w:rPr>
          <w:rFonts w:eastAsia="Times New Roman" w:cs="DecoType Naskh"/>
          <w:color w:val="auto"/>
          <w:kern w:val="0"/>
          <w:szCs w:val="26"/>
          <w:rtl/>
          <w14:ligatures w14:val="none"/>
        </w:rPr>
        <w:t xml:space="preserve"> فيه دم الكفّارة غضب الله.</w:t>
      </w:r>
    </w:p>
    <w:p w14:paraId="239499BB"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 xml:space="preserve">وتلخيصاً لما سبق، يمكننا القول إن المذبح النحاسي والمرحضة النحاسية وكرسي الرحمة يشكّلان أساس الشركة.  أمّا مذبح البخور وخبز التقدمة والمنارة فتشير إلى المسؤولية والامتياز.  تجيب خيمة الاجتماع عن السؤال حول الأساس الذي </w:t>
      </w:r>
      <w:r w:rsidRPr="002E1856">
        <w:rPr>
          <w:rFonts w:eastAsia="Times New Roman" w:cs="DecoType Naskh" w:hint="cs"/>
          <w:color w:val="auto"/>
          <w:kern w:val="0"/>
          <w:szCs w:val="26"/>
          <w:rtl/>
          <w:lang w:bidi="ar-JO"/>
          <w14:ligatures w14:val="none"/>
        </w:rPr>
        <w:t>عليه</w:t>
      </w:r>
      <w:r w:rsidRPr="002E1856">
        <w:rPr>
          <w:rFonts w:eastAsia="Times New Roman" w:cs="DecoType Naskh"/>
          <w:color w:val="auto"/>
          <w:kern w:val="0"/>
          <w:szCs w:val="26"/>
          <w:rtl/>
          <w:lang w:bidi="ar-JO"/>
          <w14:ligatures w14:val="none"/>
        </w:rPr>
        <w:t xml:space="preserve"> يسكن </w:t>
      </w:r>
      <w:r w:rsidRPr="002E1856">
        <w:rPr>
          <w:rFonts w:eastAsia="Times New Roman" w:cs="DecoType Naskh" w:hint="cs"/>
          <w:color w:val="auto"/>
          <w:kern w:val="0"/>
          <w:szCs w:val="26"/>
          <w:rtl/>
          <w:lang w:bidi="ar-JO"/>
          <w14:ligatures w14:val="none"/>
        </w:rPr>
        <w:t xml:space="preserve">الله </w:t>
      </w:r>
      <w:r w:rsidRPr="002E1856">
        <w:rPr>
          <w:rFonts w:eastAsia="Times New Roman" w:cs="DecoType Naskh"/>
          <w:color w:val="auto"/>
          <w:kern w:val="0"/>
          <w:szCs w:val="26"/>
          <w:rtl/>
          <w:lang w:bidi="ar-JO"/>
          <w14:ligatures w14:val="none"/>
        </w:rPr>
        <w:t>بين شعبه.</w:t>
      </w:r>
    </w:p>
    <w:p w14:paraId="16DA4FD6"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5035815C" w14:textId="77777777" w:rsidR="002E1856" w:rsidRPr="002E1856" w:rsidRDefault="002E1856"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2E1856">
        <w:rPr>
          <w:rFonts w:eastAsia="Times New Roman" w:cs="DecoType Naskh" w:hint="cs"/>
          <w:bCs/>
          <w:color w:val="auto"/>
          <w:kern w:val="0"/>
          <w:szCs w:val="28"/>
          <w:rtl/>
          <w:lang w:bidi="ar-JO"/>
          <w14:ligatures w14:val="none"/>
        </w:rPr>
        <w:t>6</w:t>
      </w:r>
      <w:r w:rsidRPr="002E1856">
        <w:rPr>
          <w:rFonts w:eastAsia="Times New Roman" w:cs="DecoType Naskh"/>
          <w:bCs/>
          <w:color w:val="auto"/>
          <w:kern w:val="0"/>
          <w:szCs w:val="28"/>
          <w:rtl/>
          <w:lang w:bidi="ar-JO"/>
          <w14:ligatures w14:val="none"/>
        </w:rPr>
        <w:t>.</w:t>
      </w:r>
      <w:r w:rsidRPr="002E1856">
        <w:rPr>
          <w:rFonts w:eastAsia="Times New Roman" w:cs="DecoType Naskh"/>
          <w:bCs/>
          <w:color w:val="auto"/>
          <w:kern w:val="0"/>
          <w:szCs w:val="28"/>
          <w:rtl/>
          <w:lang w:bidi="ar-JO"/>
          <w14:ligatures w14:val="none"/>
        </w:rPr>
        <w:tab/>
        <w:t>الفاصل التاريخي (خروج 32-34)</w:t>
      </w:r>
    </w:p>
    <w:p w14:paraId="2FB07E3D" w14:textId="62408D9C"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هذه ا</w:t>
      </w:r>
      <w:r w:rsidRPr="002E1856">
        <w:rPr>
          <w:rFonts w:eastAsia="Times New Roman" w:cs="DecoType Naskh" w:hint="cs"/>
          <w:color w:val="auto"/>
          <w:kern w:val="0"/>
          <w:szCs w:val="26"/>
          <w:rtl/>
          <w:lang w:bidi="ar-JO"/>
          <w14:ligatures w14:val="none"/>
        </w:rPr>
        <w:t>لأ</w:t>
      </w:r>
      <w:r w:rsidRPr="002E1856">
        <w:rPr>
          <w:rFonts w:eastAsia="Times New Roman" w:cs="DecoType Naskh"/>
          <w:color w:val="auto"/>
          <w:kern w:val="0"/>
          <w:szCs w:val="26"/>
          <w:rtl/>
          <w:lang w:bidi="ar-JO"/>
          <w14:ligatures w14:val="none"/>
        </w:rPr>
        <w:t>صحاحات الثلاثة هامة في ما يتعلق بعلاقة إسرائيل بيهوه.  فضمن وقت قصير من تلقّي إسرائيل للشريعة والموافقة على طاعته</w:t>
      </w:r>
      <w:r w:rsidRPr="002E1856">
        <w:rPr>
          <w:rFonts w:eastAsia="Times New Roman" w:cs="DecoType Naskh" w:hint="cs"/>
          <w:color w:val="auto"/>
          <w:kern w:val="0"/>
          <w:szCs w:val="26"/>
          <w:rtl/>
          <w14:ligatures w14:val="none"/>
        </w:rPr>
        <w:t>ا</w:t>
      </w:r>
      <w:r w:rsidRPr="002E1856">
        <w:rPr>
          <w:rFonts w:eastAsia="Times New Roman" w:cs="DecoType Naskh"/>
          <w:color w:val="auto"/>
          <w:kern w:val="0"/>
          <w:szCs w:val="26"/>
          <w:rtl/>
          <w:lang w:bidi="ar-JO"/>
          <w14:ligatures w14:val="none"/>
        </w:rPr>
        <w:t xml:space="preserve"> لله كشعبه الخاص الفريد </w:t>
      </w:r>
      <w:r w:rsidRPr="002E1856">
        <w:rPr>
          <w:rFonts w:eastAsia="Times New Roman" w:cs="DecoType Naskh" w:hint="cs"/>
          <w:color w:val="auto"/>
          <w:kern w:val="0"/>
          <w:szCs w:val="26"/>
          <w:rtl/>
          <w:lang w:bidi="ar-JO"/>
          <w14:ligatures w14:val="none"/>
        </w:rPr>
        <w:t xml:space="preserve">بأن يكونوا </w:t>
      </w:r>
      <w:r w:rsidRPr="002E1856">
        <w:rPr>
          <w:rFonts w:eastAsia="Times New Roman" w:cs="DecoType Naskh"/>
          <w:color w:val="auto"/>
          <w:kern w:val="0"/>
          <w:szCs w:val="26"/>
          <w:rtl/>
          <w:lang w:bidi="ar-JO"/>
          <w14:ligatures w14:val="none"/>
        </w:rPr>
        <w:t>و</w:t>
      </w:r>
      <w:r w:rsidRPr="002E1856">
        <w:rPr>
          <w:rFonts w:eastAsia="Times New Roman" w:cs="DecoType Naskh" w:hint="cs"/>
          <w:color w:val="auto"/>
          <w:kern w:val="0"/>
          <w:szCs w:val="26"/>
          <w:rtl/>
          <w:lang w:bidi="ar-JO"/>
          <w14:ligatures w14:val="none"/>
        </w:rPr>
        <w:t>س</w:t>
      </w:r>
      <w:r w:rsidRPr="002E1856">
        <w:rPr>
          <w:rFonts w:eastAsia="Times New Roman" w:cs="DecoType Naskh"/>
          <w:color w:val="auto"/>
          <w:kern w:val="0"/>
          <w:szCs w:val="26"/>
          <w:rtl/>
          <w:lang w:bidi="ar-JO"/>
          <w14:ligatures w14:val="none"/>
        </w:rPr>
        <w:t>ط</w:t>
      </w:r>
      <w:r w:rsidRPr="002E1856">
        <w:rPr>
          <w:rFonts w:eastAsia="Times New Roman" w:cs="DecoType Naskh" w:hint="cs"/>
          <w:color w:val="auto"/>
          <w:kern w:val="0"/>
          <w:szCs w:val="26"/>
          <w:rtl/>
          <w:lang w:bidi="ar-JO"/>
          <w14:ligatures w14:val="none"/>
        </w:rPr>
        <w:t>اء</w:t>
      </w:r>
      <w:r w:rsidRPr="002E1856">
        <w:rPr>
          <w:rFonts w:eastAsia="Times New Roman" w:cs="DecoType Naskh"/>
          <w:color w:val="auto"/>
          <w:kern w:val="0"/>
          <w:szCs w:val="26"/>
          <w:rtl/>
          <w:lang w:bidi="ar-JO"/>
          <w14:ligatures w14:val="none"/>
        </w:rPr>
        <w:t xml:space="preserve"> البركة لهذا العالم، </w:t>
      </w:r>
      <w:r w:rsidRPr="002E1856">
        <w:rPr>
          <w:rFonts w:eastAsia="Times New Roman" w:cs="DecoType Naskh" w:hint="cs"/>
          <w:color w:val="auto"/>
          <w:kern w:val="0"/>
          <w:szCs w:val="26"/>
          <w:rtl/>
          <w:lang w:bidi="ar-JO"/>
          <w14:ligatures w14:val="none"/>
        </w:rPr>
        <w:t>قاموا</w:t>
      </w:r>
      <w:r w:rsidRPr="002E1856">
        <w:rPr>
          <w:rFonts w:eastAsia="Times New Roman" w:cs="DecoType Naskh"/>
          <w:color w:val="auto"/>
          <w:kern w:val="0"/>
          <w:szCs w:val="26"/>
          <w:rtl/>
          <w:lang w:bidi="ar-JO"/>
          <w14:ligatures w14:val="none"/>
        </w:rPr>
        <w:t xml:space="preserve"> بترك يهوه كلّياً و</w:t>
      </w:r>
      <w:r w:rsidRPr="002E1856">
        <w:rPr>
          <w:rFonts w:eastAsia="Times New Roman" w:cs="DecoType Naskh" w:hint="cs"/>
          <w:color w:val="auto"/>
          <w:kern w:val="0"/>
          <w:szCs w:val="26"/>
          <w:rtl/>
          <w:lang w:bidi="ar-JO"/>
          <w14:ligatures w14:val="none"/>
        </w:rPr>
        <w:t>صنعوا</w:t>
      </w:r>
      <w:r w:rsidRPr="002E1856">
        <w:rPr>
          <w:rFonts w:eastAsia="Times New Roman" w:cs="DecoType Naskh"/>
          <w:color w:val="auto"/>
          <w:kern w:val="0"/>
          <w:szCs w:val="26"/>
          <w:rtl/>
          <w:lang w:bidi="ar-JO"/>
          <w14:ligatures w14:val="none"/>
        </w:rPr>
        <w:t xml:space="preserve"> عجلاً ذهبياً إلهاً له</w:t>
      </w:r>
      <w:r w:rsidRPr="002E1856">
        <w:rPr>
          <w:rFonts w:eastAsia="Times New Roman" w:cs="DecoType Naskh" w:hint="cs"/>
          <w:color w:val="auto"/>
          <w:kern w:val="0"/>
          <w:szCs w:val="26"/>
          <w:rtl/>
          <w14:ligatures w14:val="none"/>
        </w:rPr>
        <w:t>م</w:t>
      </w:r>
      <w:r w:rsidRPr="002E1856">
        <w:rPr>
          <w:rFonts w:eastAsia="Times New Roman" w:cs="DecoType Naskh"/>
          <w:color w:val="auto"/>
          <w:kern w:val="0"/>
          <w:szCs w:val="26"/>
          <w:rtl/>
          <w:lang w:bidi="ar-JO"/>
          <w14:ligatures w14:val="none"/>
        </w:rPr>
        <w:t>.  ويعلّق الربّ على ذلك بإيجاز بارع،</w:t>
      </w:r>
      <w:r w:rsidRPr="002E1856">
        <w:rPr>
          <w:rFonts w:eastAsia="Times New Roman" w:cs="DecoType Naskh" w:hint="cs"/>
          <w:color w:val="auto"/>
          <w:kern w:val="0"/>
          <w:szCs w:val="26"/>
          <w:rtl/>
          <w:lang w:bidi="ar-JO"/>
          <w14:ligatures w14:val="none"/>
        </w:rPr>
        <w:t xml:space="preserve"> فيقول:</w:t>
      </w:r>
      <w:r w:rsidRPr="002E1856">
        <w:rPr>
          <w:rFonts w:eastAsia="Times New Roman" w:cs="DecoType Naskh"/>
          <w:color w:val="auto"/>
          <w:kern w:val="0"/>
          <w:szCs w:val="26"/>
          <w:rtl/>
          <w:lang w:bidi="ar-JO"/>
          <w14:ligatures w14:val="none"/>
        </w:rPr>
        <w:t xml:space="preserve"> "زاغوا سريعاً عن الطريق الذي أوصيتهم به" (32: 8).  وتشكل هذه الحادثة مثالاً لعدم رغبتهم في اتباع السلطة الثيوقراطية (الإلهية)، حتى أن هارون نفسه يتصرّف بتمرّد. ويستجيب الله بأن يسمح لغضبه بأن يتقد ضد الشعب ليدمّرهم</w:t>
      </w:r>
      <w:r w:rsidRPr="002E1856">
        <w:rPr>
          <w:rFonts w:eastAsia="Times New Roman" w:cs="DecoType Naskh" w:hint="cs"/>
          <w:color w:val="auto"/>
          <w:kern w:val="0"/>
          <w:szCs w:val="26"/>
          <w:rtl/>
          <w:lang w:bidi="ar-JO"/>
          <w14:ligatures w14:val="none"/>
        </w:rPr>
        <w:t xml:space="preserve"> </w:t>
      </w:r>
      <w:r w:rsidRPr="002E1856">
        <w:rPr>
          <w:rFonts w:eastAsia="Times New Roman" w:cs="DecoType Naskh"/>
          <w:color w:val="auto"/>
          <w:kern w:val="0"/>
          <w:szCs w:val="26"/>
          <w:rtl/>
          <w:lang w:bidi="ar-JO"/>
          <w14:ligatures w14:val="none"/>
        </w:rPr>
        <w:t>(</w:t>
      </w:r>
      <w:r w:rsidR="00910186">
        <w:rPr>
          <w:rFonts w:eastAsia="Times New Roman" w:cs="DecoType Naskh" w:hint="cs"/>
          <w:color w:val="auto"/>
          <w:kern w:val="0"/>
          <w:szCs w:val="26"/>
          <w:rtl/>
          <w:lang w:bidi="ar-JO"/>
          <w14:ligatures w14:val="none"/>
        </w:rPr>
        <w:t xml:space="preserve">خروج </w:t>
      </w:r>
      <w:r w:rsidRPr="002E1856">
        <w:rPr>
          <w:rFonts w:eastAsia="Times New Roman" w:cs="DecoType Naskh"/>
          <w:color w:val="auto"/>
          <w:kern w:val="0"/>
          <w:szCs w:val="26"/>
          <w:rtl/>
          <w:lang w:bidi="ar-JO"/>
          <w14:ligatures w14:val="none"/>
        </w:rPr>
        <w:t xml:space="preserve">32: 10).  غير أن الله يكْرم تشفّع موسى ويعفو عن الشعب. </w:t>
      </w:r>
    </w:p>
    <w:p w14:paraId="20E7BF81"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5AA8D6E"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 xml:space="preserve">غير أن عفو الله عن الشعب لم يكن بسبب تشفّع خادم أمين فحسب.  فقد كان تشفّع موسى مبنياً على العهد الإبراهيمي </w:t>
      </w:r>
      <w:r w:rsidRPr="002E1856">
        <w:rPr>
          <w:rFonts w:eastAsia="Times New Roman" w:cs="DecoType Naskh" w:hint="cs"/>
          <w:color w:val="auto"/>
          <w:kern w:val="0"/>
          <w:szCs w:val="26"/>
          <w:rtl/>
          <w:lang w:bidi="ar-JO"/>
          <w14:ligatures w14:val="none"/>
        </w:rPr>
        <w:t xml:space="preserve">                        </w:t>
      </w:r>
      <w:r w:rsidRPr="002E1856">
        <w:rPr>
          <w:rFonts w:eastAsia="Times New Roman" w:cs="DecoType Naskh"/>
          <w:color w:val="auto"/>
          <w:kern w:val="0"/>
          <w:szCs w:val="26"/>
          <w:rtl/>
          <w:lang w:bidi="ar-JO"/>
          <w14:ligatures w14:val="none"/>
        </w:rPr>
        <w:t>(32: 13-14) والاهتمام بمجد الله.  فالله يوافق أن يعفو عنهم حين يتوسّل إليه موسى حسب الخطّة الإلهية.  وهكذا يتبع العقاب المؤقت (32: 25-29) نيّة إلهية في حفظ العقاب الكامل ليوم مستقبلي (32: 34).</w:t>
      </w:r>
    </w:p>
    <w:p w14:paraId="2B009F70"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1F14382"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 xml:space="preserve">يواجه العفو عن الأمة لإعطائهم فرصة للدخول إلى أرض الموعد مشكلة أخرى.  فيهوه </w:t>
      </w:r>
      <w:r w:rsidRPr="002E1856">
        <w:rPr>
          <w:rFonts w:eastAsia="Times New Roman" w:cs="DecoType Naskh" w:hint="cs"/>
          <w:color w:val="auto"/>
          <w:kern w:val="0"/>
          <w:szCs w:val="26"/>
          <w:rtl/>
          <w:lang w:bidi="ar-JO"/>
          <w14:ligatures w14:val="none"/>
        </w:rPr>
        <w:t>يرغب بأن</w:t>
      </w:r>
      <w:r w:rsidRPr="002E1856">
        <w:rPr>
          <w:rFonts w:eastAsia="Times New Roman" w:cs="DecoType Naskh"/>
          <w:color w:val="auto"/>
          <w:kern w:val="0"/>
          <w:szCs w:val="26"/>
          <w:rtl/>
          <w:lang w:bidi="ar-JO"/>
          <w14:ligatures w14:val="none"/>
        </w:rPr>
        <w:t xml:space="preserve"> يسمح لهم بالدخول إلى تلك الأرض، غير أنه سحب حضوره من وسطهم (33: 3).  و</w:t>
      </w:r>
      <w:r w:rsidRPr="002E1856">
        <w:rPr>
          <w:rFonts w:eastAsia="Times New Roman" w:cs="DecoType Naskh" w:hint="cs"/>
          <w:color w:val="auto"/>
          <w:kern w:val="0"/>
          <w:szCs w:val="26"/>
          <w:rtl/>
          <w:lang w:bidi="ar-JO"/>
          <w14:ligatures w14:val="none"/>
        </w:rPr>
        <w:t xml:space="preserve">لذا </w:t>
      </w:r>
      <w:r w:rsidRPr="002E1856">
        <w:rPr>
          <w:rFonts w:eastAsia="Times New Roman" w:cs="DecoType Naskh"/>
          <w:color w:val="auto"/>
          <w:kern w:val="0"/>
          <w:szCs w:val="26"/>
          <w:rtl/>
          <w:lang w:bidi="ar-JO"/>
          <w14:ligatures w14:val="none"/>
        </w:rPr>
        <w:t>يتشفع موسى مرّة أخرى من أجل الأمة، ممّا أسفر عن وعد يهوه بأن يرسل حضوره معهم.  وعندما أدرك موسى أنه نال نعمة عند الله (33: 17)، تجاسر أن يصلّي طالباً رؤية مجد الله (33: 18-</w:t>
      </w:r>
      <w:r w:rsidRPr="002E1856">
        <w:rPr>
          <w:rFonts w:eastAsia="Times New Roman" w:cs="DecoType Naskh" w:hint="cs"/>
          <w:color w:val="auto"/>
          <w:kern w:val="0"/>
          <w:szCs w:val="26"/>
          <w:rtl/>
          <w:lang w:bidi="ar-JO"/>
          <w14:ligatures w14:val="none"/>
        </w:rPr>
        <w:t>34: 8</w:t>
      </w:r>
      <w:r w:rsidRPr="002E1856">
        <w:rPr>
          <w:rFonts w:eastAsia="Times New Roman" w:cs="DecoType Naskh"/>
          <w:color w:val="auto"/>
          <w:kern w:val="0"/>
          <w:szCs w:val="26"/>
          <w:rtl/>
          <w:lang w:bidi="ar-JO"/>
          <w14:ligatures w14:val="none"/>
        </w:rPr>
        <w:t>).  تشير الاستجابة إلى أن الله يساوي ما بين صلاحه ومجده، وأنه يجد لذّة في كمال طبيعته.  وما يكشفه الله لموسى هو طبيعته الأخلاقية (خاصة رحمته ونعمته –وهما صفتان جعلتا العفو عن الأمة العاصية أمراً ممكناً).  ويستجيب موسى بالعبادة، وهي الاستجابة الصحيحة لإعلان الله عن ذاته (34: 8).</w:t>
      </w:r>
    </w:p>
    <w:p w14:paraId="2FB7B86E"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 xml:space="preserve">وفي 34: 10 نرى الله مستعداً أن يجدّد العهد مع الأمّة، حيت إنهم </w:t>
      </w:r>
      <w:r w:rsidRPr="002E1856">
        <w:rPr>
          <w:rFonts w:eastAsia="Times New Roman" w:cs="DecoType Naskh" w:hint="cs"/>
          <w:color w:val="auto"/>
          <w:kern w:val="0"/>
          <w:szCs w:val="26"/>
          <w:rtl/>
          <w:lang w:bidi="ar-JO"/>
          <w14:ligatures w14:val="none"/>
        </w:rPr>
        <w:t>تركوه</w:t>
      </w:r>
      <w:r w:rsidRPr="002E1856">
        <w:rPr>
          <w:rFonts w:eastAsia="Times New Roman" w:cs="DecoType Naskh"/>
          <w:color w:val="auto"/>
          <w:kern w:val="0"/>
          <w:szCs w:val="26"/>
          <w:rtl/>
          <w:lang w:bidi="ar-JO"/>
          <w14:ligatures w14:val="none"/>
        </w:rPr>
        <w:t xml:space="preserve"> في ما يتعلق بالعهد الحالي.  يعرف الشعب الآن أن الله عفا عنهم بسبب العهد الإبراهيمي، لكنهم يعرفون أنهم لا يستطيعون التعامل مع نعمته على أنها أمر مفروغ منه.  إذ يستطيع أن يقضي على جيل كامل ويقيم جيلاً آخر لكي يحقق وعوده.  فالطاعة شرط مسبق لتحقيق الوعود الإبراهيمية.</w:t>
      </w:r>
    </w:p>
    <w:p w14:paraId="362B2483"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3024732F" w14:textId="77777777" w:rsidR="002E1856" w:rsidRPr="002E1856" w:rsidRDefault="002E1856"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2E1856">
        <w:rPr>
          <w:rFonts w:eastAsia="Times New Roman" w:cs="DecoType Naskh" w:hint="cs"/>
          <w:bCs/>
          <w:color w:val="auto"/>
          <w:kern w:val="0"/>
          <w:szCs w:val="26"/>
          <w:rtl/>
          <w14:ligatures w14:val="none"/>
        </w:rPr>
        <w:t>7</w:t>
      </w:r>
      <w:r w:rsidRPr="002E1856">
        <w:rPr>
          <w:rFonts w:eastAsia="Times New Roman" w:cs="DecoType Naskh"/>
          <w:bCs/>
          <w:color w:val="auto"/>
          <w:kern w:val="0"/>
          <w:szCs w:val="26"/>
          <w:rtl/>
          <w14:ligatures w14:val="none"/>
        </w:rPr>
        <w:t>.</w:t>
      </w:r>
      <w:r w:rsidRPr="002E1856">
        <w:rPr>
          <w:rFonts w:eastAsia="Times New Roman" w:cs="DecoType Naskh"/>
          <w:bCs/>
          <w:color w:val="auto"/>
          <w:kern w:val="0"/>
          <w:szCs w:val="26"/>
          <w:rtl/>
          <w14:ligatures w14:val="none"/>
        </w:rPr>
        <w:tab/>
        <w:t>ذروة سفر الخروج (40: 34-38)</w:t>
      </w:r>
    </w:p>
    <w:p w14:paraId="01639165"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E1856">
        <w:rPr>
          <w:rFonts w:eastAsia="Times New Roman" w:cs="DecoType Naskh"/>
          <w:color w:val="auto"/>
          <w:kern w:val="0"/>
          <w:szCs w:val="26"/>
          <w:rtl/>
          <w:lang w:bidi="ar-JO"/>
          <w14:ligatures w14:val="none"/>
        </w:rPr>
        <w:t>بعد القسم المطوّل المتعلق بخيمة الاجتماع في ا</w:t>
      </w:r>
      <w:r w:rsidRPr="002E1856">
        <w:rPr>
          <w:rFonts w:eastAsia="Times New Roman" w:cs="DecoType Naskh" w:hint="cs"/>
          <w:color w:val="auto"/>
          <w:kern w:val="0"/>
          <w:szCs w:val="26"/>
          <w:rtl/>
          <w:lang w:bidi="ar-JO"/>
          <w14:ligatures w14:val="none"/>
        </w:rPr>
        <w:t>لأ</w:t>
      </w:r>
      <w:r w:rsidRPr="002E1856">
        <w:rPr>
          <w:rFonts w:eastAsia="Times New Roman" w:cs="DecoType Naskh"/>
          <w:color w:val="auto"/>
          <w:kern w:val="0"/>
          <w:szCs w:val="26"/>
          <w:rtl/>
          <w:lang w:bidi="ar-JO"/>
          <w14:ligatures w14:val="none"/>
        </w:rPr>
        <w:t xml:space="preserve">صحاحات 25-40، يختتم السفر بمشهد مجد الشكينة وهو ينزل ليسكن في قدس الأقداس.  وهذه هي ذروة كل القسم المتعلق بخيمة الاجتماع، </w:t>
      </w:r>
      <w:r w:rsidRPr="002E1856">
        <w:rPr>
          <w:rFonts w:eastAsia="Times New Roman" w:cs="DecoType Naskh" w:hint="cs"/>
          <w:color w:val="auto"/>
          <w:kern w:val="0"/>
          <w:szCs w:val="26"/>
          <w:rtl/>
          <w:lang w:bidi="ar-JO"/>
          <w14:ligatures w14:val="none"/>
        </w:rPr>
        <w:t>وهي تحضِّرنا</w:t>
      </w:r>
      <w:r w:rsidRPr="002E1856">
        <w:rPr>
          <w:rFonts w:eastAsia="Times New Roman" w:cs="DecoType Naskh"/>
          <w:color w:val="auto"/>
          <w:kern w:val="0"/>
          <w:szCs w:val="26"/>
          <w:rtl/>
          <w:lang w:bidi="ar-JO"/>
          <w14:ligatures w14:val="none"/>
        </w:rPr>
        <w:t xml:space="preserve"> لسفر اللاويين.  وتك</w:t>
      </w:r>
      <w:r w:rsidRPr="002E1856">
        <w:rPr>
          <w:rFonts w:eastAsia="Times New Roman" w:cs="DecoType Naskh" w:hint="cs"/>
          <w:color w:val="auto"/>
          <w:kern w:val="0"/>
          <w:szCs w:val="26"/>
          <w:rtl/>
          <w14:ligatures w14:val="none"/>
        </w:rPr>
        <w:t>م</w:t>
      </w:r>
      <w:r w:rsidRPr="002E1856">
        <w:rPr>
          <w:rFonts w:eastAsia="Times New Roman" w:cs="DecoType Naskh"/>
          <w:color w:val="auto"/>
          <w:kern w:val="0"/>
          <w:szCs w:val="26"/>
          <w:rtl/>
          <w:lang w:bidi="ar-JO"/>
          <w14:ligatures w14:val="none"/>
        </w:rPr>
        <w:t xml:space="preserve">ن أهمّية الخروج 40: 34-38 في أن الله السرمدي قد جاء الآن ليسكن في وسط شعبه.  ولهذا يجب على الشعب أن يعرف كيف يحيا معه.  ويدور سفر اللاويين </w:t>
      </w:r>
      <w:r w:rsidRPr="002E1856">
        <w:rPr>
          <w:rFonts w:eastAsia="Times New Roman" w:cs="DecoType Naskh" w:hint="cs"/>
          <w:color w:val="auto"/>
          <w:kern w:val="0"/>
          <w:szCs w:val="26"/>
          <w:rtl/>
          <w:lang w:bidi="ar-JO"/>
          <w14:ligatures w14:val="none"/>
        </w:rPr>
        <w:t xml:space="preserve">عن </w:t>
      </w:r>
      <w:r w:rsidRPr="002E1856">
        <w:rPr>
          <w:rFonts w:eastAsia="Times New Roman" w:cs="DecoType Naskh"/>
          <w:color w:val="auto"/>
          <w:kern w:val="0"/>
          <w:szCs w:val="26"/>
          <w:rtl/>
          <w:lang w:bidi="ar-JO"/>
          <w14:ligatures w14:val="none"/>
        </w:rPr>
        <w:t>كيفية ترتيب الحياة حول محضره.</w:t>
      </w:r>
    </w:p>
    <w:p w14:paraId="63CD6F76" w14:textId="77777777" w:rsidR="002E1856" w:rsidRPr="002E1856" w:rsidRDefault="002E1856"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14:ligatures w14:val="none"/>
        </w:rPr>
      </w:pPr>
      <w:r w:rsidRPr="002E1856">
        <w:rPr>
          <w:rFonts w:eastAsia="Times New Roman" w:cs="DecoType Naskh"/>
          <w:color w:val="auto"/>
          <w:kern w:val="0"/>
          <w:sz w:val="18"/>
          <w:szCs w:val="20"/>
          <w:rtl/>
          <w14:ligatures w14:val="none"/>
        </w:rPr>
        <w:t xml:space="preserve">         </w:t>
      </w:r>
    </w:p>
    <w:p w14:paraId="561883FF" w14:textId="77777777" w:rsidR="006311FA" w:rsidRDefault="006311FA"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strike/>
          <w:kern w:val="0"/>
          <w:szCs w:val="24"/>
          <w14:ligatures w14:val="none"/>
        </w:rPr>
      </w:pPr>
    </w:p>
    <w:p w14:paraId="02D6FDC8" w14:textId="77777777" w:rsidR="005B452F" w:rsidRPr="007A4B15" w:rsidRDefault="005B452F"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strike/>
          <w:kern w:val="0"/>
          <w:szCs w:val="24"/>
          <w14:ligatures w14:val="none"/>
        </w:rPr>
      </w:pPr>
    </w:p>
    <w:p w14:paraId="2BD8A7C5" w14:textId="0ACB6A1B" w:rsidR="008B149F" w:rsidRDefault="008B149F"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strike/>
          <w:kern w:val="0"/>
          <w:szCs w:val="24"/>
          <w14:ligatures w14:val="none"/>
        </w:rPr>
      </w:pPr>
      <w:r>
        <w:rPr>
          <w:rFonts w:eastAsia="Calibri" w:cs="Times New Roman"/>
          <w:strike/>
          <w:kern w:val="0"/>
          <w:szCs w:val="24"/>
          <w14:ligatures w14:val="none"/>
        </w:rPr>
        <w:br w:type="page"/>
      </w:r>
    </w:p>
    <w:p w14:paraId="5CED7FEE" w14:textId="132B4EDB" w:rsidR="009810D1" w:rsidRPr="00851CEE" w:rsidRDefault="00851CEE" w:rsidP="00851CEE">
      <w:pPr>
        <w:pStyle w:val="Heading2"/>
        <w:bidi/>
      </w:pPr>
      <w:bookmarkStart w:id="95" w:name="_Toc164420033"/>
      <w:bookmarkStart w:id="96" w:name="_Hlk178778781"/>
      <w:r w:rsidRPr="00851CEE">
        <w:rPr>
          <w:rFonts w:ascii="Simplified Arabic" w:hAnsi="Simplified Arabic" w:cs="Simplified Arabic" w:hint="cs"/>
          <w:rtl/>
          <w:lang w:bidi="ar-JO"/>
          <w14:ligatures w14:val="none"/>
        </w:rPr>
        <w:lastRenderedPageBreak/>
        <w:t xml:space="preserve">الوحدة 3: </w:t>
      </w:r>
      <w:r w:rsidRPr="00851CEE">
        <w:rPr>
          <w:rFonts w:ascii="Simplified Arabic" w:hAnsi="Simplified Arabic" w:cs="Simplified Arabic" w:hint="cs"/>
          <w:rtl/>
          <w14:ligatures w14:val="none"/>
        </w:rPr>
        <w:t xml:space="preserve">الإعداد والتجهيز لدخول الأرض (لاويّين </w:t>
      </w:r>
      <w:r w:rsidRPr="00851CEE">
        <w:rPr>
          <w:rFonts w:ascii="Simplified Arabic" w:hAnsi="Simplified Arabic" w:cs="Simplified Arabic"/>
          <w:rtl/>
          <w14:ligatures w14:val="none"/>
        </w:rPr>
        <w:t>–</w:t>
      </w:r>
      <w:r w:rsidRPr="00851CEE">
        <w:rPr>
          <w:rFonts w:ascii="Simplified Arabic" w:hAnsi="Simplified Arabic" w:cs="Simplified Arabic" w:hint="cs"/>
          <w:rtl/>
          <w14:ligatures w14:val="none"/>
        </w:rPr>
        <w:t xml:space="preserve"> تثنية) </w:t>
      </w:r>
      <w:bookmarkEnd w:id="95"/>
    </w:p>
    <w:p w14:paraId="56CB2996" w14:textId="5BE3DB73" w:rsidR="009810D1" w:rsidRPr="00851CEE" w:rsidRDefault="00851CEE" w:rsidP="00851CEE">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lang w:bidi="ar-JO"/>
          <w14:ligatures w14:val="none"/>
        </w:rPr>
      </w:pPr>
      <w:r w:rsidRPr="00851CEE">
        <w:rPr>
          <w:rFonts w:ascii="Simplified Arabic" w:eastAsia="Calibri" w:hAnsi="Simplified Arabic" w:cs="Simplified Arabic"/>
          <w:kern w:val="0"/>
          <w:sz w:val="26"/>
          <w:szCs w:val="26"/>
          <w:rtl/>
          <w:lang w:bidi="ar-JO"/>
          <w14:ligatures w14:val="none"/>
        </w:rPr>
        <w:t>ندرس في هذه الوحدة أسفار اللاويين والعدد والتثنية. مع بدء سفر اللاونيين نرى الشعب وهو ما يزال عند جبل سيناء. يتلقّى الشعب هنا تعليمات</w:t>
      </w:r>
      <w:r w:rsidR="00910186">
        <w:rPr>
          <w:rFonts w:ascii="Simplified Arabic" w:eastAsia="Calibri" w:hAnsi="Simplified Arabic" w:cs="Simplified Arabic" w:hint="cs"/>
          <w:kern w:val="0"/>
          <w:sz w:val="26"/>
          <w:szCs w:val="26"/>
          <w:rtl/>
          <w:lang w:bidi="ar-JO"/>
          <w14:ligatures w14:val="none"/>
        </w:rPr>
        <w:t>ٍ</w:t>
      </w:r>
      <w:r w:rsidRPr="00851CEE">
        <w:rPr>
          <w:rFonts w:ascii="Simplified Arabic" w:eastAsia="Calibri" w:hAnsi="Simplified Arabic" w:cs="Simplified Arabic"/>
          <w:kern w:val="0"/>
          <w:sz w:val="26"/>
          <w:szCs w:val="26"/>
          <w:rtl/>
          <w:lang w:bidi="ar-JO"/>
          <w14:ligatures w14:val="none"/>
        </w:rPr>
        <w:t xml:space="preserve"> أكثر تفصيلًا بشأن الأنواع المختلفة للذبائح التي ستُقدَّم في خيمة الاجتماع </w:t>
      </w:r>
      <w:r w:rsidR="00910186">
        <w:rPr>
          <w:rFonts w:ascii="Simplified Arabic" w:eastAsia="Calibri" w:hAnsi="Simplified Arabic" w:cs="Simplified Arabic" w:hint="cs"/>
          <w:kern w:val="0"/>
          <w:sz w:val="26"/>
          <w:szCs w:val="26"/>
          <w:rtl/>
          <w:lang w:bidi="ar-JO"/>
          <w14:ligatures w14:val="none"/>
        </w:rPr>
        <w:t>و</w:t>
      </w:r>
      <w:r>
        <w:rPr>
          <w:rFonts w:ascii="Simplified Arabic" w:eastAsia="Calibri" w:hAnsi="Simplified Arabic" w:cs="Simplified Arabic" w:hint="cs"/>
          <w:kern w:val="0"/>
          <w:sz w:val="26"/>
          <w:szCs w:val="26"/>
          <w:rtl/>
          <w:lang w:bidi="ar-JO"/>
          <w14:ligatures w14:val="none"/>
        </w:rPr>
        <w:t>طريقة عمل هذا. يتمحور موضوع هذا السفر حول مفهوم "القداسة،" ولذا فإن هناك مزيد</w:t>
      </w:r>
      <w:r w:rsidR="00910186">
        <w:rPr>
          <w:rFonts w:ascii="Simplified Arabic" w:eastAsia="Calibri" w:hAnsi="Simplified Arabic" w:cs="Simplified Arabic" w:hint="cs"/>
          <w:kern w:val="0"/>
          <w:sz w:val="26"/>
          <w:szCs w:val="26"/>
          <w:rtl/>
          <w:lang w:bidi="ar-JO"/>
          <w14:ligatures w14:val="none"/>
        </w:rPr>
        <w:t>ًا</w:t>
      </w:r>
      <w:r>
        <w:rPr>
          <w:rFonts w:ascii="Simplified Arabic" w:eastAsia="Calibri" w:hAnsi="Simplified Arabic" w:cs="Simplified Arabic" w:hint="cs"/>
          <w:kern w:val="0"/>
          <w:sz w:val="26"/>
          <w:szCs w:val="26"/>
          <w:rtl/>
          <w:lang w:bidi="ar-JO"/>
          <w14:ligatures w14:val="none"/>
        </w:rPr>
        <w:t xml:space="preserve"> من التعليم بشأن معنى القداسة من الناحية العملية. ومع بدء سفر العدد، نرى الشعب ما يزال أسفل جبل سيناء، ولكنّهم يتحضّرون للانطلاق إلى أرض كنعان </w:t>
      </w:r>
      <w:r>
        <w:rPr>
          <w:rFonts w:ascii="Simplified Arabic" w:eastAsia="Calibri" w:hAnsi="Simplified Arabic" w:cs="Simplified Arabic"/>
          <w:kern w:val="0"/>
          <w:sz w:val="26"/>
          <w:szCs w:val="26"/>
          <w:rtl/>
          <w:lang w:bidi="ar-JO"/>
          <w14:ligatures w14:val="none"/>
        </w:rPr>
        <w:t>–</w:t>
      </w:r>
      <w:r>
        <w:rPr>
          <w:rFonts w:ascii="Simplified Arabic" w:eastAsia="Calibri" w:hAnsi="Simplified Arabic" w:cs="Simplified Arabic" w:hint="cs"/>
          <w:kern w:val="0"/>
          <w:sz w:val="26"/>
          <w:szCs w:val="26"/>
          <w:rtl/>
          <w:lang w:bidi="ar-JO"/>
          <w14:ligatures w14:val="none"/>
        </w:rPr>
        <w:t xml:space="preserve"> أرض الموعد. </w:t>
      </w:r>
      <w:r w:rsidR="00B94DF7">
        <w:rPr>
          <w:rFonts w:ascii="Simplified Arabic" w:eastAsia="Calibri" w:hAnsi="Simplified Arabic" w:cs="Simplified Arabic" w:hint="cs"/>
          <w:kern w:val="0"/>
          <w:sz w:val="26"/>
          <w:szCs w:val="26"/>
          <w:rtl/>
          <w:lang w:bidi="ar-JO"/>
          <w14:ligatures w14:val="none"/>
        </w:rPr>
        <w:t>بعد أن تركوا سيناء، أتوا إلى موقع قادش برنيع، ولكن بدلَ أن يطيعوا تعليمات الله بأن يدخلوا الأرض، تمرَّدوا ورفضوا الدخول خوفاً من الكنعانيّين سكّان الأرض. وبسبب تمرُّدهم حكم الله بأن يجعل ذلك الجيل يموت في البريّة خلال أربعين سنة. وأخيرًا، حين قام جيلٌ جديد وكان مستعدًّا للدخول إلى الأرض، أع</w:t>
      </w:r>
      <w:r w:rsidR="00910186">
        <w:rPr>
          <w:rFonts w:ascii="Simplified Arabic" w:eastAsia="Calibri" w:hAnsi="Simplified Arabic" w:cs="Simplified Arabic" w:hint="cs"/>
          <w:kern w:val="0"/>
          <w:sz w:val="26"/>
          <w:szCs w:val="26"/>
          <w:rtl/>
          <w:lang w:bidi="ar-JO"/>
          <w14:ligatures w14:val="none"/>
        </w:rPr>
        <w:t>طى</w:t>
      </w:r>
      <w:r w:rsidR="00B94DF7">
        <w:rPr>
          <w:rFonts w:ascii="Simplified Arabic" w:eastAsia="Calibri" w:hAnsi="Simplified Arabic" w:cs="Simplified Arabic" w:hint="cs"/>
          <w:kern w:val="0"/>
          <w:sz w:val="26"/>
          <w:szCs w:val="26"/>
          <w:rtl/>
          <w:lang w:bidi="ar-JO"/>
          <w14:ligatures w14:val="none"/>
        </w:rPr>
        <w:t xml:space="preserve"> الله </w:t>
      </w:r>
      <w:r w:rsidR="00910186">
        <w:rPr>
          <w:rFonts w:ascii="Simplified Arabic" w:eastAsia="Calibri" w:hAnsi="Simplified Arabic" w:cs="Simplified Arabic" w:hint="cs"/>
          <w:kern w:val="0"/>
          <w:sz w:val="26"/>
          <w:szCs w:val="26"/>
          <w:rtl/>
          <w:lang w:bidi="ar-JO"/>
          <w14:ligatures w14:val="none"/>
        </w:rPr>
        <w:t>آخر</w:t>
      </w:r>
      <w:r w:rsidR="00B94DF7">
        <w:rPr>
          <w:rFonts w:ascii="Simplified Arabic" w:eastAsia="Calibri" w:hAnsi="Simplified Arabic" w:cs="Simplified Arabic" w:hint="cs"/>
          <w:kern w:val="0"/>
          <w:sz w:val="26"/>
          <w:szCs w:val="26"/>
          <w:rtl/>
          <w:lang w:bidi="ar-JO"/>
          <w14:ligatures w14:val="none"/>
        </w:rPr>
        <w:t xml:space="preserve"> توصياته</w:t>
      </w:r>
      <w:r w:rsidR="00910186">
        <w:rPr>
          <w:rFonts w:ascii="Simplified Arabic" w:eastAsia="Calibri" w:hAnsi="Simplified Arabic" w:cs="Simplified Arabic" w:hint="cs"/>
          <w:kern w:val="0"/>
          <w:sz w:val="26"/>
          <w:szCs w:val="26"/>
          <w:rtl/>
          <w:lang w:bidi="ar-JO"/>
          <w14:ligatures w14:val="none"/>
        </w:rPr>
        <w:t xml:space="preserve"> وتعليمه</w:t>
      </w:r>
      <w:r w:rsidR="00B94DF7">
        <w:rPr>
          <w:rFonts w:ascii="Simplified Arabic" w:eastAsia="Calibri" w:hAnsi="Simplified Arabic" w:cs="Simplified Arabic" w:hint="cs"/>
          <w:kern w:val="0"/>
          <w:sz w:val="26"/>
          <w:szCs w:val="26"/>
          <w:rtl/>
          <w:lang w:bidi="ar-JO"/>
          <w14:ligatures w14:val="none"/>
        </w:rPr>
        <w:t xml:space="preserve"> (سفر التثنية)، حتى يدخل هذا الجيل الجديد بأمانة إلى الأرض ويطيع ناموس الله. </w:t>
      </w:r>
      <w:r w:rsidR="00910186">
        <w:rPr>
          <w:rFonts w:ascii="Simplified Arabic" w:eastAsia="Calibri" w:hAnsi="Simplified Arabic" w:cs="Simplified Arabic" w:hint="cs"/>
          <w:kern w:val="0"/>
          <w:sz w:val="26"/>
          <w:szCs w:val="26"/>
          <w:rtl/>
          <w:lang w:bidi="ar-JO"/>
          <w14:ligatures w14:val="none"/>
        </w:rPr>
        <w:t>ويُعطى الشعب</w:t>
      </w:r>
      <w:r w:rsidR="00B94DF7">
        <w:rPr>
          <w:rFonts w:ascii="Simplified Arabic" w:eastAsia="Calibri" w:hAnsi="Simplified Arabic" w:cs="Simplified Arabic" w:hint="cs"/>
          <w:kern w:val="0"/>
          <w:sz w:val="26"/>
          <w:szCs w:val="26"/>
          <w:rtl/>
          <w:lang w:bidi="ar-JO"/>
          <w14:ligatures w14:val="none"/>
        </w:rPr>
        <w:t xml:space="preserve"> تعليمًا عن البركات التي سيختبرونها للطاعة، ولكنَّهم يُحذَّرون أيضاً من الدينونة والتأديب الآتي</w:t>
      </w:r>
      <w:r w:rsidR="00910186">
        <w:rPr>
          <w:rFonts w:ascii="Simplified Arabic" w:eastAsia="Calibri" w:hAnsi="Simplified Arabic" w:cs="Simplified Arabic" w:hint="cs"/>
          <w:kern w:val="0"/>
          <w:sz w:val="26"/>
          <w:szCs w:val="26"/>
          <w:rtl/>
          <w:lang w:bidi="ar-JO"/>
          <w14:ligatures w14:val="none"/>
        </w:rPr>
        <w:t>َ</w:t>
      </w:r>
      <w:r w:rsidR="00B94DF7">
        <w:rPr>
          <w:rFonts w:ascii="Simplified Arabic" w:eastAsia="Calibri" w:hAnsi="Simplified Arabic" w:cs="Simplified Arabic" w:hint="cs"/>
          <w:kern w:val="0"/>
          <w:sz w:val="26"/>
          <w:szCs w:val="26"/>
          <w:rtl/>
          <w:lang w:bidi="ar-JO"/>
          <w14:ligatures w14:val="none"/>
        </w:rPr>
        <w:t>ين اللذ</w:t>
      </w:r>
      <w:r w:rsidR="00910186">
        <w:rPr>
          <w:rFonts w:ascii="Simplified Arabic" w:eastAsia="Calibri" w:hAnsi="Simplified Arabic" w:cs="Simplified Arabic" w:hint="cs"/>
          <w:kern w:val="0"/>
          <w:sz w:val="26"/>
          <w:szCs w:val="26"/>
          <w:rtl/>
          <w:lang w:bidi="ar-JO"/>
          <w14:ligatures w14:val="none"/>
        </w:rPr>
        <w:t>َ</w:t>
      </w:r>
      <w:r w:rsidR="00B94DF7">
        <w:rPr>
          <w:rFonts w:ascii="Simplified Arabic" w:eastAsia="Calibri" w:hAnsi="Simplified Arabic" w:cs="Simplified Arabic" w:hint="cs"/>
          <w:kern w:val="0"/>
          <w:sz w:val="26"/>
          <w:szCs w:val="26"/>
          <w:rtl/>
          <w:lang w:bidi="ar-JO"/>
          <w14:ligatures w14:val="none"/>
        </w:rPr>
        <w:t xml:space="preserve">ين سيجلبهما الله عليهم بسبب عصيانهم للعهد (تثنية 28-29). </w:t>
      </w:r>
    </w:p>
    <w:p w14:paraId="5F575E63" w14:textId="77777777" w:rsidR="00851CEE" w:rsidRPr="00851CEE" w:rsidRDefault="00851CEE" w:rsidP="00851CEE">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eastAsia="Calibri" w:cs="Times New Roman"/>
          <w:kern w:val="0"/>
          <w:sz w:val="26"/>
          <w:szCs w:val="26"/>
          <w:rtl/>
          <w:lang w:bidi="ar-JO"/>
          <w14:ligatures w14:val="none"/>
        </w:rPr>
      </w:pPr>
    </w:p>
    <w:p w14:paraId="4B07313D" w14:textId="519B4BE7" w:rsidR="009810D1" w:rsidRPr="00B94DF7" w:rsidRDefault="00B94DF7" w:rsidP="00B94DF7">
      <w:pPr>
        <w:pStyle w:val="Heading3"/>
        <w:bidi/>
        <w:spacing w:line="240" w:lineRule="auto"/>
        <w:rPr>
          <w:rFonts w:ascii="Simplified Arabic" w:hAnsi="Simplified Arabic" w:cs="Simplified Arabic"/>
        </w:rPr>
      </w:pPr>
      <w:r w:rsidRPr="00B94DF7">
        <w:rPr>
          <w:rFonts w:ascii="Simplified Arabic" w:hAnsi="Simplified Arabic" w:cs="Simplified Arabic"/>
          <w:rtl/>
        </w:rPr>
        <w:t>مُخطَّط الوحدة</w:t>
      </w:r>
    </w:p>
    <w:p w14:paraId="32E7B483" w14:textId="77777777" w:rsidR="00851CEE" w:rsidRPr="00B94DF7" w:rsidRDefault="00851CEE" w:rsidP="00851CEE">
      <w:pPr>
        <w:bidi/>
        <w:spacing w:after="0" w:line="240" w:lineRule="auto"/>
        <w:ind w:left="1440" w:hanging="900"/>
        <w:contextualSpacing/>
        <w:rPr>
          <w:rFonts w:ascii="Simplified Arabic" w:hAnsi="Simplified Arabic" w:cs="Simplified Arabic"/>
          <w:b/>
          <w:kern w:val="0"/>
          <w:sz w:val="26"/>
          <w:szCs w:val="26"/>
          <w:rtl/>
          <w14:ligatures w14:val="none"/>
        </w:rPr>
      </w:pPr>
      <w:bookmarkStart w:id="97" w:name="_Toc164420035"/>
      <w:r w:rsidRPr="00B94DF7">
        <w:rPr>
          <w:rFonts w:ascii="Simplified Arabic" w:hAnsi="Simplified Arabic" w:cs="Simplified Arabic"/>
          <w:b/>
          <w:kern w:val="0"/>
          <w:sz w:val="26"/>
          <w:szCs w:val="26"/>
          <w:rtl/>
          <w14:ligatures w14:val="none"/>
        </w:rPr>
        <w:t xml:space="preserve">الدرس 7: ذبائح وأعياد عبادات العهد القديم (لاويين 1-23) </w:t>
      </w:r>
    </w:p>
    <w:p w14:paraId="7E04CB7F" w14:textId="77777777" w:rsidR="00851CEE" w:rsidRPr="00B94DF7" w:rsidRDefault="00851CEE" w:rsidP="00851CEE">
      <w:pPr>
        <w:bidi/>
        <w:spacing w:after="0" w:line="240" w:lineRule="auto"/>
        <w:ind w:left="1440" w:hanging="900"/>
        <w:contextualSpacing/>
        <w:rPr>
          <w:rFonts w:ascii="Simplified Arabic" w:hAnsi="Simplified Arabic" w:cs="Simplified Arabic"/>
          <w:b/>
          <w:kern w:val="0"/>
          <w:sz w:val="26"/>
          <w:szCs w:val="26"/>
          <w:rtl/>
          <w14:ligatures w14:val="none"/>
        </w:rPr>
      </w:pPr>
      <w:r w:rsidRPr="00B94DF7">
        <w:rPr>
          <w:rFonts w:ascii="Simplified Arabic" w:hAnsi="Simplified Arabic" w:cs="Simplified Arabic"/>
          <w:b/>
          <w:kern w:val="0"/>
          <w:sz w:val="26"/>
          <w:szCs w:val="26"/>
          <w:rtl/>
          <w14:ligatures w14:val="none"/>
        </w:rPr>
        <w:t xml:space="preserve">الدرس 8: سنوات البرّيّة الأربعون (سفر العدد 1-36) </w:t>
      </w:r>
    </w:p>
    <w:p w14:paraId="18FFB309" w14:textId="77777777" w:rsidR="00851CEE" w:rsidRPr="00B94DF7" w:rsidRDefault="00851CEE" w:rsidP="00851CEE">
      <w:pPr>
        <w:bidi/>
        <w:spacing w:after="0" w:line="240" w:lineRule="auto"/>
        <w:ind w:left="1440" w:hanging="900"/>
        <w:contextualSpacing/>
        <w:rPr>
          <w:rFonts w:ascii="Simplified Arabic" w:hAnsi="Simplified Arabic" w:cs="Simplified Arabic"/>
          <w:b/>
          <w:kern w:val="0"/>
          <w:sz w:val="26"/>
          <w:szCs w:val="26"/>
          <w:rtl/>
          <w:lang w:bidi="ar-JO"/>
          <w14:ligatures w14:val="none"/>
        </w:rPr>
      </w:pPr>
      <w:r w:rsidRPr="00B94DF7">
        <w:rPr>
          <w:rFonts w:ascii="Simplified Arabic" w:hAnsi="Simplified Arabic" w:cs="Simplified Arabic"/>
          <w:b/>
          <w:kern w:val="0"/>
          <w:sz w:val="26"/>
          <w:szCs w:val="26"/>
          <w:rtl/>
          <w14:ligatures w14:val="none"/>
        </w:rPr>
        <w:t xml:space="preserve">الدرس 9: </w:t>
      </w:r>
      <w:r w:rsidRPr="00B94DF7">
        <w:rPr>
          <w:rFonts w:ascii="Simplified Arabic" w:hAnsi="Simplified Arabic" w:cs="Simplified Arabic"/>
          <w:b/>
          <w:kern w:val="0"/>
          <w:sz w:val="26"/>
          <w:szCs w:val="26"/>
          <w:rtl/>
          <w:lang w:bidi="ar-JO"/>
          <w14:ligatures w14:val="none"/>
        </w:rPr>
        <w:t>توصية الجيل الجديد (تثنية 1-34)</w:t>
      </w:r>
    </w:p>
    <w:bookmarkEnd w:id="97"/>
    <w:p w14:paraId="11118491" w14:textId="5C8F862E" w:rsidR="009810D1" w:rsidRPr="00B94DF7" w:rsidRDefault="00B94DF7" w:rsidP="00B94DF7">
      <w:pPr>
        <w:pStyle w:val="Heading3"/>
        <w:bidi/>
        <w:spacing w:line="240" w:lineRule="auto"/>
        <w:rPr>
          <w:rFonts w:ascii="Simplified Arabic" w:hAnsi="Simplified Arabic" w:cs="Simplified Arabic"/>
        </w:rPr>
      </w:pPr>
      <w:r w:rsidRPr="00B94DF7">
        <w:rPr>
          <w:rFonts w:ascii="Simplified Arabic" w:hAnsi="Simplified Arabic" w:cs="Simplified Arabic"/>
          <w:rtl/>
        </w:rPr>
        <w:t>أهداف الوحدة</w:t>
      </w:r>
    </w:p>
    <w:p w14:paraId="68175AF5" w14:textId="313A51D9" w:rsidR="009810D1" w:rsidRPr="00B94DF7" w:rsidRDefault="00B94DF7" w:rsidP="00B94DF7">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Cs w:val="24"/>
          <w14:ligatures w14:val="none"/>
        </w:rPr>
      </w:pPr>
      <w:r w:rsidRPr="00B94DF7">
        <w:rPr>
          <w:rFonts w:ascii="Simplified Arabic" w:eastAsia="Calibri" w:hAnsi="Simplified Arabic" w:cs="Simplified Arabic"/>
          <w:kern w:val="0"/>
          <w:szCs w:val="24"/>
          <w:rtl/>
          <w14:ligatures w14:val="none"/>
        </w:rPr>
        <w:t xml:space="preserve">بانتهائك من دراسة هذه الوحدة، ستكون قادرًا على ما يلي: </w:t>
      </w:r>
    </w:p>
    <w:p w14:paraId="4D0F612A" w14:textId="4F66ABBC" w:rsidR="0018244A" w:rsidRPr="001F4CAD" w:rsidRDefault="00B94DF7" w:rsidP="00B94DF7">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Cs w:val="24"/>
          <w14:ligatures w14:val="none"/>
        </w:rPr>
      </w:pPr>
      <w:r w:rsidRPr="001F4CAD">
        <w:rPr>
          <w:rFonts w:ascii="Simplified Arabic" w:eastAsia="Calibri" w:hAnsi="Simplified Arabic" w:cs="Simplified Arabic"/>
          <w:kern w:val="0"/>
          <w:szCs w:val="24"/>
          <w:rtl/>
          <w14:ligatures w14:val="none"/>
        </w:rPr>
        <w:t>أن تعدِّد الذبائح الرئيسية التي كان العبرانيّون يقدِّمو</w:t>
      </w:r>
      <w:r w:rsidR="00910186">
        <w:rPr>
          <w:rFonts w:ascii="Simplified Arabic" w:eastAsia="Calibri" w:hAnsi="Simplified Arabic" w:cs="Simplified Arabic" w:hint="cs"/>
          <w:kern w:val="0"/>
          <w:szCs w:val="24"/>
          <w:rtl/>
          <w14:ligatures w14:val="none"/>
        </w:rPr>
        <w:t>ن</w:t>
      </w:r>
      <w:r w:rsidRPr="001F4CAD">
        <w:rPr>
          <w:rFonts w:ascii="Simplified Arabic" w:eastAsia="Calibri" w:hAnsi="Simplified Arabic" w:cs="Simplified Arabic"/>
          <w:kern w:val="0"/>
          <w:szCs w:val="24"/>
          <w:rtl/>
          <w14:ligatures w14:val="none"/>
        </w:rPr>
        <w:t xml:space="preserve">ها وتبيّن مغزاها. </w:t>
      </w:r>
    </w:p>
    <w:p w14:paraId="51ACA2C6" w14:textId="1D089BF7" w:rsidR="00B94DF7" w:rsidRPr="001F4CAD" w:rsidRDefault="00B94DF7" w:rsidP="00B94DF7">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Cs w:val="24"/>
          <w14:ligatures w14:val="none"/>
        </w:rPr>
      </w:pPr>
      <w:r w:rsidRPr="001F4CAD">
        <w:rPr>
          <w:rFonts w:ascii="Simplified Arabic" w:eastAsia="Calibri" w:hAnsi="Simplified Arabic" w:cs="Simplified Arabic"/>
          <w:kern w:val="0"/>
          <w:szCs w:val="24"/>
          <w:rtl/>
          <w14:ligatures w14:val="none"/>
        </w:rPr>
        <w:t xml:space="preserve">أن تبيِّن الأعياد التي ينبغي أن يشارك فيها المرء، وأن تشرح معناها الرمزي. </w:t>
      </w:r>
    </w:p>
    <w:p w14:paraId="6E5412DE" w14:textId="48F7BE8B" w:rsidR="00B94DF7" w:rsidRPr="001F4CAD" w:rsidRDefault="00F66F74" w:rsidP="00B94DF7">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Cs w:val="24"/>
          <w14:ligatures w14:val="none"/>
        </w:rPr>
      </w:pPr>
      <w:r w:rsidRPr="001F4CAD">
        <w:rPr>
          <w:rFonts w:ascii="Simplified Arabic" w:eastAsia="Calibri" w:hAnsi="Simplified Arabic" w:cs="Simplified Arabic"/>
          <w:kern w:val="0"/>
          <w:szCs w:val="24"/>
          <w:rtl/>
          <w14:ligatures w14:val="none"/>
        </w:rPr>
        <w:t>أن تشرح تمرّ</w:t>
      </w:r>
      <w:r w:rsidR="00910186">
        <w:rPr>
          <w:rFonts w:ascii="Simplified Arabic" w:eastAsia="Calibri" w:hAnsi="Simplified Arabic" w:cs="Simplified Arabic" w:hint="cs"/>
          <w:kern w:val="0"/>
          <w:szCs w:val="24"/>
          <w:rtl/>
          <w14:ligatures w14:val="none"/>
        </w:rPr>
        <w:t>ُ</w:t>
      </w:r>
      <w:r w:rsidRPr="001F4CAD">
        <w:rPr>
          <w:rFonts w:ascii="Simplified Arabic" w:eastAsia="Calibri" w:hAnsi="Simplified Arabic" w:cs="Simplified Arabic"/>
          <w:kern w:val="0"/>
          <w:szCs w:val="24"/>
          <w:rtl/>
          <w14:ligatures w14:val="none"/>
        </w:rPr>
        <w:t xml:space="preserve">د وخطية الشعب في قادش برنيع ودينونة الله التي أعقبت ذلك. </w:t>
      </w:r>
    </w:p>
    <w:p w14:paraId="509288F3" w14:textId="67CC31BE" w:rsidR="00F66F74" w:rsidRPr="001F4CAD" w:rsidRDefault="00F66F74" w:rsidP="00F66F74">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Cs w:val="24"/>
          <w14:ligatures w14:val="none"/>
        </w:rPr>
      </w:pPr>
      <w:r w:rsidRPr="001F4CAD">
        <w:rPr>
          <w:rFonts w:ascii="Simplified Arabic" w:eastAsia="Calibri" w:hAnsi="Simplified Arabic" w:cs="Simplified Arabic"/>
          <w:kern w:val="0"/>
          <w:szCs w:val="24"/>
          <w:rtl/>
          <w14:ligatures w14:val="none"/>
        </w:rPr>
        <w:t>أن تبي</w:t>
      </w:r>
      <w:r w:rsidR="00910186">
        <w:rPr>
          <w:rFonts w:ascii="Simplified Arabic" w:eastAsia="Calibri" w:hAnsi="Simplified Arabic" w:cs="Simplified Arabic" w:hint="cs"/>
          <w:kern w:val="0"/>
          <w:szCs w:val="24"/>
          <w:rtl/>
          <w14:ligatures w14:val="none"/>
        </w:rPr>
        <w:t>ِّ</w:t>
      </w:r>
      <w:r w:rsidRPr="001F4CAD">
        <w:rPr>
          <w:rFonts w:ascii="Simplified Arabic" w:eastAsia="Calibri" w:hAnsi="Simplified Arabic" w:cs="Simplified Arabic"/>
          <w:kern w:val="0"/>
          <w:szCs w:val="24"/>
          <w:rtl/>
          <w14:ligatures w14:val="none"/>
        </w:rPr>
        <w:t xml:space="preserve">ن مغزى "أقوال بلعام" في ما يتعلَّق بوعود عهد الله. </w:t>
      </w:r>
    </w:p>
    <w:p w14:paraId="3FDBF254" w14:textId="2D9D5F5D" w:rsidR="00F66F74" w:rsidRPr="001F4CAD" w:rsidRDefault="00F66F74" w:rsidP="00F66F74">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Cs w:val="24"/>
          <w14:ligatures w14:val="none"/>
        </w:rPr>
      </w:pPr>
      <w:r w:rsidRPr="001F4CAD">
        <w:rPr>
          <w:rFonts w:ascii="Simplified Arabic" w:eastAsia="Calibri" w:hAnsi="Simplified Arabic" w:cs="Simplified Arabic"/>
          <w:kern w:val="0"/>
          <w:szCs w:val="24"/>
          <w:rtl/>
          <w14:ligatures w14:val="none"/>
        </w:rPr>
        <w:t xml:space="preserve">أن تكتب قائمةً بـ"الدوافع" المختلفة للطاعة التي تُقدَّم للجيل الجديد في سفر التثنية. </w:t>
      </w:r>
    </w:p>
    <w:p w14:paraId="09603B18" w14:textId="0623521F" w:rsidR="00F66F74" w:rsidRPr="001F4CAD" w:rsidRDefault="00F66F74" w:rsidP="00F66F74">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Cs w:val="24"/>
          <w14:ligatures w14:val="none"/>
        </w:rPr>
      </w:pPr>
      <w:r w:rsidRPr="001F4CAD">
        <w:rPr>
          <w:rFonts w:ascii="Simplified Arabic" w:eastAsia="Calibri" w:hAnsi="Simplified Arabic" w:cs="Simplified Arabic"/>
          <w:kern w:val="0"/>
          <w:szCs w:val="24"/>
          <w:rtl/>
          <w14:ligatures w14:val="none"/>
        </w:rPr>
        <w:t>أن تصف أهم</w:t>
      </w:r>
      <w:r w:rsidR="00910186">
        <w:rPr>
          <w:rFonts w:ascii="Simplified Arabic" w:eastAsia="Calibri" w:hAnsi="Simplified Arabic" w:cs="Simplified Arabic" w:hint="cs"/>
          <w:kern w:val="0"/>
          <w:szCs w:val="24"/>
          <w:rtl/>
          <w14:ligatures w14:val="none"/>
        </w:rPr>
        <w:t>ّ</w:t>
      </w:r>
      <w:r w:rsidRPr="001F4CAD">
        <w:rPr>
          <w:rFonts w:ascii="Simplified Arabic" w:eastAsia="Calibri" w:hAnsi="Simplified Arabic" w:cs="Simplified Arabic"/>
          <w:kern w:val="0"/>
          <w:szCs w:val="24"/>
          <w:rtl/>
          <w14:ligatures w14:val="none"/>
        </w:rPr>
        <w:t>ي</w:t>
      </w:r>
      <w:r w:rsidR="00910186">
        <w:rPr>
          <w:rFonts w:ascii="Simplified Arabic" w:eastAsia="Calibri" w:hAnsi="Simplified Arabic" w:cs="Simplified Arabic" w:hint="cs"/>
          <w:kern w:val="0"/>
          <w:szCs w:val="24"/>
          <w:rtl/>
          <w14:ligatures w14:val="none"/>
        </w:rPr>
        <w:t>ّ</w:t>
      </w:r>
      <w:r w:rsidRPr="001F4CAD">
        <w:rPr>
          <w:rFonts w:ascii="Simplified Arabic" w:eastAsia="Calibri" w:hAnsi="Simplified Arabic" w:cs="Simplified Arabic"/>
          <w:kern w:val="0"/>
          <w:szCs w:val="24"/>
          <w:rtl/>
          <w14:ligatures w14:val="none"/>
        </w:rPr>
        <w:t xml:space="preserve">ة تثنية 28-29 (البركات واللعنات) لمستقبل الأمة. </w:t>
      </w:r>
    </w:p>
    <w:p w14:paraId="6B0DD661" w14:textId="66ED7A24" w:rsidR="0018244A" w:rsidRPr="007A4B15" w:rsidRDefault="0018244A" w:rsidP="00B94DF7">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ind w:left="720"/>
        <w:contextualSpacing/>
        <w:rPr>
          <w:rFonts w:eastAsia="Calibri" w:cs="Times New Roman"/>
          <w:kern w:val="0"/>
          <w:szCs w:val="24"/>
          <w14:ligatures w14:val="none"/>
        </w:rPr>
      </w:pPr>
    </w:p>
    <w:p w14:paraId="51A88A2A" w14:textId="77777777" w:rsidR="00851CEE" w:rsidRDefault="00851CEE" w:rsidP="00851CEE">
      <w:pPr>
        <w:pStyle w:val="Heading2"/>
        <w:bidi/>
        <w:rPr>
          <w:rFonts w:ascii="Simplified Arabic" w:hAnsi="Simplified Arabic" w:cs="Simplified Arabic"/>
          <w:sz w:val="26"/>
          <w:szCs w:val="26"/>
          <w:rtl/>
          <w14:ligatures w14:val="none"/>
        </w:rPr>
      </w:pPr>
    </w:p>
    <w:p w14:paraId="7B0EC1D5" w14:textId="77777777" w:rsidR="00851CEE" w:rsidRDefault="00851CEE" w:rsidP="00851CEE">
      <w:pPr>
        <w:pStyle w:val="Heading2"/>
        <w:bidi/>
        <w:rPr>
          <w:rFonts w:ascii="Simplified Arabic" w:hAnsi="Simplified Arabic" w:cs="Simplified Arabic"/>
          <w:sz w:val="26"/>
          <w:szCs w:val="26"/>
          <w:rtl/>
          <w14:ligatures w14:val="none"/>
        </w:rPr>
      </w:pPr>
    </w:p>
    <w:p w14:paraId="2612FD31" w14:textId="77777777" w:rsidR="00851CEE" w:rsidRDefault="00851CEE" w:rsidP="00851CEE">
      <w:pPr>
        <w:pStyle w:val="Heading2"/>
        <w:bidi/>
        <w:rPr>
          <w:rFonts w:ascii="Simplified Arabic" w:hAnsi="Simplified Arabic" w:cs="Simplified Arabic"/>
          <w:sz w:val="26"/>
          <w:szCs w:val="26"/>
          <w:rtl/>
          <w14:ligatures w14:val="none"/>
        </w:rPr>
      </w:pPr>
    </w:p>
    <w:p w14:paraId="1C2294C5" w14:textId="77777777" w:rsidR="00851CEE" w:rsidRDefault="00851CEE" w:rsidP="00851CEE">
      <w:pPr>
        <w:pStyle w:val="Heading2"/>
        <w:bidi/>
        <w:rPr>
          <w:rFonts w:ascii="Simplified Arabic" w:hAnsi="Simplified Arabic" w:cs="Simplified Arabic"/>
          <w:sz w:val="26"/>
          <w:szCs w:val="26"/>
          <w:rtl/>
          <w14:ligatures w14:val="none"/>
        </w:rPr>
      </w:pPr>
    </w:p>
    <w:p w14:paraId="4AC0A416" w14:textId="77777777" w:rsidR="00851CEE" w:rsidRDefault="00851CEE" w:rsidP="00851CEE">
      <w:pPr>
        <w:pStyle w:val="Heading2"/>
        <w:bidi/>
        <w:rPr>
          <w:rFonts w:ascii="Simplified Arabic" w:hAnsi="Simplified Arabic" w:cs="Simplified Arabic"/>
          <w:sz w:val="26"/>
          <w:szCs w:val="26"/>
          <w:rtl/>
          <w14:ligatures w14:val="none"/>
        </w:rPr>
      </w:pPr>
    </w:p>
    <w:p w14:paraId="2B486AA1" w14:textId="75B20D99" w:rsidR="008B149F" w:rsidRPr="00851CEE" w:rsidRDefault="00851CEE" w:rsidP="00851CEE">
      <w:pPr>
        <w:pStyle w:val="Heading2"/>
        <w:bidi/>
        <w:rPr>
          <w:sz w:val="58"/>
          <w:szCs w:val="58"/>
        </w:rPr>
      </w:pPr>
      <w:r w:rsidRPr="00851CEE">
        <w:rPr>
          <w:rFonts w:ascii="Simplified Arabic" w:hAnsi="Simplified Arabic" w:cs="Simplified Arabic"/>
          <w:sz w:val="58"/>
          <w:szCs w:val="58"/>
          <w:rtl/>
          <w14:ligatures w14:val="none"/>
        </w:rPr>
        <w:t xml:space="preserve">الدرس </w:t>
      </w:r>
      <w:r w:rsidRPr="00851CEE">
        <w:rPr>
          <w:rFonts w:ascii="Simplified Arabic" w:hAnsi="Simplified Arabic" w:cs="Simplified Arabic" w:hint="cs"/>
          <w:sz w:val="58"/>
          <w:szCs w:val="58"/>
          <w:rtl/>
          <w14:ligatures w14:val="none"/>
        </w:rPr>
        <w:t>7</w:t>
      </w:r>
      <w:r w:rsidRPr="00851CEE">
        <w:rPr>
          <w:rFonts w:ascii="Simplified Arabic" w:hAnsi="Simplified Arabic" w:cs="Simplified Arabic"/>
          <w:sz w:val="58"/>
          <w:szCs w:val="58"/>
          <w:rtl/>
          <w14:ligatures w14:val="none"/>
        </w:rPr>
        <w:t xml:space="preserve">: </w:t>
      </w:r>
      <w:r w:rsidRPr="00851CEE">
        <w:rPr>
          <w:rFonts w:ascii="Simplified Arabic" w:hAnsi="Simplified Arabic" w:cs="Simplified Arabic" w:hint="cs"/>
          <w:sz w:val="58"/>
          <w:szCs w:val="58"/>
          <w:rtl/>
          <w14:ligatures w14:val="none"/>
        </w:rPr>
        <w:t>ذبائح وأعياد عبادات العهد القديم (لاويين 1-23)</w:t>
      </w:r>
    </w:p>
    <w:p w14:paraId="18731AF8" w14:textId="777F701C" w:rsidR="00311C51" w:rsidRPr="007A4B15" w:rsidRDefault="00311C51"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kern w:val="0"/>
          <w:szCs w:val="24"/>
          <w14:ligatures w14:val="none"/>
        </w:rPr>
      </w:pPr>
    </w:p>
    <w:p w14:paraId="142F78CF" w14:textId="2424CB75" w:rsidR="008B149F" w:rsidRPr="007A4B15" w:rsidRDefault="001F4CAD" w:rsidP="001F4CAD">
      <w:pPr>
        <w:pStyle w:val="Heading3"/>
        <w:bidi/>
        <w:spacing w:line="240" w:lineRule="auto"/>
        <w:ind w:left="0" w:firstLine="0"/>
        <w:rPr>
          <w:lang w:val="fr-FR"/>
        </w:rPr>
      </w:pPr>
      <w:r>
        <w:rPr>
          <w:rFonts w:hint="cs"/>
          <w:rtl/>
          <w:lang w:val="fr-FR"/>
        </w:rPr>
        <w:t>مُقدِّمة الدرس</w:t>
      </w:r>
    </w:p>
    <w:p w14:paraId="72983682" w14:textId="3B91D781" w:rsidR="001F4CAD" w:rsidRDefault="001F4CAD" w:rsidP="001F4CAD">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Cs w:val="24"/>
          <w:rtl/>
          <w14:ligatures w14:val="none"/>
        </w:rPr>
      </w:pPr>
      <w:r>
        <w:rPr>
          <w:rFonts w:ascii="Simplified Arabic" w:eastAsia="Calibri" w:hAnsi="Simplified Arabic" w:cs="Simplified Arabic" w:hint="cs"/>
          <w:kern w:val="0"/>
          <w:szCs w:val="24"/>
          <w:rtl/>
          <w14:ligatures w14:val="none"/>
        </w:rPr>
        <w:t>في نهاية سفر الخروج، أنهى العبرانيون صُنْع خيمة الاجتماع، وبعدها حلّ مجد شكينة الله على قدس الأقداس. وباكتمال صنع الخيمة، يقدِّم لنا سفر اللاويين الحاجة إلى تعليمات مُفصَّلة بشأن الذبائح التي كان ينبغي تقديمها في خيمة الاجتماع، وكيف كان ينبغي تقديمها. وجوهريًّا، كان ينبغي للعبرانيين أن يكونوا شعبًا يعبد الله من خلال الذبائح. وقد شُرِحت شرائع متفرقة عديدة تتعلِّق بالكيفيّة التي بها ينبغي لـ"الشعب المُقدَّس" أن يعيش مع الله الساكن في وسطهم في قدس الأقداس. وكان "يوم</w:t>
      </w:r>
      <w:r w:rsidR="00910186">
        <w:rPr>
          <w:rFonts w:ascii="Simplified Arabic" w:eastAsia="Calibri" w:hAnsi="Simplified Arabic" w:cs="Simplified Arabic" w:hint="cs"/>
          <w:kern w:val="0"/>
          <w:szCs w:val="24"/>
          <w:rtl/>
          <w14:ligatures w14:val="none"/>
        </w:rPr>
        <w:t>ُ</w:t>
      </w:r>
      <w:r>
        <w:rPr>
          <w:rFonts w:ascii="Simplified Arabic" w:eastAsia="Calibri" w:hAnsi="Simplified Arabic" w:cs="Simplified Arabic" w:hint="cs"/>
          <w:kern w:val="0"/>
          <w:szCs w:val="24"/>
          <w:rtl/>
          <w14:ligatures w14:val="none"/>
        </w:rPr>
        <w:t xml:space="preserve"> الكفارة" أحد</w:t>
      </w:r>
      <w:r w:rsidR="00910186">
        <w:rPr>
          <w:rFonts w:ascii="Simplified Arabic" w:eastAsia="Calibri" w:hAnsi="Simplified Arabic" w:cs="Simplified Arabic" w:hint="cs"/>
          <w:kern w:val="0"/>
          <w:szCs w:val="24"/>
          <w:rtl/>
          <w14:ligatures w14:val="none"/>
        </w:rPr>
        <w:t>َ</w:t>
      </w:r>
      <w:r>
        <w:rPr>
          <w:rFonts w:ascii="Simplified Arabic" w:eastAsia="Calibri" w:hAnsi="Simplified Arabic" w:cs="Simplified Arabic" w:hint="cs"/>
          <w:kern w:val="0"/>
          <w:szCs w:val="24"/>
          <w:rtl/>
          <w14:ligatures w14:val="none"/>
        </w:rPr>
        <w:t xml:space="preserve"> الملامح البارزة في كل</w:t>
      </w:r>
      <w:r w:rsidR="00910186">
        <w:rPr>
          <w:rFonts w:ascii="Simplified Arabic" w:eastAsia="Calibri" w:hAnsi="Simplified Arabic" w:cs="Simplified Arabic" w:hint="cs"/>
          <w:kern w:val="0"/>
          <w:szCs w:val="24"/>
          <w:rtl/>
          <w14:ligatures w14:val="none"/>
        </w:rPr>
        <w:t>ِّ</w:t>
      </w:r>
      <w:r>
        <w:rPr>
          <w:rFonts w:ascii="Simplified Arabic" w:eastAsia="Calibri" w:hAnsi="Simplified Arabic" w:cs="Simplified Arabic" w:hint="cs"/>
          <w:kern w:val="0"/>
          <w:szCs w:val="24"/>
          <w:rtl/>
          <w14:ligatures w14:val="none"/>
        </w:rPr>
        <w:t xml:space="preserve"> سنة، ففي هذا اليوم فقط يمكن لشخصٍ ما أن يدخل قدس الأقداس، وهذا الحقّ محصور في رئيس الكهنة، الذي يدخل بدم حيوانات إلى قدس الأقداس. وقد تحقَّق القصد من هذا الرمز بعد قرون، حين دخل يسوع المسيح القدس السماوي بدمه ليضمن الفداء الأبدي لشعبه. كان يو</w:t>
      </w:r>
      <w:r w:rsidR="007A2FA0">
        <w:rPr>
          <w:rFonts w:ascii="Simplified Arabic" w:eastAsia="Calibri" w:hAnsi="Simplified Arabic" w:cs="Simplified Arabic" w:hint="cs"/>
          <w:kern w:val="0"/>
          <w:szCs w:val="24"/>
          <w:rtl/>
          <w14:ligatures w14:val="none"/>
        </w:rPr>
        <w:t>مُ</w:t>
      </w:r>
      <w:r>
        <w:rPr>
          <w:rFonts w:ascii="Simplified Arabic" w:eastAsia="Calibri" w:hAnsi="Simplified Arabic" w:cs="Simplified Arabic" w:hint="cs"/>
          <w:kern w:val="0"/>
          <w:szCs w:val="24"/>
          <w:rtl/>
          <w14:ligatures w14:val="none"/>
        </w:rPr>
        <w:t xml:space="preserve"> الكفارة أحد أهم الأعياد في التقويم الديني عند شعب إسرائيل، ويصف سفر اللاويين أيضاً أعيادًا سنويّةً أخرى كان على الشعب أن يحفظوها، وكانت جميعها رموزًا تُشير إلى تحقيقٍ مستقبلي لها. </w:t>
      </w:r>
    </w:p>
    <w:p w14:paraId="1874EB32" w14:textId="77777777" w:rsidR="00910186" w:rsidRPr="001F4CAD" w:rsidRDefault="00910186" w:rsidP="00910186">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Cs w:val="24"/>
          <w:rtl/>
          <w14:ligatures w14:val="none"/>
        </w:rPr>
      </w:pPr>
    </w:p>
    <w:p w14:paraId="65A5BDF7" w14:textId="6018854A" w:rsidR="008B149F" w:rsidRPr="007A4B15" w:rsidRDefault="001F4CAD" w:rsidP="001F4CAD">
      <w:pPr>
        <w:pStyle w:val="Heading3"/>
        <w:bidi/>
        <w:spacing w:line="240" w:lineRule="auto"/>
      </w:pPr>
      <w:r>
        <w:rPr>
          <w:rFonts w:hint="cs"/>
          <w:rtl/>
        </w:rPr>
        <w:t>مخطَّط الدرس</w:t>
      </w:r>
    </w:p>
    <w:p w14:paraId="33CF04A3" w14:textId="4443BB85" w:rsidR="001F4CAD" w:rsidRPr="007C043A" w:rsidRDefault="001F4CAD" w:rsidP="001F4CAD">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bookmarkStart w:id="98" w:name="_Hlk190595134"/>
      <w:r w:rsidRPr="007C043A">
        <w:rPr>
          <w:rFonts w:ascii="Simplified Arabic" w:eastAsia="Calibri" w:hAnsi="Simplified Arabic" w:cs="Simplified Arabic"/>
          <w:kern w:val="0"/>
          <w:sz w:val="26"/>
          <w:szCs w:val="26"/>
          <w:rtl/>
          <w14:ligatures w14:val="none"/>
        </w:rPr>
        <w:t xml:space="preserve">الموضوع 1: </w:t>
      </w:r>
      <w:r w:rsidRPr="007C043A">
        <w:rPr>
          <w:rFonts w:ascii="Simplified Arabic" w:eastAsia="Calibri" w:hAnsi="Simplified Arabic" w:cs="Simplified Arabic"/>
          <w:kern w:val="0"/>
          <w:sz w:val="26"/>
          <w:szCs w:val="26"/>
          <w:rtl/>
          <w14:ligatures w14:val="none"/>
        </w:rPr>
        <w:tab/>
        <w:t>العبادة من خلال الذبيحة (لاويين 1: 1 – 10: 20</w:t>
      </w:r>
      <w:r w:rsidR="007C043A" w:rsidRPr="007C043A">
        <w:rPr>
          <w:rFonts w:ascii="Simplified Arabic" w:eastAsia="Calibri" w:hAnsi="Simplified Arabic" w:cs="Simplified Arabic"/>
          <w:kern w:val="0"/>
          <w:sz w:val="26"/>
          <w:szCs w:val="26"/>
          <w:rtl/>
          <w14:ligatures w14:val="none"/>
        </w:rPr>
        <w:t>)</w:t>
      </w:r>
    </w:p>
    <w:p w14:paraId="24F8C5C3" w14:textId="77777777" w:rsidR="001F4CAD" w:rsidRPr="007C043A" w:rsidRDefault="001F4CAD" w:rsidP="001F4CAD">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r w:rsidRPr="007C043A">
        <w:rPr>
          <w:rFonts w:ascii="Simplified Arabic" w:eastAsia="Calibri" w:hAnsi="Simplified Arabic" w:cs="Simplified Arabic"/>
          <w:kern w:val="0"/>
          <w:sz w:val="26"/>
          <w:szCs w:val="26"/>
          <w:rtl/>
          <w14:ligatures w14:val="none"/>
        </w:rPr>
        <w:t xml:space="preserve">الموضوع 2: </w:t>
      </w:r>
      <w:r w:rsidRPr="007C043A">
        <w:rPr>
          <w:rFonts w:ascii="Simplified Arabic" w:eastAsia="Calibri" w:hAnsi="Simplified Arabic" w:cs="Simplified Arabic"/>
          <w:kern w:val="0"/>
          <w:sz w:val="26"/>
          <w:szCs w:val="26"/>
          <w:rtl/>
          <w14:ligatures w14:val="none"/>
        </w:rPr>
        <w:tab/>
        <w:t xml:space="preserve">يوم الكفّارة (لاويّين 11: 1 – 16: 34) </w:t>
      </w:r>
    </w:p>
    <w:p w14:paraId="22758FDD" w14:textId="192F1C7E" w:rsidR="008B149F" w:rsidRPr="007C043A" w:rsidRDefault="001F4CAD" w:rsidP="001F4CAD">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Cs w:val="24"/>
          <w14:ligatures w14:val="none"/>
        </w:rPr>
      </w:pPr>
      <w:r w:rsidRPr="007C043A">
        <w:rPr>
          <w:rFonts w:ascii="Simplified Arabic" w:eastAsia="Calibri" w:hAnsi="Simplified Arabic" w:cs="Simplified Arabic"/>
          <w:kern w:val="0"/>
          <w:sz w:val="26"/>
          <w:szCs w:val="26"/>
          <w:rtl/>
          <w14:ligatures w14:val="none"/>
        </w:rPr>
        <w:t xml:space="preserve">الموضوع 3: </w:t>
      </w:r>
      <w:r w:rsidRPr="007C043A">
        <w:rPr>
          <w:rFonts w:ascii="Simplified Arabic" w:eastAsia="Calibri" w:hAnsi="Simplified Arabic" w:cs="Simplified Arabic"/>
          <w:kern w:val="0"/>
          <w:sz w:val="26"/>
          <w:szCs w:val="26"/>
          <w:rtl/>
          <w14:ligatures w14:val="none"/>
        </w:rPr>
        <w:tab/>
        <w:t xml:space="preserve">شرائع القداسة والتقويم الديني لشعب إسرائيل (لاويّين 17: 1 – 27: 34) </w:t>
      </w:r>
      <w:bookmarkEnd w:id="98"/>
      <w:r w:rsidR="008B149F" w:rsidRPr="007C043A">
        <w:rPr>
          <w:rFonts w:ascii="Simplified Arabic" w:eastAsia="Calibri" w:hAnsi="Simplified Arabic" w:cs="Simplified Arabic"/>
          <w:kern w:val="0"/>
          <w:szCs w:val="24"/>
          <w14:ligatures w14:val="none"/>
        </w:rPr>
        <w:br/>
      </w:r>
    </w:p>
    <w:p w14:paraId="131CD0AD" w14:textId="138A4B6C" w:rsidR="008B149F" w:rsidRPr="007A4B15" w:rsidRDefault="001F4CAD" w:rsidP="001F4CAD">
      <w:pPr>
        <w:pStyle w:val="Heading3"/>
        <w:bidi/>
        <w:spacing w:line="240" w:lineRule="auto"/>
        <w:ind w:left="0" w:firstLine="0"/>
        <w:rPr>
          <w:rtl/>
          <w:lang w:val="fr-FR" w:bidi="ar-JO"/>
        </w:rPr>
      </w:pPr>
      <w:r>
        <w:rPr>
          <w:rFonts w:hint="cs"/>
          <w:rtl/>
          <w:lang w:val="fr-FR" w:bidi="ar-JO"/>
        </w:rPr>
        <w:t xml:space="preserve">أهداف الدرس </w:t>
      </w:r>
    </w:p>
    <w:p w14:paraId="537E49F3" w14:textId="2562B9FD" w:rsidR="008B149F" w:rsidRPr="00321DC4" w:rsidRDefault="001F4CAD" w:rsidP="001F4CAD">
      <w:pPr>
        <w:bidi/>
        <w:spacing w:before="120" w:after="80" w:line="240" w:lineRule="auto"/>
        <w:rPr>
          <w:rFonts w:ascii="Simplified Arabic" w:eastAsia="Calibri" w:hAnsi="Simplified Arabic" w:cs="Simplified Arabic"/>
          <w:kern w:val="0"/>
          <w:sz w:val="26"/>
          <w:szCs w:val="26"/>
          <w14:ligatures w14:val="none"/>
        </w:rPr>
      </w:pPr>
      <w:r w:rsidRPr="00321DC4">
        <w:rPr>
          <w:rFonts w:ascii="Simplified Arabic" w:eastAsia="Calibri" w:hAnsi="Simplified Arabic" w:cs="Simplified Arabic"/>
          <w:kern w:val="0"/>
          <w:sz w:val="26"/>
          <w:szCs w:val="26"/>
          <w:rtl/>
          <w14:ligatures w14:val="none"/>
        </w:rPr>
        <w:t xml:space="preserve">بانتهائك من دراسة هذا الدرس، ستكون قادرًا على ما يلي: </w:t>
      </w:r>
    </w:p>
    <w:p w14:paraId="61F7FAC0" w14:textId="09EF5A8B" w:rsidR="00B65F48" w:rsidRPr="00321DC4" w:rsidRDefault="00321DC4" w:rsidP="00321DC4">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321DC4">
        <w:rPr>
          <w:rFonts w:ascii="Simplified Arabic" w:eastAsia="Calibri" w:hAnsi="Simplified Arabic" w:cs="Simplified Arabic"/>
          <w:kern w:val="0"/>
          <w:sz w:val="26"/>
          <w:szCs w:val="26"/>
          <w:rtl/>
          <w14:ligatures w14:val="none"/>
        </w:rPr>
        <w:t xml:space="preserve">أن تكتب قائمة بالذبائح الرئيسية التي كان العبرانيّون يقدِّمونها، وتبيّن مغزاها. </w:t>
      </w:r>
    </w:p>
    <w:p w14:paraId="3E712A50" w14:textId="650553BE" w:rsidR="00321DC4" w:rsidRPr="00321DC4" w:rsidRDefault="00321DC4" w:rsidP="00321DC4">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321DC4">
        <w:rPr>
          <w:rFonts w:ascii="Simplified Arabic" w:eastAsia="Calibri" w:hAnsi="Simplified Arabic" w:cs="Simplified Arabic"/>
          <w:kern w:val="0"/>
          <w:sz w:val="26"/>
          <w:szCs w:val="26"/>
          <w:rtl/>
          <w14:ligatures w14:val="none"/>
        </w:rPr>
        <w:lastRenderedPageBreak/>
        <w:t>أن تشرح كيف كان يُحتفَل بيوم الكفارة، وكيف سيتحقَّق هذا اليوم</w:t>
      </w:r>
      <w:r w:rsidR="007A2FA0">
        <w:rPr>
          <w:rFonts w:ascii="Simplified Arabic" w:eastAsia="Calibri" w:hAnsi="Simplified Arabic" w:cs="Simplified Arabic" w:hint="cs"/>
          <w:kern w:val="0"/>
          <w:sz w:val="26"/>
          <w:szCs w:val="26"/>
          <w:rtl/>
          <w14:ligatures w14:val="none"/>
        </w:rPr>
        <w:t>َ</w:t>
      </w:r>
      <w:r w:rsidRPr="00321DC4">
        <w:rPr>
          <w:rFonts w:ascii="Simplified Arabic" w:eastAsia="Calibri" w:hAnsi="Simplified Arabic" w:cs="Simplified Arabic"/>
          <w:kern w:val="0"/>
          <w:sz w:val="26"/>
          <w:szCs w:val="26"/>
          <w:rtl/>
          <w14:ligatures w14:val="none"/>
        </w:rPr>
        <w:t xml:space="preserve"> في شخص المسيح. </w:t>
      </w:r>
    </w:p>
    <w:p w14:paraId="0E7AE1E4" w14:textId="3250FB9F" w:rsidR="00321DC4" w:rsidRPr="00321DC4" w:rsidRDefault="00321DC4" w:rsidP="00321DC4">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321DC4">
        <w:rPr>
          <w:rFonts w:ascii="Simplified Arabic" w:eastAsia="Calibri" w:hAnsi="Simplified Arabic" w:cs="Simplified Arabic"/>
          <w:kern w:val="0"/>
          <w:sz w:val="26"/>
          <w:szCs w:val="26"/>
          <w:rtl/>
          <w14:ligatures w14:val="none"/>
        </w:rPr>
        <w:t xml:space="preserve">أن تبيِّن الأعياد التي كان ينبغي للمرء أن يشارك فيها وتشرح معناها الرمزي. </w:t>
      </w:r>
    </w:p>
    <w:p w14:paraId="2DC12A92" w14:textId="2EFFB05B" w:rsidR="008B149F" w:rsidRPr="00B65F48" w:rsidRDefault="008B149F" w:rsidP="002D6C54">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contextualSpacing/>
        <w:rPr>
          <w:rFonts w:eastAsia="Calibri" w:cs="Times New Roman"/>
          <w:kern w:val="0"/>
          <w:szCs w:val="24"/>
          <w14:ligatures w14:val="none"/>
        </w:rPr>
      </w:pPr>
      <w:r w:rsidRPr="00B65F48">
        <w:rPr>
          <w:rFonts w:eastAsia="Calibri" w:cs="Times New Roman"/>
          <w:kern w:val="0"/>
          <w:szCs w:val="24"/>
          <w14:ligatures w14:val="none"/>
        </w:rPr>
        <w:br w:type="page"/>
      </w:r>
    </w:p>
    <w:p w14:paraId="4B85FBCC" w14:textId="2A724E72" w:rsidR="007C043A" w:rsidRPr="007C043A" w:rsidRDefault="007C043A" w:rsidP="007C043A">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b/>
          <w:bCs/>
          <w:kern w:val="0"/>
          <w:sz w:val="28"/>
          <w:szCs w:val="28"/>
          <w:rtl/>
          <w14:ligatures w14:val="none"/>
        </w:rPr>
      </w:pPr>
      <w:bookmarkStart w:id="99" w:name="_Toc164420040"/>
      <w:r w:rsidRPr="007C043A">
        <w:rPr>
          <w:rFonts w:ascii="Simplified Arabic" w:hAnsi="Simplified Arabic" w:cs="Simplified Arabic"/>
          <w:b/>
          <w:bCs/>
          <w:sz w:val="28"/>
          <w:szCs w:val="28"/>
          <w:rtl/>
        </w:rPr>
        <w:lastRenderedPageBreak/>
        <w:t xml:space="preserve">الموضوع 1: </w:t>
      </w:r>
      <w:r w:rsidRPr="007C043A">
        <w:rPr>
          <w:rFonts w:ascii="Simplified Arabic" w:eastAsia="Calibri" w:hAnsi="Simplified Arabic" w:cs="Simplified Arabic"/>
          <w:b/>
          <w:bCs/>
          <w:kern w:val="0"/>
          <w:sz w:val="28"/>
          <w:szCs w:val="28"/>
          <w:rtl/>
          <w14:ligatures w14:val="none"/>
        </w:rPr>
        <w:t>العبادة من خلال الذبيحة (لاويين 1: 1 – 10: 20)</w:t>
      </w:r>
    </w:p>
    <w:p w14:paraId="6B92D4CE" w14:textId="54995CD3" w:rsidR="00F67B20" w:rsidRPr="007A4B15" w:rsidRDefault="00F67B20" w:rsidP="00995100">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rtl/>
          <w:lang w:bidi="ar-JO"/>
          <w14:ligatures w14:val="none"/>
        </w:rPr>
      </w:pPr>
      <w:bookmarkStart w:id="100" w:name="_Hlk157176615"/>
      <w:bookmarkEnd w:id="99"/>
      <w:r w:rsidRPr="007A4B15">
        <w:rPr>
          <w:rFonts w:ascii="Verdana" w:eastAsia="Calibri" w:hAnsi="Verdana" w:cs="Times New Roman"/>
          <w:b/>
          <w:caps/>
          <w:noProof/>
          <w:color w:val="006699"/>
          <w:kern w:val="0"/>
          <w:sz w:val="21"/>
          <w:szCs w:val="24"/>
          <w14:ligatures w14:val="none"/>
        </w:rPr>
        <w:drawing>
          <wp:inline distT="0" distB="0" distL="0" distR="0" wp14:anchorId="56F0CE41" wp14:editId="6F256822">
            <wp:extent cx="613692" cy="541464"/>
            <wp:effectExtent l="0" t="0" r="0" b="0"/>
            <wp:docPr id="633622115" name="Picture 633622115"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995100" w:rsidRPr="00995100">
        <w:rPr>
          <w:rFonts w:ascii="Verdana" w:eastAsia="Calibri" w:hAnsi="Verdana" w:cs="Times New Roman" w:hint="cs"/>
          <w:bCs/>
          <w:caps/>
          <w:color w:val="006699"/>
          <w:kern w:val="0"/>
          <w:sz w:val="21"/>
          <w:szCs w:val="24"/>
          <w:u w:val="single"/>
          <w:rtl/>
          <w:lang w:bidi="ar-JO"/>
          <w14:ligatures w14:val="none"/>
        </w:rPr>
        <w:t>القراءة:</w:t>
      </w:r>
    </w:p>
    <w:p w14:paraId="028C2EEC" w14:textId="7C9A0F84" w:rsidR="00F67B20" w:rsidRPr="002B24E1" w:rsidRDefault="00F67B20" w:rsidP="00995100">
      <w:pPr>
        <w:bidi/>
        <w:spacing w:line="240" w:lineRule="auto"/>
        <w:rPr>
          <w:b/>
          <w:bCs/>
        </w:rPr>
      </w:pPr>
      <w:r>
        <w:tab/>
      </w:r>
      <w:r>
        <w:tab/>
      </w:r>
      <w:r w:rsidR="00995100">
        <w:rPr>
          <w:rFonts w:hint="cs"/>
          <w:rtl/>
        </w:rPr>
        <w:t xml:space="preserve">اقرأ </w:t>
      </w:r>
      <w:r w:rsidR="007A2FA0">
        <w:rPr>
          <w:rFonts w:hint="cs"/>
          <w:rtl/>
        </w:rPr>
        <w:t xml:space="preserve">يوجين </w:t>
      </w:r>
      <w:r w:rsidR="00995100">
        <w:rPr>
          <w:rFonts w:hint="cs"/>
          <w:rtl/>
        </w:rPr>
        <w:t xml:space="preserve">ميرل، </w:t>
      </w:r>
      <w:r w:rsidR="00995100" w:rsidRPr="00995100">
        <w:rPr>
          <w:rFonts w:hint="cs"/>
          <w:u w:val="single"/>
          <w:rtl/>
        </w:rPr>
        <w:t>لاهوت العهد القديم الكتابي</w:t>
      </w:r>
      <w:r w:rsidR="00995100">
        <w:rPr>
          <w:rFonts w:hint="cs"/>
          <w:rtl/>
        </w:rPr>
        <w:t>، "لاهوت سفر الخروج".</w:t>
      </w:r>
    </w:p>
    <w:bookmarkEnd w:id="96"/>
    <w:bookmarkEnd w:id="100"/>
    <w:p w14:paraId="70CE883E" w14:textId="5F8E8BF9" w:rsidR="006311FA" w:rsidRDefault="002E1856"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strike/>
          <w:kern w:val="0"/>
          <w:szCs w:val="24"/>
          <w14:ligatures w14:val="none"/>
        </w:rPr>
      </w:pPr>
      <w:r>
        <w:rPr>
          <w:rFonts w:eastAsia="Calibri" w:cs="Times New Roman"/>
          <w:strike/>
          <w:noProof/>
          <w:kern w:val="0"/>
          <w:szCs w:val="24"/>
          <w14:ligatures w14:val="none"/>
        </w:rPr>
        <w:drawing>
          <wp:inline distT="0" distB="0" distL="0" distR="0" wp14:anchorId="17DC5FB5" wp14:editId="2349C16F">
            <wp:extent cx="5943600" cy="3970020"/>
            <wp:effectExtent l="0" t="0" r="0" b="0"/>
            <wp:docPr id="131792638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3970020"/>
                    </a:xfrm>
                    <a:prstGeom prst="rect">
                      <a:avLst/>
                    </a:prstGeom>
                    <a:noFill/>
                    <a:ln>
                      <a:noFill/>
                    </a:ln>
                  </pic:spPr>
                </pic:pic>
              </a:graphicData>
            </a:graphic>
          </wp:inline>
        </w:drawing>
      </w:r>
    </w:p>
    <w:p w14:paraId="1DC96672" w14:textId="77777777" w:rsidR="00072E15" w:rsidRPr="00072E15" w:rsidRDefault="00072E15"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2E15">
        <w:rPr>
          <w:rFonts w:eastAsia="Times New Roman" w:cs="DecoType Naskh" w:hint="cs"/>
          <w:bCs/>
          <w:color w:val="auto"/>
          <w:kern w:val="0"/>
          <w:szCs w:val="28"/>
          <w:rtl/>
          <w:lang w:bidi="ar-JO"/>
          <w14:ligatures w14:val="none"/>
        </w:rPr>
        <w:t>1</w:t>
      </w:r>
      <w:r w:rsidRPr="00072E15">
        <w:rPr>
          <w:rFonts w:eastAsia="Times New Roman" w:cs="DecoType Naskh"/>
          <w:bCs/>
          <w:color w:val="auto"/>
          <w:kern w:val="0"/>
          <w:szCs w:val="28"/>
          <w:rtl/>
          <w:lang w:bidi="ar-JO"/>
          <w14:ligatures w14:val="none"/>
        </w:rPr>
        <w:t>.</w:t>
      </w:r>
      <w:r w:rsidRPr="00072E15">
        <w:rPr>
          <w:rFonts w:eastAsia="Times New Roman" w:cs="DecoType Naskh"/>
          <w:bCs/>
          <w:color w:val="auto"/>
          <w:kern w:val="0"/>
          <w:szCs w:val="28"/>
          <w:rtl/>
          <w:lang w:bidi="ar-JO"/>
          <w14:ligatures w14:val="none"/>
        </w:rPr>
        <w:tab/>
        <w:t xml:space="preserve">الخلفية </w:t>
      </w:r>
    </w:p>
    <w:p w14:paraId="526BE247"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KW"/>
          <w14:ligatures w14:val="none"/>
        </w:rPr>
      </w:pPr>
      <w:r w:rsidRPr="00072E15">
        <w:rPr>
          <w:rFonts w:eastAsia="Times New Roman" w:cs="DecoType Naskh"/>
          <w:color w:val="auto"/>
          <w:kern w:val="0"/>
          <w:szCs w:val="26"/>
          <w:rtl/>
          <w:lang w:bidi="ar-JO"/>
          <w14:ligatures w14:val="none"/>
        </w:rPr>
        <w:t>سفر اللاويين مرتبط ارتباطاً وثيقاً بسفر الخروج وخيمة الاجتماع.  وإن الأنظمة التي يتضمنها سفر اللاويين هي في واقع الأمر امتداد لعهد الشريعة الموسوية المعطاة في سيناء.  ويختتم السفر بهذه الملاحظة</w:t>
      </w:r>
      <w:r w:rsidRPr="00072E15">
        <w:rPr>
          <w:rFonts w:eastAsia="Times New Roman" w:cs="DecoType Naskh" w:hint="cs"/>
          <w:color w:val="auto"/>
          <w:kern w:val="0"/>
          <w:szCs w:val="26"/>
          <w:rtl/>
          <w:lang w:bidi="ar-JO"/>
          <w14:ligatures w14:val="none"/>
        </w:rPr>
        <w:t>:</w:t>
      </w:r>
      <w:r w:rsidRPr="00072E15">
        <w:rPr>
          <w:rFonts w:eastAsia="Times New Roman" w:cs="DecoType Naskh" w:hint="cs"/>
          <w:color w:val="auto"/>
          <w:kern w:val="0"/>
          <w:szCs w:val="26"/>
          <w:rtl/>
          <w14:ligatures w14:val="none"/>
        </w:rPr>
        <w:t xml:space="preserve"> </w:t>
      </w:r>
      <w:r w:rsidRPr="00072E15">
        <w:rPr>
          <w:rFonts w:eastAsia="Times New Roman" w:cs="DecoType Naskh"/>
          <w:color w:val="auto"/>
          <w:kern w:val="0"/>
          <w:szCs w:val="26"/>
          <w:rtl/>
          <w14:ligatures w14:val="none"/>
        </w:rPr>
        <w:t>"هذه هي الوصايا التي أوصى الرب بها موسى إلى بني إسرائيل في جبل سيناء" (27: 34).  وهكذا فقد أ</w:t>
      </w:r>
      <w:r w:rsidRPr="00072E15">
        <w:rPr>
          <w:rFonts w:eastAsia="Times New Roman" w:cs="DecoType Naskh" w:hint="cs"/>
          <w:color w:val="auto"/>
          <w:kern w:val="0"/>
          <w:szCs w:val="26"/>
          <w:rtl/>
          <w14:ligatures w14:val="none"/>
        </w:rPr>
        <w:t>ُ</w:t>
      </w:r>
      <w:r w:rsidRPr="00072E15">
        <w:rPr>
          <w:rFonts w:eastAsia="Times New Roman" w:cs="DecoType Naskh"/>
          <w:color w:val="auto"/>
          <w:kern w:val="0"/>
          <w:szCs w:val="26"/>
          <w:rtl/>
          <w14:ligatures w14:val="none"/>
        </w:rPr>
        <w:t>عطي</w:t>
      </w:r>
      <w:r w:rsidRPr="00072E15">
        <w:rPr>
          <w:rFonts w:eastAsia="Times New Roman" w:cs="DecoType Naskh" w:hint="cs"/>
          <w:color w:val="auto"/>
          <w:kern w:val="0"/>
          <w:szCs w:val="26"/>
          <w:rtl/>
          <w14:ligatures w14:val="none"/>
        </w:rPr>
        <w:t>َ</w:t>
      </w:r>
      <w:r w:rsidRPr="00072E15">
        <w:rPr>
          <w:rFonts w:eastAsia="Times New Roman" w:cs="DecoType Naskh"/>
          <w:color w:val="auto"/>
          <w:kern w:val="0"/>
          <w:szCs w:val="26"/>
          <w:rtl/>
          <w14:ligatures w14:val="none"/>
        </w:rPr>
        <w:t>ت الأنظمة والشرائع الموجودة في سفر اللاويين عندما كان بنو إسرائيل بعد في سيناء.  وقد نُصبت خيمة الاجتماع في اليوم الأول من الشهر الأول من السنة الثانية، أي بعد حوالي سنة من مغادرتهم مصر.  وتبدأ أحداث سفر العدد في اليوم الأول من الشهر الثاني من السنة الثانية (عدد 1: 1).  وبما أن سفر اللاويين أُعطي من خيمة الاجتماع (لاويين 1: 1)، فقد أُعطي السفر أثناء الشهر الأول من السنة الثانية بعد نصب خيمة الاجتماع مباشرة.</w:t>
      </w:r>
    </w:p>
    <w:p w14:paraId="0FD4A6D8"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KW"/>
          <w14:ligatures w14:val="none"/>
        </w:rPr>
      </w:pPr>
    </w:p>
    <w:p w14:paraId="6C117945" w14:textId="77777777" w:rsidR="00072E15" w:rsidRPr="00072E15" w:rsidRDefault="00072E15"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2E15">
        <w:rPr>
          <w:rFonts w:eastAsia="Times New Roman" w:cs="DecoType Naskh" w:hint="cs"/>
          <w:bCs/>
          <w:color w:val="auto"/>
          <w:kern w:val="0"/>
          <w:szCs w:val="28"/>
          <w:rtl/>
          <w:lang w:bidi="ar-JO"/>
          <w14:ligatures w14:val="none"/>
        </w:rPr>
        <w:t>2</w:t>
      </w:r>
      <w:r w:rsidRPr="00072E15">
        <w:rPr>
          <w:rFonts w:eastAsia="Times New Roman" w:cs="DecoType Naskh"/>
          <w:bCs/>
          <w:color w:val="auto"/>
          <w:kern w:val="0"/>
          <w:szCs w:val="28"/>
          <w:rtl/>
          <w:lang w:bidi="ar-JO"/>
          <w14:ligatures w14:val="none"/>
        </w:rPr>
        <w:t>.</w:t>
      </w:r>
      <w:r w:rsidRPr="00072E15">
        <w:rPr>
          <w:rFonts w:eastAsia="Times New Roman" w:cs="DecoType Naskh"/>
          <w:bCs/>
          <w:color w:val="auto"/>
          <w:kern w:val="0"/>
          <w:szCs w:val="28"/>
          <w:rtl/>
          <w:lang w:bidi="ar-JO"/>
          <w14:ligatures w14:val="none"/>
        </w:rPr>
        <w:tab/>
        <w:t>الغرض</w:t>
      </w:r>
    </w:p>
    <w:p w14:paraId="75662CDF"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اختتم سفر الخروج بظهور مجد الرب في خيمة الاجتماع.  ولهذا فإن سفر اللاويين يشرح كيف يُفترض أن تكون العلاقة بين الشعب والله الذي يسكن في وسطهم.  وبالتالي فإن الفكرة المهيمنة على السفر هي "القداسة".  والآن وبعد أن تم تشييد خيمة الاجتماع، فإن سفر اللاويين يشرح كيف يتوجب على الكهنة أن يهتموا بالمقدس وغرفة عرش الملك العظيم.</w:t>
      </w:r>
    </w:p>
    <w:p w14:paraId="6BD45AEC"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CB10FF0"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يعكس التوكيد على القداسة اهتماماً باستمرار سكنى يهوه في وسطهم.  يلخّص ر. ك. هاريسون هذه الفكرة فيقول</w:t>
      </w:r>
      <w:r w:rsidRPr="00072E15">
        <w:rPr>
          <w:rFonts w:eastAsia="Times New Roman" w:cs="DecoType Naskh" w:hint="cs"/>
          <w:color w:val="auto"/>
          <w:kern w:val="0"/>
          <w:szCs w:val="26"/>
          <w:rtl/>
          <w:lang w:bidi="ar-JO"/>
          <w14:ligatures w14:val="none"/>
        </w:rPr>
        <w:t>:</w:t>
      </w:r>
    </w:p>
    <w:p w14:paraId="3FBD3BEF"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 xml:space="preserve">إن السبب الذي أُعطي من أجله كهنة بني إسرائيل المخصصين مثل هذه التعليمات المفصلة حول الاهتمام بالمقدس هو أن يضمنوا استمرار حضور الله مع شعبه.  اقترب الله من إسرائيل حسب علاقة العهد وقطع لهم وعوداً معيّنة متوقّفة على طاعتهم </w:t>
      </w:r>
      <w:r w:rsidRPr="00072E15">
        <w:rPr>
          <w:rFonts w:eastAsia="Times New Roman" w:cs="DecoType Naskh" w:hint="cs"/>
          <w:color w:val="auto"/>
          <w:kern w:val="0"/>
          <w:szCs w:val="26"/>
          <w:rtl/>
          <w:lang w:bidi="ar-JO"/>
          <w14:ligatures w14:val="none"/>
        </w:rPr>
        <w:t>لبنود</w:t>
      </w:r>
      <w:r w:rsidRPr="00072E15">
        <w:rPr>
          <w:rFonts w:eastAsia="Times New Roman" w:cs="DecoType Naskh"/>
          <w:color w:val="auto"/>
          <w:kern w:val="0"/>
          <w:szCs w:val="26"/>
          <w:rtl/>
          <w:lang w:bidi="ar-JO"/>
          <w14:ligatures w14:val="none"/>
        </w:rPr>
        <w:t xml:space="preserve"> عهد سيناء.  وكان أحد هذه الشروط هو أن يحيا بنو إسرائيل بطريقة تبيّن لشعوب الشرق الأدنى المعاصرة الطبيعة الحقيقية للقداسة... فلا يمكنهم أن يتوقعوا أن يكرمهم الله بحضوره وأن يحقق البركات الموعودة في العهد إلاّ إذا استمروا كشعب مختار في الحفاظ على القداسة الاحتفالية والأخلاقية.</w:t>
      </w:r>
      <w:r w:rsidRPr="00072E15">
        <w:rPr>
          <w:rFonts w:eastAsia="Times New Roman" w:cs="DecoType Naskh"/>
          <w:color w:val="auto"/>
          <w:kern w:val="0"/>
          <w:sz w:val="30"/>
          <w:szCs w:val="28"/>
          <w:vertAlign w:val="superscript"/>
          <w:rtl/>
          <w:lang w:bidi="ar-JO"/>
          <w14:ligatures w14:val="none"/>
        </w:rPr>
        <w:footnoteReference w:id="82"/>
      </w:r>
    </w:p>
    <w:p w14:paraId="59B1202E"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p>
    <w:p w14:paraId="7B2C752D"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ويلخّص آلان روس الغرض من سفر اللاويين فيقول:</w:t>
      </w:r>
    </w:p>
    <w:p w14:paraId="739831D6"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072E15">
        <w:rPr>
          <w:rFonts w:eastAsia="Times New Roman" w:cs="DecoType Naskh"/>
          <w:color w:val="auto"/>
          <w:kern w:val="0"/>
          <w:szCs w:val="26"/>
          <w:rtl/>
          <w:lang w:bidi="ar-JO"/>
          <w14:ligatures w14:val="none"/>
        </w:rPr>
        <w:t>استنتجنا على هذا الأساس أن سفر اللاويين هو دليل أو مرشد الكهنة في قيادتهم عبادة إسرائيل الجماعية والفردية في المقدس؛ إذ يريد يهوه أن يكون شعب عهده مقدّسين لكي يمكنه أن يسكن في سلام معهم وأن يباركهم.</w:t>
      </w:r>
      <w:r w:rsidRPr="00072E15">
        <w:rPr>
          <w:rFonts w:eastAsia="Times New Roman" w:cs="DecoType Naskh"/>
          <w:color w:val="auto"/>
          <w:kern w:val="0"/>
          <w:sz w:val="30"/>
          <w:szCs w:val="28"/>
          <w:vertAlign w:val="superscript"/>
          <w:rtl/>
          <w:lang w:bidi="ar-JO"/>
          <w14:ligatures w14:val="none"/>
        </w:rPr>
        <w:footnoteReference w:id="83"/>
      </w:r>
    </w:p>
    <w:p w14:paraId="30BCCD90"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p>
    <w:p w14:paraId="5626D9AA" w14:textId="77777777" w:rsidR="00072E15" w:rsidRPr="00072E15" w:rsidRDefault="00072E15"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2E15">
        <w:rPr>
          <w:rFonts w:eastAsia="Times New Roman" w:cs="DecoType Naskh" w:hint="cs"/>
          <w:bCs/>
          <w:color w:val="auto"/>
          <w:kern w:val="0"/>
          <w:szCs w:val="28"/>
          <w:rtl/>
          <w:lang w:bidi="ar-JO"/>
          <w14:ligatures w14:val="none"/>
        </w:rPr>
        <w:t>3</w:t>
      </w:r>
      <w:r w:rsidRPr="00072E15">
        <w:rPr>
          <w:rFonts w:eastAsia="Times New Roman" w:cs="DecoType Naskh"/>
          <w:bCs/>
          <w:color w:val="auto"/>
          <w:kern w:val="0"/>
          <w:szCs w:val="28"/>
          <w:rtl/>
          <w:lang w:bidi="ar-JO"/>
          <w14:ligatures w14:val="none"/>
        </w:rPr>
        <w:t>.</w:t>
      </w:r>
      <w:r w:rsidRPr="00072E15">
        <w:rPr>
          <w:rFonts w:eastAsia="Times New Roman" w:cs="DecoType Naskh"/>
          <w:bCs/>
          <w:color w:val="auto"/>
          <w:kern w:val="0"/>
          <w:szCs w:val="28"/>
          <w:rtl/>
          <w:lang w:bidi="ar-JO"/>
          <w14:ligatures w14:val="none"/>
        </w:rPr>
        <w:tab/>
        <w:t>التوكيد على القداسة</w:t>
      </w:r>
    </w:p>
    <w:p w14:paraId="2B792C1F"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 xml:space="preserve"> إن موضوع السفر هو "القداسة ليهوه".  وإن المعنى الفعلي للقداسة هو "الانفصال، الفرز" لشيء.  وهو في هذه الحالة الفرز ليهوه.  يقدّم سفر اللاويين صورة للجنس البشري بصفته خاطئاً وفاسداً ومعرّضاً للمرض وفي </w:t>
      </w:r>
      <w:r w:rsidRPr="00072E15">
        <w:rPr>
          <w:rFonts w:eastAsia="Times New Roman" w:cs="DecoType Naskh" w:hint="cs"/>
          <w:color w:val="auto"/>
          <w:kern w:val="0"/>
          <w:szCs w:val="26"/>
          <w:rtl/>
          <w:lang w:bidi="ar-JO"/>
          <w14:ligatures w14:val="none"/>
        </w:rPr>
        <w:t>حاجةٍ</w:t>
      </w:r>
      <w:r w:rsidRPr="00072E15">
        <w:rPr>
          <w:rFonts w:eastAsia="Times New Roman" w:cs="DecoType Naskh"/>
          <w:color w:val="auto"/>
          <w:kern w:val="0"/>
          <w:szCs w:val="26"/>
          <w:rtl/>
          <w:lang w:bidi="ar-JO"/>
          <w14:ligatures w14:val="none"/>
        </w:rPr>
        <w:t xml:space="preserve"> دائمة إلى التجديد الروحي.  وبما أن شعب إسرائيل مدعوون إلى خدمة إله قدّوس، فإن عليهم أن يعكسوا صفة ملكهم الذي يرتبطون معه في علاقة عهد.  الله قدوس، أي أن صفاته تفرزه أو تفصله.  وتتضمن صفاته هذه قوّته وجلالته وعظمته وقيادته وبرّه.  فصلت هذه الصفات كلّها يهوه</w:t>
      </w:r>
      <w:r w:rsidRPr="00072E15">
        <w:rPr>
          <w:rFonts w:eastAsia="Times New Roman" w:cs="DecoType Naskh" w:hint="cs"/>
          <w:color w:val="auto"/>
          <w:kern w:val="0"/>
          <w:szCs w:val="26"/>
          <w:rtl/>
          <w:lang w:bidi="ar-JO"/>
          <w14:ligatures w14:val="none"/>
        </w:rPr>
        <w:t>؛</w:t>
      </w:r>
      <w:r w:rsidRPr="00072E15">
        <w:rPr>
          <w:rFonts w:eastAsia="Times New Roman" w:cs="DecoType Naskh"/>
          <w:color w:val="auto"/>
          <w:kern w:val="0"/>
          <w:szCs w:val="26"/>
          <w:rtl/>
          <w:lang w:bidi="ar-JO"/>
          <w14:ligatures w14:val="none"/>
        </w:rPr>
        <w:t xml:space="preserve">  إذ تفرزه قداسته عن بقية الخليقة الملوّثة بالخطية؛ وتفرزه قوّته عن الآلهة الوثنية – فهو حي </w:t>
      </w:r>
      <w:r w:rsidRPr="00072E15">
        <w:rPr>
          <w:rFonts w:eastAsia="Times New Roman" w:cs="DecoType Naskh" w:hint="cs"/>
          <w:color w:val="auto"/>
          <w:kern w:val="0"/>
          <w:szCs w:val="26"/>
          <w:rtl/>
          <w:lang w:bidi="ar-JO"/>
          <w14:ligatures w14:val="none"/>
        </w:rPr>
        <w:t>وعامل.</w:t>
      </w:r>
    </w:p>
    <w:p w14:paraId="629E612C"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102D2DC"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إن الاستنتاج أن الأمة كلّها قادرة</w:t>
      </w:r>
      <w:r w:rsidRPr="00072E15">
        <w:rPr>
          <w:rFonts w:eastAsia="Times New Roman" w:cs="DecoType Naskh" w:hint="cs"/>
          <w:color w:val="auto"/>
          <w:kern w:val="0"/>
          <w:szCs w:val="26"/>
          <w:rtl/>
          <w:lang w:bidi="ar-JO"/>
          <w14:ligatures w14:val="none"/>
        </w:rPr>
        <w:t>،</w:t>
      </w:r>
      <w:r w:rsidRPr="00072E15">
        <w:rPr>
          <w:rFonts w:eastAsia="Times New Roman" w:cs="DecoType Naskh"/>
          <w:color w:val="auto"/>
          <w:kern w:val="0"/>
          <w:szCs w:val="26"/>
          <w:rtl/>
          <w:lang w:bidi="ar-JO"/>
          <w14:ligatures w14:val="none"/>
        </w:rPr>
        <w:t xml:space="preserve"> بالاعتماد على الذات</w:t>
      </w:r>
      <w:r w:rsidRPr="00072E15">
        <w:rPr>
          <w:rFonts w:eastAsia="Times New Roman" w:cs="DecoType Naskh" w:hint="cs"/>
          <w:color w:val="auto"/>
          <w:kern w:val="0"/>
          <w:szCs w:val="26"/>
          <w:rtl/>
          <w:lang w:bidi="ar-JO"/>
          <w14:ligatures w14:val="none"/>
        </w:rPr>
        <w:t>،</w:t>
      </w:r>
      <w:r w:rsidRPr="00072E15">
        <w:rPr>
          <w:rFonts w:eastAsia="Times New Roman" w:cs="DecoType Naskh"/>
          <w:color w:val="auto"/>
          <w:kern w:val="0"/>
          <w:szCs w:val="26"/>
          <w:rtl/>
          <w:lang w:bidi="ar-JO"/>
          <w14:ligatures w14:val="none"/>
        </w:rPr>
        <w:t xml:space="preserve"> على حفظ دستور العهد سيكون خطأ</w:t>
      </w:r>
      <w:r w:rsidRPr="00072E15">
        <w:rPr>
          <w:rFonts w:eastAsia="Times New Roman" w:cs="DecoType Naskh" w:hint="cs"/>
          <w:color w:val="auto"/>
          <w:kern w:val="0"/>
          <w:szCs w:val="26"/>
          <w:rtl/>
          <w14:ligatures w14:val="none"/>
        </w:rPr>
        <w:t>ً</w:t>
      </w:r>
      <w:r w:rsidRPr="00072E15">
        <w:rPr>
          <w:rFonts w:eastAsia="Times New Roman" w:cs="DecoType Naskh"/>
          <w:color w:val="auto"/>
          <w:kern w:val="0"/>
          <w:szCs w:val="26"/>
          <w:rtl/>
          <w:lang w:bidi="ar-JO"/>
          <w14:ligatures w14:val="none"/>
        </w:rPr>
        <w:t xml:space="preserve"> فادحاً في تقديرهم لأنفسهم.  أخطأ كثيرون عندما فكّروا على هذا النحو، وقد دلّ هذا على افتقار دائم للاتكال على يهوه.  غير أن الله كان يعلم عيوبهم، حتى أنه دبّر لها علاجاً.  ومن خلال الكهنوت والنظام الذبيحي أظهر الله كرمه ولطفه ورأفته بإيجاد طريقة متاحة للقبول لكي يتمكنوا من التمتع بالشركة معه (أمّا الذبائح وحدها فلم </w:t>
      </w:r>
      <w:r w:rsidRPr="00072E15">
        <w:rPr>
          <w:rFonts w:eastAsia="Times New Roman" w:cs="DecoType Naskh" w:hint="cs"/>
          <w:color w:val="auto"/>
          <w:kern w:val="0"/>
          <w:szCs w:val="26"/>
          <w:rtl/>
          <w:lang w:bidi="ar-JO"/>
          <w14:ligatures w14:val="none"/>
        </w:rPr>
        <w:t>تكُن تأتي</w:t>
      </w:r>
      <w:r w:rsidRPr="00072E15">
        <w:rPr>
          <w:rFonts w:eastAsia="Times New Roman" w:cs="DecoType Naskh"/>
          <w:color w:val="auto"/>
          <w:kern w:val="0"/>
          <w:szCs w:val="26"/>
          <w:rtl/>
          <w:lang w:bidi="ar-JO"/>
          <w14:ligatures w14:val="none"/>
        </w:rPr>
        <w:t xml:space="preserve"> بأيّة فوائد إن لم تكن مصحوبة بالإيمان).  لا يتناول سفر اللاويين والوصايا الأولية للشريعة في سفر الخروج مسألة أساس الخلاص، فالخلاص لا يأتي بحفظ الشريعة.  لكن سفر اللاويين يتناول مسألة الكيفية التي يتوجب أن تسلك بها أمّة يسكن الله في وسطها.  وعندما تفشل أمّة إسرائيل في ذلك، فإن الله سيؤدبها، حتى أنه سيسحب حضور مجده بينهم.</w:t>
      </w:r>
    </w:p>
    <w:p w14:paraId="1460481F"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CBB8D06"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21E0F1F" w14:textId="77777777" w:rsidR="00072E15" w:rsidRPr="00072E15" w:rsidRDefault="00072E15"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2E15">
        <w:rPr>
          <w:rFonts w:eastAsia="Times New Roman" w:cs="DecoType Naskh" w:hint="cs"/>
          <w:bCs/>
          <w:color w:val="auto"/>
          <w:kern w:val="0"/>
          <w:szCs w:val="28"/>
          <w:rtl/>
          <w:lang w:bidi="ar-JO"/>
          <w14:ligatures w14:val="none"/>
        </w:rPr>
        <w:t>4</w:t>
      </w:r>
      <w:r w:rsidRPr="00072E15">
        <w:rPr>
          <w:rFonts w:eastAsia="Times New Roman" w:cs="DecoType Naskh"/>
          <w:bCs/>
          <w:color w:val="auto"/>
          <w:kern w:val="0"/>
          <w:szCs w:val="28"/>
          <w:rtl/>
          <w:lang w:bidi="ar-JO"/>
          <w14:ligatures w14:val="none"/>
        </w:rPr>
        <w:t>.</w:t>
      </w:r>
      <w:r w:rsidRPr="00072E15">
        <w:rPr>
          <w:rFonts w:eastAsia="Times New Roman" w:cs="DecoType Naskh"/>
          <w:bCs/>
          <w:color w:val="auto"/>
          <w:kern w:val="0"/>
          <w:szCs w:val="28"/>
          <w:rtl/>
          <w:lang w:bidi="ar-JO"/>
          <w14:ligatures w14:val="none"/>
        </w:rPr>
        <w:tab/>
        <w:t xml:space="preserve">بنية سفر اللاويين </w:t>
      </w:r>
    </w:p>
    <w:p w14:paraId="66370056"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ينقسم السفر إلى قسمين أساسيين.  تتناول ا</w:t>
      </w:r>
      <w:r w:rsidRPr="00072E15">
        <w:rPr>
          <w:rFonts w:eastAsia="Times New Roman" w:cs="DecoType Naskh" w:hint="cs"/>
          <w:color w:val="auto"/>
          <w:kern w:val="0"/>
          <w:szCs w:val="26"/>
          <w:rtl/>
          <w:lang w:bidi="ar-JO"/>
          <w14:ligatures w14:val="none"/>
        </w:rPr>
        <w:t>لأ</w:t>
      </w:r>
      <w:r w:rsidRPr="00072E15">
        <w:rPr>
          <w:rFonts w:eastAsia="Times New Roman" w:cs="DecoType Naskh"/>
          <w:color w:val="auto"/>
          <w:kern w:val="0"/>
          <w:szCs w:val="26"/>
          <w:rtl/>
          <w:lang w:bidi="ar-JO"/>
          <w14:ligatures w14:val="none"/>
        </w:rPr>
        <w:t>صحاحات 1-10</w:t>
      </w:r>
      <w:r w:rsidRPr="00072E15">
        <w:rPr>
          <w:rFonts w:eastAsia="Times New Roman" w:cs="DecoType Naskh" w:hint="cs"/>
          <w:color w:val="auto"/>
          <w:kern w:val="0"/>
          <w:szCs w:val="26"/>
          <w:rtl/>
          <w:lang w:bidi="ar-JO"/>
          <w14:ligatures w14:val="none"/>
        </w:rPr>
        <w:t xml:space="preserve"> موضوع</w:t>
      </w:r>
      <w:r w:rsidRPr="00072E15">
        <w:rPr>
          <w:rFonts w:eastAsia="Times New Roman" w:cs="DecoType Naskh"/>
          <w:color w:val="auto"/>
          <w:kern w:val="0"/>
          <w:szCs w:val="26"/>
          <w:rtl/>
          <w:lang w:bidi="ar-JO"/>
          <w14:ligatures w14:val="none"/>
        </w:rPr>
        <w:t xml:space="preserve"> كيف يتوجب أن تعبد إسرائيل إلهاً قدّوساً (من خلال الذبائح وتوسّط الكهنوت؛ وتتناول ا</w:t>
      </w:r>
      <w:r w:rsidRPr="00072E15">
        <w:rPr>
          <w:rFonts w:eastAsia="Times New Roman" w:cs="DecoType Naskh" w:hint="cs"/>
          <w:color w:val="auto"/>
          <w:kern w:val="0"/>
          <w:szCs w:val="26"/>
          <w:rtl/>
          <w:lang w:bidi="ar-JO"/>
          <w14:ligatures w14:val="none"/>
        </w:rPr>
        <w:t>لأ</w:t>
      </w:r>
      <w:r w:rsidRPr="00072E15">
        <w:rPr>
          <w:rFonts w:eastAsia="Times New Roman" w:cs="DecoType Naskh"/>
          <w:color w:val="auto"/>
          <w:kern w:val="0"/>
          <w:szCs w:val="26"/>
          <w:rtl/>
          <w:lang w:bidi="ar-JO"/>
          <w14:ligatures w14:val="none"/>
        </w:rPr>
        <w:t>صحاحات 11-27</w:t>
      </w:r>
      <w:r w:rsidRPr="00072E15">
        <w:rPr>
          <w:rFonts w:eastAsia="Times New Roman" w:cs="DecoType Naskh" w:hint="cs"/>
          <w:color w:val="auto"/>
          <w:kern w:val="0"/>
          <w:szCs w:val="26"/>
          <w:rtl/>
          <w:lang w:bidi="ar-JO"/>
          <w14:ligatures w14:val="none"/>
        </w:rPr>
        <w:t xml:space="preserve"> موضوع</w:t>
      </w:r>
      <w:r w:rsidRPr="00072E15">
        <w:rPr>
          <w:rFonts w:eastAsia="Times New Roman" w:cs="DecoType Naskh"/>
          <w:color w:val="auto"/>
          <w:kern w:val="0"/>
          <w:szCs w:val="26"/>
          <w:rtl/>
          <w:lang w:bidi="ar-JO"/>
          <w14:ligatures w14:val="none"/>
        </w:rPr>
        <w:t xml:space="preserve"> كيف يتوجب أن تسلك إسرائيل مع إلهها القدوس (من خلال التطهير والقداسة).  انظر الملحق 13-1 لعرض أكثر تفصيلاً لبنية السفر.</w:t>
      </w:r>
    </w:p>
    <w:p w14:paraId="6714C88B"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235E6C84" w14:textId="77777777" w:rsidR="00072E15" w:rsidRPr="00072E15" w:rsidRDefault="00072E15"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2E15">
        <w:rPr>
          <w:rFonts w:eastAsia="Times New Roman" w:cs="DecoType Naskh" w:hint="cs"/>
          <w:bCs/>
          <w:color w:val="auto"/>
          <w:kern w:val="0"/>
          <w:szCs w:val="28"/>
          <w:rtl/>
          <w:lang w:bidi="ar-JO"/>
          <w14:ligatures w14:val="none"/>
        </w:rPr>
        <w:lastRenderedPageBreak/>
        <w:t>5</w:t>
      </w:r>
      <w:r w:rsidRPr="00072E15">
        <w:rPr>
          <w:rFonts w:eastAsia="Times New Roman" w:cs="DecoType Naskh"/>
          <w:bCs/>
          <w:color w:val="auto"/>
          <w:kern w:val="0"/>
          <w:szCs w:val="28"/>
          <w:rtl/>
          <w:lang w:bidi="ar-JO"/>
          <w14:ligatures w14:val="none"/>
        </w:rPr>
        <w:t>.</w:t>
      </w:r>
      <w:r w:rsidRPr="00072E15">
        <w:rPr>
          <w:rFonts w:eastAsia="Times New Roman" w:cs="DecoType Naskh"/>
          <w:bCs/>
          <w:color w:val="auto"/>
          <w:kern w:val="0"/>
          <w:szCs w:val="28"/>
          <w:rtl/>
          <w:lang w:bidi="ar-JO"/>
          <w14:ligatures w14:val="none"/>
        </w:rPr>
        <w:tab/>
        <w:t>النظام الذبيحي</w:t>
      </w:r>
    </w:p>
    <w:p w14:paraId="7875CCA1"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كان النظام الذبيحي للعهد القديم معقّداً جداً.  وقد تضمّن تقديم ذبائح مجدولة وذبائح غير مجدولة (</w:t>
      </w:r>
      <w:r w:rsidRPr="00072E15">
        <w:rPr>
          <w:rFonts w:eastAsia="Times New Roman" w:cs="DecoType Naskh" w:hint="cs"/>
          <w:color w:val="auto"/>
          <w:kern w:val="0"/>
          <w:szCs w:val="26"/>
          <w:rtl/>
          <w:lang w:bidi="ar-JO"/>
          <w14:ligatures w14:val="none"/>
        </w:rPr>
        <w:t>منتظمة وغير منتظمة</w:t>
      </w:r>
      <w:r w:rsidRPr="00072E15">
        <w:rPr>
          <w:rFonts w:eastAsia="Times New Roman" w:cs="DecoType Naskh"/>
          <w:color w:val="auto"/>
          <w:kern w:val="0"/>
          <w:szCs w:val="26"/>
          <w:rtl/>
          <w:lang w:bidi="ar-JO"/>
          <w14:ligatures w14:val="none"/>
        </w:rPr>
        <w:t xml:space="preserve">).  تضمنت الذبائح غير المجدولة (غير المنتظمة) تقدمة السلامة وتقدمة الخطية، إلخ.  وقد قُدِّمت بعض الذبائح مرتبطة بمسألة الخطية (تقدمة الخطية، تقدمة الإثم (الذنب)).  وكانت بعض التقدمات تعبيراً عن الشكر والعرفان، أو عن محبّة المرء ليهوه.  وقُدِّمت بعض الذبائح للتعامل مع النجاسة </w:t>
      </w:r>
      <w:r w:rsidRPr="00072E15">
        <w:rPr>
          <w:rFonts w:eastAsia="Times New Roman" w:cs="DecoType Naskh" w:hint="cs"/>
          <w:color w:val="auto"/>
          <w:kern w:val="0"/>
          <w:szCs w:val="26"/>
          <w:rtl/>
          <w:lang w:bidi="ar-JO"/>
          <w14:ligatures w14:val="none"/>
        </w:rPr>
        <w:t>الطقسية</w:t>
      </w:r>
      <w:r w:rsidRPr="00072E15">
        <w:rPr>
          <w:rFonts w:eastAsia="Times New Roman" w:cs="DecoType Naskh"/>
          <w:color w:val="auto"/>
          <w:kern w:val="0"/>
          <w:szCs w:val="26"/>
          <w:rtl/>
          <w:lang w:bidi="ar-JO"/>
          <w14:ligatures w14:val="none"/>
        </w:rPr>
        <w:t xml:space="preserve"> (مثلاً، الذبائح التي كانت تُطلب من المرأة بعد الولادة في لاويين 12).  ويمكن أن تقدَّم الذبائح على مستوى فردي أو </w:t>
      </w:r>
      <w:r w:rsidRPr="00072E15">
        <w:rPr>
          <w:rFonts w:eastAsia="Times New Roman" w:cs="DecoType Naskh" w:hint="cs"/>
          <w:color w:val="auto"/>
          <w:kern w:val="0"/>
          <w:szCs w:val="26"/>
          <w:rtl/>
          <w:lang w:bidi="ar-JO"/>
          <w14:ligatures w14:val="none"/>
        </w:rPr>
        <w:t>على مستوى الأمة</w:t>
      </w:r>
      <w:r w:rsidRPr="00072E15">
        <w:rPr>
          <w:rFonts w:eastAsia="Times New Roman" w:cs="DecoType Naskh"/>
          <w:color w:val="auto"/>
          <w:kern w:val="0"/>
          <w:szCs w:val="26"/>
          <w:rtl/>
          <w:lang w:bidi="ar-JO"/>
          <w14:ligatures w14:val="none"/>
        </w:rPr>
        <w:t xml:space="preserve"> (مثلاً، يوم الكفّارة).  وكما هو واضح، فقد تطلّب النظام الذبيحي تقديم آلاف الحيوانات ونشاطاً دائماً من قبل الكهنة الذين كان عليهم أن يقوموا بالإجراءات الضرورية.  غير أن الذبيحة كانت جوهر العبادة في العهد القديم، وكان يفترض أن تقدَّم مرتبطةً بالإيمان.  ويمكن أن تتضمن الدوافع وراء تقديم الذبيحة أيّاً من المفاهيم التالية:</w:t>
      </w:r>
    </w:p>
    <w:p w14:paraId="5A384408"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14:ligatures w14:val="none"/>
        </w:rPr>
      </w:pPr>
      <w:r w:rsidRPr="00072E15">
        <w:rPr>
          <w:rFonts w:eastAsia="Times New Roman" w:cs="DecoType Naskh"/>
          <w:color w:val="auto"/>
          <w:kern w:val="0"/>
          <w:szCs w:val="26"/>
          <w:rtl/>
          <w:lang w:bidi="ar-JO"/>
          <w14:ligatures w14:val="none"/>
        </w:rPr>
        <w:t>1)</w:t>
      </w:r>
      <w:r w:rsidRPr="00072E15">
        <w:rPr>
          <w:rFonts w:eastAsia="Times New Roman" w:cs="DecoType Naskh" w:hint="cs"/>
          <w:color w:val="auto"/>
          <w:kern w:val="0"/>
          <w:szCs w:val="26"/>
          <w:rtl/>
          <w:lang w:bidi="ar-JO"/>
          <w14:ligatures w14:val="none"/>
        </w:rPr>
        <w:tab/>
      </w:r>
      <w:r w:rsidRPr="00072E15">
        <w:rPr>
          <w:rFonts w:eastAsia="Times New Roman" w:cs="DecoType Naskh"/>
          <w:color w:val="auto"/>
          <w:kern w:val="0"/>
          <w:szCs w:val="26"/>
          <w:rtl/>
          <w:lang w:bidi="ar-JO"/>
          <w14:ligatures w14:val="none"/>
        </w:rPr>
        <w:t>العطية، تضمّنت الذبيحة تسليم المرء لنفسه وما يملكه.  ومع خسارة العابد شيئاً (كانت الذبيحة إمّا أن يستهلكها الكاهن كلّياً، أو تستهلكها النار التي على المذبح)، كان يحصل على شيء (إشباع العبادة والإدراك أن كل شيء يخصّ الله</w:t>
      </w:r>
      <w:r w:rsidRPr="00072E15">
        <w:rPr>
          <w:rFonts w:eastAsia="Times New Roman" w:cs="DecoType Naskh" w:hint="cs"/>
          <w:color w:val="auto"/>
          <w:kern w:val="0"/>
          <w:szCs w:val="26"/>
          <w:rtl/>
          <w14:ligatures w14:val="none"/>
        </w:rPr>
        <w:t>)</w:t>
      </w:r>
      <w:r w:rsidRPr="00072E15">
        <w:rPr>
          <w:rFonts w:eastAsia="Times New Roman" w:cs="DecoType Naskh"/>
          <w:color w:val="auto"/>
          <w:kern w:val="0"/>
          <w:szCs w:val="26"/>
          <w:rtl/>
          <w:lang w:bidi="ar-JO"/>
          <w14:ligatures w14:val="none"/>
        </w:rPr>
        <w:t>.</w:t>
      </w:r>
    </w:p>
    <w:p w14:paraId="3B96D760"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2)</w:t>
      </w:r>
      <w:r w:rsidRPr="00072E15">
        <w:rPr>
          <w:rFonts w:eastAsia="Times New Roman" w:cs="DecoType Naskh" w:hint="cs"/>
          <w:color w:val="auto"/>
          <w:kern w:val="0"/>
          <w:szCs w:val="26"/>
          <w:rtl/>
          <w:lang w:bidi="ar-JO"/>
          <w14:ligatures w14:val="none"/>
        </w:rPr>
        <w:tab/>
      </w:r>
      <w:r w:rsidRPr="00072E15">
        <w:rPr>
          <w:rFonts w:eastAsia="Times New Roman" w:cs="DecoType Naskh"/>
          <w:color w:val="auto"/>
          <w:kern w:val="0"/>
          <w:szCs w:val="26"/>
          <w:rtl/>
          <w:lang w:bidi="ar-JO"/>
          <w14:ligatures w14:val="none"/>
        </w:rPr>
        <w:t>الشركة.  يمكن أن تعبّر الذبيحة عن ذلك الحنين في الإنسان إلى الاجتماع والشركة مع الله.</w:t>
      </w:r>
    </w:p>
    <w:p w14:paraId="24D14A01"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3)</w:t>
      </w:r>
      <w:r w:rsidRPr="00072E15">
        <w:rPr>
          <w:rFonts w:eastAsia="Times New Roman" w:cs="DecoType Naskh" w:hint="cs"/>
          <w:color w:val="auto"/>
          <w:kern w:val="0"/>
          <w:szCs w:val="26"/>
          <w:rtl/>
          <w:lang w:bidi="ar-JO"/>
          <w14:ligatures w14:val="none"/>
        </w:rPr>
        <w:tab/>
      </w:r>
      <w:r w:rsidRPr="00072E15">
        <w:rPr>
          <w:rFonts w:eastAsia="Times New Roman" w:cs="DecoType Naskh"/>
          <w:color w:val="auto"/>
          <w:kern w:val="0"/>
          <w:szCs w:val="26"/>
          <w:rtl/>
          <w:lang w:bidi="ar-JO"/>
          <w14:ligatures w14:val="none"/>
        </w:rPr>
        <w:t xml:space="preserve">التكفير.  بما أن الدم كان جانباً مهيمناً من جوانب النظام الذبيحي، كان العابد يتذكّر دائماً حالته الآثمة وحاجته إلى التكفير.  فلا يمكن التعامل مع خطيته وإثمه إلاّ من خلال دم الذبيحة.  وقد </w:t>
      </w:r>
      <w:r w:rsidRPr="00072E15">
        <w:rPr>
          <w:rFonts w:eastAsia="Times New Roman" w:cs="DecoType Naskh" w:hint="cs"/>
          <w:color w:val="auto"/>
          <w:kern w:val="0"/>
          <w:szCs w:val="26"/>
          <w:rtl/>
          <w:lang w:bidi="ar-JO"/>
          <w14:ligatures w14:val="none"/>
        </w:rPr>
        <w:t>لفت هذا النظر</w:t>
      </w:r>
      <w:r w:rsidRPr="00072E15">
        <w:rPr>
          <w:rFonts w:eastAsia="Times New Roman" w:cs="DecoType Naskh"/>
          <w:color w:val="auto"/>
          <w:kern w:val="0"/>
          <w:szCs w:val="26"/>
          <w:rtl/>
          <w:lang w:bidi="ar-JO"/>
          <w14:ligatures w14:val="none"/>
        </w:rPr>
        <w:t xml:space="preserve"> إلى جدّية الخطية وحاجة </w:t>
      </w:r>
      <w:r w:rsidRPr="00072E15">
        <w:rPr>
          <w:rFonts w:eastAsia="Times New Roman" w:cs="DecoType Naskh" w:hint="cs"/>
          <w:color w:val="auto"/>
          <w:kern w:val="0"/>
          <w:szCs w:val="26"/>
          <w:rtl/>
          <w:lang w:bidi="ar-JO"/>
          <w14:ligatures w14:val="none"/>
        </w:rPr>
        <w:t>الإنسان</w:t>
      </w:r>
      <w:r w:rsidRPr="00072E15">
        <w:rPr>
          <w:rFonts w:eastAsia="Times New Roman" w:cs="DecoType Naskh"/>
          <w:color w:val="auto"/>
          <w:kern w:val="0"/>
          <w:szCs w:val="26"/>
          <w:rtl/>
          <w:lang w:bidi="ar-JO"/>
          <w14:ligatures w14:val="none"/>
        </w:rPr>
        <w:t xml:space="preserve"> إلى بديل يأخذ عقابه.  ولا يعني هذا أنه كان لدم الحيوانات أي استحقاق في ذاته.</w:t>
      </w:r>
    </w:p>
    <w:p w14:paraId="2FCB2F84" w14:textId="2000E9B8" w:rsidR="00CE2C1E" w:rsidRPr="007A4B15" w:rsidRDefault="00CE2C1E" w:rsidP="00587CC3">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bookmarkStart w:id="101" w:name="_Hlk178778803"/>
      <w:r w:rsidRPr="007A4B15">
        <w:rPr>
          <w:rFonts w:ascii="Verdana" w:eastAsia="Calibri" w:hAnsi="Verdana" w:cs="Times New Roman"/>
          <w:b/>
          <w:caps/>
          <w:noProof/>
          <w:color w:val="006699"/>
          <w:kern w:val="0"/>
          <w:sz w:val="21"/>
          <w:szCs w:val="24"/>
          <w14:ligatures w14:val="none"/>
        </w:rPr>
        <w:drawing>
          <wp:inline distT="0" distB="0" distL="0" distR="0" wp14:anchorId="62EAF22C" wp14:editId="6A596E7A">
            <wp:extent cx="613692" cy="541464"/>
            <wp:effectExtent l="0" t="0" r="0" b="0"/>
            <wp:docPr id="986583134" name="Picture 986583134"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587CC3" w:rsidRPr="00587CC3">
        <w:rPr>
          <w:rFonts w:ascii="Verdana" w:eastAsia="Calibri" w:hAnsi="Verdana" w:cs="Times New Roman" w:hint="cs"/>
          <w:bCs/>
          <w:caps/>
          <w:color w:val="006699"/>
          <w:kern w:val="0"/>
          <w:sz w:val="21"/>
          <w:szCs w:val="24"/>
          <w:u w:val="single"/>
          <w:rtl/>
          <w14:ligatures w14:val="none"/>
        </w:rPr>
        <w:t>القراءة:</w:t>
      </w:r>
    </w:p>
    <w:p w14:paraId="20EA988C" w14:textId="13AAEDFB" w:rsidR="00CE2C1E" w:rsidRPr="002B24E1" w:rsidRDefault="00CE2C1E" w:rsidP="00587CC3">
      <w:pPr>
        <w:pStyle w:val="Heading4RED"/>
        <w:bidi/>
        <w:rPr>
          <w:b w:val="0"/>
          <w:bCs w:val="0"/>
          <w:sz w:val="24"/>
          <w:szCs w:val="24"/>
        </w:rPr>
      </w:pPr>
      <w:r>
        <w:rPr>
          <w:b w:val="0"/>
          <w:bCs w:val="0"/>
          <w:sz w:val="24"/>
          <w:szCs w:val="24"/>
        </w:rPr>
        <w:tab/>
      </w:r>
      <w:r>
        <w:rPr>
          <w:b w:val="0"/>
          <w:bCs w:val="0"/>
          <w:sz w:val="24"/>
          <w:szCs w:val="24"/>
        </w:rPr>
        <w:tab/>
      </w:r>
      <w:r>
        <w:rPr>
          <w:b w:val="0"/>
          <w:bCs w:val="0"/>
          <w:sz w:val="24"/>
          <w:szCs w:val="24"/>
        </w:rPr>
        <w:tab/>
      </w:r>
      <w:r w:rsidR="00587CC3">
        <w:rPr>
          <w:rFonts w:hint="cs"/>
          <w:b w:val="0"/>
          <w:bCs w:val="0"/>
          <w:sz w:val="24"/>
          <w:szCs w:val="24"/>
          <w:rtl/>
        </w:rPr>
        <w:t xml:space="preserve">اقرأ لاويّين 1: 1 </w:t>
      </w:r>
      <w:r w:rsidR="00587CC3">
        <w:rPr>
          <w:b w:val="0"/>
          <w:bCs w:val="0"/>
          <w:sz w:val="24"/>
          <w:szCs w:val="24"/>
          <w:rtl/>
        </w:rPr>
        <w:t>–</w:t>
      </w:r>
      <w:r w:rsidR="00587CC3">
        <w:rPr>
          <w:rFonts w:hint="cs"/>
          <w:b w:val="0"/>
          <w:bCs w:val="0"/>
          <w:sz w:val="24"/>
          <w:szCs w:val="24"/>
          <w:rtl/>
        </w:rPr>
        <w:t xml:space="preserve"> 10: 20 في كتابك المُقدَّس. </w:t>
      </w:r>
    </w:p>
    <w:bookmarkEnd w:id="101"/>
    <w:p w14:paraId="6B02A1BA"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p>
    <w:p w14:paraId="5F035C19" w14:textId="77777777" w:rsidR="00072E15" w:rsidRPr="00072E15" w:rsidRDefault="00072E15"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2E15">
        <w:rPr>
          <w:rFonts w:eastAsia="Times New Roman" w:cs="DecoType Naskh" w:hint="cs"/>
          <w:bCs/>
          <w:color w:val="auto"/>
          <w:kern w:val="0"/>
          <w:szCs w:val="28"/>
          <w:rtl/>
          <w:lang w:bidi="ar-JO"/>
          <w14:ligatures w14:val="none"/>
        </w:rPr>
        <w:t>6</w:t>
      </w:r>
      <w:r w:rsidRPr="00072E15">
        <w:rPr>
          <w:rFonts w:eastAsia="Times New Roman" w:cs="DecoType Naskh"/>
          <w:bCs/>
          <w:color w:val="auto"/>
          <w:kern w:val="0"/>
          <w:szCs w:val="28"/>
          <w:rtl/>
          <w:lang w:bidi="ar-JO"/>
          <w14:ligatures w14:val="none"/>
        </w:rPr>
        <w:t>.</w:t>
      </w:r>
      <w:r w:rsidRPr="00072E15">
        <w:rPr>
          <w:rFonts w:eastAsia="Times New Roman" w:cs="DecoType Naskh"/>
          <w:bCs/>
          <w:color w:val="auto"/>
          <w:kern w:val="0"/>
          <w:szCs w:val="28"/>
          <w:rtl/>
          <w:lang w:bidi="ar-JO"/>
          <w14:ligatures w14:val="none"/>
        </w:rPr>
        <w:tab/>
        <w:t>قوانين الذبائح (لاويين 1-7)</w:t>
      </w:r>
    </w:p>
    <w:p w14:paraId="1EF10AEB"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 xml:space="preserve">تقع الذبائح في لاويين 1-7 ضمن فئتين رئيسيتين: تقدمات روائح </w:t>
      </w:r>
      <w:r w:rsidRPr="00072E15">
        <w:rPr>
          <w:rFonts w:eastAsia="Times New Roman" w:cs="DecoType Naskh" w:hint="cs"/>
          <w:color w:val="auto"/>
          <w:kern w:val="0"/>
          <w:szCs w:val="26"/>
          <w:rtl/>
          <w:lang w:bidi="ar-JO"/>
          <w14:ligatures w14:val="none"/>
        </w:rPr>
        <w:t>سرور</w:t>
      </w:r>
      <w:r w:rsidRPr="00072E15">
        <w:rPr>
          <w:rFonts w:eastAsia="Times New Roman" w:cs="DecoType Naskh"/>
          <w:color w:val="auto"/>
          <w:kern w:val="0"/>
          <w:szCs w:val="26"/>
          <w:rtl/>
          <w:lang w:bidi="ar-JO"/>
          <w14:ligatures w14:val="none"/>
        </w:rPr>
        <w:t xml:space="preserve"> وتقدمات ليست روائح </w:t>
      </w:r>
      <w:r w:rsidRPr="00072E15">
        <w:rPr>
          <w:rFonts w:eastAsia="Times New Roman" w:cs="DecoType Naskh" w:hint="cs"/>
          <w:color w:val="auto"/>
          <w:kern w:val="0"/>
          <w:szCs w:val="26"/>
          <w:rtl/>
          <w:lang w:bidi="ar-JO"/>
          <w14:ligatures w14:val="none"/>
        </w:rPr>
        <w:t>سرور</w:t>
      </w:r>
      <w:r w:rsidRPr="00072E15">
        <w:rPr>
          <w:rFonts w:eastAsia="Times New Roman" w:cs="DecoType Naskh"/>
          <w:color w:val="auto"/>
          <w:kern w:val="0"/>
          <w:szCs w:val="26"/>
          <w:rtl/>
          <w:lang w:bidi="ar-JO"/>
          <w14:ligatures w14:val="none"/>
        </w:rPr>
        <w:t>.</w:t>
      </w:r>
    </w:p>
    <w:p w14:paraId="203C9910"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1.</w:t>
      </w:r>
      <w:r w:rsidRPr="00072E15">
        <w:rPr>
          <w:rFonts w:eastAsia="Times New Roman" w:cs="DecoType Naskh"/>
          <w:color w:val="auto"/>
          <w:kern w:val="0"/>
          <w:szCs w:val="26"/>
          <w:rtl/>
          <w:lang w:bidi="ar-JO"/>
          <w14:ligatures w14:val="none"/>
        </w:rPr>
        <w:tab/>
        <w:t>تقدمات روائح السرور –</w:t>
      </w:r>
      <w:r w:rsidRPr="00072E15">
        <w:rPr>
          <w:rFonts w:eastAsia="Times New Roman" w:cs="DecoType Naskh" w:hint="cs"/>
          <w:color w:val="auto"/>
          <w:kern w:val="0"/>
          <w:szCs w:val="26"/>
          <w:rtl/>
          <w14:ligatures w14:val="none"/>
        </w:rPr>
        <w:t xml:space="preserve"> </w:t>
      </w:r>
      <w:r w:rsidRPr="00072E15">
        <w:rPr>
          <w:rFonts w:eastAsia="Times New Roman" w:cs="DecoType Naskh"/>
          <w:color w:val="auto"/>
          <w:kern w:val="0"/>
          <w:szCs w:val="26"/>
          <w:rtl/>
          <w:lang w:bidi="ar-JO"/>
          <w14:ligatures w14:val="none"/>
        </w:rPr>
        <w:t>تقدَّم هذه الذبائح في إطار الشركة مع الرب.</w:t>
      </w:r>
    </w:p>
    <w:p w14:paraId="4FC8BD6C"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أ.</w:t>
      </w:r>
      <w:r w:rsidRPr="00072E15">
        <w:rPr>
          <w:rFonts w:eastAsia="Times New Roman" w:cs="DecoType Naskh"/>
          <w:color w:val="auto"/>
          <w:kern w:val="0"/>
          <w:szCs w:val="26"/>
          <w:rtl/>
          <w:lang w:bidi="ar-JO"/>
          <w14:ligatures w14:val="none"/>
        </w:rPr>
        <w:tab/>
        <w:t>ذبائح تكريس</w:t>
      </w:r>
    </w:p>
    <w:p w14:paraId="6317C46E"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كانت ذبائح المحرقة الكاملة وتقدمات الدقيق تقدّم من شخص يتمتع بالشركة مع الله كعطايا عبادة وتكريس.  ويمكن أن تشمل هذه هبات مقدَّمة وتقدمات تعبيراً عن الإجلال والتوقير، وتقدمات عبادة.  ويمكن تقديمها في مناسبات عدة:</w:t>
      </w:r>
    </w:p>
    <w:p w14:paraId="21D794E4"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1)</w:t>
      </w:r>
      <w:r w:rsidRPr="00072E15">
        <w:rPr>
          <w:rFonts w:eastAsia="Times New Roman" w:cs="DecoType Naskh" w:hint="cs"/>
          <w:color w:val="auto"/>
          <w:kern w:val="0"/>
          <w:szCs w:val="26"/>
          <w:rtl/>
          <w:lang w:bidi="ar-JO"/>
          <w14:ligatures w14:val="none"/>
        </w:rPr>
        <w:tab/>
      </w:r>
      <w:r w:rsidRPr="00072E15">
        <w:rPr>
          <w:rFonts w:eastAsia="Times New Roman" w:cs="DecoType Naskh"/>
          <w:color w:val="auto"/>
          <w:kern w:val="0"/>
          <w:szCs w:val="26"/>
          <w:rtl/>
          <w:lang w:bidi="ar-JO"/>
          <w14:ligatures w14:val="none"/>
        </w:rPr>
        <w:t>العشور المنتظمة –</w:t>
      </w:r>
      <w:r w:rsidRPr="00072E15">
        <w:rPr>
          <w:rFonts w:eastAsia="Times New Roman" w:cs="DecoType Naskh" w:hint="cs"/>
          <w:color w:val="auto"/>
          <w:kern w:val="0"/>
          <w:szCs w:val="26"/>
          <w:rtl/>
          <w14:ligatures w14:val="none"/>
        </w:rPr>
        <w:t xml:space="preserve"> </w:t>
      </w:r>
      <w:r w:rsidRPr="00072E15">
        <w:rPr>
          <w:rFonts w:eastAsia="Times New Roman" w:cs="DecoType Naskh"/>
          <w:color w:val="auto"/>
          <w:kern w:val="0"/>
          <w:szCs w:val="26"/>
          <w:rtl/>
          <w:lang w:bidi="ar-JO"/>
          <w14:ligatures w14:val="none"/>
        </w:rPr>
        <w:t>كجزء من تقديم العشور والبواكير.</w:t>
      </w:r>
    </w:p>
    <w:p w14:paraId="6677BC01"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2)</w:t>
      </w:r>
      <w:r w:rsidRPr="00072E15">
        <w:rPr>
          <w:rFonts w:eastAsia="Times New Roman" w:cs="DecoType Naskh" w:hint="cs"/>
          <w:color w:val="auto"/>
          <w:kern w:val="0"/>
          <w:szCs w:val="26"/>
          <w:rtl/>
          <w:lang w:bidi="ar-JO"/>
          <w14:ligatures w14:val="none"/>
        </w:rPr>
        <w:tab/>
      </w:r>
      <w:r w:rsidRPr="00072E15">
        <w:rPr>
          <w:rFonts w:eastAsia="Times New Roman" w:cs="DecoType Naskh"/>
          <w:color w:val="auto"/>
          <w:kern w:val="0"/>
          <w:szCs w:val="26"/>
          <w:rtl/>
          <w:lang w:bidi="ar-JO"/>
          <w14:ligatures w14:val="none"/>
        </w:rPr>
        <w:t>عطايا تكريسية (لاويين 27)</w:t>
      </w:r>
    </w:p>
    <w:p w14:paraId="1A744FA7"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3)</w:t>
      </w:r>
      <w:r w:rsidRPr="00072E15">
        <w:rPr>
          <w:rFonts w:eastAsia="Times New Roman" w:cs="DecoType Naskh" w:hint="cs"/>
          <w:color w:val="auto"/>
          <w:kern w:val="0"/>
          <w:szCs w:val="26"/>
          <w:rtl/>
          <w:lang w:bidi="ar-JO"/>
          <w14:ligatures w14:val="none"/>
        </w:rPr>
        <w:tab/>
      </w:r>
      <w:r w:rsidRPr="00072E15">
        <w:rPr>
          <w:rFonts w:eastAsia="Times New Roman" w:cs="DecoType Naskh"/>
          <w:color w:val="auto"/>
          <w:kern w:val="0"/>
          <w:szCs w:val="26"/>
          <w:rtl/>
          <w:lang w:bidi="ar-JO"/>
          <w14:ligatures w14:val="none"/>
        </w:rPr>
        <w:t>تعبير عن العرفان – ويتضمن هذا تقدمات طوعية يقدّمها أي عابد في أي وقت يحس بأنه مدفوع إلى ذلك، أو تقدمات شكر على بركة تلقّاها.</w:t>
      </w:r>
    </w:p>
    <w:p w14:paraId="7B20729C"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4)</w:t>
      </w:r>
      <w:r w:rsidRPr="00072E15">
        <w:rPr>
          <w:rFonts w:eastAsia="Times New Roman" w:cs="DecoType Naskh" w:hint="cs"/>
          <w:color w:val="auto"/>
          <w:kern w:val="0"/>
          <w:szCs w:val="26"/>
          <w:rtl/>
          <w:lang w:bidi="ar-JO"/>
          <w14:ligatures w14:val="none"/>
        </w:rPr>
        <w:tab/>
      </w:r>
      <w:r w:rsidRPr="00072E15">
        <w:rPr>
          <w:rFonts w:eastAsia="Times New Roman" w:cs="DecoType Naskh"/>
          <w:color w:val="auto"/>
          <w:kern w:val="0"/>
          <w:szCs w:val="26"/>
          <w:rtl/>
          <w:lang w:bidi="ar-JO"/>
          <w14:ligatures w14:val="none"/>
        </w:rPr>
        <w:t>توسُّل –</w:t>
      </w:r>
      <w:r w:rsidRPr="00072E15">
        <w:rPr>
          <w:rFonts w:eastAsia="Times New Roman" w:cs="DecoType Naskh" w:hint="cs"/>
          <w:color w:val="auto"/>
          <w:kern w:val="0"/>
          <w:szCs w:val="26"/>
          <w:rtl/>
          <w14:ligatures w14:val="none"/>
        </w:rPr>
        <w:t xml:space="preserve"> </w:t>
      </w:r>
      <w:r w:rsidRPr="00072E15">
        <w:rPr>
          <w:rFonts w:eastAsia="Times New Roman" w:cs="DecoType Naskh"/>
          <w:color w:val="auto"/>
          <w:kern w:val="0"/>
          <w:szCs w:val="26"/>
          <w:rtl/>
          <w:lang w:bidi="ar-JO"/>
          <w14:ligatures w14:val="none"/>
        </w:rPr>
        <w:t>للحصول على فضل أو معروف</w:t>
      </w:r>
      <w:r w:rsidRPr="00072E15">
        <w:rPr>
          <w:rFonts w:eastAsia="Times New Roman" w:cs="DecoType Naskh" w:hint="cs"/>
          <w:color w:val="auto"/>
          <w:kern w:val="0"/>
          <w:szCs w:val="26"/>
          <w:rtl/>
          <w:lang w:bidi="ar-JO"/>
          <w14:ligatures w14:val="none"/>
        </w:rPr>
        <w:t xml:space="preserve"> من الله</w:t>
      </w:r>
      <w:r w:rsidRPr="00072E15">
        <w:rPr>
          <w:rFonts w:eastAsia="Times New Roman" w:cs="DecoType Naskh"/>
          <w:color w:val="auto"/>
          <w:kern w:val="0"/>
          <w:szCs w:val="26"/>
          <w:rtl/>
          <w:lang w:bidi="ar-JO"/>
          <w14:ligatures w14:val="none"/>
        </w:rPr>
        <w:t xml:space="preserve"> أو لإرضاء الله.</w:t>
      </w:r>
    </w:p>
    <w:p w14:paraId="26D9CCAD"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ب.</w:t>
      </w:r>
      <w:r w:rsidRPr="00072E15">
        <w:rPr>
          <w:rFonts w:eastAsia="Times New Roman" w:cs="DecoType Naskh"/>
          <w:color w:val="auto"/>
          <w:kern w:val="0"/>
          <w:szCs w:val="26"/>
          <w:rtl/>
          <w:lang w:bidi="ar-JO"/>
          <w14:ligatures w14:val="none"/>
        </w:rPr>
        <w:tab/>
        <w:t>ذبائح الشركة</w:t>
      </w:r>
    </w:p>
    <w:p w14:paraId="0C8DC205"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يمكن تقديم ذبيحة السلامة للتعبير</w:t>
      </w:r>
      <w:r w:rsidRPr="00072E15">
        <w:rPr>
          <w:rFonts w:eastAsia="Times New Roman" w:cs="DecoType Naskh" w:hint="cs"/>
          <w:color w:val="auto"/>
          <w:kern w:val="0"/>
          <w:szCs w:val="26"/>
          <w:rtl/>
          <w:lang w:bidi="ar-JO"/>
          <w14:ligatures w14:val="none"/>
        </w:rPr>
        <w:t xml:space="preserve"> عن</w:t>
      </w:r>
      <w:r w:rsidRPr="00072E15">
        <w:rPr>
          <w:rFonts w:eastAsia="Times New Roman" w:cs="DecoType Naskh"/>
          <w:color w:val="auto"/>
          <w:kern w:val="0"/>
          <w:szCs w:val="26"/>
          <w:rtl/>
          <w:lang w:bidi="ar-JO"/>
          <w14:ligatures w14:val="none"/>
        </w:rPr>
        <w:t xml:space="preserve"> أن العلاقة مع الله جيدة</w:t>
      </w:r>
      <w:r w:rsidRPr="00072E15">
        <w:rPr>
          <w:rFonts w:eastAsia="Times New Roman" w:cs="DecoType Naskh" w:hint="cs"/>
          <w:color w:val="auto"/>
          <w:kern w:val="0"/>
          <w:szCs w:val="26"/>
          <w:rtl/>
          <w:lang w:bidi="ar-JO"/>
          <w14:ligatures w14:val="none"/>
        </w:rPr>
        <w:t xml:space="preserve"> وسليمة</w:t>
      </w:r>
      <w:r w:rsidRPr="00072E15">
        <w:rPr>
          <w:rFonts w:eastAsia="Times New Roman" w:cs="DecoType Naskh"/>
          <w:color w:val="auto"/>
          <w:kern w:val="0"/>
          <w:szCs w:val="26"/>
          <w:rtl/>
          <w:lang w:bidi="ar-JO"/>
          <w14:ligatures w14:val="none"/>
        </w:rPr>
        <w:t>.</w:t>
      </w:r>
    </w:p>
    <w:p w14:paraId="355903FF"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14:ligatures w14:val="none"/>
        </w:rPr>
      </w:pPr>
      <w:r w:rsidRPr="00072E15">
        <w:rPr>
          <w:rFonts w:eastAsia="Times New Roman" w:cs="DecoType Naskh"/>
          <w:color w:val="auto"/>
          <w:kern w:val="0"/>
          <w:szCs w:val="26"/>
          <w:rtl/>
          <w:lang w:bidi="ar-JO"/>
          <w14:ligatures w14:val="none"/>
        </w:rPr>
        <w:t>2.</w:t>
      </w:r>
      <w:r w:rsidRPr="00072E15">
        <w:rPr>
          <w:rFonts w:eastAsia="Times New Roman" w:cs="DecoType Naskh"/>
          <w:color w:val="auto"/>
          <w:kern w:val="0"/>
          <w:szCs w:val="26"/>
          <w:rtl/>
          <w:lang w:bidi="ar-JO"/>
          <w14:ligatures w14:val="none"/>
        </w:rPr>
        <w:tab/>
        <w:t>تقدمات ليست رائحة سرور –</w:t>
      </w:r>
      <w:r w:rsidRPr="00072E15">
        <w:rPr>
          <w:rFonts w:eastAsia="Times New Roman" w:cs="DecoType Naskh" w:hint="cs"/>
          <w:color w:val="auto"/>
          <w:kern w:val="0"/>
          <w:szCs w:val="26"/>
          <w:rtl/>
          <w14:ligatures w14:val="none"/>
        </w:rPr>
        <w:t xml:space="preserve"> </w:t>
      </w:r>
      <w:r w:rsidRPr="00072E15">
        <w:rPr>
          <w:rFonts w:eastAsia="Times New Roman" w:cs="DecoType Naskh" w:hint="cs"/>
          <w:color w:val="auto"/>
          <w:kern w:val="0"/>
          <w:szCs w:val="26"/>
          <w:rtl/>
          <w:lang w:bidi="ar-JO"/>
          <w14:ligatures w14:val="none"/>
        </w:rPr>
        <w:t>كانت</w:t>
      </w:r>
      <w:r w:rsidRPr="00072E15">
        <w:rPr>
          <w:rFonts w:eastAsia="Times New Roman" w:cs="DecoType Naskh"/>
          <w:color w:val="auto"/>
          <w:kern w:val="0"/>
          <w:szCs w:val="26"/>
          <w:rtl/>
          <w:lang w:bidi="ar-JO"/>
          <w14:ligatures w14:val="none"/>
        </w:rPr>
        <w:t xml:space="preserve"> هذه الذبائح </w:t>
      </w:r>
      <w:r w:rsidRPr="00072E15">
        <w:rPr>
          <w:rFonts w:eastAsia="Times New Roman" w:cs="DecoType Naskh" w:hint="cs"/>
          <w:color w:val="auto"/>
          <w:kern w:val="0"/>
          <w:szCs w:val="26"/>
          <w:rtl/>
          <w:lang w:bidi="ar-JO"/>
          <w14:ligatures w14:val="none"/>
        </w:rPr>
        <w:t xml:space="preserve">تُقدَّم </w:t>
      </w:r>
      <w:r w:rsidRPr="00072E15">
        <w:rPr>
          <w:rFonts w:eastAsia="Times New Roman" w:cs="DecoType Naskh"/>
          <w:color w:val="auto"/>
          <w:kern w:val="0"/>
          <w:szCs w:val="26"/>
          <w:rtl/>
          <w:lang w:bidi="ar-JO"/>
          <w14:ligatures w14:val="none"/>
        </w:rPr>
        <w:t xml:space="preserve">من أجل الحصول على شركة مع الله.  وكانت هذه الذبائح نوعين أساسيين: تقدمة الخطية وتقدمة الإثم.  </w:t>
      </w:r>
      <w:r w:rsidRPr="00072E15">
        <w:rPr>
          <w:rFonts w:eastAsia="Times New Roman" w:cs="DecoType Naskh" w:hint="cs"/>
          <w:color w:val="auto"/>
          <w:kern w:val="0"/>
          <w:szCs w:val="26"/>
          <w:rtl/>
          <w:lang w:bidi="ar-JO"/>
          <w14:ligatures w14:val="none"/>
        </w:rPr>
        <w:t xml:space="preserve">وكانت هذه </w:t>
      </w:r>
      <w:r w:rsidRPr="00072E15">
        <w:rPr>
          <w:rFonts w:eastAsia="Times New Roman" w:cs="DecoType Naskh"/>
          <w:color w:val="auto"/>
          <w:kern w:val="0"/>
          <w:szCs w:val="26"/>
          <w:rtl/>
          <w:lang w:bidi="ar-JO"/>
          <w14:ligatures w14:val="none"/>
        </w:rPr>
        <w:t xml:space="preserve">هي ذبائح للتكفير عن الخطايا المرتكبة </w:t>
      </w:r>
      <w:r w:rsidRPr="00072E15">
        <w:rPr>
          <w:rFonts w:eastAsia="Times New Roman" w:cs="DecoType Naskh"/>
          <w:color w:val="auto"/>
          <w:kern w:val="0"/>
          <w:szCs w:val="26"/>
          <w:rtl/>
          <w:lang w:bidi="ar-JO"/>
          <w14:ligatures w14:val="none"/>
        </w:rPr>
        <w:lastRenderedPageBreak/>
        <w:t>ضد الله أو الإنسان والتي أدّت إلى إحساس بالذنب وتوقّع عقاب.  وقد قُدّمت هذه الذبائح من أجل التكفير وتهدئة غضب الله، وحصول المعترف بالذنب على الغفران.</w:t>
      </w:r>
      <w:r w:rsidRPr="00072E15">
        <w:rPr>
          <w:rFonts w:eastAsia="Times New Roman" w:cs="DecoType Naskh"/>
          <w:color w:val="auto"/>
          <w:kern w:val="0"/>
          <w:sz w:val="28"/>
          <w:szCs w:val="28"/>
          <w:vertAlign w:val="superscript"/>
          <w:rtl/>
          <w:lang w:bidi="ar-JO"/>
          <w14:ligatures w14:val="none"/>
        </w:rPr>
        <w:footnoteReference w:id="84"/>
      </w:r>
    </w:p>
    <w:p w14:paraId="32FB20BC"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أ.</w:t>
      </w:r>
      <w:r w:rsidRPr="00072E15">
        <w:rPr>
          <w:rFonts w:eastAsia="Times New Roman" w:cs="DecoType Naskh"/>
          <w:color w:val="auto"/>
          <w:kern w:val="0"/>
          <w:szCs w:val="26"/>
          <w:rtl/>
          <w:lang w:bidi="ar-JO"/>
          <w14:ligatures w14:val="none"/>
        </w:rPr>
        <w:tab/>
      </w:r>
      <w:r w:rsidRPr="00072E15">
        <w:rPr>
          <w:rFonts w:eastAsia="Times New Roman" w:cs="DecoType Naskh" w:hint="cs"/>
          <w:color w:val="auto"/>
          <w:kern w:val="0"/>
          <w:szCs w:val="26"/>
          <w:rtl/>
          <w:lang w:bidi="ar-JO"/>
          <w14:ligatures w14:val="none"/>
        </w:rPr>
        <w:t>ذبيحة</w:t>
      </w:r>
      <w:r w:rsidRPr="00072E15">
        <w:rPr>
          <w:rFonts w:eastAsia="Times New Roman" w:cs="DecoType Naskh"/>
          <w:color w:val="auto"/>
          <w:kern w:val="0"/>
          <w:szCs w:val="26"/>
          <w:rtl/>
          <w:lang w:bidi="ar-JO"/>
          <w14:ligatures w14:val="none"/>
        </w:rPr>
        <w:t xml:space="preserve"> الخطيّة</w:t>
      </w:r>
      <w:r w:rsidRPr="00072E15">
        <w:rPr>
          <w:rFonts w:eastAsia="Times New Roman" w:cs="DecoType Naskh" w:hint="cs"/>
          <w:color w:val="auto"/>
          <w:kern w:val="0"/>
          <w:szCs w:val="26"/>
          <w:rtl/>
          <w14:ligatures w14:val="none"/>
        </w:rPr>
        <w:t xml:space="preserve"> </w:t>
      </w:r>
      <w:r w:rsidRPr="00072E15">
        <w:rPr>
          <w:rFonts w:eastAsia="Times New Roman" w:cs="DecoType Naskh"/>
          <w:color w:val="auto"/>
          <w:kern w:val="0"/>
          <w:szCs w:val="26"/>
          <w:rtl/>
          <w:lang w:bidi="ar-JO"/>
          <w14:ligatures w14:val="none"/>
        </w:rPr>
        <w:t>- من أجل خطيّة كُشفت ولم تكن متعمَّدة.</w:t>
      </w:r>
    </w:p>
    <w:p w14:paraId="672390A1"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ب.</w:t>
      </w:r>
      <w:r w:rsidRPr="00072E15">
        <w:rPr>
          <w:rFonts w:eastAsia="Times New Roman" w:cs="DecoType Naskh"/>
          <w:color w:val="auto"/>
          <w:kern w:val="0"/>
          <w:szCs w:val="26"/>
          <w:rtl/>
          <w:lang w:bidi="ar-JO"/>
          <w14:ligatures w14:val="none"/>
        </w:rPr>
        <w:tab/>
      </w:r>
      <w:r w:rsidRPr="00072E15">
        <w:rPr>
          <w:rFonts w:eastAsia="Times New Roman" w:cs="DecoType Naskh" w:hint="cs"/>
          <w:color w:val="auto"/>
          <w:kern w:val="0"/>
          <w:szCs w:val="26"/>
          <w:rtl/>
          <w:lang w:bidi="ar-JO"/>
          <w14:ligatures w14:val="none"/>
        </w:rPr>
        <w:t>ذبيحة</w:t>
      </w:r>
      <w:r w:rsidRPr="00072E15">
        <w:rPr>
          <w:rFonts w:eastAsia="Times New Roman" w:cs="DecoType Naskh"/>
          <w:color w:val="auto"/>
          <w:kern w:val="0"/>
          <w:szCs w:val="26"/>
          <w:rtl/>
          <w:lang w:bidi="ar-JO"/>
          <w14:ligatures w14:val="none"/>
        </w:rPr>
        <w:t xml:space="preserve"> الإثم</w:t>
      </w:r>
      <w:r w:rsidRPr="00072E15">
        <w:rPr>
          <w:rFonts w:eastAsia="Times New Roman" w:cs="DecoType Naskh" w:hint="cs"/>
          <w:color w:val="auto"/>
          <w:kern w:val="0"/>
          <w:szCs w:val="26"/>
          <w:rtl/>
          <w14:ligatures w14:val="none"/>
        </w:rPr>
        <w:t xml:space="preserve"> </w:t>
      </w:r>
      <w:r w:rsidRPr="00072E15">
        <w:rPr>
          <w:rFonts w:eastAsia="Times New Roman" w:cs="DecoType Naskh"/>
          <w:color w:val="auto"/>
          <w:kern w:val="0"/>
          <w:szCs w:val="26"/>
          <w:rtl/>
          <w:lang w:bidi="ar-JO"/>
          <w14:ligatures w14:val="none"/>
        </w:rPr>
        <w:t>- من أجل ذنب أو تعدٍّ ي</w:t>
      </w:r>
      <w:r w:rsidRPr="00072E15">
        <w:rPr>
          <w:rFonts w:eastAsia="Times New Roman" w:cs="DecoType Naskh" w:hint="cs"/>
          <w:color w:val="auto"/>
          <w:kern w:val="0"/>
          <w:szCs w:val="26"/>
          <w:rtl/>
          <w:lang w:bidi="ar-JO"/>
          <w14:ligatures w14:val="none"/>
        </w:rPr>
        <w:t>ُ</w:t>
      </w:r>
      <w:r w:rsidRPr="00072E15">
        <w:rPr>
          <w:rFonts w:eastAsia="Times New Roman" w:cs="DecoType Naskh"/>
          <w:color w:val="auto"/>
          <w:kern w:val="0"/>
          <w:szCs w:val="26"/>
          <w:rtl/>
          <w:lang w:bidi="ar-JO"/>
          <w14:ligatures w14:val="none"/>
        </w:rPr>
        <w:t>شت</w:t>
      </w:r>
      <w:r w:rsidRPr="00072E15">
        <w:rPr>
          <w:rFonts w:eastAsia="Times New Roman" w:cs="DecoType Naskh" w:hint="cs"/>
          <w:color w:val="auto"/>
          <w:kern w:val="0"/>
          <w:szCs w:val="26"/>
          <w:rtl/>
          <w:lang w:bidi="ar-JO"/>
          <w14:ligatures w14:val="none"/>
        </w:rPr>
        <w:t>َ</w:t>
      </w:r>
      <w:r w:rsidRPr="00072E15">
        <w:rPr>
          <w:rFonts w:eastAsia="Times New Roman" w:cs="DecoType Naskh"/>
          <w:color w:val="auto"/>
          <w:kern w:val="0"/>
          <w:szCs w:val="26"/>
          <w:rtl/>
          <w:lang w:bidi="ar-JO"/>
          <w14:ligatures w14:val="none"/>
        </w:rPr>
        <w:t>رط فيه التعو</w:t>
      </w:r>
      <w:r w:rsidRPr="00072E15">
        <w:rPr>
          <w:rFonts w:eastAsia="Times New Roman" w:cs="DecoType Naskh" w:hint="cs"/>
          <w:color w:val="auto"/>
          <w:kern w:val="0"/>
          <w:szCs w:val="26"/>
          <w:rtl/>
          <w14:ligatures w14:val="none"/>
        </w:rPr>
        <w:t>ي</w:t>
      </w:r>
      <w:r w:rsidRPr="00072E15">
        <w:rPr>
          <w:rFonts w:eastAsia="Times New Roman" w:cs="DecoType Naskh"/>
          <w:color w:val="auto"/>
          <w:kern w:val="0"/>
          <w:szCs w:val="26"/>
          <w:rtl/>
          <w:lang w:bidi="ar-JO"/>
          <w14:ligatures w14:val="none"/>
        </w:rPr>
        <w:t>ض.</w:t>
      </w:r>
    </w:p>
    <w:p w14:paraId="5A706380"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24A61EBC"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13F5E818"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5BD5935E" w14:textId="77777777" w:rsidR="00072E15" w:rsidRPr="00072E15" w:rsidRDefault="00072E15"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2E15">
        <w:rPr>
          <w:rFonts w:eastAsia="Times New Roman" w:cs="DecoType Naskh"/>
          <w:bCs/>
          <w:color w:val="auto"/>
          <w:kern w:val="0"/>
          <w:szCs w:val="26"/>
          <w:rtl/>
          <w14:ligatures w14:val="none"/>
        </w:rPr>
        <w:t>أ.</w:t>
      </w:r>
      <w:r w:rsidRPr="00072E15">
        <w:rPr>
          <w:rFonts w:eastAsia="Times New Roman" w:cs="DecoType Naskh"/>
          <w:bCs/>
          <w:color w:val="auto"/>
          <w:kern w:val="0"/>
          <w:szCs w:val="26"/>
          <w:rtl/>
          <w14:ligatures w14:val="none"/>
        </w:rPr>
        <w:tab/>
      </w:r>
      <w:r w:rsidRPr="00072E15">
        <w:rPr>
          <w:rFonts w:eastAsia="Times New Roman" w:cs="DecoType Naskh" w:hint="cs"/>
          <w:bCs/>
          <w:color w:val="auto"/>
          <w:kern w:val="0"/>
          <w:szCs w:val="26"/>
          <w:rtl/>
          <w14:ligatures w14:val="none"/>
        </w:rPr>
        <w:t>ذبيحة</w:t>
      </w:r>
      <w:r w:rsidRPr="00072E15">
        <w:rPr>
          <w:rFonts w:eastAsia="Times New Roman" w:cs="DecoType Naskh"/>
          <w:bCs/>
          <w:color w:val="auto"/>
          <w:kern w:val="0"/>
          <w:szCs w:val="26"/>
          <w:rtl/>
          <w14:ligatures w14:val="none"/>
        </w:rPr>
        <w:t xml:space="preserve"> المحرقة  (لاويين 1: 1-17)</w:t>
      </w:r>
    </w:p>
    <w:p w14:paraId="2B837543"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 xml:space="preserve">كانت ذبيحة المحرقة أهم ذبائح الهيكل، حيث لجأ إليها في عِدّة مناسبات الأفراد والأمة ككل.  لكنها كانت في جميع الأحول عملاً عبادياً جهارياً... تقدمة عبادة لمن يتمتع بشركة مع الرب.  وإن الجانب الهام لهذه الذبيحة هو أنها كانت تُستهلك بشكل كامل على المذبح، لتدلّ بذلك على تسليم كامل لله (من خلال البديل)، وعلى قبول كامل من الرب أيضاً.  كانت التقدمة تحرق كاملةً، دالّة بذلك على </w:t>
      </w:r>
      <w:r w:rsidRPr="00072E15">
        <w:rPr>
          <w:rFonts w:eastAsia="Times New Roman" w:cs="DecoType Naskh" w:hint="cs"/>
          <w:color w:val="auto"/>
          <w:kern w:val="0"/>
          <w:szCs w:val="26"/>
          <w:rtl/>
          <w:lang w:bidi="ar-JO"/>
          <w14:ligatures w14:val="none"/>
        </w:rPr>
        <w:t>الانتهاء التام</w:t>
      </w:r>
      <w:r w:rsidRPr="00072E15">
        <w:rPr>
          <w:rFonts w:eastAsia="Times New Roman" w:cs="DecoType Naskh"/>
          <w:color w:val="auto"/>
          <w:kern w:val="0"/>
          <w:szCs w:val="26"/>
          <w:rtl/>
          <w:lang w:bidi="ar-JO"/>
          <w14:ligatures w14:val="none"/>
        </w:rPr>
        <w:t xml:space="preserve"> لغضب الله (كما هو الحال في موت المسيح).  وعلى الرغم من أن الذبيحة لم تقدَّم من أجل "الحصول على القبول"، إلاّ أنها كانت شهادة جهارية لعابد مؤمن من بني إسرائيل أنه لا يمكن لأحد أن يقترب من الله في أي وقت دون كفّارة بديلية تجعله مقبولاً لدى الله.  وهكذا كانت الذبيحة شهادة جهارية على حقيقة إمكانية الوصول إلى الله.  ويدل استخدام عدة تصنيفات أو فئات من الحيوانات أنه لم يكن هنالك من يُحظر قبول الله له أو يُحرم من العبادة على أساس دخله أو قدرته على العطاء.  وتعلّمنا هذه الذبيحة أن العبراني الوفي (والمؤمن بالمسيح اليوم!) يجب أن يشهد دائماً على أن قبول الله له كان مبنياً على الكفّارة البديلة.</w:t>
      </w:r>
    </w:p>
    <w:p w14:paraId="6D364555"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60EBE58" w14:textId="77777777" w:rsidR="00072E15" w:rsidRPr="00072E15" w:rsidRDefault="00072E15"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2E15">
        <w:rPr>
          <w:rFonts w:eastAsia="Times New Roman" w:cs="DecoType Naskh"/>
          <w:bCs/>
          <w:color w:val="auto"/>
          <w:kern w:val="0"/>
          <w:szCs w:val="26"/>
          <w:rtl/>
          <w14:ligatures w14:val="none"/>
        </w:rPr>
        <w:t>ب.</w:t>
      </w:r>
      <w:r w:rsidRPr="00072E15">
        <w:rPr>
          <w:rFonts w:eastAsia="Times New Roman" w:cs="DecoType Naskh"/>
          <w:bCs/>
          <w:color w:val="auto"/>
          <w:kern w:val="0"/>
          <w:szCs w:val="26"/>
          <w:rtl/>
          <w14:ligatures w14:val="none"/>
        </w:rPr>
        <w:tab/>
        <w:t>تقدمة الدقيق (لاويين 2: 1-16)</w:t>
      </w:r>
    </w:p>
    <w:p w14:paraId="0EA9288A"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 xml:space="preserve">كانت تقدمة الدقيق نتيجة منطقية لتقدمة المحرقة.  ففي حين حملت </w:t>
      </w:r>
      <w:r w:rsidRPr="00072E15">
        <w:rPr>
          <w:rFonts w:eastAsia="Times New Roman" w:cs="DecoType Naskh" w:hint="cs"/>
          <w:color w:val="auto"/>
          <w:kern w:val="0"/>
          <w:szCs w:val="26"/>
          <w:rtl/>
          <w:lang w:bidi="ar-JO"/>
          <w14:ligatures w14:val="none"/>
        </w:rPr>
        <w:t>ذبيحة المُحرَقة</w:t>
      </w:r>
      <w:r w:rsidRPr="00072E15">
        <w:rPr>
          <w:rFonts w:eastAsia="Times New Roman" w:cs="DecoType Naskh"/>
          <w:color w:val="auto"/>
          <w:kern w:val="0"/>
          <w:szCs w:val="26"/>
          <w:rtl/>
          <w:lang w:bidi="ar-JO"/>
          <w14:ligatures w14:val="none"/>
        </w:rPr>
        <w:t xml:space="preserve"> شهادة على قبول الله للمؤمن بناء على الكفّارة البديلية، كانت تقدمة الدقيق اعترافاً بأن العابد وما يملُك مُلْك لله.  وغالباً ما كانت تقدمة الدقيق تصحب المحرقة.  فكأن حال لسان العابد العبراني هو</w:t>
      </w:r>
      <w:r w:rsidRPr="00072E15">
        <w:rPr>
          <w:rFonts w:eastAsia="Times New Roman" w:cs="DecoType Naskh" w:hint="cs"/>
          <w:color w:val="auto"/>
          <w:kern w:val="0"/>
          <w:szCs w:val="26"/>
          <w:rtl/>
          <w:lang w:bidi="ar-JO"/>
          <w14:ligatures w14:val="none"/>
        </w:rPr>
        <w:t>:</w:t>
      </w:r>
      <w:r w:rsidRPr="00072E15">
        <w:rPr>
          <w:rFonts w:eastAsia="Times New Roman" w:cs="DecoType Naskh"/>
          <w:color w:val="auto"/>
          <w:kern w:val="0"/>
          <w:szCs w:val="26"/>
          <w:rtl/>
          <w:lang w:bidi="ar-JO"/>
          <w14:ligatures w14:val="none"/>
        </w:rPr>
        <w:t xml:space="preserve"> "إن كان الله من الكرم بحيث يوفّر بديلاً لكفّارتي، فإني أريد أن أعترف بأني وكل ما أملك مُلْك له."  وهكذا كانت تقدمة الدقيق تكريساً.  ويقدّم المعطي للكاهن أفضل نصيب ("قربان أوائل") من طعامه الذي يمثّل ما أنعم به الله عليه.  ويأخذ الكاهن حفنة منه ويحرقه على المذبح.  أمّا الباقي فيأكله الكهنة.  أمّا بالنسبة للعبراني العابد، فلم يتبقَّ له شيء... وهو اعتراف بأنه أعطاه كلّه لله.  ويمكن للمؤمن اليوم أن يتعلّم من هذه التقدمة.  فعلى المؤمن بالمسيح أن يقدّم نفسه ذبيحة حيّة لله استجابة لمراحم الله</w:t>
      </w:r>
      <w:r w:rsidRPr="00072E15">
        <w:rPr>
          <w:rFonts w:eastAsia="Times New Roman" w:cs="DecoType Naskh" w:hint="cs"/>
          <w:color w:val="auto"/>
          <w:kern w:val="0"/>
          <w:szCs w:val="26"/>
          <w:rtl/>
          <w:lang w:bidi="ar-JO"/>
          <w14:ligatures w14:val="none"/>
        </w:rPr>
        <w:t xml:space="preserve"> ورأفته</w:t>
      </w:r>
      <w:r w:rsidRPr="00072E15">
        <w:rPr>
          <w:rFonts w:eastAsia="Times New Roman" w:cs="DecoType Naskh"/>
          <w:color w:val="auto"/>
          <w:kern w:val="0"/>
          <w:szCs w:val="26"/>
          <w:rtl/>
          <w:lang w:bidi="ar-JO"/>
          <w14:ligatures w14:val="none"/>
        </w:rPr>
        <w:t xml:space="preserve"> (رومية 12: 1-2).  ففي اللحظة التي تُغفر خطايانا، نصير بكل ما نملك مُلكاً للمسيح!</w:t>
      </w:r>
    </w:p>
    <w:p w14:paraId="0A84DF32"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26734952" w14:textId="77777777" w:rsidR="00072E15" w:rsidRPr="00072E15" w:rsidRDefault="00072E15"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2E15">
        <w:rPr>
          <w:rFonts w:eastAsia="Times New Roman" w:cs="DecoType Naskh"/>
          <w:bCs/>
          <w:color w:val="auto"/>
          <w:kern w:val="0"/>
          <w:szCs w:val="26"/>
          <w:rtl/>
          <w14:ligatures w14:val="none"/>
        </w:rPr>
        <w:t>جـ.</w:t>
      </w:r>
      <w:r w:rsidRPr="00072E15">
        <w:rPr>
          <w:rFonts w:eastAsia="Times New Roman" w:cs="DecoType Naskh"/>
          <w:bCs/>
          <w:color w:val="auto"/>
          <w:kern w:val="0"/>
          <w:szCs w:val="26"/>
          <w:rtl/>
          <w14:ligatures w14:val="none"/>
        </w:rPr>
        <w:tab/>
        <w:t>تقدمة السلامة (لاويين 3: 1-17)</w:t>
      </w:r>
    </w:p>
    <w:p w14:paraId="2FD0A58F"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كانت تقدمة السلامة مناسبة فرحة جداً يحتفل فيها مقدّم التقدمة (م</w:t>
      </w:r>
      <w:r w:rsidRPr="00072E15">
        <w:rPr>
          <w:rFonts w:eastAsia="Times New Roman" w:cs="DecoType Naskh" w:hint="cs"/>
          <w:color w:val="auto"/>
          <w:kern w:val="0"/>
          <w:szCs w:val="26"/>
          <w:rtl/>
          <w14:ligatures w14:val="none"/>
        </w:rPr>
        <w:t>ن</w:t>
      </w:r>
      <w:r w:rsidRPr="00072E15">
        <w:rPr>
          <w:rFonts w:eastAsia="Times New Roman" w:cs="DecoType Naskh"/>
          <w:color w:val="auto"/>
          <w:kern w:val="0"/>
          <w:szCs w:val="26"/>
          <w:rtl/>
          <w:lang w:bidi="ar-JO"/>
          <w14:ligatures w14:val="none"/>
        </w:rPr>
        <w:t xml:space="preserve"> </w:t>
      </w:r>
      <w:r w:rsidRPr="00072E15">
        <w:rPr>
          <w:rFonts w:eastAsia="Times New Roman" w:cs="DecoType Naskh" w:hint="cs"/>
          <w:color w:val="auto"/>
          <w:kern w:val="0"/>
          <w:szCs w:val="26"/>
          <w:rtl/>
          <w:lang w:bidi="ar-JO"/>
          <w14:ligatures w14:val="none"/>
        </w:rPr>
        <w:t xml:space="preserve">خلال </w:t>
      </w:r>
      <w:r w:rsidRPr="00072E15">
        <w:rPr>
          <w:rFonts w:eastAsia="Times New Roman" w:cs="DecoType Naskh"/>
          <w:color w:val="auto"/>
          <w:kern w:val="0"/>
          <w:szCs w:val="26"/>
          <w:rtl/>
          <w:lang w:bidi="ar-JO"/>
          <w14:ligatures w14:val="none"/>
        </w:rPr>
        <w:t>وجبة مشتركة) مع أصدقائه والرعية بأنه في سلام مع الله، وأن أموره معه تسير سيراً حسناً</w:t>
      </w:r>
      <w:r w:rsidRPr="00072E15">
        <w:rPr>
          <w:rFonts w:eastAsia="Times New Roman" w:cs="DecoType Naskh" w:hint="cs"/>
          <w:color w:val="auto"/>
          <w:kern w:val="0"/>
          <w:szCs w:val="26"/>
          <w:rtl/>
          <w:lang w:bidi="ar-JO"/>
          <w14:ligatures w14:val="none"/>
        </w:rPr>
        <w:t>.  كانت تقدمة السلامة أحياناً إستجابة لبركة معينة من الله (انظر 7: 12-15)، أو ببساطة كتعبير عام عن الامتنان لله</w:t>
      </w:r>
      <w:r w:rsidRPr="00072E15">
        <w:rPr>
          <w:rFonts w:eastAsia="Times New Roman" w:cs="DecoType Naskh"/>
          <w:color w:val="auto"/>
          <w:kern w:val="0"/>
          <w:szCs w:val="26"/>
          <w:rtl/>
          <w:lang w:bidi="ar-JO"/>
          <w14:ligatures w14:val="none"/>
        </w:rPr>
        <w:t xml:space="preserve">. </w:t>
      </w:r>
      <w:r w:rsidRPr="00072E15">
        <w:rPr>
          <w:rFonts w:eastAsia="Times New Roman" w:cs="DecoType Naskh" w:hint="cs"/>
          <w:color w:val="auto"/>
          <w:kern w:val="0"/>
          <w:szCs w:val="26"/>
          <w:rtl/>
          <w:lang w:bidi="ar-JO"/>
          <w14:ligatures w14:val="none"/>
        </w:rPr>
        <w:t xml:space="preserve"> وكان يمكن تقديمها كاستجابة لق</w:t>
      </w:r>
      <w:r w:rsidRPr="00072E15">
        <w:rPr>
          <w:rFonts w:eastAsia="Times New Roman" w:cs="DecoType Naskh" w:hint="cs"/>
          <w:color w:val="auto"/>
          <w:kern w:val="0"/>
          <w:szCs w:val="26"/>
          <w:rtl/>
          <w14:ligatures w14:val="none"/>
        </w:rPr>
        <w:t>َ</w:t>
      </w:r>
      <w:r w:rsidRPr="00072E15">
        <w:rPr>
          <w:rFonts w:eastAsia="Times New Roman" w:cs="DecoType Naskh" w:hint="cs"/>
          <w:color w:val="auto"/>
          <w:kern w:val="0"/>
          <w:szCs w:val="26"/>
          <w:rtl/>
          <w:lang w:bidi="ar-JO"/>
          <w14:ligatures w14:val="none"/>
        </w:rPr>
        <w:t xml:space="preserve">سَمْ تبعه استجابة الله لتلك الصلاة التي رافقها القَسَمْ (أو الصراخ لأجل الخلاص)، كما في يونان 2: 9. </w:t>
      </w:r>
      <w:r w:rsidRPr="00072E15">
        <w:rPr>
          <w:rFonts w:eastAsia="Times New Roman" w:cs="DecoType Naskh"/>
          <w:color w:val="auto"/>
          <w:kern w:val="0"/>
          <w:szCs w:val="26"/>
          <w:rtl/>
          <w:lang w:bidi="ar-JO"/>
          <w14:ligatures w14:val="none"/>
        </w:rPr>
        <w:t xml:space="preserve"> وتتمثل فرادة هذه التقدمة في أنه كان يسمح لمقدّم الذبيحة وأصدقائه بأكل الذبيحة (ما عدا الشحم وأجزاء معينة يأخذها الكاهن).  فكانت من ناحية فعلية ذبيحة يقوم فيها الله بإعادة جزء من مزايا الذبيحة أو فوائدها للإنسان.  وفي ضوء هذا كانت </w:t>
      </w:r>
      <w:r w:rsidRPr="00072E15">
        <w:rPr>
          <w:rFonts w:eastAsia="Times New Roman" w:cs="DecoType Naskh"/>
          <w:color w:val="auto"/>
          <w:kern w:val="0"/>
          <w:szCs w:val="26"/>
          <w:rtl/>
          <w:lang w:bidi="ar-JO"/>
          <w14:ligatures w14:val="none"/>
        </w:rPr>
        <w:lastRenderedPageBreak/>
        <w:t>نتيجة طبيعية لتقد</w:t>
      </w:r>
      <w:r w:rsidRPr="00072E15">
        <w:rPr>
          <w:rFonts w:eastAsia="Times New Roman" w:cs="DecoType Naskh" w:hint="cs"/>
          <w:color w:val="auto"/>
          <w:kern w:val="0"/>
          <w:szCs w:val="26"/>
          <w:rtl/>
          <w14:ligatures w14:val="none"/>
        </w:rPr>
        <w:t>ِ</w:t>
      </w:r>
      <w:r w:rsidRPr="00072E15">
        <w:rPr>
          <w:rFonts w:eastAsia="Times New Roman" w:cs="DecoType Naskh"/>
          <w:color w:val="auto"/>
          <w:kern w:val="0"/>
          <w:szCs w:val="26"/>
          <w:rtl/>
          <w:lang w:bidi="ar-JO"/>
          <w14:ligatures w14:val="none"/>
        </w:rPr>
        <w:t>م</w:t>
      </w:r>
      <w:r w:rsidRPr="00072E15">
        <w:rPr>
          <w:rFonts w:eastAsia="Times New Roman" w:cs="DecoType Naskh" w:hint="cs"/>
          <w:color w:val="auto"/>
          <w:kern w:val="0"/>
          <w:szCs w:val="26"/>
          <w:rtl/>
          <w14:ligatures w14:val="none"/>
        </w:rPr>
        <w:t>َ</w:t>
      </w:r>
      <w:r w:rsidRPr="00072E15">
        <w:rPr>
          <w:rFonts w:eastAsia="Times New Roman" w:cs="DecoType Naskh"/>
          <w:color w:val="auto"/>
          <w:kern w:val="0"/>
          <w:szCs w:val="26"/>
          <w:rtl/>
          <w:lang w:bidi="ar-JO"/>
          <w14:ligatures w14:val="none"/>
        </w:rPr>
        <w:t>ت</w:t>
      </w:r>
      <w:r w:rsidRPr="00072E15">
        <w:rPr>
          <w:rFonts w:eastAsia="Times New Roman" w:cs="DecoType Naskh" w:hint="cs"/>
          <w:color w:val="auto"/>
          <w:kern w:val="0"/>
          <w:szCs w:val="26"/>
          <w:rtl/>
          <w14:ligatures w14:val="none"/>
        </w:rPr>
        <w:t>َ</w:t>
      </w:r>
      <w:r w:rsidRPr="00072E15">
        <w:rPr>
          <w:rFonts w:eastAsia="Times New Roman" w:cs="DecoType Naskh"/>
          <w:color w:val="auto"/>
          <w:kern w:val="0"/>
          <w:szCs w:val="26"/>
          <w:rtl/>
          <w:lang w:bidi="ar-JO"/>
          <w14:ligatures w14:val="none"/>
        </w:rPr>
        <w:t>ي</w:t>
      </w:r>
      <w:r w:rsidRPr="00072E15">
        <w:rPr>
          <w:rFonts w:eastAsia="Times New Roman" w:cs="DecoType Naskh" w:hint="cs"/>
          <w:color w:val="auto"/>
          <w:kern w:val="0"/>
          <w:szCs w:val="26"/>
          <w:rtl/>
          <w14:ligatures w14:val="none"/>
        </w:rPr>
        <w:t>ْ</w:t>
      </w:r>
      <w:r w:rsidRPr="00072E15">
        <w:rPr>
          <w:rFonts w:eastAsia="Times New Roman" w:cs="DecoType Naskh"/>
          <w:color w:val="auto"/>
          <w:kern w:val="0"/>
          <w:szCs w:val="26"/>
          <w:rtl/>
          <w:lang w:bidi="ar-JO"/>
          <w14:ligatures w14:val="none"/>
        </w:rPr>
        <w:t xml:space="preserve"> المحرقة والدقيق.  فعندما أُعطي كل شيء لله، أجد أنه يتجاوب في نعمته الفياضة فينعم عليّ بالبركات والخيرات.  فلا بدّ لمن افتداه الرب وسلّم حياته ل</w:t>
      </w:r>
      <w:r w:rsidRPr="00072E15">
        <w:rPr>
          <w:rFonts w:eastAsia="Times New Roman" w:cs="DecoType Naskh" w:hint="cs"/>
          <w:color w:val="auto"/>
          <w:kern w:val="0"/>
          <w:szCs w:val="26"/>
          <w:rtl/>
          <w14:ligatures w14:val="none"/>
        </w:rPr>
        <w:t>ه</w:t>
      </w:r>
      <w:r w:rsidRPr="00072E15">
        <w:rPr>
          <w:rFonts w:eastAsia="Times New Roman" w:cs="DecoType Naskh"/>
          <w:color w:val="auto"/>
          <w:kern w:val="0"/>
          <w:szCs w:val="26"/>
          <w:rtl/>
          <w:lang w:bidi="ar-JO"/>
          <w14:ligatures w14:val="none"/>
        </w:rPr>
        <w:t xml:space="preserve"> من أن ينشغل بشكل تلقائي بأعمال شكر وتسبيح وشركة مع القديسين.  يقول روس:</w:t>
      </w:r>
    </w:p>
    <w:p w14:paraId="726C1F76"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لا يعني الامتنان خزن كل البركات والفوائد لغايات استهلاكية أنانية.  فلا بد لكل من يدرك كل بركات الله في حياته أن يعطي بسخاء لله لكي يستفيد الآخرون.</w:t>
      </w:r>
      <w:r w:rsidRPr="00072E15">
        <w:rPr>
          <w:rFonts w:eastAsia="Times New Roman" w:cs="DecoType Naskh"/>
          <w:color w:val="auto"/>
          <w:kern w:val="0"/>
          <w:sz w:val="30"/>
          <w:szCs w:val="28"/>
          <w:vertAlign w:val="superscript"/>
          <w:rtl/>
          <w:lang w:bidi="ar-JO"/>
          <w14:ligatures w14:val="none"/>
        </w:rPr>
        <w:footnoteReference w:id="85"/>
      </w:r>
    </w:p>
    <w:p w14:paraId="38FFDAC4"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10"/>
          <w:szCs w:val="12"/>
          <w:rtl/>
          <w:lang w:bidi="ar-KW"/>
          <w14:ligatures w14:val="none"/>
        </w:rPr>
      </w:pPr>
    </w:p>
    <w:p w14:paraId="4A78766E" w14:textId="77777777" w:rsidR="00072E15" w:rsidRPr="00072E15" w:rsidRDefault="00072E15"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2E15">
        <w:rPr>
          <w:rFonts w:eastAsia="Times New Roman" w:cs="DecoType Naskh"/>
          <w:bCs/>
          <w:color w:val="auto"/>
          <w:kern w:val="0"/>
          <w:szCs w:val="26"/>
          <w:rtl/>
          <w14:ligatures w14:val="none"/>
        </w:rPr>
        <w:t>د.</w:t>
      </w:r>
      <w:r w:rsidRPr="00072E15">
        <w:rPr>
          <w:rFonts w:eastAsia="Times New Roman" w:cs="DecoType Naskh"/>
          <w:bCs/>
          <w:color w:val="auto"/>
          <w:kern w:val="0"/>
          <w:szCs w:val="26"/>
          <w:rtl/>
          <w14:ligatures w14:val="none"/>
        </w:rPr>
        <w:tab/>
      </w:r>
      <w:r w:rsidRPr="00072E15">
        <w:rPr>
          <w:rFonts w:eastAsia="Times New Roman" w:cs="DecoType Naskh" w:hint="cs"/>
          <w:bCs/>
          <w:color w:val="auto"/>
          <w:kern w:val="0"/>
          <w:szCs w:val="26"/>
          <w:rtl/>
          <w14:ligatures w14:val="none"/>
        </w:rPr>
        <w:t>ذبيحة</w:t>
      </w:r>
      <w:r w:rsidRPr="00072E15">
        <w:rPr>
          <w:rFonts w:eastAsia="Times New Roman" w:cs="DecoType Naskh"/>
          <w:bCs/>
          <w:color w:val="auto"/>
          <w:kern w:val="0"/>
          <w:szCs w:val="26"/>
          <w:rtl/>
          <w14:ligatures w14:val="none"/>
        </w:rPr>
        <w:t xml:space="preserve"> الخطية (لاويين 4: 1-5: 13)</w:t>
      </w:r>
    </w:p>
    <w:p w14:paraId="0A644304"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 xml:space="preserve">كانت </w:t>
      </w:r>
      <w:r w:rsidRPr="00072E15">
        <w:rPr>
          <w:rFonts w:eastAsia="Times New Roman" w:cs="DecoType Naskh" w:hint="cs"/>
          <w:color w:val="auto"/>
          <w:kern w:val="0"/>
          <w:szCs w:val="26"/>
          <w:rtl/>
          <w:lang w:bidi="ar-JO"/>
          <w14:ligatures w14:val="none"/>
        </w:rPr>
        <w:t>ذبيحة</w:t>
      </w:r>
      <w:r w:rsidRPr="00072E15">
        <w:rPr>
          <w:rFonts w:eastAsia="Times New Roman" w:cs="DecoType Naskh"/>
          <w:color w:val="auto"/>
          <w:kern w:val="0"/>
          <w:szCs w:val="26"/>
          <w:rtl/>
          <w:lang w:bidi="ar-JO"/>
          <w14:ligatures w14:val="none"/>
        </w:rPr>
        <w:t xml:space="preserve"> الخطية </w:t>
      </w:r>
      <w:r w:rsidRPr="00072E15">
        <w:rPr>
          <w:rFonts w:eastAsia="Times New Roman" w:cs="DecoType Naskh" w:hint="cs"/>
          <w:color w:val="auto"/>
          <w:kern w:val="0"/>
          <w:szCs w:val="26"/>
          <w:rtl/>
          <w:lang w:bidi="ar-JO"/>
          <w14:ligatures w14:val="none"/>
        </w:rPr>
        <w:t>ذبيحة الإثم (التعدي)</w:t>
      </w:r>
      <w:r w:rsidRPr="00072E15">
        <w:rPr>
          <w:rFonts w:eastAsia="Times New Roman" w:cs="DecoType Naskh"/>
          <w:color w:val="auto"/>
          <w:kern w:val="0"/>
          <w:szCs w:val="26"/>
          <w:rtl/>
          <w:lang w:bidi="ar-JO"/>
          <w14:ligatures w14:val="none"/>
        </w:rPr>
        <w:t xml:space="preserve"> مختلفتين عن التقدمات الثلاث الأولى.  فلم تكن تقدمتا الخطية </w:t>
      </w:r>
      <w:r w:rsidRPr="00072E15">
        <w:rPr>
          <w:rFonts w:eastAsia="Times New Roman" w:cs="DecoType Naskh" w:hint="cs"/>
          <w:color w:val="auto"/>
          <w:kern w:val="0"/>
          <w:szCs w:val="26"/>
          <w:rtl/>
          <w:lang w:bidi="ar-JO"/>
          <w14:ligatures w14:val="none"/>
        </w:rPr>
        <w:t>والإثم (التعدي)</w:t>
      </w:r>
      <w:r w:rsidRPr="00072E15">
        <w:rPr>
          <w:rFonts w:eastAsia="Times New Roman" w:cs="DecoType Naskh"/>
          <w:color w:val="auto"/>
          <w:kern w:val="0"/>
          <w:szCs w:val="26"/>
          <w:rtl/>
          <w:lang w:bidi="ar-JO"/>
          <w14:ligatures w14:val="none"/>
        </w:rPr>
        <w:t xml:space="preserve"> من تقدمات روائح السرور، وكانتا تقدّمان من أجل الحصول على شركة مع الله (ولم تكونا تقدَّمان في وقت كان مقدّموها يتمتعون بشركة مع الله).  </w:t>
      </w:r>
      <w:r w:rsidRPr="00072E15">
        <w:rPr>
          <w:rFonts w:eastAsia="Times New Roman" w:cs="DecoType Naskh" w:hint="cs"/>
          <w:color w:val="auto"/>
          <w:kern w:val="0"/>
          <w:szCs w:val="26"/>
          <w:rtl/>
          <w:lang w:bidi="ar-JO"/>
          <w14:ligatures w14:val="none"/>
        </w:rPr>
        <w:t>كانت</w:t>
      </w:r>
      <w:r w:rsidRPr="00072E15">
        <w:rPr>
          <w:rFonts w:eastAsia="Times New Roman" w:cs="DecoType Naskh"/>
          <w:color w:val="auto"/>
          <w:kern w:val="0"/>
          <w:szCs w:val="26"/>
          <w:rtl/>
          <w:lang w:bidi="ar-JO"/>
          <w14:ligatures w14:val="none"/>
        </w:rPr>
        <w:t xml:space="preserve"> هاتان التقدمتان </w:t>
      </w:r>
      <w:r w:rsidRPr="00072E15">
        <w:rPr>
          <w:rFonts w:eastAsia="Times New Roman" w:cs="DecoType Naskh" w:hint="cs"/>
          <w:color w:val="auto"/>
          <w:kern w:val="0"/>
          <w:szCs w:val="26"/>
          <w:rtl/>
          <w:lang w:bidi="ar-JO"/>
          <w14:ligatures w14:val="none"/>
        </w:rPr>
        <w:t xml:space="preserve">تهدفان </w:t>
      </w:r>
      <w:r w:rsidRPr="00072E15">
        <w:rPr>
          <w:rFonts w:eastAsia="Times New Roman" w:cs="DecoType Naskh"/>
          <w:color w:val="auto"/>
          <w:kern w:val="0"/>
          <w:szCs w:val="26"/>
          <w:rtl/>
          <w:lang w:bidi="ar-JO"/>
          <w14:ligatures w14:val="none"/>
        </w:rPr>
        <w:t xml:space="preserve">إلى الحصول على غفران الخطايا لكي يتمكن (الفرد أو الجماعة) من العبادة التقيّة في المقدس.  غير أن تقدمتي الخطية </w:t>
      </w:r>
      <w:r w:rsidRPr="00072E15">
        <w:rPr>
          <w:rFonts w:eastAsia="Times New Roman" w:cs="DecoType Naskh" w:hint="cs"/>
          <w:color w:val="auto"/>
          <w:kern w:val="0"/>
          <w:szCs w:val="26"/>
          <w:rtl/>
          <w:lang w:bidi="ar-JO"/>
          <w14:ligatures w14:val="none"/>
        </w:rPr>
        <w:t>والإثم (التعدي)</w:t>
      </w:r>
      <w:r w:rsidRPr="00072E15">
        <w:rPr>
          <w:rFonts w:eastAsia="Times New Roman" w:cs="DecoType Naskh"/>
          <w:color w:val="auto"/>
          <w:kern w:val="0"/>
          <w:szCs w:val="26"/>
          <w:rtl/>
          <w:lang w:bidi="ar-JO"/>
          <w14:ligatures w14:val="none"/>
        </w:rPr>
        <w:t xml:space="preserve"> لم </w:t>
      </w:r>
      <w:r w:rsidRPr="00072E15">
        <w:rPr>
          <w:rFonts w:eastAsia="Times New Roman" w:cs="DecoType Naskh" w:hint="cs"/>
          <w:color w:val="auto"/>
          <w:kern w:val="0"/>
          <w:szCs w:val="26"/>
          <w:rtl/>
          <w:lang w:bidi="ar-JO"/>
          <w14:ligatures w14:val="none"/>
        </w:rPr>
        <w:t>تكونا تكفِّران</w:t>
      </w:r>
      <w:r w:rsidRPr="00072E15">
        <w:rPr>
          <w:rFonts w:eastAsia="Times New Roman" w:cs="DecoType Naskh"/>
          <w:color w:val="auto"/>
          <w:kern w:val="0"/>
          <w:szCs w:val="26"/>
          <w:rtl/>
          <w:lang w:bidi="ar-JO"/>
          <w14:ligatures w14:val="none"/>
        </w:rPr>
        <w:t xml:space="preserve"> عن كل خطيّة.  إذ كانتا مقصورتين على أنواع معينة من الخطايا.</w:t>
      </w:r>
    </w:p>
    <w:p w14:paraId="436B96E4"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14"/>
          <w:szCs w:val="16"/>
          <w:rtl/>
          <w:lang w:bidi="ar-JO"/>
          <w14:ligatures w14:val="none"/>
        </w:rPr>
      </w:pPr>
    </w:p>
    <w:p w14:paraId="118889A3"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1.</w:t>
      </w:r>
      <w:r w:rsidRPr="00072E15">
        <w:rPr>
          <w:rFonts w:eastAsia="Times New Roman" w:cs="DecoType Naskh"/>
          <w:color w:val="auto"/>
          <w:kern w:val="0"/>
          <w:szCs w:val="26"/>
          <w:rtl/>
          <w:lang w:bidi="ar-JO"/>
          <w14:ligatures w14:val="none"/>
        </w:rPr>
        <w:tab/>
        <w:t xml:space="preserve">أنواع الخطايا </w:t>
      </w:r>
      <w:r w:rsidRPr="00072E15">
        <w:rPr>
          <w:rFonts w:eastAsia="Times New Roman" w:cs="DecoType Naskh" w:hint="cs"/>
          <w:color w:val="auto"/>
          <w:kern w:val="0"/>
          <w:szCs w:val="26"/>
          <w:rtl/>
          <w:lang w:bidi="ar-JO"/>
          <w14:ligatures w14:val="none"/>
        </w:rPr>
        <w:t>التي تُستَر</w:t>
      </w:r>
    </w:p>
    <w:p w14:paraId="3E14FFC4"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هدفت تقدمة الخطية إلى ستر خطية الفرد أو الجماعة التي ارتكبت سهواً (</w:t>
      </w:r>
      <w:r w:rsidRPr="00072E15">
        <w:rPr>
          <w:rFonts w:eastAsia="Times New Roman" w:cs="Ezra SIL"/>
          <w:color w:val="000000"/>
          <w:kern w:val="0"/>
          <w:szCs w:val="24"/>
          <w:rtl/>
          <w:lang w:bidi="he-IL"/>
          <w14:ligatures w14:val="none"/>
        </w:rPr>
        <w:t>בִּשְׁגָגָ֖ה</w:t>
      </w:r>
      <w:r w:rsidRPr="00072E15">
        <w:rPr>
          <w:rFonts w:eastAsia="Times New Roman" w:cs="DecoType Naskh"/>
          <w:color w:val="auto"/>
          <w:kern w:val="0"/>
          <w:szCs w:val="26"/>
          <w:rtl/>
          <w:lang w:bidi="ar-JO"/>
          <w14:ligatures w14:val="none"/>
        </w:rPr>
        <w:t>).  يقدّم روس التوضيح التالي:</w:t>
      </w:r>
    </w:p>
    <w:p w14:paraId="46A4DBF8"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 xml:space="preserve">"يوضح تعبير </w:t>
      </w:r>
      <w:r w:rsidRPr="00072E15">
        <w:rPr>
          <w:rFonts w:ascii="Ezra SIL" w:eastAsia="Times New Roman" w:hAnsi="Ezra SIL" w:cs="Ezra SIL" w:hint="cs"/>
          <w:color w:val="auto"/>
          <w:kern w:val="0"/>
          <w:sz w:val="22"/>
          <w:rtl/>
          <w:lang w:bidi="he-IL"/>
          <w14:ligatures w14:val="none"/>
        </w:rPr>
        <w:t>לא ידע</w:t>
      </w:r>
      <w:r w:rsidRPr="00072E15">
        <w:rPr>
          <w:rFonts w:eastAsia="Times New Roman" w:cs="DecoType Naskh"/>
          <w:color w:val="auto"/>
          <w:kern w:val="0"/>
          <w:szCs w:val="26"/>
          <w:rtl/>
          <w:lang w:bidi="ar-JO"/>
          <w14:ligatures w14:val="none"/>
        </w:rPr>
        <w:t xml:space="preserve">  أن الخطيّة لم تكن متعمَّدة أو مقصودة – إذ لم يدرِ الفرد أنه قد أخطأ، لكنه اكتشف ذلك فيما بعد.  إذ تقول</w:t>
      </w:r>
      <w:r w:rsidRPr="00072E15">
        <w:rPr>
          <w:rFonts w:eastAsia="Times New Roman" w:cs="DecoType Naskh" w:hint="cs"/>
          <w:color w:val="auto"/>
          <w:kern w:val="0"/>
          <w:szCs w:val="26"/>
          <w:rtl/>
          <w14:ligatures w14:val="none"/>
        </w:rPr>
        <w:t xml:space="preserve"> الآية في</w:t>
      </w:r>
      <w:r w:rsidRPr="00072E15">
        <w:rPr>
          <w:rFonts w:eastAsia="Times New Roman" w:cs="DecoType Naskh"/>
          <w:color w:val="auto"/>
          <w:kern w:val="0"/>
          <w:szCs w:val="26"/>
          <w:rtl/>
          <w:lang w:bidi="ar-JO"/>
          <w14:ligatures w14:val="none"/>
        </w:rPr>
        <w:t xml:space="preserve"> لاويين 4: 13 إن أمر الخطية أخفي عن عينيه.  ويقول يشوع 20: 13 إن هذه الخطية ترتكب سهواً، أي بدون نيّة واعية أو معرفة.  وهي في سياق خطايا جهل (لاويين 4) أو خطايا إهمال (5: 4)، أو خطيّة </w:t>
      </w:r>
      <w:r w:rsidRPr="00072E15">
        <w:rPr>
          <w:rFonts w:eastAsia="Times New Roman" w:cs="DecoType Naskh" w:hint="cs"/>
          <w:color w:val="auto"/>
          <w:kern w:val="0"/>
          <w:szCs w:val="26"/>
          <w:rtl/>
          <w:lang w:bidi="ar-JO"/>
          <w14:ligatures w14:val="none"/>
        </w:rPr>
        <w:t>لا تُرتَكَب كتردُّدٍ وعنادٍ</w:t>
      </w:r>
      <w:r w:rsidRPr="00072E15">
        <w:rPr>
          <w:rFonts w:eastAsia="Times New Roman" w:cs="DecoType Naskh"/>
          <w:color w:val="auto"/>
          <w:kern w:val="0"/>
          <w:szCs w:val="26"/>
          <w:rtl/>
          <w:lang w:bidi="ar-JO"/>
          <w14:ligatures w14:val="none"/>
        </w:rPr>
        <w:t xml:space="preserve"> (عدد 15: 30)."</w:t>
      </w:r>
      <w:r w:rsidRPr="00072E15">
        <w:rPr>
          <w:rFonts w:eastAsia="Times New Roman" w:cs="DecoType Naskh"/>
          <w:color w:val="auto"/>
          <w:kern w:val="0"/>
          <w:sz w:val="30"/>
          <w:szCs w:val="28"/>
          <w:vertAlign w:val="superscript"/>
          <w:rtl/>
          <w:lang w:bidi="ar-JO"/>
          <w14:ligatures w14:val="none"/>
        </w:rPr>
        <w:footnoteReference w:id="86"/>
      </w:r>
      <w:r w:rsidRPr="00072E15">
        <w:rPr>
          <w:rFonts w:eastAsia="Times New Roman" w:cs="DecoType Naskh"/>
          <w:color w:val="auto"/>
          <w:kern w:val="0"/>
          <w:szCs w:val="26"/>
          <w:rtl/>
          <w:lang w:bidi="ar-JO"/>
          <w14:ligatures w14:val="none"/>
        </w:rPr>
        <w:t xml:space="preserve"> </w:t>
      </w:r>
    </w:p>
    <w:p w14:paraId="3D9783CC"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 xml:space="preserve">ومن الخطايا التي تغطّيها تقدمة </w:t>
      </w:r>
      <w:r w:rsidRPr="00072E15">
        <w:rPr>
          <w:rFonts w:eastAsia="Times New Roman" w:cs="DecoType Naskh" w:hint="cs"/>
          <w:color w:val="auto"/>
          <w:kern w:val="0"/>
          <w:szCs w:val="26"/>
          <w:rtl/>
          <w:lang w:bidi="ar-JO"/>
          <w14:ligatures w14:val="none"/>
        </w:rPr>
        <w:t>ذبيحة الخطية خطايا</w:t>
      </w:r>
      <w:r w:rsidRPr="00072E15">
        <w:rPr>
          <w:rFonts w:eastAsia="Times New Roman" w:cs="DecoType Naskh"/>
          <w:color w:val="auto"/>
          <w:kern w:val="0"/>
          <w:szCs w:val="26"/>
          <w:rtl/>
          <w:lang w:bidi="ar-JO"/>
          <w14:ligatures w14:val="none"/>
        </w:rPr>
        <w:t xml:space="preserve"> النجاسة الطقسية وخرق الحقوق مثل حقوق الممتلكات.</w:t>
      </w:r>
    </w:p>
    <w:p w14:paraId="78A8069E"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6112CF9C"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2.</w:t>
      </w:r>
      <w:r w:rsidRPr="00072E15">
        <w:rPr>
          <w:rFonts w:eastAsia="Times New Roman" w:cs="DecoType Naskh"/>
          <w:color w:val="auto"/>
          <w:kern w:val="0"/>
          <w:szCs w:val="26"/>
          <w:rtl/>
          <w:lang w:bidi="ar-JO"/>
          <w14:ligatures w14:val="none"/>
        </w:rPr>
        <w:tab/>
        <w:t xml:space="preserve">أنواع الخطايا </w:t>
      </w:r>
      <w:r w:rsidRPr="00072E15">
        <w:rPr>
          <w:rFonts w:eastAsia="Times New Roman" w:cs="DecoType Naskh" w:hint="cs"/>
          <w:color w:val="auto"/>
          <w:kern w:val="0"/>
          <w:szCs w:val="26"/>
          <w:rtl/>
          <w:lang w:bidi="ar-JO"/>
          <w14:ligatures w14:val="none"/>
        </w:rPr>
        <w:t>التي لا تُستَر</w:t>
      </w:r>
      <w:r w:rsidRPr="00072E15">
        <w:rPr>
          <w:rFonts w:eastAsia="Times New Roman" w:cs="DecoType Naskh"/>
          <w:color w:val="auto"/>
          <w:kern w:val="0"/>
          <w:szCs w:val="26"/>
          <w:rtl/>
          <w:lang w:bidi="ar-JO"/>
          <w14:ligatures w14:val="none"/>
        </w:rPr>
        <w:t xml:space="preserve"> </w:t>
      </w:r>
    </w:p>
    <w:p w14:paraId="29B38963"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 xml:space="preserve">كانت هنالك خطايا كثيرة لم </w:t>
      </w:r>
      <w:r w:rsidRPr="00072E15">
        <w:rPr>
          <w:rFonts w:eastAsia="Times New Roman" w:cs="DecoType Naskh" w:hint="cs"/>
          <w:color w:val="auto"/>
          <w:kern w:val="0"/>
          <w:szCs w:val="26"/>
          <w:rtl/>
          <w:lang w:bidi="ar-JO"/>
          <w14:ligatures w14:val="none"/>
        </w:rPr>
        <w:t>تكن هذه الذبيحة تسترها</w:t>
      </w:r>
      <w:r w:rsidRPr="00072E15">
        <w:rPr>
          <w:rFonts w:eastAsia="Times New Roman" w:cs="DecoType Naskh"/>
          <w:color w:val="auto"/>
          <w:kern w:val="0"/>
          <w:szCs w:val="26"/>
          <w:rtl/>
          <w:lang w:bidi="ar-JO"/>
          <w14:ligatures w14:val="none"/>
        </w:rPr>
        <w:t xml:space="preserve">، خاصة الخطايا التي ترتكب تحدّياً لشريعة الله.  </w:t>
      </w:r>
      <w:r w:rsidRPr="00072E15">
        <w:rPr>
          <w:rFonts w:eastAsia="Times New Roman" w:cs="DecoType Naskh" w:hint="cs"/>
          <w:color w:val="auto"/>
          <w:kern w:val="0"/>
          <w:szCs w:val="26"/>
          <w:rtl/>
          <w:lang w:bidi="ar-JO"/>
          <w14:ligatures w14:val="none"/>
        </w:rPr>
        <w:t>ويعتبر</w:t>
      </w:r>
      <w:r w:rsidRPr="00072E15">
        <w:rPr>
          <w:rFonts w:eastAsia="Times New Roman" w:cs="DecoType Naskh"/>
          <w:color w:val="auto"/>
          <w:kern w:val="0"/>
          <w:szCs w:val="26"/>
          <w:rtl/>
          <w:lang w:bidi="ar-JO"/>
          <w14:ligatures w14:val="none"/>
        </w:rPr>
        <w:t xml:space="preserve"> عدد 15: 30 أن هذه الخطايا علامة على "يد رفيعة"، أي أنها لا ترتكب علناً فحسب، لكنها تُرتكب أيضاً بغطرسة وتحدٍّ – وكأنها تحدٍّ سافر للرب.  لم تستر </w:t>
      </w:r>
      <w:r w:rsidRPr="00072E15">
        <w:rPr>
          <w:rFonts w:eastAsia="Times New Roman" w:cs="DecoType Naskh" w:hint="cs"/>
          <w:color w:val="auto"/>
          <w:kern w:val="0"/>
          <w:szCs w:val="26"/>
          <w:rtl/>
          <w:lang w:bidi="ar-JO"/>
          <w14:ligatures w14:val="none"/>
        </w:rPr>
        <w:t>ذبيحة</w:t>
      </w:r>
      <w:r w:rsidRPr="00072E15">
        <w:rPr>
          <w:rFonts w:eastAsia="Times New Roman" w:cs="DecoType Naskh"/>
          <w:color w:val="auto"/>
          <w:kern w:val="0"/>
          <w:szCs w:val="26"/>
          <w:rtl/>
          <w:lang w:bidi="ar-JO"/>
          <w14:ligatures w14:val="none"/>
        </w:rPr>
        <w:t xml:space="preserve"> الخطية هذه الخطايا التي ارتكبت عن سابق إصرار وغطرسة وتحدٍّ (قارن</w:t>
      </w:r>
      <w:r w:rsidRPr="00072E15">
        <w:rPr>
          <w:rFonts w:eastAsia="Times New Roman" w:cs="DecoType Naskh" w:hint="cs"/>
          <w:color w:val="auto"/>
          <w:kern w:val="0"/>
          <w:szCs w:val="26"/>
          <w:rtl/>
          <w:lang w:bidi="ar-JO"/>
          <w14:ligatures w14:val="none"/>
        </w:rPr>
        <w:t xml:space="preserve"> أمثال </w:t>
      </w:r>
      <w:r w:rsidRPr="00072E15">
        <w:rPr>
          <w:rFonts w:eastAsia="Times New Roman" w:cs="DecoType Naskh"/>
          <w:color w:val="auto"/>
          <w:kern w:val="0"/>
          <w:szCs w:val="26"/>
          <w:rtl/>
          <w:lang w:bidi="ar-JO"/>
          <w14:ligatures w14:val="none"/>
        </w:rPr>
        <w:t xml:space="preserve"> 6: 17؛ 30: 13).  ولم تكن خروقات الوصايا العشر </w:t>
      </w:r>
      <w:r w:rsidRPr="00072E15">
        <w:rPr>
          <w:rFonts w:eastAsia="Times New Roman" w:cs="DecoType Naskh" w:hint="cs"/>
          <w:color w:val="auto"/>
          <w:kern w:val="0"/>
          <w:szCs w:val="26"/>
          <w:rtl/>
          <w:lang w:bidi="ar-JO"/>
          <w14:ligatures w14:val="none"/>
        </w:rPr>
        <w:t>تُغطَّى</w:t>
      </w:r>
      <w:r w:rsidRPr="00072E15">
        <w:rPr>
          <w:rFonts w:eastAsia="Times New Roman" w:cs="DecoType Naskh"/>
          <w:color w:val="auto"/>
          <w:kern w:val="0"/>
          <w:szCs w:val="26"/>
          <w:rtl/>
          <w:lang w:bidi="ar-JO"/>
          <w14:ligatures w14:val="none"/>
        </w:rPr>
        <w:t xml:space="preserve"> أيضاً بهذه </w:t>
      </w:r>
      <w:r w:rsidRPr="00072E15">
        <w:rPr>
          <w:rFonts w:eastAsia="Times New Roman" w:cs="DecoType Naskh" w:hint="cs"/>
          <w:color w:val="auto"/>
          <w:kern w:val="0"/>
          <w:szCs w:val="26"/>
          <w:rtl/>
          <w:lang w:bidi="ar-JO"/>
          <w14:ligatures w14:val="none"/>
        </w:rPr>
        <w:t>الذبيحة</w:t>
      </w:r>
      <w:r w:rsidRPr="00072E15">
        <w:rPr>
          <w:rFonts w:eastAsia="Times New Roman" w:cs="DecoType Naskh"/>
          <w:color w:val="auto"/>
          <w:kern w:val="0"/>
          <w:szCs w:val="26"/>
          <w:rtl/>
          <w:lang w:bidi="ar-JO"/>
          <w14:ligatures w14:val="none"/>
        </w:rPr>
        <w:t xml:space="preserve">، مثل عبادة آلهة أخرى، والزنى، والاغتصاب، </w:t>
      </w:r>
      <w:r w:rsidRPr="00072E15">
        <w:rPr>
          <w:rFonts w:eastAsia="Times New Roman" w:cs="DecoType Naskh" w:hint="cs"/>
          <w:color w:val="auto"/>
          <w:kern w:val="0"/>
          <w:szCs w:val="26"/>
          <w:rtl/>
          <w:lang w:bidi="ar-JO"/>
          <w14:ligatures w14:val="none"/>
        </w:rPr>
        <w:t>و</w:t>
      </w:r>
      <w:r w:rsidRPr="00072E15">
        <w:rPr>
          <w:rFonts w:eastAsia="Times New Roman" w:cs="DecoType Naskh"/>
          <w:color w:val="auto"/>
          <w:kern w:val="0"/>
          <w:szCs w:val="26"/>
          <w:rtl/>
          <w:lang w:bidi="ar-JO"/>
          <w14:ligatures w14:val="none"/>
        </w:rPr>
        <w:t xml:space="preserve">لم يكن الاستخفاف المتعمّد لقوانين </w:t>
      </w:r>
      <w:r w:rsidRPr="00072E15">
        <w:rPr>
          <w:rFonts w:eastAsia="Times New Roman" w:cs="DecoType Naskh" w:hint="cs"/>
          <w:color w:val="auto"/>
          <w:kern w:val="0"/>
          <w:szCs w:val="26"/>
          <w:rtl/>
          <w:lang w:bidi="ar-JO"/>
          <w14:ligatures w14:val="none"/>
        </w:rPr>
        <w:t>العبادة الدينية</w:t>
      </w:r>
      <w:r w:rsidRPr="00072E15">
        <w:rPr>
          <w:rFonts w:eastAsia="Times New Roman" w:cs="DecoType Naskh"/>
          <w:color w:val="auto"/>
          <w:kern w:val="0"/>
          <w:szCs w:val="26"/>
          <w:rtl/>
          <w:lang w:bidi="ar-JO"/>
          <w14:ligatures w14:val="none"/>
        </w:rPr>
        <w:t xml:space="preserve"> مغطى بها، مثل عدم مراعاة الفصح (عدد 19: 13) أو يوم الكفّارة (لاويين 23: 29-30).</w:t>
      </w:r>
    </w:p>
    <w:p w14:paraId="67AA5C26"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0D9E1F0F"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3.</w:t>
      </w:r>
      <w:r w:rsidRPr="00072E15">
        <w:rPr>
          <w:rFonts w:eastAsia="Times New Roman" w:cs="DecoType Naskh"/>
          <w:color w:val="auto"/>
          <w:kern w:val="0"/>
          <w:szCs w:val="26"/>
          <w:rtl/>
          <w:lang w:bidi="ar-JO"/>
          <w14:ligatures w14:val="none"/>
        </w:rPr>
        <w:tab/>
        <w:t xml:space="preserve">تضمينات </w:t>
      </w:r>
      <w:r w:rsidRPr="00072E15">
        <w:rPr>
          <w:rFonts w:eastAsia="Times New Roman" w:cs="DecoType Naskh" w:hint="cs"/>
          <w:color w:val="auto"/>
          <w:kern w:val="0"/>
          <w:szCs w:val="26"/>
          <w:rtl/>
          <w:lang w:bidi="ar-JO"/>
          <w14:ligatures w14:val="none"/>
        </w:rPr>
        <w:t>للغفران</w:t>
      </w:r>
      <w:r w:rsidRPr="00072E15">
        <w:rPr>
          <w:rFonts w:eastAsia="Times New Roman" w:cs="DecoType Naskh"/>
          <w:color w:val="auto"/>
          <w:kern w:val="0"/>
          <w:szCs w:val="26"/>
          <w:rtl/>
          <w:lang w:bidi="ar-JO"/>
          <w14:ligatures w14:val="none"/>
        </w:rPr>
        <w:t xml:space="preserve"> </w:t>
      </w:r>
    </w:p>
    <w:p w14:paraId="061A4297"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من الواضح أن الشريعة ل</w:t>
      </w:r>
      <w:r w:rsidRPr="00072E15">
        <w:rPr>
          <w:rFonts w:eastAsia="Times New Roman" w:cs="DecoType Naskh" w:hint="cs"/>
          <w:color w:val="auto"/>
          <w:kern w:val="0"/>
          <w:szCs w:val="26"/>
          <w:rtl/>
          <w:lang w:bidi="ar-JO"/>
          <w14:ligatures w14:val="none"/>
        </w:rPr>
        <w:t>م</w:t>
      </w:r>
      <w:r w:rsidRPr="00072E15">
        <w:rPr>
          <w:rFonts w:eastAsia="Times New Roman" w:cs="DecoType Naskh"/>
          <w:color w:val="auto"/>
          <w:kern w:val="0"/>
          <w:szCs w:val="26"/>
          <w:rtl/>
          <w:lang w:bidi="ar-JO"/>
          <w14:ligatures w14:val="none"/>
        </w:rPr>
        <w:t xml:space="preserve"> توفّر ذبيحة لكثير من الخطايا.  فلم يكن هنالك علاج في الشريعة لخطية داود المتعمّدة مع ب</w:t>
      </w:r>
      <w:r w:rsidRPr="00072E15">
        <w:rPr>
          <w:rFonts w:eastAsia="Times New Roman" w:cs="DecoType Naskh" w:hint="cs"/>
          <w:color w:val="auto"/>
          <w:kern w:val="0"/>
          <w:szCs w:val="26"/>
          <w:rtl/>
          <w:lang w:bidi="ar-JO"/>
          <w14:ligatures w14:val="none"/>
        </w:rPr>
        <w:t>ث</w:t>
      </w:r>
      <w:r w:rsidRPr="00072E15">
        <w:rPr>
          <w:rFonts w:eastAsia="Times New Roman" w:cs="DecoType Naskh"/>
          <w:color w:val="auto"/>
          <w:kern w:val="0"/>
          <w:szCs w:val="26"/>
          <w:rtl/>
          <w:lang w:bidi="ar-JO"/>
          <w14:ligatures w14:val="none"/>
        </w:rPr>
        <w:t>شبع</w:t>
      </w:r>
      <w:r w:rsidRPr="00072E15">
        <w:rPr>
          <w:rFonts w:eastAsia="Times New Roman" w:cs="DecoType Naskh" w:hint="cs"/>
          <w:color w:val="auto"/>
          <w:kern w:val="0"/>
          <w:szCs w:val="26"/>
          <w:rtl/>
          <w:lang w:bidi="ar-JO"/>
          <w14:ligatures w14:val="none"/>
        </w:rPr>
        <w:t>،</w:t>
      </w:r>
      <w:r w:rsidRPr="00072E15">
        <w:rPr>
          <w:rFonts w:eastAsia="Times New Roman" w:cs="DecoType Naskh"/>
          <w:color w:val="auto"/>
          <w:kern w:val="0"/>
          <w:szCs w:val="26"/>
          <w:rtl/>
          <w:lang w:bidi="ar-JO"/>
          <w14:ligatures w14:val="none"/>
        </w:rPr>
        <w:t xml:space="preserve"> فوقف مداناً تحت الناموس، وكان أمله الوحيد هو الهروب إلى الله نفسه (إذ لم تكن هنالك ذبيحة يمكن أن يقدّمها).  ففي مثل هذه الحالات لم يكن ممكناً أن يُمنح الغُفران إلاّ بعمل نعمة مجاني.  وقد يأتي هذا بعد (1) تشفُّع الكاهن (خروج 32: 11، 13، 20-25)؛ أو (2) توبة حقيقية وانسحاق القلب (مزمور 51: 17)؛ أو (3) تدخُّل إلهي مباشر (إشعياء 6: 5-7).  فإذا عبّر الخاطئ عن </w:t>
      </w:r>
      <w:r w:rsidRPr="00072E15">
        <w:rPr>
          <w:rFonts w:eastAsia="Times New Roman" w:cs="DecoType Naskh"/>
          <w:color w:val="auto"/>
          <w:kern w:val="0"/>
          <w:szCs w:val="26"/>
          <w:rtl/>
          <w:lang w:bidi="ar-JO"/>
          <w14:ligatures w14:val="none"/>
        </w:rPr>
        <w:lastRenderedPageBreak/>
        <w:t>توبة حقيقية، كان لديه رجاء في الدم المرشوش على كرسي الرحمة في يوم الكفّارة عن الأمّة.  أمّا إذا بقيت الخطية دون اعتراف أمام الله، فليس للشريعة ما تقدّمه إلاّ توقّع مخيف للدينونة.</w:t>
      </w:r>
    </w:p>
    <w:p w14:paraId="387960EA"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2387C47B"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4.</w:t>
      </w:r>
      <w:r w:rsidRPr="00072E15">
        <w:rPr>
          <w:rFonts w:eastAsia="Times New Roman" w:cs="DecoType Naskh"/>
          <w:color w:val="auto"/>
          <w:kern w:val="0"/>
          <w:szCs w:val="26"/>
          <w:rtl/>
          <w:lang w:bidi="ar-JO"/>
          <w14:ligatures w14:val="none"/>
        </w:rPr>
        <w:tab/>
        <w:t xml:space="preserve">الدلالة </w:t>
      </w:r>
    </w:p>
    <w:p w14:paraId="2A896380"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072E15">
        <w:rPr>
          <w:rFonts w:eastAsia="Times New Roman" w:cs="DecoType Naskh"/>
          <w:color w:val="auto"/>
          <w:kern w:val="0"/>
          <w:szCs w:val="26"/>
          <w:rtl/>
          <w:lang w:bidi="ar-JO"/>
          <w14:ligatures w14:val="none"/>
        </w:rPr>
        <w:t>هدفت ذبيحة الخطية إلى الحصول على غفران الخطية، والتطهير من النجاسة وعدم الطهارة، وردّ المرء إلى الشركة مع الله.  ولم يكن هذا ممكناً إلاّ في حالة التوبة الحقيقية</w:t>
      </w:r>
      <w:r w:rsidRPr="00072E15">
        <w:rPr>
          <w:rFonts w:eastAsia="Times New Roman" w:cs="DecoType Naskh" w:hint="cs"/>
          <w:color w:val="auto"/>
          <w:kern w:val="0"/>
          <w:szCs w:val="26"/>
          <w:rtl/>
          <w14:ligatures w14:val="none"/>
        </w:rPr>
        <w:t xml:space="preserve"> (لاحظ </w:t>
      </w:r>
      <w:bookmarkStart w:id="102" w:name="_Hlk156295673"/>
      <w:r w:rsidRPr="00072E15">
        <w:rPr>
          <w:rFonts w:eastAsia="Times New Roman" w:cs="DecoType Naskh" w:hint="cs"/>
          <w:color w:val="auto"/>
          <w:kern w:val="0"/>
          <w:szCs w:val="26"/>
          <w:rtl/>
          <w14:ligatures w14:val="none"/>
        </w:rPr>
        <w:t>لاويين</w:t>
      </w:r>
      <w:bookmarkEnd w:id="102"/>
      <w:r w:rsidRPr="00072E15">
        <w:rPr>
          <w:rFonts w:eastAsia="Times New Roman" w:cs="DecoType Naskh" w:hint="cs"/>
          <w:color w:val="auto"/>
          <w:kern w:val="0"/>
          <w:szCs w:val="26"/>
          <w:rtl/>
          <w14:ligatures w14:val="none"/>
        </w:rPr>
        <w:t xml:space="preserve"> 5: 5 والتعليمات حول "الاعتراف")</w:t>
      </w:r>
      <w:r w:rsidRPr="00072E15">
        <w:rPr>
          <w:rFonts w:eastAsia="Times New Roman" w:cs="DecoType Naskh"/>
          <w:color w:val="auto"/>
          <w:kern w:val="0"/>
          <w:szCs w:val="26"/>
          <w:rtl/>
          <w:lang w:bidi="ar-JO"/>
          <w14:ligatures w14:val="none"/>
        </w:rPr>
        <w:t xml:space="preserve">.  قدّمت ذبيحة الخطية تكفيراً عن شخص المسيء، في حين أن ذبيحة التعدّي (الإثم) لم تكفّر إلاّ عن الإساءة المعيّنة التي ارتكبها.  وقد </w:t>
      </w:r>
      <w:r w:rsidRPr="00072E15">
        <w:rPr>
          <w:rFonts w:eastAsia="Times New Roman" w:cs="DecoType Naskh" w:hint="cs"/>
          <w:color w:val="auto"/>
          <w:kern w:val="0"/>
          <w:szCs w:val="26"/>
          <w:rtl/>
          <w:lang w:bidi="ar-JO"/>
          <w14:ligatures w14:val="none"/>
        </w:rPr>
        <w:t>كانت</w:t>
      </w:r>
      <w:r w:rsidRPr="00072E15">
        <w:rPr>
          <w:rFonts w:eastAsia="Times New Roman" w:cs="DecoType Naskh"/>
          <w:color w:val="auto"/>
          <w:kern w:val="0"/>
          <w:szCs w:val="26"/>
          <w:rtl/>
          <w:lang w:bidi="ar-JO"/>
          <w14:ligatures w14:val="none"/>
        </w:rPr>
        <w:t xml:space="preserve"> ذبيحة الخطية</w:t>
      </w:r>
      <w:r w:rsidRPr="00072E15">
        <w:rPr>
          <w:rFonts w:eastAsia="Times New Roman" w:cs="DecoType Naskh" w:hint="cs"/>
          <w:color w:val="auto"/>
          <w:kern w:val="0"/>
          <w:szCs w:val="26"/>
          <w:rtl/>
          <w:lang w:bidi="ar-JO"/>
          <w14:ligatures w14:val="none"/>
        </w:rPr>
        <w:t xml:space="preserve"> تركِّز</w:t>
      </w:r>
      <w:r w:rsidRPr="00072E15">
        <w:rPr>
          <w:rFonts w:eastAsia="Times New Roman" w:cs="DecoType Naskh"/>
          <w:color w:val="auto"/>
          <w:kern w:val="0"/>
          <w:szCs w:val="26"/>
          <w:rtl/>
          <w:lang w:bidi="ar-JO"/>
          <w14:ligatures w14:val="none"/>
        </w:rPr>
        <w:t xml:space="preserve"> على إعادة الشركة مع الله، كما هو الحال مع المؤمن بالمسيح كما توضح 1يوحنا 1: 9.</w:t>
      </w:r>
    </w:p>
    <w:p w14:paraId="73BADD8B"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KW"/>
          <w14:ligatures w14:val="none"/>
        </w:rPr>
      </w:pPr>
    </w:p>
    <w:p w14:paraId="62D2189A" w14:textId="77777777" w:rsidR="00072E15" w:rsidRPr="00072E15" w:rsidRDefault="00072E15"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2E15">
        <w:rPr>
          <w:rFonts w:eastAsia="Times New Roman" w:cs="DecoType Naskh"/>
          <w:bCs/>
          <w:color w:val="auto"/>
          <w:kern w:val="0"/>
          <w:szCs w:val="26"/>
          <w:rtl/>
          <w14:ligatures w14:val="none"/>
        </w:rPr>
        <w:t>هـ.</w:t>
      </w:r>
      <w:r w:rsidRPr="00072E15">
        <w:rPr>
          <w:rFonts w:eastAsia="Times New Roman" w:cs="DecoType Naskh"/>
          <w:bCs/>
          <w:color w:val="auto"/>
          <w:kern w:val="0"/>
          <w:szCs w:val="26"/>
          <w:rtl/>
          <w14:ligatures w14:val="none"/>
        </w:rPr>
        <w:tab/>
        <w:t xml:space="preserve">تقدمة </w:t>
      </w:r>
      <w:r w:rsidRPr="00072E15">
        <w:rPr>
          <w:rFonts w:eastAsia="Times New Roman" w:cs="DecoType Naskh" w:hint="cs"/>
          <w:bCs/>
          <w:color w:val="auto"/>
          <w:kern w:val="0"/>
          <w:szCs w:val="26"/>
          <w:rtl/>
          <w14:ligatures w14:val="none"/>
        </w:rPr>
        <w:t>الإثم</w:t>
      </w:r>
      <w:r w:rsidRPr="00072E15">
        <w:rPr>
          <w:rFonts w:eastAsia="Times New Roman" w:cs="DecoType Naskh"/>
          <w:bCs/>
          <w:color w:val="auto"/>
          <w:kern w:val="0"/>
          <w:szCs w:val="26"/>
          <w:rtl/>
          <w14:ligatures w14:val="none"/>
        </w:rPr>
        <w:t xml:space="preserve"> (لاويين 5: 14-6: 7)</w:t>
      </w:r>
    </w:p>
    <w:p w14:paraId="3106B692"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1.</w:t>
      </w:r>
      <w:r w:rsidRPr="00072E15">
        <w:rPr>
          <w:rFonts w:eastAsia="Times New Roman" w:cs="DecoType Naskh"/>
          <w:color w:val="auto"/>
          <w:kern w:val="0"/>
          <w:szCs w:val="26"/>
          <w:rtl/>
          <w:lang w:bidi="ar-JO"/>
          <w14:ligatures w14:val="none"/>
        </w:rPr>
        <w:tab/>
        <w:t xml:space="preserve">طبيعة الخطيّة </w:t>
      </w:r>
    </w:p>
    <w:p w14:paraId="6996C4B8"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 xml:space="preserve">إن تقدمة </w:t>
      </w:r>
      <w:r w:rsidRPr="00072E15">
        <w:rPr>
          <w:rFonts w:eastAsia="Times New Roman" w:cs="DecoType Naskh" w:hint="cs"/>
          <w:color w:val="auto"/>
          <w:kern w:val="0"/>
          <w:szCs w:val="26"/>
          <w:rtl/>
          <w:lang w:bidi="ar-JO"/>
          <w14:ligatures w14:val="none"/>
        </w:rPr>
        <w:t>الإثم</w:t>
      </w:r>
      <w:r w:rsidRPr="00072E15">
        <w:rPr>
          <w:rFonts w:eastAsia="Times New Roman" w:cs="DecoType Naskh"/>
          <w:color w:val="auto"/>
          <w:kern w:val="0"/>
          <w:szCs w:val="26"/>
          <w:rtl/>
          <w:lang w:bidi="ar-JO"/>
          <w14:ligatures w14:val="none"/>
        </w:rPr>
        <w:t xml:space="preserve"> (أو </w:t>
      </w:r>
      <w:r w:rsidRPr="00072E15">
        <w:rPr>
          <w:rFonts w:eastAsia="Times New Roman" w:cs="DecoType Naskh" w:hint="cs"/>
          <w:color w:val="auto"/>
          <w:kern w:val="0"/>
          <w:szCs w:val="26"/>
          <w:rtl/>
          <w:lang w:bidi="ar-JO"/>
          <w14:ligatures w14:val="none"/>
        </w:rPr>
        <w:t>التعدي</w:t>
      </w:r>
      <w:r w:rsidRPr="00072E15">
        <w:rPr>
          <w:rFonts w:eastAsia="Times New Roman" w:cs="DecoType Naskh"/>
          <w:color w:val="auto"/>
          <w:kern w:val="0"/>
          <w:szCs w:val="26"/>
          <w:rtl/>
          <w:lang w:bidi="ar-JO"/>
          <w14:ligatures w14:val="none"/>
        </w:rPr>
        <w:t>) هي في واقع الأمر امتداد لتقدمة الخطية.  إذ يتضمن كلاهما الخطية التي تُرتكب "سهواً" (</w:t>
      </w:r>
      <w:r w:rsidRPr="00072E15">
        <w:rPr>
          <w:rFonts w:eastAsia="Times New Roman" w:cs="DecoType Naskh" w:hint="cs"/>
          <w:color w:val="auto"/>
          <w:kern w:val="0"/>
          <w:szCs w:val="26"/>
          <w:rtl/>
          <w14:ligatures w14:val="none"/>
        </w:rPr>
        <w:t>لاويين</w:t>
      </w:r>
      <w:r w:rsidRPr="00072E15">
        <w:rPr>
          <w:rFonts w:eastAsia="Times New Roman" w:cs="DecoType Naskh"/>
          <w:color w:val="auto"/>
          <w:kern w:val="0"/>
          <w:szCs w:val="26"/>
          <w:rtl/>
          <w:lang w:bidi="ar-JO"/>
          <w14:ligatures w14:val="none"/>
        </w:rPr>
        <w:t xml:space="preserve"> 5: 15).  ويتمثل الفرق الجوهري بينهما في أن تقدمة </w:t>
      </w:r>
      <w:r w:rsidRPr="00072E15">
        <w:rPr>
          <w:rFonts w:eastAsia="Times New Roman" w:cs="DecoType Naskh" w:hint="cs"/>
          <w:color w:val="auto"/>
          <w:kern w:val="0"/>
          <w:szCs w:val="26"/>
          <w:rtl/>
          <w:lang w:bidi="ar-JO"/>
          <w14:ligatures w14:val="none"/>
        </w:rPr>
        <w:t>الإثم</w:t>
      </w:r>
      <w:r w:rsidRPr="00072E15">
        <w:rPr>
          <w:rFonts w:eastAsia="Times New Roman" w:cs="DecoType Naskh"/>
          <w:color w:val="auto"/>
          <w:kern w:val="0"/>
          <w:szCs w:val="26"/>
          <w:rtl/>
          <w:lang w:bidi="ar-JO"/>
          <w14:ligatures w14:val="none"/>
        </w:rPr>
        <w:t xml:space="preserve"> تتضمن تقديم تعويض لإصلاح الإساءة.  ويرجع هذا إلى أنه يبدو أن كل هذه الخطايا تتضمن خسارة </w:t>
      </w:r>
      <w:r w:rsidRPr="00072E15">
        <w:rPr>
          <w:rFonts w:eastAsia="Times New Roman" w:cs="DecoType Naskh" w:hint="cs"/>
          <w:color w:val="auto"/>
          <w:kern w:val="0"/>
          <w:szCs w:val="26"/>
          <w:rtl/>
          <w:lang w:bidi="ar-JO"/>
          <w14:ligatures w14:val="none"/>
        </w:rPr>
        <w:t>ملكٍ ما</w:t>
      </w:r>
      <w:r w:rsidRPr="00072E15">
        <w:rPr>
          <w:rFonts w:eastAsia="Times New Roman" w:cs="DecoType Naskh"/>
          <w:color w:val="auto"/>
          <w:kern w:val="0"/>
          <w:szCs w:val="26"/>
          <w:rtl/>
          <w:lang w:bidi="ar-JO"/>
          <w14:ligatures w14:val="none"/>
        </w:rPr>
        <w:t xml:space="preserve"> بواسطة الاحتيال.  ولا بد من التوكيد على نقطة في ما يتعلق بهذا النوع من الخطية: غالباً ما تتضمن الخطية الاحتيال على الله أو الناس؛ وعندما يُعترف بالخطية، فإنه لا بد من تصويب الخطأ.  وفي مثل هذا الموقف، </w:t>
      </w:r>
      <w:r w:rsidRPr="00072E15">
        <w:rPr>
          <w:rFonts w:eastAsia="Times New Roman" w:cs="DecoType Naskh" w:hint="cs"/>
          <w:color w:val="auto"/>
          <w:kern w:val="0"/>
          <w:szCs w:val="26"/>
          <w:rtl/>
          <w:lang w:bidi="ar-JO"/>
          <w14:ligatures w14:val="none"/>
        </w:rPr>
        <w:t>يعترف المرء طوعاً</w:t>
      </w:r>
      <w:r w:rsidRPr="00072E15">
        <w:rPr>
          <w:rFonts w:eastAsia="Times New Roman" w:cs="DecoType Naskh"/>
          <w:color w:val="auto"/>
          <w:kern w:val="0"/>
          <w:szCs w:val="26"/>
          <w:rtl/>
          <w:lang w:bidi="ar-JO"/>
          <w14:ligatures w14:val="none"/>
        </w:rPr>
        <w:t xml:space="preserve"> بأنه "مذنب".  تمثّل الحالات المذكورة (لاويين 5: 15؛ 6: 2؛ 14: 12؛ 19: 20؛ عدد 16: 12) إساءة يجب أن تدفع مقابلها فدية خاصّة.  ويمكن أن تُرتكب هذه الإساءة أحياناً ضد يهوه: كان مطلوباً من الأبرص والنذير الذي خرق نذره أن يقدّما ذبيحة </w:t>
      </w:r>
      <w:r w:rsidRPr="00072E15">
        <w:rPr>
          <w:rFonts w:eastAsia="Times New Roman" w:cs="DecoType Naskh" w:hint="cs"/>
          <w:color w:val="auto"/>
          <w:kern w:val="0"/>
          <w:szCs w:val="26"/>
          <w:rtl/>
          <w:lang w:bidi="ar-JO"/>
          <w14:ligatures w14:val="none"/>
        </w:rPr>
        <w:t>إثمٍ</w:t>
      </w:r>
      <w:r w:rsidRPr="00072E15">
        <w:rPr>
          <w:rFonts w:eastAsia="Times New Roman" w:cs="DecoType Naskh"/>
          <w:color w:val="auto"/>
          <w:kern w:val="0"/>
          <w:szCs w:val="26"/>
          <w:rtl/>
          <w:lang w:bidi="ar-JO"/>
          <w14:ligatures w14:val="none"/>
        </w:rPr>
        <w:t>، أولهما كتعدٍّ ضدّ جماعة المؤمنين، والثان</w:t>
      </w:r>
      <w:r w:rsidRPr="00072E15">
        <w:rPr>
          <w:rFonts w:eastAsia="Times New Roman" w:cs="DecoType Naskh" w:hint="cs"/>
          <w:color w:val="auto"/>
          <w:kern w:val="0"/>
          <w:szCs w:val="26"/>
          <w:rtl/>
          <w14:ligatures w14:val="none"/>
        </w:rPr>
        <w:t>ي</w:t>
      </w:r>
      <w:r w:rsidRPr="00072E15">
        <w:rPr>
          <w:rFonts w:eastAsia="Times New Roman" w:cs="DecoType Naskh"/>
          <w:color w:val="auto"/>
          <w:kern w:val="0"/>
          <w:szCs w:val="26"/>
          <w:rtl/>
          <w:lang w:bidi="ar-JO"/>
          <w14:ligatures w14:val="none"/>
        </w:rPr>
        <w:t xml:space="preserve"> كتعدٍّ ضد يهوه.</w:t>
      </w:r>
    </w:p>
    <w:p w14:paraId="5805C433"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p>
    <w:p w14:paraId="7044ADF1"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2.</w:t>
      </w:r>
      <w:r w:rsidRPr="00072E15">
        <w:rPr>
          <w:rFonts w:eastAsia="Times New Roman" w:cs="DecoType Naskh"/>
          <w:color w:val="auto"/>
          <w:kern w:val="0"/>
          <w:szCs w:val="26"/>
          <w:rtl/>
          <w:lang w:bidi="ar-JO"/>
          <w14:ligatures w14:val="none"/>
        </w:rPr>
        <w:tab/>
        <w:t>المناسبة</w:t>
      </w:r>
    </w:p>
    <w:p w14:paraId="15D1F974"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2E15">
        <w:rPr>
          <w:rFonts w:eastAsia="Times New Roman" w:cs="DecoType Naskh" w:hint="cs"/>
          <w:color w:val="auto"/>
          <w:kern w:val="0"/>
          <w:szCs w:val="26"/>
          <w:rtl/>
          <w:lang w:bidi="ar-JO"/>
          <w14:ligatures w14:val="none"/>
        </w:rPr>
        <w:t>كانت</w:t>
      </w:r>
      <w:r w:rsidRPr="00072E15">
        <w:rPr>
          <w:rFonts w:eastAsia="Times New Roman" w:cs="DecoType Naskh"/>
          <w:color w:val="auto"/>
          <w:kern w:val="0"/>
          <w:szCs w:val="26"/>
          <w:rtl/>
          <w:lang w:bidi="ar-JO"/>
          <w14:ligatures w14:val="none"/>
        </w:rPr>
        <w:t xml:space="preserve"> هذه الذبيحة</w:t>
      </w:r>
      <w:r w:rsidRPr="00072E15">
        <w:rPr>
          <w:rFonts w:eastAsia="Times New Roman" w:cs="DecoType Naskh" w:hint="cs"/>
          <w:color w:val="auto"/>
          <w:kern w:val="0"/>
          <w:szCs w:val="26"/>
          <w:rtl/>
          <w:lang w:bidi="ar-JO"/>
          <w14:ligatures w14:val="none"/>
        </w:rPr>
        <w:t xml:space="preserve"> تُقدَّم</w:t>
      </w:r>
      <w:r w:rsidRPr="00072E15">
        <w:rPr>
          <w:rFonts w:eastAsia="Times New Roman" w:cs="DecoType Naskh"/>
          <w:color w:val="auto"/>
          <w:kern w:val="0"/>
          <w:szCs w:val="26"/>
          <w:rtl/>
          <w:lang w:bidi="ar-JO"/>
          <w14:ligatures w14:val="none"/>
        </w:rPr>
        <w:t xml:space="preserve"> كلّما حُرِمَ شخص من حقوقه أو أخذت منه بالاحتيال.  يمكن للمرء أن يحرِم (يسلب) يهوه، من التناول غير المشروع من الطعام المقدّس مثلاً (5: 14-19؛ 22: 14).  ويمكن للمرء أن يحرم (يسلب) شخصاً آخر بعدم إبلاغه عن العثور على مقتنى ضائع يخصُّه (6: 3).  فكانت مسؤولية الطرف المذنب أن (1) يعترف بخطيّته علناً، و(2) أن يقدّم تعويضاً كاملاً عمّا احتال به على الطرف الآخر، و(3) أن يدفع غرامة.</w:t>
      </w:r>
    </w:p>
    <w:p w14:paraId="335B9735"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5BC48B58"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3.</w:t>
      </w:r>
      <w:r w:rsidRPr="00072E15">
        <w:rPr>
          <w:rFonts w:eastAsia="Times New Roman" w:cs="DecoType Naskh"/>
          <w:color w:val="auto"/>
          <w:kern w:val="0"/>
          <w:szCs w:val="26"/>
          <w:rtl/>
          <w:lang w:bidi="ar-JO"/>
          <w14:ligatures w14:val="none"/>
        </w:rPr>
        <w:tab/>
        <w:t>الدلالة</w:t>
      </w:r>
    </w:p>
    <w:p w14:paraId="1E228690"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14:ligatures w14:val="none"/>
        </w:rPr>
      </w:pPr>
      <w:r w:rsidRPr="00072E15">
        <w:rPr>
          <w:rFonts w:eastAsia="Times New Roman" w:cs="DecoType Naskh"/>
          <w:color w:val="auto"/>
          <w:kern w:val="0"/>
          <w:szCs w:val="26"/>
          <w:rtl/>
          <w:lang w:bidi="ar-JO"/>
          <w14:ligatures w14:val="none"/>
        </w:rPr>
        <w:t xml:space="preserve">تكمن الدلالة الأساسية لهذه الذبيحة في إيضاح أن هنالك مرّات لا بدّ للمرء فيها أن يتجاوز الاعتراف والغفران بأن يقدّم تعويضاً حيث أمكن ذلك، أي أن يردّ ما سلبه بالاحتيال.  ولا يمكن للمرء أن يعبد الله عبادة أمينة ويخدمه بأمانة دون تصويب الأمور.  وتصويب الأمور هو الدليل الخارجي على الإيمان الأصيل والتوبة الحقيقية (مثلاً، زكّا).  وتتطلع ذبيحة </w:t>
      </w:r>
      <w:r w:rsidRPr="00072E15">
        <w:rPr>
          <w:rFonts w:eastAsia="Times New Roman" w:cs="DecoType Naskh" w:hint="cs"/>
          <w:color w:val="auto"/>
          <w:kern w:val="0"/>
          <w:szCs w:val="26"/>
          <w:rtl/>
          <w:lang w:bidi="ar-JO"/>
          <w14:ligatures w14:val="none"/>
        </w:rPr>
        <w:t>الإثم</w:t>
      </w:r>
      <w:r w:rsidRPr="00072E15">
        <w:rPr>
          <w:rFonts w:eastAsia="Times New Roman" w:cs="DecoType Naskh"/>
          <w:color w:val="auto"/>
          <w:kern w:val="0"/>
          <w:szCs w:val="26"/>
          <w:rtl/>
          <w:lang w:bidi="ar-JO"/>
          <w14:ligatures w14:val="none"/>
        </w:rPr>
        <w:t xml:space="preserve"> (</w:t>
      </w:r>
      <w:r w:rsidRPr="00072E15">
        <w:rPr>
          <w:rFonts w:eastAsia="Times New Roman" w:cs="DecoType Naskh" w:hint="cs"/>
          <w:color w:val="auto"/>
          <w:kern w:val="0"/>
          <w:szCs w:val="26"/>
          <w:rtl/>
          <w:lang w:bidi="ar-JO"/>
          <w14:ligatures w14:val="none"/>
        </w:rPr>
        <w:t>التعدي</w:t>
      </w:r>
      <w:r w:rsidRPr="00072E15">
        <w:rPr>
          <w:rFonts w:eastAsia="Times New Roman" w:cs="DecoType Naskh"/>
          <w:color w:val="auto"/>
          <w:kern w:val="0"/>
          <w:szCs w:val="26"/>
          <w:rtl/>
          <w:lang w:bidi="ar-JO"/>
          <w14:ligatures w14:val="none"/>
        </w:rPr>
        <w:t>) أيضاً إلى المسيح، فهو الذي أعطى حياته فدية لكثيرين... أ</w:t>
      </w:r>
      <w:r w:rsidRPr="00072E15">
        <w:rPr>
          <w:rFonts w:eastAsia="Times New Roman" w:cs="DecoType Naskh" w:hint="cs"/>
          <w:color w:val="auto"/>
          <w:kern w:val="0"/>
          <w:szCs w:val="26"/>
          <w:rtl/>
          <w:lang w:bidi="ar-JO"/>
          <w14:ligatures w14:val="none"/>
        </w:rPr>
        <w:t>َ</w:t>
      </w:r>
      <w:r w:rsidRPr="00072E15">
        <w:rPr>
          <w:rFonts w:eastAsia="Times New Roman" w:cs="DecoType Naskh"/>
          <w:color w:val="auto"/>
          <w:kern w:val="0"/>
          <w:szCs w:val="26"/>
          <w:rtl/>
          <w:lang w:bidi="ar-JO"/>
          <w14:ligatures w14:val="none"/>
        </w:rPr>
        <w:t>كم</w:t>
      </w:r>
      <w:r w:rsidRPr="00072E15">
        <w:rPr>
          <w:rFonts w:eastAsia="Times New Roman" w:cs="DecoType Naskh" w:hint="cs"/>
          <w:color w:val="auto"/>
          <w:kern w:val="0"/>
          <w:szCs w:val="26"/>
          <w:rtl/>
          <w:lang w:bidi="ar-JO"/>
          <w14:ligatures w14:val="none"/>
        </w:rPr>
        <w:t>َ</w:t>
      </w:r>
      <w:r w:rsidRPr="00072E15">
        <w:rPr>
          <w:rFonts w:eastAsia="Times New Roman" w:cs="DecoType Naskh"/>
          <w:color w:val="auto"/>
          <w:kern w:val="0"/>
          <w:szCs w:val="26"/>
          <w:rtl/>
          <w:lang w:bidi="ar-JO"/>
          <w14:ligatures w14:val="none"/>
        </w:rPr>
        <w:t>ل</w:t>
      </w:r>
      <w:r w:rsidRPr="00072E15">
        <w:rPr>
          <w:rFonts w:eastAsia="Times New Roman" w:cs="DecoType Naskh" w:hint="cs"/>
          <w:color w:val="auto"/>
          <w:kern w:val="0"/>
          <w:szCs w:val="26"/>
          <w:rtl/>
          <w:lang w:bidi="ar-JO"/>
          <w14:ligatures w14:val="none"/>
        </w:rPr>
        <w:t>ِ</w:t>
      </w:r>
      <w:r w:rsidRPr="00072E15">
        <w:rPr>
          <w:rFonts w:eastAsia="Times New Roman" w:cs="DecoType Naskh"/>
          <w:color w:val="auto"/>
          <w:kern w:val="0"/>
          <w:szCs w:val="26"/>
          <w:rtl/>
          <w:lang w:bidi="ar-JO"/>
          <w14:ligatures w14:val="none"/>
        </w:rPr>
        <w:t xml:space="preserve"> إرضاء</w:t>
      </w:r>
      <w:r w:rsidRPr="00072E15">
        <w:rPr>
          <w:rFonts w:eastAsia="Times New Roman" w:cs="DecoType Naskh" w:hint="cs"/>
          <w:color w:val="auto"/>
          <w:kern w:val="0"/>
          <w:szCs w:val="26"/>
          <w:rtl/>
          <w:lang w:bidi="ar-JO"/>
          <w14:ligatures w14:val="none"/>
        </w:rPr>
        <w:t>ٍ</w:t>
      </w:r>
      <w:r w:rsidRPr="00072E15">
        <w:rPr>
          <w:rFonts w:eastAsia="Times New Roman" w:cs="DecoType Naskh"/>
          <w:color w:val="auto"/>
          <w:kern w:val="0"/>
          <w:szCs w:val="26"/>
          <w:rtl/>
          <w:lang w:bidi="ar-JO"/>
          <w14:ligatures w14:val="none"/>
        </w:rPr>
        <w:t xml:space="preserve"> يمكن أن يقدَّم لله.</w:t>
      </w:r>
    </w:p>
    <w:p w14:paraId="2D9102C1" w14:textId="77777777" w:rsidR="00072E15" w:rsidRPr="00072E15" w:rsidRDefault="00072E15" w:rsidP="002D6C54">
      <w:pPr>
        <w:bidi/>
        <w:spacing w:after="0" w:line="240" w:lineRule="auto"/>
        <w:jc w:val="center"/>
        <w:rPr>
          <w:rFonts w:eastAsia="Times New Roman" w:cs="DecoType Naskh"/>
          <w:color w:val="A50021"/>
          <w:kern w:val="0"/>
          <w:szCs w:val="32"/>
          <w:rtl/>
          <w:lang w:bidi="ar-JO"/>
          <w14:ligatures w14:val="none"/>
        </w:rPr>
      </w:pPr>
    </w:p>
    <w:p w14:paraId="2F2361AF" w14:textId="1F78688A" w:rsidR="00072E15" w:rsidRPr="00072E15" w:rsidRDefault="00072E15"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2E15">
        <w:rPr>
          <w:rFonts w:eastAsia="Times New Roman" w:cs="DecoType Naskh" w:hint="cs"/>
          <w:bCs/>
          <w:color w:val="auto"/>
          <w:kern w:val="0"/>
          <w:szCs w:val="26"/>
          <w:rtl/>
          <w14:ligatures w14:val="none"/>
        </w:rPr>
        <w:t>و</w:t>
      </w:r>
      <w:r w:rsidRPr="00072E15">
        <w:rPr>
          <w:rFonts w:eastAsia="Times New Roman" w:cs="DecoType Naskh"/>
          <w:bCs/>
          <w:color w:val="auto"/>
          <w:kern w:val="0"/>
          <w:szCs w:val="26"/>
          <w:rtl/>
          <w14:ligatures w14:val="none"/>
        </w:rPr>
        <w:t>.</w:t>
      </w:r>
      <w:r w:rsidRPr="00072E15">
        <w:rPr>
          <w:rFonts w:eastAsia="Times New Roman" w:cs="DecoType Naskh"/>
          <w:bCs/>
          <w:color w:val="auto"/>
          <w:kern w:val="0"/>
          <w:szCs w:val="26"/>
          <w:rtl/>
          <w14:ligatures w14:val="none"/>
        </w:rPr>
        <w:tab/>
        <w:t>ت</w:t>
      </w:r>
      <w:r w:rsidRPr="00072E15">
        <w:rPr>
          <w:rFonts w:eastAsia="Times New Roman" w:cs="DecoType Naskh" w:hint="cs"/>
          <w:bCs/>
          <w:color w:val="auto"/>
          <w:kern w:val="0"/>
          <w:szCs w:val="26"/>
          <w:rtl/>
          <w14:ligatures w14:val="none"/>
        </w:rPr>
        <w:t xml:space="preserve">عليمات إضافية للكهنة عن الذبائح </w:t>
      </w:r>
      <w:r w:rsidRPr="00072E15">
        <w:rPr>
          <w:rFonts w:eastAsia="Times New Roman" w:cs="DecoType Naskh"/>
          <w:bCs/>
          <w:color w:val="auto"/>
          <w:kern w:val="0"/>
          <w:szCs w:val="26"/>
          <w:rtl/>
          <w14:ligatures w14:val="none"/>
        </w:rPr>
        <w:t xml:space="preserve">(لاويين </w:t>
      </w:r>
      <w:r w:rsidRPr="00072E15">
        <w:rPr>
          <w:rFonts w:eastAsia="Times New Roman" w:cs="DecoType Naskh" w:hint="cs"/>
          <w:bCs/>
          <w:color w:val="auto"/>
          <w:kern w:val="0"/>
          <w:szCs w:val="26"/>
          <w:rtl/>
          <w14:ligatures w14:val="none"/>
        </w:rPr>
        <w:t>6</w:t>
      </w:r>
      <w:r w:rsidRPr="00072E15">
        <w:rPr>
          <w:rFonts w:eastAsia="Times New Roman" w:cs="DecoType Naskh"/>
          <w:bCs/>
          <w:color w:val="auto"/>
          <w:kern w:val="0"/>
          <w:szCs w:val="26"/>
          <w:rtl/>
          <w14:ligatures w14:val="none"/>
        </w:rPr>
        <w:t xml:space="preserve">: </w:t>
      </w:r>
      <w:r w:rsidRPr="00072E15">
        <w:rPr>
          <w:rFonts w:eastAsia="Times New Roman" w:cs="DecoType Naskh" w:hint="cs"/>
          <w:bCs/>
          <w:color w:val="auto"/>
          <w:kern w:val="0"/>
          <w:szCs w:val="26"/>
          <w:rtl/>
          <w14:ligatures w14:val="none"/>
        </w:rPr>
        <w:t>8</w:t>
      </w:r>
      <w:r w:rsidRPr="00072E15">
        <w:rPr>
          <w:rFonts w:eastAsia="Times New Roman" w:cs="DecoType Naskh"/>
          <w:bCs/>
          <w:color w:val="auto"/>
          <w:kern w:val="0"/>
          <w:szCs w:val="26"/>
          <w:rtl/>
          <w14:ligatures w14:val="none"/>
        </w:rPr>
        <w:t>-</w:t>
      </w:r>
      <w:r w:rsidRPr="00072E15">
        <w:rPr>
          <w:rFonts w:eastAsia="Times New Roman" w:cs="DecoType Naskh" w:hint="cs"/>
          <w:bCs/>
          <w:color w:val="auto"/>
          <w:kern w:val="0"/>
          <w:szCs w:val="26"/>
          <w:rtl/>
          <w14:ligatures w14:val="none"/>
        </w:rPr>
        <w:t>7</w:t>
      </w:r>
      <w:r w:rsidRPr="00072E15">
        <w:rPr>
          <w:rFonts w:eastAsia="Times New Roman" w:cs="DecoType Naskh"/>
          <w:bCs/>
          <w:color w:val="auto"/>
          <w:kern w:val="0"/>
          <w:szCs w:val="26"/>
          <w:rtl/>
          <w14:ligatures w14:val="none"/>
        </w:rPr>
        <w:t xml:space="preserve">: </w:t>
      </w:r>
      <w:r w:rsidRPr="00072E15">
        <w:rPr>
          <w:rFonts w:eastAsia="Times New Roman" w:cs="DecoType Naskh" w:hint="cs"/>
          <w:bCs/>
          <w:color w:val="auto"/>
          <w:kern w:val="0"/>
          <w:szCs w:val="26"/>
          <w:rtl/>
          <w14:ligatures w14:val="none"/>
        </w:rPr>
        <w:t>38</w:t>
      </w:r>
      <w:r w:rsidRPr="00072E15">
        <w:rPr>
          <w:rFonts w:eastAsia="Times New Roman" w:cs="DecoType Naskh"/>
          <w:bCs/>
          <w:color w:val="auto"/>
          <w:kern w:val="0"/>
          <w:szCs w:val="26"/>
          <w:rtl/>
          <w14:ligatures w14:val="none"/>
        </w:rPr>
        <w:t>)</w:t>
      </w:r>
    </w:p>
    <w:p w14:paraId="7B67398F"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2E15">
        <w:rPr>
          <w:rFonts w:eastAsia="Times New Roman" w:cs="DecoType Naskh" w:hint="cs"/>
          <w:color w:val="auto"/>
          <w:kern w:val="0"/>
          <w:szCs w:val="26"/>
          <w:rtl/>
          <w:lang w:bidi="ar-JO"/>
          <w14:ligatures w14:val="none"/>
        </w:rPr>
        <w:t>مادة هذا المقطع تتعلق في معظمها بنفس الذبائح، مع أن الترتيب مختلف قليلاً [يتم معالجة ذبائح السلامة في الآخر]. الاختلاف الرئيسي لهذا المقطع مقارنةً بالمادة السابقة هو أنها تتعلّق بشكلٍ غالب بأمور الكهنة. أيضاً محتوى 6: 8- - 7: 38 يتعلق معظمه بحصص الكهنة ذوي المناصب من الذبائح.</w:t>
      </w:r>
    </w:p>
    <w:p w14:paraId="5D5ABE2A" w14:textId="0B8E3E8F" w:rsidR="007F18C6" w:rsidRDefault="007F18C6" w:rsidP="002D6C54">
      <w:pPr>
        <w:tabs>
          <w:tab w:val="left" w:pos="547"/>
          <w:tab w:val="left" w:pos="1094"/>
          <w:tab w:val="left" w:pos="1642"/>
          <w:tab w:val="left" w:pos="2189"/>
          <w:tab w:val="left" w:pos="2736"/>
          <w:tab w:val="left" w:pos="3283"/>
          <w:tab w:val="left" w:pos="3830"/>
          <w:tab w:val="left" w:pos="4378"/>
        </w:tabs>
        <w:spacing w:after="120" w:line="240" w:lineRule="auto"/>
        <w:ind w:left="547"/>
        <w:jc w:val="both"/>
        <w:rPr>
          <w:rFonts w:eastAsia="Times New Roman" w:cs="Times New Roman"/>
          <w:bCs/>
          <w:color w:val="auto"/>
          <w:kern w:val="0"/>
          <w:sz w:val="22"/>
          <w:szCs w:val="24"/>
          <w:lang w:bidi="ar-JO"/>
          <w14:ligatures w14:val="none"/>
        </w:rPr>
      </w:pPr>
    </w:p>
    <w:p w14:paraId="471BC00C" w14:textId="77777777" w:rsidR="007F18C6" w:rsidRDefault="007F18C6" w:rsidP="002D6C54">
      <w:pPr>
        <w:tabs>
          <w:tab w:val="left" w:pos="547"/>
          <w:tab w:val="left" w:pos="1094"/>
          <w:tab w:val="left" w:pos="1642"/>
          <w:tab w:val="left" w:pos="2189"/>
          <w:tab w:val="left" w:pos="2736"/>
          <w:tab w:val="left" w:pos="3283"/>
          <w:tab w:val="left" w:pos="3830"/>
          <w:tab w:val="left" w:pos="4378"/>
        </w:tabs>
        <w:spacing w:after="120" w:line="240" w:lineRule="auto"/>
        <w:ind w:left="547"/>
        <w:jc w:val="both"/>
      </w:pPr>
    </w:p>
    <w:p w14:paraId="3E4DA850" w14:textId="77AE9AD3" w:rsidR="006311FA" w:rsidRPr="004C7B06" w:rsidRDefault="004C7B06" w:rsidP="004C7B06">
      <w:pPr>
        <w:pStyle w:val="Heading3"/>
        <w:bidi/>
        <w:spacing w:line="240" w:lineRule="auto"/>
        <w:rPr>
          <w:rFonts w:ascii="Simplified Arabic" w:hAnsi="Simplified Arabic" w:cs="Simplified Arabic"/>
          <w:b w:val="0"/>
          <w:bCs w:val="0"/>
        </w:rPr>
      </w:pPr>
      <w:bookmarkStart w:id="103" w:name="_Hlk157172569"/>
      <w:bookmarkStart w:id="104" w:name="_Hlk178778840"/>
      <w:r w:rsidRPr="004C7B06">
        <w:rPr>
          <w:rFonts w:ascii="Simplified Arabic" w:hAnsi="Simplified Arabic" w:cs="Simplified Arabic"/>
          <w:rtl/>
        </w:rPr>
        <w:lastRenderedPageBreak/>
        <w:t xml:space="preserve">الموضوع 2: </w:t>
      </w:r>
      <w:r w:rsidRPr="004C7B06">
        <w:rPr>
          <w:rFonts w:ascii="Simplified Arabic" w:eastAsia="Calibri" w:hAnsi="Simplified Arabic" w:cs="Simplified Arabic"/>
          <w:rtl/>
          <w14:ligatures w14:val="none"/>
        </w:rPr>
        <w:t>يوم الكفّارة (لاويّين 11: 1 – 16: 34)</w:t>
      </w:r>
    </w:p>
    <w:bookmarkEnd w:id="103"/>
    <w:p w14:paraId="4B3F1993" w14:textId="5ACB28EF" w:rsidR="002F2ED9" w:rsidRPr="007A4B15" w:rsidRDefault="002F2ED9" w:rsidP="00587CC3">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r w:rsidRPr="007A4B15">
        <w:rPr>
          <w:rFonts w:ascii="Verdana" w:eastAsia="Calibri" w:hAnsi="Verdana" w:cs="Times New Roman"/>
          <w:b/>
          <w:caps/>
          <w:noProof/>
          <w:color w:val="006699"/>
          <w:kern w:val="0"/>
          <w:sz w:val="21"/>
          <w:szCs w:val="24"/>
          <w14:ligatures w14:val="none"/>
        </w:rPr>
        <w:drawing>
          <wp:inline distT="0" distB="0" distL="0" distR="0" wp14:anchorId="75D6D24E" wp14:editId="4D4EE4E2">
            <wp:extent cx="613692" cy="541464"/>
            <wp:effectExtent l="0" t="0" r="0" b="0"/>
            <wp:docPr id="865091539" name="Picture 865091539"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587CC3" w:rsidRPr="00587CC3">
        <w:rPr>
          <w:rFonts w:ascii="Verdana" w:eastAsia="Calibri" w:hAnsi="Verdana" w:cs="Times New Roman" w:hint="cs"/>
          <w:bCs/>
          <w:caps/>
          <w:color w:val="006699"/>
          <w:kern w:val="0"/>
          <w:sz w:val="21"/>
          <w:szCs w:val="24"/>
          <w:u w:val="single"/>
          <w:rtl/>
          <w14:ligatures w14:val="none"/>
        </w:rPr>
        <w:t>القراءة:</w:t>
      </w:r>
    </w:p>
    <w:p w14:paraId="4EC4FAD0" w14:textId="69E44356" w:rsidR="002F2ED9" w:rsidRPr="002B24E1" w:rsidRDefault="002F2ED9" w:rsidP="00587CC3">
      <w:pPr>
        <w:bidi/>
        <w:spacing w:line="240" w:lineRule="auto"/>
        <w:rPr>
          <w:b/>
          <w:bCs/>
        </w:rPr>
      </w:pPr>
      <w:r>
        <w:tab/>
      </w:r>
      <w:r>
        <w:tab/>
      </w:r>
      <w:r w:rsidR="00587CC3">
        <w:rPr>
          <w:rFonts w:hint="cs"/>
          <w:rtl/>
        </w:rPr>
        <w:t xml:space="preserve">اقرأ لاويين 11: 1 </w:t>
      </w:r>
      <w:r w:rsidR="00587CC3">
        <w:rPr>
          <w:rtl/>
        </w:rPr>
        <w:t>–</w:t>
      </w:r>
      <w:r w:rsidR="00587CC3">
        <w:rPr>
          <w:rFonts w:hint="cs"/>
          <w:rtl/>
        </w:rPr>
        <w:t xml:space="preserve"> 16: 34) </w:t>
      </w:r>
    </w:p>
    <w:bookmarkEnd w:id="104"/>
    <w:p w14:paraId="36486451" w14:textId="77777777" w:rsidR="00072E15" w:rsidRPr="00072E15" w:rsidRDefault="00072E15" w:rsidP="002D6C54">
      <w:pPr>
        <w:bidi/>
        <w:spacing w:after="0" w:line="240" w:lineRule="auto"/>
        <w:jc w:val="center"/>
        <w:rPr>
          <w:rFonts w:eastAsia="Times New Roman" w:cs="Traditional Arabic Backslanted"/>
          <w:bCs/>
          <w:color w:val="auto"/>
          <w:kern w:val="0"/>
          <w:szCs w:val="28"/>
          <w:rtl/>
          <w:lang w:bidi="ar-JO"/>
          <w14:ligatures w14:val="none"/>
        </w:rPr>
      </w:pPr>
    </w:p>
    <w:p w14:paraId="123D4594" w14:textId="77777777" w:rsidR="00072E15" w:rsidRPr="00072E15" w:rsidRDefault="00072E15"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2E15">
        <w:rPr>
          <w:rFonts w:eastAsia="Times New Roman" w:cs="DecoType Naskh" w:hint="cs"/>
          <w:bCs/>
          <w:color w:val="auto"/>
          <w:kern w:val="0"/>
          <w:szCs w:val="28"/>
          <w:rtl/>
          <w:lang w:bidi="ar-JO"/>
          <w14:ligatures w14:val="none"/>
        </w:rPr>
        <w:t>1</w:t>
      </w:r>
      <w:r w:rsidRPr="00072E15">
        <w:rPr>
          <w:rFonts w:eastAsia="Times New Roman" w:cs="DecoType Naskh"/>
          <w:bCs/>
          <w:color w:val="auto"/>
          <w:kern w:val="0"/>
          <w:szCs w:val="28"/>
          <w:rtl/>
          <w:lang w:bidi="ar-JO"/>
          <w14:ligatures w14:val="none"/>
        </w:rPr>
        <w:t>.</w:t>
      </w:r>
      <w:r w:rsidRPr="00072E15">
        <w:rPr>
          <w:rFonts w:eastAsia="Times New Roman" w:cs="DecoType Naskh"/>
          <w:bCs/>
          <w:color w:val="auto"/>
          <w:kern w:val="0"/>
          <w:szCs w:val="28"/>
          <w:rtl/>
          <w:lang w:bidi="ar-JO"/>
          <w14:ligatures w14:val="none"/>
        </w:rPr>
        <w:tab/>
        <w:t>مقدّمة</w:t>
      </w:r>
    </w:p>
    <w:p w14:paraId="53A3038D"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تحتوي ا</w:t>
      </w:r>
      <w:r w:rsidRPr="00072E15">
        <w:rPr>
          <w:rFonts w:eastAsia="Times New Roman" w:cs="DecoType Naskh" w:hint="cs"/>
          <w:color w:val="auto"/>
          <w:kern w:val="0"/>
          <w:szCs w:val="26"/>
          <w:rtl/>
          <w:lang w:bidi="ar-JO"/>
          <w14:ligatures w14:val="none"/>
        </w:rPr>
        <w:t>لأ</w:t>
      </w:r>
      <w:r w:rsidRPr="00072E15">
        <w:rPr>
          <w:rFonts w:eastAsia="Times New Roman" w:cs="DecoType Naskh"/>
          <w:color w:val="auto"/>
          <w:kern w:val="0"/>
          <w:szCs w:val="26"/>
          <w:rtl/>
          <w:lang w:bidi="ar-JO"/>
          <w14:ligatures w14:val="none"/>
        </w:rPr>
        <w:t xml:space="preserve">صحاحات 11-16 من سفر اللاويين على </w:t>
      </w:r>
      <w:r w:rsidRPr="00072E15">
        <w:rPr>
          <w:rFonts w:eastAsia="Times New Roman" w:cs="DecoType Naskh" w:hint="cs"/>
          <w:color w:val="auto"/>
          <w:kern w:val="0"/>
          <w:szCs w:val="26"/>
          <w:rtl/>
          <w:lang w:bidi="ar-JO"/>
          <w14:ligatures w14:val="none"/>
        </w:rPr>
        <w:t>خطين</w:t>
      </w:r>
      <w:r w:rsidRPr="00072E15">
        <w:rPr>
          <w:rFonts w:eastAsia="Times New Roman" w:cs="DecoType Naskh"/>
          <w:color w:val="auto"/>
          <w:kern w:val="0"/>
          <w:szCs w:val="26"/>
          <w:rtl/>
          <w:lang w:bidi="ar-JO"/>
          <w14:ligatures w14:val="none"/>
        </w:rPr>
        <w:t xml:space="preserve"> من الأفكار: يتعلق الخط الأول بالأنظمة المختلفة التي تحكم مسألة "النجاسة" (11-15)، بينما يتناول الثاني ترسيخ نظام لـ "يوم الكفارة".  سأقدم عدة تعليقات مختصرة على ا</w:t>
      </w:r>
      <w:r w:rsidRPr="00072E15">
        <w:rPr>
          <w:rFonts w:eastAsia="Times New Roman" w:cs="DecoType Naskh" w:hint="cs"/>
          <w:color w:val="auto"/>
          <w:kern w:val="0"/>
          <w:szCs w:val="26"/>
          <w:rtl/>
          <w:lang w:bidi="ar-JO"/>
          <w14:ligatures w14:val="none"/>
        </w:rPr>
        <w:t>لأ</w:t>
      </w:r>
      <w:r w:rsidRPr="00072E15">
        <w:rPr>
          <w:rFonts w:eastAsia="Times New Roman" w:cs="DecoType Naskh"/>
          <w:color w:val="auto"/>
          <w:kern w:val="0"/>
          <w:szCs w:val="26"/>
          <w:rtl/>
          <w:lang w:bidi="ar-JO"/>
          <w14:ligatures w14:val="none"/>
        </w:rPr>
        <w:t xml:space="preserve">صحاحات 11-15، وبعد ذلك سأركّز معظم </w:t>
      </w:r>
      <w:r w:rsidRPr="00072E15">
        <w:rPr>
          <w:rFonts w:eastAsia="Times New Roman" w:cs="DecoType Naskh" w:hint="cs"/>
          <w:color w:val="auto"/>
          <w:kern w:val="0"/>
          <w:szCs w:val="26"/>
          <w:rtl/>
          <w:lang w:bidi="ar-JO"/>
          <w14:ligatures w14:val="none"/>
        </w:rPr>
        <w:t>النقاش</w:t>
      </w:r>
      <w:r w:rsidRPr="00072E15">
        <w:rPr>
          <w:rFonts w:eastAsia="Times New Roman" w:cs="DecoType Naskh"/>
          <w:color w:val="auto"/>
          <w:kern w:val="0"/>
          <w:szCs w:val="26"/>
          <w:rtl/>
          <w:lang w:bidi="ar-JO"/>
          <w14:ligatures w14:val="none"/>
        </w:rPr>
        <w:t xml:space="preserve"> على ا</w:t>
      </w:r>
      <w:r w:rsidRPr="00072E15">
        <w:rPr>
          <w:rFonts w:eastAsia="Times New Roman" w:cs="DecoType Naskh" w:hint="cs"/>
          <w:color w:val="auto"/>
          <w:kern w:val="0"/>
          <w:szCs w:val="26"/>
          <w:rtl/>
          <w:lang w:bidi="ar-JO"/>
          <w14:ligatures w14:val="none"/>
        </w:rPr>
        <w:t>لأ</w:t>
      </w:r>
      <w:r w:rsidRPr="00072E15">
        <w:rPr>
          <w:rFonts w:eastAsia="Times New Roman" w:cs="DecoType Naskh"/>
          <w:color w:val="auto"/>
          <w:kern w:val="0"/>
          <w:szCs w:val="26"/>
          <w:rtl/>
          <w:lang w:bidi="ar-JO"/>
          <w14:ligatures w14:val="none"/>
        </w:rPr>
        <w:t>صحاح السادس عشر</w:t>
      </w:r>
      <w:r w:rsidRPr="00072E15">
        <w:rPr>
          <w:rFonts w:eastAsia="Times New Roman" w:cs="DecoType Naskh" w:hint="cs"/>
          <w:color w:val="auto"/>
          <w:kern w:val="0"/>
          <w:szCs w:val="26"/>
          <w:rtl/>
          <w:lang w:bidi="ar-JO"/>
          <w14:ligatures w14:val="none"/>
        </w:rPr>
        <w:t>.</w:t>
      </w:r>
    </w:p>
    <w:p w14:paraId="2FCC0853"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168124C"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092C5A6"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29B55B8E"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center"/>
        <w:rPr>
          <w:rFonts w:eastAsia="Times New Roman" w:cs="DecoType Naskh"/>
          <w:color w:val="auto"/>
          <w:kern w:val="0"/>
          <w:sz w:val="18"/>
          <w:szCs w:val="20"/>
          <w:rtl/>
          <w14:ligatures w14:val="none"/>
        </w:rPr>
      </w:pPr>
      <w:r w:rsidRPr="00072E15">
        <w:rPr>
          <w:rFonts w:eastAsia="Times New Roman" w:cs="DecoType Naskh"/>
          <w:color w:val="auto"/>
          <w:kern w:val="0"/>
          <w:sz w:val="16"/>
          <w:szCs w:val="16"/>
          <w:lang w:bidi="ar-JO"/>
          <w14:ligatures w14:val="none"/>
        </w:rPr>
        <w:object w:dxaOrig="3960" w:dyaOrig="900" w14:anchorId="7EB9BB03">
          <v:shape id="_x0000_i1033" type="#_x0000_t75" style="width:396pt;height:89.4pt" o:ole="">
            <v:imagedata r:id="rId56" o:title=""/>
          </v:shape>
          <o:OLEObject Type="Embed" ProgID="PowerPoint.Show.8" ShapeID="_x0000_i1033" DrawAspect="Content" ObjectID="_1802157128" r:id="rId57"/>
        </w:object>
      </w:r>
    </w:p>
    <w:p w14:paraId="2D861FCB"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lang w:bidi="ar-KW"/>
          <w14:ligatures w14:val="none"/>
        </w:rPr>
      </w:pPr>
    </w:p>
    <w:p w14:paraId="0D7E73FC"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lang w:bidi="ar-KW"/>
          <w14:ligatures w14:val="none"/>
        </w:rPr>
      </w:pPr>
    </w:p>
    <w:p w14:paraId="473437BB" w14:textId="77777777" w:rsidR="00072E15" w:rsidRPr="00072E15" w:rsidRDefault="00072E15"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2E15">
        <w:rPr>
          <w:rFonts w:eastAsia="Times New Roman" w:cs="DecoType Naskh" w:hint="cs"/>
          <w:bCs/>
          <w:color w:val="auto"/>
          <w:kern w:val="0"/>
          <w:szCs w:val="28"/>
          <w:rtl/>
          <w:lang w:bidi="ar-JO"/>
          <w14:ligatures w14:val="none"/>
        </w:rPr>
        <w:t>2</w:t>
      </w:r>
      <w:r w:rsidRPr="00072E15">
        <w:rPr>
          <w:rFonts w:eastAsia="Times New Roman" w:cs="DecoType Naskh"/>
          <w:bCs/>
          <w:color w:val="auto"/>
          <w:kern w:val="0"/>
          <w:szCs w:val="28"/>
          <w:rtl/>
          <w:lang w:bidi="ar-JO"/>
          <w14:ligatures w14:val="none"/>
        </w:rPr>
        <w:t>.</w:t>
      </w:r>
      <w:r w:rsidRPr="00072E15">
        <w:rPr>
          <w:rFonts w:eastAsia="Times New Roman" w:cs="DecoType Naskh"/>
          <w:bCs/>
          <w:color w:val="auto"/>
          <w:kern w:val="0"/>
          <w:szCs w:val="28"/>
          <w:rtl/>
          <w:lang w:bidi="ar-JO"/>
          <w14:ligatures w14:val="none"/>
        </w:rPr>
        <w:tab/>
        <w:t>النجاسة الطقسية وطقوس التطهير (لاويين 11-15)</w:t>
      </w:r>
    </w:p>
    <w:p w14:paraId="394AC8B7"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يتناول ا</w:t>
      </w:r>
      <w:r w:rsidRPr="00072E15">
        <w:rPr>
          <w:rFonts w:eastAsia="Times New Roman" w:cs="DecoType Naskh" w:hint="cs"/>
          <w:color w:val="auto"/>
          <w:kern w:val="0"/>
          <w:szCs w:val="26"/>
          <w:rtl/>
          <w:lang w:bidi="ar-JO"/>
          <w14:ligatures w14:val="none"/>
        </w:rPr>
        <w:t>لأ</w:t>
      </w:r>
      <w:r w:rsidRPr="00072E15">
        <w:rPr>
          <w:rFonts w:eastAsia="Times New Roman" w:cs="DecoType Naskh"/>
          <w:color w:val="auto"/>
          <w:kern w:val="0"/>
          <w:szCs w:val="26"/>
          <w:rtl/>
          <w:lang w:bidi="ar-JO"/>
          <w14:ligatures w14:val="none"/>
        </w:rPr>
        <w:t xml:space="preserve">صحاح الحادي عشر الأطعمة غير الطاهرة.  وقد كان أساسياً من حيث أهميته لمفهوم القداسة، خاصة فكرة </w:t>
      </w:r>
      <w:r w:rsidRPr="00072E15">
        <w:rPr>
          <w:rFonts w:eastAsia="Times New Roman" w:cs="DecoType Naskh"/>
          <w:color w:val="auto"/>
          <w:kern w:val="0"/>
          <w:szCs w:val="26"/>
          <w:u w:val="single"/>
          <w:rtl/>
          <w:lang w:bidi="ar-JO"/>
          <w14:ligatures w14:val="none"/>
        </w:rPr>
        <w:t>الانفصال</w:t>
      </w:r>
      <w:r w:rsidRPr="00072E15">
        <w:rPr>
          <w:rFonts w:eastAsia="Times New Roman" w:cs="DecoType Naskh"/>
          <w:color w:val="auto"/>
          <w:kern w:val="0"/>
          <w:szCs w:val="26"/>
          <w:rtl/>
          <w:lang w:bidi="ar-JO"/>
          <w14:ligatures w14:val="none"/>
        </w:rPr>
        <w:t xml:space="preserve">.  فلم يُسمح لبني إسرائيل بأن يأكلوا أي شيء وكل شيء كما كان حال جيرانهم الوثنيين.  بل كان يُفترض أن يكونوا مميَّزين، حتى في الأطعمة التي يتناولونها.  وتوجد عدة أسباب لهذه القيود المتعلقة بالأطعمة: (1) كانت بعض الأطعمة غير الطاهرة </w:t>
      </w:r>
      <w:r w:rsidRPr="00072E15">
        <w:rPr>
          <w:rFonts w:eastAsia="Times New Roman" w:cs="DecoType Naskh" w:hint="cs"/>
          <w:color w:val="auto"/>
          <w:kern w:val="0"/>
          <w:szCs w:val="26"/>
          <w:rtl/>
          <w:lang w:bidi="ar-JO"/>
          <w14:ligatures w14:val="none"/>
        </w:rPr>
        <w:t>حولها جدل وفيها مشاكل.</w:t>
      </w:r>
      <w:r w:rsidRPr="00072E15">
        <w:rPr>
          <w:rFonts w:eastAsia="Times New Roman" w:cs="DecoType Naskh"/>
          <w:color w:val="auto"/>
          <w:kern w:val="0"/>
          <w:szCs w:val="26"/>
          <w:rtl/>
          <w:lang w:bidi="ar-JO"/>
          <w14:ligatures w14:val="none"/>
        </w:rPr>
        <w:t xml:space="preserve"> (2) من شأن بعض الأطعمة الأخرى أن تسبب مشاكل في الصحراء، في حين كان الله يريد أن يحفظهم من المرض</w:t>
      </w:r>
      <w:r w:rsidRPr="00072E15">
        <w:rPr>
          <w:rFonts w:eastAsia="Times New Roman" w:cs="DecoType Naskh" w:hint="cs"/>
          <w:color w:val="auto"/>
          <w:kern w:val="0"/>
          <w:szCs w:val="26"/>
          <w:rtl/>
          <w:lang w:bidi="ar-JO"/>
          <w14:ligatures w14:val="none"/>
        </w:rPr>
        <w:t>.</w:t>
      </w:r>
      <w:r w:rsidRPr="00072E15">
        <w:rPr>
          <w:rFonts w:eastAsia="Times New Roman" w:cs="DecoType Naskh"/>
          <w:color w:val="auto"/>
          <w:kern w:val="0"/>
          <w:szCs w:val="26"/>
          <w:rtl/>
          <w:lang w:bidi="ar-JO"/>
          <w14:ligatures w14:val="none"/>
        </w:rPr>
        <w:t xml:space="preserve"> (3) توضح هذه الأطعمة جوهر القداسة (يجب أن يكون شعب الله مدقّقين في ما يختارونه-هل هذا يرضي الله؟) نحن كمؤمنين بالمسيح أحرار من عبودية أنظمة الأطعمة</w:t>
      </w:r>
      <w:r w:rsidRPr="00072E15">
        <w:rPr>
          <w:rFonts w:eastAsia="Times New Roman" w:cs="DecoType Naskh" w:hint="cs"/>
          <w:color w:val="auto"/>
          <w:kern w:val="0"/>
          <w:szCs w:val="26"/>
          <w:rtl/>
          <w:lang w:bidi="ar-JO"/>
          <w14:ligatures w14:val="none"/>
        </w:rPr>
        <w:t>،</w:t>
      </w:r>
      <w:r w:rsidRPr="00072E15">
        <w:rPr>
          <w:rFonts w:eastAsia="Times New Roman" w:cs="DecoType Naskh"/>
          <w:color w:val="auto"/>
          <w:kern w:val="0"/>
          <w:szCs w:val="26"/>
          <w:rtl/>
          <w:lang w:bidi="ar-JO"/>
          <w14:ligatures w14:val="none"/>
        </w:rPr>
        <w:t xml:space="preserve"> فقد حررنا المسيح ونقلنا إلى شريعة أسمى، حيث يكون المبدأ العام الذي يجب أن يحكم كل تصرّف هو أن لا نفعل شيئاً من شأنه أن يلوّث حياتنا بالعالم الفاسد الذي نحيا فيه.  يجب أن نفعل كل شيء لمجد الله.</w:t>
      </w:r>
    </w:p>
    <w:p w14:paraId="0502EEC6"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C8ED0AF"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072E15">
        <w:rPr>
          <w:rFonts w:eastAsia="Times New Roman" w:cs="DecoType Naskh"/>
          <w:color w:val="auto"/>
          <w:kern w:val="0"/>
          <w:szCs w:val="26"/>
          <w:rtl/>
          <w:lang w:bidi="ar-JO"/>
          <w14:ligatures w14:val="none"/>
        </w:rPr>
        <w:t xml:space="preserve">تقدم </w:t>
      </w:r>
      <w:r w:rsidRPr="00072E15">
        <w:rPr>
          <w:rFonts w:eastAsia="Times New Roman" w:cs="DecoType Naskh" w:hint="cs"/>
          <w:color w:val="auto"/>
          <w:kern w:val="0"/>
          <w:szCs w:val="26"/>
          <w:rtl/>
          <w:lang w:bidi="ar-JO"/>
          <w14:ligatures w14:val="none"/>
        </w:rPr>
        <w:t>الأ</w:t>
      </w:r>
      <w:r w:rsidRPr="00072E15">
        <w:rPr>
          <w:rFonts w:eastAsia="Times New Roman" w:cs="DecoType Naskh"/>
          <w:color w:val="auto"/>
          <w:kern w:val="0"/>
          <w:szCs w:val="26"/>
          <w:rtl/>
          <w:lang w:bidi="ar-JO"/>
          <w14:ligatures w14:val="none"/>
        </w:rPr>
        <w:t>صحاحات من 12-15 نفس المبدأ الأساسي في القداسة نحو الرب في كل جانب من جوانب الحياة الجسدية.  ويجب أن نوضح تماماً أن هذه المبادئ لا تفترض الخطية في الشخص العبراني ذي الصلة.  فالمرأة في حالة الوضع، على سبيل المثال، لم تكن "في حالة خطية"، ولا يجرّم النص الوليد أيضاً.  فالمسألة كلّها تتناول حضور مجد الله في وسط إسرائيل.  إذ كانت خيمة الاجتماع تحظر دخول كل ما هو مبتذل وقذر ومريض وغريب وغير طاهر، لأن حضور مجد الله كان هناك.  كان هذا ينطبق بشكل خاص على مسألة الدم؛ فلا يمكن أن يؤتى إلى الهيكل إلاّ بنوع واحد من الدم، ألا وهو دم الذبائح.  فالتوكيد إذاً على قداسة الله وانفصاله.  لكن كان ما يزال في مقدور الأفراد "غير الطاهرين" أن يعبدوا ويصلوا ويسبحوا ويدرسوا التوراة.  وتوجد حقيقية منسجمة مع السماء في الإصحاحات 12-15.  فمجد الله ساكن في السماء التي لا يمكن أن يدخلها شيء مؤذٍ أو منجِّس، بل لا يدخلها إلاّ ما هو مقدّس.  وكلُّ فساد محظور (قارن هذا مع "أورشليم الجديدة"</w:t>
      </w:r>
      <w:r w:rsidRPr="00072E15">
        <w:rPr>
          <w:rFonts w:eastAsia="Times New Roman" w:cs="DecoType Naskh" w:hint="cs"/>
          <w:color w:val="auto"/>
          <w:kern w:val="0"/>
          <w:szCs w:val="26"/>
          <w:rtl/>
          <w:lang w:bidi="ar-JO"/>
          <w14:ligatures w14:val="none"/>
        </w:rPr>
        <w:t>)</w:t>
      </w:r>
      <w:r w:rsidRPr="00072E15">
        <w:rPr>
          <w:rFonts w:eastAsia="Times New Roman" w:cs="DecoType Naskh"/>
          <w:color w:val="auto"/>
          <w:kern w:val="0"/>
          <w:szCs w:val="26"/>
          <w:rtl/>
          <w:lang w:bidi="ar-JO"/>
          <w14:ligatures w14:val="none"/>
        </w:rPr>
        <w:t xml:space="preserve">.  لدي تعليق أخير حول </w:t>
      </w:r>
      <w:r w:rsidRPr="00072E15">
        <w:rPr>
          <w:rFonts w:eastAsia="Times New Roman" w:cs="DecoType Naskh"/>
          <w:color w:val="auto"/>
          <w:kern w:val="0"/>
          <w:szCs w:val="26"/>
          <w:rtl/>
          <w:lang w:bidi="ar-JO"/>
          <w14:ligatures w14:val="none"/>
        </w:rPr>
        <w:lastRenderedPageBreak/>
        <w:t>"البرص" (لاويين 13-14).  فلا يجب أن يقتصر فهمنا لهذا التعبير على المرض المعروف باسم "البرص"، بل يجب أن نفهمه على أنه يشمل كل أنواع الأمراض الجلدية الأخرى.</w:t>
      </w:r>
    </w:p>
    <w:p w14:paraId="6DE8B099"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12CBD46C" w14:textId="77777777" w:rsidR="00072E15" w:rsidRPr="00072E15" w:rsidRDefault="00072E15"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2E15">
        <w:rPr>
          <w:rFonts w:eastAsia="Times New Roman" w:cs="DecoType Naskh" w:hint="cs"/>
          <w:bCs/>
          <w:color w:val="auto"/>
          <w:kern w:val="0"/>
          <w:szCs w:val="28"/>
          <w:rtl/>
          <w:lang w:bidi="ar-JO"/>
          <w14:ligatures w14:val="none"/>
        </w:rPr>
        <w:t>3</w:t>
      </w:r>
      <w:r w:rsidRPr="00072E15">
        <w:rPr>
          <w:rFonts w:eastAsia="Times New Roman" w:cs="DecoType Naskh"/>
          <w:bCs/>
          <w:color w:val="auto"/>
          <w:kern w:val="0"/>
          <w:szCs w:val="28"/>
          <w:rtl/>
          <w:lang w:bidi="ar-JO"/>
          <w14:ligatures w14:val="none"/>
        </w:rPr>
        <w:t>.</w:t>
      </w:r>
      <w:r w:rsidRPr="00072E15">
        <w:rPr>
          <w:rFonts w:eastAsia="Times New Roman" w:cs="DecoType Naskh"/>
          <w:bCs/>
          <w:color w:val="auto"/>
          <w:kern w:val="0"/>
          <w:szCs w:val="28"/>
          <w:rtl/>
          <w:lang w:bidi="ar-JO"/>
          <w14:ligatures w14:val="none"/>
        </w:rPr>
        <w:tab/>
        <w:t>يوم الكفّارة (لاويين 16)</w:t>
      </w:r>
    </w:p>
    <w:p w14:paraId="30A0EA02"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 xml:space="preserve">كان يوم الكفّارة إحدى أكثر المناسبات المهيبة الهامّة في عبادة بني إسرائيل.  كان يقع في اليوم العاشر من الشهر السابع، أي تشري (أيلول- تشرين أول).  "كان يوم كبّور أهم الأيام التي سعت فيها إسرائيل كأمة إلى استرضاء الله الذي </w:t>
      </w:r>
      <w:r w:rsidRPr="00072E15">
        <w:rPr>
          <w:rFonts w:eastAsia="Times New Roman" w:cs="DecoType Naskh" w:hint="cs"/>
          <w:color w:val="auto"/>
          <w:kern w:val="0"/>
          <w:szCs w:val="26"/>
          <w:rtl/>
          <w:lang w:bidi="ar-JO"/>
          <w14:ligatures w14:val="none"/>
        </w:rPr>
        <w:t>أخطأوا</w:t>
      </w:r>
      <w:r w:rsidRPr="00072E15">
        <w:rPr>
          <w:rFonts w:eastAsia="Times New Roman" w:cs="DecoType Naskh"/>
          <w:color w:val="auto"/>
          <w:kern w:val="0"/>
          <w:szCs w:val="26"/>
          <w:rtl/>
          <w:lang w:bidi="ar-JO"/>
          <w14:ligatures w14:val="none"/>
        </w:rPr>
        <w:t xml:space="preserve"> إليه بواسطة تقديم كفّارة، وإلى بركة غفرانه الناتجة عن منح الغفران والمصالحة معه."</w:t>
      </w:r>
      <w:r w:rsidRPr="00072E15">
        <w:rPr>
          <w:rFonts w:eastAsia="Times New Roman" w:cs="DecoType Naskh"/>
          <w:color w:val="auto"/>
          <w:kern w:val="0"/>
          <w:sz w:val="30"/>
          <w:szCs w:val="28"/>
          <w:vertAlign w:val="superscript"/>
          <w:rtl/>
          <w:lang w:bidi="ar-JO"/>
          <w14:ligatures w14:val="none"/>
        </w:rPr>
        <w:footnoteReference w:id="87"/>
      </w:r>
      <w:r w:rsidRPr="00072E15">
        <w:rPr>
          <w:rFonts w:eastAsia="Times New Roman" w:cs="DecoType Naskh"/>
          <w:color w:val="auto"/>
          <w:kern w:val="0"/>
          <w:szCs w:val="26"/>
          <w:rtl/>
          <w:lang w:bidi="ar-JO"/>
          <w14:ligatures w14:val="none"/>
        </w:rPr>
        <w:t xml:space="preserve">  </w:t>
      </w:r>
      <w:r w:rsidRPr="00072E15">
        <w:rPr>
          <w:rFonts w:eastAsia="Times New Roman" w:cs="DecoType Naskh" w:hint="cs"/>
          <w:color w:val="auto"/>
          <w:kern w:val="0"/>
          <w:szCs w:val="26"/>
          <w:rtl/>
          <w:lang w:bidi="ar-JO"/>
          <w14:ligatures w14:val="none"/>
        </w:rPr>
        <w:t>كان</w:t>
      </w:r>
      <w:r w:rsidRPr="00072E15">
        <w:rPr>
          <w:rFonts w:eastAsia="Times New Roman" w:cs="DecoType Naskh"/>
          <w:color w:val="auto"/>
          <w:kern w:val="0"/>
          <w:szCs w:val="26"/>
          <w:rtl/>
          <w:lang w:bidi="ar-JO"/>
          <w14:ligatures w14:val="none"/>
        </w:rPr>
        <w:t xml:space="preserve"> احتفال يوم الكفارة </w:t>
      </w:r>
      <w:r w:rsidRPr="00072E15">
        <w:rPr>
          <w:rFonts w:eastAsia="Times New Roman" w:cs="DecoType Naskh" w:hint="cs"/>
          <w:color w:val="auto"/>
          <w:kern w:val="0"/>
          <w:szCs w:val="26"/>
          <w:rtl/>
          <w:lang w:bidi="ar-JO"/>
          <w14:ligatures w14:val="none"/>
        </w:rPr>
        <w:t xml:space="preserve">يُقام </w:t>
      </w:r>
      <w:r w:rsidRPr="00072E15">
        <w:rPr>
          <w:rFonts w:eastAsia="Times New Roman" w:cs="DecoType Naskh"/>
          <w:color w:val="auto"/>
          <w:kern w:val="0"/>
          <w:szCs w:val="26"/>
          <w:rtl/>
          <w:lang w:bidi="ar-JO"/>
          <w14:ligatures w14:val="none"/>
        </w:rPr>
        <w:t xml:space="preserve">مرة واحد كل سنة، فكانت هذه هي المرة الوحيدة التي يُسمح فيها للكاهن الأعلى بالدخول إلى قدس الأقداس.  وفي حين مثل سفر الخروج افتداء أمة إسرائيل كأمّة من العبودية، تضمّن يوم الكفارة تكفيراً عن الخطية "الجماعية" لكل </w:t>
      </w:r>
      <w:r w:rsidRPr="00072E15">
        <w:rPr>
          <w:rFonts w:eastAsia="Times New Roman" w:cs="DecoType Naskh" w:hint="cs"/>
          <w:color w:val="auto"/>
          <w:kern w:val="0"/>
          <w:szCs w:val="26"/>
          <w:rtl/>
          <w:lang w:bidi="ar-JO"/>
          <w14:ligatures w14:val="none"/>
        </w:rPr>
        <w:t>الناس</w:t>
      </w:r>
      <w:r w:rsidRPr="00072E15">
        <w:rPr>
          <w:rFonts w:eastAsia="Times New Roman" w:cs="DecoType Naskh"/>
          <w:color w:val="auto"/>
          <w:kern w:val="0"/>
          <w:szCs w:val="26"/>
          <w:rtl/>
          <w:lang w:bidi="ar-JO"/>
          <w14:ligatures w14:val="none"/>
        </w:rPr>
        <w:t xml:space="preserve"> الذين يشكّلون الأمة.  </w:t>
      </w:r>
      <w:r w:rsidRPr="00072E15">
        <w:rPr>
          <w:rFonts w:eastAsia="Times New Roman" w:cs="DecoType Naskh" w:hint="cs"/>
          <w:color w:val="auto"/>
          <w:kern w:val="0"/>
          <w:szCs w:val="26"/>
          <w:rtl/>
          <w:lang w:bidi="ar-JO"/>
          <w14:ligatures w14:val="none"/>
        </w:rPr>
        <w:t>كان</w:t>
      </w:r>
      <w:r w:rsidRPr="00072E15">
        <w:rPr>
          <w:rFonts w:eastAsia="Times New Roman" w:cs="DecoType Naskh"/>
          <w:color w:val="auto"/>
          <w:kern w:val="0"/>
          <w:szCs w:val="26"/>
          <w:rtl/>
          <w:lang w:bidi="ar-JO"/>
          <w14:ligatures w14:val="none"/>
        </w:rPr>
        <w:t xml:space="preserve"> يوم الكفّارة</w:t>
      </w:r>
      <w:r w:rsidRPr="00072E15">
        <w:rPr>
          <w:rFonts w:eastAsia="Times New Roman" w:cs="DecoType Naskh" w:hint="cs"/>
          <w:color w:val="auto"/>
          <w:kern w:val="0"/>
          <w:szCs w:val="26"/>
          <w:rtl/>
          <w:lang w:bidi="ar-JO"/>
          <w14:ligatures w14:val="none"/>
        </w:rPr>
        <w:t xml:space="preserve"> يعطي</w:t>
      </w:r>
      <w:r w:rsidRPr="00072E15">
        <w:rPr>
          <w:rFonts w:eastAsia="Times New Roman" w:cs="DecoType Naskh"/>
          <w:color w:val="auto"/>
          <w:kern w:val="0"/>
          <w:szCs w:val="26"/>
          <w:rtl/>
          <w:lang w:bidi="ar-JO"/>
          <w14:ligatures w14:val="none"/>
        </w:rPr>
        <w:t xml:space="preserve"> أساساً يمكن أن يتعامل الله بموجبه مع الأمّة بالرغم من إثمهم.</w:t>
      </w:r>
    </w:p>
    <w:p w14:paraId="283E201A"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26242F5" w14:textId="77777777" w:rsidR="00072E15" w:rsidRPr="00072E15" w:rsidRDefault="00072E15" w:rsidP="002D6C54">
      <w:pPr>
        <w:tabs>
          <w:tab w:val="left" w:pos="454"/>
        </w:tabs>
        <w:bidi/>
        <w:spacing w:after="60" w:line="240" w:lineRule="auto"/>
        <w:ind w:left="550" w:hanging="550"/>
        <w:jc w:val="both"/>
        <w:rPr>
          <w:rFonts w:eastAsia="Times New Roman" w:cs="DecoType Naskh"/>
          <w:bCs/>
          <w:color w:val="auto"/>
          <w:kern w:val="0"/>
          <w:szCs w:val="26"/>
          <w:rtl/>
          <w:lang w:bidi="ar-KW"/>
          <w14:ligatures w14:val="none"/>
        </w:rPr>
      </w:pPr>
      <w:r w:rsidRPr="00072E15">
        <w:rPr>
          <w:rFonts w:eastAsia="Times New Roman" w:cs="DecoType Naskh"/>
          <w:bCs/>
          <w:color w:val="auto"/>
          <w:kern w:val="0"/>
          <w:szCs w:val="26"/>
          <w:rtl/>
          <w14:ligatures w14:val="none"/>
        </w:rPr>
        <w:t>أ.</w:t>
      </w:r>
      <w:r w:rsidRPr="00072E15">
        <w:rPr>
          <w:rFonts w:eastAsia="Times New Roman" w:cs="DecoType Naskh"/>
          <w:bCs/>
          <w:color w:val="auto"/>
          <w:kern w:val="0"/>
          <w:szCs w:val="26"/>
          <w:rtl/>
          <w14:ligatures w14:val="none"/>
        </w:rPr>
        <w:tab/>
        <w:t>البُنية</w:t>
      </w:r>
    </w:p>
    <w:p w14:paraId="3EAFB614"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072E15">
        <w:rPr>
          <w:rFonts w:eastAsia="Times New Roman" w:cs="DecoType Naskh"/>
          <w:color w:val="auto"/>
          <w:kern w:val="0"/>
          <w:szCs w:val="26"/>
          <w:rtl/>
          <w:lang w:bidi="ar-JO"/>
          <w14:ligatures w14:val="none"/>
        </w:rPr>
        <w:t>1-2</w:t>
      </w:r>
      <w:r w:rsidRPr="00072E15">
        <w:rPr>
          <w:rFonts w:eastAsia="Times New Roman" w:cs="DecoType Naskh"/>
          <w:color w:val="auto"/>
          <w:kern w:val="0"/>
          <w:szCs w:val="26"/>
          <w:rtl/>
          <w:lang w:bidi="ar-JO"/>
          <w14:ligatures w14:val="none"/>
        </w:rPr>
        <w:tab/>
      </w:r>
      <w:r w:rsidRPr="00072E15">
        <w:rPr>
          <w:rFonts w:eastAsia="Times New Roman" w:cs="DecoType Naskh" w:hint="cs"/>
          <w:color w:val="auto"/>
          <w:kern w:val="0"/>
          <w:szCs w:val="26"/>
          <w:rtl/>
          <w14:ligatures w14:val="none"/>
        </w:rPr>
        <w:tab/>
      </w:r>
      <w:r w:rsidRPr="00072E15">
        <w:rPr>
          <w:rFonts w:eastAsia="Times New Roman" w:cs="DecoType Naskh"/>
          <w:color w:val="auto"/>
          <w:kern w:val="0"/>
          <w:szCs w:val="26"/>
          <w:rtl/>
          <w:lang w:bidi="ar-JO"/>
          <w14:ligatures w14:val="none"/>
        </w:rPr>
        <w:t>مقدمة</w:t>
      </w:r>
    </w:p>
    <w:p w14:paraId="75E8E784" w14:textId="74F82CE1"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3-</w:t>
      </w:r>
      <w:r w:rsidRPr="00072E15">
        <w:rPr>
          <w:rFonts w:eastAsia="Times New Roman" w:cs="DecoType Naskh" w:hint="cs"/>
          <w:color w:val="auto"/>
          <w:kern w:val="0"/>
          <w:szCs w:val="26"/>
          <w:rtl/>
          <w:lang w:bidi="ar-JO"/>
          <w14:ligatures w14:val="none"/>
        </w:rPr>
        <w:t>6</w:t>
      </w:r>
      <w:r w:rsidRPr="00072E15">
        <w:rPr>
          <w:rFonts w:eastAsia="Times New Roman" w:cs="DecoType Naskh" w:hint="cs"/>
          <w:color w:val="auto"/>
          <w:kern w:val="0"/>
          <w:szCs w:val="26"/>
          <w:rtl/>
          <w:lang w:bidi="ar-JO"/>
          <w14:ligatures w14:val="none"/>
        </w:rPr>
        <w:tab/>
      </w:r>
      <w:r w:rsidRPr="00072E15">
        <w:rPr>
          <w:rFonts w:eastAsia="Times New Roman" w:cs="DecoType Naskh" w:hint="cs"/>
          <w:color w:val="auto"/>
          <w:kern w:val="0"/>
          <w:szCs w:val="26"/>
          <w:rtl/>
          <w14:ligatures w14:val="none"/>
        </w:rPr>
        <w:tab/>
        <w:t xml:space="preserve">الاستعدادات: </w:t>
      </w:r>
      <w:r w:rsidRPr="00072E15">
        <w:rPr>
          <w:rFonts w:eastAsia="Times New Roman" w:cs="DecoType Naskh"/>
          <w:color w:val="auto"/>
          <w:kern w:val="0"/>
          <w:szCs w:val="26"/>
          <w:rtl/>
          <w:lang w:bidi="ar-JO"/>
          <w14:ligatures w14:val="none"/>
        </w:rPr>
        <w:t xml:space="preserve">الحيوانات والملابس الكهنوتية الضرورية للاحتفالات </w:t>
      </w:r>
    </w:p>
    <w:p w14:paraId="0306B362"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2E15">
        <w:rPr>
          <w:rFonts w:eastAsia="Times New Roman" w:cs="DecoType Naskh" w:hint="cs"/>
          <w:color w:val="auto"/>
          <w:kern w:val="0"/>
          <w:szCs w:val="26"/>
          <w:rtl/>
          <w:lang w:bidi="ar-JO"/>
          <w14:ligatures w14:val="none"/>
        </w:rPr>
        <w:t>7-10</w:t>
      </w:r>
      <w:r w:rsidRPr="00072E15">
        <w:rPr>
          <w:rFonts w:eastAsia="Times New Roman" w:cs="DecoType Naskh" w:hint="cs"/>
          <w:color w:val="auto"/>
          <w:kern w:val="0"/>
          <w:szCs w:val="26"/>
          <w:rtl/>
          <w:lang w:bidi="ar-JO"/>
          <w14:ligatures w14:val="none"/>
        </w:rPr>
        <w:tab/>
      </w:r>
      <w:r w:rsidRPr="00072E15">
        <w:rPr>
          <w:rFonts w:eastAsia="Times New Roman" w:cs="DecoType Naskh" w:hint="cs"/>
          <w:color w:val="auto"/>
          <w:kern w:val="0"/>
          <w:szCs w:val="26"/>
          <w:rtl/>
          <w14:ligatures w14:val="none"/>
        </w:rPr>
        <w:tab/>
      </w:r>
      <w:r w:rsidRPr="00072E15">
        <w:rPr>
          <w:rFonts w:eastAsia="Times New Roman" w:cs="DecoType Naskh" w:hint="cs"/>
          <w:color w:val="auto"/>
          <w:kern w:val="0"/>
          <w:szCs w:val="26"/>
          <w:rtl/>
          <w:lang w:bidi="ar-JO"/>
          <w14:ligatures w14:val="none"/>
        </w:rPr>
        <w:t>تقديم التيسين: اختيار تيس الغداء</w:t>
      </w:r>
    </w:p>
    <w:p w14:paraId="331C76F7"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11-28</w:t>
      </w:r>
      <w:r w:rsidRPr="00072E15">
        <w:rPr>
          <w:rFonts w:eastAsia="Times New Roman" w:cs="DecoType Naskh"/>
          <w:color w:val="auto"/>
          <w:kern w:val="0"/>
          <w:szCs w:val="26"/>
          <w:rtl/>
          <w:lang w:bidi="ar-JO"/>
          <w14:ligatures w14:val="none"/>
        </w:rPr>
        <w:tab/>
      </w:r>
      <w:r w:rsidRPr="00072E15">
        <w:rPr>
          <w:rFonts w:eastAsia="Times New Roman" w:cs="DecoType Naskh" w:hint="cs"/>
          <w:color w:val="auto"/>
          <w:kern w:val="0"/>
          <w:szCs w:val="26"/>
          <w:rtl/>
          <w14:ligatures w14:val="none"/>
        </w:rPr>
        <w:tab/>
      </w:r>
      <w:r w:rsidRPr="00072E15">
        <w:rPr>
          <w:rFonts w:eastAsia="Times New Roman" w:cs="DecoType Naskh"/>
          <w:color w:val="auto"/>
          <w:kern w:val="0"/>
          <w:szCs w:val="26"/>
          <w:rtl/>
          <w:lang w:bidi="ar-JO"/>
          <w14:ligatures w14:val="none"/>
        </w:rPr>
        <w:t>وصف تفصيلي للاحتفالات</w:t>
      </w:r>
    </w:p>
    <w:p w14:paraId="660CBCB2"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11-14</w:t>
      </w:r>
      <w:r w:rsidRPr="00072E15">
        <w:rPr>
          <w:rFonts w:eastAsia="Times New Roman" w:cs="DecoType Naskh"/>
          <w:color w:val="auto"/>
          <w:kern w:val="0"/>
          <w:szCs w:val="26"/>
          <w:rtl/>
          <w:lang w:bidi="ar-JO"/>
          <w14:ligatures w14:val="none"/>
        </w:rPr>
        <w:tab/>
      </w:r>
      <w:r w:rsidRPr="00072E15">
        <w:rPr>
          <w:rFonts w:eastAsia="Times New Roman" w:cs="DecoType Naskh" w:hint="cs"/>
          <w:color w:val="auto"/>
          <w:kern w:val="0"/>
          <w:szCs w:val="26"/>
          <w:rtl/>
          <w14:ligatures w14:val="none"/>
        </w:rPr>
        <w:tab/>
      </w:r>
      <w:r w:rsidRPr="00072E15">
        <w:rPr>
          <w:rFonts w:eastAsia="Times New Roman" w:cs="DecoType Naskh" w:hint="cs"/>
          <w:color w:val="auto"/>
          <w:kern w:val="0"/>
          <w:szCs w:val="26"/>
          <w:rtl/>
          <w:lang w:bidi="ar-JO"/>
          <w14:ligatures w14:val="none"/>
        </w:rPr>
        <w:t>ذبيحة</w:t>
      </w:r>
      <w:r w:rsidRPr="00072E15">
        <w:rPr>
          <w:rFonts w:eastAsia="Times New Roman" w:cs="DecoType Naskh"/>
          <w:color w:val="auto"/>
          <w:kern w:val="0"/>
          <w:szCs w:val="26"/>
          <w:rtl/>
          <w:lang w:bidi="ar-JO"/>
          <w14:ligatures w14:val="none"/>
        </w:rPr>
        <w:t xml:space="preserve"> الخطية (ثور) لهارون وأهل بيته </w:t>
      </w:r>
    </w:p>
    <w:p w14:paraId="11AFD6C7"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15-19</w:t>
      </w:r>
      <w:r w:rsidRPr="00072E15">
        <w:rPr>
          <w:rFonts w:eastAsia="Times New Roman" w:cs="DecoType Naskh"/>
          <w:color w:val="auto"/>
          <w:kern w:val="0"/>
          <w:szCs w:val="26"/>
          <w:rtl/>
          <w:lang w:bidi="ar-JO"/>
          <w14:ligatures w14:val="none"/>
        </w:rPr>
        <w:tab/>
      </w:r>
      <w:r w:rsidRPr="00072E15">
        <w:rPr>
          <w:rFonts w:eastAsia="Times New Roman" w:cs="DecoType Naskh" w:hint="cs"/>
          <w:color w:val="auto"/>
          <w:kern w:val="0"/>
          <w:szCs w:val="26"/>
          <w:rtl/>
          <w14:ligatures w14:val="none"/>
        </w:rPr>
        <w:tab/>
      </w:r>
      <w:r w:rsidRPr="00072E15">
        <w:rPr>
          <w:rFonts w:eastAsia="Times New Roman" w:cs="DecoType Naskh" w:hint="cs"/>
          <w:color w:val="auto"/>
          <w:kern w:val="0"/>
          <w:szCs w:val="26"/>
          <w:rtl/>
          <w:lang w:bidi="ar-JO"/>
          <w14:ligatures w14:val="none"/>
        </w:rPr>
        <w:t>ذبيحة</w:t>
      </w:r>
      <w:r w:rsidRPr="00072E15">
        <w:rPr>
          <w:rFonts w:eastAsia="Times New Roman" w:cs="DecoType Naskh"/>
          <w:color w:val="auto"/>
          <w:kern w:val="0"/>
          <w:szCs w:val="26"/>
          <w:rtl/>
          <w:lang w:bidi="ar-JO"/>
          <w14:ligatures w14:val="none"/>
        </w:rPr>
        <w:t xml:space="preserve"> الخطية (تيس) لخطايا الشعب</w:t>
      </w:r>
    </w:p>
    <w:p w14:paraId="21CF492A"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20-22</w:t>
      </w:r>
      <w:r w:rsidRPr="00072E15">
        <w:rPr>
          <w:rFonts w:eastAsia="Times New Roman" w:cs="DecoType Naskh"/>
          <w:color w:val="auto"/>
          <w:kern w:val="0"/>
          <w:szCs w:val="26"/>
          <w:rtl/>
          <w:lang w:bidi="ar-JO"/>
          <w14:ligatures w14:val="none"/>
        </w:rPr>
        <w:tab/>
      </w:r>
      <w:r w:rsidRPr="00072E15">
        <w:rPr>
          <w:rFonts w:eastAsia="Times New Roman" w:cs="DecoType Naskh" w:hint="cs"/>
          <w:color w:val="auto"/>
          <w:kern w:val="0"/>
          <w:szCs w:val="26"/>
          <w:rtl/>
          <w:lang w:bidi="ar-JO"/>
          <w14:ligatures w14:val="none"/>
        </w:rPr>
        <w:tab/>
        <w:t>تيس الفداء</w:t>
      </w:r>
    </w:p>
    <w:p w14:paraId="2836A4EE"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23-28</w:t>
      </w:r>
      <w:r w:rsidRPr="00072E15">
        <w:rPr>
          <w:rFonts w:eastAsia="Times New Roman" w:cs="DecoType Naskh"/>
          <w:color w:val="auto"/>
          <w:kern w:val="0"/>
          <w:szCs w:val="26"/>
          <w:rtl/>
          <w:lang w:bidi="ar-JO"/>
          <w14:ligatures w14:val="none"/>
        </w:rPr>
        <w:tab/>
      </w:r>
      <w:r w:rsidRPr="00072E15">
        <w:rPr>
          <w:rFonts w:eastAsia="Times New Roman" w:cs="DecoType Naskh" w:hint="cs"/>
          <w:color w:val="auto"/>
          <w:kern w:val="0"/>
          <w:szCs w:val="26"/>
          <w:rtl/>
          <w14:ligatures w14:val="none"/>
        </w:rPr>
        <w:tab/>
      </w:r>
      <w:r w:rsidRPr="00072E15">
        <w:rPr>
          <w:rFonts w:eastAsia="Times New Roman" w:cs="DecoType Naskh"/>
          <w:color w:val="auto"/>
          <w:kern w:val="0"/>
          <w:szCs w:val="26"/>
          <w:rtl/>
          <w:lang w:bidi="ar-JO"/>
          <w14:ligatures w14:val="none"/>
        </w:rPr>
        <w:t xml:space="preserve">تطهير المشاركين </w:t>
      </w:r>
    </w:p>
    <w:p w14:paraId="5361FBAD"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49-34</w:t>
      </w:r>
      <w:r w:rsidRPr="00072E15">
        <w:rPr>
          <w:rFonts w:eastAsia="Times New Roman" w:cs="DecoType Naskh"/>
          <w:color w:val="auto"/>
          <w:kern w:val="0"/>
          <w:szCs w:val="26"/>
          <w:rtl/>
          <w:lang w:bidi="ar-JO"/>
          <w14:ligatures w14:val="none"/>
        </w:rPr>
        <w:tab/>
      </w:r>
      <w:r w:rsidRPr="00072E15">
        <w:rPr>
          <w:rFonts w:eastAsia="Times New Roman" w:cs="DecoType Naskh" w:hint="cs"/>
          <w:color w:val="auto"/>
          <w:kern w:val="0"/>
          <w:szCs w:val="26"/>
          <w:rtl/>
          <w14:ligatures w14:val="none"/>
        </w:rPr>
        <w:tab/>
      </w:r>
      <w:r w:rsidRPr="00072E15">
        <w:rPr>
          <w:rFonts w:eastAsia="Times New Roman" w:cs="DecoType Naskh"/>
          <w:color w:val="auto"/>
          <w:kern w:val="0"/>
          <w:szCs w:val="26"/>
          <w:rtl/>
          <w:lang w:bidi="ar-JO"/>
          <w14:ligatures w14:val="none"/>
        </w:rPr>
        <w:t xml:space="preserve">توجيهات للشعب بخصوص الكفّارة في ذلك اليوم </w:t>
      </w:r>
    </w:p>
    <w:p w14:paraId="7101050B"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lang w:bidi="ar-KW"/>
          <w14:ligatures w14:val="none"/>
        </w:rPr>
      </w:pPr>
    </w:p>
    <w:p w14:paraId="4F2B7819" w14:textId="77777777" w:rsidR="00072E15" w:rsidRPr="00072E15" w:rsidRDefault="00072E15"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2E15">
        <w:rPr>
          <w:rFonts w:eastAsia="Times New Roman" w:cs="DecoType Naskh"/>
          <w:bCs/>
          <w:color w:val="auto"/>
          <w:kern w:val="0"/>
          <w:szCs w:val="26"/>
          <w:rtl/>
          <w14:ligatures w14:val="none"/>
        </w:rPr>
        <w:t>ب.</w:t>
      </w:r>
      <w:r w:rsidRPr="00072E15">
        <w:rPr>
          <w:rFonts w:eastAsia="Times New Roman" w:cs="DecoType Naskh"/>
          <w:bCs/>
          <w:color w:val="auto"/>
          <w:kern w:val="0"/>
          <w:szCs w:val="26"/>
          <w:rtl/>
          <w14:ligatures w14:val="none"/>
        </w:rPr>
        <w:tab/>
        <w:t>الآيتان التقديميتان (الآيتان 1-2)</w:t>
      </w:r>
    </w:p>
    <w:p w14:paraId="51AB2FB9"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عندما نُدخل في اعتبارنا الآية الثانية مع بقية ا</w:t>
      </w:r>
      <w:r w:rsidRPr="00072E15">
        <w:rPr>
          <w:rFonts w:eastAsia="Times New Roman" w:cs="DecoType Naskh" w:hint="cs"/>
          <w:color w:val="auto"/>
          <w:kern w:val="0"/>
          <w:szCs w:val="26"/>
          <w:rtl/>
          <w:lang w:bidi="ar-JO"/>
          <w14:ligatures w14:val="none"/>
        </w:rPr>
        <w:t>لأ</w:t>
      </w:r>
      <w:r w:rsidRPr="00072E15">
        <w:rPr>
          <w:rFonts w:eastAsia="Times New Roman" w:cs="DecoType Naskh"/>
          <w:color w:val="auto"/>
          <w:kern w:val="0"/>
          <w:szCs w:val="26"/>
          <w:rtl/>
          <w:lang w:bidi="ar-JO"/>
          <w14:ligatures w14:val="none"/>
        </w:rPr>
        <w:t xml:space="preserve">صحاح، نجد أن دخول قدس الأقداس مقصور على هارون (وكل </w:t>
      </w:r>
      <w:r w:rsidRPr="00072E15">
        <w:rPr>
          <w:rFonts w:eastAsia="Times New Roman" w:cs="DecoType Naskh" w:hint="cs"/>
          <w:color w:val="auto"/>
          <w:kern w:val="0"/>
          <w:szCs w:val="26"/>
          <w:rtl/>
          <w:lang w:bidi="ar-JO"/>
          <w14:ligatures w14:val="none"/>
        </w:rPr>
        <w:t>رئيس كهنة</w:t>
      </w:r>
      <w:r w:rsidRPr="00072E15">
        <w:rPr>
          <w:rFonts w:eastAsia="Times New Roman" w:cs="DecoType Naskh"/>
          <w:color w:val="auto"/>
          <w:kern w:val="0"/>
          <w:szCs w:val="26"/>
          <w:rtl/>
          <w:lang w:bidi="ar-JO"/>
          <w14:ligatures w14:val="none"/>
        </w:rPr>
        <w:t xml:space="preserve"> يتبعه): فلا يُسمح بدخول قدس الأقداس إلاّ </w:t>
      </w:r>
      <w:r w:rsidRPr="00072E15">
        <w:rPr>
          <w:rFonts w:eastAsia="Times New Roman" w:cs="DecoType Naskh" w:hint="cs"/>
          <w:color w:val="auto"/>
          <w:kern w:val="0"/>
          <w:szCs w:val="26"/>
          <w:rtl/>
          <w:lang w:bidi="ar-JO"/>
          <w14:ligatures w14:val="none"/>
        </w:rPr>
        <w:t>لرئيس الكهنة</w:t>
      </w:r>
      <w:r w:rsidRPr="00072E15">
        <w:rPr>
          <w:rFonts w:eastAsia="Times New Roman" w:cs="DecoType Naskh"/>
          <w:color w:val="auto"/>
          <w:kern w:val="0"/>
          <w:szCs w:val="26"/>
          <w:rtl/>
          <w:lang w:bidi="ar-JO"/>
          <w14:ligatures w14:val="none"/>
        </w:rPr>
        <w:t xml:space="preserve">، ولا يمكنهُ أن يفعل هذا إلاّ مرة واحدة في السنة في يوم الكفّارة.  وبما أن مجد شكينة الله حل فوق كرسي الرحمة، فإن النص يوحي بأن إمكانية الوصول إلى محضر الله كانت مقيّدة جداً.  إن تعبير "كرسي الرحمة" ترجمة لتعبير </w:t>
      </w:r>
      <w:r w:rsidRPr="00072E15">
        <w:rPr>
          <w:rFonts w:ascii="Ezra SIL" w:eastAsia="Times New Roman" w:hAnsi="Ezra SIL" w:cs="Ezra SIL" w:hint="cs"/>
          <w:b/>
          <w:color w:val="auto"/>
          <w:kern w:val="0"/>
          <w:rtl/>
          <w:lang w:bidi="he-IL"/>
          <w14:ligatures w14:val="none"/>
        </w:rPr>
        <w:t>כַּפֹּרֶת</w:t>
      </w:r>
      <w:r w:rsidRPr="00072E15">
        <w:rPr>
          <w:rFonts w:eastAsia="Times New Roman" w:cs="DecoType Naskh"/>
          <w:color w:val="auto"/>
          <w:kern w:val="0"/>
          <w:szCs w:val="26"/>
          <w14:ligatures w14:val="none"/>
        </w:rPr>
        <w:t xml:space="preserve"> (</w:t>
      </w:r>
      <w:proofErr w:type="spellStart"/>
      <w:r w:rsidRPr="00072E15">
        <w:rPr>
          <w:rFonts w:ascii="Charis SIL" w:eastAsia="Times New Roman" w:hAnsi="Charis SIL" w:cs="Charis SIL"/>
          <w:bCs/>
          <w:i/>
          <w:iCs/>
          <w:color w:val="auto"/>
          <w:kern w:val="0"/>
          <w:szCs w:val="26"/>
          <w:lang w:bidi="ar-JO"/>
          <w14:ligatures w14:val="none"/>
        </w:rPr>
        <w:t>kappōret</w:t>
      </w:r>
      <w:proofErr w:type="spellEnd"/>
      <w:r w:rsidRPr="00072E15">
        <w:rPr>
          <w:rFonts w:ascii="Charis SIL" w:eastAsia="Times New Roman" w:hAnsi="Charis SIL" w:cs="Charis SIL"/>
          <w:bCs/>
          <w:i/>
          <w:iCs/>
          <w:color w:val="auto"/>
          <w:kern w:val="0"/>
          <w:szCs w:val="26"/>
          <w:lang w:bidi="ar-JO"/>
          <w14:ligatures w14:val="none"/>
        </w:rPr>
        <w:t>̱</w:t>
      </w:r>
      <w:r w:rsidRPr="00072E15">
        <w:rPr>
          <w:rFonts w:eastAsia="Times New Roman" w:cs="DecoType Naskh"/>
          <w:color w:val="auto"/>
          <w:kern w:val="0"/>
          <w:szCs w:val="26"/>
          <w14:ligatures w14:val="none"/>
        </w:rPr>
        <w:t xml:space="preserve">) </w:t>
      </w:r>
      <w:r w:rsidRPr="00072E15">
        <w:rPr>
          <w:rFonts w:eastAsia="Times New Roman" w:cs="DecoType Naskh"/>
          <w:color w:val="auto"/>
          <w:kern w:val="0"/>
          <w:szCs w:val="26"/>
          <w:rtl/>
          <w:lang w:bidi="ar-JO"/>
          <w14:ligatures w14:val="none"/>
        </w:rPr>
        <w:t xml:space="preserve"> (كابوري</w:t>
      </w:r>
      <w:r w:rsidRPr="00072E15">
        <w:rPr>
          <w:rFonts w:eastAsia="Times New Roman" w:cs="DecoType Naskh" w:hint="cs"/>
          <w:color w:val="auto"/>
          <w:kern w:val="0"/>
          <w:szCs w:val="26"/>
          <w:rtl/>
          <w:lang w:bidi="ar-JO"/>
          <w14:ligatures w14:val="none"/>
        </w:rPr>
        <w:t>ت</w:t>
      </w:r>
      <w:r w:rsidRPr="00072E15">
        <w:rPr>
          <w:rFonts w:eastAsia="Times New Roman" w:cs="DecoType Naskh"/>
          <w:color w:val="auto"/>
          <w:kern w:val="0"/>
          <w:szCs w:val="26"/>
          <w:rtl/>
          <w:lang w:bidi="ar-JO"/>
          <w14:ligatures w14:val="none"/>
        </w:rPr>
        <w:t xml:space="preserve">) </w:t>
      </w:r>
      <w:r w:rsidRPr="00072E15">
        <w:rPr>
          <w:rFonts w:eastAsia="Times New Roman" w:cs="DecoType Naskh" w:hint="cs"/>
          <w:color w:val="auto"/>
          <w:kern w:val="0"/>
          <w:szCs w:val="26"/>
          <w:rtl/>
          <w:lang w:bidi="ar-JO"/>
          <w14:ligatures w14:val="none"/>
        </w:rPr>
        <w:t>وهو يأتي من الجذر العبري "كفر" (</w:t>
      </w:r>
      <w:r w:rsidRPr="00072E15">
        <w:rPr>
          <w:rFonts w:ascii="HebraicaII" w:eastAsia="Times New Roman" w:hAnsi="HebraicaII" w:cs="DecoType Naskh"/>
          <w:color w:val="auto"/>
          <w:kern w:val="0"/>
          <w:szCs w:val="26"/>
          <w14:ligatures w14:val="none"/>
        </w:rPr>
        <w:t>rpk</w:t>
      </w:r>
      <w:r w:rsidRPr="00072E15">
        <w:rPr>
          <w:rFonts w:eastAsia="Times New Roman" w:cs="DecoType Naskh" w:hint="cs"/>
          <w:color w:val="auto"/>
          <w:kern w:val="0"/>
          <w:szCs w:val="26"/>
          <w:rtl/>
          <w:lang w:bidi="ar-JO"/>
          <w14:ligatures w14:val="none"/>
        </w:rPr>
        <w:t>) بمعنى "كفَّر" أو "فدى"</w:t>
      </w:r>
      <w:r w:rsidRPr="00072E15">
        <w:rPr>
          <w:rFonts w:eastAsia="Times New Roman" w:cs="DecoType Naskh"/>
          <w:color w:val="auto"/>
          <w:kern w:val="0"/>
          <w:szCs w:val="26"/>
          <w:rtl/>
          <w:lang w:bidi="ar-JO"/>
          <w14:ligatures w14:val="none"/>
        </w:rPr>
        <w:t xml:space="preserve">.  وفي هذا إشارة إلى غطاء تابوت العهد </w:t>
      </w:r>
      <w:r w:rsidRPr="00072E15">
        <w:rPr>
          <w:rFonts w:eastAsia="Times New Roman" w:cs="DecoType Naskh" w:hint="cs"/>
          <w:color w:val="auto"/>
          <w:kern w:val="0"/>
          <w:szCs w:val="26"/>
          <w:rtl/>
          <w:lang w:bidi="ar-JO"/>
          <w14:ligatures w14:val="none"/>
        </w:rPr>
        <w:t xml:space="preserve">الذي كان مكان يُكفَّر فيه عن الخطايا وتُمحى. </w:t>
      </w:r>
      <w:r w:rsidRPr="00072E15">
        <w:rPr>
          <w:rFonts w:eastAsia="Times New Roman" w:cs="DecoType Naskh"/>
          <w:color w:val="auto"/>
          <w:kern w:val="0"/>
          <w:szCs w:val="26"/>
          <w:rtl/>
          <w:lang w:bidi="ar-JO"/>
          <w14:ligatures w14:val="none"/>
        </w:rPr>
        <w:t xml:space="preserve"> </w:t>
      </w:r>
      <w:r w:rsidRPr="00072E15">
        <w:rPr>
          <w:rFonts w:eastAsia="Times New Roman" w:cs="DecoType Naskh" w:hint="cs"/>
          <w:color w:val="auto"/>
          <w:kern w:val="0"/>
          <w:szCs w:val="26"/>
          <w:rtl/>
          <w:lang w:bidi="ar-JO"/>
          <w14:ligatures w14:val="none"/>
        </w:rPr>
        <w:t>تترجم</w:t>
      </w:r>
      <w:r w:rsidRPr="00072E15">
        <w:rPr>
          <w:rFonts w:eastAsia="Times New Roman" w:cs="DecoType Naskh"/>
          <w:color w:val="auto"/>
          <w:kern w:val="0"/>
          <w:szCs w:val="26"/>
          <w:rtl/>
          <w:lang w:bidi="ar-JO"/>
          <w14:ligatures w14:val="none"/>
        </w:rPr>
        <w:t xml:space="preserve"> الترجمة السبعينية هذا التعبير إلى "هيلاستيريون</w:t>
      </w:r>
      <w:r w:rsidRPr="00072E15">
        <w:rPr>
          <w:rFonts w:eastAsia="Times New Roman" w:cs="DecoType Naskh" w:hint="cs"/>
          <w:color w:val="auto"/>
          <w:kern w:val="0"/>
          <w:szCs w:val="26"/>
          <w:rtl/>
          <w:lang w:bidi="ar-JO"/>
          <w14:ligatures w14:val="none"/>
        </w:rPr>
        <w:t xml:space="preserve">  </w:t>
      </w:r>
      <w:r w:rsidRPr="00072E15">
        <w:rPr>
          <w:rFonts w:eastAsia="Times New Roman" w:cs="DecoType Naskh" w:hint="cs"/>
          <w:color w:val="auto"/>
          <w:kern w:val="0"/>
          <w:szCs w:val="26"/>
          <w:rtl/>
          <w14:ligatures w14:val="none"/>
        </w:rPr>
        <w:t xml:space="preserve"> </w:t>
      </w:r>
      <w:r w:rsidRPr="00072E15">
        <w:rPr>
          <w:rFonts w:ascii="Hebrewtl" w:eastAsia="Times New Roman" w:hAnsi="Hebrewtl" w:cs="DecoType Naskh"/>
          <w:color w:val="auto"/>
          <w:kern w:val="0"/>
          <w:szCs w:val="26"/>
          <w14:ligatures w14:val="none"/>
        </w:rPr>
        <w:t xml:space="preserve"> </w:t>
      </w:r>
      <w:proofErr w:type="spellStart"/>
      <w:r w:rsidRPr="00072E15">
        <w:rPr>
          <w:rFonts w:ascii="Charis SIL" w:eastAsia="Times New Roman" w:hAnsi="Charis SIL" w:cs="Charis SIL"/>
          <w:bCs/>
          <w:i/>
          <w:iCs/>
          <w:color w:val="auto"/>
          <w:kern w:val="0"/>
          <w:szCs w:val="26"/>
          <w:lang w:bidi="ar-JO"/>
          <w14:ligatures w14:val="none"/>
        </w:rPr>
        <w:t>hilastērion</w:t>
      </w:r>
      <w:proofErr w:type="spellEnd"/>
      <w:r w:rsidRPr="00072E15">
        <w:rPr>
          <w:rFonts w:eastAsia="Times New Roman" w:cs="DecoType Naskh"/>
          <w:color w:val="auto"/>
          <w:kern w:val="0"/>
          <w:szCs w:val="26"/>
          <w14:ligatures w14:val="none"/>
        </w:rPr>
        <w:t>,</w:t>
      </w:r>
      <w:r w:rsidRPr="00072E15">
        <w:rPr>
          <w:rFonts w:eastAsia="Times New Roman" w:cs="DecoType Naskh"/>
          <w:color w:val="auto"/>
          <w:kern w:val="0"/>
          <w:szCs w:val="26"/>
          <w:rtl/>
          <w:lang w:bidi="ar-JO"/>
          <w14:ligatures w14:val="none"/>
        </w:rPr>
        <w:t>"، أي مكان الإرضاء بالكفّارة.</w:t>
      </w:r>
    </w:p>
    <w:p w14:paraId="2F52A17A"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00993EC" w14:textId="77777777" w:rsidR="00072E15" w:rsidRPr="00072E15" w:rsidRDefault="00072E15"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2E15">
        <w:rPr>
          <w:rFonts w:eastAsia="Times New Roman" w:cs="DecoType Naskh"/>
          <w:bCs/>
          <w:color w:val="auto"/>
          <w:kern w:val="0"/>
          <w:szCs w:val="26"/>
          <w:rtl/>
          <w14:ligatures w14:val="none"/>
        </w:rPr>
        <w:t>جـ.</w:t>
      </w:r>
      <w:r w:rsidRPr="00072E15">
        <w:rPr>
          <w:rFonts w:eastAsia="Times New Roman" w:cs="DecoType Naskh"/>
          <w:bCs/>
          <w:color w:val="auto"/>
          <w:kern w:val="0"/>
          <w:szCs w:val="26"/>
          <w:rtl/>
          <w14:ligatures w14:val="none"/>
        </w:rPr>
        <w:tab/>
        <w:t>الحيوانات والملابس الكهنوتية اللازمة</w:t>
      </w:r>
    </w:p>
    <w:p w14:paraId="5A7C8CF7"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 xml:space="preserve">كان على </w:t>
      </w:r>
      <w:r w:rsidRPr="00072E15">
        <w:rPr>
          <w:rFonts w:eastAsia="Times New Roman" w:cs="DecoType Naskh" w:hint="cs"/>
          <w:color w:val="auto"/>
          <w:kern w:val="0"/>
          <w:szCs w:val="26"/>
          <w:rtl/>
          <w:lang w:bidi="ar-JO"/>
          <w14:ligatures w14:val="none"/>
        </w:rPr>
        <w:t>رئيس الكهنة</w:t>
      </w:r>
      <w:r w:rsidRPr="00072E15">
        <w:rPr>
          <w:rFonts w:eastAsia="Times New Roman" w:cs="DecoType Naskh"/>
          <w:color w:val="auto"/>
          <w:kern w:val="0"/>
          <w:szCs w:val="26"/>
          <w:rtl/>
          <w:lang w:bidi="ar-JO"/>
          <w14:ligatures w14:val="none"/>
        </w:rPr>
        <w:t xml:space="preserve"> في هذه المناسبة أن يضع جانباً ثوبه الجميل المتقن الصنع، ويلبس ثوباً أكثر بساطة.</w:t>
      </w:r>
    </w:p>
    <w:p w14:paraId="7738BD76"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6C960FC" w14:textId="77777777" w:rsidR="00072E15" w:rsidRPr="00072E15" w:rsidRDefault="00072E15"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2E15">
        <w:rPr>
          <w:rFonts w:eastAsia="Times New Roman" w:cs="DecoType Naskh"/>
          <w:bCs/>
          <w:color w:val="auto"/>
          <w:kern w:val="0"/>
          <w:szCs w:val="26"/>
          <w:rtl/>
          <w14:ligatures w14:val="none"/>
        </w:rPr>
        <w:t>د.</w:t>
      </w:r>
      <w:r w:rsidRPr="00072E15">
        <w:rPr>
          <w:rFonts w:eastAsia="Times New Roman" w:cs="DecoType Naskh"/>
          <w:bCs/>
          <w:color w:val="auto"/>
          <w:kern w:val="0"/>
          <w:szCs w:val="26"/>
          <w:rtl/>
          <w14:ligatures w14:val="none"/>
        </w:rPr>
        <w:tab/>
      </w:r>
      <w:r w:rsidRPr="00072E15">
        <w:rPr>
          <w:rFonts w:eastAsia="Times New Roman" w:cs="DecoType Naskh" w:hint="cs"/>
          <w:bCs/>
          <w:color w:val="auto"/>
          <w:kern w:val="0"/>
          <w:szCs w:val="26"/>
          <w:rtl/>
          <w14:ligatures w14:val="none"/>
        </w:rPr>
        <w:t>الاحتفال</w:t>
      </w:r>
    </w:p>
    <w:p w14:paraId="069A8CFA"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يرجح أن ترتيب الأحداث كان كما يلي:</w:t>
      </w:r>
    </w:p>
    <w:p w14:paraId="721EF5BC"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1.</w:t>
      </w:r>
      <w:r w:rsidRPr="00072E15">
        <w:rPr>
          <w:rFonts w:eastAsia="Times New Roman" w:cs="DecoType Naskh"/>
          <w:color w:val="auto"/>
          <w:kern w:val="0"/>
          <w:szCs w:val="26"/>
          <w:rtl/>
          <w:lang w:bidi="ar-JO"/>
          <w14:ligatures w14:val="none"/>
        </w:rPr>
        <w:tab/>
        <w:t xml:space="preserve">يذبح هارون الثور (تقدمة الخطية) عن نفسه وأهل بيته.  لم يكن حتى الكهنة (بمن في ذلك </w:t>
      </w:r>
      <w:r w:rsidRPr="00072E15">
        <w:rPr>
          <w:rFonts w:eastAsia="Times New Roman" w:cs="DecoType Naskh" w:hint="cs"/>
          <w:color w:val="auto"/>
          <w:kern w:val="0"/>
          <w:szCs w:val="26"/>
          <w:rtl/>
          <w:lang w:bidi="ar-JO"/>
          <w14:ligatures w14:val="none"/>
        </w:rPr>
        <w:t>رئيس الكهنة</w:t>
      </w:r>
      <w:r w:rsidRPr="00072E15">
        <w:rPr>
          <w:rFonts w:eastAsia="Times New Roman" w:cs="DecoType Naskh"/>
          <w:color w:val="auto"/>
          <w:kern w:val="0"/>
          <w:szCs w:val="26"/>
          <w:rtl/>
          <w:lang w:bidi="ar-JO"/>
          <w14:ligatures w14:val="none"/>
        </w:rPr>
        <w:t>) معفيين من الحاجة إلى التطهير بالدم من الخطية.</w:t>
      </w:r>
    </w:p>
    <w:p w14:paraId="28C61FDD"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p>
    <w:p w14:paraId="53C130C8"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2.</w:t>
      </w:r>
      <w:r w:rsidRPr="00072E15">
        <w:rPr>
          <w:rFonts w:eastAsia="Times New Roman" w:cs="DecoType Naskh"/>
          <w:color w:val="auto"/>
          <w:kern w:val="0"/>
          <w:szCs w:val="26"/>
          <w:rtl/>
          <w:lang w:bidi="ar-JO"/>
          <w14:ligatures w14:val="none"/>
        </w:rPr>
        <w:tab/>
      </w:r>
      <w:r w:rsidRPr="00072E15">
        <w:rPr>
          <w:rFonts w:eastAsia="Times New Roman" w:cs="DecoType Naskh" w:hint="cs"/>
          <w:color w:val="auto"/>
          <w:kern w:val="0"/>
          <w:szCs w:val="26"/>
          <w:rtl/>
          <w:lang w:bidi="ar-JO"/>
          <w14:ligatures w14:val="none"/>
        </w:rPr>
        <w:t>يأخذ</w:t>
      </w:r>
      <w:r w:rsidRPr="00072E15">
        <w:rPr>
          <w:rFonts w:eastAsia="Times New Roman" w:cs="DecoType Naskh"/>
          <w:color w:val="auto"/>
          <w:kern w:val="0"/>
          <w:szCs w:val="26"/>
          <w:rtl/>
          <w:lang w:bidi="ar-JO"/>
          <w14:ligatures w14:val="none"/>
        </w:rPr>
        <w:t xml:space="preserve"> هارون الحيوانات التي يتقدم بها الناس لنكون ذبائح بما في ذلك التيسين.  ثمّ يلقي القرعة ليعرف أي التيسين سيكون "ليهوه" وأيهما سيكون "كبش الفداء" (الآية 8).  ويوجد خلاف على ترجمة "كبش الفداء" (التي تستخدمها </w:t>
      </w:r>
      <w:r w:rsidRPr="00072E15">
        <w:rPr>
          <w:rFonts w:eastAsia="Times New Roman" w:cs="DecoType Naskh"/>
          <w:color w:val="auto"/>
          <w:kern w:val="0"/>
          <w:szCs w:val="26"/>
          <w14:ligatures w14:val="none"/>
        </w:rPr>
        <w:t>NIV</w:t>
      </w:r>
      <w:r w:rsidRPr="00072E15">
        <w:rPr>
          <w:rFonts w:eastAsia="Times New Roman" w:cs="DecoType Naskh"/>
          <w:color w:val="auto"/>
          <w:kern w:val="0"/>
          <w:szCs w:val="26"/>
          <w:rtl/>
          <w:lang w:bidi="ar-JO"/>
          <w14:ligatures w14:val="none"/>
        </w:rPr>
        <w:t xml:space="preserve"> و</w:t>
      </w:r>
      <w:r w:rsidRPr="00072E15">
        <w:rPr>
          <w:rFonts w:eastAsia="Times New Roman" w:cs="DecoType Naskh"/>
          <w:color w:val="auto"/>
          <w:kern w:val="0"/>
          <w:szCs w:val="26"/>
          <w14:ligatures w14:val="none"/>
        </w:rPr>
        <w:t>NASB</w:t>
      </w:r>
      <w:r w:rsidRPr="00072E15">
        <w:rPr>
          <w:rFonts w:eastAsia="Times New Roman" w:cs="DecoType Naskh"/>
          <w:color w:val="auto"/>
          <w:kern w:val="0"/>
          <w:szCs w:val="26"/>
          <w:rtl/>
          <w:lang w:bidi="ar-JO"/>
          <w14:ligatures w14:val="none"/>
        </w:rPr>
        <w:t xml:space="preserve">).  فالكلمة العبرية </w:t>
      </w:r>
      <w:r w:rsidRPr="00072E15">
        <w:rPr>
          <w:rFonts w:ascii="Ezra SIL" w:eastAsia="Times New Roman" w:hAnsi="Ezra SIL" w:cs="Ezra SIL" w:hint="cs"/>
          <w:b/>
          <w:color w:val="auto"/>
          <w:kern w:val="0"/>
          <w:sz w:val="20"/>
          <w:szCs w:val="20"/>
          <w:rtl/>
          <w:lang w:bidi="he-IL"/>
          <w14:ligatures w14:val="none"/>
        </w:rPr>
        <w:t>לַעֲזָאזֵל</w:t>
      </w:r>
      <w:r w:rsidRPr="00072E15">
        <w:rPr>
          <w:rFonts w:ascii="Hebrew" w:eastAsia="Times New Roman" w:hAnsi="Hebrew" w:cs="DecoType Naskh"/>
          <w:color w:val="auto"/>
          <w:kern w:val="0"/>
          <w:szCs w:val="26"/>
          <w14:ligatures w14:val="none"/>
        </w:rPr>
        <w:t xml:space="preserve"> ^</w:t>
      </w:r>
      <w:r w:rsidRPr="00072E15">
        <w:rPr>
          <w:rFonts w:eastAsia="Times New Roman" w:cs="DecoType Naskh"/>
          <w:color w:val="auto"/>
          <w:kern w:val="0"/>
          <w:szCs w:val="26"/>
          <w:rtl/>
          <w:lang w:bidi="ar-JO"/>
          <w14:ligatures w14:val="none"/>
        </w:rPr>
        <w:t xml:space="preserve"> هي "عزازيل</w:t>
      </w:r>
      <w:r w:rsidRPr="00072E15">
        <w:rPr>
          <w:rFonts w:eastAsia="Times New Roman" w:cs="DecoType Naskh" w:hint="cs"/>
          <w:color w:val="auto"/>
          <w:kern w:val="0"/>
          <w:szCs w:val="26"/>
          <w:rtl/>
          <w14:ligatures w14:val="none"/>
        </w:rPr>
        <w:t xml:space="preserve"> </w:t>
      </w:r>
      <w:proofErr w:type="spellStart"/>
      <w:r w:rsidRPr="00072E15">
        <w:rPr>
          <w:rFonts w:ascii="Charis SIL" w:eastAsia="Times New Roman" w:hAnsi="Charis SIL" w:cs="Charis SIL"/>
          <w:bCs/>
          <w:i/>
          <w:iCs/>
          <w:color w:val="auto"/>
          <w:kern w:val="0"/>
          <w:szCs w:val="26"/>
          <w:lang w:bidi="ar-JO"/>
          <w14:ligatures w14:val="none"/>
        </w:rPr>
        <w:t>ʿăzāʾzēl</w:t>
      </w:r>
      <w:proofErr w:type="spellEnd"/>
      <w:r w:rsidRPr="00072E15">
        <w:rPr>
          <w:rFonts w:eastAsia="Times New Roman" w:cs="DecoType Naskh"/>
          <w:color w:val="auto"/>
          <w:kern w:val="0"/>
          <w:szCs w:val="26"/>
          <w:rtl/>
          <w:lang w:bidi="ar-JO"/>
          <w14:ligatures w14:val="none"/>
        </w:rPr>
        <w:t xml:space="preserve"> " كما في الترجمة العربية.</w:t>
      </w:r>
    </w:p>
    <w:p w14:paraId="35795E25"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 xml:space="preserve"> وقد اعتبر بع</w:t>
      </w:r>
      <w:r w:rsidRPr="00072E15">
        <w:rPr>
          <w:rFonts w:eastAsia="Times New Roman" w:cs="DecoType Naskh" w:hint="cs"/>
          <w:color w:val="auto"/>
          <w:kern w:val="0"/>
          <w:szCs w:val="26"/>
          <w:rtl/>
          <w:lang w:bidi="ar-JO"/>
          <w14:ligatures w14:val="none"/>
        </w:rPr>
        <w:t>ض</w:t>
      </w:r>
      <w:r w:rsidRPr="00072E15">
        <w:rPr>
          <w:rFonts w:eastAsia="Times New Roman" w:cs="DecoType Naskh"/>
          <w:color w:val="auto"/>
          <w:kern w:val="0"/>
          <w:szCs w:val="26"/>
          <w:rtl/>
          <w:lang w:bidi="ar-JO"/>
          <w14:ligatures w14:val="none"/>
        </w:rPr>
        <w:t xml:space="preserve"> الباحثين أن عزازيل </w:t>
      </w:r>
      <w:proofErr w:type="spellStart"/>
      <w:r w:rsidRPr="00072E15">
        <w:rPr>
          <w:rFonts w:ascii="Charis SIL" w:eastAsia="Times New Roman" w:hAnsi="Charis SIL" w:cs="Charis SIL"/>
          <w:bCs/>
          <w:i/>
          <w:iCs/>
          <w:color w:val="auto"/>
          <w:kern w:val="0"/>
          <w:szCs w:val="26"/>
          <w:lang w:bidi="ar-JO"/>
          <w14:ligatures w14:val="none"/>
        </w:rPr>
        <w:t>ʿăzāʾzēl</w:t>
      </w:r>
      <w:proofErr w:type="spellEnd"/>
      <w:r w:rsidRPr="00072E15">
        <w:rPr>
          <w:rFonts w:eastAsia="Times New Roman" w:cs="DecoType Naskh" w:hint="cs"/>
          <w:color w:val="auto"/>
          <w:kern w:val="0"/>
          <w:szCs w:val="26"/>
          <w:rtl/>
          <w14:ligatures w14:val="none"/>
        </w:rPr>
        <w:t xml:space="preserve"> </w:t>
      </w:r>
      <w:r w:rsidRPr="00072E15">
        <w:rPr>
          <w:rFonts w:eastAsia="Times New Roman" w:cs="DecoType Naskh"/>
          <w:color w:val="auto"/>
          <w:kern w:val="0"/>
          <w:szCs w:val="26"/>
          <w:rtl/>
          <w:lang w:bidi="ar-JO"/>
          <w14:ligatures w14:val="none"/>
        </w:rPr>
        <w:t xml:space="preserve">هو اسم لشيطان أو لإبليس (كما لو أن الخطايا كانت تعاد إلى مصدرها؛ انظر </w:t>
      </w:r>
      <w:r w:rsidRPr="00072E15">
        <w:rPr>
          <w:rFonts w:eastAsia="Times New Roman" w:cs="DecoType Naskh" w:hint="cs"/>
          <w:color w:val="auto"/>
          <w:kern w:val="0"/>
          <w:szCs w:val="26"/>
          <w:rtl/>
          <w:lang w:bidi="ar-JO"/>
          <w14:ligatures w14:val="none"/>
        </w:rPr>
        <w:t xml:space="preserve">1 </w:t>
      </w:r>
      <w:r w:rsidRPr="00072E15">
        <w:rPr>
          <w:rFonts w:eastAsia="Times New Roman" w:cs="DecoType Naskh"/>
          <w:color w:val="auto"/>
          <w:kern w:val="0"/>
          <w:szCs w:val="26"/>
          <w:rtl/>
          <w:lang w:bidi="ar-JO"/>
          <w14:ligatures w14:val="none"/>
        </w:rPr>
        <w:t>أخ</w:t>
      </w:r>
      <w:r w:rsidRPr="00072E15">
        <w:rPr>
          <w:rFonts w:eastAsia="Times New Roman" w:cs="DecoType Naskh" w:hint="cs"/>
          <w:color w:val="auto"/>
          <w:kern w:val="0"/>
          <w:szCs w:val="26"/>
          <w:rtl/>
          <w14:ligatures w14:val="none"/>
        </w:rPr>
        <w:t>ن</w:t>
      </w:r>
      <w:r w:rsidRPr="00072E15">
        <w:rPr>
          <w:rFonts w:eastAsia="Times New Roman" w:cs="DecoType Naskh"/>
          <w:color w:val="auto"/>
          <w:kern w:val="0"/>
          <w:szCs w:val="26"/>
          <w:rtl/>
          <w:lang w:bidi="ar-JO"/>
          <w14:ligatures w14:val="none"/>
        </w:rPr>
        <w:t xml:space="preserve">وخ 8: 1؛ 9: 6).  </w:t>
      </w:r>
      <w:r w:rsidRPr="00072E15">
        <w:rPr>
          <w:rFonts w:eastAsia="Times New Roman" w:cs="DecoType Naskh" w:hint="cs"/>
          <w:color w:val="auto"/>
          <w:kern w:val="0"/>
          <w:szCs w:val="26"/>
          <w:rtl/>
          <w:lang w:bidi="ar-JO"/>
          <w14:ligatures w14:val="none"/>
        </w:rPr>
        <w:t xml:space="preserve">اقترح آخرون أنها تعني "صخري، متشقِّق"  (لتصوير المنطقة الذي </w:t>
      </w:r>
      <w:r w:rsidRPr="00072E15">
        <w:rPr>
          <w:rFonts w:eastAsia="Times New Roman" w:cs="DecoType Naskh" w:hint="cs"/>
          <w:color w:val="000000"/>
          <w:kern w:val="0"/>
          <w:szCs w:val="26"/>
          <w:rtl/>
          <w:lang w:bidi="ar-JO"/>
          <w14:ligatures w14:val="none"/>
        </w:rPr>
        <w:t>سيذهب إليها التيس)</w:t>
      </w:r>
      <w:r w:rsidRPr="00072E15">
        <w:rPr>
          <w:rFonts w:eastAsia="Times New Roman" w:cs="DecoType Naskh"/>
          <w:color w:val="000000"/>
          <w:kern w:val="0"/>
          <w:szCs w:val="26"/>
          <w:rtl/>
          <w:lang w:bidi="ar-JO"/>
          <w14:ligatures w14:val="none"/>
        </w:rPr>
        <w:t>.</w:t>
      </w:r>
      <w:r w:rsidRPr="00072E15">
        <w:rPr>
          <w:rFonts w:eastAsia="Times New Roman" w:cs="DecoType Naskh"/>
          <w:color w:val="auto"/>
          <w:kern w:val="0"/>
          <w:sz w:val="30"/>
          <w:szCs w:val="28"/>
          <w:vertAlign w:val="superscript"/>
          <w:rtl/>
          <w:lang w:bidi="ar-JO"/>
          <w14:ligatures w14:val="none"/>
        </w:rPr>
        <w:t xml:space="preserve"> </w:t>
      </w:r>
      <w:r w:rsidRPr="00072E15">
        <w:rPr>
          <w:rFonts w:eastAsia="Times New Roman" w:cs="DecoType Naskh"/>
          <w:color w:val="auto"/>
          <w:kern w:val="0"/>
          <w:sz w:val="30"/>
          <w:szCs w:val="28"/>
          <w:vertAlign w:val="superscript"/>
          <w:rtl/>
          <w:lang w:bidi="ar-JO"/>
          <w14:ligatures w14:val="none"/>
        </w:rPr>
        <w:footnoteReference w:id="88"/>
      </w:r>
      <w:r w:rsidRPr="00072E15">
        <w:rPr>
          <w:rFonts w:eastAsia="Times New Roman" w:cs="DecoType Naskh"/>
          <w:color w:val="auto"/>
          <w:kern w:val="0"/>
          <w:szCs w:val="26"/>
          <w:rtl/>
          <w:lang w:bidi="ar-JO"/>
          <w14:ligatures w14:val="none"/>
        </w:rPr>
        <w:t xml:space="preserve"> </w:t>
      </w:r>
    </w:p>
    <w:p w14:paraId="0C1D8417"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p>
    <w:p w14:paraId="6361273E"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وتترجم الترجمة السبعونية "عزازيل</w:t>
      </w:r>
      <w:r w:rsidRPr="00072E15">
        <w:rPr>
          <w:rFonts w:eastAsia="Times New Roman" w:cs="DecoType Naskh" w:hint="cs"/>
          <w:color w:val="auto"/>
          <w:kern w:val="0"/>
          <w:szCs w:val="26"/>
          <w:rtl/>
          <w14:ligatures w14:val="none"/>
        </w:rPr>
        <w:t xml:space="preserve"> </w:t>
      </w:r>
      <w:proofErr w:type="spellStart"/>
      <w:r w:rsidRPr="00072E15">
        <w:rPr>
          <w:rFonts w:ascii="Charis SIL" w:eastAsia="Times New Roman" w:hAnsi="Charis SIL" w:cs="Charis SIL"/>
          <w:bCs/>
          <w:i/>
          <w:iCs/>
          <w:color w:val="auto"/>
          <w:kern w:val="0"/>
          <w:szCs w:val="26"/>
          <w:lang w:bidi="ar-JO"/>
          <w14:ligatures w14:val="none"/>
        </w:rPr>
        <w:t>ʿăzāʾzēl</w:t>
      </w:r>
      <w:proofErr w:type="spellEnd"/>
      <w:r w:rsidRPr="00072E15">
        <w:rPr>
          <w:rFonts w:eastAsia="Times New Roman" w:cs="DecoType Naskh"/>
          <w:color w:val="auto"/>
          <w:kern w:val="0"/>
          <w:szCs w:val="26"/>
          <w:rtl/>
          <w:lang w:bidi="ar-JO"/>
          <w14:ligatures w14:val="none"/>
        </w:rPr>
        <w:t xml:space="preserve">" إلى </w:t>
      </w:r>
      <w:r w:rsidRPr="00072E15">
        <w:rPr>
          <w:rFonts w:ascii="Gentium" w:eastAsia="Times New Roman" w:hAnsi="Gentium" w:cs="DecoType Naskh"/>
          <w:bCs/>
          <w:color w:val="auto"/>
          <w:kern w:val="0"/>
          <w:szCs w:val="26"/>
          <w:lang w:val="el-GR" w:bidi="ar-JO"/>
          <w14:ligatures w14:val="none"/>
        </w:rPr>
        <w:t>τῳ</w:t>
      </w:r>
      <w:r w:rsidRPr="00072E15">
        <w:rPr>
          <w:rFonts w:ascii="Gentium" w:eastAsia="Times New Roman" w:hAnsi="Gentium" w:cs="DecoType Naskh"/>
          <w:bCs/>
          <w:color w:val="auto"/>
          <w:kern w:val="0"/>
          <w:szCs w:val="26"/>
          <w:lang w:bidi="ar-JO"/>
          <w14:ligatures w14:val="none"/>
        </w:rPr>
        <w:t xml:space="preserve"> </w:t>
      </w:r>
      <w:r w:rsidRPr="00072E15">
        <w:rPr>
          <w:rFonts w:ascii="Gentium" w:eastAsia="Times New Roman" w:hAnsi="Gentium" w:cs="DecoType Naskh"/>
          <w:bCs/>
          <w:color w:val="auto"/>
          <w:kern w:val="0"/>
          <w:szCs w:val="26"/>
          <w:lang w:val="el-GR" w:bidi="ar-JO"/>
          <w14:ligatures w14:val="none"/>
        </w:rPr>
        <w:t>ἀποπομπαίῳ</w:t>
      </w:r>
      <w:r w:rsidRPr="00072E15">
        <w:rPr>
          <w:rFonts w:ascii="Greek" w:eastAsia="Times New Roman" w:hAnsi="Greek" w:cs="DecoType Naskh"/>
          <w:color w:val="auto"/>
          <w:kern w:val="0"/>
          <w:szCs w:val="26"/>
          <w14:ligatures w14:val="none"/>
        </w:rPr>
        <w:t xml:space="preserve"> /</w:t>
      </w:r>
      <w:r w:rsidRPr="00072E15">
        <w:rPr>
          <w:rFonts w:eastAsia="Times New Roman" w:cs="DecoType Naskh" w:hint="cs"/>
          <w:color w:val="auto"/>
          <w:kern w:val="0"/>
          <w:szCs w:val="26"/>
          <w:rtl/>
          <w:lang w:bidi="ar-JO"/>
          <w14:ligatures w14:val="none"/>
        </w:rPr>
        <w:t>،</w:t>
      </w:r>
      <w:r w:rsidRPr="00072E15">
        <w:rPr>
          <w:rFonts w:eastAsia="Times New Roman" w:cs="DecoType Naskh"/>
          <w:color w:val="auto"/>
          <w:kern w:val="0"/>
          <w:szCs w:val="26"/>
          <w:rtl/>
          <w:lang w:bidi="ar-JO"/>
          <w14:ligatures w14:val="none"/>
        </w:rPr>
        <w:t xml:space="preserve"> </w:t>
      </w:r>
      <w:r w:rsidRPr="00072E15">
        <w:rPr>
          <w:rFonts w:eastAsia="Times New Roman" w:cs="DecoType Naskh" w:hint="cs"/>
          <w:color w:val="auto"/>
          <w:kern w:val="0"/>
          <w:szCs w:val="26"/>
          <w:rtl/>
          <w:lang w:bidi="ar-JO"/>
          <w14:ligatures w14:val="none"/>
        </w:rPr>
        <w:t>التي منها تأتي الكلمة الإنجليزية "</w:t>
      </w:r>
      <w:r w:rsidRPr="00072E15">
        <w:rPr>
          <w:rFonts w:eastAsia="Times New Roman" w:cs="DecoType Naskh"/>
          <w:color w:val="auto"/>
          <w:kern w:val="0"/>
          <w:szCs w:val="26"/>
          <w14:ligatures w14:val="none"/>
        </w:rPr>
        <w:t>Scapegoat</w:t>
      </w:r>
      <w:r w:rsidRPr="00072E15">
        <w:rPr>
          <w:rFonts w:eastAsia="Times New Roman" w:cs="DecoType Naskh" w:hint="cs"/>
          <w:color w:val="auto"/>
          <w:kern w:val="0"/>
          <w:szCs w:val="26"/>
          <w:rtl/>
          <w:lang w:bidi="ar-JO"/>
          <w14:ligatures w14:val="none"/>
        </w:rPr>
        <w:t xml:space="preserve">" بمعنى "تيس الهروب".  </w:t>
      </w:r>
      <w:r w:rsidRPr="00072E15">
        <w:rPr>
          <w:rFonts w:eastAsia="Times New Roman" w:cs="DecoType Naskh"/>
          <w:color w:val="auto"/>
          <w:kern w:val="0"/>
          <w:szCs w:val="26"/>
          <w:rtl/>
          <w:lang w:bidi="ar-JO"/>
          <w14:ligatures w14:val="none"/>
        </w:rPr>
        <w:t xml:space="preserve">تأتي هذه الكلمة اليونانية المركبة من كلمة </w:t>
      </w:r>
      <w:r w:rsidRPr="00072E15">
        <w:rPr>
          <w:rFonts w:ascii="Gentium" w:eastAsia="Times New Roman" w:hAnsi="Gentium" w:cs="DecoType Naskh"/>
          <w:bCs/>
          <w:color w:val="auto"/>
          <w:kern w:val="0"/>
          <w:szCs w:val="26"/>
          <w:lang w:val="el-GR" w:bidi="ar-JO"/>
          <w14:ligatures w14:val="none"/>
        </w:rPr>
        <w:t>πομπαιος</w:t>
      </w:r>
      <w:r w:rsidRPr="00072E15">
        <w:rPr>
          <w:rFonts w:eastAsia="Times New Roman" w:cs="DecoType Naskh"/>
          <w:color w:val="auto"/>
          <w:kern w:val="0"/>
          <w:szCs w:val="26"/>
          <w:rtl/>
          <w:lang w:bidi="ar-JO"/>
          <w14:ligatures w14:val="none"/>
        </w:rPr>
        <w:t xml:space="preserve"> (</w:t>
      </w:r>
      <w:proofErr w:type="spellStart"/>
      <w:r w:rsidRPr="00072E15">
        <w:rPr>
          <w:rFonts w:ascii="Charis SIL" w:eastAsia="Times New Roman" w:hAnsi="Charis SIL" w:cs="Charis SIL"/>
          <w:bCs/>
          <w:i/>
          <w:iCs/>
          <w:color w:val="auto"/>
          <w:kern w:val="0"/>
          <w:sz w:val="22"/>
          <w:lang w:bidi="ar-JO"/>
          <w14:ligatures w14:val="none"/>
        </w:rPr>
        <w:t>pompaios</w:t>
      </w:r>
      <w:proofErr w:type="spellEnd"/>
      <w:r w:rsidRPr="00072E15">
        <w:rPr>
          <w:rFonts w:eastAsia="Times New Roman" w:cs="DecoType Naskh"/>
          <w:color w:val="auto"/>
          <w:kern w:val="0"/>
          <w:szCs w:val="26"/>
          <w:rtl/>
          <w:lang w:bidi="ar-JO"/>
          <w14:ligatures w14:val="none"/>
        </w:rPr>
        <w:t>)، التي تعني "يشيّع، يوصل".  ومن هنا يوحي التعبير المركب بمعنى "حمل شيء بعيداً" أو "الصرف"، أي تيس للصرف أو الإرسال بعيداً.</w:t>
      </w:r>
      <w:r w:rsidRPr="00072E15">
        <w:rPr>
          <w:rFonts w:eastAsia="Times New Roman" w:cs="DecoType Naskh"/>
          <w:color w:val="auto"/>
          <w:kern w:val="0"/>
          <w:sz w:val="30"/>
          <w:szCs w:val="28"/>
          <w:vertAlign w:val="superscript"/>
          <w:rtl/>
          <w:lang w:bidi="ar-JO"/>
          <w14:ligatures w14:val="none"/>
        </w:rPr>
        <w:t xml:space="preserve"> </w:t>
      </w:r>
      <w:r w:rsidRPr="00072E15">
        <w:rPr>
          <w:rFonts w:eastAsia="Times New Roman" w:cs="DecoType Naskh"/>
          <w:color w:val="auto"/>
          <w:kern w:val="0"/>
          <w:sz w:val="30"/>
          <w:szCs w:val="28"/>
          <w:vertAlign w:val="superscript"/>
          <w:rtl/>
          <w:lang w:bidi="ar-JO"/>
          <w14:ligatures w14:val="none"/>
        </w:rPr>
        <w:footnoteReference w:id="89"/>
      </w:r>
      <w:r w:rsidRPr="00072E15">
        <w:rPr>
          <w:rFonts w:eastAsia="Times New Roman" w:cs="DecoType Naskh"/>
          <w:color w:val="auto"/>
          <w:kern w:val="0"/>
          <w:szCs w:val="26"/>
          <w:rtl/>
          <w:lang w:bidi="ar-JO"/>
          <w14:ligatures w14:val="none"/>
        </w:rPr>
        <w:t xml:space="preserve">   فإذا كان هذا صحيحاً، تكون فكرة "تيس لعزازيل</w:t>
      </w:r>
      <w:r w:rsidRPr="00072E15">
        <w:rPr>
          <w:rFonts w:eastAsia="Times New Roman" w:cs="DecoType Naskh" w:hint="cs"/>
          <w:color w:val="auto"/>
          <w:kern w:val="0"/>
          <w:szCs w:val="26"/>
          <w:rtl/>
          <w14:ligatures w14:val="none"/>
        </w:rPr>
        <w:t xml:space="preserve"> </w:t>
      </w:r>
      <w:proofErr w:type="spellStart"/>
      <w:r w:rsidRPr="00072E15">
        <w:rPr>
          <w:rFonts w:ascii="Charis SIL" w:eastAsia="Times New Roman" w:hAnsi="Charis SIL" w:cs="Charis SIL"/>
          <w:bCs/>
          <w:i/>
          <w:iCs/>
          <w:color w:val="auto"/>
          <w:kern w:val="0"/>
          <w:szCs w:val="26"/>
          <w:lang w:bidi="ar-JO"/>
          <w14:ligatures w14:val="none"/>
        </w:rPr>
        <w:t>ʿăzāʾzēl</w:t>
      </w:r>
      <w:proofErr w:type="spellEnd"/>
      <w:r w:rsidRPr="00072E15">
        <w:rPr>
          <w:rFonts w:eastAsia="Times New Roman" w:cs="DecoType Naskh"/>
          <w:color w:val="auto"/>
          <w:kern w:val="0"/>
          <w:szCs w:val="26"/>
          <w:rtl/>
          <w:lang w:bidi="ar-JO"/>
          <w14:ligatures w14:val="none"/>
        </w:rPr>
        <w:t xml:space="preserve"> " تتحد</w:t>
      </w:r>
      <w:r w:rsidRPr="00072E15">
        <w:rPr>
          <w:rFonts w:eastAsia="Times New Roman" w:cs="DecoType Naskh" w:hint="cs"/>
          <w:color w:val="auto"/>
          <w:kern w:val="0"/>
          <w:szCs w:val="26"/>
          <w:rtl/>
          <w14:ligatures w14:val="none"/>
        </w:rPr>
        <w:t>ث</w:t>
      </w:r>
      <w:r w:rsidRPr="00072E15">
        <w:rPr>
          <w:rFonts w:eastAsia="Times New Roman" w:cs="DecoType Naskh"/>
          <w:color w:val="auto"/>
          <w:kern w:val="0"/>
          <w:szCs w:val="26"/>
          <w:rtl/>
          <w:lang w:bidi="ar-JO"/>
          <w14:ligatures w14:val="none"/>
        </w:rPr>
        <w:t xml:space="preserve"> عن تيس مضى بعيداً آخذاً معه خطايا الشعب إلى البرية.  ويمكن أن يرمز هذا إلى إزالة الخطايا بشكل حاسم (وهو رمز لا يحققه في الواقع إلاّ المسيح).</w:t>
      </w:r>
    </w:p>
    <w:p w14:paraId="212B5AE7"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 xml:space="preserve">     </w:t>
      </w:r>
    </w:p>
    <w:p w14:paraId="174B208B"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3.</w:t>
      </w:r>
      <w:r w:rsidRPr="00072E15">
        <w:rPr>
          <w:rFonts w:eastAsia="Times New Roman" w:cs="DecoType Naskh"/>
          <w:color w:val="auto"/>
          <w:kern w:val="0"/>
          <w:szCs w:val="26"/>
          <w:rtl/>
          <w:lang w:bidi="ar-JO"/>
          <w14:ligatures w14:val="none"/>
        </w:rPr>
        <w:tab/>
        <w:t xml:space="preserve">يترك هارون دم الثور والتيس عند المذبح ويأخذ مجمرة ويدخل بها قدس الأقداس.  وعند </w:t>
      </w:r>
      <w:r w:rsidRPr="00072E15">
        <w:rPr>
          <w:rFonts w:eastAsia="Times New Roman" w:cs="DecoType Naskh" w:hint="cs"/>
          <w:color w:val="auto"/>
          <w:kern w:val="0"/>
          <w:szCs w:val="26"/>
          <w:rtl/>
          <w:lang w:bidi="ar-JO"/>
          <w14:ligatures w14:val="none"/>
        </w:rPr>
        <w:t>عبوره</w:t>
      </w:r>
      <w:r w:rsidRPr="00072E15">
        <w:rPr>
          <w:rFonts w:eastAsia="Times New Roman" w:cs="DecoType Naskh"/>
          <w:color w:val="auto"/>
          <w:kern w:val="0"/>
          <w:szCs w:val="26"/>
          <w:rtl/>
          <w:lang w:bidi="ar-JO"/>
          <w14:ligatures w14:val="none"/>
        </w:rPr>
        <w:t xml:space="preserve"> للحجاب كان يرش البخور على الجمرات لكي تمتلئ الغرفة بالدخان فوراً.  يقول ونهام:</w:t>
      </w:r>
    </w:p>
    <w:p w14:paraId="382C390E"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14:ligatures w14:val="none"/>
        </w:rPr>
      </w:pPr>
      <w:r w:rsidRPr="00072E15">
        <w:rPr>
          <w:rFonts w:eastAsia="Times New Roman" w:cs="DecoType Naskh"/>
          <w:color w:val="auto"/>
          <w:kern w:val="0"/>
          <w:szCs w:val="26"/>
          <w:rtl/>
          <w:lang w:bidi="ar-JO"/>
          <w14:ligatures w14:val="none"/>
        </w:rPr>
        <w:t xml:space="preserve">لكي يحمي </w:t>
      </w:r>
      <w:r w:rsidRPr="00072E15">
        <w:rPr>
          <w:rFonts w:eastAsia="Times New Roman" w:cs="DecoType Naskh" w:hint="cs"/>
          <w:color w:val="auto"/>
          <w:kern w:val="0"/>
          <w:szCs w:val="26"/>
          <w:rtl/>
          <w:lang w:bidi="ar-JO"/>
          <w14:ligatures w14:val="none"/>
        </w:rPr>
        <w:t>رئيس الكهنة</w:t>
      </w:r>
      <w:r w:rsidRPr="00072E15">
        <w:rPr>
          <w:rFonts w:eastAsia="Times New Roman" w:cs="DecoType Naskh"/>
          <w:color w:val="auto"/>
          <w:kern w:val="0"/>
          <w:szCs w:val="26"/>
          <w:rtl/>
          <w:lang w:bidi="ar-JO"/>
          <w14:ligatures w14:val="none"/>
        </w:rPr>
        <w:t xml:space="preserve"> نفسه من غضب الله، كان عليه أن يحضر مبخرة مليئة بالفحم مأخوذة من مذبح </w:t>
      </w:r>
      <w:r w:rsidRPr="00072E15">
        <w:rPr>
          <w:rFonts w:eastAsia="Times New Roman" w:cs="DecoType Naskh" w:hint="cs"/>
          <w:color w:val="auto"/>
          <w:kern w:val="0"/>
          <w:szCs w:val="26"/>
          <w:rtl/>
          <w:lang w:bidi="ar-JO"/>
          <w14:ligatures w14:val="none"/>
        </w:rPr>
        <w:t>المحرقة</w:t>
      </w:r>
      <w:r w:rsidRPr="00072E15">
        <w:rPr>
          <w:rFonts w:eastAsia="Times New Roman" w:cs="DecoType Naskh"/>
          <w:color w:val="auto"/>
          <w:kern w:val="0"/>
          <w:szCs w:val="26"/>
          <w:rtl/>
          <w:lang w:bidi="ar-JO"/>
          <w14:ligatures w14:val="none"/>
        </w:rPr>
        <w:t xml:space="preserve"> في الساحة الخارجية ويضع فيها بخوراً</w:t>
      </w:r>
      <w:r w:rsidRPr="00072E15">
        <w:rPr>
          <w:rFonts w:eastAsia="Times New Roman" w:cs="DecoType Naskh" w:hint="cs"/>
          <w:color w:val="auto"/>
          <w:kern w:val="0"/>
          <w:szCs w:val="26"/>
          <w:rtl/>
          <w:lang w:bidi="ar-JO"/>
          <w14:ligatures w14:val="none"/>
        </w:rPr>
        <w:t xml:space="preserve"> ناعماً</w:t>
      </w:r>
      <w:r w:rsidRPr="00072E15">
        <w:rPr>
          <w:rFonts w:eastAsia="Times New Roman" w:cs="DecoType Naskh"/>
          <w:color w:val="auto"/>
          <w:kern w:val="0"/>
          <w:szCs w:val="26"/>
          <w:rtl/>
          <w:lang w:bidi="ar-JO"/>
          <w14:ligatures w14:val="none"/>
        </w:rPr>
        <w:t xml:space="preserve"> ممتازاً.  فكان دخان البخور يغطّي كرسي الرحمة، لئلاّ يُقتل الكاهن (الآيتان 12-13).  يقدم لنا هيرتز </w:t>
      </w:r>
      <w:r w:rsidRPr="00072E15">
        <w:rPr>
          <w:rFonts w:eastAsia="Times New Roman" w:cs="DecoType Naskh" w:hint="cs"/>
          <w:color w:val="auto"/>
          <w:kern w:val="0"/>
          <w:szCs w:val="26"/>
          <w:rtl/>
          <w:lang w:bidi="ar-JO"/>
          <w14:ligatures w14:val="none"/>
        </w:rPr>
        <w:t>الشرح</w:t>
      </w:r>
      <w:r w:rsidRPr="00072E15">
        <w:rPr>
          <w:rFonts w:eastAsia="Times New Roman" w:cs="DecoType Naskh"/>
          <w:color w:val="auto"/>
          <w:kern w:val="0"/>
          <w:szCs w:val="26"/>
          <w:rtl/>
          <w:lang w:bidi="ar-JO"/>
          <w14:ligatures w14:val="none"/>
        </w:rPr>
        <w:t xml:space="preserve"> الأكثر وضوحاً لهذا الأمر، فيقول: ’كان الغرض من دخان البخور هو خلق شاشة أو حجاب يمنع </w:t>
      </w:r>
      <w:r w:rsidRPr="00072E15">
        <w:rPr>
          <w:rFonts w:eastAsia="Times New Roman" w:cs="DecoType Naskh" w:hint="cs"/>
          <w:color w:val="auto"/>
          <w:kern w:val="0"/>
          <w:szCs w:val="26"/>
          <w:rtl/>
          <w:lang w:bidi="ar-JO"/>
          <w14:ligatures w14:val="none"/>
        </w:rPr>
        <w:t>رئيس الكهنة</w:t>
      </w:r>
      <w:r w:rsidRPr="00072E15">
        <w:rPr>
          <w:rFonts w:eastAsia="Times New Roman" w:cs="DecoType Naskh"/>
          <w:color w:val="auto"/>
          <w:kern w:val="0"/>
          <w:szCs w:val="26"/>
          <w:rtl/>
          <w:lang w:bidi="ar-JO"/>
          <w14:ligatures w14:val="none"/>
        </w:rPr>
        <w:t xml:space="preserve"> من التحديق في حضور الله القدوس.</w:t>
      </w:r>
      <w:r w:rsidRPr="00072E15">
        <w:rPr>
          <w:rFonts w:eastAsia="Times New Roman" w:cs="DecoType Naskh"/>
          <w:color w:val="auto"/>
          <w:kern w:val="0"/>
          <w:sz w:val="26"/>
          <w:szCs w:val="28"/>
          <w:vertAlign w:val="superscript"/>
          <w:rtl/>
          <w:lang w:bidi="ar-JO"/>
          <w14:ligatures w14:val="none"/>
        </w:rPr>
        <w:footnoteReference w:id="90"/>
      </w:r>
    </w:p>
    <w:p w14:paraId="1395AFA5"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 xml:space="preserve">وهكذا </w:t>
      </w:r>
      <w:r w:rsidRPr="00072E15">
        <w:rPr>
          <w:rFonts w:eastAsia="Times New Roman" w:cs="DecoType Naskh" w:hint="cs"/>
          <w:color w:val="auto"/>
          <w:kern w:val="0"/>
          <w:szCs w:val="26"/>
          <w:rtl/>
          <w:lang w:bidi="ar-JO"/>
          <w14:ligatures w14:val="none"/>
        </w:rPr>
        <w:t>كان</w:t>
      </w:r>
      <w:r w:rsidRPr="00072E15">
        <w:rPr>
          <w:rFonts w:eastAsia="Times New Roman" w:cs="DecoType Naskh"/>
          <w:color w:val="auto"/>
          <w:kern w:val="0"/>
          <w:szCs w:val="26"/>
          <w:rtl/>
          <w:lang w:bidi="ar-JO"/>
          <w14:ligatures w14:val="none"/>
        </w:rPr>
        <w:t xml:space="preserve"> الدخان</w:t>
      </w:r>
      <w:r w:rsidRPr="00072E15">
        <w:rPr>
          <w:rFonts w:eastAsia="Times New Roman" w:cs="DecoType Naskh" w:hint="cs"/>
          <w:color w:val="auto"/>
          <w:kern w:val="0"/>
          <w:szCs w:val="26"/>
          <w:rtl/>
          <w:lang w:bidi="ar-JO"/>
          <w14:ligatures w14:val="none"/>
        </w:rPr>
        <w:t xml:space="preserve"> يشكِّل</w:t>
      </w:r>
      <w:r w:rsidRPr="00072E15">
        <w:rPr>
          <w:rFonts w:eastAsia="Times New Roman" w:cs="DecoType Naskh"/>
          <w:color w:val="auto"/>
          <w:kern w:val="0"/>
          <w:szCs w:val="26"/>
          <w:rtl/>
          <w:lang w:bidi="ar-JO"/>
          <w14:ligatures w14:val="none"/>
        </w:rPr>
        <w:t xml:space="preserve"> حاجباً واقياً لئلا يلتهم مجد الله هارون.</w:t>
      </w:r>
    </w:p>
    <w:p w14:paraId="70801372"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7C76F9B1"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4.</w:t>
      </w:r>
      <w:r w:rsidRPr="00072E15">
        <w:rPr>
          <w:rFonts w:eastAsia="Times New Roman" w:cs="DecoType Naskh"/>
          <w:color w:val="auto"/>
          <w:kern w:val="0"/>
          <w:szCs w:val="26"/>
          <w:rtl/>
          <w:lang w:bidi="ar-JO"/>
          <w14:ligatures w14:val="none"/>
        </w:rPr>
        <w:tab/>
        <w:t>عند عودة هارون إلى المذبح الموجود في الساحة، يأخذ دم الثور ويدخله داخل الحجاب.  ويرش الدم على "كرسي الرحمة" و"قدام الغطاء"، أي على الأرض.  فكانت الأرضية المرشوشة بالدم إشارة إلى أن الله قدّم طريق</w:t>
      </w:r>
      <w:r w:rsidRPr="00072E15">
        <w:rPr>
          <w:rFonts w:eastAsia="Times New Roman" w:cs="DecoType Naskh" w:hint="cs"/>
          <w:color w:val="auto"/>
          <w:kern w:val="0"/>
          <w:szCs w:val="26"/>
          <w:rtl/>
          <w:lang w:bidi="ar-JO"/>
          <w14:ligatures w14:val="none"/>
        </w:rPr>
        <w:t>اً</w:t>
      </w:r>
      <w:r w:rsidRPr="00072E15">
        <w:rPr>
          <w:rFonts w:eastAsia="Times New Roman" w:cs="DecoType Naskh"/>
          <w:color w:val="auto"/>
          <w:kern w:val="0"/>
          <w:szCs w:val="26"/>
          <w:rtl/>
          <w:lang w:bidi="ar-JO"/>
          <w14:ligatures w14:val="none"/>
        </w:rPr>
        <w:t xml:space="preserve"> للوصول إلى حضرته.  وكان الدم المرشوش على "كرسي الرحمة" هامّاً أيضاً: فبما أن الشريعة (الموجودة تحت كرسي الرحمة في تابوت العهد) تُدين الذين تعدوا عليها، كان لا بد من رش الدم على كرسي الرحمة لئلا تدين الشريعة إثم الشعب وخطيتهم.</w:t>
      </w:r>
    </w:p>
    <w:p w14:paraId="7B55F01C"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5.</w:t>
      </w:r>
      <w:r w:rsidRPr="00072E15">
        <w:rPr>
          <w:rFonts w:eastAsia="Times New Roman" w:cs="DecoType Naskh"/>
          <w:color w:val="auto"/>
          <w:kern w:val="0"/>
          <w:szCs w:val="26"/>
          <w:rtl/>
          <w:lang w:bidi="ar-JO"/>
          <w14:ligatures w14:val="none"/>
        </w:rPr>
        <w:tab/>
        <w:t xml:space="preserve">ثم يخرج هارون ثانية ويأتي بالدم من التيس المقدم كذبيحة خطية عن الشعب، ويُحضره إلى داخل الحجاب.  كان يرش الدم أيضاً على كرسي الرحمة وعلى الأرض.  وقد تضمّن هذا، </w:t>
      </w:r>
      <w:r w:rsidRPr="00072E15">
        <w:rPr>
          <w:rFonts w:eastAsia="Times New Roman" w:cs="DecoType Naskh" w:hint="cs"/>
          <w:color w:val="auto"/>
          <w:kern w:val="0"/>
          <w:szCs w:val="26"/>
          <w:rtl/>
          <w:lang w:bidi="ar-JO"/>
          <w14:ligatures w14:val="none"/>
        </w:rPr>
        <w:t>بحسب</w:t>
      </w:r>
      <w:r w:rsidRPr="00072E15">
        <w:rPr>
          <w:rFonts w:eastAsia="Times New Roman" w:cs="DecoType Naskh"/>
          <w:color w:val="auto"/>
          <w:kern w:val="0"/>
          <w:szCs w:val="26"/>
          <w:rtl/>
          <w:lang w:bidi="ar-JO"/>
          <w14:ligatures w14:val="none"/>
        </w:rPr>
        <w:t xml:space="preserve"> الآية 16، كفّارة عن خيمة الاجتماع (انظر لاويين </w:t>
      </w:r>
      <w:r w:rsidRPr="00072E15">
        <w:rPr>
          <w:rFonts w:eastAsia="Times New Roman" w:cs="DecoType Naskh" w:hint="cs"/>
          <w:color w:val="auto"/>
          <w:kern w:val="0"/>
          <w:szCs w:val="26"/>
          <w:rtl/>
          <w:lang w:bidi="ar-JO"/>
          <w14:ligatures w14:val="none"/>
        </w:rPr>
        <w:t>15: 31</w:t>
      </w:r>
      <w:r w:rsidRPr="00072E15">
        <w:rPr>
          <w:rFonts w:eastAsia="Times New Roman" w:cs="DecoType Naskh"/>
          <w:color w:val="auto"/>
          <w:kern w:val="0"/>
          <w:szCs w:val="26"/>
          <w:rtl/>
          <w:lang w:bidi="ar-JO"/>
          <w14:ligatures w14:val="none"/>
        </w:rPr>
        <w:t xml:space="preserve">).  فقد كانت عيوبهم وخطاياهم وتعدّياتهم تنجيساً للمقدس، وبتطهير المقدس كانوا يسمحون لله القدوس بأن يسكن في وسط شعب نجس.  كانت هذه الكفارة (عن </w:t>
      </w:r>
      <w:r w:rsidRPr="00072E15">
        <w:rPr>
          <w:rFonts w:eastAsia="Times New Roman" w:cs="DecoType Naskh"/>
          <w:color w:val="auto"/>
          <w:kern w:val="0"/>
          <w:szCs w:val="26"/>
          <w:rtl/>
          <w:lang w:bidi="ar-JO"/>
          <w14:ligatures w14:val="none"/>
        </w:rPr>
        <w:lastRenderedPageBreak/>
        <w:t>خطايا الشعب وخيمة الاجتماع في نفس الوقت) ذروة العبادة، لأنها كانت تكفيراً عن كل تعدّيات الجماعة منذ يوم الكفّارة الماضي.</w:t>
      </w:r>
    </w:p>
    <w:p w14:paraId="2AE96945"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14:ligatures w14:val="none"/>
        </w:rPr>
      </w:pPr>
      <w:r w:rsidRPr="00072E15">
        <w:rPr>
          <w:rFonts w:eastAsia="Times New Roman" w:cs="DecoType Naskh"/>
          <w:color w:val="auto"/>
          <w:kern w:val="0"/>
          <w:szCs w:val="26"/>
          <w:rtl/>
          <w:lang w:bidi="ar-JO"/>
          <w14:ligatures w14:val="none"/>
        </w:rPr>
        <w:t>6.</w:t>
      </w:r>
      <w:r w:rsidRPr="00072E15">
        <w:rPr>
          <w:rFonts w:eastAsia="Times New Roman" w:cs="DecoType Naskh"/>
          <w:color w:val="auto"/>
          <w:kern w:val="0"/>
          <w:szCs w:val="26"/>
          <w:rtl/>
          <w:lang w:bidi="ar-JO"/>
          <w14:ligatures w14:val="none"/>
        </w:rPr>
        <w:tab/>
        <w:t>ومع خروجه ثانية، كان عليه أن يرش المذبح ثانية بدم التيس.  فقد تنجس المذبح بسبب الخطايا المنقولة، إذ كان الشعب يوحّدون خطاياهم مع المذبح وتقدماتهم.</w:t>
      </w:r>
    </w:p>
    <w:p w14:paraId="577842B9"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7.</w:t>
      </w:r>
      <w:r w:rsidRPr="00072E15">
        <w:rPr>
          <w:rFonts w:eastAsia="Times New Roman" w:cs="DecoType Naskh"/>
          <w:color w:val="auto"/>
          <w:kern w:val="0"/>
          <w:szCs w:val="26"/>
          <w:rtl/>
          <w:lang w:bidi="ar-JO"/>
          <w14:ligatures w14:val="none"/>
        </w:rPr>
        <w:tab/>
        <w:t>ثم يأتي هارون بالتيس الحي (كبش الفداء) ويضع يديه على رأس التيس معترفاً بخطايا الأمة (الآية 21).  وهذا الإجراء رمز لكون خطايا الأمّة قد انتقلت إلى التيس (انظر 2كورنثوس 5: 21 التي تناقش مفهوم الكفّارة البديلية).</w:t>
      </w:r>
    </w:p>
    <w:p w14:paraId="3BA49810"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14:ligatures w14:val="none"/>
        </w:rPr>
      </w:pPr>
      <w:r w:rsidRPr="00072E15">
        <w:rPr>
          <w:rFonts w:eastAsia="Times New Roman" w:cs="DecoType Naskh"/>
          <w:color w:val="auto"/>
          <w:kern w:val="0"/>
          <w:szCs w:val="26"/>
          <w:rtl/>
          <w:lang w:bidi="ar-JO"/>
          <w14:ligatures w14:val="none"/>
        </w:rPr>
        <w:t>8.</w:t>
      </w:r>
      <w:r w:rsidRPr="00072E15">
        <w:rPr>
          <w:rFonts w:eastAsia="Times New Roman" w:cs="DecoType Naskh"/>
          <w:color w:val="auto"/>
          <w:kern w:val="0"/>
          <w:szCs w:val="26"/>
          <w:rtl/>
          <w:lang w:bidi="ar-JO"/>
          <w14:ligatures w14:val="none"/>
        </w:rPr>
        <w:tab/>
        <w:t>ثُم يُقتاد التيس (كبش الفداء) بعيداً إلى البرية.  يقول روس</w:t>
      </w:r>
      <w:r w:rsidRPr="00072E15">
        <w:rPr>
          <w:rFonts w:eastAsia="Times New Roman" w:cs="DecoType Naskh" w:hint="cs"/>
          <w:color w:val="auto"/>
          <w:kern w:val="0"/>
          <w:szCs w:val="26"/>
          <w:rtl/>
          <w:lang w:bidi="ar-JO"/>
          <w14:ligatures w14:val="none"/>
        </w:rPr>
        <w:t>:</w:t>
      </w:r>
      <w:r w:rsidRPr="00072E15">
        <w:rPr>
          <w:rFonts w:eastAsia="Times New Roman" w:cs="DecoType Naskh"/>
          <w:color w:val="auto"/>
          <w:kern w:val="0"/>
          <w:szCs w:val="26"/>
          <w:rtl/>
          <w:lang w:bidi="ar-JO"/>
          <w14:ligatures w14:val="none"/>
        </w:rPr>
        <w:t xml:space="preserve"> "تقول المشنا (يوما) إن التيس كان يُقتاد مسافة ثلاثة أميال ونصف في البرّية ثم يدفع به من فوق جُرف صخري ويموت."</w:t>
      </w:r>
      <w:r w:rsidRPr="00072E15">
        <w:rPr>
          <w:rFonts w:eastAsia="Times New Roman" w:cs="DecoType Naskh"/>
          <w:color w:val="auto"/>
          <w:kern w:val="0"/>
          <w:sz w:val="30"/>
          <w:szCs w:val="28"/>
          <w:vertAlign w:val="superscript"/>
          <w:rtl/>
          <w:lang w:bidi="ar-JO"/>
          <w14:ligatures w14:val="none"/>
        </w:rPr>
        <w:footnoteReference w:id="91"/>
      </w:r>
    </w:p>
    <w:p w14:paraId="346A6405"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9.</w:t>
      </w:r>
      <w:r w:rsidRPr="00072E15">
        <w:rPr>
          <w:rFonts w:eastAsia="Times New Roman" w:cs="DecoType Naskh"/>
          <w:color w:val="auto"/>
          <w:kern w:val="0"/>
          <w:szCs w:val="26"/>
          <w:rtl/>
          <w:lang w:bidi="ar-JO"/>
          <w14:ligatures w14:val="none"/>
        </w:rPr>
        <w:tab/>
        <w:t>ثم يغتسل هارون مرّة أخرى ويقدم ذبائح المحرقة شكراً وامتناناً لله الذي دبّر وسيلة للتكفير.</w:t>
      </w:r>
    </w:p>
    <w:p w14:paraId="708BF538"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10.</w:t>
      </w:r>
      <w:r w:rsidRPr="00072E15">
        <w:rPr>
          <w:rFonts w:eastAsia="Times New Roman" w:cs="DecoType Naskh"/>
          <w:color w:val="auto"/>
          <w:kern w:val="0"/>
          <w:szCs w:val="26"/>
          <w:rtl/>
          <w:lang w:bidi="ar-JO"/>
          <w14:ligatures w14:val="none"/>
        </w:rPr>
        <w:tab/>
        <w:t>ويتضمن الطقس الأخير إخراج الثور وتيس ذبيحة الخطية إلى خارج المخيّم (المحلّة) حيثُ يحرقان بالنار بشكل كامل (انظر عبرانيين 13: 11-13).</w:t>
      </w:r>
    </w:p>
    <w:p w14:paraId="444B6AA4"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p>
    <w:p w14:paraId="1C46F4D1" w14:textId="77777777" w:rsidR="00072E15" w:rsidRPr="00072E15" w:rsidRDefault="00072E15"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2E15">
        <w:rPr>
          <w:rFonts w:eastAsia="Times New Roman" w:cs="DecoType Naskh"/>
          <w:bCs/>
          <w:color w:val="auto"/>
          <w:kern w:val="0"/>
          <w:szCs w:val="26"/>
          <w:rtl/>
          <w14:ligatures w14:val="none"/>
        </w:rPr>
        <w:t>هـ.</w:t>
      </w:r>
      <w:r w:rsidRPr="00072E15">
        <w:rPr>
          <w:rFonts w:eastAsia="Times New Roman" w:cs="DecoType Naskh"/>
          <w:bCs/>
          <w:color w:val="auto"/>
          <w:kern w:val="0"/>
          <w:szCs w:val="26"/>
          <w:rtl/>
          <w14:ligatures w14:val="none"/>
        </w:rPr>
        <w:tab/>
        <w:t>دلالات مرتبطة باللاهوت وعلم المسيح</w:t>
      </w:r>
    </w:p>
    <w:p w14:paraId="692AA43B"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1.</w:t>
      </w:r>
      <w:r w:rsidRPr="00072E15">
        <w:rPr>
          <w:rFonts w:eastAsia="Times New Roman" w:cs="DecoType Naskh"/>
          <w:color w:val="auto"/>
          <w:kern w:val="0"/>
          <w:szCs w:val="26"/>
          <w:rtl/>
          <w:lang w:bidi="ar-JO"/>
          <w14:ligatures w14:val="none"/>
        </w:rPr>
        <w:tab/>
        <w:t>مصالحة الأمة</w:t>
      </w:r>
    </w:p>
    <w:p w14:paraId="23EB4F04"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 xml:space="preserve">توجد تضمينات كثيرة ليوم الكفّارة.  غير أن على المرء أن يرى أولاً أهمّية هذا الأمر بالنسبة للعابد من بني إسرائيل في العهد القديم.  تمثّلت الأهمية الرئيسية لهذه المناسبة في مصالحة الأمّة كأمّة مع الله.  فعندما كان الدم يوضع على كرسي الرحمة، كان الله يقدّم تدبيراً يستطيع الله القدوس البار بموجبه أن يتعامل مع الأمّة كأمّة.  فكان هذا مصالحة، وإرجاعاً للأمة إلى حالة الانسجام مع الله.  فقد </w:t>
      </w:r>
      <w:r w:rsidRPr="00072E15">
        <w:rPr>
          <w:rFonts w:eastAsia="Times New Roman" w:cs="DecoType Naskh" w:hint="cs"/>
          <w:color w:val="auto"/>
          <w:kern w:val="0"/>
          <w:szCs w:val="26"/>
          <w:rtl/>
          <w:lang w:bidi="ar-JO"/>
          <w14:ligatures w14:val="none"/>
        </w:rPr>
        <w:t>كان</w:t>
      </w:r>
      <w:r w:rsidRPr="00072E15">
        <w:rPr>
          <w:rFonts w:eastAsia="Times New Roman" w:cs="DecoType Naskh"/>
          <w:color w:val="auto"/>
          <w:kern w:val="0"/>
          <w:szCs w:val="26"/>
          <w:rtl/>
          <w:lang w:bidi="ar-JO"/>
          <w14:ligatures w14:val="none"/>
        </w:rPr>
        <w:t xml:space="preserve"> دم يوم الكفّار </w:t>
      </w:r>
      <w:r w:rsidRPr="00072E15">
        <w:rPr>
          <w:rFonts w:eastAsia="Times New Roman" w:cs="DecoType Naskh" w:hint="cs"/>
          <w:color w:val="auto"/>
          <w:kern w:val="0"/>
          <w:szCs w:val="26"/>
          <w:rtl/>
          <w:lang w:bidi="ar-JO"/>
          <w14:ligatures w14:val="none"/>
        </w:rPr>
        <w:t xml:space="preserve">يقوم </w:t>
      </w:r>
      <w:r w:rsidRPr="00072E15">
        <w:rPr>
          <w:rFonts w:eastAsia="Times New Roman" w:cs="DecoType Naskh"/>
          <w:color w:val="auto"/>
          <w:kern w:val="0"/>
          <w:szCs w:val="26"/>
          <w:rtl/>
          <w:lang w:bidi="ar-JO"/>
          <w14:ligatures w14:val="none"/>
        </w:rPr>
        <w:t>بمصالحة الشعب الذين كانوا غير متوافقين مع الله [مثال توضيحي: جعل دفتر الشيكات منسجماً مع بيان الرصيد في المصرف].  كان يوم الكفّارة يوماً استحقّت فيه ديون الأمّة.  فخطايا الأمّة هي بمثابة دين مستحق لله، أو كمبيالة يجب سدادها.</w:t>
      </w:r>
    </w:p>
    <w:p w14:paraId="15430F4B"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 xml:space="preserve">لم يقدّم يوم الكفّارة في حقيقة الأمر دفعة أخيرة لتسديد الكمبيالة"، بل مجرّد تأجيل لتاريخ الاستحقاق.  فكأن الأمّة تؤجل يوم </w:t>
      </w:r>
      <w:r w:rsidRPr="00072E15">
        <w:rPr>
          <w:rFonts w:eastAsia="Times New Roman" w:cs="DecoType Naskh" w:hint="cs"/>
          <w:color w:val="auto"/>
          <w:kern w:val="0"/>
          <w:szCs w:val="26"/>
          <w:rtl/>
          <w:lang w:bidi="ar-JO"/>
          <w14:ligatures w14:val="none"/>
        </w:rPr>
        <w:t xml:space="preserve">سداد </w:t>
      </w:r>
      <w:r w:rsidRPr="00072E15">
        <w:rPr>
          <w:rFonts w:eastAsia="Times New Roman" w:cs="DecoType Naskh"/>
          <w:color w:val="auto"/>
          <w:kern w:val="0"/>
          <w:szCs w:val="26"/>
          <w:rtl/>
          <w:lang w:bidi="ar-JO"/>
          <w14:ligatures w14:val="none"/>
        </w:rPr>
        <w:t>المديونية، على الرغم من أن طقوس يوم الكفّارة شكّلت أساساً يمكن أن يستمر الله بموجبه في التعامل معهم كأمّة (رومية 3: 25).  أمّا الدفعة الكاملة والنهائية لثمن الخطية فستأتي من خلال موت المسيح على الصليب (لنتذكّر هنا كلمات الرب يسوع، "قد أُكمل</w:t>
      </w:r>
      <w:r w:rsidRPr="00072E15">
        <w:rPr>
          <w:rFonts w:eastAsia="Times New Roman" w:cs="DecoType Naskh" w:hint="cs"/>
          <w:color w:val="auto"/>
          <w:kern w:val="0"/>
          <w:szCs w:val="26"/>
          <w:rtl/>
          <w14:ligatures w14:val="none"/>
        </w:rPr>
        <w:t xml:space="preserve"> </w:t>
      </w:r>
      <w:proofErr w:type="spellStart"/>
      <w:r w:rsidRPr="00072E15">
        <w:rPr>
          <w:rFonts w:eastAsia="Times New Roman" w:cs="DecoType Naskh"/>
          <w:i/>
          <w:iCs/>
          <w:color w:val="auto"/>
          <w:kern w:val="0"/>
          <w:szCs w:val="26"/>
          <w14:ligatures w14:val="none"/>
        </w:rPr>
        <w:t>tetelestai</w:t>
      </w:r>
      <w:proofErr w:type="spellEnd"/>
      <w:r w:rsidRPr="00072E15">
        <w:rPr>
          <w:rFonts w:eastAsia="Times New Roman" w:cs="DecoType Naskh"/>
          <w:color w:val="auto"/>
          <w:kern w:val="0"/>
          <w:szCs w:val="26"/>
          <w:rtl/>
          <w:lang w:bidi="ar-JO"/>
          <w14:ligatures w14:val="none"/>
        </w:rPr>
        <w:t xml:space="preserve"> "، بمعنى "دُفع كاملاً").</w:t>
      </w:r>
    </w:p>
    <w:p w14:paraId="48AE649F"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65570053"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2.</w:t>
      </w:r>
      <w:r w:rsidRPr="00072E15">
        <w:rPr>
          <w:rFonts w:eastAsia="Times New Roman" w:cs="DecoType Naskh"/>
          <w:color w:val="auto"/>
          <w:kern w:val="0"/>
          <w:szCs w:val="26"/>
          <w:rtl/>
          <w:lang w:bidi="ar-JO"/>
          <w14:ligatures w14:val="none"/>
        </w:rPr>
        <w:tab/>
        <w:t>الاسترضاء بالكفّارة</w:t>
      </w:r>
    </w:p>
    <w:p w14:paraId="55B464D1"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 xml:space="preserve">كان الدم على كرسي الرحمة ذا دلالة كبيرة.  عندما كان يوضع دم الثور (المقدَّم من أجل الكاهن) ودم التيس (المقدّم عن الشعب) على كرسي الرحمة، كان الله يُسترضى، أي أن مطالبه المقدّسة كانت تُلبّى.  وبما أن هذا لم يكن إلاّ دم حيوانات، وبما أن الذبيحة كانت تقدّم سنة بعد سنة، كان واضحاً أنها لم تمثّل تعاملاً حاسماً نهائياً مع الخطية.  </w:t>
      </w:r>
      <w:r w:rsidRPr="00072E15">
        <w:rPr>
          <w:rFonts w:eastAsia="Times New Roman" w:cs="DecoType Naskh" w:hint="cs"/>
          <w:color w:val="auto"/>
          <w:kern w:val="0"/>
          <w:szCs w:val="26"/>
          <w:rtl/>
          <w:lang w:bidi="ar-JO"/>
          <w14:ligatures w14:val="none"/>
        </w:rPr>
        <w:t>أما</w:t>
      </w:r>
      <w:r w:rsidRPr="00072E15">
        <w:rPr>
          <w:rFonts w:eastAsia="Times New Roman" w:cs="DecoType Naskh"/>
          <w:color w:val="auto"/>
          <w:kern w:val="0"/>
          <w:szCs w:val="26"/>
          <w:rtl/>
          <w:lang w:bidi="ar-JO"/>
          <w14:ligatures w14:val="none"/>
        </w:rPr>
        <w:t xml:space="preserve"> المسيح </w:t>
      </w:r>
      <w:r w:rsidRPr="00072E15">
        <w:rPr>
          <w:rFonts w:eastAsia="Times New Roman" w:cs="DecoType Naskh" w:hint="cs"/>
          <w:color w:val="auto"/>
          <w:kern w:val="0"/>
          <w:szCs w:val="26"/>
          <w:rtl/>
          <w:lang w:bidi="ar-JO"/>
          <w14:ligatures w14:val="none"/>
        </w:rPr>
        <w:t xml:space="preserve">فقد </w:t>
      </w:r>
      <w:r w:rsidRPr="00072E15">
        <w:rPr>
          <w:rFonts w:eastAsia="Times New Roman" w:cs="DecoType Naskh"/>
          <w:color w:val="auto"/>
          <w:kern w:val="0"/>
          <w:szCs w:val="26"/>
          <w:rtl/>
          <w:lang w:bidi="ar-JO"/>
          <w14:ligatures w14:val="none"/>
        </w:rPr>
        <w:t>كان كرسي الرحمة الحاسم المطلق.  وفي رومية 3: 25، يمكن أن تعني كلمة "كفّارة" "مكان كفّارة"، أي كرسي الرحمة:</w:t>
      </w:r>
      <w:r w:rsidRPr="00072E15">
        <w:rPr>
          <w:rFonts w:eastAsia="Times New Roman" w:cs="DecoType Naskh"/>
          <w:color w:val="auto"/>
          <w:kern w:val="0"/>
          <w:sz w:val="30"/>
          <w:szCs w:val="28"/>
          <w:vertAlign w:val="superscript"/>
          <w:rtl/>
          <w:lang w:bidi="ar-JO"/>
          <w14:ligatures w14:val="none"/>
        </w:rPr>
        <w:t xml:space="preserve"> </w:t>
      </w:r>
      <w:r w:rsidRPr="00072E15">
        <w:rPr>
          <w:rFonts w:eastAsia="Times New Roman" w:cs="DecoType Naskh"/>
          <w:color w:val="auto"/>
          <w:kern w:val="0"/>
          <w:sz w:val="30"/>
          <w:szCs w:val="28"/>
          <w:vertAlign w:val="superscript"/>
          <w:rtl/>
          <w:lang w:bidi="ar-JO"/>
          <w14:ligatures w14:val="none"/>
        </w:rPr>
        <w:footnoteReference w:id="92"/>
      </w:r>
    </w:p>
    <w:p w14:paraId="048C78A7"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يسوع المسيح... الذي قدّمه الله كفّارة</w:t>
      </w:r>
      <w:r w:rsidRPr="00072E15">
        <w:rPr>
          <w:rFonts w:eastAsia="Times New Roman" w:cs="DecoType Naskh" w:hint="cs"/>
          <w:color w:val="auto"/>
          <w:kern w:val="0"/>
          <w:szCs w:val="26"/>
          <w:rtl/>
          <w:lang w:bidi="ar-JO"/>
          <w14:ligatures w14:val="none"/>
        </w:rPr>
        <w:t xml:space="preserve"> (استرضاء-</w:t>
      </w:r>
      <w:r w:rsidRPr="00072E15">
        <w:rPr>
          <w:rFonts w:eastAsia="Times New Roman" w:cs="DecoType Naskh" w:hint="cs"/>
          <w:color w:val="auto"/>
          <w:kern w:val="0"/>
          <w:szCs w:val="26"/>
          <w:rtl/>
          <w:lang w:bidi="ar-JO"/>
          <w14:ligatures w14:val="none"/>
        </w:rPr>
        <w:tab/>
      </w:r>
      <w:r w:rsidRPr="00072E15">
        <w:rPr>
          <w:rFonts w:ascii="Gentium" w:eastAsia="Times New Roman" w:hAnsi="Gentium" w:cs="DecoType Naskh"/>
          <w:i/>
          <w:iCs/>
          <w:color w:val="auto"/>
          <w:kern w:val="0"/>
          <w:szCs w:val="26"/>
          <w:lang w:val="el-GR" w:bidi="ar-JO"/>
          <w14:ligatures w14:val="none"/>
        </w:rPr>
        <w:t>ἱλαστήριον</w:t>
      </w:r>
      <w:r w:rsidRPr="00072E15">
        <w:rPr>
          <w:rFonts w:eastAsia="Times New Roman" w:cs="DecoType Naskh" w:hint="cs"/>
          <w:color w:val="auto"/>
          <w:kern w:val="0"/>
          <w:szCs w:val="26"/>
          <w:rtl/>
          <w:lang w:bidi="ar-JO"/>
          <w14:ligatures w14:val="none"/>
        </w:rPr>
        <w:t>)</w:t>
      </w:r>
      <w:r w:rsidRPr="00072E15">
        <w:rPr>
          <w:rFonts w:eastAsia="Times New Roman" w:cs="DecoType Naskh"/>
          <w:color w:val="auto"/>
          <w:kern w:val="0"/>
          <w:szCs w:val="26"/>
          <w:rtl/>
          <w:lang w:bidi="ar-JO"/>
          <w14:ligatures w14:val="none"/>
        </w:rPr>
        <w:t xml:space="preserve"> بالإيمان </w:t>
      </w:r>
      <w:r w:rsidRPr="00072E15">
        <w:rPr>
          <w:rFonts w:eastAsia="Times New Roman" w:cs="DecoType Naskh" w:hint="cs"/>
          <w:color w:val="auto"/>
          <w:kern w:val="0"/>
          <w:szCs w:val="26"/>
          <w:rtl/>
          <w:lang w:bidi="ar-JO"/>
          <w14:ligatures w14:val="none"/>
        </w:rPr>
        <w:t>ب</w:t>
      </w:r>
      <w:r w:rsidRPr="00072E15">
        <w:rPr>
          <w:rFonts w:eastAsia="Times New Roman" w:cs="DecoType Naskh"/>
          <w:color w:val="auto"/>
          <w:kern w:val="0"/>
          <w:szCs w:val="26"/>
          <w:rtl/>
          <w:lang w:bidi="ar-JO"/>
          <w14:ligatures w14:val="none"/>
        </w:rPr>
        <w:t>دمه، لإظهار برِّه، من أجل الصفح عن الخطايا السالفة بإمهال الله.</w:t>
      </w:r>
    </w:p>
    <w:p w14:paraId="1BFD402A"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lastRenderedPageBreak/>
        <w:t xml:space="preserve">وهكذا لم </w:t>
      </w:r>
      <w:r w:rsidRPr="00072E15">
        <w:rPr>
          <w:rFonts w:eastAsia="Times New Roman" w:cs="DecoType Naskh" w:hint="cs"/>
          <w:color w:val="auto"/>
          <w:kern w:val="0"/>
          <w:szCs w:val="26"/>
          <w:rtl/>
          <w:lang w:bidi="ar-JO"/>
          <w14:ligatures w14:val="none"/>
        </w:rPr>
        <w:t>يكن</w:t>
      </w:r>
      <w:r w:rsidRPr="00072E15">
        <w:rPr>
          <w:rFonts w:eastAsia="Times New Roman" w:cs="DecoType Naskh"/>
          <w:color w:val="auto"/>
          <w:kern w:val="0"/>
          <w:szCs w:val="26"/>
          <w:rtl/>
          <w:lang w:bidi="ar-JO"/>
          <w14:ligatures w14:val="none"/>
        </w:rPr>
        <w:t xml:space="preserve"> الدم </w:t>
      </w:r>
      <w:r w:rsidRPr="00072E15">
        <w:rPr>
          <w:rFonts w:eastAsia="Times New Roman" w:cs="DecoType Naskh" w:hint="cs"/>
          <w:color w:val="auto"/>
          <w:kern w:val="0"/>
          <w:szCs w:val="26"/>
          <w:rtl/>
          <w:lang w:bidi="ar-JO"/>
          <w14:ligatures w14:val="none"/>
        </w:rPr>
        <w:t xml:space="preserve">يقدِّم </w:t>
      </w:r>
      <w:r w:rsidRPr="00072E15">
        <w:rPr>
          <w:rFonts w:eastAsia="Times New Roman" w:cs="DecoType Naskh"/>
          <w:color w:val="auto"/>
          <w:kern w:val="0"/>
          <w:szCs w:val="26"/>
          <w:rtl/>
          <w:lang w:bidi="ar-JO"/>
          <w14:ligatures w14:val="none"/>
        </w:rPr>
        <w:t>في يوم الكفّارة خلاصاً فردياً، بل أساساً يمكن لله أن يستمر بموجبه في السكن في وسط الأمّة.  غير أنه كانت هنالك فائدة فردية يقدّمها دم كرسي الرحمة (انظر مزمور 51: 7؛ لوقا 18: 7).</w:t>
      </w:r>
    </w:p>
    <w:p w14:paraId="5D934626"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75F7172A"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3.</w:t>
      </w:r>
      <w:r w:rsidRPr="00072E15">
        <w:rPr>
          <w:rFonts w:eastAsia="Times New Roman" w:cs="DecoType Naskh"/>
          <w:color w:val="auto"/>
          <w:kern w:val="0"/>
          <w:szCs w:val="26"/>
          <w:rtl/>
          <w:lang w:bidi="ar-JO"/>
          <w14:ligatures w14:val="none"/>
        </w:rPr>
        <w:tab/>
        <w:t>دلالة التيسين</w:t>
      </w:r>
    </w:p>
    <w:p w14:paraId="23408DA9"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072E15">
        <w:rPr>
          <w:rFonts w:eastAsia="Times New Roman" w:cs="DecoType Naskh"/>
          <w:color w:val="auto"/>
          <w:kern w:val="0"/>
          <w:szCs w:val="26"/>
          <w:rtl/>
          <w:lang w:bidi="ar-JO"/>
          <w14:ligatures w14:val="none"/>
        </w:rPr>
        <w:t xml:space="preserve">مثّل التيسان جانبين تعامل الله بموجبهما مع الخطيّة.  فقد مثّل التيس المذبوح الخطايا المغطاة، أمّا التيس الذي كان يُطلق في البرّية "حاملاً خطايا الأمة" فكان يمثّل الخطايا </w:t>
      </w:r>
      <w:r w:rsidRPr="00072E15">
        <w:rPr>
          <w:rFonts w:eastAsia="Times New Roman" w:cs="DecoType Naskh" w:hint="cs"/>
          <w:color w:val="auto"/>
          <w:kern w:val="0"/>
          <w:szCs w:val="26"/>
          <w:rtl/>
          <w:lang w:bidi="ar-JO"/>
          <w14:ligatures w14:val="none"/>
        </w:rPr>
        <w:t>المُزالة</w:t>
      </w:r>
      <w:r w:rsidRPr="00072E15">
        <w:rPr>
          <w:rFonts w:eastAsia="Times New Roman" w:cs="DecoType Naskh"/>
          <w:color w:val="auto"/>
          <w:kern w:val="0"/>
          <w:szCs w:val="26"/>
          <w:rtl/>
          <w:lang w:bidi="ar-JO"/>
          <w14:ligatures w14:val="none"/>
        </w:rPr>
        <w:t>، وهذه صورة حيّة لحاجة الأمّة ككل إلى أن تتطهر من خطيتها.  ومن الواضح أن هذا سيصوّر جانبين من جوانب عمل المسيح (انظر إشعياء 53: 5-6).  وسيقدم موت المسيح غطاء من الدم للخطايا (</w:t>
      </w:r>
      <w:r w:rsidRPr="00072E15">
        <w:rPr>
          <w:rFonts w:eastAsia="Times New Roman" w:cs="DecoType Naskh" w:hint="cs"/>
          <w:color w:val="auto"/>
          <w:kern w:val="0"/>
          <w:szCs w:val="26"/>
          <w:rtl/>
          <w:lang w:bidi="ar-JO"/>
          <w14:ligatures w14:val="none"/>
        </w:rPr>
        <w:t>وسينطبق هذا ليس على بني إسرائيل فقط</w:t>
      </w:r>
      <w:r w:rsidRPr="00072E15">
        <w:rPr>
          <w:rFonts w:eastAsia="Times New Roman" w:cs="DecoType Naskh"/>
          <w:color w:val="auto"/>
          <w:kern w:val="0"/>
          <w:szCs w:val="26"/>
          <w:rtl/>
          <w:lang w:bidi="ar-JO"/>
          <w14:ligatures w14:val="none"/>
        </w:rPr>
        <w:t>).</w:t>
      </w:r>
    </w:p>
    <w:p w14:paraId="7E875958"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KW"/>
          <w14:ligatures w14:val="none"/>
        </w:rPr>
      </w:pPr>
    </w:p>
    <w:p w14:paraId="54FD09FF"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KW"/>
          <w14:ligatures w14:val="none"/>
        </w:rPr>
      </w:pPr>
    </w:p>
    <w:p w14:paraId="0A7564C4"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4.</w:t>
      </w:r>
      <w:r w:rsidRPr="00072E15">
        <w:rPr>
          <w:rFonts w:eastAsia="Times New Roman" w:cs="DecoType Naskh"/>
          <w:color w:val="auto"/>
          <w:kern w:val="0"/>
          <w:szCs w:val="26"/>
          <w:rtl/>
          <w:lang w:bidi="ar-JO"/>
          <w14:ligatures w14:val="none"/>
        </w:rPr>
        <w:tab/>
        <w:t>يوم كفّارة مستقبلي للأمة</w:t>
      </w:r>
    </w:p>
    <w:p w14:paraId="54A7609C"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 xml:space="preserve">سيكون هنالك زمن مستقبلي عندما "تُزال" أو ترفع فيه خطايا إسرائيل كأمّة.  فعند عودة المسيح سيزيل إثم أمّة إسرائيل (زكريا 13: 1 فصاعداً).  وسيحدث هذا بعد أن تتواضع الأمّة وتنظر إلى المسيّا في إيمان.  وهكذا سيكون هنالك"يوم كفّارة أخروي" لإسرائيل، كما </w:t>
      </w:r>
      <w:r w:rsidRPr="00072E15">
        <w:rPr>
          <w:rFonts w:eastAsia="Times New Roman" w:cs="DecoType Naskh" w:hint="cs"/>
          <w:color w:val="auto"/>
          <w:kern w:val="0"/>
          <w:szCs w:val="26"/>
          <w:rtl/>
          <w:lang w:bidi="ar-JO"/>
          <w14:ligatures w14:val="none"/>
        </w:rPr>
        <w:t>يُنبئ بذلك</w:t>
      </w:r>
      <w:r w:rsidRPr="00072E15">
        <w:rPr>
          <w:rFonts w:eastAsia="Times New Roman" w:cs="DecoType Naskh"/>
          <w:color w:val="auto"/>
          <w:kern w:val="0"/>
          <w:szCs w:val="26"/>
          <w:rtl/>
          <w:lang w:bidi="ar-JO"/>
          <w14:ligatures w14:val="none"/>
        </w:rPr>
        <w:t xml:space="preserve"> كل يوم كفّترة سنوي.  كان يوم الكفّارة السنوي يوم تواضع- "تذلّلون نفوسكم" (لاويين 16: 29؛ 23: 11).  سيأتي يوم تذلل فيه إسرائيل نفسها كأمّة (انظر زكريا 12: 10-11).</w:t>
      </w:r>
    </w:p>
    <w:p w14:paraId="34321D5C"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019D205A"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5.</w:t>
      </w:r>
      <w:r w:rsidRPr="00072E15">
        <w:rPr>
          <w:rFonts w:eastAsia="Times New Roman" w:cs="DecoType Naskh"/>
          <w:color w:val="auto"/>
          <w:kern w:val="0"/>
          <w:szCs w:val="26"/>
          <w:rtl/>
          <w:lang w:bidi="ar-JO"/>
          <w14:ligatures w14:val="none"/>
        </w:rPr>
        <w:tab/>
      </w:r>
      <w:r w:rsidRPr="00072E15">
        <w:rPr>
          <w:rFonts w:eastAsia="Times New Roman" w:cs="DecoType Naskh" w:hint="cs"/>
          <w:color w:val="auto"/>
          <w:kern w:val="0"/>
          <w:szCs w:val="26"/>
          <w:rtl/>
          <w:lang w:bidi="ar-JO"/>
          <w14:ligatures w14:val="none"/>
        </w:rPr>
        <w:t>رئيس الكهنة كنموذجٍ</w:t>
      </w:r>
      <w:r w:rsidRPr="00072E15">
        <w:rPr>
          <w:rFonts w:eastAsia="Times New Roman" w:cs="DecoType Naskh"/>
          <w:color w:val="auto"/>
          <w:kern w:val="0"/>
          <w:szCs w:val="26"/>
          <w:rtl/>
          <w:lang w:bidi="ar-JO"/>
          <w14:ligatures w14:val="none"/>
        </w:rPr>
        <w:t xml:space="preserve"> للمسيح</w:t>
      </w:r>
    </w:p>
    <w:p w14:paraId="03EECC94"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يجب أن يقارن يوم الكفّار</w:t>
      </w:r>
      <w:r w:rsidRPr="00072E15">
        <w:rPr>
          <w:rFonts w:eastAsia="Times New Roman" w:cs="DecoType Naskh" w:hint="cs"/>
          <w:color w:val="auto"/>
          <w:kern w:val="0"/>
          <w:szCs w:val="26"/>
          <w:rtl/>
          <w:lang w:bidi="ar-JO"/>
          <w14:ligatures w14:val="none"/>
        </w:rPr>
        <w:t>ة</w:t>
      </w:r>
      <w:r w:rsidRPr="00072E15">
        <w:rPr>
          <w:rFonts w:eastAsia="Times New Roman" w:cs="DecoType Naskh"/>
          <w:color w:val="auto"/>
          <w:kern w:val="0"/>
          <w:szCs w:val="26"/>
          <w:rtl/>
          <w:lang w:bidi="ar-JO"/>
          <w14:ligatures w14:val="none"/>
        </w:rPr>
        <w:t xml:space="preserve"> بعمل المسيح على الصليب</w:t>
      </w:r>
      <w:r w:rsidRPr="00072E15">
        <w:rPr>
          <w:rFonts w:eastAsia="Times New Roman" w:cs="DecoType Naskh" w:hint="cs"/>
          <w:color w:val="auto"/>
          <w:kern w:val="0"/>
          <w:szCs w:val="26"/>
          <w:rtl/>
          <w:lang w:bidi="ar-JO"/>
          <w14:ligatures w14:val="none"/>
        </w:rPr>
        <w:t>،</w:t>
      </w:r>
      <w:r w:rsidRPr="00072E15">
        <w:rPr>
          <w:rFonts w:eastAsia="Times New Roman" w:cs="DecoType Naskh"/>
          <w:color w:val="auto"/>
          <w:kern w:val="0"/>
          <w:szCs w:val="26"/>
          <w:rtl/>
          <w:lang w:bidi="ar-JO"/>
          <w14:ligatures w14:val="none"/>
        </w:rPr>
        <w:t xml:space="preserve"> وفي هذا المجال يجب أن يدرس الطالب عبرانيين 9-10.  فبالمقابلة مع الكاهن الأعلى الذي كان يدخل قدس الأقداس مرّة واحدة في السنة لكي يقدّم دفعة سنوية بدم الحيوانات، دخل يسوع، </w:t>
      </w:r>
      <w:r w:rsidRPr="00072E15">
        <w:rPr>
          <w:rFonts w:eastAsia="Times New Roman" w:cs="DecoType Naskh" w:hint="cs"/>
          <w:color w:val="auto"/>
          <w:kern w:val="0"/>
          <w:szCs w:val="26"/>
          <w:rtl/>
          <w:lang w:bidi="ar-JO"/>
          <w14:ligatures w14:val="none"/>
        </w:rPr>
        <w:t>رئيس الكهنة</w:t>
      </w:r>
      <w:r w:rsidRPr="00072E15">
        <w:rPr>
          <w:rFonts w:eastAsia="Times New Roman" w:cs="DecoType Naskh"/>
          <w:color w:val="auto"/>
          <w:kern w:val="0"/>
          <w:szCs w:val="26"/>
          <w:rtl/>
          <w:lang w:bidi="ar-JO"/>
          <w14:ligatures w14:val="none"/>
        </w:rPr>
        <w:t xml:space="preserve"> العظيم، إلى قدس الأقداس السماوية (ذات محضر الله) مرّة واحدة نهائية مقدّماً دمه الشخصي كدفعة كاملة أو كثمن كامل.  وقد سدد عمل المسيح الكفّاري أكثر بكثير من حاجة أمّة واحدة فحسب.  ففي حين جلب يوم </w:t>
      </w:r>
      <w:r w:rsidRPr="00072E15">
        <w:rPr>
          <w:rFonts w:eastAsia="Times New Roman" w:cs="DecoType Naskh" w:hint="cs"/>
          <w:color w:val="auto"/>
          <w:kern w:val="0"/>
          <w:szCs w:val="26"/>
          <w:rtl/>
          <w:lang w:bidi="ar-JO"/>
          <w14:ligatures w14:val="none"/>
        </w:rPr>
        <w:t xml:space="preserve">الكفارة المصالحة </w:t>
      </w:r>
      <w:r w:rsidRPr="00072E15">
        <w:rPr>
          <w:rFonts w:eastAsia="Times New Roman" w:cs="DecoType Naskh"/>
          <w:color w:val="auto"/>
          <w:kern w:val="0"/>
          <w:szCs w:val="26"/>
          <w:rtl/>
          <w:lang w:bidi="ar-JO"/>
          <w14:ligatures w14:val="none"/>
        </w:rPr>
        <w:t>بين إسرائيل والله، فقد صالح المسيح العالم كلّه مع الله، أي أنه جعله قابلاً للخلاص (2كورنثوس 5: 19).</w:t>
      </w:r>
    </w:p>
    <w:p w14:paraId="7B2AFFDD"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3BA6AC2B"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072E15">
        <w:rPr>
          <w:rFonts w:eastAsia="Times New Roman" w:cs="DecoType Naskh"/>
          <w:color w:val="auto"/>
          <w:kern w:val="0"/>
          <w:szCs w:val="26"/>
          <w:rtl/>
          <w:lang w:bidi="ar-JO"/>
          <w14:ligatures w14:val="none"/>
        </w:rPr>
        <w:t xml:space="preserve">على الرغم من أن </w:t>
      </w:r>
      <w:r w:rsidRPr="00072E15">
        <w:rPr>
          <w:rFonts w:eastAsia="Times New Roman" w:cs="DecoType Naskh" w:hint="cs"/>
          <w:color w:val="auto"/>
          <w:kern w:val="0"/>
          <w:szCs w:val="26"/>
          <w:rtl/>
          <w:lang w:bidi="ar-JO"/>
          <w14:ligatures w14:val="none"/>
        </w:rPr>
        <w:t>رئيس الكهنة نموذج</w:t>
      </w:r>
      <w:r w:rsidRPr="00072E15">
        <w:rPr>
          <w:rFonts w:eastAsia="Times New Roman" w:cs="DecoType Naskh"/>
          <w:color w:val="auto"/>
          <w:kern w:val="0"/>
          <w:szCs w:val="26"/>
          <w:rtl/>
          <w:lang w:bidi="ar-JO"/>
          <w14:ligatures w14:val="none"/>
        </w:rPr>
        <w:t xml:space="preserve"> للمسيح، إلاّ أن المسيح أكثر جداً تفوقاً من أي </w:t>
      </w:r>
      <w:r w:rsidRPr="00072E15">
        <w:rPr>
          <w:rFonts w:eastAsia="Times New Roman" w:cs="DecoType Naskh" w:hint="cs"/>
          <w:color w:val="auto"/>
          <w:kern w:val="0"/>
          <w:szCs w:val="26"/>
          <w:rtl/>
          <w:lang w:bidi="ar-JO"/>
          <w14:ligatures w14:val="none"/>
        </w:rPr>
        <w:t>رئيس كهنة</w:t>
      </w:r>
      <w:r w:rsidRPr="00072E15">
        <w:rPr>
          <w:rFonts w:eastAsia="Times New Roman" w:cs="DecoType Naskh"/>
          <w:color w:val="auto"/>
          <w:kern w:val="0"/>
          <w:szCs w:val="26"/>
          <w:rtl/>
          <w:lang w:bidi="ar-JO"/>
          <w14:ligatures w14:val="none"/>
        </w:rPr>
        <w:t>، وعمله أكثر أهميّة بما لا يحد (وهذه هي الفكرة الأساسية للرسالة إلى العبرانيين</w:t>
      </w:r>
      <w:r w:rsidRPr="00072E15">
        <w:rPr>
          <w:rFonts w:eastAsia="Times New Roman" w:cs="DecoType Naskh" w:hint="cs"/>
          <w:color w:val="auto"/>
          <w:kern w:val="0"/>
          <w:szCs w:val="26"/>
          <w:rtl/>
          <w:lang w:bidi="ar-JO"/>
          <w14:ligatures w14:val="none"/>
        </w:rPr>
        <w:t>)</w:t>
      </w:r>
      <w:r w:rsidRPr="00072E15">
        <w:rPr>
          <w:rFonts w:eastAsia="Times New Roman" w:cs="DecoType Naskh"/>
          <w:color w:val="auto"/>
          <w:kern w:val="0"/>
          <w:szCs w:val="26"/>
          <w:rtl/>
          <w:lang w:bidi="ar-JO"/>
          <w14:ligatures w14:val="none"/>
        </w:rPr>
        <w:t xml:space="preserve">.  </w:t>
      </w:r>
      <w:r w:rsidRPr="00072E15">
        <w:rPr>
          <w:rFonts w:eastAsia="Times New Roman" w:cs="DecoType Naskh" w:hint="cs"/>
          <w:color w:val="auto"/>
          <w:kern w:val="0"/>
          <w:szCs w:val="26"/>
          <w:rtl/>
          <w:lang w:bidi="ar-JO"/>
          <w14:ligatures w14:val="none"/>
        </w:rPr>
        <w:t xml:space="preserve">لأن المسيح كان باراً، لم يكن </w:t>
      </w:r>
      <w:r w:rsidRPr="00072E15">
        <w:rPr>
          <w:rFonts w:eastAsia="Times New Roman" w:cs="DecoType Naskh"/>
          <w:color w:val="auto"/>
          <w:kern w:val="0"/>
          <w:szCs w:val="26"/>
          <w:rtl/>
          <w:lang w:bidi="ar-JO"/>
          <w14:ligatures w14:val="none"/>
        </w:rPr>
        <w:t xml:space="preserve">مضطرّاً إلى تقديم ذبيحة عن نفسه قبل تقديم ذبيحة عن الشعب.  وبما أن </w:t>
      </w:r>
      <w:r w:rsidRPr="00072E15">
        <w:rPr>
          <w:rFonts w:eastAsia="Times New Roman" w:cs="DecoType Naskh" w:hint="cs"/>
          <w:color w:val="auto"/>
          <w:kern w:val="0"/>
          <w:szCs w:val="26"/>
          <w:rtl/>
          <w:lang w:bidi="ar-JO"/>
          <w14:ligatures w14:val="none"/>
        </w:rPr>
        <w:t>رئيس كهنتنا</w:t>
      </w:r>
      <w:r w:rsidRPr="00072E15">
        <w:rPr>
          <w:rFonts w:eastAsia="Times New Roman" w:cs="DecoType Naskh"/>
          <w:color w:val="auto"/>
          <w:kern w:val="0"/>
          <w:szCs w:val="26"/>
          <w:rtl/>
          <w:lang w:bidi="ar-JO"/>
          <w14:ligatures w14:val="none"/>
        </w:rPr>
        <w:t xml:space="preserve"> متفوق على هارون، فإن على المرء أن يتكل كلّياً على المسيح (وهذا لسان حال كاتب الرسالة إلى العبرانيين).  يقدّم لنا ونهام تلخيصاً لمقارنة بين </w:t>
      </w:r>
      <w:r w:rsidRPr="00072E15">
        <w:rPr>
          <w:rFonts w:eastAsia="Times New Roman" w:cs="DecoType Naskh" w:hint="cs"/>
          <w:color w:val="auto"/>
          <w:kern w:val="0"/>
          <w:szCs w:val="26"/>
          <w:rtl/>
          <w:lang w:bidi="ar-JO"/>
          <w14:ligatures w14:val="none"/>
        </w:rPr>
        <w:t>رئيس الكهنة</w:t>
      </w:r>
      <w:r w:rsidRPr="00072E15">
        <w:rPr>
          <w:rFonts w:eastAsia="Times New Roman" w:cs="DecoType Naskh"/>
          <w:color w:val="auto"/>
          <w:kern w:val="0"/>
          <w:szCs w:val="26"/>
          <w:rtl/>
          <w:lang w:bidi="ar-JO"/>
          <w14:ligatures w14:val="none"/>
        </w:rPr>
        <w:t xml:space="preserve"> في العهد القديم وبين المسيح بصفته </w:t>
      </w:r>
      <w:r w:rsidRPr="00072E15">
        <w:rPr>
          <w:rFonts w:eastAsia="Times New Roman" w:cs="DecoType Naskh" w:hint="cs"/>
          <w:color w:val="auto"/>
          <w:kern w:val="0"/>
          <w:szCs w:val="26"/>
          <w:rtl/>
          <w:lang w:bidi="ar-JO"/>
          <w14:ligatures w14:val="none"/>
        </w:rPr>
        <w:t>رئيس الكهنة</w:t>
      </w:r>
      <w:r w:rsidRPr="00072E15">
        <w:rPr>
          <w:rFonts w:eastAsia="Times New Roman" w:cs="DecoType Naskh"/>
          <w:color w:val="auto"/>
          <w:kern w:val="0"/>
          <w:szCs w:val="26"/>
          <w:rtl/>
          <w:lang w:bidi="ar-JO"/>
          <w14:ligatures w14:val="none"/>
        </w:rPr>
        <w:t xml:space="preserve"> الأعظم:</w:t>
      </w:r>
      <w:r w:rsidRPr="00072E15">
        <w:rPr>
          <w:rFonts w:eastAsia="Times New Roman" w:cs="DecoType Naskh"/>
          <w:color w:val="auto"/>
          <w:kern w:val="0"/>
          <w:sz w:val="30"/>
          <w:szCs w:val="28"/>
          <w:vertAlign w:val="superscript"/>
          <w:rtl/>
          <w:lang w:bidi="ar-JO"/>
          <w14:ligatures w14:val="none"/>
        </w:rPr>
        <w:footnoteReference w:id="93"/>
      </w:r>
    </w:p>
    <w:p w14:paraId="0427B0FC"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أ.</w:t>
      </w:r>
      <w:r w:rsidRPr="00072E15">
        <w:rPr>
          <w:rFonts w:eastAsia="Times New Roman" w:cs="DecoType Naskh"/>
          <w:color w:val="auto"/>
          <w:kern w:val="0"/>
          <w:szCs w:val="26"/>
          <w:rtl/>
          <w:lang w:bidi="ar-JO"/>
          <w14:ligatures w14:val="none"/>
        </w:rPr>
        <w:tab/>
        <w:t>كان هارون خاطئاً يحتاج إلى تقديم ذبيحة عن نفسه قبل أن يقدّم كفّارة عن الشعب.  أمّا المسيح فطاهر وبلا خطيّة، فلا يحتاج إلى تقديم ذبائح عن نفسه (عبرانيين 7: 26 فصاعداً).</w:t>
      </w:r>
    </w:p>
    <w:p w14:paraId="01BD7257"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p>
    <w:p w14:paraId="5BD82F52"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ب.</w:t>
      </w:r>
      <w:r w:rsidRPr="00072E15">
        <w:rPr>
          <w:rFonts w:eastAsia="Times New Roman" w:cs="DecoType Naskh"/>
          <w:color w:val="auto"/>
          <w:kern w:val="0"/>
          <w:szCs w:val="26"/>
          <w:rtl/>
          <w:lang w:bidi="ar-JO"/>
          <w14:ligatures w14:val="none"/>
        </w:rPr>
        <w:tab/>
        <w:t>كان هارون مضطراً لتكرار عملية تقديم الذبائح بانتظام.  أمّا المسيح فضمن لنا فداءاً أبدياً بموته (9: 6-14، 25 فصاعداً).</w:t>
      </w:r>
    </w:p>
    <w:p w14:paraId="0F9C5415"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جـ.</w:t>
      </w:r>
      <w:r w:rsidRPr="00072E15">
        <w:rPr>
          <w:rFonts w:eastAsia="Times New Roman" w:cs="DecoType Naskh"/>
          <w:color w:val="auto"/>
          <w:kern w:val="0"/>
          <w:szCs w:val="26"/>
          <w:rtl/>
          <w:lang w:bidi="ar-JO"/>
          <w14:ligatures w14:val="none"/>
        </w:rPr>
        <w:tab/>
        <w:t>ضمنت الطقوس التي أدّاها هارون دخوله إلى المقدس الأرضي؛ أمّا موت المسيح فقد قاده إلى المقدس السماوي</w:t>
      </w:r>
      <w:r w:rsidRPr="00072E15">
        <w:rPr>
          <w:rFonts w:eastAsia="Times New Roman" w:cs="DecoType Naskh" w:hint="cs"/>
          <w:color w:val="auto"/>
          <w:kern w:val="0"/>
          <w:szCs w:val="26"/>
          <w:rtl/>
          <w:lang w:bidi="ar-JO"/>
          <w14:ligatures w14:val="none"/>
        </w:rPr>
        <w:t xml:space="preserve">               </w:t>
      </w:r>
      <w:r w:rsidRPr="00072E15">
        <w:rPr>
          <w:rFonts w:eastAsia="Times New Roman" w:cs="DecoType Naskh"/>
          <w:color w:val="auto"/>
          <w:kern w:val="0"/>
          <w:szCs w:val="26"/>
          <w:rtl/>
          <w:lang w:bidi="ar-JO"/>
          <w14:ligatures w14:val="none"/>
        </w:rPr>
        <w:t xml:space="preserve"> (9: 24).</w:t>
      </w:r>
    </w:p>
    <w:p w14:paraId="7B525456"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p>
    <w:p w14:paraId="207A559D"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KW"/>
          <w14:ligatures w14:val="none"/>
        </w:rPr>
      </w:pPr>
      <w:r w:rsidRPr="00072E15">
        <w:rPr>
          <w:rFonts w:eastAsia="Times New Roman" w:cs="DecoType Naskh"/>
          <w:color w:val="auto"/>
          <w:kern w:val="0"/>
          <w:szCs w:val="26"/>
          <w:rtl/>
          <w:lang w:bidi="ar-JO"/>
          <w14:ligatures w14:val="none"/>
        </w:rPr>
        <w:lastRenderedPageBreak/>
        <w:t>د.</w:t>
      </w:r>
      <w:r w:rsidRPr="00072E15">
        <w:rPr>
          <w:rFonts w:eastAsia="Times New Roman" w:cs="DecoType Naskh"/>
          <w:color w:val="auto"/>
          <w:kern w:val="0"/>
          <w:szCs w:val="26"/>
          <w:rtl/>
          <w:lang w:bidi="ar-JO"/>
          <w14:ligatures w14:val="none"/>
        </w:rPr>
        <w:tab/>
        <w:t xml:space="preserve">كان تكرار تقديم هارون للذبيحة تذكيراً دائماً </w:t>
      </w:r>
      <w:r w:rsidRPr="00072E15">
        <w:rPr>
          <w:rFonts w:eastAsia="Times New Roman" w:cs="DecoType Naskh" w:hint="cs"/>
          <w:color w:val="auto"/>
          <w:kern w:val="0"/>
          <w:szCs w:val="26"/>
          <w:rtl/>
          <w:lang w:bidi="ar-JO"/>
          <w14:ligatures w14:val="none"/>
        </w:rPr>
        <w:t>بالوجود الدائم للخطية</w:t>
      </w:r>
      <w:r w:rsidRPr="00072E15">
        <w:rPr>
          <w:rFonts w:eastAsia="Times New Roman" w:cs="DecoType Naskh"/>
          <w:color w:val="auto"/>
          <w:kern w:val="0"/>
          <w:szCs w:val="26"/>
          <w:rtl/>
          <w:lang w:bidi="ar-JO"/>
          <w14:ligatures w14:val="none"/>
        </w:rPr>
        <w:t>.  أمّا المسيح فضمِن بذبيحته الوحيدة الواحدة النهائية غفراناً دائماً من الخطية (10: 1-18).</w:t>
      </w:r>
    </w:p>
    <w:p w14:paraId="103330F2"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KW"/>
          <w14:ligatures w14:val="none"/>
        </w:rPr>
      </w:pPr>
    </w:p>
    <w:p w14:paraId="16E95D47" w14:textId="77777777" w:rsidR="00072E15" w:rsidRPr="00072E15" w:rsidRDefault="00072E15"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2E15">
        <w:rPr>
          <w:rFonts w:eastAsia="Times New Roman" w:cs="DecoType Naskh"/>
          <w:color w:val="auto"/>
          <w:kern w:val="0"/>
          <w:szCs w:val="26"/>
          <w:rtl/>
          <w:lang w:bidi="ar-JO"/>
          <w14:ligatures w14:val="none"/>
        </w:rPr>
        <w:t>6.</w:t>
      </w:r>
      <w:r w:rsidRPr="00072E15">
        <w:rPr>
          <w:rFonts w:eastAsia="Times New Roman" w:cs="DecoType Naskh"/>
          <w:color w:val="auto"/>
          <w:kern w:val="0"/>
          <w:szCs w:val="26"/>
          <w:rtl/>
          <w:lang w:bidi="ar-JO"/>
          <w14:ligatures w14:val="none"/>
        </w:rPr>
        <w:tab/>
        <w:t>حرق الحيوانات خارج المخيم (المحلّة)</w:t>
      </w:r>
    </w:p>
    <w:p w14:paraId="11AC2A76" w14:textId="77777777" w:rsidR="00072E15" w:rsidRPr="00072E15" w:rsidRDefault="00072E15"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14:ligatures w14:val="none"/>
        </w:rPr>
      </w:pPr>
      <w:r w:rsidRPr="00072E15">
        <w:rPr>
          <w:rFonts w:eastAsia="Times New Roman" w:cs="DecoType Naskh"/>
          <w:color w:val="auto"/>
          <w:kern w:val="0"/>
          <w:szCs w:val="26"/>
          <w:rtl/>
          <w:lang w:bidi="ar-JO"/>
          <w14:ligatures w14:val="none"/>
        </w:rPr>
        <w:t xml:space="preserve">وأخيراً، بقي أن نعلّق على حرق الثور والتيس خارج المخيّم (المحلّة).  فكما كانت جثّتا هذين الحيوانين تُحرقان خارج المخيم، </w:t>
      </w:r>
      <w:r w:rsidRPr="00072E15">
        <w:rPr>
          <w:rFonts w:eastAsia="Times New Roman" w:cs="DecoType Naskh" w:hint="cs"/>
          <w:color w:val="auto"/>
          <w:kern w:val="0"/>
          <w:szCs w:val="26"/>
          <w:rtl/>
          <w:lang w:bidi="ar-JO"/>
          <w14:ligatures w14:val="none"/>
        </w:rPr>
        <w:t>وكذلك المسيح تألَّم</w:t>
      </w:r>
      <w:r w:rsidRPr="00072E15">
        <w:rPr>
          <w:rFonts w:eastAsia="Times New Roman" w:cs="DecoType Naskh"/>
          <w:color w:val="auto"/>
          <w:kern w:val="0"/>
          <w:szCs w:val="26"/>
          <w:rtl/>
          <w:lang w:bidi="ar-JO"/>
          <w14:ligatures w14:val="none"/>
        </w:rPr>
        <w:t xml:space="preserve"> أيضاً خارج البوّابة (انظر عبرانيين 13: 10-14).  كان وجود الحيوانين داخل المخيم بمثابة موضوع تعيير وتوبيخ داخل المحلّة</w:t>
      </w:r>
      <w:r w:rsidRPr="00072E15">
        <w:rPr>
          <w:rFonts w:eastAsia="Times New Roman" w:cs="DecoType Naskh" w:hint="cs"/>
          <w:color w:val="auto"/>
          <w:kern w:val="0"/>
          <w:szCs w:val="26"/>
          <w:rtl/>
          <w:lang w:bidi="ar-JO"/>
          <w14:ligatures w14:val="none"/>
        </w:rPr>
        <w:t>،</w:t>
      </w:r>
      <w:r w:rsidRPr="00072E15">
        <w:rPr>
          <w:rFonts w:eastAsia="Times New Roman" w:cs="DecoType Naskh"/>
          <w:color w:val="auto"/>
          <w:kern w:val="0"/>
          <w:szCs w:val="26"/>
          <w:rtl/>
          <w:lang w:bidi="ar-JO"/>
          <w14:ligatures w14:val="none"/>
        </w:rPr>
        <w:t xml:space="preserve"> وقد اعتُبر يسوع موضوعاً للتعيير والتوبيخ داخل حدود أمّة إسرائيل.  وعلينا، كمؤمنين بالمسيح، أن نكون مستعدّين لحمل </w:t>
      </w:r>
      <w:r w:rsidRPr="00072E15">
        <w:rPr>
          <w:rFonts w:eastAsia="Times New Roman" w:cs="DecoType Naskh" w:hint="cs"/>
          <w:color w:val="auto"/>
          <w:kern w:val="0"/>
          <w:szCs w:val="26"/>
          <w:rtl/>
          <w:lang w:bidi="ar-JO"/>
          <w14:ligatures w14:val="none"/>
        </w:rPr>
        <w:t>عارِه</w:t>
      </w:r>
      <w:r w:rsidRPr="00072E15">
        <w:rPr>
          <w:rFonts w:eastAsia="Times New Roman" w:cs="DecoType Naskh"/>
          <w:color w:val="auto"/>
          <w:kern w:val="0"/>
          <w:szCs w:val="26"/>
          <w:rtl/>
          <w:lang w:bidi="ar-JO"/>
          <w14:ligatures w14:val="none"/>
        </w:rPr>
        <w:t>!</w:t>
      </w:r>
    </w:p>
    <w:p w14:paraId="14E5B727" w14:textId="77777777" w:rsidR="00072E15" w:rsidRPr="00072E15" w:rsidRDefault="00072E15" w:rsidP="002D6C54">
      <w:pPr>
        <w:bidi/>
        <w:spacing w:after="0" w:line="240" w:lineRule="auto"/>
        <w:jc w:val="center"/>
        <w:rPr>
          <w:rFonts w:eastAsia="Times New Roman" w:cs="DecoType Naskh"/>
          <w:color w:val="A50021"/>
          <w:kern w:val="0"/>
          <w:szCs w:val="32"/>
          <w:rtl/>
          <w:lang w:bidi="ar-JO"/>
          <w14:ligatures w14:val="none"/>
        </w:rPr>
      </w:pPr>
    </w:p>
    <w:p w14:paraId="4BB0152E" w14:textId="77777777" w:rsidR="00072E15" w:rsidRPr="00072E15" w:rsidRDefault="00072E15" w:rsidP="002D6C54">
      <w:pPr>
        <w:bidi/>
        <w:spacing w:after="0" w:line="240" w:lineRule="auto"/>
        <w:jc w:val="center"/>
        <w:rPr>
          <w:rFonts w:eastAsia="Times New Roman" w:cs="DecoType Naskh"/>
          <w:color w:val="A50021"/>
          <w:kern w:val="0"/>
          <w:szCs w:val="32"/>
          <w:rtl/>
          <w:lang w:bidi="ar-JO"/>
          <w14:ligatures w14:val="none"/>
        </w:rPr>
      </w:pPr>
    </w:p>
    <w:p w14:paraId="39D2AA99" w14:textId="77777777" w:rsidR="007F18C6" w:rsidRPr="007F18C6" w:rsidRDefault="007F18C6" w:rsidP="002D6C54">
      <w:pPr>
        <w:tabs>
          <w:tab w:val="left" w:pos="547"/>
          <w:tab w:val="left" w:pos="1094"/>
          <w:tab w:val="left" w:pos="1642"/>
          <w:tab w:val="left" w:pos="2189"/>
          <w:tab w:val="left" w:pos="2736"/>
          <w:tab w:val="left" w:pos="3283"/>
          <w:tab w:val="left" w:pos="3830"/>
          <w:tab w:val="left" w:pos="4378"/>
        </w:tabs>
        <w:spacing w:after="120" w:line="240" w:lineRule="auto"/>
        <w:jc w:val="both"/>
        <w:rPr>
          <w:rFonts w:eastAsia="Times New Roman" w:cs="Times New Roman"/>
          <w:color w:val="auto"/>
          <w:kern w:val="0"/>
          <w:sz w:val="22"/>
          <w:szCs w:val="24"/>
          <w14:ligatures w14:val="none"/>
        </w:rPr>
      </w:pPr>
    </w:p>
    <w:p w14:paraId="20FE46F1" w14:textId="3373803D" w:rsidR="006311FA" w:rsidRPr="004C7B06" w:rsidRDefault="004C7B06" w:rsidP="004C7B06">
      <w:pPr>
        <w:pStyle w:val="Heading3"/>
        <w:bidi/>
        <w:spacing w:line="240" w:lineRule="auto"/>
        <w:rPr>
          <w:rFonts w:ascii="Simplified Arabic" w:hAnsi="Simplified Arabic" w:cs="Simplified Arabic"/>
        </w:rPr>
      </w:pPr>
      <w:bookmarkStart w:id="105" w:name="_Hlk157172600"/>
      <w:bookmarkStart w:id="106" w:name="_Hlk178778863"/>
      <w:r w:rsidRPr="004C7B06">
        <w:rPr>
          <w:rFonts w:ascii="Simplified Arabic" w:hAnsi="Simplified Arabic" w:cs="Simplified Arabic"/>
          <w:rtl/>
        </w:rPr>
        <w:t xml:space="preserve">الموضوع 3: </w:t>
      </w:r>
      <w:r w:rsidRPr="004C7B06">
        <w:rPr>
          <w:rFonts w:ascii="Simplified Arabic" w:eastAsia="Calibri" w:hAnsi="Simplified Arabic" w:cs="Simplified Arabic"/>
          <w:rtl/>
          <w14:ligatures w14:val="none"/>
        </w:rPr>
        <w:t>شرائع القداسة والتقويم الديني لشعب إسرائيل (لاويّين 17: 1 – 27: 34)</w:t>
      </w:r>
    </w:p>
    <w:p w14:paraId="43DFD732" w14:textId="7F42D8B2" w:rsidR="006311FA" w:rsidRPr="007A4B15" w:rsidRDefault="006311FA" w:rsidP="00B3744F">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bookmarkStart w:id="107" w:name="_Hlk157178477"/>
      <w:bookmarkEnd w:id="105"/>
      <w:r w:rsidRPr="007A4B15">
        <w:rPr>
          <w:rFonts w:ascii="Verdana" w:eastAsia="Calibri" w:hAnsi="Verdana" w:cs="Times New Roman"/>
          <w:b/>
          <w:caps/>
          <w:noProof/>
          <w:color w:val="006699"/>
          <w:kern w:val="0"/>
          <w:sz w:val="21"/>
          <w:szCs w:val="24"/>
          <w14:ligatures w14:val="none"/>
        </w:rPr>
        <w:drawing>
          <wp:inline distT="0" distB="0" distL="0" distR="0" wp14:anchorId="67072391" wp14:editId="17EC69A4">
            <wp:extent cx="613692" cy="541464"/>
            <wp:effectExtent l="0" t="0" r="0" b="0"/>
            <wp:docPr id="1587965642" name="Picture 1587965642"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B3744F" w:rsidRPr="00B3744F">
        <w:rPr>
          <w:rFonts w:ascii="Verdana" w:eastAsia="Calibri" w:hAnsi="Verdana" w:cs="Times New Roman" w:hint="cs"/>
          <w:bCs/>
          <w:caps/>
          <w:color w:val="006699"/>
          <w:kern w:val="0"/>
          <w:sz w:val="21"/>
          <w:szCs w:val="24"/>
          <w:u w:val="single"/>
          <w:rtl/>
          <w14:ligatures w14:val="none"/>
        </w:rPr>
        <w:t>القراءة:</w:t>
      </w:r>
    </w:p>
    <w:p w14:paraId="7D4F73AD" w14:textId="04C8E11B" w:rsidR="006311FA" w:rsidRDefault="00B3744F" w:rsidP="00B3744F">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eastAsia="Calibri" w:cs="Times New Roman"/>
          <w:kern w:val="0"/>
          <w:szCs w:val="24"/>
          <w14:ligatures w14:val="none"/>
        </w:rPr>
      </w:pPr>
      <w:r>
        <w:rPr>
          <w:rFonts w:eastAsia="Calibri" w:cs="Times New Roman"/>
          <w:kern w:val="0"/>
          <w:szCs w:val="24"/>
          <w:rtl/>
          <w14:ligatures w14:val="none"/>
        </w:rPr>
        <w:tab/>
      </w:r>
      <w:r>
        <w:rPr>
          <w:rFonts w:eastAsia="Calibri" w:cs="Times New Roman"/>
          <w:kern w:val="0"/>
          <w:szCs w:val="24"/>
          <w:rtl/>
          <w14:ligatures w14:val="none"/>
        </w:rPr>
        <w:tab/>
      </w:r>
      <w:r>
        <w:rPr>
          <w:rFonts w:eastAsia="Calibri" w:cs="Times New Roman" w:hint="cs"/>
          <w:kern w:val="0"/>
          <w:szCs w:val="24"/>
          <w:rtl/>
          <w14:ligatures w14:val="none"/>
        </w:rPr>
        <w:t xml:space="preserve">اقرأ لاويّين 17: 1 </w:t>
      </w:r>
      <w:r>
        <w:rPr>
          <w:rFonts w:eastAsia="Calibri" w:cs="Times New Roman"/>
          <w:kern w:val="0"/>
          <w:szCs w:val="24"/>
          <w:rtl/>
          <w14:ligatures w14:val="none"/>
        </w:rPr>
        <w:t>–</w:t>
      </w:r>
      <w:r>
        <w:rPr>
          <w:rFonts w:eastAsia="Calibri" w:cs="Times New Roman" w:hint="cs"/>
          <w:kern w:val="0"/>
          <w:szCs w:val="24"/>
          <w:rtl/>
          <w14:ligatures w14:val="none"/>
        </w:rPr>
        <w:t xml:space="preserve"> 27: 34 في كتابك المُقدَّس. </w:t>
      </w:r>
    </w:p>
    <w:bookmarkEnd w:id="106"/>
    <w:bookmarkEnd w:id="107"/>
    <w:p w14:paraId="085C2099" w14:textId="77777777" w:rsidR="00BF07C2" w:rsidRPr="00BF07C2" w:rsidRDefault="00BF07C2"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BF07C2">
        <w:rPr>
          <w:rFonts w:eastAsia="Times New Roman" w:cs="DecoType Naskh" w:hint="cs"/>
          <w:bCs/>
          <w:color w:val="auto"/>
          <w:kern w:val="0"/>
          <w:szCs w:val="28"/>
          <w:rtl/>
          <w:lang w:bidi="ar-JO"/>
          <w14:ligatures w14:val="none"/>
        </w:rPr>
        <w:t>1</w:t>
      </w:r>
      <w:r w:rsidRPr="00BF07C2">
        <w:rPr>
          <w:rFonts w:eastAsia="Times New Roman" w:cs="DecoType Naskh"/>
          <w:bCs/>
          <w:color w:val="auto"/>
          <w:kern w:val="0"/>
          <w:szCs w:val="28"/>
          <w:rtl/>
          <w:lang w:bidi="ar-JO"/>
          <w14:ligatures w14:val="none"/>
        </w:rPr>
        <w:t>.</w:t>
      </w:r>
      <w:r w:rsidRPr="00BF07C2">
        <w:rPr>
          <w:rFonts w:eastAsia="Times New Roman" w:cs="DecoType Naskh"/>
          <w:bCs/>
          <w:color w:val="auto"/>
          <w:kern w:val="0"/>
          <w:szCs w:val="28"/>
          <w:rtl/>
          <w:lang w:bidi="ar-JO"/>
          <w14:ligatures w14:val="none"/>
        </w:rPr>
        <w:tab/>
        <w:t xml:space="preserve">مقدمة </w:t>
      </w:r>
    </w:p>
    <w:p w14:paraId="515B5117"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تحدثت ا</w:t>
      </w:r>
      <w:r w:rsidRPr="00BF07C2">
        <w:rPr>
          <w:rFonts w:eastAsia="Times New Roman" w:cs="DecoType Naskh" w:hint="cs"/>
          <w:color w:val="auto"/>
          <w:kern w:val="0"/>
          <w:szCs w:val="26"/>
          <w:rtl/>
          <w:lang w:bidi="ar-JO"/>
          <w14:ligatures w14:val="none"/>
        </w:rPr>
        <w:t>لأ</w:t>
      </w:r>
      <w:r w:rsidRPr="00BF07C2">
        <w:rPr>
          <w:rFonts w:eastAsia="Times New Roman" w:cs="DecoType Naskh"/>
          <w:color w:val="auto"/>
          <w:kern w:val="0"/>
          <w:szCs w:val="26"/>
          <w:rtl/>
          <w:lang w:bidi="ar-JO"/>
          <w14:ligatures w14:val="none"/>
        </w:rPr>
        <w:t>صحاحات العشرة الأولى من سفر اللاويين عن الشروط التي يمكن لإسرائيل بموجبها أن تقترب من يهوه.  أمّا ا</w:t>
      </w:r>
      <w:r w:rsidRPr="00BF07C2">
        <w:rPr>
          <w:rFonts w:eastAsia="Times New Roman" w:cs="DecoType Naskh" w:hint="cs"/>
          <w:color w:val="auto"/>
          <w:kern w:val="0"/>
          <w:szCs w:val="26"/>
          <w:rtl/>
          <w:lang w:bidi="ar-JO"/>
          <w14:ligatures w14:val="none"/>
        </w:rPr>
        <w:t>لأ</w:t>
      </w:r>
      <w:r w:rsidRPr="00BF07C2">
        <w:rPr>
          <w:rFonts w:eastAsia="Times New Roman" w:cs="DecoType Naskh"/>
          <w:color w:val="auto"/>
          <w:kern w:val="0"/>
          <w:szCs w:val="26"/>
          <w:rtl/>
          <w:lang w:bidi="ar-JO"/>
          <w14:ligatures w14:val="none"/>
        </w:rPr>
        <w:t>صحاحات 11-25 فتتحدث عن الشروط التي يجب أن تحيا إسرائيل بموجبها ليهوه لكي يسكن بينهم.  ولهذا يجب أن تُرفع كل نجاسة بالتطهير و</w:t>
      </w:r>
      <w:r w:rsidRPr="00BF07C2">
        <w:rPr>
          <w:rFonts w:eastAsia="Times New Roman" w:cs="DecoType Naskh" w:hint="cs"/>
          <w:color w:val="auto"/>
          <w:kern w:val="0"/>
          <w:szCs w:val="26"/>
          <w:rtl/>
          <w:lang w:bidi="ar-JO"/>
          <w14:ligatures w14:val="none"/>
        </w:rPr>
        <w:t xml:space="preserve">يجب </w:t>
      </w:r>
      <w:r w:rsidRPr="00BF07C2">
        <w:rPr>
          <w:rFonts w:eastAsia="Times New Roman" w:cs="DecoType Naskh"/>
          <w:color w:val="auto"/>
          <w:kern w:val="0"/>
          <w:szCs w:val="26"/>
          <w:rtl/>
          <w:lang w:bidi="ar-JO"/>
          <w14:ligatures w14:val="none"/>
        </w:rPr>
        <w:t xml:space="preserve">مراعاة ممارسة يوم الكفّارة السنوي (11-16)؛ </w:t>
      </w:r>
      <w:r w:rsidRPr="00BF07C2">
        <w:rPr>
          <w:rFonts w:eastAsia="Times New Roman" w:cs="DecoType Naskh" w:hint="cs"/>
          <w:color w:val="auto"/>
          <w:kern w:val="0"/>
          <w:szCs w:val="26"/>
          <w:rtl/>
          <w:lang w:bidi="ar-JO"/>
          <w14:ligatures w14:val="none"/>
        </w:rPr>
        <w:t>و</w:t>
      </w:r>
      <w:r w:rsidRPr="00BF07C2">
        <w:rPr>
          <w:rFonts w:eastAsia="Times New Roman" w:cs="DecoType Naskh"/>
          <w:color w:val="auto"/>
          <w:kern w:val="0"/>
          <w:szCs w:val="26"/>
          <w:rtl/>
          <w:lang w:bidi="ar-JO"/>
          <w14:ligatures w14:val="none"/>
        </w:rPr>
        <w:t xml:space="preserve">يجب أن يحافظ على القداسة في الحياة </w:t>
      </w:r>
      <w:r w:rsidRPr="00BF07C2">
        <w:rPr>
          <w:rFonts w:eastAsia="Times New Roman" w:cs="DecoType Naskh" w:hint="cs"/>
          <w:color w:val="auto"/>
          <w:kern w:val="0"/>
          <w:szCs w:val="26"/>
          <w:rtl/>
          <w:lang w:bidi="ar-JO"/>
          <w14:ligatures w14:val="none"/>
        </w:rPr>
        <w:t>والطقوس</w:t>
      </w:r>
      <w:r w:rsidRPr="00BF07C2">
        <w:rPr>
          <w:rFonts w:eastAsia="Times New Roman" w:cs="DecoType Naskh"/>
          <w:color w:val="auto"/>
          <w:kern w:val="0"/>
          <w:szCs w:val="26"/>
          <w:rtl/>
          <w:lang w:bidi="ar-JO"/>
          <w14:ligatures w14:val="none"/>
        </w:rPr>
        <w:t xml:space="preserve"> (من خلال طاعة الشريعة) بالمقابلة مع ما يفعله جيرانهم الوثنيون (17-25).  أما ا</w:t>
      </w:r>
      <w:r w:rsidRPr="00BF07C2">
        <w:rPr>
          <w:rFonts w:eastAsia="Times New Roman" w:cs="DecoType Naskh" w:hint="cs"/>
          <w:color w:val="auto"/>
          <w:kern w:val="0"/>
          <w:szCs w:val="26"/>
          <w:rtl/>
          <w:lang w:bidi="ar-JO"/>
          <w14:ligatures w14:val="none"/>
        </w:rPr>
        <w:t>لأ</w:t>
      </w:r>
      <w:r w:rsidRPr="00BF07C2">
        <w:rPr>
          <w:rFonts w:eastAsia="Times New Roman" w:cs="DecoType Naskh"/>
          <w:color w:val="auto"/>
          <w:kern w:val="0"/>
          <w:szCs w:val="26"/>
          <w:rtl/>
          <w:lang w:bidi="ar-JO"/>
          <w14:ligatures w14:val="none"/>
        </w:rPr>
        <w:t>صحاح السادس والعشرون فيقدم لنا الشروط التي يمكن لإسرائيل أن تزدهر أو تفشل بموجبها (في معاهدة نموذجية بين ملك متسيّد ودولة تابعة).  ثم يتحدث ا</w:t>
      </w:r>
      <w:r w:rsidRPr="00BF07C2">
        <w:rPr>
          <w:rFonts w:eastAsia="Times New Roman" w:cs="DecoType Naskh" w:hint="cs"/>
          <w:color w:val="auto"/>
          <w:kern w:val="0"/>
          <w:szCs w:val="26"/>
          <w:rtl/>
          <w:lang w:bidi="ar-JO"/>
          <w14:ligatures w14:val="none"/>
        </w:rPr>
        <w:t>لأ</w:t>
      </w:r>
      <w:r w:rsidRPr="00BF07C2">
        <w:rPr>
          <w:rFonts w:eastAsia="Times New Roman" w:cs="DecoType Naskh"/>
          <w:color w:val="auto"/>
          <w:kern w:val="0"/>
          <w:szCs w:val="26"/>
          <w:rtl/>
          <w:lang w:bidi="ar-JO"/>
          <w14:ligatures w14:val="none"/>
        </w:rPr>
        <w:t>صحاح السابع والعشرون عن فك المرء من النذور.  وسأركز في هذا البحث بشكل رئيسي على الأعياد أو الاحتفالات السنوية لإسرائيل في لاويين 23.</w:t>
      </w:r>
    </w:p>
    <w:p w14:paraId="3742D272"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9903941" w14:textId="77777777" w:rsidR="00BF07C2" w:rsidRPr="00BF07C2" w:rsidRDefault="00BF07C2"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BF07C2">
        <w:rPr>
          <w:rFonts w:eastAsia="Times New Roman" w:cs="DecoType Naskh" w:hint="cs"/>
          <w:bCs/>
          <w:color w:val="auto"/>
          <w:kern w:val="0"/>
          <w:szCs w:val="28"/>
          <w:rtl/>
          <w:lang w:bidi="ar-JO"/>
          <w14:ligatures w14:val="none"/>
        </w:rPr>
        <w:t>2</w:t>
      </w:r>
      <w:r w:rsidRPr="00BF07C2">
        <w:rPr>
          <w:rFonts w:eastAsia="Times New Roman" w:cs="DecoType Naskh"/>
          <w:bCs/>
          <w:color w:val="auto"/>
          <w:kern w:val="0"/>
          <w:szCs w:val="28"/>
          <w:rtl/>
          <w:lang w:bidi="ar-JO"/>
          <w14:ligatures w14:val="none"/>
        </w:rPr>
        <w:t>.</w:t>
      </w:r>
      <w:r w:rsidRPr="00BF07C2">
        <w:rPr>
          <w:rFonts w:eastAsia="Times New Roman" w:cs="DecoType Naskh"/>
          <w:bCs/>
          <w:color w:val="auto"/>
          <w:kern w:val="0"/>
          <w:szCs w:val="28"/>
          <w:rtl/>
          <w:lang w:bidi="ar-JO"/>
          <w14:ligatures w14:val="none"/>
        </w:rPr>
        <w:tab/>
        <w:t>شرائع القداسة (لاويين 17-22)</w:t>
      </w:r>
    </w:p>
    <w:p w14:paraId="4CF14449" w14:textId="77777777" w:rsidR="00BF07C2" w:rsidRPr="00BF07C2" w:rsidRDefault="00BF07C2"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BF07C2">
        <w:rPr>
          <w:rFonts w:eastAsia="Times New Roman" w:cs="DecoType Naskh"/>
          <w:bCs/>
          <w:color w:val="auto"/>
          <w:kern w:val="0"/>
          <w:szCs w:val="26"/>
          <w:rtl/>
          <w14:ligatures w14:val="none"/>
        </w:rPr>
        <w:t>أ.</w:t>
      </w:r>
      <w:r w:rsidRPr="00BF07C2">
        <w:rPr>
          <w:rFonts w:eastAsia="Times New Roman" w:cs="DecoType Naskh"/>
          <w:bCs/>
          <w:color w:val="auto"/>
          <w:kern w:val="0"/>
          <w:szCs w:val="26"/>
          <w:rtl/>
          <w14:ligatures w14:val="none"/>
        </w:rPr>
        <w:tab/>
        <w:t>الدم (لاويين 17)</w:t>
      </w:r>
    </w:p>
    <w:p w14:paraId="5ED57DE8"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يؤكد هذا ا</w:t>
      </w:r>
      <w:r w:rsidRPr="00BF07C2">
        <w:rPr>
          <w:rFonts w:eastAsia="Times New Roman" w:cs="DecoType Naskh" w:hint="cs"/>
          <w:color w:val="auto"/>
          <w:kern w:val="0"/>
          <w:szCs w:val="26"/>
          <w:rtl/>
          <w:lang w:bidi="ar-JO"/>
          <w14:ligatures w14:val="none"/>
        </w:rPr>
        <w:t>لأ</w:t>
      </w:r>
      <w:r w:rsidRPr="00BF07C2">
        <w:rPr>
          <w:rFonts w:eastAsia="Times New Roman" w:cs="DecoType Naskh"/>
          <w:color w:val="auto"/>
          <w:kern w:val="0"/>
          <w:szCs w:val="26"/>
          <w:rtl/>
          <w:lang w:bidi="ar-JO"/>
          <w14:ligatures w14:val="none"/>
        </w:rPr>
        <w:t>صحاح كثيراً على مسألة تحريم تناول الدم.  فالدم ذو دلالة هامّة: "لأن نفس الجسد هي في الدم، فأنا أعطيتكم إياه على المذبح للتكفير عن نفوسكم، لأن الدم يكفّر عن النفس" (17: 11).  يقول روس:</w:t>
      </w:r>
    </w:p>
    <w:p w14:paraId="3F4C21DF"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BF07C2">
        <w:rPr>
          <w:rFonts w:eastAsia="Times New Roman" w:cs="DecoType Naskh"/>
          <w:color w:val="auto"/>
          <w:kern w:val="0"/>
          <w:szCs w:val="26"/>
          <w:rtl/>
          <w:lang w:bidi="ar-JO"/>
          <w14:ligatures w14:val="none"/>
        </w:rPr>
        <w:t>لقد عيّن الله الدم للتكفير –إنه حياة الحيوان التي تخصّ إمّا الحيوان أو الله، إذا ذُبح الحيوان.  فأن يأخذ إنسان دماً ويأكله/يشربه يعني أن يسلب الله، وأن ينجِّس ما كان مقدّساً، أي مخصَّصاً أو مفرزاً لله.  والدم في الكتاب المقدس رمز للحياة</w:t>
      </w:r>
      <w:r w:rsidRPr="00BF07C2">
        <w:rPr>
          <w:rFonts w:eastAsia="Times New Roman" w:cs="DecoType Naskh" w:hint="cs"/>
          <w:color w:val="auto"/>
          <w:kern w:val="0"/>
          <w:szCs w:val="26"/>
          <w:rtl/>
          <w:lang w:bidi="ar-JO"/>
          <w14:ligatures w14:val="none"/>
        </w:rPr>
        <w:t>،</w:t>
      </w:r>
      <w:r w:rsidRPr="00BF07C2">
        <w:rPr>
          <w:rFonts w:eastAsia="Times New Roman" w:cs="DecoType Naskh"/>
          <w:color w:val="auto"/>
          <w:kern w:val="0"/>
          <w:szCs w:val="26"/>
          <w:rtl/>
          <w:lang w:bidi="ar-JO"/>
          <w14:ligatures w14:val="none"/>
        </w:rPr>
        <w:t xml:space="preserve"> ويبدو أنه هو ما يربط الجسد والنفس</w:t>
      </w:r>
      <w:r w:rsidRPr="00BF07C2">
        <w:rPr>
          <w:rFonts w:eastAsia="Times New Roman" w:cs="DecoType Naskh" w:hint="cs"/>
          <w:color w:val="auto"/>
          <w:kern w:val="0"/>
          <w:szCs w:val="26"/>
          <w:rtl/>
          <w:lang w:bidi="ar-JO"/>
          <w14:ligatures w14:val="none"/>
        </w:rPr>
        <w:t>،</w:t>
      </w:r>
      <w:r w:rsidRPr="00BF07C2">
        <w:rPr>
          <w:rFonts w:eastAsia="Times New Roman" w:cs="DecoType Naskh"/>
          <w:color w:val="auto"/>
          <w:kern w:val="0"/>
          <w:szCs w:val="26"/>
          <w:rtl/>
          <w:lang w:bidi="ar-JO"/>
          <w14:ligatures w14:val="none"/>
        </w:rPr>
        <w:t xml:space="preserve"> فبدون الدم، لا توجد حياة.  وقد </w:t>
      </w:r>
      <w:r w:rsidRPr="00BF07C2">
        <w:rPr>
          <w:rFonts w:eastAsia="Times New Roman" w:cs="DecoType Naskh" w:hint="cs"/>
          <w:color w:val="auto"/>
          <w:kern w:val="0"/>
          <w:szCs w:val="26"/>
          <w:rtl/>
          <w:lang w:bidi="ar-JO"/>
          <w14:ligatures w14:val="none"/>
        </w:rPr>
        <w:t>كان يشكِّل</w:t>
      </w:r>
      <w:r w:rsidRPr="00BF07C2">
        <w:rPr>
          <w:rFonts w:eastAsia="Times New Roman" w:cs="DecoType Naskh"/>
          <w:color w:val="auto"/>
          <w:kern w:val="0"/>
          <w:szCs w:val="26"/>
          <w:rtl/>
          <w:lang w:bidi="ar-JO"/>
          <w14:ligatures w14:val="none"/>
        </w:rPr>
        <w:t xml:space="preserve"> صورة حيّة بالنسبة للعابد حين يرى الدم –الحياة متدفقاً من الحيوان بدلاً منه.  لقد عيّن الله الدم لهذا الغرض لكي يواجه كل إنسان وي</w:t>
      </w:r>
      <w:r w:rsidRPr="00BF07C2">
        <w:rPr>
          <w:rFonts w:eastAsia="Times New Roman" w:cs="DecoType Naskh" w:hint="cs"/>
          <w:color w:val="auto"/>
          <w:kern w:val="0"/>
          <w:szCs w:val="26"/>
          <w:rtl/>
          <w:lang w:bidi="ar-JO"/>
          <w14:ligatures w14:val="none"/>
        </w:rPr>
        <w:t>ُ</w:t>
      </w:r>
      <w:r w:rsidRPr="00BF07C2">
        <w:rPr>
          <w:rFonts w:eastAsia="Times New Roman" w:cs="DecoType Naskh"/>
          <w:color w:val="auto"/>
          <w:kern w:val="0"/>
          <w:szCs w:val="26"/>
          <w:rtl/>
          <w:lang w:bidi="ar-JO"/>
          <w14:ligatures w14:val="none"/>
        </w:rPr>
        <w:t>ذكَّر بمسألة التكفير في كل مرّة يُسفك فيها دم الحيوانات.</w:t>
      </w:r>
      <w:r w:rsidRPr="00BF07C2">
        <w:rPr>
          <w:rFonts w:eastAsia="Times New Roman" w:cs="DecoType Naskh"/>
          <w:color w:val="auto"/>
          <w:kern w:val="0"/>
          <w:sz w:val="28"/>
          <w:szCs w:val="28"/>
          <w:vertAlign w:val="superscript"/>
          <w:rtl/>
          <w:lang w:bidi="ar-JO"/>
          <w14:ligatures w14:val="none"/>
        </w:rPr>
        <w:footnoteReference w:id="94"/>
      </w:r>
    </w:p>
    <w:p w14:paraId="66BC33C3"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BF07C2">
        <w:rPr>
          <w:rFonts w:eastAsia="Times New Roman" w:cs="DecoType Naskh"/>
          <w:color w:val="auto"/>
          <w:kern w:val="0"/>
          <w:szCs w:val="26"/>
          <w:rtl/>
          <w:lang w:bidi="ar-JO"/>
          <w14:ligatures w14:val="none"/>
        </w:rPr>
        <w:t xml:space="preserve">يجب أن يعتبر الدم الذبيحي للكفّارة مقدّساً، إذ </w:t>
      </w:r>
      <w:r w:rsidRPr="00BF07C2">
        <w:rPr>
          <w:rFonts w:eastAsia="Times New Roman" w:cs="DecoType Naskh" w:hint="cs"/>
          <w:color w:val="auto"/>
          <w:kern w:val="0"/>
          <w:szCs w:val="26"/>
          <w:rtl/>
          <w:lang w:bidi="ar-JO"/>
          <w14:ligatures w14:val="none"/>
        </w:rPr>
        <w:t>"</w:t>
      </w:r>
      <w:r w:rsidRPr="00BF07C2">
        <w:rPr>
          <w:rFonts w:eastAsia="Times New Roman" w:cs="DecoType Naskh"/>
          <w:color w:val="auto"/>
          <w:kern w:val="0"/>
          <w:szCs w:val="26"/>
          <w:rtl/>
          <w:lang w:bidi="ar-JO"/>
          <w14:ligatures w14:val="none"/>
        </w:rPr>
        <w:t>بدون سفك دم لا تحصل مغفرة."  لقد أراد الله أن يحفظ هذا الدرس الموضوع (الدم) لمقاصده، لئلا يضيع تأثير ثمن الخطية الباهظ.</w:t>
      </w:r>
    </w:p>
    <w:p w14:paraId="5D1AB22E"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KW"/>
          <w14:ligatures w14:val="none"/>
        </w:rPr>
      </w:pPr>
    </w:p>
    <w:p w14:paraId="64326F97" w14:textId="77777777" w:rsidR="00BF07C2" w:rsidRPr="00BF07C2" w:rsidRDefault="00BF07C2"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BF07C2">
        <w:rPr>
          <w:rFonts w:eastAsia="Times New Roman" w:cs="DecoType Naskh"/>
          <w:bCs/>
          <w:color w:val="auto"/>
          <w:kern w:val="0"/>
          <w:szCs w:val="26"/>
          <w:rtl/>
          <w14:ligatures w14:val="none"/>
        </w:rPr>
        <w:lastRenderedPageBreak/>
        <w:t>ب.</w:t>
      </w:r>
      <w:r w:rsidRPr="00BF07C2">
        <w:rPr>
          <w:rFonts w:eastAsia="Times New Roman" w:cs="DecoType Naskh"/>
          <w:bCs/>
          <w:color w:val="auto"/>
          <w:kern w:val="0"/>
          <w:szCs w:val="26"/>
          <w:rtl/>
          <w14:ligatures w14:val="none"/>
        </w:rPr>
        <w:tab/>
        <w:t>العلاقات الجنسية المحرّمة (لاويين 18)</w:t>
      </w:r>
    </w:p>
    <w:p w14:paraId="7DEFEEBC"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KW"/>
          <w14:ligatures w14:val="none"/>
        </w:rPr>
      </w:pPr>
      <w:r w:rsidRPr="00BF07C2">
        <w:rPr>
          <w:rFonts w:eastAsia="Times New Roman" w:cs="DecoType Naskh"/>
          <w:color w:val="auto"/>
          <w:kern w:val="0"/>
          <w:szCs w:val="26"/>
          <w:rtl/>
          <w:lang w:bidi="ar-JO"/>
          <w14:ligatures w14:val="none"/>
        </w:rPr>
        <w:t>يقدّم لنا ا</w:t>
      </w:r>
      <w:r w:rsidRPr="00BF07C2">
        <w:rPr>
          <w:rFonts w:eastAsia="Times New Roman" w:cs="DecoType Naskh" w:hint="cs"/>
          <w:color w:val="auto"/>
          <w:kern w:val="0"/>
          <w:szCs w:val="26"/>
          <w:rtl/>
          <w:lang w:bidi="ar-JO"/>
          <w14:ligatures w14:val="none"/>
        </w:rPr>
        <w:t>لأ</w:t>
      </w:r>
      <w:r w:rsidRPr="00BF07C2">
        <w:rPr>
          <w:rFonts w:eastAsia="Times New Roman" w:cs="DecoType Naskh"/>
          <w:color w:val="auto"/>
          <w:kern w:val="0"/>
          <w:szCs w:val="26"/>
          <w:rtl/>
          <w:lang w:bidi="ar-JO"/>
          <w14:ligatures w14:val="none"/>
        </w:rPr>
        <w:t xml:space="preserve">صحاح 18 تشريعاً متعلقاً بالممارسات الجنسية.  ويعود الاهتمام الكبير الموجه لهذا الموضوع إلى الوضع الذي سرعان ما سيجد بنو إسرائيل أنفسهم فيه، حيث كان المجتمع الكنعاني منحطّاً من هذه الناحية.  فإذا لم يكن بنو إسرائيل حريصين، فسيجرّون إلى الوحل معهم.  فكيف يمكنهم أن يكونوا "وسطاء البركة" كما يريدهم الله، إذا عاشوا حياتهم كالكنعانيين؟  يقول الله لهم، </w:t>
      </w:r>
      <w:r w:rsidRPr="00BF07C2">
        <w:rPr>
          <w:rFonts w:eastAsia="Times New Roman" w:cs="DecoType Naskh"/>
          <w:color w:val="auto"/>
          <w:kern w:val="0"/>
          <w:szCs w:val="26"/>
          <w:rtl/>
          <w14:ligatures w14:val="none"/>
        </w:rPr>
        <w:t>"مثل عمل أرض كنعان التي أنا آتٍ بكم إليها لا تعملوا، وحسب فرائضهم لا تسلكوا" (18: 3).  يمكن أن يؤدي غياب الحرص في التعامل مع مجتمع غير تقي إلى دمار شعب الله.  وكان يُفترض أن تكون هذه الأمة قد تعلّمت هذا الدرس مع يعقوب وأبنائه.  تضمّن التشريع المتعلق بالسلوك الجنسي إدانة للشذوذ الجنسي (18: 22؛ 20: 13)، الذي كان عقابه الموت.  وهنا أتذكر بعض أفراد الجماعة المسيحية الذين لا يأخذون موقفاً متوازناً في تقديرهم للخطية الجنسية.  فهم يدينون الشذوذ الجنسي بشدة (وهم محقّون في ذلك)، لكنهم ينظرون أحياناً إلى الزنى على أنه "خطية أقل</w:t>
      </w:r>
      <w:r w:rsidRPr="00BF07C2">
        <w:rPr>
          <w:rFonts w:eastAsia="Times New Roman" w:cs="DecoType Naskh" w:hint="cs"/>
          <w:color w:val="auto"/>
          <w:kern w:val="0"/>
          <w:szCs w:val="26"/>
          <w:rtl/>
          <w14:ligatures w14:val="none"/>
        </w:rPr>
        <w:t>.</w:t>
      </w:r>
      <w:r w:rsidRPr="00BF07C2">
        <w:rPr>
          <w:rFonts w:eastAsia="Times New Roman" w:cs="DecoType Naskh"/>
          <w:color w:val="auto"/>
          <w:kern w:val="0"/>
          <w:szCs w:val="26"/>
          <w:rtl/>
          <w14:ligatures w14:val="none"/>
        </w:rPr>
        <w:t xml:space="preserve">"  يدين الله كلا الأمرين في نفس الفقرة (لاويين 20: </w:t>
      </w:r>
      <w:r w:rsidRPr="00BF07C2">
        <w:rPr>
          <w:rFonts w:eastAsia="Times New Roman" w:cs="DecoType Naskh" w:hint="cs"/>
          <w:color w:val="auto"/>
          <w:kern w:val="0"/>
          <w:szCs w:val="26"/>
          <w:rtl/>
          <w14:ligatures w14:val="none"/>
        </w:rPr>
        <w:t>19</w:t>
      </w:r>
      <w:r w:rsidRPr="00BF07C2">
        <w:rPr>
          <w:rFonts w:eastAsia="Times New Roman" w:cs="DecoType Naskh"/>
          <w:color w:val="auto"/>
          <w:kern w:val="0"/>
          <w:szCs w:val="26"/>
          <w:rtl/>
          <w14:ligatures w14:val="none"/>
        </w:rPr>
        <w:t>-23)، وكان الموت هو عقاب الزنى أيضاً.</w:t>
      </w:r>
    </w:p>
    <w:p w14:paraId="78A69E4D"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KW"/>
          <w14:ligatures w14:val="none"/>
        </w:rPr>
      </w:pPr>
    </w:p>
    <w:p w14:paraId="2B13E17E" w14:textId="77777777" w:rsidR="00BF07C2" w:rsidRPr="00BF07C2" w:rsidRDefault="00BF07C2"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BF07C2">
        <w:rPr>
          <w:rFonts w:eastAsia="Times New Roman" w:cs="DecoType Naskh" w:hint="cs"/>
          <w:bCs/>
          <w:color w:val="auto"/>
          <w:kern w:val="0"/>
          <w:szCs w:val="28"/>
          <w:rtl/>
          <w:lang w:bidi="ar-JO"/>
          <w14:ligatures w14:val="none"/>
        </w:rPr>
        <w:t>3</w:t>
      </w:r>
      <w:r w:rsidRPr="00BF07C2">
        <w:rPr>
          <w:rFonts w:eastAsia="Times New Roman" w:cs="DecoType Naskh"/>
          <w:bCs/>
          <w:color w:val="auto"/>
          <w:kern w:val="0"/>
          <w:szCs w:val="28"/>
          <w:rtl/>
          <w:lang w:bidi="ar-JO"/>
          <w14:ligatures w14:val="none"/>
        </w:rPr>
        <w:t>.</w:t>
      </w:r>
      <w:r w:rsidRPr="00BF07C2">
        <w:rPr>
          <w:rFonts w:eastAsia="Times New Roman" w:cs="DecoType Naskh"/>
          <w:bCs/>
          <w:color w:val="auto"/>
          <w:kern w:val="0"/>
          <w:szCs w:val="28"/>
          <w:rtl/>
          <w:lang w:bidi="ar-JO"/>
          <w14:ligatures w14:val="none"/>
        </w:rPr>
        <w:tab/>
      </w:r>
      <w:r w:rsidRPr="00BF07C2">
        <w:rPr>
          <w:rFonts w:eastAsia="Times New Roman" w:cs="DecoType Naskh" w:hint="cs"/>
          <w:bCs/>
          <w:color w:val="auto"/>
          <w:kern w:val="0"/>
          <w:szCs w:val="28"/>
          <w:rtl/>
          <w14:ligatures w14:val="none"/>
        </w:rPr>
        <w:t>ال</w:t>
      </w:r>
      <w:r w:rsidRPr="00BF07C2">
        <w:rPr>
          <w:rFonts w:eastAsia="Times New Roman" w:cs="DecoType Naskh"/>
          <w:bCs/>
          <w:color w:val="auto"/>
          <w:kern w:val="0"/>
          <w:szCs w:val="28"/>
          <w:rtl/>
          <w:lang w:bidi="ar-JO"/>
          <w14:ligatures w14:val="none"/>
        </w:rPr>
        <w:t xml:space="preserve">أعياد </w:t>
      </w:r>
      <w:r w:rsidRPr="00BF07C2">
        <w:rPr>
          <w:rFonts w:eastAsia="Times New Roman" w:cs="DecoType Naskh" w:hint="cs"/>
          <w:bCs/>
          <w:color w:val="auto"/>
          <w:kern w:val="0"/>
          <w:szCs w:val="28"/>
          <w:rtl/>
          <w14:ligatures w14:val="none"/>
        </w:rPr>
        <w:t>في ال</w:t>
      </w:r>
      <w:r w:rsidRPr="00BF07C2">
        <w:rPr>
          <w:rFonts w:eastAsia="Times New Roman" w:cs="DecoType Naskh"/>
          <w:bCs/>
          <w:color w:val="auto"/>
          <w:kern w:val="0"/>
          <w:szCs w:val="28"/>
          <w:rtl/>
          <w:lang w:bidi="ar-JO"/>
          <w14:ligatures w14:val="none"/>
        </w:rPr>
        <w:t>لاويين 23</w:t>
      </w:r>
    </w:p>
    <w:p w14:paraId="34BE5971"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 xml:space="preserve">كانت هنالك عدّة أعياد واحتفالات دينية هامّة أثناء السنة العبرية.  </w:t>
      </w:r>
      <w:r w:rsidRPr="00BF07C2">
        <w:rPr>
          <w:rFonts w:eastAsia="Times New Roman" w:cs="DecoType Naskh" w:hint="cs"/>
          <w:color w:val="auto"/>
          <w:kern w:val="0"/>
          <w:szCs w:val="26"/>
          <w:rtl/>
          <w:lang w:bidi="ar-JO"/>
          <w14:ligatures w14:val="none"/>
        </w:rPr>
        <w:t>فبالإضافة</w:t>
      </w:r>
      <w:r w:rsidRPr="00BF07C2">
        <w:rPr>
          <w:rFonts w:eastAsia="Times New Roman" w:cs="DecoType Naskh"/>
          <w:color w:val="auto"/>
          <w:kern w:val="0"/>
          <w:szCs w:val="26"/>
          <w:rtl/>
          <w:lang w:bidi="ar-JO"/>
          <w14:ligatures w14:val="none"/>
        </w:rPr>
        <w:t xml:space="preserve"> </w:t>
      </w:r>
      <w:r w:rsidRPr="00BF07C2">
        <w:rPr>
          <w:rFonts w:eastAsia="Times New Roman" w:cs="DecoType Naskh" w:hint="cs"/>
          <w:color w:val="auto"/>
          <w:kern w:val="0"/>
          <w:szCs w:val="26"/>
          <w:rtl/>
          <w:lang w:bidi="ar-JO"/>
          <w14:ligatures w14:val="none"/>
        </w:rPr>
        <w:t>ل</w:t>
      </w:r>
      <w:r w:rsidRPr="00BF07C2">
        <w:rPr>
          <w:rFonts w:eastAsia="Times New Roman" w:cs="DecoType Naskh"/>
          <w:color w:val="auto"/>
          <w:kern w:val="0"/>
          <w:szCs w:val="26"/>
          <w:rtl/>
          <w:lang w:bidi="ar-JO"/>
          <w14:ligatures w14:val="none"/>
        </w:rPr>
        <w:t>لسبت الذي يحتفل به كل أسبوع، كانت هنالك سبعة أعياد متفرّقة في السنة العبرية يجب أن يحتفل فيها كل عبراني أمين.  ارتبطت هذه الأعياد بالمواسم الزراعية، فكانت أربعة احتفالات منها تقام في الربيع (1آذار-أيار) وثلاثة في الخريف (أيلول-تشرين الأول)</w:t>
      </w:r>
    </w:p>
    <w:p w14:paraId="057A2683"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A2416A1"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14:ligatures w14:val="none"/>
        </w:rPr>
      </w:pPr>
      <w:r w:rsidRPr="00BF07C2">
        <w:rPr>
          <w:rFonts w:eastAsia="Times New Roman" w:cs="DecoType Naskh"/>
          <w:color w:val="auto"/>
          <w:kern w:val="0"/>
          <w:szCs w:val="26"/>
          <w:u w:val="single"/>
          <w:rtl/>
          <w:lang w:bidi="ar-JO"/>
          <w14:ligatures w14:val="none"/>
        </w:rPr>
        <w:t>الربيع</w:t>
      </w:r>
      <w:r w:rsidRPr="00BF07C2">
        <w:rPr>
          <w:rFonts w:eastAsia="Times New Roman" w:cs="DecoType Naskh"/>
          <w:color w:val="auto"/>
          <w:kern w:val="0"/>
          <w:szCs w:val="26"/>
          <w:rtl/>
          <w:lang w:bidi="ar-JO"/>
          <w14:ligatures w14:val="none"/>
        </w:rPr>
        <w:t xml:space="preserve">  </w:t>
      </w:r>
      <w:r w:rsidRPr="00BF07C2">
        <w:rPr>
          <w:rFonts w:eastAsia="Times New Roman" w:cs="DecoType Naskh"/>
          <w:color w:val="auto"/>
          <w:kern w:val="0"/>
          <w:szCs w:val="26"/>
          <w:rtl/>
          <w:lang w:bidi="ar-JO"/>
          <w14:ligatures w14:val="none"/>
        </w:rPr>
        <w:tab/>
      </w:r>
      <w:r w:rsidRPr="00BF07C2">
        <w:rPr>
          <w:rFonts w:eastAsia="Times New Roman" w:cs="DecoType Naskh"/>
          <w:color w:val="auto"/>
          <w:kern w:val="0"/>
          <w:szCs w:val="26"/>
          <w:rtl/>
          <w:lang w:bidi="ar-JO"/>
          <w14:ligatures w14:val="none"/>
        </w:rPr>
        <w:tab/>
      </w:r>
      <w:r w:rsidRPr="00BF07C2">
        <w:rPr>
          <w:rFonts w:eastAsia="Times New Roman" w:cs="DecoType Naskh"/>
          <w:color w:val="auto"/>
          <w:kern w:val="0"/>
          <w:szCs w:val="26"/>
          <w:rtl/>
          <w:lang w:bidi="ar-JO"/>
          <w14:ligatures w14:val="none"/>
        </w:rPr>
        <w:tab/>
      </w:r>
      <w:r w:rsidRPr="00BF07C2">
        <w:rPr>
          <w:rFonts w:eastAsia="Times New Roman" w:cs="DecoType Naskh"/>
          <w:color w:val="auto"/>
          <w:kern w:val="0"/>
          <w:szCs w:val="26"/>
          <w:rtl/>
          <w:lang w:bidi="ar-JO"/>
          <w14:ligatures w14:val="none"/>
        </w:rPr>
        <w:tab/>
      </w:r>
      <w:r w:rsidRPr="00BF07C2">
        <w:rPr>
          <w:rFonts w:eastAsia="Times New Roman" w:cs="DecoType Naskh"/>
          <w:color w:val="auto"/>
          <w:kern w:val="0"/>
          <w:szCs w:val="26"/>
          <w:rtl/>
          <w:lang w:bidi="ar-JO"/>
          <w14:ligatures w14:val="none"/>
        </w:rPr>
        <w:tab/>
      </w:r>
      <w:r w:rsidRPr="00BF07C2">
        <w:rPr>
          <w:rFonts w:eastAsia="Times New Roman" w:cs="DecoType Naskh"/>
          <w:color w:val="auto"/>
          <w:kern w:val="0"/>
          <w:szCs w:val="26"/>
          <w:u w:val="single"/>
          <w:rtl/>
          <w:lang w:bidi="ar-JO"/>
          <w14:ligatures w14:val="none"/>
        </w:rPr>
        <w:t>الخريف</w:t>
      </w:r>
    </w:p>
    <w:p w14:paraId="1584EA52" w14:textId="29708846"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14:ligatures w14:val="none"/>
        </w:rPr>
      </w:pPr>
      <w:r w:rsidRPr="00BF07C2">
        <w:rPr>
          <w:rFonts w:eastAsia="Times New Roman" w:cs="DecoType Naskh"/>
          <w:color w:val="auto"/>
          <w:kern w:val="0"/>
          <w:szCs w:val="26"/>
          <w:rtl/>
          <w:lang w:bidi="ar-JO"/>
          <w14:ligatures w14:val="none"/>
        </w:rPr>
        <w:t>الفصح</w:t>
      </w:r>
      <w:r w:rsidRPr="00BF07C2">
        <w:rPr>
          <w:rFonts w:eastAsia="Times New Roman" w:cs="DecoType Naskh"/>
          <w:color w:val="auto"/>
          <w:kern w:val="0"/>
          <w:sz w:val="30"/>
          <w:szCs w:val="28"/>
          <w:vertAlign w:val="superscript"/>
          <w:rtl/>
          <w:lang w:bidi="ar-JO"/>
          <w14:ligatures w14:val="none"/>
        </w:rPr>
        <w:t>*</w:t>
      </w:r>
      <w:r w:rsidRPr="00BF07C2">
        <w:rPr>
          <w:rFonts w:eastAsia="Times New Roman" w:cs="DecoType Naskh"/>
          <w:color w:val="auto"/>
          <w:kern w:val="0"/>
          <w:szCs w:val="26"/>
          <w:rtl/>
          <w:lang w:bidi="ar-JO"/>
          <w14:ligatures w14:val="none"/>
        </w:rPr>
        <w:tab/>
      </w:r>
      <w:r w:rsidRPr="00BF07C2">
        <w:rPr>
          <w:rFonts w:eastAsia="Times New Roman" w:cs="DecoType Naskh"/>
          <w:color w:val="auto"/>
          <w:kern w:val="0"/>
          <w:szCs w:val="26"/>
          <w:rtl/>
          <w:lang w:bidi="ar-JO"/>
          <w14:ligatures w14:val="none"/>
        </w:rPr>
        <w:tab/>
      </w:r>
      <w:r w:rsidRPr="00BF07C2">
        <w:rPr>
          <w:rFonts w:eastAsia="Times New Roman" w:cs="DecoType Naskh"/>
          <w:color w:val="auto"/>
          <w:kern w:val="0"/>
          <w:szCs w:val="26"/>
          <w:rtl/>
          <w:lang w:bidi="ar-JO"/>
          <w14:ligatures w14:val="none"/>
        </w:rPr>
        <w:tab/>
      </w:r>
      <w:r w:rsidRPr="00BF07C2">
        <w:rPr>
          <w:rFonts w:eastAsia="Times New Roman" w:cs="DecoType Naskh" w:hint="cs"/>
          <w:color w:val="auto"/>
          <w:kern w:val="0"/>
          <w:szCs w:val="26"/>
          <w:rtl/>
          <w14:ligatures w14:val="none"/>
        </w:rPr>
        <w:tab/>
      </w:r>
      <w:r w:rsidRPr="00BF07C2">
        <w:rPr>
          <w:rFonts w:eastAsia="Times New Roman" w:cs="DecoType Naskh"/>
          <w:color w:val="auto"/>
          <w:kern w:val="0"/>
          <w:szCs w:val="26"/>
          <w:rtl/>
          <w14:ligatures w14:val="none"/>
        </w:rPr>
        <w:tab/>
      </w:r>
      <w:r w:rsidRPr="00BF07C2">
        <w:rPr>
          <w:rFonts w:eastAsia="Times New Roman" w:cs="DecoType Naskh"/>
          <w:color w:val="auto"/>
          <w:kern w:val="0"/>
          <w:szCs w:val="26"/>
          <w:rtl/>
          <w:lang w:bidi="ar-JO"/>
          <w14:ligatures w14:val="none"/>
        </w:rPr>
        <w:t>الأبواق</w:t>
      </w:r>
    </w:p>
    <w:p w14:paraId="271DF860"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الفطير (الخبز غير المختمر)</w:t>
      </w:r>
      <w:r w:rsidRPr="00BF07C2">
        <w:rPr>
          <w:rFonts w:eastAsia="Times New Roman" w:cs="DecoType Naskh"/>
          <w:color w:val="auto"/>
          <w:kern w:val="0"/>
          <w:szCs w:val="26"/>
          <w:rtl/>
          <w:lang w:bidi="ar-JO"/>
          <w14:ligatures w14:val="none"/>
        </w:rPr>
        <w:tab/>
      </w:r>
      <w:r w:rsidRPr="00BF07C2">
        <w:rPr>
          <w:rFonts w:eastAsia="Times New Roman" w:cs="DecoType Naskh"/>
          <w:color w:val="auto"/>
          <w:kern w:val="0"/>
          <w:szCs w:val="26"/>
          <w:rtl/>
          <w:lang w:bidi="ar-JO"/>
          <w14:ligatures w14:val="none"/>
        </w:rPr>
        <w:tab/>
        <w:t>يوم الكفّارة</w:t>
      </w:r>
    </w:p>
    <w:p w14:paraId="43CE3146" w14:textId="5D28B97F"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BF07C2">
        <w:rPr>
          <w:rFonts w:eastAsia="Times New Roman" w:cs="DecoType Naskh" w:hint="cs"/>
          <w:color w:val="auto"/>
          <w:kern w:val="0"/>
          <w:szCs w:val="26"/>
          <w:rtl/>
          <w:lang w:bidi="ar-JO"/>
          <w14:ligatures w14:val="none"/>
        </w:rPr>
        <w:t>الباكورة</w:t>
      </w:r>
      <w:r w:rsidRPr="00BF07C2">
        <w:rPr>
          <w:rFonts w:eastAsia="Times New Roman" w:cs="DecoType Naskh"/>
          <w:color w:val="auto"/>
          <w:kern w:val="0"/>
          <w:szCs w:val="26"/>
          <w:rtl/>
          <w:lang w:bidi="ar-JO"/>
          <w14:ligatures w14:val="none"/>
        </w:rPr>
        <w:t xml:space="preserve"> </w:t>
      </w:r>
      <w:r w:rsidRPr="00BF07C2">
        <w:rPr>
          <w:rFonts w:eastAsia="Times New Roman" w:cs="DecoType Naskh"/>
          <w:color w:val="auto"/>
          <w:kern w:val="0"/>
          <w:szCs w:val="26"/>
          <w:rtl/>
          <w:lang w:bidi="ar-JO"/>
          <w14:ligatures w14:val="none"/>
        </w:rPr>
        <w:tab/>
      </w:r>
      <w:r w:rsidRPr="00BF07C2">
        <w:rPr>
          <w:rFonts w:eastAsia="Times New Roman" w:cs="DecoType Naskh"/>
          <w:color w:val="auto"/>
          <w:kern w:val="0"/>
          <w:szCs w:val="26"/>
          <w:rtl/>
          <w:lang w:bidi="ar-JO"/>
          <w14:ligatures w14:val="none"/>
        </w:rPr>
        <w:tab/>
      </w:r>
      <w:r w:rsidRPr="00BF07C2">
        <w:rPr>
          <w:rFonts w:eastAsia="Times New Roman" w:cs="DecoType Naskh"/>
          <w:color w:val="auto"/>
          <w:kern w:val="0"/>
          <w:szCs w:val="26"/>
          <w:rtl/>
          <w:lang w:bidi="ar-JO"/>
          <w14:ligatures w14:val="none"/>
        </w:rPr>
        <w:tab/>
      </w:r>
      <w:r w:rsidRPr="00BF07C2">
        <w:rPr>
          <w:rFonts w:eastAsia="Times New Roman" w:cs="DecoType Naskh"/>
          <w:color w:val="auto"/>
          <w:kern w:val="0"/>
          <w:szCs w:val="26"/>
          <w:rtl/>
          <w:lang w:bidi="ar-JO"/>
          <w14:ligatures w14:val="none"/>
        </w:rPr>
        <w:tab/>
      </w:r>
      <w:r w:rsidRPr="00BF07C2">
        <w:rPr>
          <w:rFonts w:eastAsia="Times New Roman" w:cs="DecoType Naskh"/>
          <w:color w:val="auto"/>
          <w:kern w:val="0"/>
          <w:szCs w:val="26"/>
          <w:rtl/>
          <w:lang w:bidi="ar-JO"/>
          <w14:ligatures w14:val="none"/>
        </w:rPr>
        <w:tab/>
        <w:t>المظال</w:t>
      </w:r>
      <w:r w:rsidR="00B3744F">
        <w:rPr>
          <w:rFonts w:eastAsia="Times New Roman" w:cs="DecoType Naskh" w:hint="cs"/>
          <w:color w:val="auto"/>
          <w:kern w:val="0"/>
          <w:szCs w:val="26"/>
          <w:rtl/>
          <w:lang w:bidi="ar-JO"/>
          <w14:ligatures w14:val="none"/>
        </w:rPr>
        <w:t>ّ</w:t>
      </w:r>
      <w:r w:rsidRPr="00BF07C2">
        <w:rPr>
          <w:rFonts w:eastAsia="Times New Roman" w:cs="DecoType Naskh"/>
          <w:color w:val="auto"/>
          <w:kern w:val="0"/>
          <w:sz w:val="30"/>
          <w:szCs w:val="28"/>
          <w:vertAlign w:val="superscript"/>
          <w:rtl/>
          <w:lang w:bidi="ar-JO"/>
          <w14:ligatures w14:val="none"/>
        </w:rPr>
        <w:t>*</w:t>
      </w:r>
    </w:p>
    <w:p w14:paraId="58451F53"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الأسابيع</w:t>
      </w:r>
      <w:r w:rsidRPr="00BF07C2">
        <w:rPr>
          <w:rFonts w:eastAsia="Times New Roman" w:cs="DecoType Naskh"/>
          <w:color w:val="auto"/>
          <w:kern w:val="0"/>
          <w:sz w:val="30"/>
          <w:szCs w:val="28"/>
          <w:vertAlign w:val="superscript"/>
          <w:rtl/>
          <w:lang w:bidi="ar-JO"/>
          <w14:ligatures w14:val="none"/>
        </w:rPr>
        <w:t>*</w:t>
      </w:r>
      <w:r w:rsidRPr="00BF07C2">
        <w:rPr>
          <w:rFonts w:eastAsia="Times New Roman" w:cs="DecoType Naskh"/>
          <w:color w:val="auto"/>
          <w:kern w:val="0"/>
          <w:szCs w:val="26"/>
          <w:rtl/>
          <w:lang w:bidi="ar-JO"/>
          <w14:ligatures w14:val="none"/>
        </w:rPr>
        <w:t xml:space="preserve"> (الخمسين)</w:t>
      </w:r>
    </w:p>
    <w:p w14:paraId="6ECF8545"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p>
    <w:p w14:paraId="2A38AB44"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 xml:space="preserve">كان على </w:t>
      </w:r>
      <w:r w:rsidRPr="00BF07C2">
        <w:rPr>
          <w:rFonts w:eastAsia="Times New Roman" w:cs="DecoType Naskh" w:hint="cs"/>
          <w:color w:val="auto"/>
          <w:kern w:val="0"/>
          <w:szCs w:val="26"/>
          <w:rtl/>
          <w14:ligatures w14:val="none"/>
        </w:rPr>
        <w:t xml:space="preserve">كل </w:t>
      </w:r>
      <w:r w:rsidRPr="00BF07C2">
        <w:rPr>
          <w:rFonts w:eastAsia="Times New Roman" w:cs="DecoType Naskh"/>
          <w:color w:val="auto"/>
          <w:kern w:val="0"/>
          <w:szCs w:val="26"/>
          <w:rtl/>
          <w:lang w:bidi="ar-JO"/>
          <w14:ligatures w14:val="none"/>
        </w:rPr>
        <w:t>ذكر عبراني أن يكون حاضراً في أورشليم للمشاركة في الاحتفالات في ثلاثة من هذه الأعياد (انظر العلا</w:t>
      </w:r>
      <w:r w:rsidRPr="00BF07C2">
        <w:rPr>
          <w:rFonts w:eastAsia="Times New Roman" w:cs="DecoType Naskh" w:hint="cs"/>
          <w:color w:val="auto"/>
          <w:kern w:val="0"/>
          <w:szCs w:val="26"/>
          <w:rtl/>
          <w:lang w:bidi="ar-JO"/>
          <w14:ligatures w14:val="none"/>
        </w:rPr>
        <w:t>م</w:t>
      </w:r>
      <w:r w:rsidRPr="00BF07C2">
        <w:rPr>
          <w:rFonts w:eastAsia="Times New Roman" w:cs="DecoType Naskh"/>
          <w:color w:val="auto"/>
          <w:kern w:val="0"/>
          <w:szCs w:val="26"/>
          <w:rtl/>
          <w:lang w:bidi="ar-JO"/>
          <w14:ligatures w14:val="none"/>
        </w:rPr>
        <w:t xml:space="preserve">ات المنجَّمة).  ويفسّر لنا هذا ظهور يسوع المسيح في أورشليم في مناسبات عديدة.  وقد بُني التقويم السنوي العبري على نظامين: </w:t>
      </w:r>
      <w:r w:rsidRPr="00BF07C2">
        <w:rPr>
          <w:rFonts w:eastAsia="Times New Roman" w:cs="DecoType Naskh" w:hint="cs"/>
          <w:color w:val="auto"/>
          <w:kern w:val="0"/>
          <w:szCs w:val="26"/>
          <w:rtl/>
          <w:lang w:bidi="ar-JO"/>
          <w14:ligatures w14:val="none"/>
        </w:rPr>
        <w:t>كان</w:t>
      </w:r>
      <w:r w:rsidRPr="00BF07C2">
        <w:rPr>
          <w:rFonts w:eastAsia="Times New Roman" w:cs="DecoType Naskh"/>
          <w:color w:val="auto"/>
          <w:kern w:val="0"/>
          <w:szCs w:val="26"/>
          <w:rtl/>
          <w:lang w:bidi="ar-JO"/>
          <w14:ligatures w14:val="none"/>
        </w:rPr>
        <w:t xml:space="preserve"> التقويم المدني </w:t>
      </w:r>
      <w:r w:rsidRPr="00BF07C2">
        <w:rPr>
          <w:rFonts w:eastAsia="Times New Roman" w:cs="DecoType Naskh" w:hint="cs"/>
          <w:color w:val="auto"/>
          <w:kern w:val="0"/>
          <w:szCs w:val="26"/>
          <w:rtl/>
          <w:lang w:bidi="ar-JO"/>
          <w14:ligatures w14:val="none"/>
        </w:rPr>
        <w:t xml:space="preserve">يبدأ </w:t>
      </w:r>
      <w:r w:rsidRPr="00BF07C2">
        <w:rPr>
          <w:rFonts w:eastAsia="Times New Roman" w:cs="DecoType Naskh"/>
          <w:color w:val="auto"/>
          <w:kern w:val="0"/>
          <w:szCs w:val="26"/>
          <w:rtl/>
          <w:lang w:bidi="ar-JO"/>
          <w14:ligatures w14:val="none"/>
        </w:rPr>
        <w:t>بشهر تشري</w:t>
      </w:r>
      <w:r w:rsidRPr="00BF07C2">
        <w:rPr>
          <w:rFonts w:eastAsia="Times New Roman" w:cs="DecoType Naskh" w:hint="cs"/>
          <w:color w:val="auto"/>
          <w:kern w:val="0"/>
          <w:szCs w:val="26"/>
          <w:rtl/>
          <w:lang w:bidi="ar-JO"/>
          <w14:ligatures w14:val="none"/>
        </w:rPr>
        <w:t>ن</w:t>
      </w:r>
      <w:r w:rsidRPr="00BF07C2">
        <w:rPr>
          <w:rFonts w:eastAsia="Times New Roman" w:cs="DecoType Naskh"/>
          <w:color w:val="auto"/>
          <w:kern w:val="0"/>
          <w:szCs w:val="26"/>
          <w:rtl/>
          <w:lang w:bidi="ar-JO"/>
          <w14:ligatures w14:val="none"/>
        </w:rPr>
        <w:t xml:space="preserve"> (أيلول- تشرين الأول)، في حين </w:t>
      </w:r>
      <w:r w:rsidRPr="00BF07C2">
        <w:rPr>
          <w:rFonts w:eastAsia="Times New Roman" w:cs="DecoType Naskh" w:hint="cs"/>
          <w:color w:val="auto"/>
          <w:kern w:val="0"/>
          <w:szCs w:val="26"/>
          <w:rtl/>
          <w:lang w:bidi="ar-JO"/>
          <w14:ligatures w14:val="none"/>
        </w:rPr>
        <w:t>كان</w:t>
      </w:r>
      <w:r w:rsidRPr="00BF07C2">
        <w:rPr>
          <w:rFonts w:eastAsia="Times New Roman" w:cs="DecoType Naskh"/>
          <w:color w:val="auto"/>
          <w:kern w:val="0"/>
          <w:szCs w:val="26"/>
          <w:rtl/>
          <w:lang w:bidi="ar-JO"/>
          <w14:ligatures w14:val="none"/>
        </w:rPr>
        <w:t xml:space="preserve"> التقويم الديني </w:t>
      </w:r>
      <w:r w:rsidRPr="00BF07C2">
        <w:rPr>
          <w:rFonts w:eastAsia="Times New Roman" w:cs="DecoType Naskh" w:hint="cs"/>
          <w:color w:val="auto"/>
          <w:kern w:val="0"/>
          <w:szCs w:val="26"/>
          <w:rtl/>
          <w:lang w:bidi="ar-JO"/>
          <w14:ligatures w14:val="none"/>
        </w:rPr>
        <w:t xml:space="preserve">يبدأ </w:t>
      </w:r>
      <w:r w:rsidRPr="00BF07C2">
        <w:rPr>
          <w:rFonts w:eastAsia="Times New Roman" w:cs="DecoType Naskh"/>
          <w:color w:val="auto"/>
          <w:kern w:val="0"/>
          <w:szCs w:val="26"/>
          <w:rtl/>
          <w:lang w:bidi="ar-JO"/>
          <w14:ligatures w14:val="none"/>
        </w:rPr>
        <w:t xml:space="preserve">بشهر نيسان </w:t>
      </w:r>
      <w:r w:rsidRPr="00BF07C2">
        <w:rPr>
          <w:rFonts w:eastAsia="Times New Roman" w:cs="DecoType Naskh"/>
          <w:color w:val="auto"/>
          <w:kern w:val="0"/>
          <w:szCs w:val="26"/>
          <w14:ligatures w14:val="none"/>
        </w:rPr>
        <w:t>Nisan</w:t>
      </w:r>
      <w:r w:rsidRPr="00BF07C2">
        <w:rPr>
          <w:rFonts w:eastAsia="Times New Roman" w:cs="DecoType Naskh"/>
          <w:color w:val="auto"/>
          <w:kern w:val="0"/>
          <w:szCs w:val="26"/>
          <w:rtl/>
          <w:lang w:bidi="ar-JO"/>
          <w14:ligatures w14:val="none"/>
        </w:rPr>
        <w:t xml:space="preserve"> (آذار-</w:t>
      </w:r>
      <w:r w:rsidRPr="00BF07C2">
        <w:rPr>
          <w:rFonts w:eastAsia="Times New Roman" w:cs="DecoType Naskh" w:hint="cs"/>
          <w:color w:val="auto"/>
          <w:kern w:val="0"/>
          <w:szCs w:val="26"/>
          <w:rtl/>
          <w14:ligatures w14:val="none"/>
        </w:rPr>
        <w:t xml:space="preserve"> </w:t>
      </w:r>
      <w:r w:rsidRPr="00BF07C2">
        <w:rPr>
          <w:rFonts w:eastAsia="Times New Roman" w:cs="DecoType Naskh"/>
          <w:color w:val="auto"/>
          <w:kern w:val="0"/>
          <w:szCs w:val="26"/>
          <w:rtl/>
          <w:lang w:bidi="ar-JO"/>
          <w14:ligatures w14:val="none"/>
        </w:rPr>
        <w:t>نيسان) باحتفال عيد الفصح.</w:t>
      </w:r>
    </w:p>
    <w:p w14:paraId="5B0F2BA4"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BF07C2">
        <w:rPr>
          <w:rFonts w:eastAsia="Times New Roman" w:cs="DecoType Naskh" w:hint="cs"/>
          <w:color w:val="auto"/>
          <w:kern w:val="0"/>
          <w:szCs w:val="26"/>
          <w:rtl/>
          <w:lang w:bidi="ar-JO"/>
          <w14:ligatures w14:val="none"/>
        </w:rPr>
        <w:t>سيتم ذكر أهمية كل عيد للعبراني وكذلك أهميته النبوية عند مناقشة كل عيد؛ وككل تُشكل الأعياد توقع نبوي لتعامل الله مع إسرائيل</w:t>
      </w:r>
      <w:r w:rsidRPr="00BF07C2">
        <w:rPr>
          <w:rFonts w:eastAsia="Times New Roman" w:cs="DecoType Naskh"/>
          <w:color w:val="auto"/>
          <w:kern w:val="0"/>
          <w:szCs w:val="26"/>
          <w:rtl/>
          <w:lang w:bidi="ar-JO"/>
          <w14:ligatures w14:val="none"/>
        </w:rPr>
        <w:t xml:space="preserve"> لكل عبراني بالإضافة إلى دلالته النبوية.</w:t>
      </w:r>
      <w:r w:rsidRPr="00BF07C2">
        <w:rPr>
          <w:rFonts w:eastAsia="Times New Roman" w:cs="DecoType Naskh"/>
          <w:color w:val="auto"/>
          <w:kern w:val="0"/>
          <w:sz w:val="30"/>
          <w:szCs w:val="28"/>
          <w:vertAlign w:val="superscript"/>
          <w:rtl/>
          <w:lang w:bidi="ar-JO"/>
          <w14:ligatures w14:val="none"/>
        </w:rPr>
        <w:footnoteReference w:id="95"/>
      </w:r>
    </w:p>
    <w:p w14:paraId="700A078B" w14:textId="77777777" w:rsidR="00BF07C2" w:rsidRPr="00BF07C2" w:rsidRDefault="00BF07C2"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BF07C2">
        <w:rPr>
          <w:rFonts w:eastAsia="Times New Roman" w:cs="DecoType Naskh"/>
          <w:bCs/>
          <w:color w:val="auto"/>
          <w:kern w:val="0"/>
          <w:szCs w:val="26"/>
          <w:rtl/>
          <w14:ligatures w14:val="none"/>
        </w:rPr>
        <w:t>أ.</w:t>
      </w:r>
      <w:r w:rsidRPr="00BF07C2">
        <w:rPr>
          <w:rFonts w:eastAsia="Times New Roman" w:cs="DecoType Naskh"/>
          <w:bCs/>
          <w:color w:val="auto"/>
          <w:kern w:val="0"/>
          <w:szCs w:val="26"/>
          <w:rtl/>
          <w14:ligatures w14:val="none"/>
        </w:rPr>
        <w:tab/>
        <w:t>السبت</w:t>
      </w:r>
      <w:r w:rsidRPr="00BF07C2">
        <w:rPr>
          <w:rFonts w:eastAsia="Times New Roman" w:cs="DecoType Naskh"/>
          <w:bCs/>
          <w:color w:val="auto"/>
          <w:kern w:val="0"/>
          <w:sz w:val="30"/>
          <w:szCs w:val="28"/>
          <w:vertAlign w:val="superscript"/>
          <w:rtl/>
          <w14:ligatures w14:val="none"/>
        </w:rPr>
        <w:footnoteReference w:id="96"/>
      </w:r>
    </w:p>
    <w:p w14:paraId="4BD05EF3"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 xml:space="preserve">لم يكن السبت احتفالاً سنوياً، لكنه شكّل أساساً للحياة الدينية في إسرائيل.  إذ كان أقدم كل الأيام المقدَّسة حيث إنه </w:t>
      </w:r>
      <w:r w:rsidRPr="00BF07C2">
        <w:rPr>
          <w:rFonts w:eastAsia="Times New Roman" w:cs="DecoType Naskh" w:hint="cs"/>
          <w:color w:val="auto"/>
          <w:kern w:val="0"/>
          <w:szCs w:val="26"/>
          <w:rtl/>
          <w:lang w:bidi="ar-JO"/>
          <w14:ligatures w14:val="none"/>
        </w:rPr>
        <w:t>ارتبط</w:t>
      </w:r>
      <w:r w:rsidRPr="00BF07C2">
        <w:rPr>
          <w:rFonts w:eastAsia="Times New Roman" w:cs="DecoType Naskh"/>
          <w:color w:val="auto"/>
          <w:kern w:val="0"/>
          <w:szCs w:val="26"/>
          <w:rtl/>
          <w:lang w:bidi="ar-JO"/>
          <w14:ligatures w14:val="none"/>
        </w:rPr>
        <w:t xml:space="preserve"> </w:t>
      </w:r>
      <w:r w:rsidRPr="00BF07C2">
        <w:rPr>
          <w:rFonts w:eastAsia="Times New Roman" w:cs="DecoType Naskh" w:hint="cs"/>
          <w:color w:val="auto"/>
          <w:kern w:val="0"/>
          <w:szCs w:val="26"/>
          <w:rtl/>
          <w:lang w:bidi="ar-JO"/>
          <w14:ligatures w14:val="none"/>
        </w:rPr>
        <w:t>ب</w:t>
      </w:r>
      <w:r w:rsidRPr="00BF07C2">
        <w:rPr>
          <w:rFonts w:eastAsia="Times New Roman" w:cs="DecoType Naskh"/>
          <w:color w:val="auto"/>
          <w:kern w:val="0"/>
          <w:szCs w:val="26"/>
          <w:rtl/>
          <w:lang w:bidi="ar-JO"/>
          <w14:ligatures w14:val="none"/>
        </w:rPr>
        <w:t>رواية الخليقة.  وفي سيناء جُعل السبت علامة على العهد الموسوي يمكن للعبرانيين بموجبها أن يشهدوا أنهم "أهل العهد" مع الإله الحقيقي للخليقة.</w:t>
      </w:r>
    </w:p>
    <w:p w14:paraId="13D76912"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9E69461"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lastRenderedPageBreak/>
        <w:t>تمثّلت الفكرة الرئيسية للسبت في تذكُّر "راحة" الله بعد الخليقة.</w:t>
      </w:r>
      <w:r w:rsidRPr="00BF07C2">
        <w:rPr>
          <w:rFonts w:eastAsia="Times New Roman" w:cs="DecoType Naskh"/>
          <w:color w:val="auto"/>
          <w:kern w:val="0"/>
          <w:sz w:val="26"/>
          <w:vertAlign w:val="superscript"/>
          <w:rtl/>
          <w14:ligatures w14:val="none"/>
        </w:rPr>
        <w:footnoteReference w:id="97"/>
      </w:r>
      <w:r w:rsidRPr="00BF07C2">
        <w:rPr>
          <w:rFonts w:eastAsia="Times New Roman" w:cs="DecoType Naskh"/>
          <w:color w:val="auto"/>
          <w:kern w:val="0"/>
          <w:szCs w:val="26"/>
          <w:rtl/>
          <w:lang w:bidi="ar-JO"/>
          <w14:ligatures w14:val="none"/>
        </w:rPr>
        <w:t xml:space="preserve">  كان</w:t>
      </w:r>
      <w:r w:rsidRPr="00BF07C2">
        <w:rPr>
          <w:rFonts w:eastAsia="Times New Roman" w:cs="DecoType Naskh" w:hint="cs"/>
          <w:color w:val="auto"/>
          <w:kern w:val="0"/>
          <w:szCs w:val="26"/>
          <w:rtl/>
          <w:lang w:bidi="ar-JO"/>
          <w14:ligatures w14:val="none"/>
        </w:rPr>
        <w:t xml:space="preserve"> السبتُ</w:t>
      </w:r>
      <w:r w:rsidRPr="00BF07C2">
        <w:rPr>
          <w:rFonts w:eastAsia="Times New Roman" w:cs="DecoType Naskh"/>
          <w:color w:val="auto"/>
          <w:kern w:val="0"/>
          <w:szCs w:val="26"/>
          <w:rtl/>
          <w:lang w:bidi="ar-JO"/>
          <w14:ligatures w14:val="none"/>
        </w:rPr>
        <w:t xml:space="preserve"> شهادة للعالم من خلال هذا الاحتفال التذكاري الخاص عن عمل فدائه المكتمل لأمّة إسرائيل."  وهكذا ذكّر السبت الشعب بتحريرهم من مصر.  ولا يعني هذا أن الله كان متعباً</w:t>
      </w:r>
      <w:r w:rsidRPr="00BF07C2">
        <w:rPr>
          <w:rFonts w:eastAsia="Times New Roman" w:cs="DecoType Naskh" w:hint="cs"/>
          <w:color w:val="auto"/>
          <w:kern w:val="0"/>
          <w:szCs w:val="26"/>
          <w:rtl/>
          <w14:ligatures w14:val="none"/>
        </w:rPr>
        <w:t>،</w:t>
      </w:r>
      <w:r w:rsidRPr="00BF07C2">
        <w:rPr>
          <w:rFonts w:eastAsia="Times New Roman" w:cs="DecoType Naskh"/>
          <w:color w:val="auto"/>
          <w:kern w:val="0"/>
          <w:szCs w:val="26"/>
          <w:rtl/>
          <w:lang w:bidi="ar-JO"/>
          <w14:ligatures w14:val="none"/>
        </w:rPr>
        <w:t xml:space="preserve"> لكنه يعني أنه أعطى فرصة لاحتفال سماوي باكتمال الخليقة.  وهكذا يرتبط السبت بفكرة "الراحة"، ولا يجب أن تغيب هذه الفكرة عن بالنا.  لقد </w:t>
      </w:r>
      <w:r w:rsidRPr="00BF07C2">
        <w:rPr>
          <w:rFonts w:eastAsia="Times New Roman" w:cs="DecoType Naskh" w:hint="cs"/>
          <w:color w:val="auto"/>
          <w:kern w:val="0"/>
          <w:szCs w:val="26"/>
          <w:rtl/>
          <w:lang w:bidi="ar-JO"/>
          <w14:ligatures w14:val="none"/>
        </w:rPr>
        <w:t>وضع</w:t>
      </w:r>
      <w:r w:rsidRPr="00BF07C2">
        <w:rPr>
          <w:rFonts w:eastAsia="Times New Roman" w:cs="DecoType Naskh"/>
          <w:color w:val="auto"/>
          <w:kern w:val="0"/>
          <w:szCs w:val="26"/>
          <w:rtl/>
          <w:lang w:bidi="ar-JO"/>
          <w14:ligatures w14:val="none"/>
        </w:rPr>
        <w:t xml:space="preserve"> الله </w:t>
      </w:r>
      <w:r w:rsidRPr="00BF07C2">
        <w:rPr>
          <w:rFonts w:eastAsia="Times New Roman" w:cs="DecoType Naskh" w:hint="cs"/>
          <w:color w:val="auto"/>
          <w:kern w:val="0"/>
          <w:szCs w:val="26"/>
          <w:rtl/>
          <w:lang w:bidi="ar-JO"/>
          <w14:ligatures w14:val="none"/>
        </w:rPr>
        <w:t>نموذجاً</w:t>
      </w:r>
      <w:r w:rsidRPr="00BF07C2">
        <w:rPr>
          <w:rFonts w:eastAsia="Times New Roman" w:cs="DecoType Naskh"/>
          <w:color w:val="auto"/>
          <w:kern w:val="0"/>
          <w:szCs w:val="26"/>
          <w:rtl/>
          <w:lang w:bidi="ar-JO"/>
          <w14:ligatures w14:val="none"/>
        </w:rPr>
        <w:t>: كان كل أسبوع يختتم بسبت، بيوم "راحة</w:t>
      </w:r>
      <w:r w:rsidRPr="00BF07C2">
        <w:rPr>
          <w:rFonts w:eastAsia="Times New Roman" w:cs="DecoType Naskh" w:hint="cs"/>
          <w:color w:val="auto"/>
          <w:kern w:val="0"/>
          <w:szCs w:val="26"/>
          <w:rtl/>
          <w14:ligatures w14:val="none"/>
        </w:rPr>
        <w:t>.</w:t>
      </w:r>
      <w:r w:rsidRPr="00BF07C2">
        <w:rPr>
          <w:rFonts w:eastAsia="Times New Roman" w:cs="DecoType Naskh"/>
          <w:color w:val="auto"/>
          <w:kern w:val="0"/>
          <w:szCs w:val="26"/>
          <w:rtl/>
          <w:lang w:bidi="ar-JO"/>
          <w14:ligatures w14:val="none"/>
        </w:rPr>
        <w:t>"  وبعد كل ست سنوات كان لا بد أن تأخذ الأرض سنة "راحة</w:t>
      </w:r>
      <w:r w:rsidRPr="00BF07C2">
        <w:rPr>
          <w:rFonts w:eastAsia="Times New Roman" w:cs="DecoType Naskh" w:hint="cs"/>
          <w:color w:val="auto"/>
          <w:kern w:val="0"/>
          <w:szCs w:val="26"/>
          <w:rtl/>
          <w14:ligatures w14:val="none"/>
        </w:rPr>
        <w:t>،</w:t>
      </w:r>
      <w:r w:rsidRPr="00BF07C2">
        <w:rPr>
          <w:rFonts w:eastAsia="Times New Roman" w:cs="DecoType Naskh"/>
          <w:color w:val="auto"/>
          <w:kern w:val="0"/>
          <w:szCs w:val="26"/>
          <w:rtl/>
          <w:lang w:bidi="ar-JO"/>
          <w14:ligatures w14:val="none"/>
        </w:rPr>
        <w:t xml:space="preserve">" </w:t>
      </w:r>
      <w:r w:rsidRPr="00BF07C2">
        <w:rPr>
          <w:rFonts w:eastAsia="Times New Roman" w:cs="DecoType Naskh" w:hint="cs"/>
          <w:color w:val="auto"/>
          <w:kern w:val="0"/>
          <w:szCs w:val="26"/>
          <w:rtl/>
          <w:lang w:bidi="ar-JO"/>
          <w14:ligatures w14:val="none"/>
        </w:rPr>
        <w:t xml:space="preserve">وبعد كل 49 سنة (7 </w:t>
      </w:r>
      <w:r w:rsidRPr="00BF07C2">
        <w:rPr>
          <w:rFonts w:eastAsia="Times New Roman" w:cs="DecoType Naskh"/>
          <w:color w:val="auto"/>
          <w:kern w:val="0"/>
          <w:szCs w:val="26"/>
          <w14:ligatures w14:val="none"/>
        </w:rPr>
        <w:t>x</w:t>
      </w:r>
      <w:r w:rsidRPr="00BF07C2">
        <w:rPr>
          <w:rFonts w:eastAsia="Times New Roman" w:cs="DecoType Naskh" w:hint="cs"/>
          <w:color w:val="auto"/>
          <w:kern w:val="0"/>
          <w:szCs w:val="26"/>
          <w:rtl/>
          <w:lang w:bidi="ar-JO"/>
          <w14:ligatures w14:val="none"/>
        </w:rPr>
        <w:t xml:space="preserve"> 7)، كانت تأتي سنة يوبيل خاصة (لاويين25).</w:t>
      </w:r>
      <w:r w:rsidRPr="00BF07C2">
        <w:rPr>
          <w:rFonts w:eastAsia="Times New Roman" w:cs="DecoType Naskh"/>
          <w:color w:val="auto"/>
          <w:kern w:val="0"/>
          <w:szCs w:val="26"/>
          <w:rtl/>
          <w:lang w:bidi="ar-JO"/>
          <w14:ligatures w14:val="none"/>
        </w:rPr>
        <w:t xml:space="preserve">  وعندما ذهب بنو إسرائيل إلى السبي البابلي، أبعدهم الله عن "الأرض" مدة سبعين سنة لأنهم لم يراعوا السنة السبتية مدة 490 سنة.  وبما أنهم فوّتوا السنة السبتية سبعين مرّة، أراح الله الأرض سبعين سنة أثناء وجودهم في السبي (انظر 2 أخبار 36: 19-21). </w:t>
      </w:r>
    </w:p>
    <w:p w14:paraId="2DD739F6"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34D75B59"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 xml:space="preserve">كان كل نوع من السبت </w:t>
      </w:r>
      <w:r w:rsidRPr="00BF07C2">
        <w:rPr>
          <w:rFonts w:eastAsia="Times New Roman" w:cs="DecoType Naskh" w:hint="cs"/>
          <w:color w:val="auto"/>
          <w:kern w:val="0"/>
          <w:szCs w:val="26"/>
          <w:rtl/>
          <w:lang w:bidi="ar-JO"/>
          <w14:ligatures w14:val="none"/>
        </w:rPr>
        <w:t>إنباءً بفترةِ</w:t>
      </w:r>
      <w:r w:rsidRPr="00BF07C2">
        <w:rPr>
          <w:rFonts w:eastAsia="Times New Roman" w:cs="DecoType Naskh"/>
          <w:color w:val="auto"/>
          <w:kern w:val="0"/>
          <w:szCs w:val="26"/>
          <w:rtl/>
          <w:lang w:bidi="ar-JO"/>
          <w14:ligatures w14:val="none"/>
        </w:rPr>
        <w:t xml:space="preserve"> "راحة".  ولدى دراستنا تاريخ إسرائيل، </w:t>
      </w:r>
      <w:r w:rsidRPr="00BF07C2">
        <w:rPr>
          <w:rFonts w:eastAsia="Times New Roman" w:cs="DecoType Naskh" w:hint="cs"/>
          <w:color w:val="auto"/>
          <w:kern w:val="0"/>
          <w:szCs w:val="26"/>
          <w:rtl/>
          <w:lang w:bidi="ar-JO"/>
          <w14:ligatures w14:val="none"/>
        </w:rPr>
        <w:t>فأننا</w:t>
      </w:r>
      <w:r w:rsidRPr="00BF07C2">
        <w:rPr>
          <w:rFonts w:eastAsia="Times New Roman" w:cs="DecoType Naskh"/>
          <w:color w:val="auto"/>
          <w:kern w:val="0"/>
          <w:szCs w:val="26"/>
          <w:rtl/>
          <w:lang w:bidi="ar-JO"/>
          <w14:ligatures w14:val="none"/>
        </w:rPr>
        <w:t xml:space="preserve"> نلاحظ أنهم لم يحصلوا قط على "الراحة" في الأرض.  فقد فشل جيل البريّة في الدخول إلى راحة الله (مزمور 95: 11).  ولم يحصل جيل الغزو على "الراحة" (على الرغم من دخولهم الأرض)، لأنهم لم يقوموا بالقضاء على الكنعانيين بسبب قلّة إيمانهم.  </w:t>
      </w:r>
      <w:r w:rsidRPr="00BF07C2">
        <w:rPr>
          <w:rFonts w:eastAsia="Times New Roman" w:cs="DecoType Naskh" w:hint="cs"/>
          <w:color w:val="auto"/>
          <w:kern w:val="0"/>
          <w:szCs w:val="26"/>
          <w:rtl/>
          <w:lang w:bidi="ar-JO"/>
          <w14:ligatures w14:val="none"/>
        </w:rPr>
        <w:t>وقد أصبح</w:t>
      </w:r>
      <w:r w:rsidRPr="00BF07C2">
        <w:rPr>
          <w:rFonts w:eastAsia="Times New Roman" w:cs="DecoType Naskh"/>
          <w:color w:val="auto"/>
          <w:kern w:val="0"/>
          <w:szCs w:val="26"/>
          <w:rtl/>
          <w:lang w:bidi="ar-JO"/>
          <w14:ligatures w14:val="none"/>
        </w:rPr>
        <w:t xml:space="preserve"> الحصول على "راحة" الله موضوعاً مهيمناً على ا</w:t>
      </w:r>
      <w:r w:rsidRPr="00BF07C2">
        <w:rPr>
          <w:rFonts w:eastAsia="Times New Roman" w:cs="DecoType Naskh" w:hint="cs"/>
          <w:color w:val="auto"/>
          <w:kern w:val="0"/>
          <w:szCs w:val="26"/>
          <w:rtl/>
          <w:lang w:bidi="ar-JO"/>
          <w14:ligatures w14:val="none"/>
        </w:rPr>
        <w:t>لأ</w:t>
      </w:r>
      <w:r w:rsidRPr="00BF07C2">
        <w:rPr>
          <w:rFonts w:eastAsia="Times New Roman" w:cs="DecoType Naskh"/>
          <w:color w:val="auto"/>
          <w:kern w:val="0"/>
          <w:szCs w:val="26"/>
          <w:rtl/>
          <w:lang w:bidi="ar-JO"/>
          <w14:ligatures w14:val="none"/>
        </w:rPr>
        <w:t xml:space="preserve">صحاح الرابع من الرسالة إلى العبرانيين.  هنالك وعد بالدخول إلى "راحة" الله، ويجب أن نجتهد </w:t>
      </w:r>
      <w:r w:rsidRPr="00BF07C2">
        <w:rPr>
          <w:rFonts w:eastAsia="Times New Roman" w:cs="DecoType Naskh" w:hint="cs"/>
          <w:color w:val="auto"/>
          <w:kern w:val="0"/>
          <w:szCs w:val="26"/>
          <w:rtl/>
          <w:lang w:bidi="ar-JO"/>
          <w14:ligatures w14:val="none"/>
        </w:rPr>
        <w:t>للدخول</w:t>
      </w:r>
      <w:r w:rsidRPr="00BF07C2">
        <w:rPr>
          <w:rFonts w:eastAsia="Times New Roman" w:cs="DecoType Naskh"/>
          <w:color w:val="auto"/>
          <w:kern w:val="0"/>
          <w:szCs w:val="26"/>
          <w:rtl/>
          <w:lang w:bidi="ar-JO"/>
          <w14:ligatures w14:val="none"/>
        </w:rPr>
        <w:t xml:space="preserve"> إليها (عبرانيين 4: 9-11).  أمّا العصيان فسينتج عنه </w:t>
      </w:r>
      <w:r w:rsidRPr="00BF07C2">
        <w:rPr>
          <w:rFonts w:eastAsia="Times New Roman" w:cs="DecoType Naskh" w:hint="cs"/>
          <w:color w:val="auto"/>
          <w:kern w:val="0"/>
          <w:szCs w:val="26"/>
          <w:rtl/>
          <w:lang w:bidi="ar-JO"/>
          <w14:ligatures w14:val="none"/>
        </w:rPr>
        <w:t>فقد</w:t>
      </w:r>
      <w:r w:rsidRPr="00BF07C2">
        <w:rPr>
          <w:rFonts w:eastAsia="Times New Roman" w:cs="DecoType Naskh"/>
          <w:color w:val="auto"/>
          <w:kern w:val="0"/>
          <w:szCs w:val="26"/>
          <w:rtl/>
          <w:lang w:bidi="ar-JO"/>
          <w14:ligatures w14:val="none"/>
        </w:rPr>
        <w:t xml:space="preserve"> "راحة" الله، كما حصل مع بني إسرائيل قديماً (فالمسألة مسألة ميراث ومكافآت).   </w:t>
      </w:r>
    </w:p>
    <w:p w14:paraId="44D83C06"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وهكذا يتطلع السبت إلى "راحة" الله المستقبلية، والتي ت</w:t>
      </w:r>
      <w:r w:rsidRPr="00BF07C2">
        <w:rPr>
          <w:rFonts w:eastAsia="Times New Roman" w:cs="DecoType Naskh" w:hint="cs"/>
          <w:color w:val="auto"/>
          <w:kern w:val="0"/>
          <w:szCs w:val="26"/>
          <w:rtl/>
          <w:lang w:bidi="ar-JO"/>
          <w14:ligatures w14:val="none"/>
        </w:rPr>
        <w:t>ت</w:t>
      </w:r>
      <w:r w:rsidRPr="00BF07C2">
        <w:rPr>
          <w:rFonts w:eastAsia="Times New Roman" w:cs="DecoType Naskh"/>
          <w:color w:val="auto"/>
          <w:kern w:val="0"/>
          <w:szCs w:val="26"/>
          <w:rtl/>
          <w:lang w:bidi="ar-JO"/>
          <w14:ligatures w14:val="none"/>
        </w:rPr>
        <w:t>ساوى مع تأسيس الملكوت، حين ننتهي من أعمالنا وتعبنا.  ستبدأ راحة المستقبل الموعودة بتأسيس الملكوت الألفي تحت حكم يسوع المسيح.  وسيكون اشتراكنا في تلك الراحة متوافقاً مع احتمالنا الصبور في حياة الإيمان هنا مع يسوع المسيح.  وهذا هو موضوع الرسالة إلى العبرانيين: "لأنكم تحتاجون إلى الصبر، حتى إذا صنعتم مشيئة الله تنالون الموعد" (عبرانيين 10: 36).  سي</w:t>
      </w:r>
      <w:r w:rsidRPr="00BF07C2">
        <w:rPr>
          <w:rFonts w:eastAsia="Times New Roman" w:cs="DecoType Naskh" w:hint="cs"/>
          <w:color w:val="auto"/>
          <w:kern w:val="0"/>
          <w:szCs w:val="26"/>
          <w:rtl/>
          <w:lang w:bidi="ar-JO"/>
          <w14:ligatures w14:val="none"/>
        </w:rPr>
        <w:t>ُ</w:t>
      </w:r>
      <w:r w:rsidRPr="00BF07C2">
        <w:rPr>
          <w:rFonts w:eastAsia="Times New Roman" w:cs="DecoType Naskh"/>
          <w:color w:val="auto"/>
          <w:kern w:val="0"/>
          <w:szCs w:val="26"/>
          <w:rtl/>
          <w:lang w:bidi="ar-JO"/>
          <w14:ligatures w14:val="none"/>
        </w:rPr>
        <w:t>كاف</w:t>
      </w:r>
      <w:r w:rsidRPr="00BF07C2">
        <w:rPr>
          <w:rFonts w:eastAsia="Times New Roman" w:cs="DecoType Naskh" w:hint="cs"/>
          <w:color w:val="auto"/>
          <w:kern w:val="0"/>
          <w:szCs w:val="26"/>
          <w:rtl/>
          <w:lang w:bidi="ar-JO"/>
          <w14:ligatures w14:val="none"/>
        </w:rPr>
        <w:t>َ</w:t>
      </w:r>
      <w:r w:rsidRPr="00BF07C2">
        <w:rPr>
          <w:rFonts w:eastAsia="Times New Roman" w:cs="DecoType Naskh"/>
          <w:color w:val="auto"/>
          <w:kern w:val="0"/>
          <w:szCs w:val="26"/>
          <w:rtl/>
          <w:lang w:bidi="ar-JO"/>
          <w14:ligatures w14:val="none"/>
        </w:rPr>
        <w:t>أ احتمالنا الصبور بتلقّي الوعود والحكم مع المسيح في ملكوته.</w:t>
      </w:r>
    </w:p>
    <w:p w14:paraId="36839217"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12"/>
          <w:szCs w:val="14"/>
          <w:rtl/>
          <w:lang w:bidi="ar-JO"/>
          <w14:ligatures w14:val="none"/>
        </w:rPr>
      </w:pPr>
    </w:p>
    <w:p w14:paraId="70884303" w14:textId="77777777" w:rsidR="00BF07C2" w:rsidRPr="00BF07C2" w:rsidRDefault="00BF07C2"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BF07C2">
        <w:rPr>
          <w:rFonts w:eastAsia="Times New Roman" w:cs="DecoType Naskh"/>
          <w:bCs/>
          <w:color w:val="auto"/>
          <w:kern w:val="0"/>
          <w:szCs w:val="26"/>
          <w:rtl/>
          <w14:ligatures w14:val="none"/>
        </w:rPr>
        <w:t>ب.</w:t>
      </w:r>
      <w:r w:rsidRPr="00BF07C2">
        <w:rPr>
          <w:rFonts w:eastAsia="Times New Roman" w:cs="DecoType Naskh"/>
          <w:bCs/>
          <w:color w:val="auto"/>
          <w:kern w:val="0"/>
          <w:szCs w:val="26"/>
          <w:rtl/>
          <w14:ligatures w14:val="none"/>
        </w:rPr>
        <w:tab/>
        <w:t>الفصح (لاويين 23: 4-8؛ خروج 12)</w:t>
      </w:r>
    </w:p>
    <w:p w14:paraId="367FAEF2"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 xml:space="preserve">يمكن أن تجد التفاصيل المتعلقة بالفصح في </w:t>
      </w:r>
      <w:r w:rsidRPr="00BF07C2">
        <w:rPr>
          <w:rFonts w:eastAsia="Times New Roman" w:cs="DecoType Naskh" w:hint="cs"/>
          <w:color w:val="auto"/>
          <w:kern w:val="0"/>
          <w:szCs w:val="26"/>
          <w:rtl/>
          <w:lang w:bidi="ar-JO"/>
          <w14:ligatures w14:val="none"/>
        </w:rPr>
        <w:t>الملاحظات</w:t>
      </w:r>
      <w:r w:rsidRPr="00BF07C2">
        <w:rPr>
          <w:rFonts w:eastAsia="Times New Roman" w:cs="DecoType Naskh"/>
          <w:color w:val="auto"/>
          <w:kern w:val="0"/>
          <w:szCs w:val="26"/>
          <w:rtl/>
          <w:lang w:bidi="ar-JO"/>
          <w14:ligatures w14:val="none"/>
        </w:rPr>
        <w:t xml:space="preserve"> حول سفر الخروج.  لكن يمكن القول </w:t>
      </w:r>
      <w:r w:rsidRPr="00BF07C2">
        <w:rPr>
          <w:rFonts w:eastAsia="Times New Roman" w:cs="DecoType Naskh" w:hint="cs"/>
          <w:color w:val="auto"/>
          <w:kern w:val="0"/>
          <w:szCs w:val="26"/>
          <w:rtl/>
          <w:lang w:bidi="ar-JO"/>
          <w14:ligatures w14:val="none"/>
        </w:rPr>
        <w:t>إ</w:t>
      </w:r>
      <w:r w:rsidRPr="00BF07C2">
        <w:rPr>
          <w:rFonts w:eastAsia="Times New Roman" w:cs="DecoType Naskh"/>
          <w:color w:val="auto"/>
          <w:kern w:val="0"/>
          <w:szCs w:val="26"/>
          <w:rtl/>
          <w:lang w:bidi="ar-JO"/>
          <w14:ligatures w14:val="none"/>
        </w:rPr>
        <w:t xml:space="preserve">ن احتفال الفصح </w:t>
      </w:r>
      <w:r w:rsidRPr="00BF07C2">
        <w:rPr>
          <w:rFonts w:eastAsia="Times New Roman" w:cs="DecoType Naskh" w:hint="cs"/>
          <w:color w:val="auto"/>
          <w:kern w:val="0"/>
          <w:szCs w:val="26"/>
          <w:rtl/>
          <w:lang w:bidi="ar-JO"/>
          <w14:ligatures w14:val="none"/>
        </w:rPr>
        <w:t>كان احتفالاً</w:t>
      </w:r>
      <w:r w:rsidRPr="00BF07C2">
        <w:rPr>
          <w:rFonts w:eastAsia="Times New Roman" w:cs="DecoType Naskh"/>
          <w:color w:val="auto"/>
          <w:kern w:val="0"/>
          <w:szCs w:val="26"/>
          <w:rtl/>
          <w:lang w:bidi="ar-JO"/>
          <w14:ligatures w14:val="none"/>
        </w:rPr>
        <w:t xml:space="preserve"> بالتحرير من عبودية مصر ودينونة ملاك الموت، وذلك بالاتكال على دم الحمل.  كانت هذه هي بداية الشهور بالنسبة لبني إسرائيل، إذ جعل اشتراكهم في حدث الفصح "شعباً مفدياً</w:t>
      </w:r>
      <w:r w:rsidRPr="00BF07C2">
        <w:rPr>
          <w:rFonts w:eastAsia="Times New Roman" w:cs="DecoType Naskh" w:hint="cs"/>
          <w:color w:val="auto"/>
          <w:kern w:val="0"/>
          <w:szCs w:val="26"/>
          <w:rtl/>
          <w14:ligatures w14:val="none"/>
        </w:rPr>
        <w:t>.</w:t>
      </w:r>
      <w:r w:rsidRPr="00BF07C2">
        <w:rPr>
          <w:rFonts w:eastAsia="Times New Roman" w:cs="DecoType Naskh"/>
          <w:color w:val="auto"/>
          <w:kern w:val="0"/>
          <w:szCs w:val="26"/>
          <w:rtl/>
          <w:lang w:bidi="ar-JO"/>
          <w14:ligatures w14:val="none"/>
        </w:rPr>
        <w:t>"  ومن الواضح أن التحقيق الكامل لهذا يكون في المسيح (انظر اكورنثوس 5: 7)، حمل الله الذي يحررنا من عبودية الخطية بدمه.</w:t>
      </w:r>
    </w:p>
    <w:p w14:paraId="5B674045"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8"/>
          <w:szCs w:val="10"/>
          <w:rtl/>
          <w:lang w:bidi="ar-JO"/>
          <w14:ligatures w14:val="none"/>
        </w:rPr>
      </w:pPr>
    </w:p>
    <w:p w14:paraId="23198669" w14:textId="77777777" w:rsidR="00BF07C2" w:rsidRPr="00BF07C2" w:rsidRDefault="00BF07C2"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BF07C2">
        <w:rPr>
          <w:rFonts w:eastAsia="Times New Roman" w:cs="DecoType Naskh"/>
          <w:bCs/>
          <w:color w:val="auto"/>
          <w:kern w:val="0"/>
          <w:szCs w:val="26"/>
          <w:rtl/>
          <w14:ligatures w14:val="none"/>
        </w:rPr>
        <w:t>جـ.</w:t>
      </w:r>
      <w:r w:rsidRPr="00BF07C2">
        <w:rPr>
          <w:rFonts w:eastAsia="Times New Roman" w:cs="DecoType Naskh"/>
          <w:bCs/>
          <w:color w:val="auto"/>
          <w:kern w:val="0"/>
          <w:szCs w:val="26"/>
          <w:rtl/>
          <w14:ligatures w14:val="none"/>
        </w:rPr>
        <w:tab/>
      </w:r>
      <w:r w:rsidRPr="00BF07C2">
        <w:rPr>
          <w:rFonts w:eastAsia="Times New Roman" w:cs="DecoType Naskh" w:hint="cs"/>
          <w:bCs/>
          <w:color w:val="auto"/>
          <w:kern w:val="0"/>
          <w:szCs w:val="26"/>
          <w:rtl/>
          <w14:ligatures w14:val="none"/>
        </w:rPr>
        <w:t>عيد</w:t>
      </w:r>
      <w:r w:rsidRPr="00BF07C2">
        <w:rPr>
          <w:rFonts w:eastAsia="Times New Roman" w:cs="DecoType Naskh"/>
          <w:bCs/>
          <w:color w:val="auto"/>
          <w:kern w:val="0"/>
          <w:szCs w:val="26"/>
          <w:rtl/>
          <w14:ligatures w14:val="none"/>
        </w:rPr>
        <w:t xml:space="preserve"> الفطير</w:t>
      </w:r>
    </w:p>
    <w:p w14:paraId="254640D7"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 xml:space="preserve">امتدّ هذا </w:t>
      </w:r>
      <w:r w:rsidRPr="00BF07C2">
        <w:rPr>
          <w:rFonts w:eastAsia="Times New Roman" w:cs="DecoType Naskh" w:hint="cs"/>
          <w:color w:val="auto"/>
          <w:kern w:val="0"/>
          <w:szCs w:val="26"/>
          <w:rtl/>
          <w:lang w:bidi="ar-JO"/>
          <w14:ligatures w14:val="none"/>
        </w:rPr>
        <w:t>العيد</w:t>
      </w:r>
      <w:r w:rsidRPr="00BF07C2">
        <w:rPr>
          <w:rFonts w:eastAsia="Times New Roman" w:cs="DecoType Naskh"/>
          <w:color w:val="auto"/>
          <w:kern w:val="0"/>
          <w:szCs w:val="26"/>
          <w:rtl/>
          <w:lang w:bidi="ar-JO"/>
          <w14:ligatures w14:val="none"/>
        </w:rPr>
        <w:t xml:space="preserve"> سبعة أيّام بدءاً بالفصح.  وقد </w:t>
      </w:r>
      <w:r w:rsidRPr="00BF07C2">
        <w:rPr>
          <w:rFonts w:eastAsia="Times New Roman" w:cs="DecoType Naskh" w:hint="cs"/>
          <w:color w:val="auto"/>
          <w:kern w:val="0"/>
          <w:szCs w:val="26"/>
          <w:rtl/>
          <w:lang w:bidi="ar-JO"/>
          <w14:ligatures w14:val="none"/>
        </w:rPr>
        <w:t>كان يتوجَّب</w:t>
      </w:r>
      <w:r w:rsidRPr="00BF07C2">
        <w:rPr>
          <w:rFonts w:eastAsia="Times New Roman" w:cs="DecoType Naskh"/>
          <w:color w:val="auto"/>
          <w:kern w:val="0"/>
          <w:szCs w:val="26"/>
          <w:rtl/>
          <w:lang w:bidi="ar-JO"/>
          <w14:ligatures w14:val="none"/>
        </w:rPr>
        <w:t xml:space="preserve"> على كل واحد من بني إسرائيل أن يتخلص من الخميرة الموجودة في بيته في هذه الفترة.  وترمز إزالة الخمير</w:t>
      </w:r>
      <w:r w:rsidRPr="00BF07C2">
        <w:rPr>
          <w:rFonts w:eastAsia="Times New Roman" w:cs="DecoType Naskh" w:hint="cs"/>
          <w:color w:val="auto"/>
          <w:kern w:val="0"/>
          <w:szCs w:val="26"/>
          <w:rtl/>
          <w:lang w:bidi="ar-JO"/>
          <w14:ligatures w14:val="none"/>
        </w:rPr>
        <w:t>ة</w:t>
      </w:r>
      <w:r w:rsidRPr="00BF07C2">
        <w:rPr>
          <w:rFonts w:eastAsia="Times New Roman" w:cs="DecoType Naskh"/>
          <w:color w:val="auto"/>
          <w:kern w:val="0"/>
          <w:szCs w:val="26"/>
          <w:rtl/>
          <w:lang w:bidi="ar-JO"/>
          <w14:ligatures w14:val="none"/>
        </w:rPr>
        <w:t xml:space="preserve"> إلى إزالة المكر والخبث والشر والإثم (1كورنثوس 5: 7).  بعد عيد الفصح مباشرة، </w:t>
      </w:r>
      <w:r w:rsidRPr="00BF07C2">
        <w:rPr>
          <w:rFonts w:eastAsia="Times New Roman" w:cs="DecoType Naskh" w:hint="cs"/>
          <w:color w:val="auto"/>
          <w:kern w:val="0"/>
          <w:szCs w:val="26"/>
          <w:rtl/>
          <w:lang w:bidi="ar-JO"/>
          <w14:ligatures w14:val="none"/>
        </w:rPr>
        <w:t>كانت الخميرة تُزال</w:t>
      </w:r>
      <w:r w:rsidRPr="00BF07C2">
        <w:rPr>
          <w:rFonts w:eastAsia="Times New Roman" w:cs="DecoType Naskh"/>
          <w:color w:val="auto"/>
          <w:kern w:val="0"/>
          <w:szCs w:val="26"/>
          <w:rtl/>
          <w:lang w:bidi="ar-JO"/>
          <w14:ligatures w14:val="none"/>
        </w:rPr>
        <w:t xml:space="preserve">.  وبنفس الطريقة </w:t>
      </w:r>
      <w:r w:rsidRPr="00BF07C2">
        <w:rPr>
          <w:rFonts w:eastAsia="Times New Roman" w:cs="DecoType Naskh" w:hint="cs"/>
          <w:color w:val="auto"/>
          <w:kern w:val="0"/>
          <w:szCs w:val="26"/>
          <w:rtl/>
          <w:lang w:bidi="ar-JO"/>
          <w14:ligatures w14:val="none"/>
        </w:rPr>
        <w:t>فأن</w:t>
      </w:r>
      <w:r w:rsidRPr="00BF07C2">
        <w:rPr>
          <w:rFonts w:eastAsia="Times New Roman" w:cs="DecoType Naskh"/>
          <w:color w:val="auto"/>
          <w:kern w:val="0"/>
          <w:szCs w:val="26"/>
          <w:rtl/>
          <w:lang w:bidi="ar-JO"/>
          <w14:ligatures w14:val="none"/>
        </w:rPr>
        <w:t xml:space="preserve"> على المؤمن بالمسيح أن يطهّر حياته من خميرة الخطية.  يجب أن ينفصل عن أسلوب حياته القديم.</w:t>
      </w:r>
    </w:p>
    <w:p w14:paraId="133231A7"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12"/>
          <w:szCs w:val="14"/>
          <w:rtl/>
          <w:lang w:bidi="ar-JO"/>
          <w14:ligatures w14:val="none"/>
        </w:rPr>
      </w:pPr>
    </w:p>
    <w:p w14:paraId="07A79A54" w14:textId="77777777" w:rsidR="00BF07C2" w:rsidRPr="00BF07C2" w:rsidRDefault="00BF07C2"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BF07C2">
        <w:rPr>
          <w:rFonts w:eastAsia="Times New Roman" w:cs="DecoType Naskh"/>
          <w:bCs/>
          <w:color w:val="auto"/>
          <w:kern w:val="0"/>
          <w:szCs w:val="26"/>
          <w:rtl/>
          <w14:ligatures w14:val="none"/>
        </w:rPr>
        <w:t>د.</w:t>
      </w:r>
      <w:r w:rsidRPr="00BF07C2">
        <w:rPr>
          <w:rFonts w:eastAsia="Times New Roman" w:cs="DecoType Naskh"/>
          <w:bCs/>
          <w:color w:val="auto"/>
          <w:kern w:val="0"/>
          <w:szCs w:val="26"/>
          <w:rtl/>
          <w14:ligatures w14:val="none"/>
        </w:rPr>
        <w:tab/>
      </w:r>
      <w:r w:rsidRPr="00BF07C2">
        <w:rPr>
          <w:rFonts w:eastAsia="Times New Roman" w:cs="DecoType Naskh" w:hint="cs"/>
          <w:bCs/>
          <w:color w:val="auto"/>
          <w:kern w:val="0"/>
          <w:szCs w:val="26"/>
          <w:rtl/>
          <w14:ligatures w14:val="none"/>
        </w:rPr>
        <w:t>عيد الباكورة</w:t>
      </w:r>
      <w:r w:rsidRPr="00BF07C2">
        <w:rPr>
          <w:rFonts w:eastAsia="Times New Roman" w:cs="DecoType Naskh"/>
          <w:bCs/>
          <w:color w:val="auto"/>
          <w:kern w:val="0"/>
          <w:szCs w:val="26"/>
          <w:rtl/>
          <w14:ligatures w14:val="none"/>
        </w:rPr>
        <w:t xml:space="preserve"> (لاويين 23: 9-14)</w:t>
      </w:r>
    </w:p>
    <w:p w14:paraId="43D84702"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 xml:space="preserve">كان يحتفل بعيد </w:t>
      </w:r>
      <w:r w:rsidRPr="00BF07C2">
        <w:rPr>
          <w:rFonts w:eastAsia="Times New Roman" w:cs="DecoType Naskh" w:hint="cs"/>
          <w:color w:val="auto"/>
          <w:kern w:val="0"/>
          <w:szCs w:val="26"/>
          <w:rtl/>
          <w:lang w:bidi="ar-JO"/>
          <w14:ligatures w14:val="none"/>
        </w:rPr>
        <w:t>الباكورة</w:t>
      </w:r>
      <w:r w:rsidRPr="00BF07C2">
        <w:rPr>
          <w:rFonts w:eastAsia="Times New Roman" w:cs="DecoType Naskh"/>
          <w:color w:val="auto"/>
          <w:kern w:val="0"/>
          <w:szCs w:val="26"/>
          <w:rtl/>
          <w:lang w:bidi="ar-JO"/>
          <w14:ligatures w14:val="none"/>
        </w:rPr>
        <w:t xml:space="preserve"> (باكورة الثمار) أثناء فترة الأيام السبعة من عيد الفطير بعد الفصح.  وبما أن هذا كان وقت حصاد الشعير، كانت تؤخذ حزمة من الشعير لتقدَّم للرب كأوّل ثمار الحصاد.  فكانت هذه تقدمة شكر للرب على الخيرات، وتوقعاً للبركات الآتية من خلال كل حصاد آخر (الحنطة في </w:t>
      </w:r>
      <w:r w:rsidRPr="00BF07C2">
        <w:rPr>
          <w:rFonts w:eastAsia="Times New Roman" w:cs="DecoType Naskh" w:hint="cs"/>
          <w:color w:val="auto"/>
          <w:kern w:val="0"/>
          <w:szCs w:val="26"/>
          <w:rtl/>
          <w:lang w:bidi="ar-JO"/>
          <w14:ligatures w14:val="none"/>
        </w:rPr>
        <w:t xml:space="preserve">عيد </w:t>
      </w:r>
      <w:r w:rsidRPr="00BF07C2">
        <w:rPr>
          <w:rFonts w:eastAsia="Times New Roman" w:cs="DecoType Naskh"/>
          <w:color w:val="auto"/>
          <w:kern w:val="0"/>
          <w:szCs w:val="26"/>
          <w:rtl/>
          <w:lang w:bidi="ar-JO"/>
          <w14:ligatures w14:val="none"/>
        </w:rPr>
        <w:t>الخمسين والثمار/الزيتون في الخريف عند عيد الجمع، أي المظال).</w:t>
      </w:r>
    </w:p>
    <w:p w14:paraId="5B28DDEF"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 xml:space="preserve">نجد تطبيق هذا </w:t>
      </w:r>
      <w:r w:rsidRPr="00BF07C2">
        <w:rPr>
          <w:rFonts w:eastAsia="Times New Roman" w:cs="DecoType Naskh" w:hint="cs"/>
          <w:color w:val="auto"/>
          <w:kern w:val="0"/>
          <w:szCs w:val="26"/>
          <w:rtl/>
          <w:lang w:bidi="ar-JO"/>
          <w14:ligatures w14:val="none"/>
        </w:rPr>
        <w:t>العيد</w:t>
      </w:r>
      <w:r w:rsidRPr="00BF07C2">
        <w:rPr>
          <w:rFonts w:eastAsia="Times New Roman" w:cs="DecoType Naskh"/>
          <w:color w:val="auto"/>
          <w:kern w:val="0"/>
          <w:szCs w:val="26"/>
          <w:rtl/>
          <w:lang w:bidi="ar-JO"/>
          <w14:ligatures w14:val="none"/>
        </w:rPr>
        <w:t xml:space="preserve"> في 1 كورنثوس 15: 20 حيث يقول بولس إن المسيح هو الباكورة من الأموات.  ومن الواضح أن هذا العيد يجد معناه الأسمى في قيامة المسيح، الذي قام في اليوم التالي للسبت بعد الفصح، أي اليوم </w:t>
      </w:r>
      <w:r w:rsidRPr="00BF07C2">
        <w:rPr>
          <w:rFonts w:eastAsia="Times New Roman" w:cs="DecoType Naskh"/>
          <w:color w:val="auto"/>
          <w:kern w:val="0"/>
          <w:szCs w:val="26"/>
          <w:rtl/>
          <w:lang w:bidi="ar-JO"/>
          <w14:ligatures w14:val="none"/>
        </w:rPr>
        <w:lastRenderedPageBreak/>
        <w:t xml:space="preserve">الأول من الأسبوع.  وكانت النسوة اللواتي ركضن إلى القبر في اليوم الأول الذي يحتفل فيه اليهود بالبواكير.  ولقد قام المسيح كنوع من </w:t>
      </w:r>
      <w:r w:rsidRPr="00BF07C2">
        <w:rPr>
          <w:rFonts w:eastAsia="Times New Roman" w:cs="DecoType Naskh" w:hint="cs"/>
          <w:color w:val="auto"/>
          <w:kern w:val="0"/>
          <w:szCs w:val="26"/>
          <w:rtl/>
          <w:lang w:bidi="ar-JO"/>
          <w14:ligatures w14:val="none"/>
        </w:rPr>
        <w:t>باكورة الثمار</w:t>
      </w:r>
      <w:r w:rsidRPr="00BF07C2">
        <w:rPr>
          <w:rFonts w:eastAsia="Times New Roman" w:cs="DecoType Naskh"/>
          <w:color w:val="auto"/>
          <w:kern w:val="0"/>
          <w:szCs w:val="26"/>
          <w:rtl/>
          <w:lang w:bidi="ar-JO"/>
          <w14:ligatures w14:val="none"/>
        </w:rPr>
        <w:t xml:space="preserve"> لله، كضمان</w:t>
      </w:r>
      <w:r w:rsidRPr="00BF07C2">
        <w:rPr>
          <w:rFonts w:eastAsia="Times New Roman" w:cs="DecoType Naskh" w:hint="cs"/>
          <w:color w:val="auto"/>
          <w:kern w:val="0"/>
          <w:szCs w:val="26"/>
          <w:rtl/>
          <w:lang w:bidi="ar-JO"/>
          <w14:ligatures w14:val="none"/>
        </w:rPr>
        <w:t>ٍ</w:t>
      </w:r>
      <w:r w:rsidRPr="00BF07C2">
        <w:rPr>
          <w:rFonts w:eastAsia="Times New Roman" w:cs="DecoType Naskh"/>
          <w:color w:val="auto"/>
          <w:kern w:val="0"/>
          <w:szCs w:val="26"/>
          <w:rtl/>
          <w:lang w:bidi="ar-JO"/>
          <w14:ligatures w14:val="none"/>
        </w:rPr>
        <w:t xml:space="preserve"> </w:t>
      </w:r>
      <w:r w:rsidRPr="00BF07C2">
        <w:rPr>
          <w:rFonts w:eastAsia="Times New Roman" w:cs="DecoType Naskh" w:hint="cs"/>
          <w:color w:val="auto"/>
          <w:kern w:val="0"/>
          <w:szCs w:val="26"/>
          <w:rtl/>
          <w:lang w:bidi="ar-JO"/>
          <w14:ligatures w14:val="none"/>
        </w:rPr>
        <w:t>وإنباءٍ</w:t>
      </w:r>
      <w:r w:rsidRPr="00BF07C2">
        <w:rPr>
          <w:rFonts w:eastAsia="Times New Roman" w:cs="DecoType Naskh"/>
          <w:color w:val="auto"/>
          <w:kern w:val="0"/>
          <w:szCs w:val="26"/>
          <w:rtl/>
          <w:lang w:bidi="ar-JO"/>
          <w14:ligatures w14:val="none"/>
        </w:rPr>
        <w:t xml:space="preserve"> للحصاد الأعظم الآتي (لأننا سنقام نحن أيضاً).</w:t>
      </w:r>
    </w:p>
    <w:p w14:paraId="49D6FB3B"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770E55E" w14:textId="77777777" w:rsidR="00BF07C2" w:rsidRPr="00BF07C2" w:rsidRDefault="00BF07C2"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BF07C2">
        <w:rPr>
          <w:rFonts w:eastAsia="Times New Roman" w:cs="DecoType Naskh"/>
          <w:bCs/>
          <w:color w:val="auto"/>
          <w:kern w:val="0"/>
          <w:szCs w:val="26"/>
          <w:rtl/>
          <w14:ligatures w14:val="none"/>
        </w:rPr>
        <w:t>هـ.</w:t>
      </w:r>
      <w:r w:rsidRPr="00BF07C2">
        <w:rPr>
          <w:rFonts w:eastAsia="Times New Roman" w:cs="DecoType Naskh"/>
          <w:bCs/>
          <w:color w:val="auto"/>
          <w:kern w:val="0"/>
          <w:szCs w:val="26"/>
          <w:rtl/>
          <w14:ligatures w14:val="none"/>
        </w:rPr>
        <w:tab/>
      </w:r>
      <w:r w:rsidRPr="00BF07C2">
        <w:rPr>
          <w:rFonts w:eastAsia="Times New Roman" w:cs="DecoType Naskh" w:hint="cs"/>
          <w:bCs/>
          <w:color w:val="auto"/>
          <w:kern w:val="0"/>
          <w:szCs w:val="26"/>
          <w:rtl/>
          <w14:ligatures w14:val="none"/>
        </w:rPr>
        <w:t>عيد</w:t>
      </w:r>
      <w:r w:rsidRPr="00BF07C2">
        <w:rPr>
          <w:rFonts w:eastAsia="Times New Roman" w:cs="DecoType Naskh"/>
          <w:bCs/>
          <w:color w:val="auto"/>
          <w:kern w:val="0"/>
          <w:szCs w:val="26"/>
          <w:rtl/>
          <w14:ligatures w14:val="none"/>
        </w:rPr>
        <w:t xml:space="preserve"> الأسابيع (لاويين 23: </w:t>
      </w:r>
      <w:r w:rsidRPr="00BF07C2">
        <w:rPr>
          <w:rFonts w:eastAsia="Times New Roman" w:cs="DecoType Naskh" w:hint="cs"/>
          <w:bCs/>
          <w:color w:val="auto"/>
          <w:kern w:val="0"/>
          <w:szCs w:val="26"/>
          <w:rtl/>
          <w14:ligatures w14:val="none"/>
        </w:rPr>
        <w:t>1</w:t>
      </w:r>
      <w:r w:rsidRPr="00BF07C2">
        <w:rPr>
          <w:rFonts w:eastAsia="Times New Roman" w:cs="DecoType Naskh"/>
          <w:bCs/>
          <w:color w:val="auto"/>
          <w:kern w:val="0"/>
          <w:szCs w:val="26"/>
          <w:rtl/>
          <w14:ligatures w14:val="none"/>
        </w:rPr>
        <w:t>5-22)</w:t>
      </w:r>
    </w:p>
    <w:p w14:paraId="211C264F"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يُعرف هذا العيد باسم "</w:t>
      </w:r>
      <w:r w:rsidRPr="00BF07C2">
        <w:rPr>
          <w:rFonts w:eastAsia="Times New Roman" w:cs="DecoType Naskh" w:hint="cs"/>
          <w:color w:val="auto"/>
          <w:kern w:val="0"/>
          <w:szCs w:val="26"/>
          <w:rtl/>
          <w:lang w:bidi="ar-JO"/>
          <w14:ligatures w14:val="none"/>
        </w:rPr>
        <w:t>شافعوت</w:t>
      </w:r>
      <w:r w:rsidRPr="00BF07C2">
        <w:rPr>
          <w:rFonts w:eastAsia="Times New Roman" w:cs="DecoType Naskh"/>
          <w:color w:val="auto"/>
          <w:kern w:val="0"/>
          <w:szCs w:val="26"/>
          <w:rtl/>
          <w:lang w:bidi="ar-JO"/>
          <w14:ligatures w14:val="none"/>
        </w:rPr>
        <w:t xml:space="preserve">" عند اليهود، ويحتفل يه بعد خمسين يوماً من عيد </w:t>
      </w:r>
      <w:r w:rsidRPr="00BF07C2">
        <w:rPr>
          <w:rFonts w:eastAsia="Times New Roman" w:cs="DecoType Naskh" w:hint="cs"/>
          <w:color w:val="auto"/>
          <w:kern w:val="0"/>
          <w:szCs w:val="26"/>
          <w:rtl/>
          <w:lang w:bidi="ar-JO"/>
          <w14:ligatures w14:val="none"/>
        </w:rPr>
        <w:t>الباكورة</w:t>
      </w:r>
      <w:r w:rsidRPr="00BF07C2">
        <w:rPr>
          <w:rFonts w:eastAsia="Times New Roman" w:cs="DecoType Naskh"/>
          <w:color w:val="auto"/>
          <w:kern w:val="0"/>
          <w:szCs w:val="26"/>
          <w:rtl/>
          <w:lang w:bidi="ar-JO"/>
          <w14:ligatures w14:val="none"/>
        </w:rPr>
        <w:t xml:space="preserve"> (ومن هنا جاءت تسمية الخمسين).  يجب أن يُنظر إلى عيد الأسابيع أو الخمسين كجزء من وحدة واحدة مع الأعياد الثلاثة المذكورة سابقاً؛ و</w:t>
      </w:r>
      <w:r w:rsidRPr="00BF07C2">
        <w:rPr>
          <w:rFonts w:eastAsia="Times New Roman" w:cs="DecoType Naskh" w:hint="cs"/>
          <w:color w:val="auto"/>
          <w:kern w:val="0"/>
          <w:szCs w:val="26"/>
          <w:rtl/>
          <w14:ligatures w14:val="none"/>
        </w:rPr>
        <w:t xml:space="preserve">حتى أدب معلمي اليهود (الراباي) اعتبر </w:t>
      </w:r>
      <w:r w:rsidRPr="00BF07C2">
        <w:rPr>
          <w:rFonts w:eastAsia="Times New Roman" w:cs="DecoType Naskh"/>
          <w:color w:val="auto"/>
          <w:kern w:val="0"/>
          <w:szCs w:val="26"/>
          <w:rtl/>
          <w:lang w:bidi="ar-JO"/>
          <w14:ligatures w14:val="none"/>
        </w:rPr>
        <w:t>عيد الأسابيع كمرحلة خاتمة للفصح (</w:t>
      </w:r>
      <w:proofErr w:type="spellStart"/>
      <w:r w:rsidRPr="00BF07C2">
        <w:rPr>
          <w:rFonts w:eastAsia="Times New Roman" w:cs="DecoType Naskh"/>
          <w:i/>
          <w:iCs/>
          <w:color w:val="auto"/>
          <w:kern w:val="0"/>
          <w:sz w:val="22"/>
          <w:szCs w:val="24"/>
          <w14:ligatures w14:val="none"/>
        </w:rPr>
        <w:t>Pesikta</w:t>
      </w:r>
      <w:proofErr w:type="spellEnd"/>
      <w:r w:rsidRPr="00BF07C2">
        <w:rPr>
          <w:rFonts w:eastAsia="Times New Roman" w:cs="DecoType Naskh"/>
          <w:color w:val="auto"/>
          <w:kern w:val="0"/>
          <w:szCs w:val="26"/>
          <w14:ligatures w14:val="none"/>
        </w:rPr>
        <w:t xml:space="preserve"> </w:t>
      </w:r>
      <w:r w:rsidRPr="00BF07C2">
        <w:rPr>
          <w:rFonts w:eastAsia="Times New Roman" w:cs="DecoType Naskh"/>
          <w:color w:val="auto"/>
          <w:kern w:val="0"/>
          <w:sz w:val="22"/>
          <w:szCs w:val="24"/>
          <w14:ligatures w14:val="none"/>
        </w:rPr>
        <w:t>30</w:t>
      </w:r>
      <w:r w:rsidRPr="00BF07C2">
        <w:rPr>
          <w:rFonts w:eastAsia="Times New Roman" w:cs="DecoType Naskh"/>
          <w:color w:val="auto"/>
          <w:kern w:val="0"/>
          <w:szCs w:val="26"/>
          <w14:ligatures w14:val="none"/>
        </w:rPr>
        <w:t xml:space="preserve">: </w:t>
      </w:r>
      <w:r w:rsidRPr="00BF07C2">
        <w:rPr>
          <w:rFonts w:eastAsia="Times New Roman" w:cs="DecoType Naskh"/>
          <w:color w:val="auto"/>
          <w:kern w:val="0"/>
          <w:sz w:val="22"/>
          <w:szCs w:val="24"/>
          <w14:ligatures w14:val="none"/>
        </w:rPr>
        <w:t>163</w:t>
      </w:r>
      <w:r w:rsidRPr="00BF07C2">
        <w:rPr>
          <w:rFonts w:eastAsia="Times New Roman" w:cs="DecoType Naskh"/>
          <w:color w:val="auto"/>
          <w:kern w:val="0"/>
          <w:szCs w:val="26"/>
          <w:rtl/>
          <w:lang w:bidi="ar-JO"/>
          <w14:ligatures w14:val="none"/>
        </w:rPr>
        <w:t xml:space="preserve">).  وتؤيد ذلك حقيقة أنه لم يكن </w:t>
      </w:r>
      <w:r w:rsidRPr="00BF07C2">
        <w:rPr>
          <w:rFonts w:eastAsia="Times New Roman" w:cs="DecoType Naskh" w:hint="cs"/>
          <w:color w:val="auto"/>
          <w:kern w:val="0"/>
          <w:szCs w:val="26"/>
          <w:rtl/>
          <w:lang w:bidi="ar-JO"/>
          <w14:ligatures w14:val="none"/>
        </w:rPr>
        <w:t>لعيد الأسابيع</w:t>
      </w:r>
      <w:r w:rsidRPr="00BF07C2">
        <w:rPr>
          <w:rFonts w:eastAsia="Times New Roman" w:cs="DecoType Naskh"/>
          <w:color w:val="auto"/>
          <w:kern w:val="0"/>
          <w:szCs w:val="26"/>
          <w:rtl/>
          <w:lang w:bidi="ar-JO"/>
          <w14:ligatures w14:val="none"/>
        </w:rPr>
        <w:t xml:space="preserve"> تاريخ محدد في حد ذاته (</w:t>
      </w:r>
      <w:r w:rsidRPr="00BF07C2">
        <w:rPr>
          <w:rFonts w:eastAsia="Times New Roman" w:cs="DecoType Naskh" w:hint="cs"/>
          <w:color w:val="auto"/>
          <w:kern w:val="0"/>
          <w:szCs w:val="26"/>
          <w:rtl/>
          <w:lang w:bidi="ar-JO"/>
          <w14:ligatures w14:val="none"/>
        </w:rPr>
        <w:t>ك</w:t>
      </w:r>
      <w:r w:rsidRPr="00BF07C2">
        <w:rPr>
          <w:rFonts w:eastAsia="Times New Roman" w:cs="DecoType Naskh"/>
          <w:color w:val="auto"/>
          <w:kern w:val="0"/>
          <w:szCs w:val="26"/>
          <w:rtl/>
          <w:lang w:bidi="ar-JO"/>
          <w14:ligatures w14:val="none"/>
        </w:rPr>
        <w:t>ما هو الحال بالنسبة لأي عيد مستقل)، لكنه كان مرتبط</w:t>
      </w:r>
      <w:r w:rsidRPr="00BF07C2">
        <w:rPr>
          <w:rFonts w:eastAsia="Times New Roman" w:cs="DecoType Naskh" w:hint="cs"/>
          <w:color w:val="auto"/>
          <w:kern w:val="0"/>
          <w:szCs w:val="26"/>
          <w:rtl/>
          <w14:ligatures w14:val="none"/>
        </w:rPr>
        <w:t>اً</w:t>
      </w:r>
      <w:r w:rsidRPr="00BF07C2">
        <w:rPr>
          <w:rFonts w:eastAsia="Times New Roman" w:cs="DecoType Naskh"/>
          <w:color w:val="auto"/>
          <w:kern w:val="0"/>
          <w:szCs w:val="26"/>
          <w:rtl/>
          <w:lang w:bidi="ar-JO"/>
          <w14:ligatures w14:val="none"/>
        </w:rPr>
        <w:t xml:space="preserve"> زمنياً بالأعياد السابقة.  يرتبط عيد الأسابيع ارتباطاً وثيقاً بالجانب الزراعي للأرض.  في عيد </w:t>
      </w:r>
      <w:r w:rsidRPr="00BF07C2">
        <w:rPr>
          <w:rFonts w:eastAsia="Times New Roman" w:cs="DecoType Naskh" w:hint="cs"/>
          <w:color w:val="auto"/>
          <w:kern w:val="0"/>
          <w:szCs w:val="26"/>
          <w:rtl/>
          <w:lang w:bidi="ar-JO"/>
          <w14:ligatures w14:val="none"/>
        </w:rPr>
        <w:t>الباكورة</w:t>
      </w:r>
      <w:r w:rsidRPr="00BF07C2">
        <w:rPr>
          <w:rFonts w:eastAsia="Times New Roman" w:cs="DecoType Naskh"/>
          <w:color w:val="auto"/>
          <w:kern w:val="0"/>
          <w:szCs w:val="26"/>
          <w:rtl/>
          <w:lang w:bidi="ar-JO"/>
          <w14:ligatures w14:val="none"/>
        </w:rPr>
        <w:t xml:space="preserve"> كان حصاد الشعير جاهزاً، وقبل عيد الأسابيع، أي الخمسين، كان آخر حصاد الحبوب جاهزاً، أي حصاد الحنطة.  وهكذا </w:t>
      </w:r>
      <w:r w:rsidRPr="00BF07C2">
        <w:rPr>
          <w:rFonts w:eastAsia="Times New Roman" w:cs="DecoType Naskh" w:hint="cs"/>
          <w:color w:val="auto"/>
          <w:kern w:val="0"/>
          <w:szCs w:val="26"/>
          <w:rtl/>
          <w:lang w:bidi="ar-JO"/>
          <w14:ligatures w14:val="none"/>
        </w:rPr>
        <w:t>كان عيد</w:t>
      </w:r>
      <w:r w:rsidRPr="00BF07C2">
        <w:rPr>
          <w:rFonts w:eastAsia="Times New Roman" w:cs="DecoType Naskh"/>
          <w:color w:val="auto"/>
          <w:kern w:val="0"/>
          <w:szCs w:val="26"/>
          <w:rtl/>
          <w:lang w:bidi="ar-JO"/>
          <w14:ligatures w14:val="none"/>
        </w:rPr>
        <w:t xml:space="preserve"> الأسابيع </w:t>
      </w:r>
      <w:r w:rsidRPr="00BF07C2">
        <w:rPr>
          <w:rFonts w:eastAsia="Times New Roman" w:cs="DecoType Naskh" w:hint="cs"/>
          <w:color w:val="auto"/>
          <w:kern w:val="0"/>
          <w:szCs w:val="26"/>
          <w:rtl/>
          <w:lang w:bidi="ar-JO"/>
          <w14:ligatures w14:val="none"/>
        </w:rPr>
        <w:t xml:space="preserve">يركِّز </w:t>
      </w:r>
      <w:r w:rsidRPr="00BF07C2">
        <w:rPr>
          <w:rFonts w:eastAsia="Times New Roman" w:cs="DecoType Naskh"/>
          <w:color w:val="auto"/>
          <w:kern w:val="0"/>
          <w:szCs w:val="26"/>
          <w:rtl/>
          <w:lang w:bidi="ar-JO"/>
          <w14:ligatures w14:val="none"/>
        </w:rPr>
        <w:t xml:space="preserve">على ذروة حصاد الحبوب.  وهذا كلّه مرتبط ببركة عهد الله الذي يعد بحصاد وفير.  وهكذا فإن الشعب يبتهج ويشكر الله على أن البركة التي بدأت في </w:t>
      </w:r>
      <w:r w:rsidRPr="00BF07C2">
        <w:rPr>
          <w:rFonts w:eastAsia="Times New Roman" w:cs="DecoType Naskh" w:hint="cs"/>
          <w:color w:val="auto"/>
          <w:kern w:val="0"/>
          <w:szCs w:val="26"/>
          <w:rtl/>
          <w:lang w:bidi="ar-JO"/>
          <w14:ligatures w14:val="none"/>
        </w:rPr>
        <w:t>الباكورة</w:t>
      </w:r>
      <w:r w:rsidRPr="00BF07C2">
        <w:rPr>
          <w:rFonts w:eastAsia="Times New Roman" w:cs="DecoType Naskh"/>
          <w:color w:val="auto"/>
          <w:kern w:val="0"/>
          <w:szCs w:val="26"/>
          <w:rtl/>
          <w:lang w:bidi="ar-JO"/>
          <w14:ligatures w14:val="none"/>
        </w:rPr>
        <w:t xml:space="preserve"> تُختتم في عيد الأسابيع.  ولقد كان هذا بالفعل وقت ابتهاج بهذه البركة (انظر تثنية 16: 9-12).  كان حصاد الشعير (في </w:t>
      </w:r>
      <w:r w:rsidRPr="00BF07C2">
        <w:rPr>
          <w:rFonts w:eastAsia="Times New Roman" w:cs="DecoType Naskh" w:hint="cs"/>
          <w:color w:val="auto"/>
          <w:kern w:val="0"/>
          <w:szCs w:val="26"/>
          <w:rtl/>
          <w:lang w:bidi="ar-JO"/>
          <w14:ligatures w14:val="none"/>
        </w:rPr>
        <w:t>الباكورة</w:t>
      </w:r>
      <w:r w:rsidRPr="00BF07C2">
        <w:rPr>
          <w:rFonts w:eastAsia="Times New Roman" w:cs="DecoType Naskh"/>
          <w:color w:val="auto"/>
          <w:kern w:val="0"/>
          <w:szCs w:val="26"/>
          <w:rtl/>
          <w:lang w:bidi="ar-JO"/>
          <w14:ligatures w14:val="none"/>
        </w:rPr>
        <w:t xml:space="preserve">) توقّعاً للبركة الأكمل لحصاد الحبوب الذي سيُجمع في عيد الأسابيع.  ولم يكن من قبيل المصادفة أن يختار الله هذه المناسبة </w:t>
      </w:r>
      <w:r w:rsidRPr="00BF07C2">
        <w:rPr>
          <w:rFonts w:eastAsia="Times New Roman" w:cs="DecoType Naskh" w:hint="cs"/>
          <w:color w:val="auto"/>
          <w:kern w:val="0"/>
          <w:szCs w:val="26"/>
          <w:rtl/>
          <w:lang w:bidi="ar-JO"/>
          <w14:ligatures w14:val="none"/>
        </w:rPr>
        <w:t>لإرسال</w:t>
      </w:r>
      <w:r w:rsidRPr="00BF07C2">
        <w:rPr>
          <w:rFonts w:eastAsia="Times New Roman" w:cs="DecoType Naskh"/>
          <w:color w:val="auto"/>
          <w:kern w:val="0"/>
          <w:szCs w:val="26"/>
          <w:rtl/>
          <w:lang w:bidi="ar-JO"/>
          <w14:ligatures w14:val="none"/>
        </w:rPr>
        <w:t xml:space="preserve"> الروح القدس (انظر أعمال 2)، لأن إعطاء الروح كان البركة الأكمل النابعة من قيامة المسيح (المرموز لها </w:t>
      </w:r>
      <w:r w:rsidRPr="00BF07C2">
        <w:rPr>
          <w:rFonts w:eastAsia="Times New Roman" w:cs="DecoType Naskh" w:hint="cs"/>
          <w:color w:val="auto"/>
          <w:kern w:val="0"/>
          <w:szCs w:val="26"/>
          <w:rtl/>
          <w:lang w:bidi="ar-JO"/>
          <w14:ligatures w14:val="none"/>
        </w:rPr>
        <w:t>بالباكورة</w:t>
      </w:r>
      <w:r w:rsidRPr="00BF07C2">
        <w:rPr>
          <w:rFonts w:eastAsia="Times New Roman" w:cs="DecoType Naskh"/>
          <w:color w:val="auto"/>
          <w:kern w:val="0"/>
          <w:szCs w:val="26"/>
          <w:rtl/>
          <w:lang w:bidi="ar-JO"/>
          <w14:ligatures w14:val="none"/>
        </w:rPr>
        <w:t>).</w:t>
      </w:r>
    </w:p>
    <w:p w14:paraId="4FF67266"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 xml:space="preserve">كان على بني إسرائيل أن يحضروا في هذه المناسبة رغيفي العُشرين اللذين </w:t>
      </w:r>
      <w:r w:rsidRPr="00BF07C2">
        <w:rPr>
          <w:rFonts w:eastAsia="Times New Roman" w:cs="DecoType Naskh" w:hint="cs"/>
          <w:color w:val="auto"/>
          <w:kern w:val="0"/>
          <w:szCs w:val="26"/>
          <w:rtl/>
          <w:lang w:bidi="ar-JO"/>
          <w14:ligatures w14:val="none"/>
        </w:rPr>
        <w:t>كانا يُخبزان</w:t>
      </w:r>
      <w:r w:rsidRPr="00BF07C2">
        <w:rPr>
          <w:rFonts w:eastAsia="Times New Roman" w:cs="DecoType Naskh"/>
          <w:color w:val="auto"/>
          <w:kern w:val="0"/>
          <w:szCs w:val="26"/>
          <w:rtl/>
          <w:lang w:bidi="ar-JO"/>
          <w14:ligatures w14:val="none"/>
        </w:rPr>
        <w:t xml:space="preserve"> من محصول الحنطة الجديد.  ويقول أنجر إن هذا كان </w:t>
      </w:r>
      <w:r w:rsidRPr="00BF07C2">
        <w:rPr>
          <w:rFonts w:eastAsia="Times New Roman" w:cs="DecoType Naskh" w:hint="cs"/>
          <w:color w:val="auto"/>
          <w:kern w:val="0"/>
          <w:szCs w:val="26"/>
          <w:rtl/>
          <w:lang w:bidi="ar-JO"/>
          <w14:ligatures w14:val="none"/>
        </w:rPr>
        <w:t>إنباءً</w:t>
      </w:r>
      <w:r w:rsidRPr="00BF07C2">
        <w:rPr>
          <w:rFonts w:eastAsia="Times New Roman" w:cs="DecoType Naskh"/>
          <w:color w:val="auto"/>
          <w:kern w:val="0"/>
          <w:szCs w:val="26"/>
          <w:rtl/>
          <w:lang w:bidi="ar-JO"/>
          <w14:ligatures w14:val="none"/>
        </w:rPr>
        <w:t xml:space="preserve"> في ذهن الله بأن اليهود والأمميين سيؤتى بهم معاً لكي يتمتعوا بخدمة الروح القدس: </w:t>
      </w:r>
    </w:p>
    <w:p w14:paraId="3C8F9AC2"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 xml:space="preserve">رغيفا العُشرين (رغيف، وليس حزمة من حبوب منفصلة) المخبوزان بخميرة </w:t>
      </w:r>
      <w:r w:rsidRPr="00BF07C2">
        <w:rPr>
          <w:rFonts w:eastAsia="Times New Roman" w:cs="DecoType Naskh" w:hint="cs"/>
          <w:color w:val="auto"/>
          <w:kern w:val="0"/>
          <w:szCs w:val="26"/>
          <w:rtl/>
          <w:lang w:bidi="ar-JO"/>
          <w14:ligatures w14:val="none"/>
        </w:rPr>
        <w:t>يُنبئان بخدمةِ</w:t>
      </w:r>
      <w:r w:rsidRPr="00BF07C2">
        <w:rPr>
          <w:rFonts w:eastAsia="Times New Roman" w:cs="DecoType Naskh"/>
          <w:color w:val="auto"/>
          <w:kern w:val="0"/>
          <w:szCs w:val="26"/>
          <w:rtl/>
          <w:lang w:bidi="ar-JO"/>
          <w14:ligatures w14:val="none"/>
        </w:rPr>
        <w:t xml:space="preserve"> الروح القدس في تعميده لليهود (أعمال 2) والأمم (أعمال 10) في وحدة واحدة أحدهما مع الآخر في الرب المقام (1كورنثوس 12: 12-13).  وقد صار هذا ممكناً بمجيء الروح القدس في يوم الخمسين (أعمال 2: 1-4؛ يوحنا 14: 20؛ 16: 12-13).  وقد خُبز الرغيف بخميرة لأن الشر يبرز على نحو غير </w:t>
      </w:r>
      <w:r w:rsidRPr="00BF07C2">
        <w:rPr>
          <w:rFonts w:eastAsia="Times New Roman" w:cs="DecoType Naskh" w:hint="cs"/>
          <w:color w:val="auto"/>
          <w:kern w:val="0"/>
          <w:szCs w:val="26"/>
          <w:rtl/>
          <w:lang w:bidi="ar-JO"/>
          <w14:ligatures w14:val="none"/>
        </w:rPr>
        <w:t>متوقَّع</w:t>
      </w:r>
      <w:r w:rsidRPr="00BF07C2">
        <w:rPr>
          <w:rFonts w:eastAsia="Times New Roman" w:cs="DecoType Naskh"/>
          <w:color w:val="auto"/>
          <w:kern w:val="0"/>
          <w:szCs w:val="26"/>
          <w:rtl/>
          <w:lang w:bidi="ar-JO"/>
          <w14:ligatures w14:val="none"/>
        </w:rPr>
        <w:t xml:space="preserve"> في الكنيسة، لأنها لم تمجَّد بعد."</w:t>
      </w:r>
      <w:r w:rsidRPr="00BF07C2">
        <w:rPr>
          <w:rFonts w:eastAsia="Times New Roman" w:cs="DecoType Naskh"/>
          <w:color w:val="auto"/>
          <w:kern w:val="0"/>
          <w:sz w:val="30"/>
          <w:szCs w:val="28"/>
          <w:vertAlign w:val="superscript"/>
          <w:rtl/>
          <w:lang w:bidi="ar-JO"/>
          <w14:ligatures w14:val="none"/>
        </w:rPr>
        <w:footnoteReference w:id="98"/>
      </w:r>
    </w:p>
    <w:p w14:paraId="6C30C6F0"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264CC373" w14:textId="77777777" w:rsidR="00BF07C2" w:rsidRPr="00BF07C2" w:rsidRDefault="00BF07C2"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BF07C2">
        <w:rPr>
          <w:rFonts w:eastAsia="Times New Roman" w:cs="DecoType Naskh"/>
          <w:bCs/>
          <w:color w:val="auto"/>
          <w:kern w:val="0"/>
          <w:szCs w:val="26"/>
          <w:rtl/>
          <w14:ligatures w14:val="none"/>
        </w:rPr>
        <w:t>و.</w:t>
      </w:r>
      <w:r w:rsidRPr="00BF07C2">
        <w:rPr>
          <w:rFonts w:eastAsia="Times New Roman" w:cs="DecoType Naskh"/>
          <w:bCs/>
          <w:color w:val="auto"/>
          <w:kern w:val="0"/>
          <w:szCs w:val="26"/>
          <w:rtl/>
          <w14:ligatures w14:val="none"/>
        </w:rPr>
        <w:tab/>
      </w:r>
      <w:r w:rsidRPr="00BF07C2">
        <w:rPr>
          <w:rFonts w:eastAsia="Times New Roman" w:cs="DecoType Naskh" w:hint="cs"/>
          <w:bCs/>
          <w:color w:val="auto"/>
          <w:kern w:val="0"/>
          <w:szCs w:val="26"/>
          <w:rtl/>
          <w14:ligatures w14:val="none"/>
        </w:rPr>
        <w:t>الأبواق (لاويين 23: 23-25؛ عدد21: 1-16)</w:t>
      </w:r>
    </w:p>
    <w:p w14:paraId="69F2D9BB"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بعد الأعياد الأربعة في الربيع، كانت هنالك فترة طويلة من الصمت قبل حلول الأعياد الأخيرة الثلاثة</w:t>
      </w:r>
      <w:r w:rsidRPr="00BF07C2">
        <w:rPr>
          <w:rFonts w:eastAsia="Times New Roman" w:cs="DecoType Naskh" w:hint="cs"/>
          <w:color w:val="auto"/>
          <w:kern w:val="0"/>
          <w:szCs w:val="26"/>
          <w:rtl/>
          <w:lang w:bidi="ar-JO"/>
          <w14:ligatures w14:val="none"/>
        </w:rPr>
        <w:t>.</w:t>
      </w:r>
      <w:r w:rsidRPr="00BF07C2">
        <w:rPr>
          <w:rFonts w:eastAsia="Times New Roman" w:cs="DecoType Naskh"/>
          <w:color w:val="auto"/>
          <w:kern w:val="0"/>
          <w:szCs w:val="26"/>
          <w:rtl/>
          <w:lang w:bidi="ar-JO"/>
          <w14:ligatures w14:val="none"/>
        </w:rPr>
        <w:t xml:space="preserve"> ففي حين تجد المجموعة الأولى من الأعياد في الربيع دلالتها الأسمى في ما يتعلق بالمجيء الأول للمسيح، فإن المجموعة التالية من الأعياد مرتبطة بالمجيء الثاني للمسيح.  </w:t>
      </w:r>
      <w:r w:rsidRPr="00BF07C2">
        <w:rPr>
          <w:rFonts w:eastAsia="Times New Roman" w:cs="DecoType Naskh" w:hint="cs"/>
          <w:color w:val="auto"/>
          <w:kern w:val="0"/>
          <w:szCs w:val="26"/>
          <w:rtl/>
          <w:lang w:bidi="ar-JO"/>
          <w14:ligatures w14:val="none"/>
        </w:rPr>
        <w:t>وطبعاً</w:t>
      </w:r>
      <w:r w:rsidRPr="00BF07C2">
        <w:rPr>
          <w:rFonts w:eastAsia="Times New Roman" w:cs="DecoType Naskh"/>
          <w:color w:val="auto"/>
          <w:kern w:val="0"/>
          <w:szCs w:val="26"/>
          <w:rtl/>
          <w:lang w:bidi="ar-JO"/>
          <w14:ligatures w14:val="none"/>
        </w:rPr>
        <w:t xml:space="preserve"> كانت لكل هذه الأعياد دلالة لل</w:t>
      </w:r>
      <w:r w:rsidRPr="00BF07C2">
        <w:rPr>
          <w:rFonts w:eastAsia="Times New Roman" w:cs="DecoType Naskh" w:hint="cs"/>
          <w:color w:val="auto"/>
          <w:kern w:val="0"/>
          <w:szCs w:val="26"/>
          <w:rtl/>
          <w:lang w:bidi="ar-JO"/>
          <w14:ligatures w14:val="none"/>
        </w:rPr>
        <w:t>عبراني</w:t>
      </w:r>
      <w:r w:rsidRPr="00BF07C2">
        <w:rPr>
          <w:rFonts w:eastAsia="Times New Roman" w:cs="DecoType Naskh"/>
          <w:color w:val="auto"/>
          <w:kern w:val="0"/>
          <w:szCs w:val="26"/>
          <w:rtl/>
          <w:lang w:bidi="ar-JO"/>
          <w14:ligatures w14:val="none"/>
        </w:rPr>
        <w:t xml:space="preserve"> العادي دون ارتباطها بهذا البعد.  وتوازي فترة الصمت بين مجموعتي الأعياد بطريقة ما عصر الكنيسة الحالي، الذي كان لولا هذا التوازي، سرّاً لم يتم التنبؤ به في العهد القديم.  وإن وقوع الأعياد الثلاثة الأخيرة كلّها في الشهر السابع ليس أمراً </w:t>
      </w:r>
      <w:r w:rsidRPr="00BF07C2">
        <w:rPr>
          <w:rFonts w:eastAsia="Times New Roman" w:cs="DecoType Naskh" w:hint="cs"/>
          <w:color w:val="auto"/>
          <w:kern w:val="0"/>
          <w:szCs w:val="26"/>
          <w:rtl/>
          <w:lang w:bidi="ar-JO"/>
          <w14:ligatures w14:val="none"/>
        </w:rPr>
        <w:t xml:space="preserve">من </w:t>
      </w:r>
      <w:r w:rsidRPr="00BF07C2">
        <w:rPr>
          <w:rFonts w:eastAsia="Times New Roman" w:cs="DecoType Naskh"/>
          <w:color w:val="auto"/>
          <w:kern w:val="0"/>
          <w:szCs w:val="26"/>
          <w:rtl/>
          <w:lang w:bidi="ar-JO"/>
          <w14:ligatures w14:val="none"/>
        </w:rPr>
        <w:t>دون دلالة أيضاً</w:t>
      </w:r>
      <w:r w:rsidRPr="00BF07C2">
        <w:rPr>
          <w:rFonts w:eastAsia="Times New Roman" w:cs="DecoType Naskh" w:hint="cs"/>
          <w:color w:val="auto"/>
          <w:kern w:val="0"/>
          <w:szCs w:val="26"/>
          <w:rtl/>
          <w:lang w:bidi="ar-JO"/>
          <w14:ligatures w14:val="none"/>
        </w:rPr>
        <w:t>،</w:t>
      </w:r>
      <w:r w:rsidRPr="00BF07C2">
        <w:rPr>
          <w:rFonts w:eastAsia="Times New Roman" w:cs="DecoType Naskh"/>
          <w:color w:val="auto"/>
          <w:kern w:val="0"/>
          <w:szCs w:val="26"/>
          <w:rtl/>
          <w:lang w:bidi="ar-JO"/>
          <w14:ligatures w14:val="none"/>
        </w:rPr>
        <w:t xml:space="preserve"> لأنها تتطلع إلى إكمال البرنامج الإلهي للأرض الحالية.</w:t>
      </w:r>
    </w:p>
    <w:p w14:paraId="2497DBAA"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 xml:space="preserve">كان أول الأعياد الثلاثة عيد الأبواق، وهو يقع في اليوم الأول من الشهر السابع.  كان هذا ثاني أقدس يوم في التقويم الديني اليهودي، ويشير إليه اليهود باسم روش هاشانا (بعد الرجوع من السبي البابلي إلى فلسطين).  وتميّز هذا </w:t>
      </w:r>
      <w:r w:rsidRPr="00BF07C2">
        <w:rPr>
          <w:rFonts w:eastAsia="Times New Roman" w:cs="DecoType Naskh" w:hint="cs"/>
          <w:color w:val="auto"/>
          <w:kern w:val="0"/>
          <w:szCs w:val="26"/>
          <w:rtl/>
          <w:lang w:bidi="ar-JO"/>
          <w14:ligatures w14:val="none"/>
        </w:rPr>
        <w:t>العيد</w:t>
      </w:r>
      <w:r w:rsidRPr="00BF07C2">
        <w:rPr>
          <w:rFonts w:eastAsia="Times New Roman" w:cs="DecoType Naskh"/>
          <w:color w:val="auto"/>
          <w:kern w:val="0"/>
          <w:szCs w:val="26"/>
          <w:rtl/>
          <w:lang w:bidi="ar-JO"/>
          <w14:ligatures w14:val="none"/>
        </w:rPr>
        <w:t xml:space="preserve"> بطقس هو نفخ ألـ </w:t>
      </w:r>
      <w:r w:rsidRPr="00BF07C2">
        <w:rPr>
          <w:rFonts w:eastAsia="Times New Roman" w:cs="DecoType Naskh" w:hint="cs"/>
          <w:color w:val="auto"/>
          <w:kern w:val="0"/>
          <w:szCs w:val="26"/>
          <w:rtl/>
          <w:lang w:bidi="ar-JO"/>
          <w14:ligatures w14:val="none"/>
        </w:rPr>
        <w:t>"</w:t>
      </w:r>
      <w:r w:rsidRPr="00BF07C2">
        <w:rPr>
          <w:rFonts w:eastAsia="Times New Roman" w:cs="DecoType Naskh"/>
          <w:color w:val="auto"/>
          <w:kern w:val="0"/>
          <w:szCs w:val="26"/>
          <w:rtl/>
          <w:lang w:bidi="ar-JO"/>
          <w14:ligatures w14:val="none"/>
        </w:rPr>
        <w:t>شوفار</w:t>
      </w:r>
      <w:r w:rsidRPr="00BF07C2">
        <w:rPr>
          <w:rFonts w:eastAsia="Times New Roman" w:cs="DecoType Naskh" w:hint="cs"/>
          <w:color w:val="auto"/>
          <w:kern w:val="0"/>
          <w:szCs w:val="26"/>
          <w:rtl/>
          <w:lang w:bidi="ar-JO"/>
          <w14:ligatures w14:val="none"/>
        </w:rPr>
        <w:t>"</w:t>
      </w:r>
      <w:r w:rsidRPr="00BF07C2">
        <w:rPr>
          <w:rFonts w:eastAsia="Times New Roman" w:cs="DecoType Naskh"/>
          <w:color w:val="auto"/>
          <w:kern w:val="0"/>
          <w:szCs w:val="26"/>
          <w:rtl/>
          <w:lang w:bidi="ar-JO"/>
          <w14:ligatures w14:val="none"/>
        </w:rPr>
        <w:t>، فيستجيب الشعب له بالتجمع لسماع كلمة الله... قراءة ال</w:t>
      </w:r>
      <w:r w:rsidRPr="00BF07C2">
        <w:rPr>
          <w:rFonts w:eastAsia="Times New Roman" w:cs="DecoType Naskh" w:hint="cs"/>
          <w:color w:val="auto"/>
          <w:kern w:val="0"/>
          <w:szCs w:val="26"/>
          <w:rtl/>
          <w:lang w:bidi="ar-JO"/>
          <w14:ligatures w14:val="none"/>
        </w:rPr>
        <w:t>شريع</w:t>
      </w:r>
      <w:r w:rsidRPr="00BF07C2">
        <w:rPr>
          <w:rFonts w:eastAsia="Times New Roman" w:cs="DecoType Naskh"/>
          <w:color w:val="auto"/>
          <w:kern w:val="0"/>
          <w:szCs w:val="26"/>
          <w:rtl/>
          <w:lang w:bidi="ar-JO"/>
          <w14:ligatures w14:val="none"/>
        </w:rPr>
        <w:t>ة</w:t>
      </w:r>
      <w:r w:rsidRPr="00BF07C2">
        <w:rPr>
          <w:rFonts w:eastAsia="Times New Roman" w:cs="DecoType Naskh" w:hint="cs"/>
          <w:color w:val="auto"/>
          <w:kern w:val="0"/>
          <w:szCs w:val="26"/>
          <w:rtl/>
          <w:lang w:bidi="ar-JO"/>
          <w14:ligatures w14:val="none"/>
        </w:rPr>
        <w:t xml:space="preserve"> (نحميا 8: 8)</w:t>
      </w:r>
      <w:r w:rsidRPr="00BF07C2">
        <w:rPr>
          <w:rFonts w:eastAsia="Times New Roman" w:cs="DecoType Naskh"/>
          <w:color w:val="auto"/>
          <w:kern w:val="0"/>
          <w:szCs w:val="26"/>
          <w:rtl/>
          <w:lang w:bidi="ar-JO"/>
          <w14:ligatures w14:val="none"/>
        </w:rPr>
        <w:t xml:space="preserve">.  </w:t>
      </w:r>
      <w:r w:rsidRPr="00BF07C2">
        <w:rPr>
          <w:rFonts w:eastAsia="Times New Roman" w:cs="DecoType Naskh" w:hint="cs"/>
          <w:color w:val="auto"/>
          <w:kern w:val="0"/>
          <w:szCs w:val="26"/>
          <w:rtl/>
          <w:lang w:bidi="ar-JO"/>
          <w14:ligatures w14:val="none"/>
        </w:rPr>
        <w:t>وكان</w:t>
      </w:r>
      <w:r w:rsidRPr="00BF07C2">
        <w:rPr>
          <w:rFonts w:eastAsia="Times New Roman" w:cs="DecoType Naskh"/>
          <w:color w:val="auto"/>
          <w:kern w:val="0"/>
          <w:szCs w:val="26"/>
          <w:rtl/>
          <w:lang w:bidi="ar-JO"/>
          <w14:ligatures w14:val="none"/>
        </w:rPr>
        <w:t xml:space="preserve"> عيد الأبواق </w:t>
      </w:r>
      <w:r w:rsidRPr="00BF07C2">
        <w:rPr>
          <w:rFonts w:eastAsia="Times New Roman" w:cs="DecoType Naskh" w:hint="cs"/>
          <w:color w:val="auto"/>
          <w:kern w:val="0"/>
          <w:szCs w:val="26"/>
          <w:rtl/>
          <w:lang w:bidi="ar-JO"/>
          <w14:ligatures w14:val="none"/>
        </w:rPr>
        <w:t xml:space="preserve">يهدف </w:t>
      </w:r>
      <w:r w:rsidRPr="00BF07C2">
        <w:rPr>
          <w:rFonts w:eastAsia="Times New Roman" w:cs="DecoType Naskh"/>
          <w:color w:val="auto"/>
          <w:kern w:val="0"/>
          <w:szCs w:val="26"/>
          <w:rtl/>
          <w:lang w:bidi="ar-JO"/>
          <w14:ligatures w14:val="none"/>
        </w:rPr>
        <w:t>إلى تنبيه الشعب إلى وقت التوبة والغفران والرد.  يقول أبراهام بلوتش، وهو باحث يهودي</w:t>
      </w:r>
      <w:r w:rsidRPr="00BF07C2">
        <w:rPr>
          <w:rFonts w:eastAsia="Times New Roman" w:cs="DecoType Naskh" w:hint="cs"/>
          <w:color w:val="auto"/>
          <w:kern w:val="0"/>
          <w:szCs w:val="26"/>
          <w:rtl/>
          <w:lang w:bidi="ar-JO"/>
          <w14:ligatures w14:val="none"/>
        </w:rPr>
        <w:t>:</w:t>
      </w:r>
    </w:p>
    <w:p w14:paraId="70D2BE7B"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للتقليد الرّاباني الذي أعلن روش هاشان</w:t>
      </w:r>
      <w:r w:rsidRPr="00BF07C2">
        <w:rPr>
          <w:rFonts w:eastAsia="Times New Roman" w:cs="DecoType Naskh" w:hint="cs"/>
          <w:color w:val="auto"/>
          <w:kern w:val="0"/>
          <w:szCs w:val="26"/>
          <w:rtl/>
          <w:lang w:bidi="ar-JO"/>
          <w14:ligatures w14:val="none"/>
        </w:rPr>
        <w:t>ا</w:t>
      </w:r>
      <w:r w:rsidRPr="00BF07C2">
        <w:rPr>
          <w:rFonts w:eastAsia="Times New Roman" w:cs="DecoType Naskh"/>
          <w:color w:val="auto"/>
          <w:kern w:val="0"/>
          <w:szCs w:val="26"/>
          <w:rtl/>
          <w:lang w:bidi="ar-JO"/>
          <w14:ligatures w14:val="none"/>
        </w:rPr>
        <w:t xml:space="preserve"> يوم دينونة أصله في النص الكتابي وفي التحذيرات والنداءات التي أطلقها الأنبياء </w:t>
      </w:r>
      <w:r w:rsidRPr="00BF07C2">
        <w:rPr>
          <w:rFonts w:eastAsia="Times New Roman" w:cs="DecoType Naskh" w:hint="cs"/>
          <w:color w:val="auto"/>
          <w:kern w:val="0"/>
          <w:szCs w:val="26"/>
          <w:rtl/>
          <w:lang w:bidi="ar-JO"/>
          <w14:ligatures w14:val="none"/>
        </w:rPr>
        <w:t>وكُتَّاب</w:t>
      </w:r>
      <w:r w:rsidRPr="00BF07C2">
        <w:rPr>
          <w:rFonts w:eastAsia="Times New Roman" w:cs="DecoType Naskh"/>
          <w:color w:val="auto"/>
          <w:kern w:val="0"/>
          <w:szCs w:val="26"/>
          <w:rtl/>
          <w:lang w:bidi="ar-JO"/>
          <w14:ligatures w14:val="none"/>
        </w:rPr>
        <w:t xml:space="preserve"> المزامير.  كان طقس الشوفر (الأبواق) إشارة </w:t>
      </w:r>
      <w:r w:rsidRPr="00BF07C2">
        <w:rPr>
          <w:rFonts w:eastAsia="Times New Roman" w:cs="DecoType Naskh" w:hint="cs"/>
          <w:color w:val="auto"/>
          <w:kern w:val="0"/>
          <w:szCs w:val="26"/>
          <w:rtl/>
          <w:lang w:bidi="ar-JO"/>
          <w14:ligatures w14:val="none"/>
        </w:rPr>
        <w:t>مُعلنةً</w:t>
      </w:r>
      <w:r w:rsidRPr="00BF07C2">
        <w:rPr>
          <w:rFonts w:eastAsia="Times New Roman" w:cs="DecoType Naskh"/>
          <w:color w:val="auto"/>
          <w:kern w:val="0"/>
          <w:szCs w:val="26"/>
          <w:rtl/>
          <w:lang w:bidi="ar-JO"/>
          <w14:ligatures w14:val="none"/>
        </w:rPr>
        <w:t xml:space="preserve"> أخرى إلى الجانب الدينوني </w:t>
      </w:r>
      <w:r w:rsidRPr="00BF07C2">
        <w:rPr>
          <w:rFonts w:eastAsia="Times New Roman" w:cs="DecoType Naskh"/>
          <w:color w:val="auto"/>
          <w:kern w:val="0"/>
          <w:szCs w:val="26"/>
          <w:rtl/>
          <w:lang w:bidi="ar-JO"/>
          <w14:ligatures w14:val="none"/>
        </w:rPr>
        <w:lastRenderedPageBreak/>
        <w:t xml:space="preserve">من </w:t>
      </w:r>
      <w:r w:rsidRPr="00BF07C2">
        <w:rPr>
          <w:rFonts w:eastAsia="Times New Roman" w:cs="DecoType Naskh" w:hint="cs"/>
          <w:color w:val="auto"/>
          <w:kern w:val="0"/>
          <w:szCs w:val="26"/>
          <w:rtl/>
          <w:lang w:bidi="ar-JO"/>
          <w14:ligatures w14:val="none"/>
        </w:rPr>
        <w:t>اليوم المقدَّس</w:t>
      </w:r>
      <w:r w:rsidRPr="00BF07C2">
        <w:rPr>
          <w:rFonts w:eastAsia="Times New Roman" w:cs="DecoType Naskh"/>
          <w:color w:val="auto"/>
          <w:kern w:val="0"/>
          <w:szCs w:val="26"/>
          <w:rtl/>
          <w:lang w:bidi="ar-JO"/>
          <w14:ligatures w14:val="none"/>
        </w:rPr>
        <w:t xml:space="preserve">... وقد قدّم روش </w:t>
      </w:r>
      <w:r w:rsidRPr="00BF07C2">
        <w:rPr>
          <w:rFonts w:eastAsia="Times New Roman" w:cs="DecoType Naskh" w:hint="cs"/>
          <w:color w:val="auto"/>
          <w:kern w:val="0"/>
          <w:szCs w:val="26"/>
          <w:rtl/>
          <w:lang w:bidi="ar-JO"/>
          <w14:ligatures w14:val="none"/>
        </w:rPr>
        <w:t>"هاشانا"</w:t>
      </w:r>
      <w:r w:rsidRPr="00BF07C2">
        <w:rPr>
          <w:rFonts w:eastAsia="Times New Roman" w:cs="DecoType Naskh"/>
          <w:color w:val="auto"/>
          <w:kern w:val="0"/>
          <w:szCs w:val="26"/>
          <w:rtl/>
          <w:lang w:bidi="ar-JO"/>
          <w14:ligatures w14:val="none"/>
        </w:rPr>
        <w:t xml:space="preserve"> فرصة لترتيب حياة المرء الدينية بتحريره من الخطية والتعدّيات.</w:t>
      </w:r>
      <w:r w:rsidRPr="00BF07C2">
        <w:rPr>
          <w:rFonts w:eastAsia="Times New Roman" w:cs="DecoType Naskh"/>
          <w:color w:val="auto"/>
          <w:kern w:val="0"/>
          <w:sz w:val="30"/>
          <w:szCs w:val="28"/>
          <w:vertAlign w:val="superscript"/>
          <w:rtl/>
          <w:lang w:bidi="ar-JO"/>
          <w14:ligatures w14:val="none"/>
        </w:rPr>
        <w:footnoteReference w:id="99"/>
      </w:r>
    </w:p>
    <w:p w14:paraId="5FE25796"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p>
    <w:p w14:paraId="09470CB5"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 xml:space="preserve">تمثلت أهمية ذلك الاحتفال بالنسبة للعبراني في دعوة الشعب إلى الاستماع إلى للرب، وإلى تحضير قلبه للتوبة في ضوء الجانب الدينوني.  وتوجد دلالة </w:t>
      </w:r>
      <w:r w:rsidRPr="00BF07C2">
        <w:rPr>
          <w:rFonts w:eastAsia="Times New Roman" w:cs="DecoType Naskh" w:hint="cs"/>
          <w:color w:val="auto"/>
          <w:kern w:val="0"/>
          <w:szCs w:val="26"/>
          <w:rtl/>
          <w:lang w:bidi="ar-JO"/>
          <w14:ligatures w14:val="none"/>
        </w:rPr>
        <w:t>أسمى</w:t>
      </w:r>
      <w:r w:rsidRPr="00BF07C2">
        <w:rPr>
          <w:rFonts w:eastAsia="Times New Roman" w:cs="DecoType Naskh"/>
          <w:color w:val="auto"/>
          <w:kern w:val="0"/>
          <w:szCs w:val="26"/>
          <w:rtl/>
          <w:lang w:bidi="ar-JO"/>
          <w14:ligatures w14:val="none"/>
        </w:rPr>
        <w:t xml:space="preserve"> لهذا اليوم </w:t>
      </w:r>
      <w:r w:rsidRPr="00BF07C2">
        <w:rPr>
          <w:rFonts w:eastAsia="Times New Roman" w:cs="DecoType Naskh" w:hint="cs"/>
          <w:color w:val="auto"/>
          <w:kern w:val="0"/>
          <w:szCs w:val="26"/>
          <w:rtl/>
          <w:lang w:bidi="ar-JO"/>
          <w14:ligatures w14:val="none"/>
        </w:rPr>
        <w:t xml:space="preserve">تُرى </w:t>
      </w:r>
      <w:r w:rsidRPr="00BF07C2">
        <w:rPr>
          <w:rFonts w:eastAsia="Times New Roman" w:cs="DecoType Naskh"/>
          <w:color w:val="auto"/>
          <w:kern w:val="0"/>
          <w:szCs w:val="26"/>
          <w:rtl/>
          <w:lang w:bidi="ar-JO"/>
          <w14:ligatures w14:val="none"/>
        </w:rPr>
        <w:t xml:space="preserve">في ارتباطه بيوم الكفّارة الذي يليه بوقت قصير.  فكان عيد الأبواق يوماً يستعد فيه الشعب استعداداً خاصّاً ليوم الكفّارة (يوم كبّور) عندما يكفَّر عن خطايا الأمة.  ولكلا العيدين تحقيق أخروي (لنلاحظ أن هذين العيدين يأتيان في نهاية السنة الزراعية، وهما بهذا </w:t>
      </w:r>
      <w:r w:rsidRPr="00BF07C2">
        <w:rPr>
          <w:rFonts w:eastAsia="Times New Roman" w:cs="DecoType Naskh" w:hint="cs"/>
          <w:color w:val="auto"/>
          <w:kern w:val="0"/>
          <w:szCs w:val="26"/>
          <w:rtl/>
          <w:lang w:bidi="ar-JO"/>
          <w14:ligatures w14:val="none"/>
        </w:rPr>
        <w:t>يقدمان ت</w:t>
      </w:r>
      <w:r w:rsidRPr="00BF07C2">
        <w:rPr>
          <w:rFonts w:eastAsia="Times New Roman" w:cs="DecoType Naskh"/>
          <w:color w:val="auto"/>
          <w:kern w:val="0"/>
          <w:szCs w:val="26"/>
          <w:rtl/>
          <w:lang w:bidi="ar-JO"/>
          <w14:ligatures w14:val="none"/>
        </w:rPr>
        <w:t>صورا</w:t>
      </w:r>
      <w:r w:rsidRPr="00BF07C2">
        <w:rPr>
          <w:rFonts w:eastAsia="Times New Roman" w:cs="DecoType Naskh" w:hint="cs"/>
          <w:color w:val="auto"/>
          <w:kern w:val="0"/>
          <w:szCs w:val="26"/>
          <w:rtl/>
          <w:lang w:bidi="ar-JO"/>
          <w14:ligatures w14:val="none"/>
        </w:rPr>
        <w:t>ً</w:t>
      </w:r>
      <w:r w:rsidRPr="00BF07C2">
        <w:rPr>
          <w:rFonts w:eastAsia="Times New Roman" w:cs="DecoType Naskh"/>
          <w:color w:val="auto"/>
          <w:kern w:val="0"/>
          <w:szCs w:val="26"/>
          <w:rtl/>
          <w:lang w:bidi="ar-JO"/>
          <w14:ligatures w14:val="none"/>
        </w:rPr>
        <w:t xml:space="preserve"> </w:t>
      </w:r>
      <w:r w:rsidRPr="00BF07C2">
        <w:rPr>
          <w:rFonts w:eastAsia="Times New Roman" w:cs="DecoType Naskh" w:hint="cs"/>
          <w:color w:val="auto"/>
          <w:kern w:val="0"/>
          <w:szCs w:val="26"/>
          <w:rtl/>
          <w:lang w:bidi="ar-JO"/>
          <w14:ligatures w14:val="none"/>
        </w:rPr>
        <w:t>ل</w:t>
      </w:r>
      <w:r w:rsidRPr="00BF07C2">
        <w:rPr>
          <w:rFonts w:eastAsia="Times New Roman" w:cs="DecoType Naskh"/>
          <w:color w:val="auto"/>
          <w:kern w:val="0"/>
          <w:szCs w:val="26"/>
          <w:rtl/>
          <w:lang w:bidi="ar-JO"/>
          <w14:ligatures w14:val="none"/>
        </w:rPr>
        <w:t xml:space="preserve">حصاد للدينونة).  ويبدو من الجانب الأخروي أن عيد الأبواق دعوة لأمّة </w:t>
      </w:r>
      <w:r w:rsidRPr="00BF07C2">
        <w:rPr>
          <w:rFonts w:eastAsia="Times New Roman" w:cs="DecoType Naskh" w:hint="cs"/>
          <w:color w:val="auto"/>
          <w:kern w:val="0"/>
          <w:szCs w:val="26"/>
          <w:rtl/>
          <w:lang w:bidi="ar-JO"/>
          <w14:ligatures w14:val="none"/>
        </w:rPr>
        <w:t>العبرانيين</w:t>
      </w:r>
      <w:r w:rsidRPr="00BF07C2">
        <w:rPr>
          <w:rFonts w:eastAsia="Times New Roman" w:cs="DecoType Naskh"/>
          <w:color w:val="auto"/>
          <w:kern w:val="0"/>
          <w:szCs w:val="26"/>
          <w:rtl/>
          <w:lang w:bidi="ar-JO"/>
          <w14:ligatures w14:val="none"/>
        </w:rPr>
        <w:t xml:space="preserve"> لكي تستعد </w:t>
      </w:r>
      <w:r w:rsidRPr="00BF07C2">
        <w:rPr>
          <w:rFonts w:eastAsia="Times New Roman" w:cs="DecoType Naskh" w:hint="cs"/>
          <w:color w:val="auto"/>
          <w:kern w:val="0"/>
          <w:szCs w:val="26"/>
          <w:rtl/>
          <w:lang w:bidi="ar-JO"/>
          <w14:ligatures w14:val="none"/>
        </w:rPr>
        <w:t>ل</w:t>
      </w:r>
      <w:r w:rsidRPr="00BF07C2">
        <w:rPr>
          <w:rFonts w:eastAsia="Times New Roman" w:cs="DecoType Naskh"/>
          <w:color w:val="auto"/>
          <w:kern w:val="0"/>
          <w:szCs w:val="26"/>
          <w:rtl/>
          <w:lang w:bidi="ar-JO"/>
          <w14:ligatures w14:val="none"/>
        </w:rPr>
        <w:t>يوم الكفّارة الأخير.  ولقد لاحظ روس أن الأنبياء والرسل على حد سواء استخدموا دعوة البوق من أجل الإعلان عن الأزمنة الأخيرة عندما يأتي المسيح لكي يدين الأشرار ويؤسس حكمه (انظر إشعياء 58: 1 و27: 13)</w:t>
      </w:r>
      <w:r w:rsidRPr="00BF07C2">
        <w:rPr>
          <w:rFonts w:eastAsia="Times New Roman" w:cs="DecoType Naskh" w:hint="cs"/>
          <w:color w:val="auto"/>
          <w:kern w:val="0"/>
          <w:szCs w:val="26"/>
          <w:rtl/>
          <w14:ligatures w14:val="none"/>
        </w:rPr>
        <w:t>.</w:t>
      </w:r>
      <w:r w:rsidRPr="00BF07C2">
        <w:rPr>
          <w:rFonts w:eastAsia="Times New Roman" w:cs="DecoType Naskh"/>
          <w:color w:val="auto"/>
          <w:kern w:val="0"/>
          <w:sz w:val="30"/>
          <w:szCs w:val="28"/>
          <w:vertAlign w:val="superscript"/>
          <w:rtl/>
          <w14:ligatures w14:val="none"/>
        </w:rPr>
        <w:footnoteReference w:id="100"/>
      </w:r>
      <w:r w:rsidRPr="00BF07C2">
        <w:rPr>
          <w:rFonts w:eastAsia="Times New Roman" w:cs="DecoType Naskh"/>
          <w:color w:val="auto"/>
          <w:kern w:val="0"/>
          <w:szCs w:val="26"/>
          <w:rtl/>
          <w:lang w:bidi="ar-JO"/>
          <w14:ligatures w14:val="none"/>
        </w:rPr>
        <w:t xml:space="preserve">  كانت في </w:t>
      </w:r>
      <w:r w:rsidRPr="00BF07C2">
        <w:rPr>
          <w:rFonts w:eastAsia="Times New Roman" w:cs="DecoType Naskh" w:hint="cs"/>
          <w:color w:val="auto"/>
          <w:kern w:val="0"/>
          <w:szCs w:val="26"/>
          <w:rtl/>
          <w:lang w:bidi="ar-JO"/>
          <w14:ligatures w14:val="none"/>
        </w:rPr>
        <w:t>الاحتفال</w:t>
      </w:r>
      <w:r w:rsidRPr="00BF07C2">
        <w:rPr>
          <w:rFonts w:eastAsia="Times New Roman" w:cs="DecoType Naskh"/>
          <w:color w:val="auto"/>
          <w:kern w:val="0"/>
          <w:szCs w:val="26"/>
          <w:rtl/>
          <w:lang w:bidi="ar-JO"/>
          <w14:ligatures w14:val="none"/>
        </w:rPr>
        <w:t xml:space="preserve"> </w:t>
      </w:r>
      <w:r w:rsidRPr="00BF07C2">
        <w:rPr>
          <w:rFonts w:eastAsia="Times New Roman" w:cs="DecoType Naskh" w:hint="cs"/>
          <w:color w:val="auto"/>
          <w:kern w:val="0"/>
          <w:szCs w:val="26"/>
          <w:rtl/>
          <w:lang w:bidi="ar-JO"/>
          <w14:ligatures w14:val="none"/>
        </w:rPr>
        <w:t>ب</w:t>
      </w:r>
      <w:r w:rsidRPr="00BF07C2">
        <w:rPr>
          <w:rFonts w:eastAsia="Times New Roman" w:cs="DecoType Naskh"/>
          <w:color w:val="auto"/>
          <w:kern w:val="0"/>
          <w:szCs w:val="26"/>
          <w:rtl/>
          <w:lang w:bidi="ar-JO"/>
          <w14:ligatures w14:val="none"/>
        </w:rPr>
        <w:t xml:space="preserve">الأعياد الأصلية عشرة أيام للتوبة بين عيد الأبواق ويوم الكفّارة.  وبنفس الطريقة ستكون هنالك فترة تسبق عودة المسيح لكي يتوب </w:t>
      </w:r>
      <w:r w:rsidRPr="00BF07C2">
        <w:rPr>
          <w:rFonts w:eastAsia="Times New Roman" w:cs="DecoType Naskh" w:hint="cs"/>
          <w:color w:val="auto"/>
          <w:kern w:val="0"/>
          <w:szCs w:val="26"/>
          <w:rtl/>
          <w:lang w:bidi="ar-JO"/>
          <w14:ligatures w14:val="none"/>
        </w:rPr>
        <w:t xml:space="preserve">الشعب </w:t>
      </w:r>
      <w:r w:rsidRPr="00BF07C2">
        <w:rPr>
          <w:rFonts w:eastAsia="Times New Roman" w:cs="DecoType Naskh"/>
          <w:color w:val="auto"/>
          <w:kern w:val="0"/>
          <w:szCs w:val="26"/>
          <w:rtl/>
          <w:lang w:bidi="ar-JO"/>
          <w14:ligatures w14:val="none"/>
        </w:rPr>
        <w:t>اليهود</w:t>
      </w:r>
      <w:r w:rsidRPr="00BF07C2">
        <w:rPr>
          <w:rFonts w:eastAsia="Times New Roman" w:cs="DecoType Naskh" w:hint="cs"/>
          <w:color w:val="auto"/>
          <w:kern w:val="0"/>
          <w:szCs w:val="26"/>
          <w:rtl/>
          <w:lang w:bidi="ar-JO"/>
          <w14:ligatures w14:val="none"/>
        </w:rPr>
        <w:t>ي</w:t>
      </w:r>
      <w:r w:rsidRPr="00BF07C2">
        <w:rPr>
          <w:rFonts w:eastAsia="Times New Roman" w:cs="DecoType Naskh"/>
          <w:color w:val="auto"/>
          <w:kern w:val="0"/>
          <w:szCs w:val="26"/>
          <w:rtl/>
          <w:lang w:bidi="ar-JO"/>
          <w14:ligatures w14:val="none"/>
        </w:rPr>
        <w:t xml:space="preserve"> ويعودوا إلى المسيح </w:t>
      </w:r>
      <w:r w:rsidRPr="00BF07C2">
        <w:rPr>
          <w:rFonts w:eastAsia="Times New Roman" w:cs="DecoType Naskh" w:hint="cs"/>
          <w:color w:val="auto"/>
          <w:kern w:val="0"/>
          <w:szCs w:val="26"/>
          <w:rtl/>
          <w:lang w:bidi="ar-JO"/>
          <w14:ligatures w14:val="none"/>
        </w:rPr>
        <w:t>بالإيمان</w:t>
      </w:r>
      <w:r w:rsidRPr="00BF07C2">
        <w:rPr>
          <w:rFonts w:eastAsia="Times New Roman" w:cs="DecoType Naskh"/>
          <w:color w:val="auto"/>
          <w:kern w:val="0"/>
          <w:szCs w:val="26"/>
          <w:rtl/>
          <w:lang w:bidi="ar-JO"/>
          <w14:ligatures w14:val="none"/>
        </w:rPr>
        <w:t xml:space="preserve">.  ويبدو أن هذا يتطلع إلى فترة الضيقة العظمى المذكورة في سفر الرؤيا ومواضع أخرى.  </w:t>
      </w:r>
      <w:r w:rsidRPr="00BF07C2">
        <w:rPr>
          <w:rFonts w:eastAsia="Times New Roman" w:cs="DecoType Naskh" w:hint="cs"/>
          <w:color w:val="auto"/>
          <w:kern w:val="0"/>
          <w:szCs w:val="26"/>
          <w:rtl/>
          <w:lang w:bidi="ar-JO"/>
          <w14:ligatures w14:val="none"/>
        </w:rPr>
        <w:t xml:space="preserve">نحن نعلم من مقاطع أخرى من الكتاب المقدس أنه سيكون </w:t>
      </w:r>
      <w:r w:rsidRPr="00BF07C2">
        <w:rPr>
          <w:rFonts w:eastAsia="Times New Roman" w:cs="DecoType Naskh"/>
          <w:color w:val="auto"/>
          <w:kern w:val="0"/>
          <w:szCs w:val="26"/>
          <w:rtl/>
          <w:lang w:bidi="ar-JO"/>
          <w14:ligatures w14:val="none"/>
        </w:rPr>
        <w:t xml:space="preserve">كثيرين من اليهود </w:t>
      </w:r>
      <w:r w:rsidRPr="00BF07C2">
        <w:rPr>
          <w:rFonts w:eastAsia="Times New Roman" w:cs="DecoType Naskh" w:hint="cs"/>
          <w:color w:val="auto"/>
          <w:kern w:val="0"/>
          <w:szCs w:val="26"/>
          <w:rtl/>
          <w:lang w:bidi="ar-JO"/>
          <w14:ligatures w14:val="none"/>
        </w:rPr>
        <w:t>(ولكن ليس جميعهم) يلجأون</w:t>
      </w:r>
      <w:r w:rsidRPr="00BF07C2">
        <w:rPr>
          <w:rFonts w:eastAsia="Times New Roman" w:cs="DecoType Naskh"/>
          <w:color w:val="auto"/>
          <w:kern w:val="0"/>
          <w:szCs w:val="26"/>
          <w:rtl/>
          <w:lang w:bidi="ar-JO"/>
          <w14:ligatures w14:val="none"/>
        </w:rPr>
        <w:t xml:space="preserve"> إلى الإيمان بيسوع المسيح في ذلك الوقت (زكريا 12: 10؛ رومية 11: 25-27).</w:t>
      </w:r>
    </w:p>
    <w:p w14:paraId="05BF2EDC"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10"/>
          <w:szCs w:val="12"/>
          <w:rtl/>
          <w:lang w:bidi="ar-JO"/>
          <w14:ligatures w14:val="none"/>
        </w:rPr>
      </w:pPr>
    </w:p>
    <w:p w14:paraId="12755CC1" w14:textId="77777777" w:rsidR="00BF07C2" w:rsidRPr="00BF07C2" w:rsidRDefault="00BF07C2"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BF07C2">
        <w:rPr>
          <w:rFonts w:eastAsia="Times New Roman" w:cs="DecoType Naskh"/>
          <w:bCs/>
          <w:color w:val="auto"/>
          <w:kern w:val="0"/>
          <w:szCs w:val="26"/>
          <w:rtl/>
          <w14:ligatures w14:val="none"/>
        </w:rPr>
        <w:t>ز.</w:t>
      </w:r>
      <w:r w:rsidRPr="00BF07C2">
        <w:rPr>
          <w:rFonts w:eastAsia="Times New Roman" w:cs="DecoType Naskh"/>
          <w:bCs/>
          <w:color w:val="auto"/>
          <w:kern w:val="0"/>
          <w:szCs w:val="26"/>
          <w:rtl/>
          <w14:ligatures w14:val="none"/>
        </w:rPr>
        <w:tab/>
        <w:t>يوم الكفّارة (لاويين 23: 26-32؛ لاويين 16؛ عدد 27: 7-11)</w:t>
      </w:r>
    </w:p>
    <w:p w14:paraId="3B741FBF"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لحديث أوفى عن هذا اليوم، ارجع إلى الدرس السابق حول لاويين 16.  لكن يمكن القول باختصار إن يوم الكفّارة (أو يوم كبّور) كان يوم تواضع عندما كان يكفَّر عن خطايا إسرائيل، وتطهَّر لكي تبدأ سنة أخرى.  ومن الناحية الأخروية سيكون هنالك يوم كفّارة مستقبلي عندما "يخلص كل إسرائيل" في زمن مجيء المسيح ثانية</w:t>
      </w:r>
      <w:r w:rsidRPr="00BF07C2">
        <w:rPr>
          <w:rFonts w:eastAsia="Times New Roman" w:cs="DecoType Naskh" w:hint="cs"/>
          <w:color w:val="auto"/>
          <w:kern w:val="0"/>
          <w:szCs w:val="26"/>
          <w:rtl/>
          <w:lang w:bidi="ar-JO"/>
          <w14:ligatures w14:val="none"/>
        </w:rPr>
        <w:t xml:space="preserve"> (رو 11: 26)</w:t>
      </w:r>
      <w:r w:rsidRPr="00BF07C2">
        <w:rPr>
          <w:rFonts w:eastAsia="Times New Roman" w:cs="DecoType Naskh"/>
          <w:color w:val="auto"/>
          <w:kern w:val="0"/>
          <w:szCs w:val="26"/>
          <w:rtl/>
          <w:lang w:bidi="ar-JO"/>
          <w14:ligatures w14:val="none"/>
        </w:rPr>
        <w:t>.</w:t>
      </w:r>
      <w:r w:rsidRPr="00BF07C2">
        <w:rPr>
          <w:rFonts w:eastAsia="Times New Roman" w:cs="DecoType Naskh" w:hint="cs"/>
          <w:color w:val="auto"/>
          <w:kern w:val="0"/>
          <w:szCs w:val="26"/>
          <w:rtl/>
          <w:lang w:bidi="ar-JO"/>
          <w14:ligatures w14:val="none"/>
        </w:rPr>
        <w:t xml:space="preserve"> [هذا لا يعني خلاص كل شخص يهودي، ولكن الأمة ككل بالتباين مع خلاص البقية التقية في العصر الحالي].</w:t>
      </w:r>
      <w:r w:rsidRPr="00BF07C2">
        <w:rPr>
          <w:rFonts w:eastAsia="Times New Roman" w:cs="DecoType Naskh"/>
          <w:color w:val="auto"/>
          <w:kern w:val="0"/>
          <w:szCs w:val="26"/>
          <w:rtl/>
          <w:lang w:bidi="ar-JO"/>
          <w14:ligatures w14:val="none"/>
        </w:rPr>
        <w:t xml:space="preserve">  وس</w:t>
      </w:r>
      <w:r w:rsidRPr="00BF07C2">
        <w:rPr>
          <w:rFonts w:eastAsia="Times New Roman" w:cs="DecoType Naskh" w:hint="cs"/>
          <w:color w:val="auto"/>
          <w:kern w:val="0"/>
          <w:szCs w:val="26"/>
          <w:rtl/>
          <w:lang w:bidi="ar-JO"/>
          <w14:ligatures w14:val="none"/>
        </w:rPr>
        <w:t>ي</w:t>
      </w:r>
      <w:r w:rsidRPr="00BF07C2">
        <w:rPr>
          <w:rFonts w:eastAsia="Times New Roman" w:cs="DecoType Naskh"/>
          <w:color w:val="auto"/>
          <w:kern w:val="0"/>
          <w:szCs w:val="26"/>
          <w:rtl/>
          <w:lang w:bidi="ar-JO"/>
          <w14:ligatures w14:val="none"/>
        </w:rPr>
        <w:t>كون هذ</w:t>
      </w:r>
      <w:r w:rsidRPr="00BF07C2">
        <w:rPr>
          <w:rFonts w:eastAsia="Times New Roman" w:cs="DecoType Naskh" w:hint="cs"/>
          <w:color w:val="auto"/>
          <w:kern w:val="0"/>
          <w:szCs w:val="26"/>
          <w:rtl/>
          <w:lang w:bidi="ar-JO"/>
          <w14:ligatures w14:val="none"/>
        </w:rPr>
        <w:t>ا "اليوم المستقبلي للكفارة"</w:t>
      </w:r>
      <w:r w:rsidRPr="00BF07C2">
        <w:rPr>
          <w:rFonts w:eastAsia="Times New Roman" w:cs="DecoType Naskh"/>
          <w:color w:val="auto"/>
          <w:kern w:val="0"/>
          <w:szCs w:val="26"/>
          <w:rtl/>
          <w:lang w:bidi="ar-JO"/>
          <w14:ligatures w14:val="none"/>
        </w:rPr>
        <w:t xml:space="preserve"> ه</w:t>
      </w:r>
      <w:r w:rsidRPr="00BF07C2">
        <w:rPr>
          <w:rFonts w:eastAsia="Times New Roman" w:cs="DecoType Naskh" w:hint="cs"/>
          <w:color w:val="auto"/>
          <w:kern w:val="0"/>
          <w:szCs w:val="26"/>
          <w:rtl/>
          <w:lang w:bidi="ar-JO"/>
          <w14:ligatures w14:val="none"/>
        </w:rPr>
        <w:t>و</w:t>
      </w:r>
      <w:r w:rsidRPr="00BF07C2">
        <w:rPr>
          <w:rFonts w:eastAsia="Times New Roman" w:cs="DecoType Naskh"/>
          <w:color w:val="auto"/>
          <w:kern w:val="0"/>
          <w:szCs w:val="26"/>
          <w:rtl/>
          <w:lang w:bidi="ar-JO"/>
          <w14:ligatures w14:val="none"/>
        </w:rPr>
        <w:t xml:space="preserve"> التوبة الوطنية للأمة التي سينتج عنها تطهير الأمّة قبل تأسيس الملكوت الألفي (انظر زكريا 13).</w:t>
      </w:r>
      <w:r w:rsidRPr="00BF07C2">
        <w:rPr>
          <w:rFonts w:eastAsia="Times New Roman" w:cs="DecoType Naskh"/>
          <w:color w:val="auto"/>
          <w:kern w:val="0"/>
          <w:sz w:val="30"/>
          <w:szCs w:val="28"/>
          <w:vertAlign w:val="superscript"/>
          <w:rtl/>
          <w:lang w:bidi="ar-JO"/>
          <w14:ligatures w14:val="none"/>
        </w:rPr>
        <w:footnoteReference w:id="101"/>
      </w:r>
    </w:p>
    <w:p w14:paraId="70F2AEBC"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12"/>
          <w:szCs w:val="14"/>
          <w:rtl/>
          <w:lang w:bidi="ar-JO"/>
          <w14:ligatures w14:val="none"/>
        </w:rPr>
      </w:pPr>
    </w:p>
    <w:p w14:paraId="29266606" w14:textId="77777777" w:rsidR="00BF07C2" w:rsidRPr="00BF07C2" w:rsidRDefault="00BF07C2"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BF07C2">
        <w:rPr>
          <w:rFonts w:eastAsia="Times New Roman" w:cs="DecoType Naskh"/>
          <w:bCs/>
          <w:color w:val="auto"/>
          <w:kern w:val="0"/>
          <w:szCs w:val="26"/>
          <w:rtl/>
          <w14:ligatures w14:val="none"/>
        </w:rPr>
        <w:t>ح.</w:t>
      </w:r>
      <w:r w:rsidRPr="00BF07C2">
        <w:rPr>
          <w:rFonts w:eastAsia="Times New Roman" w:cs="DecoType Naskh"/>
          <w:bCs/>
          <w:color w:val="auto"/>
          <w:kern w:val="0"/>
          <w:szCs w:val="26"/>
          <w:rtl/>
          <w14:ligatures w14:val="none"/>
        </w:rPr>
        <w:tab/>
        <w:t>عيد المظال (لاويين 23: 33-36، 39-</w:t>
      </w:r>
      <w:r w:rsidRPr="00BF07C2">
        <w:rPr>
          <w:rFonts w:eastAsia="Times New Roman" w:cs="DecoType Naskh" w:hint="cs"/>
          <w:bCs/>
          <w:color w:val="auto"/>
          <w:kern w:val="0"/>
          <w:szCs w:val="26"/>
          <w:rtl/>
          <w14:ligatures w14:val="none"/>
        </w:rPr>
        <w:t>43</w:t>
      </w:r>
      <w:r w:rsidRPr="00BF07C2">
        <w:rPr>
          <w:rFonts w:eastAsia="Times New Roman" w:cs="DecoType Naskh"/>
          <w:bCs/>
          <w:color w:val="auto"/>
          <w:kern w:val="0"/>
          <w:szCs w:val="26"/>
          <w:rtl/>
          <w14:ligatures w14:val="none"/>
        </w:rPr>
        <w:t xml:space="preserve">)؛ عدد (2: 12-38) </w:t>
      </w:r>
    </w:p>
    <w:p w14:paraId="4124B43E" w14:textId="23ED4B2E"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 xml:space="preserve">كان عيد المظال العيد </w:t>
      </w:r>
      <w:r w:rsidRPr="00BF07C2">
        <w:rPr>
          <w:rFonts w:eastAsia="Times New Roman" w:cs="DecoType Naskh" w:hint="cs"/>
          <w:color w:val="auto"/>
          <w:kern w:val="0"/>
          <w:szCs w:val="26"/>
          <w:rtl/>
          <w:lang w:bidi="ar-JO"/>
          <w14:ligatures w14:val="none"/>
        </w:rPr>
        <w:t>الأخير</w:t>
      </w:r>
      <w:r w:rsidRPr="00BF07C2">
        <w:rPr>
          <w:rFonts w:eastAsia="Times New Roman" w:cs="DecoType Naskh"/>
          <w:color w:val="auto"/>
          <w:kern w:val="0"/>
          <w:szCs w:val="26"/>
          <w:rtl/>
          <w:lang w:bidi="ar-JO"/>
          <w14:ligatures w14:val="none"/>
        </w:rPr>
        <w:t>، ويقع بعد خمسة أيام من يوم الكفّارة وأيضاً في الشهر السابع (تشري).</w:t>
      </w:r>
      <w:r w:rsidRPr="00BF07C2">
        <w:rPr>
          <w:rFonts w:eastAsia="Times New Roman" w:cs="DecoType Naskh" w:hint="cs"/>
          <w:color w:val="auto"/>
          <w:kern w:val="0"/>
          <w:szCs w:val="26"/>
          <w:rtl/>
          <w:lang w:bidi="ar-JO"/>
          <w14:ligatures w14:val="none"/>
        </w:rPr>
        <w:t xml:space="preserve"> يستعيد هذا العيد ذكريات قديمة عندما كان الشعب يعيش في مظال</w:t>
      </w:r>
      <w:r w:rsidR="00B3744F">
        <w:rPr>
          <w:rFonts w:eastAsia="Times New Roman" w:cs="DecoType Naskh" w:hint="cs"/>
          <w:color w:val="auto"/>
          <w:kern w:val="0"/>
          <w:szCs w:val="26"/>
          <w:rtl/>
          <w:lang w:bidi="ar-JO"/>
          <w14:ligatures w14:val="none"/>
        </w:rPr>
        <w:t>َّ</w:t>
      </w:r>
      <w:r w:rsidRPr="00BF07C2">
        <w:rPr>
          <w:rFonts w:eastAsia="Times New Roman" w:cs="DecoType Naskh" w:hint="cs"/>
          <w:color w:val="auto"/>
          <w:kern w:val="0"/>
          <w:szCs w:val="26"/>
          <w:rtl/>
          <w:lang w:bidi="ar-JO"/>
          <w14:ligatures w14:val="none"/>
        </w:rPr>
        <w:t xml:space="preserve"> في مصر، بالرغم من أن العيد يركز على وقت فرح واحتفال.</w:t>
      </w:r>
      <w:r w:rsidRPr="00BF07C2">
        <w:rPr>
          <w:rFonts w:eastAsia="Times New Roman" w:cs="DecoType Naskh"/>
          <w:color w:val="auto"/>
          <w:kern w:val="0"/>
          <w:szCs w:val="26"/>
          <w:rtl/>
          <w:lang w:bidi="ar-JO"/>
          <w14:ligatures w14:val="none"/>
        </w:rPr>
        <w:t xml:space="preserve">  سمّى اليهود هذا العيد سَكّوت، وكانوا يحتفلون به مدّة سبعة أيّام (أحد الأعياد الثلاثة المفروضة.)  اتسم هذا العيد بوقت فرح، وتميّز ببناء مظالٍ صغيرة يقيمون فيها أثناء هذه الفترة.  وهو احتفال تذكاري لتلك الفترة التي عاش فيها بنو إسرائيل في البرية دون بيوت دائمة.  وارتبط العيد ارتباطاً وثيقاً بالفصل الزراعي، إذ كان هذا وقت نضج </w:t>
      </w:r>
      <w:r w:rsidRPr="00BF07C2">
        <w:rPr>
          <w:rFonts w:eastAsia="Times New Roman" w:cs="DecoType Naskh" w:hint="cs"/>
          <w:color w:val="auto"/>
          <w:kern w:val="0"/>
          <w:szCs w:val="26"/>
          <w:rtl/>
          <w:lang w:bidi="ar-JO"/>
          <w14:ligatures w14:val="none"/>
        </w:rPr>
        <w:t>ثمار الفواكه</w:t>
      </w:r>
      <w:r w:rsidRPr="00BF07C2">
        <w:rPr>
          <w:rFonts w:eastAsia="Times New Roman" w:cs="DecoType Naskh"/>
          <w:color w:val="auto"/>
          <w:kern w:val="0"/>
          <w:szCs w:val="26"/>
          <w:rtl/>
          <w:lang w:bidi="ar-JO"/>
          <w14:ligatures w14:val="none"/>
        </w:rPr>
        <w:t>.  وهكذا جاء الشعب إلى العيد حاملين غ</w:t>
      </w:r>
      <w:r w:rsidRPr="00BF07C2">
        <w:rPr>
          <w:rFonts w:eastAsia="Times New Roman" w:cs="DecoType Naskh" w:hint="cs"/>
          <w:color w:val="auto"/>
          <w:kern w:val="0"/>
          <w:szCs w:val="26"/>
          <w:rtl/>
          <w:lang w:bidi="ar-JO"/>
          <w14:ligatures w14:val="none"/>
        </w:rPr>
        <w:t>ص</w:t>
      </w:r>
      <w:r w:rsidRPr="00BF07C2">
        <w:rPr>
          <w:rFonts w:eastAsia="Times New Roman" w:cs="DecoType Naskh"/>
          <w:color w:val="auto"/>
          <w:kern w:val="0"/>
          <w:szCs w:val="26"/>
          <w:rtl/>
          <w:lang w:bidi="ar-JO"/>
          <w14:ligatures w14:val="none"/>
        </w:rPr>
        <w:t xml:space="preserve">ن نخيل في يد (لُلاف) وفاكهة حمضية في اليد الأخرى (إثروج).  يقول فكتور بوكسبازن: </w:t>
      </w:r>
    </w:p>
    <w:p w14:paraId="382393FA"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BF07C2">
        <w:rPr>
          <w:rFonts w:eastAsia="Times New Roman" w:cs="DecoType Naskh" w:hint="cs"/>
          <w:color w:val="auto"/>
          <w:kern w:val="0"/>
          <w:szCs w:val="26"/>
          <w:rtl/>
          <w:lang w:bidi="ar-JO"/>
          <w14:ligatures w14:val="none"/>
        </w:rPr>
        <w:t>هذا العيد</w:t>
      </w:r>
      <w:r w:rsidRPr="00BF07C2">
        <w:rPr>
          <w:rFonts w:eastAsia="Times New Roman" w:cs="DecoType Naskh"/>
          <w:color w:val="auto"/>
          <w:kern w:val="0"/>
          <w:szCs w:val="26"/>
          <w:rtl/>
          <w:lang w:bidi="ar-JO"/>
          <w14:ligatures w14:val="none"/>
        </w:rPr>
        <w:t xml:space="preserve"> زراعي في طبيعته.  وهو مناسبة سعيدة، يكون فيها الحصاد قد جُمع من الحقول والبساتين والبيّارات.  فكانت المخازن وال</w:t>
      </w:r>
      <w:r w:rsidRPr="00BF07C2">
        <w:rPr>
          <w:rFonts w:eastAsia="Times New Roman" w:cs="DecoType Naskh" w:hint="cs"/>
          <w:color w:val="auto"/>
          <w:kern w:val="0"/>
          <w:szCs w:val="26"/>
          <w:rtl/>
          <w14:ligatures w14:val="none"/>
        </w:rPr>
        <w:t>سقائف</w:t>
      </w:r>
      <w:r w:rsidRPr="00BF07C2">
        <w:rPr>
          <w:rFonts w:eastAsia="Times New Roman" w:cs="DecoType Naskh"/>
          <w:color w:val="auto"/>
          <w:kern w:val="0"/>
          <w:szCs w:val="26"/>
          <w:rtl/>
          <w:lang w:bidi="ar-JO"/>
          <w14:ligatures w14:val="none"/>
        </w:rPr>
        <w:t xml:space="preserve"> م</w:t>
      </w:r>
      <w:r w:rsidRPr="00BF07C2">
        <w:rPr>
          <w:rFonts w:eastAsia="Times New Roman" w:cs="DecoType Naskh" w:hint="cs"/>
          <w:color w:val="auto"/>
          <w:kern w:val="0"/>
          <w:szCs w:val="26"/>
          <w:rtl/>
          <w14:ligatures w14:val="none"/>
        </w:rPr>
        <w:t>ملوءة</w:t>
      </w:r>
      <w:r w:rsidRPr="00BF07C2">
        <w:rPr>
          <w:rFonts w:eastAsia="Times New Roman" w:cs="DecoType Naskh"/>
          <w:color w:val="auto"/>
          <w:kern w:val="0"/>
          <w:szCs w:val="26"/>
          <w:rtl/>
          <w:lang w:bidi="ar-JO"/>
          <w14:ligatures w14:val="none"/>
        </w:rPr>
        <w:t>.  وكانت القلوب تفيض أيضاً بالتسبيح والشكر على خيرات الله.  إنه "عيد جمع الحصاد"، أو عيد تقديم الشكر العبري- إنه "العيد" كما يسمّيه إنجيل يوحنّا 7: 37.</w:t>
      </w:r>
      <w:r w:rsidRPr="00BF07C2">
        <w:rPr>
          <w:rFonts w:eastAsia="Times New Roman" w:cs="DecoType Naskh"/>
          <w:color w:val="auto"/>
          <w:kern w:val="0"/>
          <w:sz w:val="30"/>
          <w:szCs w:val="28"/>
          <w:vertAlign w:val="superscript"/>
          <w:rtl/>
          <w:lang w:bidi="ar-JO"/>
          <w14:ligatures w14:val="none"/>
        </w:rPr>
        <w:footnoteReference w:id="102"/>
      </w:r>
    </w:p>
    <w:p w14:paraId="47F0B569"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lastRenderedPageBreak/>
        <w:t>يقدم الكاتب اليهودي أبراهام بلوتش عدّة تعليقات هامّة: "ستكون إحدى مهمات المسيّا أن يجلب شعوب العالم إلى مِتْزفا سُكَّه (</w:t>
      </w:r>
      <w:r w:rsidRPr="00BF07C2">
        <w:rPr>
          <w:rFonts w:eastAsia="Times New Roman" w:cs="DecoType Naskh" w:hint="cs"/>
          <w:color w:val="auto"/>
          <w:kern w:val="0"/>
          <w:szCs w:val="26"/>
          <w:rtl/>
          <w:lang w:bidi="ar-JO"/>
          <w14:ligatures w14:val="none"/>
        </w:rPr>
        <w:t>وصية عيد المظال-</w:t>
      </w:r>
      <w:r w:rsidRPr="00BF07C2">
        <w:rPr>
          <w:rFonts w:eastAsia="Times New Roman" w:cs="DecoType Naskh"/>
          <w:color w:val="auto"/>
          <w:kern w:val="0"/>
          <w:szCs w:val="26"/>
          <w:rtl/>
          <w:lang w:bidi="ar-JO"/>
          <w14:ligatures w14:val="none"/>
        </w:rPr>
        <w:t>شوتشار توف، مزمور 21)."</w:t>
      </w:r>
      <w:r w:rsidRPr="00BF07C2">
        <w:rPr>
          <w:rFonts w:eastAsia="Times New Roman" w:cs="DecoType Naskh"/>
          <w:color w:val="auto"/>
          <w:kern w:val="0"/>
          <w:sz w:val="30"/>
          <w:szCs w:val="28"/>
          <w:vertAlign w:val="superscript"/>
          <w:rtl/>
          <w:lang w:bidi="ar-JO"/>
          <w14:ligatures w14:val="none"/>
        </w:rPr>
        <w:footnoteReference w:id="103"/>
      </w:r>
      <w:r w:rsidRPr="00BF07C2">
        <w:rPr>
          <w:rFonts w:eastAsia="Times New Roman" w:cs="DecoType Naskh"/>
          <w:color w:val="auto"/>
          <w:kern w:val="0"/>
          <w:szCs w:val="26"/>
          <w:rtl/>
          <w:lang w:bidi="ar-JO"/>
          <w14:ligatures w14:val="none"/>
        </w:rPr>
        <w:t xml:space="preserve"> </w:t>
      </w:r>
      <w:r w:rsidRPr="00BF07C2">
        <w:rPr>
          <w:rFonts w:eastAsia="Times New Roman" w:cs="DecoType Naskh" w:hint="cs"/>
          <w:color w:val="auto"/>
          <w:kern w:val="0"/>
          <w:szCs w:val="26"/>
          <w:rtl/>
          <w14:ligatures w14:val="none"/>
        </w:rPr>
        <w:t xml:space="preserve"> </w:t>
      </w:r>
      <w:r w:rsidRPr="00BF07C2">
        <w:rPr>
          <w:rFonts w:eastAsia="Times New Roman" w:cs="DecoType Naskh"/>
          <w:color w:val="auto"/>
          <w:kern w:val="0"/>
          <w:szCs w:val="26"/>
          <w:rtl/>
          <w:lang w:bidi="ar-JO"/>
          <w14:ligatures w14:val="none"/>
        </w:rPr>
        <w:t xml:space="preserve">واعتبر اليهود أيضاً عيد المظال احتفالاً بالاستقلال القومي (مرتبطاً بفكرة تحررهم من مصر). </w:t>
      </w:r>
    </w:p>
    <w:p w14:paraId="786C63F1"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BF07C2">
        <w:rPr>
          <w:rFonts w:eastAsia="Times New Roman" w:cs="DecoType Naskh" w:hint="cs"/>
          <w:color w:val="auto"/>
          <w:kern w:val="0"/>
          <w:szCs w:val="26"/>
          <w:rtl/>
          <w:lang w:bidi="ar-JO"/>
          <w14:ligatures w14:val="none"/>
        </w:rPr>
        <w:t>ويصوِّر</w:t>
      </w:r>
      <w:r w:rsidRPr="00BF07C2">
        <w:rPr>
          <w:rFonts w:eastAsia="Times New Roman" w:cs="DecoType Naskh"/>
          <w:color w:val="auto"/>
          <w:kern w:val="0"/>
          <w:szCs w:val="26"/>
          <w:rtl/>
          <w:lang w:bidi="ar-JO"/>
          <w14:ligatures w14:val="none"/>
        </w:rPr>
        <w:t xml:space="preserve"> زكريا 14 هذا، وهو الذي يعلق عليه بلوتش قائلاً</w:t>
      </w:r>
      <w:r w:rsidRPr="00BF07C2">
        <w:rPr>
          <w:rFonts w:eastAsia="Times New Roman" w:cs="DecoType Naskh" w:hint="cs"/>
          <w:color w:val="auto"/>
          <w:kern w:val="0"/>
          <w:szCs w:val="26"/>
          <w:rtl/>
          <w:lang w:bidi="ar-JO"/>
          <w14:ligatures w14:val="none"/>
        </w:rPr>
        <w:t>:</w:t>
      </w:r>
      <w:r w:rsidRPr="00BF07C2">
        <w:rPr>
          <w:rFonts w:eastAsia="Times New Roman" w:cs="DecoType Naskh"/>
          <w:color w:val="auto"/>
          <w:kern w:val="0"/>
          <w:szCs w:val="26"/>
          <w:rtl/>
          <w:lang w:bidi="ar-JO"/>
          <w14:ligatures w14:val="none"/>
        </w:rPr>
        <w:t xml:space="preserve"> </w:t>
      </w:r>
      <w:r w:rsidRPr="00BF07C2">
        <w:rPr>
          <w:rFonts w:eastAsia="Times New Roman" w:cs="DecoType Naskh"/>
          <w:color w:val="auto"/>
          <w:kern w:val="0"/>
          <w:szCs w:val="26"/>
          <w:rtl/>
          <w14:ligatures w14:val="none"/>
        </w:rPr>
        <w:t>"إن الحديث عن الذهاب إلى أورشليم للاحتفال بعيد سَكّوت هو طريقة زكريّا في التنبؤ بأن شعوب العالم ستعترف باستقلال إسرائيل."</w:t>
      </w:r>
      <w:r w:rsidRPr="00BF07C2">
        <w:rPr>
          <w:rFonts w:eastAsia="Times New Roman" w:cs="DecoType Naskh"/>
          <w:color w:val="auto"/>
          <w:kern w:val="0"/>
          <w:sz w:val="30"/>
          <w:szCs w:val="28"/>
          <w:vertAlign w:val="superscript"/>
          <w:rtl/>
          <w14:ligatures w14:val="none"/>
        </w:rPr>
        <w:footnoteReference w:id="104"/>
      </w:r>
      <w:r w:rsidRPr="00BF07C2">
        <w:rPr>
          <w:rFonts w:eastAsia="Times New Roman" w:cs="DecoType Naskh" w:hint="cs"/>
          <w:color w:val="auto"/>
          <w:kern w:val="0"/>
          <w:szCs w:val="26"/>
          <w:rtl/>
          <w14:ligatures w14:val="none"/>
        </w:rPr>
        <w:t xml:space="preserve"> </w:t>
      </w:r>
      <w:r w:rsidRPr="00BF07C2">
        <w:rPr>
          <w:rFonts w:eastAsia="Times New Roman" w:cs="DecoType Naskh"/>
          <w:color w:val="auto"/>
          <w:kern w:val="0"/>
          <w:szCs w:val="26"/>
          <w:rtl/>
          <w14:ligatures w14:val="none"/>
        </w:rPr>
        <w:t xml:space="preserve"> وكان اليهود يتصوّرون المسيّا أيضاً في علاقته بالمظال.  يذكر بلوتش فكرة يؤمن بها بعضهم:</w:t>
      </w:r>
    </w:p>
    <w:p w14:paraId="71431CD8"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14:ligatures w14:val="none"/>
        </w:rPr>
      </w:pPr>
      <w:r w:rsidRPr="00BF07C2">
        <w:rPr>
          <w:rFonts w:eastAsia="Times New Roman" w:cs="DecoType Naskh"/>
          <w:color w:val="auto"/>
          <w:kern w:val="0"/>
          <w:szCs w:val="26"/>
          <w:rtl/>
          <w:lang w:bidi="ar-JO"/>
          <w14:ligatures w14:val="none"/>
        </w:rPr>
        <w:t xml:space="preserve">سيعلّم المسيّا ستة متزفوت </w:t>
      </w:r>
      <w:r w:rsidRPr="00BF07C2">
        <w:rPr>
          <w:rFonts w:eastAsia="Times New Roman" w:cs="DecoType Naskh" w:hint="cs"/>
          <w:color w:val="auto"/>
          <w:kern w:val="0"/>
          <w:szCs w:val="26"/>
          <w:rtl/>
          <w:lang w:bidi="ar-JO"/>
          <w14:ligatures w14:val="none"/>
        </w:rPr>
        <w:t xml:space="preserve">(وصايا) </w:t>
      </w:r>
      <w:r w:rsidRPr="00BF07C2">
        <w:rPr>
          <w:rFonts w:eastAsia="Times New Roman" w:cs="DecoType Naskh"/>
          <w:color w:val="auto"/>
          <w:kern w:val="0"/>
          <w:szCs w:val="26"/>
          <w:rtl/>
          <w:lang w:bidi="ar-JO"/>
          <w14:ligatures w14:val="none"/>
        </w:rPr>
        <w:t xml:space="preserve">لشعوب العالم، بما فيها سُكَّه </w:t>
      </w:r>
      <w:r w:rsidRPr="00BF07C2">
        <w:rPr>
          <w:rFonts w:eastAsia="Times New Roman" w:cs="DecoType Naskh" w:hint="cs"/>
          <w:color w:val="auto"/>
          <w:kern w:val="0"/>
          <w:szCs w:val="26"/>
          <w:rtl/>
          <w:lang w:bidi="ar-JO"/>
          <w14:ligatures w14:val="none"/>
        </w:rPr>
        <w:t xml:space="preserve">(المظال) </w:t>
      </w:r>
      <w:r w:rsidRPr="00BF07C2">
        <w:rPr>
          <w:rFonts w:eastAsia="Times New Roman" w:cs="DecoType Naskh"/>
          <w:color w:val="auto"/>
          <w:kern w:val="0"/>
          <w:szCs w:val="26"/>
          <w:rtl/>
          <w:lang w:bidi="ar-JO"/>
          <w14:ligatures w14:val="none"/>
        </w:rPr>
        <w:t>ولولاف</w:t>
      </w:r>
      <w:r w:rsidRPr="00BF07C2">
        <w:rPr>
          <w:rFonts w:eastAsia="Times New Roman" w:cs="DecoType Naskh" w:hint="cs"/>
          <w:color w:val="auto"/>
          <w:kern w:val="0"/>
          <w:szCs w:val="26"/>
          <w:rtl/>
          <w:lang w:bidi="ar-JO"/>
          <w14:ligatures w14:val="none"/>
        </w:rPr>
        <w:t xml:space="preserve"> (غصن النخيل)</w:t>
      </w:r>
      <w:r w:rsidRPr="00BF07C2">
        <w:rPr>
          <w:rFonts w:eastAsia="Times New Roman" w:cs="DecoType Naskh"/>
          <w:color w:val="auto"/>
          <w:kern w:val="0"/>
          <w:szCs w:val="26"/>
          <w:rtl/>
          <w:lang w:bidi="ar-JO"/>
          <w14:ligatures w14:val="none"/>
        </w:rPr>
        <w:t xml:space="preserve"> (شوتشار توف، مزمور 21).</w:t>
      </w:r>
      <w:r w:rsidRPr="00BF07C2">
        <w:rPr>
          <w:rFonts w:eastAsia="Times New Roman" w:cs="DecoType Naskh"/>
          <w:color w:val="auto"/>
          <w:kern w:val="0"/>
          <w:sz w:val="30"/>
          <w:szCs w:val="28"/>
          <w:vertAlign w:val="superscript"/>
          <w:rtl/>
          <w:lang w:bidi="ar-JO"/>
          <w14:ligatures w14:val="none"/>
        </w:rPr>
        <w:footnoteReference w:id="105"/>
      </w:r>
    </w:p>
    <w:p w14:paraId="36B673E5"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12"/>
          <w:szCs w:val="14"/>
          <w:rtl/>
          <w:lang w:bidi="ar-JO"/>
          <w14:ligatures w14:val="none"/>
        </w:rPr>
      </w:pPr>
    </w:p>
    <w:p w14:paraId="1088E18D"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 xml:space="preserve">لابد لكل هذه الأفكار حول كون عيد المظال عيداً فرحاً يبتهج فيه الجميع بغنى بركات الله، وحول رجاء استقلال إسرائيل بعون المسيّا، أن تجد تحقيقها الأخروي في الملكوت الألفي الذي سيؤسسه يسوع المسيح على الأرض بعد عودته.  عندئذ سيترسخ المؤمنون اليهود حقّاً في الأرض تحت حكم المسيّا يسوع المسيح الذي سيحكم الأرض مدة ألف سنة.  وسيكون هذا احتفالاً فرحاً بالفعل! وإنه لأمر مثير للاهتمام في متّى 17 أن استجابة بطرس، عندما سمح للتلاميذ الثلاثة بأن يروا يسوع كما سيكون في مجد ملكوته، كانت </w:t>
      </w:r>
      <w:r w:rsidRPr="00BF07C2">
        <w:rPr>
          <w:rFonts w:eastAsia="Times New Roman" w:cs="DecoType Naskh" w:hint="cs"/>
          <w:color w:val="auto"/>
          <w:kern w:val="0"/>
          <w:szCs w:val="26"/>
          <w:rtl/>
          <w:lang w:bidi="ar-JO"/>
          <w14:ligatures w14:val="none"/>
        </w:rPr>
        <w:t xml:space="preserve">استجابته طلب </w:t>
      </w:r>
      <w:r w:rsidRPr="00BF07C2">
        <w:rPr>
          <w:rFonts w:eastAsia="Times New Roman" w:cs="DecoType Naskh"/>
          <w:color w:val="auto"/>
          <w:kern w:val="0"/>
          <w:szCs w:val="26"/>
          <w:rtl/>
          <w:lang w:bidi="ar-JO"/>
          <w14:ligatures w14:val="none"/>
        </w:rPr>
        <w:t>بناء ثلاث مظال وفق زكريا 14 الذي يدعو إلى الاحتفال بالمظال لدى عودة المسيح.  كانت نظريته صحيحة، لكن توقيته كان خاطئاً.</w:t>
      </w:r>
    </w:p>
    <w:p w14:paraId="6E418B07"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12"/>
          <w:szCs w:val="14"/>
          <w:rtl/>
          <w:lang w:bidi="ar-JO"/>
          <w14:ligatures w14:val="none"/>
        </w:rPr>
      </w:pPr>
    </w:p>
    <w:p w14:paraId="637F7D35" w14:textId="77777777" w:rsidR="00BF07C2" w:rsidRPr="00BF07C2" w:rsidRDefault="00BF07C2"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BF07C2">
        <w:rPr>
          <w:rFonts w:eastAsia="Times New Roman" w:cs="DecoType Naskh" w:hint="cs"/>
          <w:bCs/>
          <w:color w:val="auto"/>
          <w:kern w:val="0"/>
          <w:szCs w:val="28"/>
          <w:rtl/>
          <w:lang w:bidi="ar-JO"/>
          <w14:ligatures w14:val="none"/>
        </w:rPr>
        <w:t>4</w:t>
      </w:r>
      <w:r w:rsidRPr="00BF07C2">
        <w:rPr>
          <w:rFonts w:eastAsia="Times New Roman" w:cs="DecoType Naskh"/>
          <w:bCs/>
          <w:color w:val="auto"/>
          <w:kern w:val="0"/>
          <w:szCs w:val="28"/>
          <w:rtl/>
          <w:lang w:bidi="ar-JO"/>
          <w14:ligatures w14:val="none"/>
        </w:rPr>
        <w:t>.</w:t>
      </w:r>
      <w:r w:rsidRPr="00BF07C2">
        <w:rPr>
          <w:rFonts w:eastAsia="Times New Roman" w:cs="DecoType Naskh"/>
          <w:bCs/>
          <w:color w:val="auto"/>
          <w:kern w:val="0"/>
          <w:szCs w:val="28"/>
          <w:rtl/>
          <w:lang w:bidi="ar-JO"/>
          <w14:ligatures w14:val="none"/>
        </w:rPr>
        <w:tab/>
        <w:t>بركات ولعنات (لاويين 26)</w:t>
      </w:r>
    </w:p>
    <w:p w14:paraId="2CF34939"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يقدّم هذا ا</w:t>
      </w:r>
      <w:r w:rsidRPr="00BF07C2">
        <w:rPr>
          <w:rFonts w:eastAsia="Times New Roman" w:cs="DecoType Naskh" w:hint="cs"/>
          <w:color w:val="auto"/>
          <w:kern w:val="0"/>
          <w:szCs w:val="26"/>
          <w:rtl/>
          <w:lang w:bidi="ar-JO"/>
          <w14:ligatures w14:val="none"/>
        </w:rPr>
        <w:t>لأ</w:t>
      </w:r>
      <w:r w:rsidRPr="00BF07C2">
        <w:rPr>
          <w:rFonts w:eastAsia="Times New Roman" w:cs="DecoType Naskh"/>
          <w:color w:val="auto"/>
          <w:kern w:val="0"/>
          <w:szCs w:val="26"/>
          <w:rtl/>
          <w:lang w:bidi="ar-JO"/>
          <w14:ligatures w14:val="none"/>
        </w:rPr>
        <w:t xml:space="preserve">صحاح مخطّطاً عامّاً للتأديب الذي سيمارسه الله ضد شعب عهده عندما يرفضون حكم يهوه الملكي عليهم.  وستكون ذروة التأديب نفيهم من الأرض، أي السبي.  </w:t>
      </w:r>
      <w:r w:rsidRPr="00BF07C2">
        <w:rPr>
          <w:rFonts w:eastAsia="Times New Roman" w:cs="DecoType Naskh" w:hint="cs"/>
          <w:color w:val="auto"/>
          <w:kern w:val="0"/>
          <w:szCs w:val="26"/>
          <w:rtl/>
          <w:lang w:bidi="ar-JO"/>
          <w14:ligatures w14:val="none"/>
        </w:rPr>
        <w:t>وينبئ</w:t>
      </w:r>
      <w:r w:rsidRPr="00BF07C2">
        <w:rPr>
          <w:rFonts w:eastAsia="Times New Roman" w:cs="DecoType Naskh"/>
          <w:color w:val="auto"/>
          <w:kern w:val="0"/>
          <w:szCs w:val="26"/>
          <w:rtl/>
          <w:lang w:bidi="ar-JO"/>
          <w14:ligatures w14:val="none"/>
        </w:rPr>
        <w:t xml:space="preserve"> هذا الأمر </w:t>
      </w:r>
      <w:r w:rsidRPr="00BF07C2">
        <w:rPr>
          <w:rFonts w:eastAsia="Times New Roman" w:cs="DecoType Naskh" w:hint="cs"/>
          <w:color w:val="auto"/>
          <w:kern w:val="0"/>
          <w:szCs w:val="26"/>
          <w:rtl/>
          <w:lang w:bidi="ar-JO"/>
          <w14:ligatures w14:val="none"/>
        </w:rPr>
        <w:t>ب</w:t>
      </w:r>
      <w:r w:rsidRPr="00BF07C2">
        <w:rPr>
          <w:rFonts w:eastAsia="Times New Roman" w:cs="DecoType Naskh"/>
          <w:color w:val="auto"/>
          <w:kern w:val="0"/>
          <w:szCs w:val="26"/>
          <w:rtl/>
          <w:lang w:bidi="ar-JO"/>
          <w14:ligatures w14:val="none"/>
        </w:rPr>
        <w:t>السبي البابلي الذي كان لا بد لإسرائيل أن تمر به كتأديب من الله للأمة العاصية التي رفضته.  غير أن لاويين 26: 40-45 توضح أن الله لن يقوم أبداً بالتخلّي عن إسرائيل تخلّياً نهائياً.  ولهذا فإنه مازال لهم مستقبل، (انظر رومية 8-11)، وهذا كلّه معتمد على العهد الذي قطعه الله مع إبراهيم (26: 42).</w:t>
      </w:r>
    </w:p>
    <w:p w14:paraId="0C4CE9ED" w14:textId="77777777" w:rsidR="00BF07C2" w:rsidRPr="00BF07C2" w:rsidRDefault="00BF07C2"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BF07C2">
        <w:rPr>
          <w:rFonts w:eastAsia="Times New Roman" w:cs="DecoType Naskh"/>
          <w:color w:val="auto"/>
          <w:kern w:val="0"/>
          <w:szCs w:val="26"/>
          <w:rtl/>
          <w:lang w:bidi="ar-JO"/>
          <w14:ligatures w14:val="none"/>
        </w:rPr>
        <w:t>ولكن مع ذلك أيضاً متى كانوا في الأرض أعدائهم، ما أبيتُهم ولا كرهتهم حتى أبيدهم وأنكث ميثاقي معهم، لأني أنا الرب إلههم.  بل أذكر لهم الميثاق مع الأولين الذين أخرجتهم من مصر أمام أعين الشعوب لأكون لهم إلهاً، أنا الرب (لاويين 26: 44-45).</w:t>
      </w:r>
    </w:p>
    <w:p w14:paraId="3AC084F1" w14:textId="77777777" w:rsidR="007F18C6" w:rsidRPr="007F18C6" w:rsidRDefault="007F18C6" w:rsidP="002D6C54">
      <w:pPr>
        <w:tabs>
          <w:tab w:val="left" w:pos="547"/>
          <w:tab w:val="left" w:pos="1094"/>
          <w:tab w:val="left" w:pos="1642"/>
          <w:tab w:val="left" w:pos="2189"/>
          <w:tab w:val="left" w:pos="2736"/>
          <w:tab w:val="left" w:pos="3283"/>
          <w:tab w:val="left" w:pos="3830"/>
          <w:tab w:val="left" w:pos="4378"/>
        </w:tabs>
        <w:spacing w:after="120" w:line="240" w:lineRule="auto"/>
        <w:jc w:val="both"/>
        <w:rPr>
          <w:rFonts w:eastAsia="Times New Roman" w:cs="Times New Roman"/>
          <w:color w:val="auto"/>
          <w:kern w:val="0"/>
          <w:sz w:val="22"/>
          <w:szCs w:val="24"/>
          <w:lang w:bidi="ar-JO"/>
          <w14:ligatures w14:val="none"/>
        </w:rPr>
      </w:pPr>
    </w:p>
    <w:p w14:paraId="4CFCB1D2" w14:textId="77777777" w:rsidR="007F18C6" w:rsidRDefault="007F18C6" w:rsidP="002D6C54">
      <w:pPr>
        <w:pStyle w:val="Heading4"/>
        <w:spacing w:line="240" w:lineRule="auto"/>
      </w:pPr>
      <w:r>
        <w:br w:type="page"/>
      </w:r>
    </w:p>
    <w:p w14:paraId="7EB7C464" w14:textId="648727DA" w:rsidR="00BD405E" w:rsidRPr="00BD405E" w:rsidRDefault="00BF07C2" w:rsidP="002D6C54">
      <w:pPr>
        <w:spacing w:after="0" w:line="240" w:lineRule="auto"/>
        <w:jc w:val="center"/>
        <w:rPr>
          <w:rFonts w:cs="Times New Roman"/>
          <w:color w:val="auto"/>
          <w:kern w:val="0"/>
          <w:szCs w:val="20"/>
          <w14:ligatures w14:val="none"/>
        </w:rPr>
      </w:pPr>
      <w:r>
        <w:rPr>
          <w:rFonts w:cs="Times New Roman"/>
          <w:color w:val="auto"/>
          <w:kern w:val="0"/>
          <w:szCs w:val="20"/>
          <w14:ligatures w14:val="none"/>
        </w:rPr>
        <w:object w:dxaOrig="3245" w:dyaOrig="1979" w14:anchorId="069DC582">
          <v:shape id="_x0000_i1034" type="#_x0000_t75" style="width:460.2pt;height:281.4pt" o:ole="">
            <v:imagedata r:id="rId58" o:title=""/>
          </v:shape>
          <o:OLEObject Type="Embed" ProgID="PowerPoint.Show.12" ShapeID="_x0000_i1034" DrawAspect="Content" ObjectID="_1802157129" r:id="rId59"/>
        </w:object>
      </w:r>
    </w:p>
    <w:p w14:paraId="6AF63CAB" w14:textId="77777777" w:rsidR="00BD405E" w:rsidRPr="00BD405E" w:rsidRDefault="00BD405E" w:rsidP="002D6C54">
      <w:pPr>
        <w:spacing w:after="0" w:line="240" w:lineRule="auto"/>
        <w:rPr>
          <w:rFonts w:cs="Times New Roman"/>
          <w:color w:val="auto"/>
          <w:kern w:val="0"/>
          <w:sz w:val="16"/>
          <w:szCs w:val="16"/>
          <w14:ligatures w14:val="none"/>
        </w:rPr>
      </w:pPr>
    </w:p>
    <w:p w14:paraId="03824E35" w14:textId="56CAFB1F" w:rsidR="00BD405E" w:rsidRPr="00B3744F" w:rsidRDefault="00B3744F" w:rsidP="00B3744F">
      <w:pPr>
        <w:pStyle w:val="ListParagraph"/>
        <w:numPr>
          <w:ilvl w:val="0"/>
          <w:numId w:val="35"/>
        </w:numPr>
        <w:bidi/>
        <w:spacing w:after="0" w:line="240" w:lineRule="auto"/>
        <w:rPr>
          <w:rFonts w:cs="Times New Roman"/>
          <w:b/>
          <w:bCs/>
          <w:kern w:val="0"/>
          <w:szCs w:val="20"/>
          <w14:ligatures w14:val="none"/>
        </w:rPr>
      </w:pPr>
      <w:bookmarkStart w:id="108" w:name="_Hlk178778899"/>
      <w:r>
        <w:rPr>
          <w:rFonts w:cs="Times New Roman" w:hint="cs"/>
          <w:b/>
          <w:bCs/>
          <w:kern w:val="0"/>
          <w:szCs w:val="20"/>
          <w:rtl/>
          <w14:ligatures w14:val="none"/>
        </w:rPr>
        <w:t xml:space="preserve">الفصح </w:t>
      </w:r>
    </w:p>
    <w:p w14:paraId="38FEF1E4" w14:textId="18C5277C" w:rsidR="00BD405E" w:rsidRPr="00BF07C2" w:rsidRDefault="00BD405E" w:rsidP="00B3744F">
      <w:pPr>
        <w:bidi/>
        <w:spacing w:after="0" w:line="240" w:lineRule="auto"/>
        <w:ind w:left="720"/>
        <w:rPr>
          <w:rFonts w:cs="Times New Roman"/>
          <w:kern w:val="0"/>
          <w:szCs w:val="20"/>
          <w14:ligatures w14:val="none"/>
        </w:rPr>
      </w:pPr>
      <w:r w:rsidRPr="00BF07C2">
        <w:rPr>
          <w:rFonts w:cs="Times New Roman"/>
          <w:kern w:val="0"/>
          <w:szCs w:val="20"/>
          <w14:ligatures w14:val="none"/>
        </w:rPr>
        <w:tab/>
      </w:r>
      <w:r w:rsidR="00B3744F">
        <w:rPr>
          <w:rFonts w:cs="Times New Roman" w:hint="cs"/>
          <w:kern w:val="0"/>
          <w:szCs w:val="20"/>
          <w:rtl/>
          <w14:ligatures w14:val="none"/>
        </w:rPr>
        <w:t>لاويين 23: 5؛ سفر العدد 28: 16؛ تثنية 16: 1-2</w:t>
      </w:r>
      <w:r w:rsidR="007A2FA0">
        <w:rPr>
          <w:rFonts w:cs="Times New Roman" w:hint="cs"/>
          <w:kern w:val="0"/>
          <w:szCs w:val="20"/>
          <w:rtl/>
          <w14:ligatures w14:val="none"/>
        </w:rPr>
        <w:t>،</w:t>
      </w:r>
      <w:r w:rsidR="00B3744F">
        <w:rPr>
          <w:rFonts w:cs="Times New Roman" w:hint="cs"/>
          <w:kern w:val="0"/>
          <w:szCs w:val="20"/>
          <w:rtl/>
          <w14:ligatures w14:val="none"/>
        </w:rPr>
        <w:t xml:space="preserve"> 5-7 (قارن مع خروج 12: 1-13). </w:t>
      </w:r>
    </w:p>
    <w:p w14:paraId="279278DE" w14:textId="73D1A9CE" w:rsidR="00BD405E" w:rsidRPr="00BF07C2" w:rsidRDefault="00BD405E" w:rsidP="00B3744F">
      <w:pPr>
        <w:bidi/>
        <w:spacing w:after="0" w:line="240" w:lineRule="auto"/>
        <w:ind w:left="720"/>
        <w:rPr>
          <w:rFonts w:cs="Times New Roman"/>
          <w:kern w:val="0"/>
          <w:szCs w:val="20"/>
          <w14:ligatures w14:val="none"/>
        </w:rPr>
      </w:pPr>
      <w:r w:rsidRPr="00BF07C2">
        <w:rPr>
          <w:rFonts w:cs="Times New Roman"/>
          <w:kern w:val="0"/>
          <w:szCs w:val="20"/>
          <w14:ligatures w14:val="none"/>
        </w:rPr>
        <w:tab/>
      </w:r>
      <w:r w:rsidR="00B3744F">
        <w:rPr>
          <w:rFonts w:cs="Times New Roman" w:hint="cs"/>
          <w:kern w:val="0"/>
          <w:szCs w:val="20"/>
          <w:rtl/>
          <w14:ligatures w14:val="none"/>
        </w:rPr>
        <w:t xml:space="preserve">الوقت: في اليوم الرابع عشر من الشهر الأول، "بين العشائَين". </w:t>
      </w:r>
    </w:p>
    <w:p w14:paraId="3933A99A" w14:textId="77777777" w:rsidR="00BD405E" w:rsidRPr="00BF07C2" w:rsidRDefault="00BD405E" w:rsidP="002D6C54">
      <w:pPr>
        <w:spacing w:after="0" w:line="240" w:lineRule="auto"/>
        <w:ind w:left="720"/>
        <w:rPr>
          <w:rFonts w:cs="Times New Roman"/>
          <w:kern w:val="0"/>
          <w:sz w:val="16"/>
          <w:szCs w:val="16"/>
          <w14:ligatures w14:val="none"/>
        </w:rPr>
      </w:pPr>
    </w:p>
    <w:p w14:paraId="0DFE4154" w14:textId="6E39C389" w:rsidR="00BD405E" w:rsidRPr="00F62F3D" w:rsidRDefault="00F62F3D" w:rsidP="00F62F3D">
      <w:pPr>
        <w:pStyle w:val="ListParagraph"/>
        <w:numPr>
          <w:ilvl w:val="0"/>
          <w:numId w:val="35"/>
        </w:numPr>
        <w:bidi/>
        <w:spacing w:after="0" w:line="240" w:lineRule="auto"/>
        <w:rPr>
          <w:rFonts w:cs="Times New Roman"/>
          <w:b/>
          <w:bCs/>
          <w:kern w:val="0"/>
          <w:szCs w:val="20"/>
          <w14:ligatures w14:val="none"/>
        </w:rPr>
      </w:pPr>
      <w:r>
        <w:rPr>
          <w:rFonts w:cs="Times New Roman" w:hint="cs"/>
          <w:b/>
          <w:bCs/>
          <w:kern w:val="0"/>
          <w:szCs w:val="20"/>
          <w:rtl/>
          <w14:ligatures w14:val="none"/>
        </w:rPr>
        <w:t>الفطير</w:t>
      </w:r>
    </w:p>
    <w:p w14:paraId="6E1CF8D2" w14:textId="5C039F76" w:rsidR="00BD405E" w:rsidRPr="00BF07C2" w:rsidRDefault="00BD405E" w:rsidP="00F62F3D">
      <w:pPr>
        <w:bidi/>
        <w:spacing w:after="0" w:line="240" w:lineRule="auto"/>
        <w:ind w:left="720"/>
        <w:rPr>
          <w:rFonts w:cs="Times New Roman"/>
          <w:kern w:val="0"/>
          <w:szCs w:val="20"/>
          <w14:ligatures w14:val="none"/>
        </w:rPr>
      </w:pPr>
      <w:r w:rsidRPr="00BF07C2">
        <w:rPr>
          <w:rFonts w:cs="Times New Roman"/>
          <w:kern w:val="0"/>
          <w:szCs w:val="20"/>
          <w14:ligatures w14:val="none"/>
        </w:rPr>
        <w:tab/>
      </w:r>
      <w:r w:rsidR="00F62F3D">
        <w:rPr>
          <w:rFonts w:cs="Times New Roman" w:hint="cs"/>
          <w:kern w:val="0"/>
          <w:szCs w:val="20"/>
          <w:rtl/>
          <w14:ligatures w14:val="none"/>
        </w:rPr>
        <w:t xml:space="preserve">لاويين 23: 6-8؛ سفر العدد 28: 17-25؛ تثنية 16: 3-4، 8 (قارن مع خروج 12: 14-20) </w:t>
      </w:r>
    </w:p>
    <w:p w14:paraId="6882912A" w14:textId="650D2712" w:rsidR="00BD405E" w:rsidRPr="00BF07C2" w:rsidRDefault="00BD405E" w:rsidP="00F62F3D">
      <w:pPr>
        <w:bidi/>
        <w:spacing w:after="0" w:line="240" w:lineRule="auto"/>
        <w:ind w:left="720"/>
        <w:rPr>
          <w:rFonts w:cs="Times New Roman"/>
          <w:kern w:val="0"/>
          <w:szCs w:val="20"/>
          <w14:ligatures w14:val="none"/>
        </w:rPr>
      </w:pPr>
      <w:r w:rsidRPr="00BF07C2">
        <w:rPr>
          <w:rFonts w:cs="Times New Roman"/>
          <w:kern w:val="0"/>
          <w:szCs w:val="20"/>
          <w14:ligatures w14:val="none"/>
        </w:rPr>
        <w:tab/>
      </w:r>
      <w:r w:rsidR="00F62F3D">
        <w:rPr>
          <w:rFonts w:cs="Times New Roman" w:hint="cs"/>
          <w:kern w:val="0"/>
          <w:szCs w:val="20"/>
          <w:rtl/>
          <w14:ligatures w14:val="none"/>
        </w:rPr>
        <w:t xml:space="preserve">الوقت: اليوم الخامس عشر من الشهر الأول (ولمدّة 7 أيّام) </w:t>
      </w:r>
    </w:p>
    <w:p w14:paraId="7407E247" w14:textId="77777777" w:rsidR="00BD405E" w:rsidRPr="00BF07C2" w:rsidRDefault="00BD405E" w:rsidP="002D6C54">
      <w:pPr>
        <w:spacing w:after="0" w:line="240" w:lineRule="auto"/>
        <w:ind w:left="720"/>
        <w:rPr>
          <w:rFonts w:cs="Times New Roman"/>
          <w:kern w:val="0"/>
          <w:sz w:val="16"/>
          <w:szCs w:val="16"/>
          <w14:ligatures w14:val="none"/>
        </w:rPr>
      </w:pPr>
    </w:p>
    <w:p w14:paraId="6D80BED1" w14:textId="2D7CE9DD" w:rsidR="00BD405E" w:rsidRPr="00F62F3D" w:rsidRDefault="00F62F3D" w:rsidP="00F62F3D">
      <w:pPr>
        <w:pStyle w:val="ListParagraph"/>
        <w:numPr>
          <w:ilvl w:val="0"/>
          <w:numId w:val="35"/>
        </w:numPr>
        <w:bidi/>
        <w:spacing w:after="0" w:line="240" w:lineRule="auto"/>
        <w:rPr>
          <w:rFonts w:cs="Times New Roman"/>
          <w:b/>
          <w:bCs/>
          <w:kern w:val="0"/>
          <w:szCs w:val="20"/>
          <w14:ligatures w14:val="none"/>
        </w:rPr>
      </w:pPr>
      <w:r>
        <w:rPr>
          <w:rFonts w:cs="Times New Roman" w:hint="cs"/>
          <w:b/>
          <w:bCs/>
          <w:kern w:val="0"/>
          <w:szCs w:val="20"/>
          <w:rtl/>
          <w14:ligatures w14:val="none"/>
        </w:rPr>
        <w:t>الباكورة</w:t>
      </w:r>
    </w:p>
    <w:p w14:paraId="7F255008" w14:textId="36713354" w:rsidR="00BD405E" w:rsidRPr="00BF07C2" w:rsidRDefault="00BD405E" w:rsidP="00F62F3D">
      <w:pPr>
        <w:bidi/>
        <w:spacing w:after="0" w:line="240" w:lineRule="auto"/>
        <w:ind w:left="720"/>
        <w:rPr>
          <w:rFonts w:cs="Times New Roman"/>
          <w:kern w:val="0"/>
          <w:szCs w:val="20"/>
          <w14:ligatures w14:val="none"/>
        </w:rPr>
      </w:pPr>
      <w:r w:rsidRPr="00BF07C2">
        <w:rPr>
          <w:rFonts w:cs="Times New Roman"/>
          <w:kern w:val="0"/>
          <w:szCs w:val="20"/>
          <w14:ligatures w14:val="none"/>
        </w:rPr>
        <w:tab/>
      </w:r>
      <w:r w:rsidR="00F62F3D">
        <w:rPr>
          <w:rFonts w:cs="Times New Roman" w:hint="cs"/>
          <w:kern w:val="0"/>
          <w:szCs w:val="20"/>
          <w:rtl/>
          <w14:ligatures w14:val="none"/>
        </w:rPr>
        <w:t xml:space="preserve">لاويين 23: 9-14؛ عدد 28: 26-31 </w:t>
      </w:r>
    </w:p>
    <w:p w14:paraId="557C49B4" w14:textId="7ED66628" w:rsidR="00BD405E" w:rsidRPr="00BF07C2" w:rsidRDefault="00BD405E" w:rsidP="00F62F3D">
      <w:pPr>
        <w:bidi/>
        <w:spacing w:after="0" w:line="240" w:lineRule="auto"/>
        <w:ind w:left="720"/>
        <w:rPr>
          <w:rFonts w:cs="Times New Roman"/>
          <w:kern w:val="0"/>
          <w:szCs w:val="20"/>
          <w14:ligatures w14:val="none"/>
        </w:rPr>
      </w:pPr>
      <w:r w:rsidRPr="00BF07C2">
        <w:rPr>
          <w:rFonts w:cs="Times New Roman"/>
          <w:kern w:val="0"/>
          <w:szCs w:val="20"/>
          <w14:ligatures w14:val="none"/>
        </w:rPr>
        <w:tab/>
      </w:r>
      <w:r w:rsidR="00F62F3D">
        <w:rPr>
          <w:rFonts w:cs="Times New Roman" w:hint="cs"/>
          <w:kern w:val="0"/>
          <w:szCs w:val="20"/>
          <w:rtl/>
          <w14:ligatures w14:val="none"/>
        </w:rPr>
        <w:t xml:space="preserve">الوقت: في اليوم </w:t>
      </w:r>
      <w:r w:rsidR="00C2211C">
        <w:rPr>
          <w:rFonts w:cs="Times New Roman" w:hint="cs"/>
          <w:kern w:val="0"/>
          <w:szCs w:val="20"/>
          <w:rtl/>
          <w14:ligatures w14:val="none"/>
        </w:rPr>
        <w:t xml:space="preserve">الذي يلي السبت الذي يأتي بعد يوم الفصح </w:t>
      </w:r>
    </w:p>
    <w:p w14:paraId="1C244F8A" w14:textId="77777777" w:rsidR="00BD405E" w:rsidRPr="00BF07C2" w:rsidRDefault="00BD405E" w:rsidP="002D6C54">
      <w:pPr>
        <w:spacing w:after="0" w:line="240" w:lineRule="auto"/>
        <w:ind w:left="720"/>
        <w:rPr>
          <w:rFonts w:cs="Times New Roman"/>
          <w:kern w:val="0"/>
          <w:sz w:val="16"/>
          <w:szCs w:val="16"/>
          <w14:ligatures w14:val="none"/>
        </w:rPr>
      </w:pPr>
    </w:p>
    <w:p w14:paraId="380C301C" w14:textId="23434291" w:rsidR="00BD405E" w:rsidRPr="00C2211C" w:rsidRDefault="00C2211C" w:rsidP="00C2211C">
      <w:pPr>
        <w:pStyle w:val="ListParagraph"/>
        <w:numPr>
          <w:ilvl w:val="0"/>
          <w:numId w:val="35"/>
        </w:numPr>
        <w:bidi/>
        <w:spacing w:after="0" w:line="240" w:lineRule="auto"/>
        <w:rPr>
          <w:rFonts w:cs="Times New Roman"/>
          <w:b/>
          <w:bCs/>
          <w:kern w:val="0"/>
          <w:szCs w:val="20"/>
          <w14:ligatures w14:val="none"/>
        </w:rPr>
      </w:pPr>
      <w:r>
        <w:rPr>
          <w:rFonts w:cs="Times New Roman" w:hint="cs"/>
          <w:b/>
          <w:bCs/>
          <w:kern w:val="0"/>
          <w:szCs w:val="20"/>
          <w:rtl/>
          <w14:ligatures w14:val="none"/>
        </w:rPr>
        <w:t>الأسابيع (الخمسين)</w:t>
      </w:r>
    </w:p>
    <w:p w14:paraId="469E66E2" w14:textId="63585174" w:rsidR="00BD405E" w:rsidRPr="00BF07C2" w:rsidRDefault="00BD405E" w:rsidP="00C2211C">
      <w:pPr>
        <w:bidi/>
        <w:spacing w:after="0" w:line="240" w:lineRule="auto"/>
        <w:ind w:left="720"/>
        <w:rPr>
          <w:rFonts w:cs="Times New Roman"/>
          <w:kern w:val="0"/>
          <w:szCs w:val="20"/>
          <w14:ligatures w14:val="none"/>
        </w:rPr>
      </w:pPr>
      <w:r w:rsidRPr="00BF07C2">
        <w:rPr>
          <w:rFonts w:cs="Times New Roman"/>
          <w:kern w:val="0"/>
          <w:szCs w:val="20"/>
          <w14:ligatures w14:val="none"/>
        </w:rPr>
        <w:tab/>
      </w:r>
      <w:r w:rsidR="00C2211C">
        <w:rPr>
          <w:rFonts w:cs="Times New Roman" w:hint="cs"/>
          <w:kern w:val="0"/>
          <w:szCs w:val="20"/>
          <w:rtl/>
          <w14:ligatures w14:val="none"/>
        </w:rPr>
        <w:t>لاويين 23: 15-22؛ تثنية 16: 9-12</w:t>
      </w:r>
    </w:p>
    <w:p w14:paraId="45DDB53B" w14:textId="2760DA19" w:rsidR="00BD405E" w:rsidRPr="00BF07C2" w:rsidRDefault="00BD405E" w:rsidP="00C2211C">
      <w:pPr>
        <w:bidi/>
        <w:spacing w:after="0" w:line="240" w:lineRule="auto"/>
        <w:ind w:left="720"/>
        <w:rPr>
          <w:rFonts w:cs="Times New Roman"/>
          <w:kern w:val="0"/>
          <w:szCs w:val="20"/>
          <w14:ligatures w14:val="none"/>
        </w:rPr>
      </w:pPr>
      <w:r w:rsidRPr="00BF07C2">
        <w:rPr>
          <w:rFonts w:cs="Times New Roman"/>
          <w:kern w:val="0"/>
          <w:szCs w:val="20"/>
          <w14:ligatures w14:val="none"/>
        </w:rPr>
        <w:tab/>
      </w:r>
      <w:r w:rsidR="00C2211C">
        <w:rPr>
          <w:rFonts w:cs="Times New Roman" w:hint="cs"/>
          <w:kern w:val="0"/>
          <w:szCs w:val="20"/>
          <w:rtl/>
          <w14:ligatures w14:val="none"/>
        </w:rPr>
        <w:t xml:space="preserve">الوقت: 50 يوم بعد الباكورة (اليوم الذي يلي السبت السابع) </w:t>
      </w:r>
    </w:p>
    <w:p w14:paraId="657E7D0F" w14:textId="77777777" w:rsidR="00BD405E" w:rsidRPr="00BF07C2" w:rsidRDefault="00BD405E" w:rsidP="002D6C54">
      <w:pPr>
        <w:spacing w:after="0" w:line="240" w:lineRule="auto"/>
        <w:ind w:left="720"/>
        <w:rPr>
          <w:rFonts w:cs="Times New Roman"/>
          <w:kern w:val="0"/>
          <w:sz w:val="16"/>
          <w:szCs w:val="16"/>
          <w14:ligatures w14:val="none"/>
        </w:rPr>
      </w:pPr>
    </w:p>
    <w:p w14:paraId="4090A67B" w14:textId="13F9A0DE" w:rsidR="00BD405E" w:rsidRPr="00C2211C" w:rsidRDefault="00C2211C" w:rsidP="00C2211C">
      <w:pPr>
        <w:pStyle w:val="ListParagraph"/>
        <w:numPr>
          <w:ilvl w:val="0"/>
          <w:numId w:val="35"/>
        </w:numPr>
        <w:bidi/>
        <w:spacing w:after="0" w:line="240" w:lineRule="auto"/>
        <w:rPr>
          <w:rFonts w:cs="Times New Roman"/>
          <w:b/>
          <w:bCs/>
          <w:kern w:val="0"/>
          <w:szCs w:val="20"/>
          <w14:ligatures w14:val="none"/>
        </w:rPr>
      </w:pPr>
      <w:r>
        <w:rPr>
          <w:rFonts w:cs="Times New Roman" w:hint="cs"/>
          <w:b/>
          <w:bCs/>
          <w:kern w:val="0"/>
          <w:szCs w:val="20"/>
          <w:rtl/>
          <w14:ligatures w14:val="none"/>
        </w:rPr>
        <w:t>عيد الأبواق</w:t>
      </w:r>
    </w:p>
    <w:p w14:paraId="084F8418" w14:textId="5DCC2626" w:rsidR="00BD405E" w:rsidRPr="00BF07C2" w:rsidRDefault="00BD405E" w:rsidP="00C2211C">
      <w:pPr>
        <w:bidi/>
        <w:spacing w:after="0" w:line="240" w:lineRule="auto"/>
        <w:ind w:left="720"/>
        <w:rPr>
          <w:rFonts w:cs="Times New Roman"/>
          <w:kern w:val="0"/>
          <w:szCs w:val="20"/>
          <w14:ligatures w14:val="none"/>
        </w:rPr>
      </w:pPr>
      <w:r w:rsidRPr="00BF07C2">
        <w:rPr>
          <w:rFonts w:cs="Times New Roman"/>
          <w:kern w:val="0"/>
          <w:szCs w:val="20"/>
          <w14:ligatures w14:val="none"/>
        </w:rPr>
        <w:tab/>
      </w:r>
      <w:r w:rsidR="00C2211C">
        <w:rPr>
          <w:rFonts w:cs="Times New Roman" w:hint="cs"/>
          <w:kern w:val="0"/>
          <w:szCs w:val="20"/>
          <w:rtl/>
          <w14:ligatures w14:val="none"/>
        </w:rPr>
        <w:t>لاويين 23: 23-25؛ سفر العدد 29: 1-6</w:t>
      </w:r>
    </w:p>
    <w:p w14:paraId="6D8B442A" w14:textId="4F7AAA0B" w:rsidR="00BD405E" w:rsidRPr="00BF07C2" w:rsidRDefault="00BD405E" w:rsidP="00C2211C">
      <w:pPr>
        <w:bidi/>
        <w:spacing w:after="0" w:line="240" w:lineRule="auto"/>
        <w:ind w:left="720"/>
        <w:rPr>
          <w:rFonts w:cs="Times New Roman"/>
          <w:kern w:val="0"/>
          <w:szCs w:val="20"/>
          <w14:ligatures w14:val="none"/>
        </w:rPr>
      </w:pPr>
      <w:r w:rsidRPr="00BF07C2">
        <w:rPr>
          <w:rFonts w:cs="Times New Roman"/>
          <w:kern w:val="0"/>
          <w:szCs w:val="20"/>
          <w14:ligatures w14:val="none"/>
        </w:rPr>
        <w:tab/>
      </w:r>
      <w:r w:rsidR="00C2211C">
        <w:rPr>
          <w:rFonts w:cs="Times New Roman" w:hint="cs"/>
          <w:kern w:val="0"/>
          <w:szCs w:val="20"/>
          <w:rtl/>
          <w14:ligatures w14:val="none"/>
        </w:rPr>
        <w:t>الوقت: في اليوم الأول من الشهر السابع</w:t>
      </w:r>
    </w:p>
    <w:p w14:paraId="12C2E8FC" w14:textId="77777777" w:rsidR="00BD405E" w:rsidRPr="00BF07C2" w:rsidRDefault="00BD405E" w:rsidP="002D6C54">
      <w:pPr>
        <w:spacing w:after="0" w:line="240" w:lineRule="auto"/>
        <w:ind w:left="720"/>
        <w:rPr>
          <w:rFonts w:cs="Times New Roman"/>
          <w:kern w:val="0"/>
          <w:sz w:val="16"/>
          <w:szCs w:val="16"/>
          <w14:ligatures w14:val="none"/>
        </w:rPr>
      </w:pPr>
    </w:p>
    <w:p w14:paraId="5A70CA69" w14:textId="5FD5AFFF" w:rsidR="00BD405E" w:rsidRPr="00C2211C" w:rsidRDefault="00C2211C" w:rsidP="00C2211C">
      <w:pPr>
        <w:pStyle w:val="ListParagraph"/>
        <w:numPr>
          <w:ilvl w:val="0"/>
          <w:numId w:val="35"/>
        </w:numPr>
        <w:bidi/>
        <w:spacing w:after="0" w:line="240" w:lineRule="auto"/>
        <w:rPr>
          <w:rFonts w:cs="Times New Roman"/>
          <w:b/>
          <w:bCs/>
          <w:kern w:val="0"/>
          <w:szCs w:val="20"/>
          <w14:ligatures w14:val="none"/>
        </w:rPr>
      </w:pPr>
      <w:r>
        <w:rPr>
          <w:rFonts w:cs="Times New Roman" w:hint="cs"/>
          <w:b/>
          <w:bCs/>
          <w:kern w:val="0"/>
          <w:szCs w:val="20"/>
          <w:rtl/>
          <w14:ligatures w14:val="none"/>
        </w:rPr>
        <w:t xml:space="preserve">عيد الكفارة </w:t>
      </w:r>
    </w:p>
    <w:p w14:paraId="34120732" w14:textId="7118B60E" w:rsidR="00BD405E" w:rsidRPr="00BF07C2" w:rsidRDefault="00BD405E" w:rsidP="00C2211C">
      <w:pPr>
        <w:bidi/>
        <w:spacing w:after="0" w:line="240" w:lineRule="auto"/>
        <w:ind w:left="720"/>
        <w:rPr>
          <w:rFonts w:cs="Times New Roman"/>
          <w:kern w:val="0"/>
          <w:szCs w:val="20"/>
          <w14:ligatures w14:val="none"/>
        </w:rPr>
      </w:pPr>
      <w:r w:rsidRPr="00BF07C2">
        <w:rPr>
          <w:rFonts w:cs="Times New Roman"/>
          <w:kern w:val="0"/>
          <w:szCs w:val="20"/>
          <w14:ligatures w14:val="none"/>
        </w:rPr>
        <w:tab/>
      </w:r>
      <w:r w:rsidR="00C2211C">
        <w:rPr>
          <w:rFonts w:cs="Times New Roman" w:hint="cs"/>
          <w:kern w:val="0"/>
          <w:szCs w:val="20"/>
          <w:rtl/>
          <w14:ligatures w14:val="none"/>
        </w:rPr>
        <w:t>لاويين 23: 26-32؛ سفر العدد 29: 1-6</w:t>
      </w:r>
    </w:p>
    <w:p w14:paraId="32AAD5F7" w14:textId="773F75CD" w:rsidR="00BD405E" w:rsidRPr="00BF07C2" w:rsidRDefault="00BD405E" w:rsidP="00C2211C">
      <w:pPr>
        <w:bidi/>
        <w:spacing w:after="0" w:line="240" w:lineRule="auto"/>
        <w:ind w:left="720"/>
        <w:rPr>
          <w:rFonts w:cs="Times New Roman"/>
          <w:kern w:val="0"/>
          <w:szCs w:val="20"/>
          <w14:ligatures w14:val="none"/>
        </w:rPr>
      </w:pPr>
      <w:r w:rsidRPr="00BF07C2">
        <w:rPr>
          <w:rFonts w:cs="Times New Roman"/>
          <w:kern w:val="0"/>
          <w:szCs w:val="20"/>
          <w14:ligatures w14:val="none"/>
        </w:rPr>
        <w:tab/>
      </w:r>
      <w:r w:rsidR="00C2211C">
        <w:rPr>
          <w:rFonts w:cs="Times New Roman" w:hint="cs"/>
          <w:kern w:val="0"/>
          <w:szCs w:val="20"/>
          <w:rtl/>
          <w14:ligatures w14:val="none"/>
        </w:rPr>
        <w:t>الوقت: في اليوم العاشر من الشهر السابع</w:t>
      </w:r>
    </w:p>
    <w:p w14:paraId="5EDF4589" w14:textId="77777777" w:rsidR="00BD405E" w:rsidRPr="00BF07C2" w:rsidRDefault="00BD405E" w:rsidP="002D6C54">
      <w:pPr>
        <w:spacing w:after="0" w:line="240" w:lineRule="auto"/>
        <w:ind w:left="720"/>
        <w:rPr>
          <w:rFonts w:cs="Times New Roman"/>
          <w:kern w:val="0"/>
          <w:sz w:val="16"/>
          <w:szCs w:val="16"/>
          <w14:ligatures w14:val="none"/>
        </w:rPr>
      </w:pPr>
    </w:p>
    <w:p w14:paraId="367B8CAF" w14:textId="5E644CBD" w:rsidR="00BD405E" w:rsidRPr="00C2211C" w:rsidRDefault="00C2211C" w:rsidP="00C2211C">
      <w:pPr>
        <w:pStyle w:val="ListParagraph"/>
        <w:numPr>
          <w:ilvl w:val="0"/>
          <w:numId w:val="35"/>
        </w:numPr>
        <w:bidi/>
        <w:spacing w:after="0" w:line="240" w:lineRule="auto"/>
        <w:rPr>
          <w:rFonts w:cs="Times New Roman"/>
          <w:b/>
          <w:bCs/>
          <w:kern w:val="0"/>
          <w:szCs w:val="20"/>
          <w14:ligatures w14:val="none"/>
        </w:rPr>
      </w:pPr>
      <w:r>
        <w:rPr>
          <w:rFonts w:cs="Times New Roman" w:hint="cs"/>
          <w:b/>
          <w:bCs/>
          <w:kern w:val="0"/>
          <w:szCs w:val="20"/>
          <w:rtl/>
          <w14:ligatures w14:val="none"/>
        </w:rPr>
        <w:t xml:space="preserve">عيد المظالّ (الخِيم) </w:t>
      </w:r>
    </w:p>
    <w:p w14:paraId="3CD0EF57" w14:textId="53D0893F" w:rsidR="00BD405E" w:rsidRPr="00BF07C2" w:rsidRDefault="00BD405E" w:rsidP="00C2211C">
      <w:pPr>
        <w:bidi/>
        <w:spacing w:after="0" w:line="240" w:lineRule="auto"/>
        <w:ind w:left="720"/>
        <w:rPr>
          <w:rFonts w:cs="Times New Roman"/>
          <w:kern w:val="0"/>
          <w:szCs w:val="20"/>
          <w14:ligatures w14:val="none"/>
        </w:rPr>
      </w:pPr>
      <w:r w:rsidRPr="00BF07C2">
        <w:rPr>
          <w:rFonts w:cs="Times New Roman"/>
          <w:kern w:val="0"/>
          <w:szCs w:val="20"/>
          <w14:ligatures w14:val="none"/>
        </w:rPr>
        <w:tab/>
      </w:r>
      <w:r w:rsidR="00C2211C">
        <w:rPr>
          <w:rFonts w:cs="Times New Roman" w:hint="cs"/>
          <w:kern w:val="0"/>
          <w:szCs w:val="20"/>
          <w:rtl/>
          <w14:ligatures w14:val="none"/>
        </w:rPr>
        <w:t xml:space="preserve">لاويين 23: 33-43؛ سفر العدد 29: 12-38؛ تثنية 16: 13-15 </w:t>
      </w:r>
    </w:p>
    <w:p w14:paraId="367AA74F" w14:textId="2DC71E98" w:rsidR="00BD405E" w:rsidRDefault="00BD405E" w:rsidP="00C2211C">
      <w:pPr>
        <w:bidi/>
        <w:spacing w:after="0" w:line="240" w:lineRule="auto"/>
        <w:ind w:left="720"/>
        <w:rPr>
          <w:rFonts w:cs="Times New Roman"/>
          <w:kern w:val="0"/>
          <w:szCs w:val="20"/>
          <w:rtl/>
          <w14:ligatures w14:val="none"/>
        </w:rPr>
      </w:pPr>
      <w:r w:rsidRPr="00BF07C2">
        <w:rPr>
          <w:rFonts w:cs="Times New Roman"/>
          <w:kern w:val="0"/>
          <w:szCs w:val="20"/>
          <w14:ligatures w14:val="none"/>
        </w:rPr>
        <w:tab/>
      </w:r>
      <w:r w:rsidR="00C2211C">
        <w:rPr>
          <w:rFonts w:cs="Times New Roman" w:hint="cs"/>
          <w:kern w:val="0"/>
          <w:szCs w:val="20"/>
          <w:rtl/>
          <w14:ligatures w14:val="none"/>
        </w:rPr>
        <w:t xml:space="preserve">الوقت: في اليوم الخامس عشر من الشهر السابع (ولمدة 7 أيّام) </w:t>
      </w:r>
    </w:p>
    <w:p w14:paraId="4AED742D" w14:textId="28A299F5" w:rsidR="00C2211C" w:rsidRDefault="00C2211C" w:rsidP="00C2211C">
      <w:pPr>
        <w:bidi/>
        <w:spacing w:after="0" w:line="240" w:lineRule="auto"/>
        <w:ind w:left="720"/>
        <w:rPr>
          <w:rFonts w:cs="Times New Roman"/>
          <w:kern w:val="0"/>
          <w:szCs w:val="20"/>
          <w:rtl/>
          <w14:ligatures w14:val="none"/>
        </w:rPr>
      </w:pPr>
    </w:p>
    <w:p w14:paraId="00F92579" w14:textId="41263358" w:rsidR="00C2211C" w:rsidRDefault="00C2211C" w:rsidP="00C2211C">
      <w:pPr>
        <w:bidi/>
        <w:spacing w:after="0" w:line="240" w:lineRule="auto"/>
        <w:ind w:left="720"/>
        <w:rPr>
          <w:rFonts w:cs="Times New Roman"/>
          <w:kern w:val="0"/>
          <w:szCs w:val="20"/>
          <w:rtl/>
          <w14:ligatures w14:val="none"/>
        </w:rPr>
      </w:pPr>
    </w:p>
    <w:p w14:paraId="718C9347" w14:textId="77777777" w:rsidR="00C2211C" w:rsidRPr="00BF07C2" w:rsidRDefault="00C2211C" w:rsidP="00C2211C">
      <w:pPr>
        <w:bidi/>
        <w:spacing w:after="0" w:line="240" w:lineRule="auto"/>
        <w:ind w:left="720"/>
        <w:rPr>
          <w:rFonts w:cs="Times New Roman"/>
          <w:kern w:val="0"/>
          <w:szCs w:val="20"/>
          <w14:ligatures w14:val="none"/>
        </w:rPr>
      </w:pPr>
    </w:p>
    <w:p w14:paraId="61813F0A" w14:textId="77777777" w:rsidR="00851CEE" w:rsidRDefault="00851CEE" w:rsidP="00851CEE">
      <w:pPr>
        <w:bidi/>
        <w:spacing w:after="0" w:line="240" w:lineRule="auto"/>
        <w:ind w:left="1440" w:hanging="900"/>
        <w:contextualSpacing/>
        <w:jc w:val="center"/>
        <w:rPr>
          <w:rFonts w:ascii="Simplified Arabic" w:hAnsi="Simplified Arabic" w:cs="Simplified Arabic"/>
          <w:bCs/>
          <w:kern w:val="0"/>
          <w:sz w:val="40"/>
          <w:szCs w:val="40"/>
          <w:rtl/>
          <w14:ligatures w14:val="none"/>
        </w:rPr>
      </w:pPr>
      <w:bookmarkStart w:id="109" w:name="_Toc164420043"/>
      <w:bookmarkStart w:id="110" w:name="_Hlk157180747"/>
      <w:bookmarkStart w:id="111" w:name="_Hlk178778918"/>
      <w:bookmarkEnd w:id="108"/>
      <w:r w:rsidRPr="00851CEE">
        <w:rPr>
          <w:rFonts w:ascii="Simplified Arabic" w:hAnsi="Simplified Arabic" w:cs="Simplified Arabic"/>
          <w:bCs/>
          <w:kern w:val="0"/>
          <w:sz w:val="40"/>
          <w:szCs w:val="40"/>
          <w:rtl/>
          <w14:ligatures w14:val="none"/>
        </w:rPr>
        <w:lastRenderedPageBreak/>
        <w:t xml:space="preserve">الدرس </w:t>
      </w:r>
      <w:r w:rsidRPr="00851CEE">
        <w:rPr>
          <w:rFonts w:ascii="Simplified Arabic" w:hAnsi="Simplified Arabic" w:cs="Simplified Arabic" w:hint="cs"/>
          <w:bCs/>
          <w:kern w:val="0"/>
          <w:sz w:val="40"/>
          <w:szCs w:val="40"/>
          <w:rtl/>
          <w14:ligatures w14:val="none"/>
        </w:rPr>
        <w:t>8</w:t>
      </w:r>
      <w:r w:rsidRPr="00851CEE">
        <w:rPr>
          <w:rFonts w:ascii="Simplified Arabic" w:hAnsi="Simplified Arabic" w:cs="Simplified Arabic"/>
          <w:bCs/>
          <w:kern w:val="0"/>
          <w:sz w:val="40"/>
          <w:szCs w:val="40"/>
          <w:rtl/>
          <w14:ligatures w14:val="none"/>
        </w:rPr>
        <w:t>:</w:t>
      </w:r>
      <w:r w:rsidRPr="00851CEE">
        <w:rPr>
          <w:rFonts w:ascii="Simplified Arabic" w:hAnsi="Simplified Arabic" w:cs="Simplified Arabic" w:hint="cs"/>
          <w:bCs/>
          <w:kern w:val="0"/>
          <w:sz w:val="40"/>
          <w:szCs w:val="40"/>
          <w:rtl/>
          <w14:ligatures w14:val="none"/>
        </w:rPr>
        <w:t xml:space="preserve"> سنوات البرّيّة الأربعون </w:t>
      </w:r>
    </w:p>
    <w:p w14:paraId="55055EB7" w14:textId="251CEB72" w:rsidR="00851CEE" w:rsidRPr="00851CEE" w:rsidRDefault="00851CEE" w:rsidP="00851CEE">
      <w:pPr>
        <w:bidi/>
        <w:spacing w:after="0" w:line="240" w:lineRule="auto"/>
        <w:ind w:left="1440" w:hanging="900"/>
        <w:contextualSpacing/>
        <w:jc w:val="center"/>
        <w:rPr>
          <w:rFonts w:ascii="Simplified Arabic" w:hAnsi="Simplified Arabic" w:cs="Simplified Arabic"/>
          <w:bCs/>
          <w:kern w:val="0"/>
          <w:sz w:val="40"/>
          <w:szCs w:val="40"/>
          <w:rtl/>
          <w14:ligatures w14:val="none"/>
        </w:rPr>
      </w:pPr>
      <w:r w:rsidRPr="00851CEE">
        <w:rPr>
          <w:rFonts w:ascii="Simplified Arabic" w:hAnsi="Simplified Arabic" w:cs="Simplified Arabic" w:hint="cs"/>
          <w:bCs/>
          <w:kern w:val="0"/>
          <w:sz w:val="40"/>
          <w:szCs w:val="40"/>
          <w:rtl/>
          <w14:ligatures w14:val="none"/>
        </w:rPr>
        <w:t>(سفر العدد 1-36)</w:t>
      </w:r>
    </w:p>
    <w:bookmarkEnd w:id="109"/>
    <w:bookmarkEnd w:id="110"/>
    <w:p w14:paraId="0CE69CC7" w14:textId="719651D0" w:rsidR="008B149F" w:rsidRPr="007A4B15" w:rsidRDefault="008B149F" w:rsidP="00851CEE">
      <w:pPr>
        <w:pStyle w:val="Heading2"/>
        <w:jc w:val="left"/>
      </w:pPr>
    </w:p>
    <w:p w14:paraId="798F5C7D" w14:textId="77777777" w:rsidR="00311C51" w:rsidRPr="007A4B15" w:rsidRDefault="00311C51"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kern w:val="0"/>
          <w:szCs w:val="24"/>
          <w14:ligatures w14:val="none"/>
        </w:rPr>
      </w:pPr>
    </w:p>
    <w:p w14:paraId="06192376" w14:textId="5465C14C" w:rsidR="008B149F" w:rsidRPr="007A4B15" w:rsidRDefault="00C2211C" w:rsidP="00C2211C">
      <w:pPr>
        <w:pStyle w:val="Heading3"/>
        <w:bidi/>
        <w:spacing w:line="240" w:lineRule="auto"/>
        <w:rPr>
          <w:lang w:val="fr-FR"/>
        </w:rPr>
      </w:pPr>
      <w:r>
        <w:rPr>
          <w:rFonts w:hint="cs"/>
          <w:rtl/>
          <w:lang w:val="fr-FR"/>
        </w:rPr>
        <w:t>مُقدِّمة الدرس</w:t>
      </w:r>
    </w:p>
    <w:p w14:paraId="71FF158B" w14:textId="2C4969D8" w:rsidR="00C2211C" w:rsidRDefault="00FE303F" w:rsidP="00C2211C">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lang w:bidi="ar-JO"/>
          <w14:ligatures w14:val="none"/>
        </w:rPr>
      </w:pPr>
      <w:r>
        <w:rPr>
          <w:rFonts w:ascii="Simplified Arabic" w:eastAsia="Calibri" w:hAnsi="Simplified Arabic" w:cs="Simplified Arabic" w:hint="cs"/>
          <w:kern w:val="0"/>
          <w:sz w:val="26"/>
          <w:szCs w:val="26"/>
          <w:rtl/>
          <w:lang w:bidi="ar-JO"/>
          <w14:ligatures w14:val="none"/>
        </w:rPr>
        <w:t>من وقت اختيار خروف الفصح (خروج 12) إلى عبور العبرانيين نهرَ الأردن عام 1406 ق.م. مرّت أربعون سنة تمامًا. يشرح لنا سفر العدد سبب استغراق الرحلة هذه المدة الطويلة من مصر إلى أن عبَّرهم الله نهر الأردن إلى أرض الموعد (وه</w:t>
      </w:r>
      <w:r w:rsidR="002A733E">
        <w:rPr>
          <w:rFonts w:ascii="Simplified Arabic" w:eastAsia="Calibri" w:hAnsi="Simplified Arabic" w:cs="Simplified Arabic" w:hint="cs"/>
          <w:kern w:val="0"/>
          <w:sz w:val="26"/>
          <w:szCs w:val="26"/>
          <w:rtl/>
          <w:lang w:bidi="ar-JO"/>
          <w14:ligatures w14:val="none"/>
        </w:rPr>
        <w:t>ي</w:t>
      </w:r>
      <w:r>
        <w:rPr>
          <w:rFonts w:ascii="Simplified Arabic" w:eastAsia="Calibri" w:hAnsi="Simplified Arabic" w:cs="Simplified Arabic" w:hint="cs"/>
          <w:kern w:val="0"/>
          <w:sz w:val="26"/>
          <w:szCs w:val="26"/>
          <w:rtl/>
          <w:lang w:bidi="ar-JO"/>
          <w14:ligatures w14:val="none"/>
        </w:rPr>
        <w:t xml:space="preserve"> رحلة عادةً ما كانت تستغرق حوالي عشرة أيّام). </w:t>
      </w:r>
    </w:p>
    <w:p w14:paraId="7BC0599D" w14:textId="03AA683B" w:rsidR="00C2211C" w:rsidRDefault="00FE303F" w:rsidP="00322941">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lang w:bidi="ar-JO"/>
          <w14:ligatures w14:val="none"/>
        </w:rPr>
      </w:pPr>
      <w:r>
        <w:rPr>
          <w:rFonts w:ascii="Simplified Arabic" w:eastAsia="Calibri" w:hAnsi="Simplified Arabic" w:cs="Simplified Arabic" w:hint="cs"/>
          <w:kern w:val="0"/>
          <w:sz w:val="26"/>
          <w:szCs w:val="26"/>
          <w:rtl/>
          <w:lang w:bidi="ar-JO"/>
          <w14:ligatures w14:val="none"/>
        </w:rPr>
        <w:t xml:space="preserve">تصف الأصحاحات العشرة الأولى التجهيزات المختلفة من الشعب لمغادرة جبل سيناء، حيث </w:t>
      </w:r>
      <w:r w:rsidR="00A05893">
        <w:rPr>
          <w:rFonts w:ascii="Simplified Arabic" w:eastAsia="Calibri" w:hAnsi="Simplified Arabic" w:cs="Simplified Arabic" w:hint="cs"/>
          <w:kern w:val="0"/>
          <w:sz w:val="26"/>
          <w:szCs w:val="26"/>
          <w:rtl/>
          <w:lang w:bidi="ar-JO"/>
          <w14:ligatures w14:val="none"/>
        </w:rPr>
        <w:t>عسكروا</w:t>
      </w:r>
      <w:r>
        <w:rPr>
          <w:rFonts w:ascii="Simplified Arabic" w:eastAsia="Calibri" w:hAnsi="Simplified Arabic" w:cs="Simplified Arabic" w:hint="cs"/>
          <w:kern w:val="0"/>
          <w:sz w:val="26"/>
          <w:szCs w:val="26"/>
          <w:rtl/>
          <w:lang w:bidi="ar-JO"/>
          <w14:ligatures w14:val="none"/>
        </w:rPr>
        <w:t xml:space="preserve"> مد</w:t>
      </w:r>
      <w:r w:rsidR="00A05893">
        <w:rPr>
          <w:rFonts w:ascii="Simplified Arabic" w:eastAsia="Calibri" w:hAnsi="Simplified Arabic" w:cs="Simplified Arabic" w:hint="cs"/>
          <w:kern w:val="0"/>
          <w:sz w:val="26"/>
          <w:szCs w:val="26"/>
          <w:rtl/>
          <w:lang w:bidi="ar-JO"/>
          <w14:ligatures w14:val="none"/>
        </w:rPr>
        <w:t>ّ</w:t>
      </w:r>
      <w:r>
        <w:rPr>
          <w:rFonts w:ascii="Simplified Arabic" w:eastAsia="Calibri" w:hAnsi="Simplified Arabic" w:cs="Simplified Arabic" w:hint="cs"/>
          <w:kern w:val="0"/>
          <w:sz w:val="26"/>
          <w:szCs w:val="26"/>
          <w:rtl/>
          <w:lang w:bidi="ar-JO"/>
          <w14:ligatures w14:val="none"/>
        </w:rPr>
        <w:t>ةَ سنةٍ تقريبًا. وقد شمل هذا إحصاء</w:t>
      </w:r>
      <w:r w:rsidR="00A05893">
        <w:rPr>
          <w:rFonts w:ascii="Simplified Arabic" w:eastAsia="Calibri" w:hAnsi="Simplified Arabic" w:cs="Simplified Arabic" w:hint="cs"/>
          <w:kern w:val="0"/>
          <w:sz w:val="26"/>
          <w:szCs w:val="26"/>
          <w:rtl/>
          <w:lang w:bidi="ar-JO"/>
          <w14:ligatures w14:val="none"/>
        </w:rPr>
        <w:t>َ</w:t>
      </w:r>
      <w:r>
        <w:rPr>
          <w:rFonts w:ascii="Simplified Arabic" w:eastAsia="Calibri" w:hAnsi="Simplified Arabic" w:cs="Simplified Arabic" w:hint="cs"/>
          <w:kern w:val="0"/>
          <w:sz w:val="26"/>
          <w:szCs w:val="26"/>
          <w:rtl/>
          <w:lang w:bidi="ar-JO"/>
          <w14:ligatures w14:val="none"/>
        </w:rPr>
        <w:t xml:space="preserve"> كل</w:t>
      </w:r>
      <w:r w:rsidR="00A05893">
        <w:rPr>
          <w:rFonts w:ascii="Simplified Arabic" w:eastAsia="Calibri" w:hAnsi="Simplified Arabic" w:cs="Simplified Arabic" w:hint="cs"/>
          <w:kern w:val="0"/>
          <w:sz w:val="26"/>
          <w:szCs w:val="26"/>
          <w:rtl/>
          <w:lang w:bidi="ar-JO"/>
          <w14:ligatures w14:val="none"/>
        </w:rPr>
        <w:t>ِّ</w:t>
      </w:r>
      <w:r>
        <w:rPr>
          <w:rFonts w:ascii="Simplified Arabic" w:eastAsia="Calibri" w:hAnsi="Simplified Arabic" w:cs="Simplified Arabic" w:hint="cs"/>
          <w:kern w:val="0"/>
          <w:sz w:val="26"/>
          <w:szCs w:val="26"/>
          <w:rtl/>
          <w:lang w:bidi="ar-JO"/>
          <w14:ligatures w14:val="none"/>
        </w:rPr>
        <w:t xml:space="preserve"> رجال الحرب من كل</w:t>
      </w:r>
      <w:r w:rsidR="00A05893">
        <w:rPr>
          <w:rFonts w:ascii="Simplified Arabic" w:eastAsia="Calibri" w:hAnsi="Simplified Arabic" w:cs="Simplified Arabic" w:hint="cs"/>
          <w:kern w:val="0"/>
          <w:sz w:val="26"/>
          <w:szCs w:val="26"/>
          <w:rtl/>
          <w:lang w:bidi="ar-JO"/>
          <w14:ligatures w14:val="none"/>
        </w:rPr>
        <w:t>ِّ</w:t>
      </w:r>
      <w:r>
        <w:rPr>
          <w:rFonts w:ascii="Simplified Arabic" w:eastAsia="Calibri" w:hAnsi="Simplified Arabic" w:cs="Simplified Arabic" w:hint="cs"/>
          <w:kern w:val="0"/>
          <w:sz w:val="26"/>
          <w:szCs w:val="26"/>
          <w:rtl/>
          <w:lang w:bidi="ar-JO"/>
          <w14:ligatures w14:val="none"/>
        </w:rPr>
        <w:t xml:space="preserve"> سبط. وبعد مغادرة الشعب جبل سيناء (سفر العدد 10: 11)، ارتحلوا إلى موقع على الطرف الجنوبي من الأرض، ويُعرَف هذا الموقع باسم قادش برنيع. ومن هناك، أُرسِل اثنا عشر جاسوسًا لتفقُّد الأرض والرجوع بخبرٍ عنها إلى موسى. عشرةٌ من هؤلاء الجواسيس، بدل أن يشجّعوا الشعب على إطاعة الله والوثوق به في أن يتمكّنوا من هزيمة سكان الأرض الأشرار، أحبطوا الشعب، وقالوا لهم إنّهم لا يستطيعون أن يهزموا الكنعانيّين. </w:t>
      </w:r>
      <w:r w:rsidR="00FE684E">
        <w:rPr>
          <w:rFonts w:ascii="Simplified Arabic" w:eastAsia="Calibri" w:hAnsi="Simplified Arabic" w:cs="Simplified Arabic" w:hint="cs"/>
          <w:kern w:val="0"/>
          <w:sz w:val="26"/>
          <w:szCs w:val="26"/>
          <w:rtl/>
          <w:lang w:bidi="ar-JO"/>
          <w14:ligatures w14:val="none"/>
        </w:rPr>
        <w:t xml:space="preserve">وإذ مال الشعب إلى قبول هذا التقرير الرديء، تمرَّدوا على الله ورفضوا أن يدخلوا الأرض. ونتيجةً لهذا، أدان الله ذلك الجيل، فسمح بأن يموت في البريّة إلى أن قام جيلٌ جديد سيثق بالرب ويمتلك الأرض. ويُختَم السفر بوجود هذا الجيل الجديد على الضفّة الشرقيّة من نهر الأردن، </w:t>
      </w:r>
      <w:r w:rsidR="00322941">
        <w:rPr>
          <w:rFonts w:ascii="Simplified Arabic" w:eastAsia="Calibri" w:hAnsi="Simplified Arabic" w:cs="Simplified Arabic" w:hint="cs"/>
          <w:kern w:val="0"/>
          <w:sz w:val="26"/>
          <w:szCs w:val="26"/>
          <w:rtl/>
          <w:lang w:bidi="ar-JO"/>
          <w14:ligatures w14:val="none"/>
        </w:rPr>
        <w:t xml:space="preserve">وهو </w:t>
      </w:r>
      <w:r w:rsidR="00AD1385">
        <w:rPr>
          <w:rFonts w:ascii="Simplified Arabic" w:eastAsia="Calibri" w:hAnsi="Simplified Arabic" w:cs="Simplified Arabic" w:hint="cs"/>
          <w:kern w:val="0"/>
          <w:sz w:val="26"/>
          <w:szCs w:val="26"/>
          <w:rtl/>
          <w:lang w:bidi="ar-JO"/>
          <w14:ligatures w14:val="none"/>
        </w:rPr>
        <w:t>ي</w:t>
      </w:r>
      <w:r w:rsidR="00322941">
        <w:rPr>
          <w:rFonts w:ascii="Simplified Arabic" w:eastAsia="Calibri" w:hAnsi="Simplified Arabic" w:cs="Simplified Arabic" w:hint="cs"/>
          <w:kern w:val="0"/>
          <w:sz w:val="26"/>
          <w:szCs w:val="26"/>
          <w:rtl/>
          <w:lang w:bidi="ar-JO"/>
          <w14:ligatures w14:val="none"/>
        </w:rPr>
        <w:t>ستعدّ</w:t>
      </w:r>
      <w:r w:rsidR="00AD1385">
        <w:rPr>
          <w:rFonts w:ascii="Simplified Arabic" w:eastAsia="Calibri" w:hAnsi="Simplified Arabic" w:cs="Simplified Arabic" w:hint="cs"/>
          <w:kern w:val="0"/>
          <w:sz w:val="26"/>
          <w:szCs w:val="26"/>
          <w:rtl/>
          <w:lang w:bidi="ar-JO"/>
          <w14:ligatures w14:val="none"/>
        </w:rPr>
        <w:t>ُ</w:t>
      </w:r>
      <w:r w:rsidR="00322941">
        <w:rPr>
          <w:rFonts w:ascii="Simplified Arabic" w:eastAsia="Calibri" w:hAnsi="Simplified Arabic" w:cs="Simplified Arabic" w:hint="cs"/>
          <w:kern w:val="0"/>
          <w:sz w:val="26"/>
          <w:szCs w:val="26"/>
          <w:rtl/>
          <w:lang w:bidi="ar-JO"/>
          <w14:ligatures w14:val="none"/>
        </w:rPr>
        <w:t xml:space="preserve"> لأن يدخل إلى الأرض. </w:t>
      </w:r>
    </w:p>
    <w:p w14:paraId="24BA7E98" w14:textId="77777777" w:rsidR="00322941" w:rsidRPr="00C2211C" w:rsidRDefault="00322941" w:rsidP="00322941">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p>
    <w:p w14:paraId="6FF49B9E" w14:textId="64651FCB" w:rsidR="008B149F" w:rsidRPr="00322941" w:rsidRDefault="00322941" w:rsidP="00322941">
      <w:pPr>
        <w:pStyle w:val="Heading3"/>
        <w:bidi/>
        <w:spacing w:line="240" w:lineRule="auto"/>
        <w:rPr>
          <w:rFonts w:ascii="Simplified Arabic" w:hAnsi="Simplified Arabic" w:cs="Simplified Arabic"/>
        </w:rPr>
      </w:pPr>
      <w:r w:rsidRPr="00322941">
        <w:rPr>
          <w:rFonts w:ascii="Simplified Arabic" w:hAnsi="Simplified Arabic" w:cs="Simplified Arabic"/>
          <w:rtl/>
        </w:rPr>
        <w:t>مخطَّط الدرس</w:t>
      </w:r>
    </w:p>
    <w:p w14:paraId="1602E381" w14:textId="61307024" w:rsidR="008B149F" w:rsidRPr="00322941" w:rsidRDefault="00322941" w:rsidP="00322941">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bookmarkStart w:id="112" w:name="_Hlk190695161"/>
      <w:bookmarkStart w:id="113" w:name="_Hlk157172673"/>
      <w:r w:rsidRPr="00322941">
        <w:rPr>
          <w:rFonts w:ascii="Simplified Arabic" w:eastAsia="Calibri" w:hAnsi="Simplified Arabic" w:cs="Simplified Arabic"/>
          <w:kern w:val="0"/>
          <w:sz w:val="26"/>
          <w:szCs w:val="26"/>
          <w:rtl/>
          <w14:ligatures w14:val="none"/>
        </w:rPr>
        <w:t xml:space="preserve">الموضوع 1: </w:t>
      </w:r>
      <w:r w:rsidRPr="00322941">
        <w:rPr>
          <w:rFonts w:ascii="Simplified Arabic" w:eastAsia="Calibri" w:hAnsi="Simplified Arabic" w:cs="Simplified Arabic"/>
          <w:kern w:val="0"/>
          <w:sz w:val="26"/>
          <w:szCs w:val="26"/>
          <w:rtl/>
          <w14:ligatures w14:val="none"/>
        </w:rPr>
        <w:tab/>
        <w:t>نظرة عامة إلى سفر العدد</w:t>
      </w:r>
    </w:p>
    <w:p w14:paraId="1A4B0147" w14:textId="0E4C495A" w:rsidR="00322941" w:rsidRPr="00322941" w:rsidRDefault="00322941" w:rsidP="00322941">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r w:rsidRPr="00322941">
        <w:rPr>
          <w:rFonts w:ascii="Simplified Arabic" w:eastAsia="Calibri" w:hAnsi="Simplified Arabic" w:cs="Simplified Arabic"/>
          <w:kern w:val="0"/>
          <w:sz w:val="26"/>
          <w:szCs w:val="26"/>
          <w:rtl/>
          <w14:ligatures w14:val="none"/>
        </w:rPr>
        <w:t xml:space="preserve">الموضوع 2: </w:t>
      </w:r>
      <w:r w:rsidRPr="00322941">
        <w:rPr>
          <w:rFonts w:ascii="Simplified Arabic" w:eastAsia="Calibri" w:hAnsi="Simplified Arabic" w:cs="Simplified Arabic"/>
          <w:kern w:val="0"/>
          <w:sz w:val="26"/>
          <w:szCs w:val="26"/>
          <w:rtl/>
          <w14:ligatures w14:val="none"/>
        </w:rPr>
        <w:tab/>
        <w:t xml:space="preserve">الإعداد للرحلة (سفر العدد 1: 1 – 10: 10) </w:t>
      </w:r>
    </w:p>
    <w:p w14:paraId="1FA6C189" w14:textId="6E1D2611" w:rsidR="00322941" w:rsidRPr="00322941" w:rsidRDefault="00322941" w:rsidP="00322941">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r w:rsidRPr="00322941">
        <w:rPr>
          <w:rFonts w:ascii="Simplified Arabic" w:eastAsia="Calibri" w:hAnsi="Simplified Arabic" w:cs="Simplified Arabic"/>
          <w:kern w:val="0"/>
          <w:sz w:val="26"/>
          <w:szCs w:val="26"/>
          <w:rtl/>
          <w14:ligatures w14:val="none"/>
        </w:rPr>
        <w:t xml:space="preserve">الموضوع 3: </w:t>
      </w:r>
      <w:r w:rsidRPr="00322941">
        <w:rPr>
          <w:rFonts w:ascii="Simplified Arabic" w:eastAsia="Calibri" w:hAnsi="Simplified Arabic" w:cs="Simplified Arabic"/>
          <w:kern w:val="0"/>
          <w:sz w:val="26"/>
          <w:szCs w:val="26"/>
          <w:rtl/>
          <w14:ligatures w14:val="none"/>
        </w:rPr>
        <w:tab/>
        <w:t xml:space="preserve">التمرُّد في البرّيّة (سفر العدد 10: 11 – 21: 35) </w:t>
      </w:r>
    </w:p>
    <w:p w14:paraId="6F4A4578" w14:textId="7BCC0CE7" w:rsidR="00322941" w:rsidRDefault="00322941" w:rsidP="00322941">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eastAsia="Calibri" w:cs="Times New Roman"/>
          <w:kern w:val="0"/>
          <w:szCs w:val="24"/>
          <w:rtl/>
          <w14:ligatures w14:val="none"/>
        </w:rPr>
      </w:pPr>
      <w:r w:rsidRPr="00322941">
        <w:rPr>
          <w:rFonts w:ascii="Simplified Arabic" w:eastAsia="Calibri" w:hAnsi="Simplified Arabic" w:cs="Simplified Arabic"/>
          <w:kern w:val="0"/>
          <w:sz w:val="26"/>
          <w:szCs w:val="26"/>
          <w:rtl/>
          <w14:ligatures w14:val="none"/>
        </w:rPr>
        <w:t xml:space="preserve">الموضوع 4: </w:t>
      </w:r>
      <w:r w:rsidRPr="00322941">
        <w:rPr>
          <w:rFonts w:ascii="Simplified Arabic" w:eastAsia="Calibri" w:hAnsi="Simplified Arabic" w:cs="Simplified Arabic"/>
          <w:kern w:val="0"/>
          <w:sz w:val="26"/>
          <w:szCs w:val="26"/>
          <w:rtl/>
          <w14:ligatures w14:val="none"/>
        </w:rPr>
        <w:tab/>
        <w:t xml:space="preserve">إعداد الجيل الجديد للدخول (سفر العدد 22: 1 – 36: 13) </w:t>
      </w:r>
      <w:bookmarkEnd w:id="112"/>
    </w:p>
    <w:p w14:paraId="118F1E4E" w14:textId="77777777" w:rsidR="00322941" w:rsidRPr="00A8569F" w:rsidRDefault="00322941" w:rsidP="00322941">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eastAsia="Calibri"/>
          <w:b/>
          <w:bCs/>
          <w:szCs w:val="24"/>
        </w:rPr>
      </w:pPr>
    </w:p>
    <w:bookmarkEnd w:id="113"/>
    <w:p w14:paraId="07DE7CF2" w14:textId="12829565" w:rsidR="008B149F" w:rsidRPr="007A4B15" w:rsidRDefault="00322941" w:rsidP="00322941">
      <w:pPr>
        <w:pStyle w:val="Heading3"/>
        <w:bidi/>
        <w:spacing w:line="240" w:lineRule="auto"/>
        <w:rPr>
          <w:lang w:val="fr-FR"/>
        </w:rPr>
      </w:pPr>
      <w:r>
        <w:rPr>
          <w:rFonts w:hint="cs"/>
          <w:rtl/>
          <w:lang w:val="fr-FR"/>
        </w:rPr>
        <w:t>أهداف الدرس</w:t>
      </w:r>
    </w:p>
    <w:p w14:paraId="7D6C026A" w14:textId="5785F5AD" w:rsidR="008B149F" w:rsidRPr="00AD1385" w:rsidRDefault="00322941" w:rsidP="00322941">
      <w:pPr>
        <w:bidi/>
        <w:spacing w:before="120" w:after="80" w:line="240" w:lineRule="auto"/>
        <w:rPr>
          <w:rFonts w:ascii="Simplified Arabic" w:eastAsia="Calibri" w:hAnsi="Simplified Arabic" w:cs="Simplified Arabic"/>
          <w:kern w:val="0"/>
          <w:sz w:val="26"/>
          <w:szCs w:val="26"/>
          <w14:ligatures w14:val="none"/>
        </w:rPr>
      </w:pPr>
      <w:r w:rsidRPr="00AD1385">
        <w:rPr>
          <w:rFonts w:ascii="Simplified Arabic" w:eastAsia="Calibri" w:hAnsi="Simplified Arabic" w:cs="Simplified Arabic"/>
          <w:kern w:val="0"/>
          <w:sz w:val="26"/>
          <w:szCs w:val="26"/>
          <w:rtl/>
          <w14:ligatures w14:val="none"/>
        </w:rPr>
        <w:lastRenderedPageBreak/>
        <w:t xml:space="preserve">بانتهائك من دراسة هذا الدرس، ستكون قادرًا على ما يلي: </w:t>
      </w:r>
    </w:p>
    <w:p w14:paraId="5CB9E7C1" w14:textId="22E59693" w:rsidR="00322941" w:rsidRPr="00AD1385" w:rsidRDefault="00322941" w:rsidP="00322941">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AD1385">
        <w:rPr>
          <w:rFonts w:ascii="Simplified Arabic" w:eastAsia="Calibri" w:hAnsi="Simplified Arabic" w:cs="Simplified Arabic"/>
          <w:kern w:val="0"/>
          <w:sz w:val="26"/>
          <w:szCs w:val="26"/>
          <w:rtl/>
          <w14:ligatures w14:val="none"/>
        </w:rPr>
        <w:t xml:space="preserve">أن تشرح فشلَ وتمرُّدَ جيل الخروج حين وصلوا إلى موقع قادش برنيع. </w:t>
      </w:r>
    </w:p>
    <w:p w14:paraId="5CCE5ABF" w14:textId="1534B86F" w:rsidR="00322941" w:rsidRPr="00AD1385" w:rsidRDefault="00322941" w:rsidP="00322941">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AD1385">
        <w:rPr>
          <w:rFonts w:ascii="Simplified Arabic" w:eastAsia="Calibri" w:hAnsi="Simplified Arabic" w:cs="Simplified Arabic"/>
          <w:kern w:val="0"/>
          <w:sz w:val="26"/>
          <w:szCs w:val="26"/>
          <w:rtl/>
          <w14:ligatures w14:val="none"/>
        </w:rPr>
        <w:t xml:space="preserve">أن تبيّن مغزى وأهمّيّة "أقوال بلعام" في ما يختصّ بوعود عهد الله. </w:t>
      </w:r>
    </w:p>
    <w:p w14:paraId="16986A39" w14:textId="56244F1B" w:rsidR="00322941" w:rsidRPr="00AD1385" w:rsidRDefault="00322941" w:rsidP="00322941">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AD1385">
        <w:rPr>
          <w:rFonts w:ascii="Simplified Arabic" w:eastAsia="Calibri" w:hAnsi="Simplified Arabic" w:cs="Simplified Arabic"/>
          <w:kern w:val="0"/>
          <w:sz w:val="26"/>
          <w:szCs w:val="26"/>
          <w:rtl/>
          <w14:ligatures w14:val="none"/>
        </w:rPr>
        <w:t xml:space="preserve">أن تشرح سبب عدم السماح لموسى بأن يدخل إلى أرض الموعود (والمغزى الرمزي لعصيانه). </w:t>
      </w:r>
    </w:p>
    <w:p w14:paraId="7C7E39C9" w14:textId="65F0AA15" w:rsidR="008B149F" w:rsidRPr="00E13E41" w:rsidRDefault="008B149F" w:rsidP="00322941">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eastAsia="Calibri" w:cs="Times New Roman"/>
          <w:kern w:val="0"/>
          <w:szCs w:val="24"/>
          <w14:ligatures w14:val="none"/>
        </w:rPr>
      </w:pPr>
      <w:r w:rsidRPr="00E13E41">
        <w:rPr>
          <w:rFonts w:eastAsia="Calibri" w:cs="Times New Roman"/>
          <w:kern w:val="0"/>
          <w:szCs w:val="24"/>
          <w14:ligatures w14:val="none"/>
        </w:rPr>
        <w:br w:type="page"/>
      </w:r>
    </w:p>
    <w:p w14:paraId="046BC6B2" w14:textId="41E104BE" w:rsidR="006311FA" w:rsidRPr="00322941" w:rsidRDefault="00322941" w:rsidP="00322941">
      <w:pPr>
        <w:pStyle w:val="Heading3"/>
        <w:bidi/>
        <w:spacing w:line="240" w:lineRule="auto"/>
        <w:rPr>
          <w:rFonts w:ascii="Simplified Arabic" w:hAnsi="Simplified Arabic" w:cs="Simplified Arabic"/>
        </w:rPr>
      </w:pPr>
      <w:r w:rsidRPr="00322941">
        <w:rPr>
          <w:rFonts w:ascii="Simplified Arabic" w:hAnsi="Simplified Arabic" w:cs="Simplified Arabic"/>
          <w:rtl/>
        </w:rPr>
        <w:lastRenderedPageBreak/>
        <w:t xml:space="preserve">الموضوع 1: </w:t>
      </w:r>
      <w:r w:rsidRPr="00322941">
        <w:rPr>
          <w:rFonts w:ascii="Simplified Arabic" w:eastAsia="Calibri" w:hAnsi="Simplified Arabic" w:cs="Simplified Arabic"/>
          <w:rtl/>
          <w14:ligatures w14:val="none"/>
        </w:rPr>
        <w:t>نظرة عامة إلى سفر العدد</w:t>
      </w:r>
    </w:p>
    <w:p w14:paraId="1EE3D7FD" w14:textId="691E3B12" w:rsidR="002F2ED9" w:rsidRPr="007A4B15" w:rsidRDefault="002F2ED9" w:rsidP="00322941">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bookmarkStart w:id="114" w:name="_Hlk157178863"/>
      <w:r w:rsidRPr="007A4B15">
        <w:rPr>
          <w:rFonts w:ascii="Verdana" w:eastAsia="Calibri" w:hAnsi="Verdana" w:cs="Times New Roman"/>
          <w:b/>
          <w:caps/>
          <w:noProof/>
          <w:color w:val="006699"/>
          <w:kern w:val="0"/>
          <w:sz w:val="21"/>
          <w:szCs w:val="24"/>
          <w14:ligatures w14:val="none"/>
        </w:rPr>
        <w:drawing>
          <wp:inline distT="0" distB="0" distL="0" distR="0" wp14:anchorId="5F65BFE5" wp14:editId="5D7F95D2">
            <wp:extent cx="613692" cy="541464"/>
            <wp:effectExtent l="0" t="0" r="0" b="0"/>
            <wp:docPr id="544835682" name="Picture 544835682"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322941" w:rsidRPr="00322941">
        <w:rPr>
          <w:rFonts w:ascii="Verdana" w:eastAsia="Calibri" w:hAnsi="Verdana" w:cs="Times New Roman" w:hint="cs"/>
          <w:bCs/>
          <w:caps/>
          <w:color w:val="006699"/>
          <w:kern w:val="0"/>
          <w:sz w:val="21"/>
          <w:szCs w:val="24"/>
          <w:u w:val="single"/>
          <w:rtl/>
          <w14:ligatures w14:val="none"/>
        </w:rPr>
        <w:t>القراءة:</w:t>
      </w:r>
      <w:r w:rsidR="00322941">
        <w:rPr>
          <w:rFonts w:ascii="Verdana" w:eastAsia="Calibri" w:hAnsi="Verdana" w:cs="Times New Roman" w:hint="cs"/>
          <w:b/>
          <w:caps/>
          <w:color w:val="006699"/>
          <w:kern w:val="0"/>
          <w:sz w:val="21"/>
          <w:szCs w:val="24"/>
          <w:u w:val="single"/>
          <w:rtl/>
          <w14:ligatures w14:val="none"/>
        </w:rPr>
        <w:t xml:space="preserve"> </w:t>
      </w:r>
    </w:p>
    <w:p w14:paraId="25E1B83D" w14:textId="3CE78CCA" w:rsidR="002F2ED9" w:rsidRPr="002B24E1" w:rsidRDefault="002F2ED9" w:rsidP="00322941">
      <w:pPr>
        <w:bidi/>
        <w:spacing w:line="240" w:lineRule="auto"/>
        <w:rPr>
          <w:b/>
          <w:bCs/>
        </w:rPr>
      </w:pPr>
      <w:r>
        <w:tab/>
      </w:r>
      <w:r>
        <w:tab/>
      </w:r>
      <w:r w:rsidR="00322941">
        <w:rPr>
          <w:rFonts w:hint="cs"/>
          <w:rtl/>
        </w:rPr>
        <w:t xml:space="preserve">اقرأ </w:t>
      </w:r>
      <w:r w:rsidR="00AD1385">
        <w:rPr>
          <w:rFonts w:hint="cs"/>
          <w:rtl/>
        </w:rPr>
        <w:t xml:space="preserve">يوجين </w:t>
      </w:r>
      <w:r w:rsidR="00322941">
        <w:rPr>
          <w:rFonts w:hint="cs"/>
          <w:rtl/>
        </w:rPr>
        <w:t xml:space="preserve">ميرل، </w:t>
      </w:r>
      <w:r w:rsidR="00322941" w:rsidRPr="00322941">
        <w:rPr>
          <w:rFonts w:hint="cs"/>
          <w:u w:val="single"/>
          <w:rtl/>
        </w:rPr>
        <w:t>لاهوت العهد القديم الكتابي</w:t>
      </w:r>
      <w:r w:rsidR="00322941">
        <w:rPr>
          <w:rFonts w:hint="cs"/>
          <w:rtl/>
        </w:rPr>
        <w:t>، "لاهوت سفر اللاويّين".</w:t>
      </w:r>
    </w:p>
    <w:bookmarkEnd w:id="114"/>
    <w:p w14:paraId="6087644D" w14:textId="77777777" w:rsidR="00AC0518" w:rsidRDefault="00AC0518" w:rsidP="002D6C54">
      <w:pPr>
        <w:pStyle w:val="Heading4RED"/>
      </w:pPr>
    </w:p>
    <w:p w14:paraId="464AAED0" w14:textId="05CBC5E8" w:rsidR="005F171C" w:rsidRDefault="00322941" w:rsidP="00322941">
      <w:pPr>
        <w:pStyle w:val="Heading4RED"/>
        <w:bidi/>
      </w:pPr>
      <w:r>
        <w:rPr>
          <w:rFonts w:hint="cs"/>
          <w:rtl/>
        </w:rPr>
        <w:t>لوحة توضيحيّة لسفر العدد</w:t>
      </w:r>
    </w:p>
    <w:bookmarkEnd w:id="111"/>
    <w:p w14:paraId="2F2643C1" w14:textId="77777777" w:rsidR="005F171C" w:rsidRPr="005F171C" w:rsidRDefault="005F171C" w:rsidP="002D6C54">
      <w:pPr>
        <w:spacing w:line="240" w:lineRule="auto"/>
      </w:pPr>
    </w:p>
    <w:p w14:paraId="58227D2A" w14:textId="4FB932A2" w:rsidR="006311FA" w:rsidRDefault="00070B6E"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strike/>
          <w:kern w:val="0"/>
          <w:szCs w:val="24"/>
          <w14:ligatures w14:val="none"/>
        </w:rPr>
      </w:pPr>
      <w:r>
        <w:rPr>
          <w:rFonts w:eastAsia="Calibri" w:cs="Times New Roman"/>
          <w:strike/>
          <w:noProof/>
          <w:kern w:val="0"/>
          <w:szCs w:val="24"/>
          <w14:ligatures w14:val="none"/>
        </w:rPr>
        <w:drawing>
          <wp:inline distT="0" distB="0" distL="0" distR="0" wp14:anchorId="07CA5C6C" wp14:editId="687E48BC">
            <wp:extent cx="5943600" cy="3992880"/>
            <wp:effectExtent l="0" t="0" r="0" b="0"/>
            <wp:docPr id="81480567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43600" cy="3992880"/>
                    </a:xfrm>
                    <a:prstGeom prst="rect">
                      <a:avLst/>
                    </a:prstGeom>
                    <a:noFill/>
                    <a:ln>
                      <a:noFill/>
                    </a:ln>
                  </pic:spPr>
                </pic:pic>
              </a:graphicData>
            </a:graphic>
          </wp:inline>
        </w:drawing>
      </w:r>
    </w:p>
    <w:p w14:paraId="17223B1B" w14:textId="77777777" w:rsidR="005F171C" w:rsidRDefault="005F171C" w:rsidP="002D6C54">
      <w:pPr>
        <w:pStyle w:val="Heading3"/>
        <w:spacing w:line="240" w:lineRule="auto"/>
      </w:pPr>
      <w:r>
        <w:br w:type="page"/>
      </w:r>
    </w:p>
    <w:p w14:paraId="6174F280" w14:textId="602E0D0C" w:rsidR="005F171C" w:rsidRDefault="00322941" w:rsidP="00322941">
      <w:pPr>
        <w:pStyle w:val="Heading4RED"/>
        <w:bidi/>
      </w:pPr>
      <w:bookmarkStart w:id="115" w:name="_Hlk178778937"/>
      <w:r>
        <w:rPr>
          <w:rFonts w:hint="cs"/>
          <w:rtl/>
        </w:rPr>
        <w:lastRenderedPageBreak/>
        <w:t xml:space="preserve">التسلسل الزمني التاريخي لفترة البرّيّة </w:t>
      </w:r>
    </w:p>
    <w:bookmarkEnd w:id="115"/>
    <w:p w14:paraId="2653ABB2" w14:textId="77777777" w:rsidR="005F171C" w:rsidRPr="005F171C" w:rsidRDefault="005F171C" w:rsidP="002D6C54">
      <w:pPr>
        <w:spacing w:line="240" w:lineRule="auto"/>
      </w:pPr>
    </w:p>
    <w:p w14:paraId="61DF9B2B" w14:textId="7BB0E07B" w:rsidR="005F171C" w:rsidRDefault="00070B6E" w:rsidP="002D6C54">
      <w:pPr>
        <w:spacing w:line="240" w:lineRule="auto"/>
      </w:pPr>
      <w:r>
        <w:rPr>
          <w:noProof/>
        </w:rPr>
        <w:drawing>
          <wp:inline distT="0" distB="0" distL="0" distR="0" wp14:anchorId="1F710E66" wp14:editId="65B6980E">
            <wp:extent cx="5943600" cy="4229100"/>
            <wp:effectExtent l="0" t="0" r="0" b="0"/>
            <wp:docPr id="108005345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4229100"/>
                    </a:xfrm>
                    <a:prstGeom prst="rect">
                      <a:avLst/>
                    </a:prstGeom>
                    <a:noFill/>
                    <a:ln>
                      <a:noFill/>
                    </a:ln>
                  </pic:spPr>
                </pic:pic>
              </a:graphicData>
            </a:graphic>
          </wp:inline>
        </w:drawing>
      </w:r>
    </w:p>
    <w:p w14:paraId="21F1D9F4" w14:textId="77777777" w:rsidR="005D651A" w:rsidRPr="005F171C" w:rsidRDefault="005D651A" w:rsidP="002D6C54">
      <w:pPr>
        <w:spacing w:line="240" w:lineRule="auto"/>
      </w:pPr>
    </w:p>
    <w:p w14:paraId="3E28AB3F" w14:textId="6BEFCC68" w:rsidR="006311FA" w:rsidRPr="00322941" w:rsidRDefault="00322941" w:rsidP="00322941">
      <w:pPr>
        <w:pStyle w:val="Heading3"/>
        <w:bidi/>
        <w:spacing w:line="240" w:lineRule="auto"/>
        <w:ind w:left="0" w:firstLine="0"/>
        <w:rPr>
          <w:rFonts w:ascii="Simplified Arabic" w:hAnsi="Simplified Arabic" w:cs="Simplified Arabic"/>
        </w:rPr>
      </w:pPr>
      <w:bookmarkStart w:id="116" w:name="_Hlk178778954"/>
      <w:r w:rsidRPr="00322941">
        <w:rPr>
          <w:rFonts w:ascii="Simplified Arabic" w:hAnsi="Simplified Arabic" w:cs="Simplified Arabic"/>
          <w:rtl/>
        </w:rPr>
        <w:t xml:space="preserve">الموضوع 2: </w:t>
      </w:r>
      <w:r w:rsidRPr="00322941">
        <w:rPr>
          <w:rFonts w:ascii="Simplified Arabic" w:eastAsia="Calibri" w:hAnsi="Simplified Arabic" w:cs="Simplified Arabic"/>
          <w:rtl/>
          <w14:ligatures w14:val="none"/>
        </w:rPr>
        <w:t>الإعداد للرحلة (سفر العدد 1: 1 – 10: 10)</w:t>
      </w:r>
    </w:p>
    <w:p w14:paraId="044E0718" w14:textId="79B7B67E" w:rsidR="002F2ED9" w:rsidRPr="007A4B15" w:rsidRDefault="002F2ED9" w:rsidP="00322941">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bookmarkStart w:id="117" w:name="_Hlk157178711"/>
      <w:r w:rsidRPr="007A4B15">
        <w:rPr>
          <w:rFonts w:ascii="Verdana" w:eastAsia="Calibri" w:hAnsi="Verdana" w:cs="Times New Roman"/>
          <w:b/>
          <w:caps/>
          <w:noProof/>
          <w:color w:val="006699"/>
          <w:kern w:val="0"/>
          <w:sz w:val="21"/>
          <w:szCs w:val="24"/>
          <w14:ligatures w14:val="none"/>
        </w:rPr>
        <w:drawing>
          <wp:inline distT="0" distB="0" distL="0" distR="0" wp14:anchorId="0F9CB783" wp14:editId="0A38E3DA">
            <wp:extent cx="613692" cy="541464"/>
            <wp:effectExtent l="0" t="0" r="0" b="0"/>
            <wp:docPr id="1893959652" name="Picture 1893959652"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322941" w:rsidRPr="00322941">
        <w:rPr>
          <w:rFonts w:ascii="Verdana" w:eastAsia="Calibri" w:hAnsi="Verdana" w:cs="Times New Roman" w:hint="cs"/>
          <w:bCs/>
          <w:caps/>
          <w:color w:val="006699"/>
          <w:kern w:val="0"/>
          <w:sz w:val="21"/>
          <w:szCs w:val="24"/>
          <w:u w:val="single"/>
          <w:rtl/>
          <w14:ligatures w14:val="none"/>
        </w:rPr>
        <w:t>القراءة:</w:t>
      </w:r>
    </w:p>
    <w:p w14:paraId="4072CFDA" w14:textId="1D42489D" w:rsidR="002F2ED9" w:rsidRPr="002B24E1" w:rsidRDefault="002F2ED9" w:rsidP="00322941">
      <w:pPr>
        <w:bidi/>
        <w:spacing w:line="240" w:lineRule="auto"/>
        <w:rPr>
          <w:b/>
          <w:bCs/>
        </w:rPr>
      </w:pPr>
      <w:r>
        <w:tab/>
      </w:r>
      <w:r>
        <w:tab/>
      </w:r>
      <w:r w:rsidR="00322941">
        <w:rPr>
          <w:rFonts w:hint="cs"/>
          <w:rtl/>
        </w:rPr>
        <w:t xml:space="preserve">اقرأ سفر العدد 1: 1 </w:t>
      </w:r>
      <w:r w:rsidR="00322941">
        <w:rPr>
          <w:rtl/>
        </w:rPr>
        <w:t>–</w:t>
      </w:r>
      <w:r w:rsidR="00322941">
        <w:rPr>
          <w:rFonts w:hint="cs"/>
          <w:rtl/>
        </w:rPr>
        <w:t xml:space="preserve"> 10: 10 في كتابك المُقدَّس. </w:t>
      </w:r>
    </w:p>
    <w:bookmarkEnd w:id="116"/>
    <w:bookmarkEnd w:id="117"/>
    <w:p w14:paraId="0C535267"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1</w:t>
      </w:r>
      <w:r w:rsidRPr="00070B6E">
        <w:rPr>
          <w:rFonts w:eastAsia="Times New Roman" w:cs="DecoType Naskh"/>
          <w:bCs/>
          <w:color w:val="auto"/>
          <w:kern w:val="0"/>
          <w:szCs w:val="28"/>
          <w:rtl/>
          <w:lang w:bidi="ar-JO"/>
          <w14:ligatures w14:val="none"/>
        </w:rPr>
        <w:t>.</w:t>
      </w:r>
      <w:r w:rsidRPr="00070B6E">
        <w:rPr>
          <w:rFonts w:eastAsia="Times New Roman" w:cs="DecoType Naskh"/>
          <w:bCs/>
          <w:color w:val="auto"/>
          <w:kern w:val="0"/>
          <w:szCs w:val="28"/>
          <w:rtl/>
          <w:lang w:bidi="ar-JO"/>
          <w14:ligatures w14:val="none"/>
        </w:rPr>
        <w:tab/>
        <w:t>مقدّمة</w:t>
      </w:r>
    </w:p>
    <w:p w14:paraId="738CFDE6"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 xml:space="preserve">يعكس سفر العدد الخبرات الانتقالية للأمة وهم يتحركون من سيناء ساعين إلى دخول أرض الموعد.  </w:t>
      </w:r>
      <w:r w:rsidRPr="00070B6E">
        <w:rPr>
          <w:rFonts w:eastAsia="Times New Roman" w:cs="DecoType Naskh" w:hint="cs"/>
          <w:color w:val="auto"/>
          <w:kern w:val="0"/>
          <w:szCs w:val="26"/>
          <w:rtl/>
          <w:lang w:bidi="ar-JO"/>
          <w14:ligatures w14:val="none"/>
        </w:rPr>
        <w:t>وطبعاً</w:t>
      </w:r>
      <w:r w:rsidRPr="00070B6E">
        <w:rPr>
          <w:rFonts w:eastAsia="Times New Roman" w:cs="DecoType Naskh"/>
          <w:color w:val="auto"/>
          <w:kern w:val="0"/>
          <w:szCs w:val="26"/>
          <w:rtl/>
          <w:lang w:bidi="ar-JO"/>
          <w14:ligatures w14:val="none"/>
        </w:rPr>
        <w:t xml:space="preserve"> الجيل الذي خرج من مصر رفض أن يصدّق وعد الله فيما يتعلّق بامتلاك الأرض</w:t>
      </w:r>
      <w:r w:rsidRPr="00070B6E">
        <w:rPr>
          <w:rFonts w:eastAsia="Times New Roman" w:cs="DecoType Naskh" w:hint="cs"/>
          <w:color w:val="auto"/>
          <w:kern w:val="0"/>
          <w:szCs w:val="26"/>
          <w:rtl/>
          <w:lang w:bidi="ar-JO"/>
          <w14:ligatures w14:val="none"/>
        </w:rPr>
        <w:t>،</w:t>
      </w:r>
      <w:r w:rsidRPr="00070B6E">
        <w:rPr>
          <w:rFonts w:eastAsia="Times New Roman" w:cs="DecoType Naskh"/>
          <w:color w:val="auto"/>
          <w:kern w:val="0"/>
          <w:szCs w:val="26"/>
          <w:rtl/>
          <w:lang w:bidi="ar-JO"/>
          <w14:ligatures w14:val="none"/>
        </w:rPr>
        <w:t xml:space="preserve"> فكانت نتيجة عصيانهم قضاء أربعين سنة في البرية، وهو وقت كافٍ لموت ذلك الجيل.</w:t>
      </w:r>
      <w:r w:rsidRPr="00070B6E">
        <w:rPr>
          <w:rFonts w:eastAsia="Times New Roman" w:cs="DecoType Naskh"/>
          <w:color w:val="auto"/>
          <w:kern w:val="0"/>
          <w:szCs w:val="26"/>
          <w:rtl/>
          <w:lang w:bidi="ar-JO"/>
          <w14:ligatures w14:val="none"/>
        </w:rPr>
        <w:cr/>
      </w:r>
    </w:p>
    <w:p w14:paraId="02F56183"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2</w:t>
      </w:r>
      <w:r w:rsidRPr="00070B6E">
        <w:rPr>
          <w:rFonts w:eastAsia="Times New Roman" w:cs="DecoType Naskh"/>
          <w:bCs/>
          <w:color w:val="auto"/>
          <w:kern w:val="0"/>
          <w:szCs w:val="28"/>
          <w:rtl/>
          <w:lang w:bidi="ar-JO"/>
          <w14:ligatures w14:val="none"/>
        </w:rPr>
        <w:t>.</w:t>
      </w:r>
      <w:r w:rsidRPr="00070B6E">
        <w:rPr>
          <w:rFonts w:eastAsia="Times New Roman" w:cs="DecoType Naskh"/>
          <w:bCs/>
          <w:color w:val="auto"/>
          <w:kern w:val="0"/>
          <w:szCs w:val="28"/>
          <w:rtl/>
          <w:lang w:bidi="ar-JO"/>
          <w14:ligatures w14:val="none"/>
        </w:rPr>
        <w:tab/>
      </w:r>
      <w:r w:rsidRPr="00070B6E">
        <w:rPr>
          <w:rFonts w:eastAsia="Times New Roman" w:cs="DecoType Naskh" w:hint="cs"/>
          <w:bCs/>
          <w:color w:val="auto"/>
          <w:kern w:val="0"/>
          <w:szCs w:val="28"/>
          <w:rtl/>
          <w:lang w:bidi="ar-JO"/>
          <w14:ligatures w14:val="none"/>
        </w:rPr>
        <w:t>السنة التي</w:t>
      </w:r>
      <w:r w:rsidRPr="00070B6E">
        <w:rPr>
          <w:rFonts w:eastAsia="Times New Roman" w:cs="DecoType Naskh"/>
          <w:bCs/>
          <w:color w:val="auto"/>
          <w:kern w:val="0"/>
          <w:szCs w:val="28"/>
          <w:rtl/>
          <w:lang w:bidi="ar-JO"/>
          <w14:ligatures w14:val="none"/>
        </w:rPr>
        <w:t xml:space="preserve"> عند جبل سيناء</w:t>
      </w:r>
    </w:p>
    <w:p w14:paraId="1AAA82E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 xml:space="preserve">بالنسبة للخلفية التاريخية للسفر، فإنه يبدأ وبنو إسرائيل ما زالوا مخيّمين عند أسفل جبل سيناء.  فبعد الخروج من مصر، أمضى بنو إسرائيل أحد عشر شهراً عند جبل سيناء.  </w:t>
      </w:r>
      <w:r w:rsidRPr="00070B6E">
        <w:rPr>
          <w:rFonts w:eastAsia="Times New Roman" w:cs="DecoType Naskh" w:hint="cs"/>
          <w:color w:val="auto"/>
          <w:kern w:val="0"/>
          <w:szCs w:val="26"/>
          <w:rtl/>
          <w:lang w:bidi="ar-JO"/>
          <w14:ligatures w14:val="none"/>
        </w:rPr>
        <w:t>ويقول</w:t>
      </w:r>
      <w:r w:rsidRPr="00070B6E">
        <w:rPr>
          <w:rFonts w:eastAsia="Times New Roman" w:cs="DecoType Naskh"/>
          <w:color w:val="auto"/>
          <w:kern w:val="0"/>
          <w:szCs w:val="26"/>
          <w:rtl/>
          <w:lang w:bidi="ar-JO"/>
          <w14:ligatures w14:val="none"/>
        </w:rPr>
        <w:t xml:space="preserve"> لنا خروج 19: 1 إنهم وصلوا إلى ذلك </w:t>
      </w:r>
      <w:r w:rsidRPr="00070B6E">
        <w:rPr>
          <w:rFonts w:eastAsia="Times New Roman" w:cs="DecoType Naskh"/>
          <w:color w:val="auto"/>
          <w:kern w:val="0"/>
          <w:szCs w:val="26"/>
          <w:rtl/>
          <w:lang w:bidi="ar-JO"/>
          <w14:ligatures w14:val="none"/>
        </w:rPr>
        <w:lastRenderedPageBreak/>
        <w:t>الجبل في الشهر الثالث من الخروج.  وتكشف لنا الآيتان 10: 11-12 من سفر العدد أنهم ارتحلوا من هناك في العشرين من الشهر الثاني للسنة الثانية.</w:t>
      </w:r>
    </w:p>
    <w:p w14:paraId="1A6DC1F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FB7524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وقد حدثت عدّة أمور أثناء هذه الفترة المتوسطة:</w:t>
      </w:r>
    </w:p>
    <w:p w14:paraId="36DD8D45"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(1)</w:t>
      </w:r>
      <w:r w:rsidRPr="00070B6E">
        <w:rPr>
          <w:rFonts w:eastAsia="Times New Roman" w:cs="DecoType Naskh" w:hint="cs"/>
          <w:color w:val="auto"/>
          <w:kern w:val="0"/>
          <w:szCs w:val="26"/>
          <w:rtl/>
          <w:lang w:bidi="ar-JO"/>
          <w14:ligatures w14:val="none"/>
        </w:rPr>
        <w:tab/>
      </w:r>
      <w:r w:rsidRPr="00070B6E">
        <w:rPr>
          <w:rFonts w:eastAsia="Times New Roman" w:cs="DecoType Naskh"/>
          <w:color w:val="auto"/>
          <w:kern w:val="0"/>
          <w:szCs w:val="26"/>
          <w:rtl/>
          <w:lang w:bidi="ar-JO"/>
          <w14:ligatures w14:val="none"/>
        </w:rPr>
        <w:t>تلقّوا الشريعة (دستور الأمّة) بما في ذلك تعليمات حول خيمة الاجتماع والكهنوت.</w:t>
      </w:r>
    </w:p>
    <w:p w14:paraId="6C81718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(2)</w:t>
      </w:r>
      <w:r w:rsidRPr="00070B6E">
        <w:rPr>
          <w:rFonts w:eastAsia="Times New Roman" w:cs="DecoType Naskh" w:hint="cs"/>
          <w:color w:val="auto"/>
          <w:kern w:val="0"/>
          <w:szCs w:val="26"/>
          <w:rtl/>
          <w:lang w:bidi="ar-JO"/>
          <w14:ligatures w14:val="none"/>
        </w:rPr>
        <w:tab/>
      </w:r>
      <w:r w:rsidRPr="00070B6E">
        <w:rPr>
          <w:rFonts w:eastAsia="Times New Roman" w:cs="DecoType Naskh"/>
          <w:color w:val="auto"/>
          <w:kern w:val="0"/>
          <w:szCs w:val="26"/>
          <w:rtl/>
          <w:lang w:bidi="ar-JO"/>
          <w14:ligatures w14:val="none"/>
        </w:rPr>
        <w:t>تمّ إرشادهم حول طريقة الاقتراب إلى يهوه من خلال الذبيحة والكهنوت التوسطي، بالإضافة إلى طريقة الحياة في وجود يهوه ساكناً بينهم (لاويين).</w:t>
      </w:r>
    </w:p>
    <w:p w14:paraId="3CEDEDC3"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(3)</w:t>
      </w:r>
      <w:r w:rsidRPr="00070B6E">
        <w:rPr>
          <w:rFonts w:eastAsia="Times New Roman" w:cs="DecoType Naskh" w:hint="cs"/>
          <w:color w:val="auto"/>
          <w:kern w:val="0"/>
          <w:szCs w:val="26"/>
          <w:rtl/>
          <w:lang w:bidi="ar-JO"/>
          <w14:ligatures w14:val="none"/>
        </w:rPr>
        <w:tab/>
      </w:r>
      <w:r w:rsidRPr="00070B6E">
        <w:rPr>
          <w:rFonts w:eastAsia="Times New Roman" w:cs="DecoType Naskh"/>
          <w:color w:val="auto"/>
          <w:kern w:val="0"/>
          <w:szCs w:val="26"/>
          <w:rtl/>
          <w:lang w:bidi="ar-JO"/>
          <w14:ligatures w14:val="none"/>
        </w:rPr>
        <w:t>استعدوا ونظّموا أنفسهم لنقل المخيم (المحلّة) ولرعاية اللاويين لخيمة الاجتماع (العدد 1-10).</w:t>
      </w:r>
    </w:p>
    <w:p w14:paraId="0EC72CE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0A1181D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070B6E">
        <w:rPr>
          <w:rFonts w:eastAsia="Times New Roman" w:cs="DecoType Naskh"/>
          <w:color w:val="auto"/>
          <w:kern w:val="0"/>
          <w:szCs w:val="26"/>
          <w:rtl/>
          <w:lang w:bidi="ar-JO"/>
          <w14:ligatures w14:val="none"/>
        </w:rPr>
        <w:t>ومع استمرار القصة، يجب أن نتذكر أن هذه ا</w:t>
      </w:r>
      <w:r w:rsidRPr="00070B6E">
        <w:rPr>
          <w:rFonts w:eastAsia="Times New Roman" w:cs="DecoType Naskh" w:hint="cs"/>
          <w:color w:val="auto"/>
          <w:kern w:val="0"/>
          <w:szCs w:val="26"/>
          <w:rtl/>
          <w:lang w:bidi="ar-JO"/>
          <w14:ligatures w14:val="none"/>
        </w:rPr>
        <w:t>لأ</w:t>
      </w:r>
      <w:r w:rsidRPr="00070B6E">
        <w:rPr>
          <w:rFonts w:eastAsia="Times New Roman" w:cs="DecoType Naskh"/>
          <w:color w:val="auto"/>
          <w:kern w:val="0"/>
          <w:szCs w:val="26"/>
          <w:rtl/>
          <w:lang w:bidi="ar-JO"/>
          <w14:ligatures w14:val="none"/>
        </w:rPr>
        <w:t>صحاحات تمثّل تطبيق العهد والوعود التي قُطعت لإبراهيم (تكوين 12</w:t>
      </w:r>
      <w:r w:rsidRPr="00070B6E">
        <w:rPr>
          <w:rFonts w:eastAsia="Times New Roman" w:cs="DecoType Naskh" w:hint="cs"/>
          <w:color w:val="auto"/>
          <w:kern w:val="0"/>
          <w:szCs w:val="26"/>
          <w:rtl/>
          <w:lang w:bidi="ar-JO"/>
          <w14:ligatures w14:val="none"/>
        </w:rPr>
        <w:t>و</w:t>
      </w:r>
      <w:r w:rsidRPr="00070B6E">
        <w:rPr>
          <w:rFonts w:eastAsia="Times New Roman" w:cs="DecoType Naskh"/>
          <w:color w:val="auto"/>
          <w:kern w:val="0"/>
          <w:szCs w:val="26"/>
          <w:rtl/>
          <w:lang w:bidi="ar-JO"/>
          <w14:ligatures w14:val="none"/>
        </w:rPr>
        <w:t>15)</w:t>
      </w:r>
      <w:r w:rsidRPr="00070B6E">
        <w:rPr>
          <w:rFonts w:eastAsia="Times New Roman" w:cs="DecoType Naskh" w:hint="cs"/>
          <w:color w:val="auto"/>
          <w:kern w:val="0"/>
          <w:szCs w:val="26"/>
          <w:rtl/>
          <w:lang w:bidi="ar-JO"/>
          <w14:ligatures w14:val="none"/>
        </w:rPr>
        <w:t>؛</w:t>
      </w:r>
      <w:r w:rsidRPr="00070B6E">
        <w:rPr>
          <w:rFonts w:eastAsia="Times New Roman" w:cs="DecoType Naskh"/>
          <w:color w:val="auto"/>
          <w:kern w:val="0"/>
          <w:szCs w:val="26"/>
          <w:rtl/>
          <w:lang w:bidi="ar-JO"/>
          <w14:ligatures w14:val="none"/>
        </w:rPr>
        <w:t xml:space="preserve"> </w:t>
      </w:r>
      <w:r w:rsidRPr="00070B6E">
        <w:rPr>
          <w:rFonts w:eastAsia="Times New Roman" w:cs="DecoType Naskh" w:hint="cs"/>
          <w:color w:val="auto"/>
          <w:kern w:val="0"/>
          <w:szCs w:val="26"/>
          <w:rtl/>
          <w:lang w:bidi="ar-JO"/>
          <w14:ligatures w14:val="none"/>
        </w:rPr>
        <w:t xml:space="preserve"> </w:t>
      </w:r>
      <w:r w:rsidRPr="00070B6E">
        <w:rPr>
          <w:rFonts w:eastAsia="Times New Roman" w:cs="DecoType Naskh"/>
          <w:color w:val="auto"/>
          <w:kern w:val="0"/>
          <w:szCs w:val="26"/>
          <w:rtl/>
          <w:lang w:bidi="ar-JO"/>
          <w14:ligatures w14:val="none"/>
        </w:rPr>
        <w:t>فقد سبق أن وعد الله بأن يجعل منهم أمّة وأن يعطيهم الأرض.  وتعكس هذه الفترة المتوسطة (خروج 19-عدد 10) أمانة الله في تنفيذ هذا الوعد.  فهو ينفّذ ويضمن البرنامج الإلهي.  وقد أعد الله كل شيء لذلك الجيل لكي يأخذوا الأرض.</w:t>
      </w:r>
    </w:p>
    <w:p w14:paraId="5CADECBD"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760093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A4F6FA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47B5B9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كانت السنة التي قضوها عند جبل سيناء سنة تمتّعوا فيها بامتيازات هائلة، حيث تلقّوا إعلاناً موسَّعاً ومحدّداً من الله.  وقد سبق أن تعلّموا الكثير عن قوّة يهوه ومجده وصفاته وقداسته</w:t>
      </w:r>
      <w:r w:rsidRPr="00070B6E">
        <w:rPr>
          <w:rFonts w:eastAsia="Times New Roman" w:cs="DecoType Naskh" w:hint="cs"/>
          <w:color w:val="auto"/>
          <w:kern w:val="0"/>
          <w:szCs w:val="26"/>
          <w:rtl/>
          <w:lang w:bidi="ar-JO"/>
          <w14:ligatures w14:val="none"/>
        </w:rPr>
        <w:t>،</w:t>
      </w:r>
      <w:r w:rsidRPr="00070B6E">
        <w:rPr>
          <w:rFonts w:eastAsia="Times New Roman" w:cs="DecoType Naskh"/>
          <w:color w:val="auto"/>
          <w:kern w:val="0"/>
          <w:szCs w:val="26"/>
          <w:rtl/>
          <w:lang w:bidi="ar-JO"/>
          <w14:ligatures w14:val="none"/>
        </w:rPr>
        <w:t xml:space="preserve"> ولهذا فاقت امتيازاتهم امتيازات أيّة أمّة أخرى من أمم الأرض.  وكما وعد الله، كانوا "خاصة له" (خروج 19: 5)؛ لكن هذا ما يجعل فشلهم المتكرر في سفر العدد –</w:t>
      </w:r>
      <w:r w:rsidRPr="00070B6E">
        <w:rPr>
          <w:rFonts w:eastAsia="Times New Roman" w:cs="DecoType Naskh" w:hint="cs"/>
          <w:color w:val="auto"/>
          <w:kern w:val="0"/>
          <w:szCs w:val="26"/>
          <w:rtl/>
          <w14:ligatures w14:val="none"/>
        </w:rPr>
        <w:t xml:space="preserve"> </w:t>
      </w:r>
      <w:r w:rsidRPr="00070B6E">
        <w:rPr>
          <w:rFonts w:eastAsia="Times New Roman" w:cs="DecoType Naskh"/>
          <w:color w:val="auto"/>
          <w:kern w:val="0"/>
          <w:szCs w:val="26"/>
          <w:rtl/>
          <w:lang w:bidi="ar-JO"/>
          <w14:ligatures w14:val="none"/>
        </w:rPr>
        <w:t>التذمّر وعدم الإيمان وحتى التمرّد- يبرز بشكل أكثر وضوحاً.  لهذا يجب أن ي</w:t>
      </w:r>
      <w:r w:rsidRPr="00070B6E">
        <w:rPr>
          <w:rFonts w:eastAsia="Times New Roman" w:cs="DecoType Naskh" w:hint="cs"/>
          <w:color w:val="auto"/>
          <w:kern w:val="0"/>
          <w:szCs w:val="26"/>
          <w:rtl/>
          <w:lang w:bidi="ar-JO"/>
          <w14:ligatures w14:val="none"/>
        </w:rPr>
        <w:t>ُ</w:t>
      </w:r>
      <w:r w:rsidRPr="00070B6E">
        <w:rPr>
          <w:rFonts w:eastAsia="Times New Roman" w:cs="DecoType Naskh"/>
          <w:color w:val="auto"/>
          <w:kern w:val="0"/>
          <w:szCs w:val="26"/>
          <w:rtl/>
          <w:lang w:bidi="ar-JO"/>
          <w14:ligatures w14:val="none"/>
        </w:rPr>
        <w:t>نظ</w:t>
      </w:r>
      <w:r w:rsidRPr="00070B6E">
        <w:rPr>
          <w:rFonts w:eastAsia="Times New Roman" w:cs="DecoType Naskh" w:hint="cs"/>
          <w:color w:val="auto"/>
          <w:kern w:val="0"/>
          <w:szCs w:val="26"/>
          <w:rtl/>
          <w:lang w:bidi="ar-JO"/>
          <w14:ligatures w14:val="none"/>
        </w:rPr>
        <w:t>َ</w:t>
      </w:r>
      <w:r w:rsidRPr="00070B6E">
        <w:rPr>
          <w:rFonts w:eastAsia="Times New Roman" w:cs="DecoType Naskh"/>
          <w:color w:val="auto"/>
          <w:kern w:val="0"/>
          <w:szCs w:val="26"/>
          <w:rtl/>
          <w:lang w:bidi="ar-JO"/>
          <w14:ligatures w14:val="none"/>
        </w:rPr>
        <w:t>ر إلى سفر العدد على خلفية العهد الإبراهيمي والامتيازات الهائلة التي عُهد بها إلى أمّة إسرائيل.</w:t>
      </w:r>
    </w:p>
    <w:p w14:paraId="7B75AEB5"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CBC4372"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3</w:t>
      </w:r>
      <w:r w:rsidRPr="00070B6E">
        <w:rPr>
          <w:rFonts w:eastAsia="Times New Roman" w:cs="DecoType Naskh"/>
          <w:bCs/>
          <w:color w:val="auto"/>
          <w:kern w:val="0"/>
          <w:szCs w:val="28"/>
          <w:rtl/>
          <w:lang w:bidi="ar-JO"/>
          <w14:ligatures w14:val="none"/>
        </w:rPr>
        <w:t>.</w:t>
      </w:r>
      <w:r w:rsidRPr="00070B6E">
        <w:rPr>
          <w:rFonts w:eastAsia="Times New Roman" w:cs="DecoType Naskh"/>
          <w:bCs/>
          <w:color w:val="auto"/>
          <w:kern w:val="0"/>
          <w:szCs w:val="28"/>
          <w:rtl/>
          <w:lang w:bidi="ar-JO"/>
          <w14:ligatures w14:val="none"/>
        </w:rPr>
        <w:tab/>
      </w:r>
      <w:r w:rsidRPr="00070B6E">
        <w:rPr>
          <w:rFonts w:eastAsia="Times New Roman" w:cs="DecoType Naskh" w:hint="cs"/>
          <w:bCs/>
          <w:color w:val="auto"/>
          <w:kern w:val="0"/>
          <w:szCs w:val="28"/>
          <w:rtl/>
          <w:lang w:bidi="ar-JO"/>
          <w14:ligatures w14:val="none"/>
        </w:rPr>
        <w:t>طبيعة السفر</w:t>
      </w:r>
    </w:p>
    <w:p w14:paraId="0D74699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على الرغم من أن اسم السفر هو "العدد"، إلاّ أن الاسم العبري للسفر هو بَمِ</w:t>
      </w:r>
      <w:r w:rsidRPr="00070B6E">
        <w:rPr>
          <w:rFonts w:eastAsia="Times New Roman" w:cs="DecoType Naskh" w:hint="cs"/>
          <w:color w:val="auto"/>
          <w:kern w:val="0"/>
          <w:szCs w:val="26"/>
          <w:rtl/>
          <w:lang w:bidi="ar-JO"/>
          <w14:ligatures w14:val="none"/>
        </w:rPr>
        <w:t>د</w:t>
      </w:r>
      <w:r w:rsidRPr="00070B6E">
        <w:rPr>
          <w:rFonts w:eastAsia="Times New Roman" w:cs="DecoType Naskh"/>
          <w:color w:val="auto"/>
          <w:kern w:val="0"/>
          <w:szCs w:val="26"/>
          <w:rtl/>
          <w:lang w:bidi="ar-JO"/>
          <w14:ligatures w14:val="none"/>
        </w:rPr>
        <w:t>بار</w:t>
      </w:r>
      <w:r w:rsidRPr="00070B6E">
        <w:rPr>
          <w:rFonts w:eastAsia="Times New Roman" w:cs="DecoType Naskh" w:hint="cs"/>
          <w:color w:val="auto"/>
          <w:kern w:val="0"/>
          <w:szCs w:val="26"/>
          <w:rtl/>
          <w:lang w:bidi="ar-JO"/>
          <w14:ligatures w14:val="none"/>
        </w:rPr>
        <w:t xml:space="preserve"> </w:t>
      </w:r>
      <w:r w:rsidRPr="00070B6E">
        <w:rPr>
          <w:rFonts w:ascii="Charis SIL" w:eastAsia="Times New Roman" w:hAnsi="Charis SIL" w:cs="Charis SIL"/>
          <w:bCs/>
          <w:i/>
          <w:iCs/>
          <w:color w:val="auto"/>
          <w:kern w:val="0"/>
          <w:szCs w:val="26"/>
          <w:lang w:bidi="ar-JO"/>
          <w14:ligatures w14:val="none"/>
        </w:rPr>
        <w:t>bᵊmiḏbar</w:t>
      </w:r>
      <w:r w:rsidRPr="00070B6E">
        <w:rPr>
          <w:rFonts w:eastAsia="Times New Roman" w:cs="DecoType Naskh"/>
          <w:color w:val="auto"/>
          <w:kern w:val="0"/>
          <w:szCs w:val="24"/>
          <w:rtl/>
          <w:lang w:bidi="ar-JO"/>
          <w14:ligatures w14:val="none"/>
        </w:rPr>
        <w:t xml:space="preserve"> </w:t>
      </w:r>
      <w:r w:rsidRPr="00070B6E">
        <w:rPr>
          <w:rFonts w:eastAsia="Times New Roman" w:cs="DecoType Naskh"/>
          <w:color w:val="auto"/>
          <w:kern w:val="0"/>
          <w:szCs w:val="26"/>
          <w:rtl/>
          <w:lang w:bidi="ar-JO"/>
          <w14:ligatures w14:val="none"/>
        </w:rPr>
        <w:t>، ويعني "في البرية".  وهو عنوان أكثر ملاءمة من "العدد"، لأن اهتمام السفر الأساسي منصبٌ على خبرات البريّة –</w:t>
      </w:r>
      <w:r w:rsidRPr="00070B6E">
        <w:rPr>
          <w:rFonts w:eastAsia="Times New Roman" w:cs="DecoType Naskh" w:hint="cs"/>
          <w:color w:val="auto"/>
          <w:kern w:val="0"/>
          <w:szCs w:val="26"/>
          <w:rtl/>
          <w14:ligatures w14:val="none"/>
        </w:rPr>
        <w:t xml:space="preserve"> </w:t>
      </w:r>
      <w:r w:rsidRPr="00070B6E">
        <w:rPr>
          <w:rFonts w:eastAsia="Times New Roman" w:cs="DecoType Naskh"/>
          <w:color w:val="auto"/>
          <w:kern w:val="0"/>
          <w:szCs w:val="26"/>
          <w:rtl/>
          <w:lang w:bidi="ar-JO"/>
          <w14:ligatures w14:val="none"/>
        </w:rPr>
        <w:t>فهي بريّة حدث فيها تأديب طويل.  ويتضمن هذا تطهير (التخلص من) أولئك الذين تمرّدوا على الله.  يقول كير في</w:t>
      </w:r>
      <w:r w:rsidRPr="00070B6E">
        <w:rPr>
          <w:rFonts w:eastAsia="Times New Roman" w:cs="DecoType Naskh" w:hint="cs"/>
          <w:color w:val="auto"/>
          <w:kern w:val="0"/>
          <w:szCs w:val="26"/>
          <w:rtl/>
          <w:lang w:bidi="ar-JO"/>
          <w14:ligatures w14:val="none"/>
        </w:rPr>
        <w:t xml:space="preserve"> </w:t>
      </w:r>
      <w:r w:rsidRPr="00070B6E">
        <w:rPr>
          <w:rFonts w:eastAsia="Times New Roman" w:cs="DecoType Naskh"/>
          <w:color w:val="auto"/>
          <w:kern w:val="0"/>
          <w:szCs w:val="26"/>
          <w:u w:val="single"/>
          <w:lang w:bidi="ar-JO"/>
          <w14:ligatures w14:val="none"/>
        </w:rPr>
        <w:t>Biblical Expositor</w:t>
      </w:r>
      <w:r w:rsidRPr="00070B6E">
        <w:rPr>
          <w:rFonts w:eastAsia="Times New Roman" w:cs="DecoType Naskh"/>
          <w:color w:val="auto"/>
          <w:kern w:val="0"/>
          <w:szCs w:val="26"/>
          <w:rtl/>
          <w:lang w:bidi="ar-JO"/>
          <w14:ligatures w14:val="none"/>
        </w:rPr>
        <w:t>:</w:t>
      </w:r>
    </w:p>
    <w:p w14:paraId="4604C05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 xml:space="preserve">غالباً ما يكون الوصول إلى النضج عملية مؤلمة، سواء كان ذلك في حالة شابٍ أو أمّة شابة.  فالحريات الجديدة تجلب مسؤوليات جديدة.  ويروي سفر العدد كيف أن بني إسرائيل، الذين سبق أن عانوا الأمرّين تحت حكم فرعون المستبد، نقلوا استياءهم من السلطة إلى موسى، ثم إلى الله نفسه في نهاية المطاف.  إذ كانت الحدود الجديدة للشريعة الإلهية أحياناً مزعجة بنفس مقدار قيود العبودية التي سبق أن فُرضت عليهم في مصر.  وكانت مسؤوليات شعب </w:t>
      </w:r>
      <w:r w:rsidRPr="00070B6E">
        <w:rPr>
          <w:rFonts w:eastAsia="Times New Roman" w:cs="DecoType Naskh" w:hint="cs"/>
          <w:color w:val="auto"/>
          <w:kern w:val="0"/>
          <w:szCs w:val="26"/>
          <w:rtl/>
          <w:lang w:bidi="ar-JO"/>
          <w14:ligatures w14:val="none"/>
        </w:rPr>
        <w:t>محرَّر</w:t>
      </w:r>
      <w:r w:rsidRPr="00070B6E">
        <w:rPr>
          <w:rFonts w:eastAsia="Times New Roman" w:cs="DecoType Naskh"/>
          <w:color w:val="auto"/>
          <w:kern w:val="0"/>
          <w:szCs w:val="26"/>
          <w:rtl/>
          <w:lang w:bidi="ar-JO"/>
          <w14:ligatures w14:val="none"/>
        </w:rPr>
        <w:t xml:space="preserve"> في بعض الأحيان أكبر من قدرة إسرائيل على القيام بها.  لكن الله كان يعمل من خلال ذلك كلّه، </w:t>
      </w:r>
      <w:r w:rsidRPr="00070B6E">
        <w:rPr>
          <w:rFonts w:eastAsia="Times New Roman" w:cs="DecoType Naskh" w:hint="cs"/>
          <w:color w:val="auto"/>
          <w:kern w:val="0"/>
          <w:szCs w:val="26"/>
          <w:rtl/>
          <w:lang w:bidi="ar-JO"/>
          <w14:ligatures w14:val="none"/>
        </w:rPr>
        <w:t>مشكِّلاً</w:t>
      </w:r>
      <w:r w:rsidRPr="00070B6E">
        <w:rPr>
          <w:rFonts w:eastAsia="Times New Roman" w:cs="DecoType Naskh"/>
          <w:color w:val="auto"/>
          <w:kern w:val="0"/>
          <w:szCs w:val="26"/>
          <w:rtl/>
          <w:lang w:bidi="ar-JO"/>
          <w14:ligatures w14:val="none"/>
        </w:rPr>
        <w:t xml:space="preserve"> شعباً ليكون له مقتنى.</w:t>
      </w:r>
      <w:r w:rsidRPr="00070B6E">
        <w:rPr>
          <w:rFonts w:eastAsia="Times New Roman" w:cs="DecoType Naskh"/>
          <w:color w:val="auto"/>
          <w:kern w:val="0"/>
          <w:sz w:val="30"/>
          <w:szCs w:val="28"/>
          <w:vertAlign w:val="superscript"/>
          <w:rtl/>
          <w:lang w:bidi="ar-JO"/>
          <w14:ligatures w14:val="none"/>
        </w:rPr>
        <w:footnoteReference w:id="106"/>
      </w:r>
    </w:p>
    <w:p w14:paraId="3F52CF2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p>
    <w:p w14:paraId="66E2AC77"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4</w:t>
      </w:r>
      <w:r w:rsidRPr="00070B6E">
        <w:rPr>
          <w:rFonts w:eastAsia="Times New Roman" w:cs="DecoType Naskh"/>
          <w:bCs/>
          <w:color w:val="auto"/>
          <w:kern w:val="0"/>
          <w:szCs w:val="28"/>
          <w:rtl/>
          <w:lang w:bidi="ar-JO"/>
          <w14:ligatures w14:val="none"/>
        </w:rPr>
        <w:t>.</w:t>
      </w:r>
      <w:r w:rsidRPr="00070B6E">
        <w:rPr>
          <w:rFonts w:eastAsia="Times New Roman" w:cs="DecoType Naskh"/>
          <w:bCs/>
          <w:color w:val="auto"/>
          <w:kern w:val="0"/>
          <w:szCs w:val="28"/>
          <w:rtl/>
          <w:lang w:bidi="ar-JO"/>
          <w14:ligatures w14:val="none"/>
        </w:rPr>
        <w:tab/>
        <w:t>بنية سفر العدد</w:t>
      </w:r>
    </w:p>
    <w:p w14:paraId="20FF3723"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 xml:space="preserve">قدّم الباحثون أفكار مقترحة </w:t>
      </w:r>
      <w:r w:rsidRPr="00070B6E">
        <w:rPr>
          <w:rFonts w:eastAsia="Times New Roman" w:cs="DecoType Naskh" w:hint="cs"/>
          <w:color w:val="auto"/>
          <w:kern w:val="0"/>
          <w:szCs w:val="26"/>
          <w:rtl/>
          <w:lang w:bidi="ar-JO"/>
          <w14:ligatures w14:val="none"/>
        </w:rPr>
        <w:t xml:space="preserve">مختلفة </w:t>
      </w:r>
      <w:r w:rsidRPr="00070B6E">
        <w:rPr>
          <w:rFonts w:eastAsia="Times New Roman" w:cs="DecoType Naskh"/>
          <w:color w:val="auto"/>
          <w:kern w:val="0"/>
          <w:szCs w:val="26"/>
          <w:rtl/>
          <w:lang w:bidi="ar-JO"/>
          <w14:ligatures w14:val="none"/>
        </w:rPr>
        <w:t>حول بنية السفر، يعكس بعضها نهجاً يرتّب الأحداث ترتيباً زمنياً، ويعكس بعضها الآخر نهجاً جغرافياً، إلخ.  ولأجل أغراض هذه الدراسة سأقسم السفر إلى ثلاثة أقسام مبنية على إعداد كل جيل ي</w:t>
      </w:r>
      <w:r w:rsidRPr="00070B6E">
        <w:rPr>
          <w:rFonts w:eastAsia="Times New Roman" w:cs="DecoType Naskh" w:hint="cs"/>
          <w:color w:val="auto"/>
          <w:kern w:val="0"/>
          <w:szCs w:val="26"/>
          <w:rtl/>
          <w14:ligatures w14:val="none"/>
        </w:rPr>
        <w:t>ُ</w:t>
      </w:r>
      <w:r w:rsidRPr="00070B6E">
        <w:rPr>
          <w:rFonts w:eastAsia="Times New Roman" w:cs="DecoType Naskh"/>
          <w:color w:val="auto"/>
          <w:kern w:val="0"/>
          <w:szCs w:val="26"/>
          <w:rtl/>
          <w:lang w:bidi="ar-JO"/>
          <w14:ligatures w14:val="none"/>
        </w:rPr>
        <w:t>فترض أن يدخل الأرض.</w:t>
      </w:r>
    </w:p>
    <w:p w14:paraId="79F2EE63"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7B04066"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center"/>
        <w:rPr>
          <w:rFonts w:eastAsia="Times New Roman" w:cs="DecoType Naskh"/>
          <w:color w:val="auto"/>
          <w:kern w:val="0"/>
          <w:sz w:val="18"/>
          <w:szCs w:val="20"/>
          <w14:ligatures w14:val="none"/>
        </w:rPr>
      </w:pPr>
    </w:p>
    <w:p w14:paraId="3FA393B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center"/>
        <w:rPr>
          <w:rFonts w:eastAsia="Times New Roman" w:cs="DecoType Naskh"/>
          <w:color w:val="auto"/>
          <w:kern w:val="0"/>
          <w:sz w:val="18"/>
          <w:szCs w:val="20"/>
          <w:rtl/>
          <w14:ligatures w14:val="none"/>
        </w:rPr>
      </w:pPr>
      <w:r w:rsidRPr="00070B6E">
        <w:rPr>
          <w:rFonts w:eastAsia="Times New Roman" w:cs="DecoType Naskh"/>
          <w:color w:val="auto"/>
          <w:kern w:val="0"/>
          <w:sz w:val="18"/>
          <w:szCs w:val="20"/>
          <w:lang w:bidi="ar-JO"/>
          <w14:ligatures w14:val="none"/>
        </w:rPr>
        <w:object w:dxaOrig="3960" w:dyaOrig="865" w14:anchorId="77D818E5">
          <v:shape id="_x0000_i1035" type="#_x0000_t75" style="width:396pt;height:86.4pt" o:ole="">
            <v:imagedata r:id="rId62" o:title=""/>
          </v:shape>
          <o:OLEObject Type="Embed" ProgID="PowerPoint.Show.8" ShapeID="_x0000_i1035" DrawAspect="Content" ObjectID="_1802157130" r:id="rId63"/>
        </w:object>
      </w:r>
    </w:p>
    <w:p w14:paraId="0167E89F"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KW"/>
          <w14:ligatures w14:val="none"/>
        </w:rPr>
      </w:pPr>
    </w:p>
    <w:p w14:paraId="0A53D443"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KW"/>
          <w14:ligatures w14:val="none"/>
        </w:rPr>
      </w:pPr>
    </w:p>
    <w:p w14:paraId="4D02C02B"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14:ligatures w14:val="none"/>
        </w:rPr>
      </w:pPr>
      <w:r w:rsidRPr="00070B6E">
        <w:rPr>
          <w:rFonts w:eastAsia="Times New Roman" w:cs="DecoType Naskh" w:hint="cs"/>
          <w:bCs/>
          <w:color w:val="auto"/>
          <w:kern w:val="0"/>
          <w:szCs w:val="28"/>
          <w:rtl/>
          <w:lang w:bidi="ar-JO"/>
          <w14:ligatures w14:val="none"/>
        </w:rPr>
        <w:t>5</w:t>
      </w:r>
      <w:r w:rsidRPr="00070B6E">
        <w:rPr>
          <w:rFonts w:eastAsia="Times New Roman" w:cs="DecoType Naskh"/>
          <w:bCs/>
          <w:color w:val="auto"/>
          <w:kern w:val="0"/>
          <w:szCs w:val="28"/>
          <w:rtl/>
          <w:lang w:bidi="ar-JO"/>
          <w14:ligatures w14:val="none"/>
        </w:rPr>
        <w:t>.</w:t>
      </w:r>
      <w:r w:rsidRPr="00070B6E">
        <w:rPr>
          <w:rFonts w:eastAsia="Times New Roman" w:cs="DecoType Naskh"/>
          <w:bCs/>
          <w:color w:val="auto"/>
          <w:kern w:val="0"/>
          <w:szCs w:val="28"/>
          <w:rtl/>
          <w:lang w:bidi="ar-JO"/>
          <w14:ligatures w14:val="none"/>
        </w:rPr>
        <w:tab/>
        <w:t>لاهوت سفر العدد</w:t>
      </w:r>
    </w:p>
    <w:p w14:paraId="7D930EF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 xml:space="preserve">يدور المشهد كلّه حول أمانة يهوه ووفائه بالمقابلة مع </w:t>
      </w:r>
      <w:r w:rsidRPr="00070B6E">
        <w:rPr>
          <w:rFonts w:eastAsia="Times New Roman" w:cs="DecoType Naskh" w:hint="cs"/>
          <w:color w:val="auto"/>
          <w:kern w:val="0"/>
          <w:szCs w:val="26"/>
          <w:rtl/>
          <w:lang w:bidi="ar-JO"/>
          <w14:ligatures w14:val="none"/>
        </w:rPr>
        <w:t>عناد</w:t>
      </w:r>
      <w:r w:rsidRPr="00070B6E">
        <w:rPr>
          <w:rFonts w:eastAsia="Times New Roman" w:cs="DecoType Naskh"/>
          <w:color w:val="auto"/>
          <w:kern w:val="0"/>
          <w:szCs w:val="26"/>
          <w:rtl/>
          <w:lang w:bidi="ar-JO"/>
          <w14:ligatures w14:val="none"/>
        </w:rPr>
        <w:t xml:space="preserve"> إسرائيل </w:t>
      </w:r>
      <w:r w:rsidRPr="00070B6E">
        <w:rPr>
          <w:rFonts w:eastAsia="Times New Roman" w:cs="DecoType Naskh" w:hint="cs"/>
          <w:color w:val="auto"/>
          <w:kern w:val="0"/>
          <w:szCs w:val="26"/>
          <w:rtl/>
          <w:lang w:bidi="ar-JO"/>
          <w14:ligatures w14:val="none"/>
        </w:rPr>
        <w:t xml:space="preserve">وضلالهم </w:t>
      </w:r>
      <w:r w:rsidRPr="00070B6E">
        <w:rPr>
          <w:rFonts w:eastAsia="Times New Roman" w:cs="DecoType Naskh"/>
          <w:color w:val="auto"/>
          <w:kern w:val="0"/>
          <w:szCs w:val="26"/>
          <w:rtl/>
          <w:lang w:bidi="ar-JO"/>
          <w14:ligatures w14:val="none"/>
        </w:rPr>
        <w:t>وتمرّدهم.  لقد سبق أن أعلن الله مشيئته بوضوح في خروج 6: 8</w:t>
      </w:r>
      <w:r w:rsidRPr="00070B6E">
        <w:rPr>
          <w:rFonts w:eastAsia="Times New Roman" w:cs="DecoType Naskh" w:hint="cs"/>
          <w:color w:val="auto"/>
          <w:kern w:val="0"/>
          <w:szCs w:val="26"/>
          <w:rtl/>
          <w:lang w:bidi="ar-JO"/>
          <w14:ligatures w14:val="none"/>
        </w:rPr>
        <w:t xml:space="preserve">: </w:t>
      </w:r>
      <w:r w:rsidRPr="00070B6E">
        <w:rPr>
          <w:rFonts w:eastAsia="Times New Roman" w:cs="DecoType Naskh"/>
          <w:color w:val="auto"/>
          <w:kern w:val="0"/>
          <w:szCs w:val="26"/>
          <w:rtl/>
          <w:lang w:bidi="ar-JO"/>
          <w14:ligatures w14:val="none"/>
        </w:rPr>
        <w:t xml:space="preserve">"وأُدخلكم إلى الأرض التي رفعت يدي أن أعطيها لإبراهيم وإسحق ويعقوب.  وأعطيكم إيّاها ميراثاً، أنا الرب."  لن يغيّر الله مشيئته، ولن يفشل في ما سبق أن قضى به.  وهذا هو ما سيحدث.  غير أن الله، وهو ينفّذ مشيئته التي قضى بها وأعلنها، أفسح المجال لأن تعصي إسرائيل إرادته.  فقد سمح للأمة بأن تفشل وتعصي وتتمرد، لكنه يعمل بحيث لا يتم نسف مشيئته المعلنة أو تهديدها.  وهكذا، ومن ناحية لاهوتية، يسمح الله لنا بأن نرى كيف يعمل على تحقيق إرادته على الرغم من خطية الإنسان وعصيانه.  وقد استخدم الله البريّة كدينونة للجيل الأول، </w:t>
      </w:r>
      <w:r w:rsidRPr="00070B6E">
        <w:rPr>
          <w:rFonts w:eastAsia="Times New Roman" w:cs="DecoType Naskh" w:hint="cs"/>
          <w:color w:val="auto"/>
          <w:kern w:val="0"/>
          <w:szCs w:val="26"/>
          <w:rtl/>
          <w14:ligatures w14:val="none"/>
        </w:rPr>
        <w:t xml:space="preserve">وقد سعى </w:t>
      </w:r>
      <w:r w:rsidRPr="00070B6E">
        <w:rPr>
          <w:rFonts w:eastAsia="Times New Roman" w:cs="DecoType Naskh"/>
          <w:color w:val="auto"/>
          <w:kern w:val="0"/>
          <w:szCs w:val="26"/>
          <w:rtl/>
          <w:lang w:bidi="ar-JO"/>
          <w14:ligatures w14:val="none"/>
        </w:rPr>
        <w:t>في</w:t>
      </w:r>
      <w:r w:rsidRPr="00070B6E">
        <w:rPr>
          <w:rFonts w:eastAsia="Times New Roman" w:cs="DecoType Naskh" w:hint="cs"/>
          <w:color w:val="auto"/>
          <w:kern w:val="0"/>
          <w:szCs w:val="26"/>
          <w:rtl/>
          <w:lang w:bidi="ar-JO"/>
          <w14:ligatures w14:val="none"/>
        </w:rPr>
        <w:t xml:space="preserve"> الوقت</w:t>
      </w:r>
      <w:r w:rsidRPr="00070B6E">
        <w:rPr>
          <w:rFonts w:eastAsia="Times New Roman" w:cs="DecoType Naskh"/>
          <w:color w:val="auto"/>
          <w:kern w:val="0"/>
          <w:szCs w:val="26"/>
          <w:rtl/>
          <w:lang w:bidi="ar-JO"/>
          <w14:ligatures w14:val="none"/>
        </w:rPr>
        <w:t xml:space="preserve"> نفس</w:t>
      </w:r>
      <w:r w:rsidRPr="00070B6E">
        <w:rPr>
          <w:rFonts w:eastAsia="Times New Roman" w:cs="DecoType Naskh" w:hint="cs"/>
          <w:color w:val="auto"/>
          <w:kern w:val="0"/>
          <w:szCs w:val="26"/>
          <w:rtl/>
          <w14:ligatures w14:val="none"/>
        </w:rPr>
        <w:t>ه</w:t>
      </w:r>
      <w:r w:rsidRPr="00070B6E">
        <w:rPr>
          <w:rFonts w:eastAsia="Times New Roman" w:cs="DecoType Naskh"/>
          <w:color w:val="auto"/>
          <w:kern w:val="0"/>
          <w:szCs w:val="26"/>
          <w:rtl/>
          <w:lang w:bidi="ar-JO"/>
          <w14:ligatures w14:val="none"/>
        </w:rPr>
        <w:t xml:space="preserve"> إلى استخدامها كساحة لإعداد الجيل الذي سيحقق إرادته.  ونحن نرى التزام يهوه غير المتزعزع بالأمّة بشكل حي في إعلانات بلعام الإلهية (عدد 22-24).  تكشف إعلانات بلعام، من منظور الأعداء، أن بركة الله لن تفشل في الوصول إلى هدفها رغم فشل إسرائيل المتكرر! فكان في هذا توكيد على نيّة يهوه في أن يبارك إسرائيل وإعادة توكيد للعهد الإبراهيمي.</w:t>
      </w:r>
    </w:p>
    <w:p w14:paraId="0DB1297E"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09176A7"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يمكن صياغة غرض سفر العدد كما يلي:</w:t>
      </w:r>
    </w:p>
    <w:p w14:paraId="4781C12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 xml:space="preserve">تتبُّع إعداد يهوه الصبور للشعب للدخول إلى الأرض بالمقابلة مع </w:t>
      </w:r>
      <w:r w:rsidRPr="00070B6E">
        <w:rPr>
          <w:rFonts w:eastAsia="Times New Roman" w:cs="DecoType Naskh" w:hint="cs"/>
          <w:color w:val="auto"/>
          <w:kern w:val="0"/>
          <w:szCs w:val="26"/>
          <w:rtl/>
          <w:lang w:bidi="ar-JO"/>
          <w14:ligatures w14:val="none"/>
        </w:rPr>
        <w:t>ضلال</w:t>
      </w:r>
      <w:r w:rsidRPr="00070B6E">
        <w:rPr>
          <w:rFonts w:eastAsia="Times New Roman" w:cs="DecoType Naskh"/>
          <w:color w:val="auto"/>
          <w:kern w:val="0"/>
          <w:szCs w:val="26"/>
          <w:rtl/>
          <w:lang w:bidi="ar-JO"/>
          <w14:ligatures w14:val="none"/>
        </w:rPr>
        <w:t xml:space="preserve"> إسرائيل المتكرر وتمرّدها في حالة الخطية.</w:t>
      </w:r>
      <w:r w:rsidRPr="00070B6E">
        <w:rPr>
          <w:rFonts w:eastAsia="Times New Roman" w:cs="DecoType Naskh"/>
          <w:color w:val="auto"/>
          <w:kern w:val="0"/>
          <w:sz w:val="30"/>
          <w:szCs w:val="28"/>
          <w:vertAlign w:val="superscript"/>
          <w:rtl/>
          <w:lang w:bidi="ar-JO"/>
          <w14:ligatures w14:val="none"/>
        </w:rPr>
        <w:footnoteReference w:id="107"/>
      </w:r>
      <w:r w:rsidRPr="00070B6E">
        <w:rPr>
          <w:rFonts w:eastAsia="Times New Roman" w:cs="DecoType Naskh"/>
          <w:color w:val="auto"/>
          <w:kern w:val="0"/>
          <w:szCs w:val="26"/>
          <w:rtl/>
          <w:lang w:bidi="ar-JO"/>
          <w14:ligatures w14:val="none"/>
        </w:rPr>
        <w:t xml:space="preserve">    </w:t>
      </w:r>
    </w:p>
    <w:p w14:paraId="57DAEE5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04F7951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وينعكس هذا الغرض في الأجزاء الرئيسية الثلاثة من هذا السفر:</w:t>
      </w:r>
    </w:p>
    <w:p w14:paraId="29207B3D"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(1)</w:t>
      </w:r>
      <w:r w:rsidRPr="00070B6E">
        <w:rPr>
          <w:rFonts w:eastAsia="Times New Roman" w:cs="DecoType Naskh" w:hint="cs"/>
          <w:color w:val="auto"/>
          <w:kern w:val="0"/>
          <w:szCs w:val="26"/>
          <w:rtl/>
          <w:lang w:bidi="ar-JO"/>
          <w14:ligatures w14:val="none"/>
        </w:rPr>
        <w:tab/>
      </w:r>
      <w:r w:rsidRPr="00070B6E">
        <w:rPr>
          <w:rFonts w:eastAsia="Times New Roman" w:cs="DecoType Naskh"/>
          <w:color w:val="auto"/>
          <w:kern w:val="0"/>
          <w:szCs w:val="26"/>
          <w:rtl/>
          <w:lang w:bidi="ar-JO"/>
          <w14:ligatures w14:val="none"/>
        </w:rPr>
        <w:t>إعداد المخيّم للعمل كأمّة من أجل الرحلة (1: 1-10: 10)</w:t>
      </w:r>
    </w:p>
    <w:p w14:paraId="5E2496BE"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(2)</w:t>
      </w:r>
      <w:r w:rsidRPr="00070B6E">
        <w:rPr>
          <w:rFonts w:eastAsia="Times New Roman" w:cs="DecoType Naskh" w:hint="cs"/>
          <w:color w:val="auto"/>
          <w:kern w:val="0"/>
          <w:szCs w:val="26"/>
          <w:rtl/>
          <w:lang w:bidi="ar-JO"/>
          <w14:ligatures w14:val="none"/>
        </w:rPr>
        <w:tab/>
      </w:r>
      <w:r w:rsidRPr="00070B6E">
        <w:rPr>
          <w:rFonts w:eastAsia="Times New Roman" w:cs="DecoType Naskh"/>
          <w:color w:val="auto"/>
          <w:kern w:val="0"/>
          <w:szCs w:val="26"/>
          <w:rtl/>
          <w:lang w:bidi="ar-JO"/>
          <w14:ligatures w14:val="none"/>
        </w:rPr>
        <w:t>تطهير الأمّة من التمرد الآثم مع التأكيد لهم على استمرار أمانة يهوه (10: 11-25: 18)</w:t>
      </w:r>
    </w:p>
    <w:p w14:paraId="3CB7F115" w14:textId="77777777" w:rsidR="00070B6E" w:rsidRPr="00070B6E" w:rsidRDefault="00070B6E" w:rsidP="002D6C54">
      <w:pPr>
        <w:numPr>
          <w:ilvl w:val="0"/>
          <w:numId w:val="29"/>
        </w:numPr>
        <w:tabs>
          <w:tab w:val="left" w:pos="550"/>
          <w:tab w:val="left" w:pos="1100"/>
          <w:tab w:val="left" w:pos="1650"/>
          <w:tab w:val="left" w:pos="2200"/>
          <w:tab w:val="left" w:pos="2750"/>
          <w:tab w:val="left" w:pos="3300"/>
          <w:tab w:val="left" w:pos="3850"/>
          <w:tab w:val="left" w:pos="4400"/>
        </w:tabs>
        <w:bidi/>
        <w:spacing w:after="0" w:line="240" w:lineRule="auto"/>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إعداد الجيل الجديد الذي سيدخل الأرض (26: 1-36: 13)</w:t>
      </w:r>
    </w:p>
    <w:p w14:paraId="77A8885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1783906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2D46AF2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0BBB5EA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2E2B6944"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5272107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7CEDCED6"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4A24D763"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0267BD5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60D6A9C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263C6A4D"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6</w:t>
      </w:r>
      <w:r w:rsidRPr="00070B6E">
        <w:rPr>
          <w:rFonts w:eastAsia="Times New Roman" w:cs="DecoType Naskh"/>
          <w:bCs/>
          <w:color w:val="auto"/>
          <w:kern w:val="0"/>
          <w:szCs w:val="28"/>
          <w:rtl/>
          <w:lang w:bidi="ar-JO"/>
          <w14:ligatures w14:val="none"/>
        </w:rPr>
        <w:t>.</w:t>
      </w:r>
      <w:r w:rsidRPr="00070B6E">
        <w:rPr>
          <w:rFonts w:eastAsia="Times New Roman" w:cs="DecoType Naskh"/>
          <w:bCs/>
          <w:color w:val="auto"/>
          <w:kern w:val="0"/>
          <w:szCs w:val="28"/>
          <w:rtl/>
          <w:lang w:bidi="ar-JO"/>
          <w14:ligatures w14:val="none"/>
        </w:rPr>
        <w:tab/>
        <w:t>ترتيب الأسباط</w:t>
      </w:r>
    </w:p>
    <w:p w14:paraId="76C6D420"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bookmarkStart w:id="118" w:name="_MON_1166520208"/>
    <w:bookmarkEnd w:id="118"/>
    <w:p w14:paraId="44C4CCC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center"/>
        <w:rPr>
          <w:rFonts w:eastAsia="Times New Roman" w:cs="DecoType Naskh"/>
          <w:color w:val="auto"/>
          <w:kern w:val="0"/>
          <w:sz w:val="18"/>
          <w:szCs w:val="20"/>
          <w:rtl/>
          <w14:ligatures w14:val="none"/>
        </w:rPr>
      </w:pPr>
      <w:r w:rsidRPr="00070B6E">
        <w:rPr>
          <w:rFonts w:eastAsia="Times New Roman" w:cs="DecoType Naskh"/>
          <w:color w:val="auto"/>
          <w:kern w:val="0"/>
          <w:sz w:val="18"/>
          <w:szCs w:val="20"/>
          <w:lang w:bidi="ar-JO"/>
          <w14:ligatures w14:val="none"/>
        </w:rPr>
        <w:object w:dxaOrig="2880" w:dyaOrig="2880" w14:anchorId="38400D84">
          <v:shape id="_x0000_i1036" type="#_x0000_t75" style="width:4in;height:4in" o:ole="">
            <v:imagedata r:id="rId64" o:title=""/>
          </v:shape>
          <o:OLEObject Type="Embed" ProgID="PowerPoint.Show.8" ShapeID="_x0000_i1036" DrawAspect="Content" ObjectID="_1802157131" r:id="rId65"/>
        </w:object>
      </w:r>
    </w:p>
    <w:p w14:paraId="4CEFEF24"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lang w:bidi="ar-KW"/>
          <w14:ligatures w14:val="none"/>
        </w:rPr>
      </w:pPr>
    </w:p>
    <w:p w14:paraId="2BB6088D"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r w:rsidRPr="00070B6E">
        <w:rPr>
          <w:rFonts w:eastAsia="Times New Roman" w:cs="DecoType Naskh" w:hint="cs"/>
          <w:color w:val="auto"/>
          <w:kern w:val="0"/>
          <w:sz w:val="18"/>
          <w:szCs w:val="20"/>
          <w:rtl/>
          <w14:ligatures w14:val="none"/>
        </w:rPr>
        <w:t xml:space="preserve"> </w:t>
      </w:r>
    </w:p>
    <w:p w14:paraId="0172E636"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7</w:t>
      </w:r>
      <w:r w:rsidRPr="00070B6E">
        <w:rPr>
          <w:rFonts w:eastAsia="Times New Roman" w:cs="DecoType Naskh"/>
          <w:bCs/>
          <w:color w:val="auto"/>
          <w:kern w:val="0"/>
          <w:szCs w:val="28"/>
          <w:rtl/>
          <w:lang w:bidi="ar-JO"/>
          <w14:ligatures w14:val="none"/>
        </w:rPr>
        <w:t>.</w:t>
      </w:r>
      <w:r w:rsidRPr="00070B6E">
        <w:rPr>
          <w:rFonts w:eastAsia="Times New Roman" w:cs="DecoType Naskh"/>
          <w:bCs/>
          <w:color w:val="auto"/>
          <w:kern w:val="0"/>
          <w:szCs w:val="28"/>
          <w:rtl/>
          <w:lang w:bidi="ar-JO"/>
          <w14:ligatures w14:val="none"/>
        </w:rPr>
        <w:tab/>
        <w:t xml:space="preserve">اللاويون والنذيرون </w:t>
      </w:r>
    </w:p>
    <w:p w14:paraId="2FF6690E"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عند استعداد بني إسرائيل للارتحال، فهم يتجمّعون حسب الأسباط الإثني عشر.  غير أنه يتوجب علينا أن نلاحظ أن اللاويين لم يكونوا أحد الأسباط الإثني عشر.  فقد نال يوسف نصيباً مضاعفاً (انظر تكويين 48: 5، 20، 22) لأن أفرايم ومنسّى (ابني يوسف) مدرجان بشكل منفصل</w:t>
      </w:r>
      <w:r w:rsidRPr="00070B6E">
        <w:rPr>
          <w:rFonts w:eastAsia="Times New Roman" w:cs="DecoType Naskh" w:hint="cs"/>
          <w:color w:val="auto"/>
          <w:kern w:val="0"/>
          <w:szCs w:val="26"/>
          <w:rtl/>
          <w:lang w:bidi="ar-JO"/>
          <w14:ligatures w14:val="none"/>
        </w:rPr>
        <w:t xml:space="preserve"> كسبطين</w:t>
      </w:r>
      <w:r w:rsidRPr="00070B6E">
        <w:rPr>
          <w:rFonts w:eastAsia="Times New Roman" w:cs="DecoType Naskh"/>
          <w:color w:val="auto"/>
          <w:kern w:val="0"/>
          <w:szCs w:val="26"/>
          <w:rtl/>
          <w:lang w:bidi="ar-JO"/>
          <w14:ligatures w14:val="none"/>
        </w:rPr>
        <w:t xml:space="preserve">.  وكان الشبّان الذين يبلغون العشرين من أعمارهم من هؤلاء الأسباط يعتبرون جنوداً (1: 20).  غير أن اللاويين أُفرزوا للخدمة في خيمة الاجتماع (بالنسبة للذين تتراوح أعمارهم ما بين </w:t>
      </w:r>
      <w:r w:rsidRPr="00070B6E">
        <w:rPr>
          <w:rFonts w:eastAsia="Times New Roman" w:cs="DecoType Naskh" w:hint="cs"/>
          <w:color w:val="auto"/>
          <w:kern w:val="0"/>
          <w:szCs w:val="26"/>
          <w:rtl/>
          <w:lang w:bidi="ar-JO"/>
          <w14:ligatures w14:val="none"/>
        </w:rPr>
        <w:t>30</w:t>
      </w:r>
      <w:r w:rsidRPr="00070B6E">
        <w:rPr>
          <w:rFonts w:eastAsia="Times New Roman" w:cs="DecoType Naskh"/>
          <w:color w:val="auto"/>
          <w:kern w:val="0"/>
          <w:szCs w:val="26"/>
          <w:rtl/>
          <w:lang w:bidi="ar-JO"/>
          <w14:ligatures w14:val="none"/>
        </w:rPr>
        <w:t>-50 سنة، 4: 3).  ونجد في ا</w:t>
      </w:r>
      <w:r w:rsidRPr="00070B6E">
        <w:rPr>
          <w:rFonts w:eastAsia="Times New Roman" w:cs="DecoType Naskh" w:hint="cs"/>
          <w:color w:val="auto"/>
          <w:kern w:val="0"/>
          <w:szCs w:val="26"/>
          <w:rtl/>
          <w:lang w:bidi="ar-JO"/>
          <w14:ligatures w14:val="none"/>
        </w:rPr>
        <w:t>لأ</w:t>
      </w:r>
      <w:r w:rsidRPr="00070B6E">
        <w:rPr>
          <w:rFonts w:eastAsia="Times New Roman" w:cs="DecoType Naskh"/>
          <w:color w:val="auto"/>
          <w:kern w:val="0"/>
          <w:szCs w:val="26"/>
          <w:rtl/>
          <w:lang w:bidi="ar-JO"/>
          <w14:ligatures w14:val="none"/>
        </w:rPr>
        <w:t>صحاح الثالث شرحاً لد</w:t>
      </w:r>
      <w:r w:rsidRPr="00070B6E">
        <w:rPr>
          <w:rFonts w:eastAsia="Times New Roman" w:cs="DecoType Naskh" w:hint="cs"/>
          <w:color w:val="auto"/>
          <w:kern w:val="0"/>
          <w:szCs w:val="26"/>
          <w:rtl/>
          <w:lang w:bidi="ar-JO"/>
          <w14:ligatures w14:val="none"/>
        </w:rPr>
        <w:t>ور</w:t>
      </w:r>
      <w:r w:rsidRPr="00070B6E">
        <w:rPr>
          <w:rFonts w:eastAsia="Times New Roman" w:cs="DecoType Naskh"/>
          <w:color w:val="auto"/>
          <w:kern w:val="0"/>
          <w:szCs w:val="26"/>
          <w:rtl/>
          <w:lang w:bidi="ar-JO"/>
          <w14:ligatures w14:val="none"/>
        </w:rPr>
        <w:t xml:space="preserve"> اللاويين، بينما نجد في ا</w:t>
      </w:r>
      <w:r w:rsidRPr="00070B6E">
        <w:rPr>
          <w:rFonts w:eastAsia="Times New Roman" w:cs="DecoType Naskh" w:hint="cs"/>
          <w:color w:val="auto"/>
          <w:kern w:val="0"/>
          <w:szCs w:val="26"/>
          <w:rtl/>
          <w:lang w:bidi="ar-JO"/>
          <w14:ligatures w14:val="none"/>
        </w:rPr>
        <w:t>لأ</w:t>
      </w:r>
      <w:r w:rsidRPr="00070B6E">
        <w:rPr>
          <w:rFonts w:eastAsia="Times New Roman" w:cs="DecoType Naskh"/>
          <w:color w:val="auto"/>
          <w:kern w:val="0"/>
          <w:szCs w:val="26"/>
          <w:rtl/>
          <w:lang w:bidi="ar-JO"/>
          <w14:ligatures w14:val="none"/>
        </w:rPr>
        <w:t xml:space="preserve">صحاح الثامن </w:t>
      </w:r>
      <w:r w:rsidRPr="00070B6E">
        <w:rPr>
          <w:rFonts w:eastAsia="Times New Roman" w:cs="DecoType Naskh" w:hint="cs"/>
          <w:color w:val="auto"/>
          <w:kern w:val="0"/>
          <w:szCs w:val="26"/>
          <w:rtl/>
          <w:lang w:bidi="ar-JO"/>
          <w14:ligatures w14:val="none"/>
        </w:rPr>
        <w:t>طقسَ فرزِهِم</w:t>
      </w:r>
      <w:r w:rsidRPr="00070B6E">
        <w:rPr>
          <w:rFonts w:eastAsia="Times New Roman" w:cs="DecoType Naskh"/>
          <w:color w:val="auto"/>
          <w:kern w:val="0"/>
          <w:szCs w:val="26"/>
          <w:rtl/>
          <w:lang w:bidi="ar-JO"/>
          <w14:ligatures w14:val="none"/>
        </w:rPr>
        <w:t xml:space="preserve">.  وعلى الرغم من أنه كان "ممنوعاً" على الرجال المنتمين إلى </w:t>
      </w:r>
      <w:r w:rsidRPr="00070B6E">
        <w:rPr>
          <w:rFonts w:eastAsia="Times New Roman" w:cs="DecoType Naskh" w:hint="cs"/>
          <w:color w:val="auto"/>
          <w:kern w:val="0"/>
          <w:szCs w:val="26"/>
          <w:rtl/>
          <w14:ligatures w14:val="none"/>
        </w:rPr>
        <w:t>ال</w:t>
      </w:r>
      <w:r w:rsidRPr="00070B6E">
        <w:rPr>
          <w:rFonts w:eastAsia="Times New Roman" w:cs="DecoType Naskh"/>
          <w:color w:val="auto"/>
          <w:kern w:val="0"/>
          <w:szCs w:val="26"/>
          <w:rtl/>
          <w:lang w:bidi="ar-JO"/>
          <w14:ligatures w14:val="none"/>
        </w:rPr>
        <w:t>أسباط الأخرى المشاركة في خدمة اللاويين، إلاّ أنه كان لديهم خيار قطع نذر النذير وتكريس أنفسهم للرب (ا</w:t>
      </w:r>
      <w:r w:rsidRPr="00070B6E">
        <w:rPr>
          <w:rFonts w:eastAsia="Times New Roman" w:cs="DecoType Naskh" w:hint="cs"/>
          <w:color w:val="auto"/>
          <w:kern w:val="0"/>
          <w:szCs w:val="26"/>
          <w:rtl/>
          <w:lang w:bidi="ar-JO"/>
          <w14:ligatures w14:val="none"/>
        </w:rPr>
        <w:t>لأ</w:t>
      </w:r>
      <w:r w:rsidRPr="00070B6E">
        <w:rPr>
          <w:rFonts w:eastAsia="Times New Roman" w:cs="DecoType Naskh"/>
          <w:color w:val="auto"/>
          <w:kern w:val="0"/>
          <w:szCs w:val="26"/>
          <w:rtl/>
          <w:lang w:bidi="ar-JO"/>
          <w14:ligatures w14:val="none"/>
        </w:rPr>
        <w:t>صحاح السادس).</w:t>
      </w:r>
    </w:p>
    <w:p w14:paraId="1B2903D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0F855EE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070B6E">
        <w:rPr>
          <w:rFonts w:eastAsia="Times New Roman" w:cs="DecoType Naskh"/>
          <w:color w:val="auto"/>
          <w:kern w:val="0"/>
          <w:szCs w:val="26"/>
          <w:rtl/>
          <w:lang w:bidi="ar-JO"/>
          <w14:ligatures w14:val="none"/>
        </w:rPr>
        <w:t>كان نذر النذير طوعياً تماماً، أي أنه لم يكن شيئاً أمرت به الشريعة، بل شيئاً سمحت به.  وفي أخذ العبراني هذا النذر على نفسه، كان يشير إلى أنه يجد قوّته في الله وأنه يتكل عليه.  وقد عكس هذا دليلاً على التكريس لله والاعتماد عليه... مُقِرّاً بأن لله الحق في أن يُخدم.</w:t>
      </w:r>
    </w:p>
    <w:p w14:paraId="0A97B06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7857631A"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8</w:t>
      </w:r>
      <w:r w:rsidRPr="00070B6E">
        <w:rPr>
          <w:rFonts w:eastAsia="Times New Roman" w:cs="DecoType Naskh"/>
          <w:bCs/>
          <w:color w:val="auto"/>
          <w:kern w:val="0"/>
          <w:szCs w:val="28"/>
          <w:rtl/>
          <w:lang w:bidi="ar-JO"/>
          <w14:ligatures w14:val="none"/>
        </w:rPr>
        <w:t>.</w:t>
      </w:r>
      <w:r w:rsidRPr="00070B6E">
        <w:rPr>
          <w:rFonts w:eastAsia="Times New Roman" w:cs="DecoType Naskh"/>
          <w:bCs/>
          <w:color w:val="auto"/>
          <w:kern w:val="0"/>
          <w:szCs w:val="28"/>
          <w:rtl/>
          <w:lang w:bidi="ar-JO"/>
          <w14:ligatures w14:val="none"/>
        </w:rPr>
        <w:tab/>
        <w:t>درس لحياتنا</w:t>
      </w:r>
    </w:p>
    <w:p w14:paraId="4B81D26B"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14:ligatures w14:val="none"/>
        </w:rPr>
      </w:pPr>
      <w:r w:rsidRPr="00070B6E">
        <w:rPr>
          <w:rFonts w:eastAsia="Times New Roman" w:cs="DecoType Naskh"/>
          <w:color w:val="auto"/>
          <w:kern w:val="0"/>
          <w:szCs w:val="26"/>
          <w:rtl/>
          <w:lang w:bidi="ar-JO"/>
          <w14:ligatures w14:val="none"/>
        </w:rPr>
        <w:t xml:space="preserve">إن رواية السحابة وعمود النار الهاديين لجديرة بالاهتمام.  </w:t>
      </w:r>
      <w:r w:rsidRPr="00070B6E">
        <w:rPr>
          <w:rFonts w:eastAsia="Times New Roman" w:cs="DecoType Naskh" w:hint="cs"/>
          <w:color w:val="auto"/>
          <w:kern w:val="0"/>
          <w:szCs w:val="26"/>
          <w:rtl/>
          <w:lang w:bidi="ar-JO"/>
          <w14:ligatures w14:val="none"/>
        </w:rPr>
        <w:t>ي</w:t>
      </w:r>
      <w:r w:rsidRPr="00070B6E">
        <w:rPr>
          <w:rFonts w:eastAsia="Times New Roman" w:cs="DecoType Naskh"/>
          <w:color w:val="auto"/>
          <w:kern w:val="0"/>
          <w:szCs w:val="26"/>
          <w:rtl/>
          <w:lang w:bidi="ar-JO"/>
          <w14:ligatures w14:val="none"/>
        </w:rPr>
        <w:t>قول عدد 9: 23</w:t>
      </w:r>
      <w:r w:rsidRPr="00070B6E">
        <w:rPr>
          <w:rFonts w:eastAsia="Times New Roman" w:cs="DecoType Naskh" w:hint="cs"/>
          <w:color w:val="auto"/>
          <w:kern w:val="0"/>
          <w:szCs w:val="26"/>
          <w:rtl/>
          <w:lang w:bidi="ar-JO"/>
          <w14:ligatures w14:val="none"/>
        </w:rPr>
        <w:t>:</w:t>
      </w:r>
      <w:r w:rsidRPr="00070B6E">
        <w:rPr>
          <w:rFonts w:eastAsia="Times New Roman" w:cs="DecoType Naskh"/>
          <w:color w:val="auto"/>
          <w:kern w:val="0"/>
          <w:szCs w:val="26"/>
          <w:rtl/>
          <w:lang w:bidi="ar-JO"/>
          <w14:ligatures w14:val="none"/>
        </w:rPr>
        <w:t xml:space="preserve"> "حسب قول (أمر) الرب كانوا ينزلون، وحسب قول الرب كانوا يرتحلون....." وكان هذا مبدأهم: نحن نتحرك عندما يشير الله، ونتوقف أيضاً عندما يشير.  وفي أي من الحالتين كانوا يعتمدون على الرب في توجيه خطواتهم.  أمّا اليوم فليست لدينا سحابة منظورة أو عمود نار مرئي ليهدينا كما كان الحال مع بني إسرائيل</w:t>
      </w:r>
      <w:r w:rsidRPr="00070B6E">
        <w:rPr>
          <w:rFonts w:eastAsia="Times New Roman" w:cs="DecoType Naskh" w:hint="cs"/>
          <w:color w:val="auto"/>
          <w:kern w:val="0"/>
          <w:szCs w:val="26"/>
          <w:rtl/>
          <w:lang w:bidi="ar-JO"/>
          <w14:ligatures w14:val="none"/>
        </w:rPr>
        <w:t>،</w:t>
      </w:r>
      <w:r w:rsidRPr="00070B6E">
        <w:rPr>
          <w:rFonts w:eastAsia="Times New Roman" w:cs="DecoType Naskh"/>
          <w:color w:val="auto"/>
          <w:kern w:val="0"/>
          <w:szCs w:val="26"/>
          <w:rtl/>
          <w:lang w:bidi="ar-JO"/>
          <w14:ligatures w14:val="none"/>
        </w:rPr>
        <w:t xml:space="preserve"> لكن لدينا الروح القدس الذي يسكننا، ويجب أن نعترف بحقّه في توجيه حياتنا.  ويفترض أن نكون شعباً مطيعاً –</w:t>
      </w:r>
      <w:r w:rsidRPr="00070B6E">
        <w:rPr>
          <w:rFonts w:eastAsia="Times New Roman" w:cs="DecoType Naskh" w:hint="cs"/>
          <w:color w:val="auto"/>
          <w:kern w:val="0"/>
          <w:szCs w:val="26"/>
          <w:rtl/>
          <w14:ligatures w14:val="none"/>
        </w:rPr>
        <w:t xml:space="preserve"> </w:t>
      </w:r>
      <w:r w:rsidRPr="00070B6E">
        <w:rPr>
          <w:rFonts w:eastAsia="Times New Roman" w:cs="DecoType Naskh"/>
          <w:color w:val="auto"/>
          <w:kern w:val="0"/>
          <w:szCs w:val="26"/>
          <w:rtl/>
          <w:lang w:bidi="ar-JO"/>
          <w14:ligatures w14:val="none"/>
        </w:rPr>
        <w:t xml:space="preserve">مستعدين للانطلاق عندما يحثنا الرب على ذلك!     </w:t>
      </w:r>
    </w:p>
    <w:p w14:paraId="4E723FBE" w14:textId="77777777" w:rsidR="00070B6E" w:rsidRPr="00070B6E" w:rsidRDefault="00070B6E" w:rsidP="002D6C54">
      <w:pPr>
        <w:bidi/>
        <w:spacing w:after="0" w:line="240" w:lineRule="auto"/>
        <w:jc w:val="center"/>
        <w:rPr>
          <w:rFonts w:eastAsia="Times New Roman" w:cs="DecoType Naskh"/>
          <w:color w:val="A50021"/>
          <w:kern w:val="0"/>
          <w:szCs w:val="32"/>
          <w:rtl/>
          <w:lang w:bidi="ar-JO"/>
          <w14:ligatures w14:val="none"/>
        </w:rPr>
      </w:pPr>
    </w:p>
    <w:p w14:paraId="1B450F9B" w14:textId="77777777" w:rsidR="006311FA" w:rsidRDefault="006311FA"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strike/>
          <w:kern w:val="0"/>
          <w:szCs w:val="24"/>
          <w:lang w:bidi="ar-JO"/>
          <w14:ligatures w14:val="none"/>
        </w:rPr>
      </w:pPr>
    </w:p>
    <w:p w14:paraId="437462CF" w14:textId="4204EB2A" w:rsidR="006311FA" w:rsidRPr="00322941" w:rsidRDefault="00322941" w:rsidP="00322941">
      <w:pPr>
        <w:pStyle w:val="Heading3"/>
        <w:bidi/>
        <w:spacing w:line="240" w:lineRule="auto"/>
        <w:rPr>
          <w:rFonts w:ascii="Simplified Arabic" w:hAnsi="Simplified Arabic" w:cs="Simplified Arabic"/>
        </w:rPr>
      </w:pPr>
      <w:bookmarkStart w:id="119" w:name="_Hlk178778972"/>
      <w:r w:rsidRPr="00322941">
        <w:rPr>
          <w:rFonts w:ascii="Simplified Arabic" w:hAnsi="Simplified Arabic" w:cs="Simplified Arabic"/>
          <w:rtl/>
        </w:rPr>
        <w:t xml:space="preserve">الموضوع 3: </w:t>
      </w:r>
      <w:r w:rsidRPr="00322941">
        <w:rPr>
          <w:rFonts w:ascii="Simplified Arabic" w:eastAsia="Calibri" w:hAnsi="Simplified Arabic" w:cs="Simplified Arabic"/>
          <w:rtl/>
          <w14:ligatures w14:val="none"/>
        </w:rPr>
        <w:t>التمرُّد في البرّيّة (سفر العدد 10: 11 – 21: 35)</w:t>
      </w:r>
    </w:p>
    <w:p w14:paraId="25C033B8" w14:textId="56688DFE" w:rsidR="002F2ED9" w:rsidRPr="007A4B15" w:rsidRDefault="002F2ED9" w:rsidP="00322941">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r w:rsidRPr="007A4B15">
        <w:rPr>
          <w:rFonts w:ascii="Verdana" w:eastAsia="Calibri" w:hAnsi="Verdana" w:cs="Times New Roman"/>
          <w:b/>
          <w:caps/>
          <w:noProof/>
          <w:color w:val="006699"/>
          <w:kern w:val="0"/>
          <w:sz w:val="21"/>
          <w:szCs w:val="24"/>
          <w14:ligatures w14:val="none"/>
        </w:rPr>
        <w:drawing>
          <wp:inline distT="0" distB="0" distL="0" distR="0" wp14:anchorId="0C81F3E0" wp14:editId="707588B3">
            <wp:extent cx="613692" cy="541464"/>
            <wp:effectExtent l="0" t="0" r="0" b="0"/>
            <wp:docPr id="1470764188" name="Picture 1470764188"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322941" w:rsidRPr="00322941">
        <w:rPr>
          <w:rFonts w:ascii="Verdana" w:eastAsia="Calibri" w:hAnsi="Verdana" w:cs="Times New Roman" w:hint="cs"/>
          <w:bCs/>
          <w:caps/>
          <w:color w:val="006699"/>
          <w:kern w:val="0"/>
          <w:sz w:val="21"/>
          <w:szCs w:val="24"/>
          <w:u w:val="single"/>
          <w:rtl/>
          <w14:ligatures w14:val="none"/>
        </w:rPr>
        <w:t>القراءة:</w:t>
      </w:r>
    </w:p>
    <w:p w14:paraId="598CE033" w14:textId="6858446E" w:rsidR="002F2ED9" w:rsidRPr="002B24E1" w:rsidRDefault="002F2ED9" w:rsidP="00322941">
      <w:pPr>
        <w:bidi/>
        <w:spacing w:line="240" w:lineRule="auto"/>
        <w:rPr>
          <w:b/>
          <w:bCs/>
        </w:rPr>
      </w:pPr>
      <w:r>
        <w:tab/>
      </w:r>
      <w:r>
        <w:tab/>
      </w:r>
      <w:r w:rsidR="00322941">
        <w:rPr>
          <w:rFonts w:hint="cs"/>
          <w:rtl/>
        </w:rPr>
        <w:t xml:space="preserve">اقرأ سفر العدد 10: 11 </w:t>
      </w:r>
      <w:r w:rsidR="00322941">
        <w:rPr>
          <w:rtl/>
        </w:rPr>
        <w:t>–</w:t>
      </w:r>
      <w:r w:rsidR="00322941">
        <w:rPr>
          <w:rFonts w:hint="cs"/>
          <w:rtl/>
        </w:rPr>
        <w:t xml:space="preserve"> 21: 35 في كتابك المُقدَّس. </w:t>
      </w:r>
    </w:p>
    <w:bookmarkEnd w:id="119"/>
    <w:p w14:paraId="723331FD" w14:textId="77777777" w:rsidR="00070B6E" w:rsidRPr="00070B6E" w:rsidRDefault="00070B6E" w:rsidP="002D6C54">
      <w:pPr>
        <w:bidi/>
        <w:spacing w:after="0" w:line="240" w:lineRule="auto"/>
        <w:jc w:val="center"/>
        <w:rPr>
          <w:rFonts w:eastAsia="Times New Roman" w:cs="Traditional Arabic Backslanted"/>
          <w:bCs/>
          <w:color w:val="auto"/>
          <w:kern w:val="0"/>
          <w:szCs w:val="28"/>
          <w:rtl/>
          <w:lang w:bidi="ar-JO"/>
          <w14:ligatures w14:val="none"/>
        </w:rPr>
      </w:pPr>
    </w:p>
    <w:p w14:paraId="3111A19C"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1</w:t>
      </w:r>
      <w:r w:rsidRPr="00070B6E">
        <w:rPr>
          <w:rFonts w:eastAsia="Times New Roman" w:cs="DecoType Naskh"/>
          <w:bCs/>
          <w:color w:val="auto"/>
          <w:kern w:val="0"/>
          <w:szCs w:val="28"/>
          <w:rtl/>
          <w:lang w:bidi="ar-JO"/>
          <w14:ligatures w14:val="none"/>
        </w:rPr>
        <w:t>.</w:t>
      </w:r>
      <w:r w:rsidRPr="00070B6E">
        <w:rPr>
          <w:rFonts w:eastAsia="Times New Roman" w:cs="DecoType Naskh"/>
          <w:bCs/>
          <w:color w:val="auto"/>
          <w:kern w:val="0"/>
          <w:szCs w:val="28"/>
          <w:rtl/>
          <w:lang w:bidi="ar-JO"/>
          <w14:ligatures w14:val="none"/>
        </w:rPr>
        <w:tab/>
        <w:t>مقدمة</w:t>
      </w:r>
    </w:p>
    <w:p w14:paraId="0C71AA54"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 xml:space="preserve">إن الوحدة الرئيسية التالية ضمن سفر العدد هي القسم 10: 11-25: 18 </w:t>
      </w:r>
      <w:r w:rsidRPr="00070B6E">
        <w:rPr>
          <w:rFonts w:eastAsia="Times New Roman" w:cs="DecoType Naskh" w:hint="cs"/>
          <w:color w:val="auto"/>
          <w:kern w:val="0"/>
          <w:szCs w:val="26"/>
          <w:rtl/>
          <w:lang w:bidi="ar-JO"/>
          <w14:ligatures w14:val="none"/>
        </w:rPr>
        <w:t>الذي يتتبَّع</w:t>
      </w:r>
      <w:r w:rsidRPr="00070B6E">
        <w:rPr>
          <w:rFonts w:eastAsia="Times New Roman" w:cs="DecoType Naskh"/>
          <w:color w:val="auto"/>
          <w:kern w:val="0"/>
          <w:szCs w:val="26"/>
          <w:rtl/>
          <w:lang w:bidi="ar-JO"/>
          <w14:ligatures w14:val="none"/>
        </w:rPr>
        <w:t xml:space="preserve"> عصيان جيل الخروج وعدم إيمانهم.  غير أن ملاحظاتي هذه ستغطي المادة حتى 21: 35، قبل تناول إعلانات بلعام </w:t>
      </w:r>
      <w:r w:rsidRPr="00070B6E">
        <w:rPr>
          <w:rFonts w:eastAsia="Times New Roman" w:cs="DecoType Naskh" w:hint="cs"/>
          <w:color w:val="auto"/>
          <w:kern w:val="0"/>
          <w:szCs w:val="26"/>
          <w:rtl/>
          <w:lang w:bidi="ar-JO"/>
          <w14:ligatures w14:val="none"/>
        </w:rPr>
        <w:t>النبوية</w:t>
      </w:r>
      <w:r w:rsidRPr="00070B6E">
        <w:rPr>
          <w:rFonts w:eastAsia="Times New Roman" w:cs="DecoType Naskh"/>
          <w:color w:val="auto"/>
          <w:kern w:val="0"/>
          <w:szCs w:val="26"/>
          <w:rtl/>
          <w:lang w:bidi="ar-JO"/>
          <w14:ligatures w14:val="none"/>
        </w:rPr>
        <w:t>.  وتتوسط هذه الوحدة الرئيسية السفر، شارحةً سبب فشل الجيل الذي خرج من مصر في دخول أرض الموعد (ما عدا يشوع وكالب).  ومن المؤكد أن المشكلة لم تكن في الله ولا في قدرته على حفظ وعوده</w:t>
      </w:r>
      <w:r w:rsidRPr="00070B6E">
        <w:rPr>
          <w:rFonts w:eastAsia="Times New Roman" w:cs="DecoType Naskh" w:hint="cs"/>
          <w:color w:val="auto"/>
          <w:kern w:val="0"/>
          <w:szCs w:val="26"/>
          <w:rtl/>
          <w:lang w:bidi="ar-JO"/>
          <w14:ligatures w14:val="none"/>
        </w:rPr>
        <w:t>،</w:t>
      </w:r>
      <w:r w:rsidRPr="00070B6E">
        <w:rPr>
          <w:rFonts w:eastAsia="Times New Roman" w:cs="DecoType Naskh"/>
          <w:color w:val="auto"/>
          <w:kern w:val="0"/>
          <w:szCs w:val="26"/>
          <w:rtl/>
          <w:lang w:bidi="ar-JO"/>
          <w14:ligatures w14:val="none"/>
        </w:rPr>
        <w:t xml:space="preserve"> </w:t>
      </w:r>
      <w:r w:rsidRPr="00070B6E">
        <w:rPr>
          <w:rFonts w:eastAsia="Times New Roman" w:cs="DecoType Naskh" w:hint="cs"/>
          <w:color w:val="auto"/>
          <w:kern w:val="0"/>
          <w:szCs w:val="26"/>
          <w:rtl/>
          <w:lang w:bidi="ar-JO"/>
          <w14:ligatures w14:val="none"/>
        </w:rPr>
        <w:t>إذ</w:t>
      </w:r>
      <w:r w:rsidRPr="00070B6E">
        <w:rPr>
          <w:rFonts w:eastAsia="Times New Roman" w:cs="DecoType Naskh"/>
          <w:color w:val="auto"/>
          <w:kern w:val="0"/>
          <w:szCs w:val="26"/>
          <w:rtl/>
          <w:lang w:bidi="ar-JO"/>
          <w14:ligatures w14:val="none"/>
        </w:rPr>
        <w:t xml:space="preserve"> التمرد وعدم الإيمان </w:t>
      </w:r>
      <w:r w:rsidRPr="00070B6E">
        <w:rPr>
          <w:rFonts w:eastAsia="Times New Roman" w:cs="DecoType Naskh" w:hint="cs"/>
          <w:color w:val="auto"/>
          <w:kern w:val="0"/>
          <w:szCs w:val="26"/>
          <w:rtl/>
          <w:lang w:bidi="ar-JO"/>
          <w14:ligatures w14:val="none"/>
        </w:rPr>
        <w:t xml:space="preserve">هما اللذان </w:t>
      </w:r>
      <w:r w:rsidRPr="00070B6E">
        <w:rPr>
          <w:rFonts w:eastAsia="Times New Roman" w:cs="DecoType Naskh"/>
          <w:color w:val="auto"/>
          <w:kern w:val="0"/>
          <w:szCs w:val="26"/>
          <w:rtl/>
          <w:lang w:bidi="ar-JO"/>
          <w14:ligatures w14:val="none"/>
        </w:rPr>
        <w:t>جعلا الشعب يفوّت هذه الفرصة.  وحدثت ذروة هذه الرواية في قادش برنيع حيث تمرّد الشعب على الرب ورفضوا (في عدم إيمان) أن يدخلوا الأرض.  نتج عن عمل عدم الإيمان الواحد هذا دينونة الله لهم بالموت في البرية.  غير أن أحداثاً عديدة دالة على عدم الإيمان قبل هذه المرّة غذّت طبيعتهم المتمردة التي أعاقتهم في اللحظة التي كانوا يحتاجون فيها إلى تصديق الله والاتكال عليه.</w:t>
      </w:r>
    </w:p>
    <w:p w14:paraId="7FA00505"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8ED8CF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KW"/>
          <w14:ligatures w14:val="none"/>
        </w:rPr>
      </w:pPr>
      <w:r w:rsidRPr="00070B6E">
        <w:rPr>
          <w:rFonts w:eastAsia="Times New Roman" w:cs="DecoType Naskh"/>
          <w:color w:val="auto"/>
          <w:kern w:val="0"/>
          <w:szCs w:val="26"/>
          <w:rtl/>
          <w:lang w:bidi="ar-JO"/>
          <w14:ligatures w14:val="none"/>
        </w:rPr>
        <w:t xml:space="preserve">ولا </w:t>
      </w:r>
      <w:r w:rsidRPr="00070B6E">
        <w:rPr>
          <w:rFonts w:eastAsia="Times New Roman" w:cs="DecoType Naskh" w:hint="cs"/>
          <w:color w:val="auto"/>
          <w:kern w:val="0"/>
          <w:szCs w:val="26"/>
          <w:rtl/>
          <w:lang w:bidi="ar-JO"/>
          <w14:ligatures w14:val="none"/>
        </w:rPr>
        <w:t>يُعطى اختبار</w:t>
      </w:r>
      <w:r w:rsidRPr="00070B6E">
        <w:rPr>
          <w:rFonts w:eastAsia="Times New Roman" w:cs="DecoType Naskh"/>
          <w:color w:val="auto"/>
          <w:kern w:val="0"/>
          <w:szCs w:val="26"/>
          <w:rtl/>
          <w:lang w:bidi="ar-JO"/>
          <w14:ligatures w14:val="none"/>
        </w:rPr>
        <w:t xml:space="preserve"> البرية في واقع الأمر اهتماماً كبيراً، حيث أُحيل هذا الاهتمام إلى ا</w:t>
      </w:r>
      <w:r w:rsidRPr="00070B6E">
        <w:rPr>
          <w:rFonts w:eastAsia="Times New Roman" w:cs="DecoType Naskh" w:hint="cs"/>
          <w:color w:val="auto"/>
          <w:kern w:val="0"/>
          <w:szCs w:val="26"/>
          <w:rtl/>
          <w:lang w:bidi="ar-JO"/>
          <w14:ligatures w14:val="none"/>
        </w:rPr>
        <w:t>لأ</w:t>
      </w:r>
      <w:r w:rsidRPr="00070B6E">
        <w:rPr>
          <w:rFonts w:eastAsia="Times New Roman" w:cs="DecoType Naskh"/>
          <w:color w:val="auto"/>
          <w:kern w:val="0"/>
          <w:szCs w:val="26"/>
          <w:rtl/>
          <w:lang w:bidi="ar-JO"/>
          <w14:ligatures w14:val="none"/>
        </w:rPr>
        <w:t>صحاحات 15-21.  إذ يولى اهتمام أكبر للحديث عن الحوادث العديدة للتمرد وعدم الإيمان لهذا الجيل</w:t>
      </w:r>
      <w:r w:rsidRPr="00070B6E">
        <w:rPr>
          <w:rFonts w:eastAsia="Times New Roman" w:cs="DecoType Naskh" w:hint="cs"/>
          <w:color w:val="auto"/>
          <w:kern w:val="0"/>
          <w:szCs w:val="26"/>
          <w:rtl/>
          <w:lang w:bidi="ar-JO"/>
          <w14:ligatures w14:val="none"/>
        </w:rPr>
        <w:t>:</w:t>
      </w:r>
      <w:r w:rsidRPr="00070B6E">
        <w:rPr>
          <w:rFonts w:eastAsia="Times New Roman" w:cs="DecoType Naskh"/>
          <w:color w:val="auto"/>
          <w:kern w:val="0"/>
          <w:szCs w:val="26"/>
          <w:rtl/>
          <w:lang w:bidi="ar-JO"/>
          <w14:ligatures w14:val="none"/>
        </w:rPr>
        <w:t xml:space="preserve"> 11: 1-3؛ 11: 4-9؛ 11: 31-35؛ 11: 10-20؛ 12: 1-16؛ 13</w:t>
      </w:r>
      <w:r w:rsidRPr="00070B6E">
        <w:rPr>
          <w:rFonts w:eastAsia="Times New Roman" w:cs="DecoType Naskh" w:hint="cs"/>
          <w:color w:val="auto"/>
          <w:kern w:val="0"/>
          <w:szCs w:val="26"/>
          <w:rtl/>
          <w:lang w:bidi="ar-JO"/>
          <w14:ligatures w14:val="none"/>
        </w:rPr>
        <w:t xml:space="preserve">: </w:t>
      </w:r>
      <w:r w:rsidRPr="00070B6E">
        <w:rPr>
          <w:rFonts w:eastAsia="Times New Roman" w:cs="DecoType Naskh"/>
          <w:color w:val="auto"/>
          <w:kern w:val="0"/>
          <w:szCs w:val="26"/>
          <w:rtl/>
          <w:lang w:bidi="ar-JO"/>
          <w14:ligatures w14:val="none"/>
        </w:rPr>
        <w:t>30-14: 35؛ 20: 1-13؛ 21: 4-9 (لنلاحظ 14: 22 حيث جرّبوا الله عشر مرّات!).</w:t>
      </w:r>
      <w:r w:rsidRPr="00070B6E">
        <w:rPr>
          <w:rFonts w:eastAsia="Times New Roman" w:cs="DecoType Naskh"/>
          <w:color w:val="auto"/>
          <w:kern w:val="0"/>
          <w:sz w:val="30"/>
          <w:szCs w:val="28"/>
          <w:vertAlign w:val="superscript"/>
          <w:rtl/>
          <w:lang w:bidi="ar-JO"/>
          <w14:ligatures w14:val="none"/>
        </w:rPr>
        <w:footnoteReference w:id="108"/>
      </w:r>
    </w:p>
    <w:p w14:paraId="0C46058D"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KW"/>
          <w14:ligatures w14:val="none"/>
        </w:rPr>
      </w:pPr>
    </w:p>
    <w:p w14:paraId="754FA49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KW"/>
          <w14:ligatures w14:val="none"/>
        </w:rPr>
      </w:pPr>
    </w:p>
    <w:p w14:paraId="0B6977A5"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2</w:t>
      </w:r>
      <w:r w:rsidRPr="00070B6E">
        <w:rPr>
          <w:rFonts w:eastAsia="Times New Roman" w:cs="DecoType Naskh"/>
          <w:bCs/>
          <w:color w:val="auto"/>
          <w:kern w:val="0"/>
          <w:szCs w:val="28"/>
          <w:rtl/>
          <w:lang w:bidi="ar-JO"/>
          <w14:ligatures w14:val="none"/>
        </w:rPr>
        <w:t>.</w:t>
      </w:r>
      <w:r w:rsidRPr="00070B6E">
        <w:rPr>
          <w:rFonts w:eastAsia="Times New Roman" w:cs="DecoType Naskh"/>
          <w:bCs/>
          <w:color w:val="auto"/>
          <w:kern w:val="0"/>
          <w:szCs w:val="28"/>
          <w:rtl/>
          <w:lang w:bidi="ar-JO"/>
          <w14:ligatures w14:val="none"/>
        </w:rPr>
        <w:tab/>
        <w:t>من سيناء إلى قادش (10: 11-12: 16)</w:t>
      </w:r>
    </w:p>
    <w:p w14:paraId="681F992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 xml:space="preserve">كان الرحيل من جبل سيناء سلساً.  مرّت عليهم الآن </w:t>
      </w:r>
      <w:r w:rsidRPr="00070B6E">
        <w:rPr>
          <w:rFonts w:eastAsia="Times New Roman" w:cs="DecoType Naskh" w:hint="cs"/>
          <w:color w:val="auto"/>
          <w:kern w:val="0"/>
          <w:szCs w:val="26"/>
          <w:rtl/>
          <w:lang w:bidi="ar-JO"/>
          <w14:ligatures w14:val="none"/>
        </w:rPr>
        <w:t>أكثر من سنة</w:t>
      </w:r>
      <w:r w:rsidRPr="00070B6E">
        <w:rPr>
          <w:rFonts w:eastAsia="Times New Roman" w:cs="DecoType Naskh"/>
          <w:color w:val="auto"/>
          <w:kern w:val="0"/>
          <w:szCs w:val="26"/>
          <w:rtl/>
          <w:lang w:bidi="ar-JO"/>
          <w14:ligatures w14:val="none"/>
        </w:rPr>
        <w:t xml:space="preserve"> منذ أن غادروا مصر (10: 11)، لكنهم كانوا في طريقهم أخيراً إلى أرض الموعد.  لكنهم ما أن بدأوا رحلتهم حتى بدأت "شكاوي المِحن" تنطلق (11: 1-3).  يقول أنجر</w:t>
      </w:r>
      <w:r w:rsidRPr="00070B6E">
        <w:rPr>
          <w:rFonts w:eastAsia="Times New Roman" w:cs="DecoType Naskh" w:hint="cs"/>
          <w:color w:val="auto"/>
          <w:kern w:val="0"/>
          <w:szCs w:val="26"/>
          <w:rtl/>
          <w:lang w:bidi="ar-JO"/>
          <w14:ligatures w14:val="none"/>
        </w:rPr>
        <w:t>:</w:t>
      </w:r>
      <w:r w:rsidRPr="00070B6E">
        <w:rPr>
          <w:rFonts w:eastAsia="Times New Roman" w:cs="DecoType Naskh"/>
          <w:color w:val="auto"/>
          <w:kern w:val="0"/>
          <w:szCs w:val="26"/>
          <w:rtl/>
          <w:lang w:bidi="ar-JO"/>
          <w14:ligatures w14:val="none"/>
        </w:rPr>
        <w:t xml:space="preserve"> "على الرغم من كل ما فعله الرب من أجلهم ووعدهم به (انظر 10: 29)، إلاّ أن استياءهم أو عدم رضاهم أظهر جحوداً خسيساً."</w:t>
      </w:r>
      <w:r w:rsidRPr="00070B6E">
        <w:rPr>
          <w:rFonts w:eastAsia="Times New Roman" w:cs="DecoType Naskh"/>
          <w:color w:val="auto"/>
          <w:kern w:val="0"/>
          <w:sz w:val="30"/>
          <w:szCs w:val="28"/>
          <w:vertAlign w:val="superscript"/>
          <w:rtl/>
          <w:lang w:bidi="ar-JO"/>
          <w14:ligatures w14:val="none"/>
        </w:rPr>
        <w:footnoteReference w:id="109"/>
      </w:r>
      <w:r w:rsidRPr="00070B6E">
        <w:rPr>
          <w:rFonts w:eastAsia="Times New Roman" w:cs="DecoType Naskh" w:hint="cs"/>
          <w:color w:val="auto"/>
          <w:kern w:val="0"/>
          <w:szCs w:val="26"/>
          <w:rtl/>
          <w14:ligatures w14:val="none"/>
        </w:rPr>
        <w:t xml:space="preserve"> </w:t>
      </w:r>
      <w:r w:rsidRPr="00070B6E">
        <w:rPr>
          <w:rFonts w:eastAsia="Times New Roman" w:cs="DecoType Naskh"/>
          <w:color w:val="auto"/>
          <w:kern w:val="0"/>
          <w:szCs w:val="26"/>
          <w:rtl/>
          <w:lang w:bidi="ar-JO"/>
          <w14:ligatures w14:val="none"/>
        </w:rPr>
        <w:t xml:space="preserve"> لنلاحظ كيف أن الله أحرق بعض "أطراف" المحلة بالنار.  كانت خيمة الاجتماع في وسط المحلّة، فعمد المتمردون إلى الانتقال إلى أقصى نقطة عن محضر الله.  كان هذا تمرّداً ثيوقراطياً-تمرّداً على حق الله في الحكم.</w:t>
      </w:r>
    </w:p>
    <w:p w14:paraId="1F427CED"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4BF6630"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نجد حادثة تمرّد أخرى في 11: 4 فصاعداً.  فقد قامت مجموعة</w:t>
      </w:r>
      <w:r w:rsidRPr="00070B6E">
        <w:rPr>
          <w:rFonts w:eastAsia="Times New Roman" w:cs="DecoType Naskh" w:hint="cs"/>
          <w:color w:val="auto"/>
          <w:kern w:val="0"/>
          <w:szCs w:val="26"/>
          <w:rtl/>
          <w:lang w:bidi="ar-JO"/>
          <w14:ligatures w14:val="none"/>
        </w:rPr>
        <w:t xml:space="preserve"> من الرعاة</w:t>
      </w:r>
      <w:r w:rsidRPr="00070B6E">
        <w:rPr>
          <w:rFonts w:eastAsia="Times New Roman" w:cs="DecoType Naskh"/>
          <w:color w:val="auto"/>
          <w:kern w:val="0"/>
          <w:szCs w:val="26"/>
          <w:rtl/>
          <w:lang w:bidi="ar-JO"/>
          <w14:ligatures w14:val="none"/>
        </w:rPr>
        <w:t xml:space="preserve"> غير قانعة بنصيبها من المن بالتذمّر.  كانت مشكلتهم في جوهرها مشكلة جشع (11: 4).  </w:t>
      </w:r>
      <w:r w:rsidRPr="00070B6E">
        <w:rPr>
          <w:rFonts w:eastAsia="Times New Roman" w:cs="DecoType Naskh" w:hint="cs"/>
          <w:color w:val="auto"/>
          <w:kern w:val="0"/>
          <w:szCs w:val="26"/>
          <w:rtl/>
          <w:lang w:bidi="ar-JO"/>
          <w14:ligatures w14:val="none"/>
        </w:rPr>
        <w:t>كان المن يتسم</w:t>
      </w:r>
      <w:r w:rsidRPr="00070B6E">
        <w:rPr>
          <w:rFonts w:eastAsia="Times New Roman" w:cs="DecoType Naskh"/>
          <w:color w:val="auto"/>
          <w:kern w:val="0"/>
          <w:szCs w:val="26"/>
          <w:rtl/>
          <w:lang w:bidi="ar-JO"/>
          <w14:ligatures w14:val="none"/>
        </w:rPr>
        <w:t xml:space="preserve"> بعدّة صفات جيدة: (1) كان نسيجه كبزر الكزبرة؛ (2) وكان منظره كالمُقْل؛ (3) كان طيّب المذاق-كمذاق الكعك المخبوز بالزيت؛ (4) تنوّعت طرق </w:t>
      </w:r>
      <w:r w:rsidRPr="00070B6E">
        <w:rPr>
          <w:rFonts w:eastAsia="Times New Roman" w:cs="DecoType Naskh"/>
          <w:color w:val="auto"/>
          <w:kern w:val="0"/>
          <w:szCs w:val="26"/>
          <w:rtl/>
          <w:lang w:bidi="ar-JO"/>
          <w14:ligatures w14:val="none"/>
        </w:rPr>
        <w:lastRenderedPageBreak/>
        <w:t xml:space="preserve">إعداده؛ (5) كان وفيراً.  </w:t>
      </w:r>
      <w:r w:rsidRPr="00070B6E">
        <w:rPr>
          <w:rFonts w:eastAsia="Times New Roman" w:cs="DecoType Naskh" w:hint="cs"/>
          <w:color w:val="auto"/>
          <w:kern w:val="0"/>
          <w:szCs w:val="26"/>
          <w:rtl/>
          <w:lang w:bidi="ar-JO"/>
          <w14:ligatures w14:val="none"/>
        </w:rPr>
        <w:t>بالإضافة إلى طمع الناس</w:t>
      </w:r>
      <w:r w:rsidRPr="00070B6E">
        <w:rPr>
          <w:rFonts w:eastAsia="Times New Roman" w:cs="DecoType Naskh"/>
          <w:color w:val="auto"/>
          <w:kern w:val="0"/>
          <w:szCs w:val="26"/>
          <w:rtl/>
          <w:lang w:bidi="ar-JO"/>
          <w14:ligatures w14:val="none"/>
        </w:rPr>
        <w:t>، فقد كان هنالك عاملان آخران</w:t>
      </w:r>
      <w:r w:rsidRPr="00070B6E">
        <w:rPr>
          <w:rFonts w:eastAsia="Times New Roman" w:cs="DecoType Naskh" w:hint="cs"/>
          <w:color w:val="auto"/>
          <w:kern w:val="0"/>
          <w:szCs w:val="26"/>
          <w:rtl/>
          <w:lang w:bidi="ar-JO"/>
          <w14:ligatures w14:val="none"/>
        </w:rPr>
        <w:t xml:space="preserve"> في المشكلة</w:t>
      </w:r>
      <w:r w:rsidRPr="00070B6E">
        <w:rPr>
          <w:rFonts w:eastAsia="Times New Roman" w:cs="DecoType Naskh"/>
          <w:color w:val="auto"/>
          <w:kern w:val="0"/>
          <w:szCs w:val="26"/>
          <w:rtl/>
          <w:lang w:bidi="ar-JO"/>
          <w14:ligatures w14:val="none"/>
        </w:rPr>
        <w:t xml:space="preserve"> غير الجشع: (1) انتشرت نظرتهم المتذمرة سريعاً لتمتد إلى الآخرين، و(2) كان موقفهم مهيناً لتدبير الله الكريم لحاجتهم (فكانوا يقدّرون أطعمة الحياة القديمة أكثر </w:t>
      </w:r>
      <w:r w:rsidRPr="00070B6E">
        <w:rPr>
          <w:rFonts w:eastAsia="Times New Roman" w:cs="DecoType Naskh" w:hint="cs"/>
          <w:color w:val="auto"/>
          <w:kern w:val="0"/>
          <w:szCs w:val="26"/>
          <w:rtl/>
          <w:lang w:bidi="ar-JO"/>
          <w14:ligatures w14:val="none"/>
        </w:rPr>
        <w:t>من الطعام الذي</w:t>
      </w:r>
      <w:r w:rsidRPr="00070B6E">
        <w:rPr>
          <w:rFonts w:eastAsia="Times New Roman" w:cs="DecoType Naskh"/>
          <w:color w:val="auto"/>
          <w:kern w:val="0"/>
          <w:szCs w:val="26"/>
          <w:rtl/>
          <w:lang w:bidi="ar-JO"/>
          <w14:ligatures w14:val="none"/>
        </w:rPr>
        <w:t xml:space="preserve"> يقدّمه الله لهم في الحياة الجديدة).  فاستجاب الله بأن جلب الدينونة على الجشعين، فأرسل عليهم ضربة وهم يأكلون.</w:t>
      </w:r>
    </w:p>
    <w:p w14:paraId="4DC03453"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1A43BC7"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 xml:space="preserve">حتى إن عدوى التذمر </w:t>
      </w:r>
      <w:r w:rsidRPr="00070B6E">
        <w:rPr>
          <w:rFonts w:eastAsia="Times New Roman" w:cs="DecoType Naskh" w:hint="cs"/>
          <w:color w:val="auto"/>
          <w:kern w:val="0"/>
          <w:szCs w:val="26"/>
          <w:rtl/>
          <w:lang w:bidi="ar-JO"/>
          <w14:ligatures w14:val="none"/>
        </w:rPr>
        <w:t>انتقلت</w:t>
      </w:r>
      <w:r w:rsidRPr="00070B6E">
        <w:rPr>
          <w:rFonts w:eastAsia="Times New Roman" w:cs="DecoType Naskh"/>
          <w:color w:val="auto"/>
          <w:kern w:val="0"/>
          <w:szCs w:val="26"/>
          <w:rtl/>
          <w:lang w:bidi="ar-JO"/>
          <w14:ligatures w14:val="none"/>
        </w:rPr>
        <w:t xml:space="preserve"> إلى موسى (11: 10-15)، حيث أرهقه حمل الشعب.  وفي هذا يُمتحن إيمانه بقوّة </w:t>
      </w:r>
      <w:r w:rsidRPr="00070B6E">
        <w:rPr>
          <w:rFonts w:eastAsia="Times New Roman" w:cs="DecoType Naskh" w:hint="cs"/>
          <w:color w:val="auto"/>
          <w:kern w:val="0"/>
          <w:szCs w:val="26"/>
          <w:rtl/>
          <w:lang w:bidi="ar-JO"/>
          <w14:ligatures w14:val="none"/>
        </w:rPr>
        <w:t>من خلال عدم</w:t>
      </w:r>
      <w:r w:rsidRPr="00070B6E">
        <w:rPr>
          <w:rFonts w:eastAsia="Times New Roman" w:cs="DecoType Naskh"/>
          <w:color w:val="auto"/>
          <w:kern w:val="0"/>
          <w:szCs w:val="26"/>
          <w:rtl/>
          <w:lang w:bidi="ar-JO"/>
          <w14:ligatures w14:val="none"/>
        </w:rPr>
        <w:t xml:space="preserve"> إيمان شعب الرب.  ويستجيب الله في نعمته ويعطي سلطة لسبعين من الشوخ لكي يعينوه.  وهم لا يتنبأون إلاّ بشكل مؤقت، حيث اقتصر غرض التبؤ على المصادقة على النظام الجديد (11: 25).</w:t>
      </w:r>
    </w:p>
    <w:p w14:paraId="74962325"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ECF4B30"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يتناول ا</w:t>
      </w:r>
      <w:r w:rsidRPr="00070B6E">
        <w:rPr>
          <w:rFonts w:eastAsia="Times New Roman" w:cs="DecoType Naskh" w:hint="cs"/>
          <w:color w:val="auto"/>
          <w:kern w:val="0"/>
          <w:szCs w:val="26"/>
          <w:rtl/>
          <w:lang w:bidi="ar-JO"/>
          <w14:ligatures w14:val="none"/>
        </w:rPr>
        <w:t>لأ</w:t>
      </w:r>
      <w:r w:rsidRPr="00070B6E">
        <w:rPr>
          <w:rFonts w:eastAsia="Times New Roman" w:cs="DecoType Naskh"/>
          <w:color w:val="auto"/>
          <w:kern w:val="0"/>
          <w:szCs w:val="26"/>
          <w:rtl/>
          <w:lang w:bidi="ar-JO"/>
          <w14:ligatures w14:val="none"/>
        </w:rPr>
        <w:t xml:space="preserve">صحاح الثاني عشر مسألة تمرّد مريم وهارون على موسى.  كان لكل منهما منصبه الرفيع المميّز ضمن الأمّة.  إذ كانت مريم نبيّة (خروج 15: 20)، بينما كان هارون </w:t>
      </w:r>
      <w:r w:rsidRPr="00070B6E">
        <w:rPr>
          <w:rFonts w:eastAsia="Times New Roman" w:cs="DecoType Naskh" w:hint="cs"/>
          <w:color w:val="auto"/>
          <w:kern w:val="0"/>
          <w:szCs w:val="26"/>
          <w:rtl/>
          <w:lang w:bidi="ar-JO"/>
          <w14:ligatures w14:val="none"/>
        </w:rPr>
        <w:t>رئيس الكهنة</w:t>
      </w:r>
      <w:r w:rsidRPr="00070B6E">
        <w:rPr>
          <w:rFonts w:eastAsia="Times New Roman" w:cs="DecoType Naskh"/>
          <w:color w:val="auto"/>
          <w:kern w:val="0"/>
          <w:szCs w:val="26"/>
          <w:rtl/>
          <w:lang w:bidi="ar-JO"/>
          <w14:ligatures w14:val="none"/>
        </w:rPr>
        <w:t xml:space="preserve">.  وتصبح مسألة زواج موسى من المرأة الكوشية فرصة للتنفيس </w:t>
      </w:r>
      <w:r w:rsidRPr="00070B6E">
        <w:rPr>
          <w:rFonts w:eastAsia="Times New Roman" w:cs="DecoType Naskh" w:hint="cs"/>
          <w:color w:val="auto"/>
          <w:kern w:val="0"/>
          <w:szCs w:val="26"/>
          <w:rtl/>
          <w:lang w:bidi="ar-JO"/>
          <w14:ligatures w14:val="none"/>
        </w:rPr>
        <w:t>عن</w:t>
      </w:r>
      <w:r w:rsidRPr="00070B6E">
        <w:rPr>
          <w:rFonts w:eastAsia="Times New Roman" w:cs="DecoType Naskh"/>
          <w:color w:val="auto"/>
          <w:kern w:val="0"/>
          <w:szCs w:val="26"/>
          <w:rtl/>
          <w:lang w:bidi="ar-JO"/>
          <w14:ligatures w14:val="none"/>
        </w:rPr>
        <w:t xml:space="preserve"> استيائهم.  غير أن السبب الحقيقي هو حسدهم لموسى على منصبه في إدارة الحكم الثيوقراطي (12: 2).  فأبرأ الله موسى بأن أنزل دينونة على مريم.  تمثّل هذه الحادثة درساً مناسباً لكثيرين من الخدّام </w:t>
      </w:r>
      <w:r w:rsidRPr="00070B6E">
        <w:rPr>
          <w:rFonts w:eastAsia="Times New Roman" w:cs="DecoType Naskh" w:hint="cs"/>
          <w:color w:val="auto"/>
          <w:kern w:val="0"/>
          <w:szCs w:val="26"/>
          <w:rtl/>
          <w:lang w:bidi="ar-JO"/>
          <w14:ligatures w14:val="none"/>
        </w:rPr>
        <w:t>المسيحيي</w:t>
      </w:r>
      <w:r w:rsidRPr="00070B6E">
        <w:rPr>
          <w:rFonts w:eastAsia="Times New Roman" w:cs="DecoType Naskh" w:hint="eastAsia"/>
          <w:color w:val="auto"/>
          <w:kern w:val="0"/>
          <w:szCs w:val="26"/>
          <w:rtl/>
          <w:lang w:bidi="ar-JO"/>
          <w14:ligatures w14:val="none"/>
        </w:rPr>
        <w:t>ن</w:t>
      </w:r>
      <w:r w:rsidRPr="00070B6E">
        <w:rPr>
          <w:rFonts w:eastAsia="Times New Roman" w:cs="DecoType Naskh"/>
          <w:color w:val="auto"/>
          <w:kern w:val="0"/>
          <w:szCs w:val="26"/>
          <w:rtl/>
          <w:lang w:bidi="ar-JO"/>
          <w14:ligatures w14:val="none"/>
        </w:rPr>
        <w:t xml:space="preserve"> اليوم</w:t>
      </w:r>
      <w:r w:rsidRPr="00070B6E">
        <w:rPr>
          <w:rFonts w:eastAsia="Times New Roman" w:cs="DecoType Naskh" w:hint="cs"/>
          <w:color w:val="auto"/>
          <w:kern w:val="0"/>
          <w:szCs w:val="26"/>
          <w:rtl/>
          <w:lang w:bidi="ar-JO"/>
          <w14:ligatures w14:val="none"/>
        </w:rPr>
        <w:t>،</w:t>
      </w:r>
      <w:r w:rsidRPr="00070B6E">
        <w:rPr>
          <w:rFonts w:eastAsia="Times New Roman" w:cs="DecoType Naskh"/>
          <w:color w:val="auto"/>
          <w:kern w:val="0"/>
          <w:szCs w:val="26"/>
          <w:rtl/>
          <w:lang w:bidi="ar-JO"/>
          <w14:ligatures w14:val="none"/>
        </w:rPr>
        <w:t xml:space="preserve"> </w:t>
      </w:r>
      <w:r w:rsidRPr="00070B6E">
        <w:rPr>
          <w:rFonts w:eastAsia="Times New Roman" w:cs="DecoType Naskh" w:hint="cs"/>
          <w:color w:val="auto"/>
          <w:kern w:val="0"/>
          <w:szCs w:val="26"/>
          <w:rtl/>
          <w:lang w:bidi="ar-JO"/>
          <w14:ligatures w14:val="none"/>
        </w:rPr>
        <w:t>ف</w:t>
      </w:r>
      <w:r w:rsidRPr="00070B6E">
        <w:rPr>
          <w:rFonts w:eastAsia="Times New Roman" w:cs="DecoType Naskh"/>
          <w:color w:val="auto"/>
          <w:kern w:val="0"/>
          <w:szCs w:val="26"/>
          <w:rtl/>
          <w:lang w:bidi="ar-JO"/>
          <w14:ligatures w14:val="none"/>
        </w:rPr>
        <w:t xml:space="preserve">يجب أن يفحص المؤمن إن كان قد طلع عِرْق حسد </w:t>
      </w:r>
      <w:r w:rsidRPr="00070B6E">
        <w:rPr>
          <w:rFonts w:eastAsia="Times New Roman" w:cs="DecoType Naskh" w:hint="cs"/>
          <w:color w:val="auto"/>
          <w:kern w:val="0"/>
          <w:szCs w:val="26"/>
          <w:rtl/>
          <w:lang w:bidi="ar-JO"/>
          <w14:ligatures w14:val="none"/>
        </w:rPr>
        <w:t xml:space="preserve">وغيرة </w:t>
      </w:r>
      <w:r w:rsidRPr="00070B6E">
        <w:rPr>
          <w:rFonts w:eastAsia="Times New Roman" w:cs="DecoType Naskh"/>
          <w:color w:val="auto"/>
          <w:kern w:val="0"/>
          <w:szCs w:val="26"/>
          <w:rtl/>
          <w:lang w:bidi="ar-JO"/>
          <w14:ligatures w14:val="none"/>
        </w:rPr>
        <w:t>في قلبه ويقتلعه، لأن هذا بمثابة تمرّد على الله.</w:t>
      </w:r>
    </w:p>
    <w:p w14:paraId="318436F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83CB8D5"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0C8B91D5"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3</w:t>
      </w:r>
      <w:r w:rsidRPr="00070B6E">
        <w:rPr>
          <w:rFonts w:eastAsia="Times New Roman" w:cs="DecoType Naskh"/>
          <w:bCs/>
          <w:color w:val="auto"/>
          <w:kern w:val="0"/>
          <w:szCs w:val="28"/>
          <w:rtl/>
          <w:lang w:bidi="ar-JO"/>
          <w14:ligatures w14:val="none"/>
        </w:rPr>
        <w:t>.</w:t>
      </w:r>
      <w:r w:rsidRPr="00070B6E">
        <w:rPr>
          <w:rFonts w:eastAsia="Times New Roman" w:cs="DecoType Naskh"/>
          <w:bCs/>
          <w:color w:val="auto"/>
          <w:kern w:val="0"/>
          <w:szCs w:val="28"/>
          <w:rtl/>
          <w:lang w:bidi="ar-JO"/>
          <w14:ligatures w14:val="none"/>
        </w:rPr>
        <w:tab/>
      </w:r>
      <w:r w:rsidRPr="00070B6E">
        <w:rPr>
          <w:rFonts w:eastAsia="Times New Roman" w:cs="DecoType Naskh" w:hint="cs"/>
          <w:bCs/>
          <w:color w:val="auto"/>
          <w:kern w:val="0"/>
          <w:szCs w:val="28"/>
          <w:rtl/>
          <w:lang w:bidi="ar-JO"/>
          <w14:ligatures w14:val="none"/>
        </w:rPr>
        <w:t>ع</w:t>
      </w:r>
      <w:r w:rsidRPr="00070B6E">
        <w:rPr>
          <w:rFonts w:eastAsia="Times New Roman" w:cs="DecoType Naskh"/>
          <w:bCs/>
          <w:color w:val="auto"/>
          <w:kern w:val="0"/>
          <w:szCs w:val="28"/>
          <w:rtl/>
          <w:lang w:bidi="ar-JO"/>
          <w14:ligatures w14:val="none"/>
        </w:rPr>
        <w:t>دم الإيمان في قادش (13: 1-14: 45)</w:t>
      </w:r>
    </w:p>
    <w:p w14:paraId="616652A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 xml:space="preserve">يتناول </w:t>
      </w:r>
      <w:r w:rsidRPr="00070B6E">
        <w:rPr>
          <w:rFonts w:eastAsia="Times New Roman" w:cs="DecoType Naskh" w:hint="cs"/>
          <w:color w:val="auto"/>
          <w:kern w:val="0"/>
          <w:szCs w:val="26"/>
          <w:rtl/>
          <w:lang w:bidi="ar-JO"/>
          <w14:ligatures w14:val="none"/>
        </w:rPr>
        <w:t>الأصحاحان</w:t>
      </w:r>
      <w:r w:rsidRPr="00070B6E">
        <w:rPr>
          <w:rFonts w:eastAsia="Times New Roman" w:cs="DecoType Naskh"/>
          <w:color w:val="auto"/>
          <w:kern w:val="0"/>
          <w:szCs w:val="26"/>
          <w:rtl/>
          <w:lang w:bidi="ar-JO"/>
          <w14:ligatures w14:val="none"/>
        </w:rPr>
        <w:t xml:space="preserve"> 13 و14 الحادثة التي وقعت في قادش.  وهما يمثّلان ذروة هذا القسم، لأن عدم الإيمان في ذلك المكان يأتي بدينونة الله </w:t>
      </w:r>
      <w:r w:rsidRPr="00070B6E">
        <w:rPr>
          <w:rFonts w:eastAsia="Times New Roman" w:cs="DecoType Naskh" w:hint="cs"/>
          <w:color w:val="auto"/>
          <w:kern w:val="0"/>
          <w:szCs w:val="26"/>
          <w:rtl/>
          <w:lang w:bidi="ar-JO"/>
          <w14:ligatures w14:val="none"/>
        </w:rPr>
        <w:t>القاضية</w:t>
      </w:r>
      <w:r w:rsidRPr="00070B6E">
        <w:rPr>
          <w:rFonts w:eastAsia="Times New Roman" w:cs="DecoType Naskh"/>
          <w:color w:val="auto"/>
          <w:kern w:val="0"/>
          <w:szCs w:val="26"/>
          <w:rtl/>
          <w:lang w:bidi="ar-JO"/>
          <w14:ligatures w14:val="none"/>
        </w:rPr>
        <w:t xml:space="preserve"> بموت هذا الجيل وانقراضه في البريّة.  لكن يتوجب أن يكون المرء حذراً في استخدام "</w:t>
      </w:r>
      <w:r w:rsidRPr="00070B6E">
        <w:rPr>
          <w:rFonts w:eastAsia="Times New Roman" w:cs="DecoType Naskh" w:hint="cs"/>
          <w:color w:val="auto"/>
          <w:kern w:val="0"/>
          <w:szCs w:val="26"/>
          <w:rtl/>
          <w:lang w:bidi="ar-JO"/>
          <w14:ligatures w14:val="none"/>
        </w:rPr>
        <w:t>اختبار</w:t>
      </w:r>
      <w:r w:rsidRPr="00070B6E">
        <w:rPr>
          <w:rFonts w:eastAsia="Times New Roman" w:cs="DecoType Naskh"/>
          <w:color w:val="auto"/>
          <w:kern w:val="0"/>
          <w:szCs w:val="26"/>
          <w:rtl/>
          <w:lang w:bidi="ar-JO"/>
          <w14:ligatures w14:val="none"/>
        </w:rPr>
        <w:t xml:space="preserve"> البرّية" </w:t>
      </w:r>
      <w:r w:rsidRPr="00070B6E">
        <w:rPr>
          <w:rFonts w:eastAsia="Times New Roman" w:cs="DecoType Naskh" w:hint="cs"/>
          <w:color w:val="auto"/>
          <w:kern w:val="0"/>
          <w:szCs w:val="26"/>
          <w:rtl/>
          <w:lang w:bidi="ar-JO"/>
          <w14:ligatures w14:val="none"/>
        </w:rPr>
        <w:t>في مقارنته له بالحياة</w:t>
      </w:r>
      <w:r w:rsidRPr="00070B6E">
        <w:rPr>
          <w:rFonts w:eastAsia="Times New Roman" w:cs="DecoType Naskh"/>
          <w:color w:val="auto"/>
          <w:kern w:val="0"/>
          <w:szCs w:val="26"/>
          <w:rtl/>
          <w:lang w:bidi="ar-JO"/>
          <w14:ligatures w14:val="none"/>
        </w:rPr>
        <w:t xml:space="preserve"> المسيحية (كما لو أنها كانت تمثّل </w:t>
      </w:r>
      <w:r w:rsidRPr="00070B6E">
        <w:rPr>
          <w:rFonts w:eastAsia="Times New Roman" w:cs="DecoType Naskh" w:hint="cs"/>
          <w:color w:val="auto"/>
          <w:kern w:val="0"/>
          <w:szCs w:val="26"/>
          <w:rtl/>
          <w:lang w:bidi="ar-JO"/>
          <w14:ligatures w14:val="none"/>
        </w:rPr>
        <w:t>الانتقال</w:t>
      </w:r>
      <w:r w:rsidRPr="00070B6E">
        <w:rPr>
          <w:rFonts w:eastAsia="Times New Roman" w:cs="DecoType Naskh"/>
          <w:color w:val="auto"/>
          <w:kern w:val="0"/>
          <w:szCs w:val="26"/>
          <w:rtl/>
          <w:lang w:bidi="ar-JO"/>
          <w14:ligatures w14:val="none"/>
        </w:rPr>
        <w:t xml:space="preserve"> بين الخلاص والسماء).  بل على العكس من ذلك، فإنها تمثّل التأديب الإلهي نتيجة للعصيان وعدم الإيمان.  ومن المؤكد </w:t>
      </w:r>
      <w:r w:rsidRPr="00070B6E">
        <w:rPr>
          <w:rFonts w:eastAsia="Times New Roman" w:cs="DecoType Naskh" w:hint="cs"/>
          <w:color w:val="auto"/>
          <w:kern w:val="0"/>
          <w:szCs w:val="26"/>
          <w:rtl/>
          <w:lang w:bidi="ar-JO"/>
          <w14:ligatures w14:val="none"/>
        </w:rPr>
        <w:t>أن هذا ليس الاختبار المتوقع</w:t>
      </w:r>
      <w:r w:rsidRPr="00070B6E">
        <w:rPr>
          <w:rFonts w:eastAsia="Times New Roman" w:cs="DecoType Naskh"/>
          <w:color w:val="auto"/>
          <w:kern w:val="0"/>
          <w:szCs w:val="26"/>
          <w:rtl/>
          <w:lang w:bidi="ar-JO"/>
          <w14:ligatures w14:val="none"/>
        </w:rPr>
        <w:t xml:space="preserve"> للمؤمنين على الرغم من </w:t>
      </w:r>
      <w:r w:rsidRPr="00070B6E">
        <w:rPr>
          <w:rFonts w:eastAsia="Times New Roman" w:cs="DecoType Naskh" w:hint="cs"/>
          <w:color w:val="auto"/>
          <w:kern w:val="0"/>
          <w:szCs w:val="26"/>
          <w:rtl/>
          <w:lang w:bidi="ar-JO"/>
          <w14:ligatures w14:val="none"/>
        </w:rPr>
        <w:t>أنه يحتوي</w:t>
      </w:r>
      <w:r w:rsidRPr="00070B6E">
        <w:rPr>
          <w:rFonts w:eastAsia="Times New Roman" w:cs="DecoType Naskh"/>
          <w:color w:val="auto"/>
          <w:kern w:val="0"/>
          <w:szCs w:val="26"/>
          <w:rtl/>
          <w:lang w:bidi="ar-JO"/>
          <w14:ligatures w14:val="none"/>
        </w:rPr>
        <w:t xml:space="preserve"> بالفعل على دروس للذين يتراجعون في علاقاتهم بالرب بسبب عدم الإيمان.  وتؤكد الرسالة إلى العبرانيين على الدروس المستفادة من عدم الإيمان (انظر ا</w:t>
      </w:r>
      <w:r w:rsidRPr="00070B6E">
        <w:rPr>
          <w:rFonts w:eastAsia="Times New Roman" w:cs="DecoType Naskh" w:hint="cs"/>
          <w:color w:val="auto"/>
          <w:kern w:val="0"/>
          <w:szCs w:val="26"/>
          <w:rtl/>
          <w:lang w:bidi="ar-JO"/>
          <w14:ligatures w14:val="none"/>
        </w:rPr>
        <w:t>لأ</w:t>
      </w:r>
      <w:r w:rsidRPr="00070B6E">
        <w:rPr>
          <w:rFonts w:eastAsia="Times New Roman" w:cs="DecoType Naskh"/>
          <w:color w:val="auto"/>
          <w:kern w:val="0"/>
          <w:szCs w:val="26"/>
          <w:rtl/>
          <w:lang w:bidi="ar-JO"/>
          <w14:ligatures w14:val="none"/>
        </w:rPr>
        <w:t xml:space="preserve">صحاحين 3-4 على نحو خاص). </w:t>
      </w:r>
    </w:p>
    <w:p w14:paraId="2D7E7677"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 xml:space="preserve"> </w:t>
      </w:r>
    </w:p>
    <w:p w14:paraId="67936ED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عند الوصول إلى قادش، يُرسل جواسيس لكي يتحرّوا أحوال الأرض.</w:t>
      </w:r>
      <w:r w:rsidRPr="00070B6E">
        <w:rPr>
          <w:rFonts w:eastAsia="Times New Roman" w:cs="DecoType Naskh"/>
          <w:color w:val="auto"/>
          <w:kern w:val="0"/>
          <w:sz w:val="30"/>
          <w:szCs w:val="28"/>
          <w:vertAlign w:val="superscript"/>
          <w:rtl/>
          <w:lang w:bidi="ar-JO"/>
          <w14:ligatures w14:val="none"/>
        </w:rPr>
        <w:footnoteReference w:id="110"/>
      </w:r>
      <w:r w:rsidRPr="00070B6E">
        <w:rPr>
          <w:rFonts w:eastAsia="Times New Roman" w:cs="DecoType Naskh" w:hint="cs"/>
          <w:color w:val="auto"/>
          <w:kern w:val="0"/>
          <w:szCs w:val="26"/>
          <w:rtl/>
          <w:lang w:bidi="ar-JO"/>
          <w14:ligatures w14:val="none"/>
        </w:rPr>
        <w:t xml:space="preserve"> </w:t>
      </w:r>
      <w:r w:rsidRPr="00070B6E">
        <w:rPr>
          <w:rFonts w:eastAsia="Times New Roman" w:cs="DecoType Naskh"/>
          <w:color w:val="auto"/>
          <w:kern w:val="0"/>
          <w:szCs w:val="26"/>
          <w:rtl/>
          <w:lang w:bidi="ar-JO"/>
          <w14:ligatures w14:val="none"/>
        </w:rPr>
        <w:t xml:space="preserve"> ولم يكن التجسس على الأرض بهدف رؤية إن كان ممكناً الاستيلاء عليها، لأن الله قد سبق أن </w:t>
      </w:r>
      <w:r w:rsidRPr="00070B6E">
        <w:rPr>
          <w:rFonts w:eastAsia="Times New Roman" w:cs="DecoType Naskh" w:hint="cs"/>
          <w:color w:val="auto"/>
          <w:kern w:val="0"/>
          <w:szCs w:val="26"/>
          <w:rtl/>
          <w:lang w:bidi="ar-JO"/>
          <w14:ligatures w14:val="none"/>
        </w:rPr>
        <w:t>أخبرهم</w:t>
      </w:r>
      <w:r w:rsidRPr="00070B6E">
        <w:rPr>
          <w:rFonts w:eastAsia="Times New Roman" w:cs="DecoType Naskh"/>
          <w:color w:val="auto"/>
          <w:kern w:val="0"/>
          <w:szCs w:val="26"/>
          <w:rtl/>
          <w:lang w:bidi="ar-JO"/>
          <w14:ligatures w14:val="none"/>
        </w:rPr>
        <w:t xml:space="preserve"> في سفر الخروج أنه سيُحضرهم إلى أرض تفيض لبناً (حليباً) وعسلاً</w:t>
      </w:r>
      <w:r w:rsidRPr="00070B6E">
        <w:rPr>
          <w:rFonts w:eastAsia="Times New Roman" w:cs="DecoType Naskh" w:hint="cs"/>
          <w:color w:val="auto"/>
          <w:kern w:val="0"/>
          <w:szCs w:val="26"/>
          <w:rtl/>
          <w:lang w:bidi="ar-JO"/>
          <w14:ligatures w14:val="none"/>
        </w:rPr>
        <w:t>،</w:t>
      </w:r>
      <w:r w:rsidRPr="00070B6E">
        <w:rPr>
          <w:rFonts w:eastAsia="Times New Roman" w:cs="DecoType Naskh"/>
          <w:color w:val="auto"/>
          <w:kern w:val="0"/>
          <w:szCs w:val="26"/>
          <w:rtl/>
          <w:lang w:bidi="ar-JO"/>
          <w14:ligatures w14:val="none"/>
        </w:rPr>
        <w:t xml:space="preserve"> بل الهدف هو أن يؤكد الجواسيس أن الأرض تستحق القتال من أجلها (حرب إيمان).  ولسوء الحظ، فقد ركّز الجواسيس (ما عدا يشوع وكالب) انتباههم على </w:t>
      </w:r>
      <w:r w:rsidRPr="00070B6E">
        <w:rPr>
          <w:rFonts w:eastAsia="Times New Roman" w:cs="DecoType Naskh" w:hint="cs"/>
          <w:color w:val="auto"/>
          <w:kern w:val="0"/>
          <w:szCs w:val="26"/>
          <w:rtl/>
          <w:lang w:bidi="ar-JO"/>
          <w14:ligatures w14:val="none"/>
        </w:rPr>
        <w:t xml:space="preserve">طبيعة </w:t>
      </w:r>
      <w:r w:rsidRPr="00070B6E">
        <w:rPr>
          <w:rFonts w:eastAsia="Times New Roman" w:cs="DecoType Naskh"/>
          <w:color w:val="auto"/>
          <w:kern w:val="0"/>
          <w:szCs w:val="26"/>
          <w:rtl/>
          <w:lang w:bidi="ar-JO"/>
          <w14:ligatures w14:val="none"/>
        </w:rPr>
        <w:t xml:space="preserve">العوائق، لا على الأرض.  وعلى الرغم من أن الله أوعز إلى موسى بأن يرسل الجواسيس (13: 2)، </w:t>
      </w:r>
      <w:r w:rsidRPr="00070B6E">
        <w:rPr>
          <w:rFonts w:eastAsia="Times New Roman" w:cs="DecoType Naskh" w:hint="cs"/>
          <w:color w:val="auto"/>
          <w:kern w:val="0"/>
          <w:szCs w:val="26"/>
          <w:rtl/>
          <w:lang w:bidi="ar-JO"/>
          <w14:ligatures w14:val="none"/>
        </w:rPr>
        <w:t>إلا أنه</w:t>
      </w:r>
      <w:r w:rsidRPr="00070B6E">
        <w:rPr>
          <w:rFonts w:eastAsia="Times New Roman" w:cs="DecoType Naskh"/>
          <w:color w:val="auto"/>
          <w:kern w:val="0"/>
          <w:szCs w:val="26"/>
          <w:rtl/>
          <w:lang w:bidi="ar-JO"/>
          <w14:ligatures w14:val="none"/>
        </w:rPr>
        <w:t xml:space="preserve"> يبدو أن الله سمح بهذا بناء على طلب الشعب.  تشرح لنا تثنية 1: 19-23 أن الرعية كلّها طلبت إرسال جواسيس بحجة أنهم يريدون أن يعرفوا الطريق الفضلى لدخولها.  </w:t>
      </w:r>
      <w:r w:rsidRPr="00070B6E">
        <w:rPr>
          <w:rFonts w:eastAsia="Times New Roman" w:cs="DecoType Naskh" w:hint="cs"/>
          <w:color w:val="auto"/>
          <w:kern w:val="0"/>
          <w:szCs w:val="26"/>
          <w:rtl/>
          <w:lang w:bidi="ar-JO"/>
          <w14:ligatures w14:val="none"/>
        </w:rPr>
        <w:t>كان من الواضح أن</w:t>
      </w:r>
      <w:r w:rsidRPr="00070B6E">
        <w:rPr>
          <w:rFonts w:eastAsia="Times New Roman" w:cs="DecoType Naskh"/>
          <w:color w:val="auto"/>
          <w:kern w:val="0"/>
          <w:szCs w:val="26"/>
          <w:rtl/>
          <w:lang w:bidi="ar-JO"/>
          <w14:ligatures w14:val="none"/>
        </w:rPr>
        <w:t xml:space="preserve"> الشعب متردد بعض الشيء في الدخول إلى الأرض قبل أن يتلقّوا تقارير الجواسيس.</w:t>
      </w:r>
    </w:p>
    <w:p w14:paraId="1E115155"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969E81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جاءت التقارير باستجابتين مختلفتين.  فقد أبلغ كالب ويشوع عما رأياه بقلبين مؤمنين.  فالمعلومات الجديدة بالنسبة لهما لا تؤثّر على إيمانهما: فالمسألة محسومة حيثما تكلّم الله.  وبالمقابل أبلغ معظم الجواسيس عمّا رأوه في عدم إيمان، مؤكّدين على الصعوبات.  وفضلاً عن ذلك، فقد قاسوا الصعوبات بأنفسهم، "لا نقدر" (13: 31).</w:t>
      </w:r>
    </w:p>
    <w:p w14:paraId="0EF8CB3D"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999AEA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070B6E">
        <w:rPr>
          <w:rFonts w:eastAsia="Times New Roman" w:cs="DecoType Naskh"/>
          <w:color w:val="auto"/>
          <w:kern w:val="0"/>
          <w:szCs w:val="26"/>
          <w:rtl/>
          <w:lang w:bidi="ar-JO"/>
          <w14:ligatures w14:val="none"/>
        </w:rPr>
        <w:lastRenderedPageBreak/>
        <w:t>تمسّكت الجماعة بالتقرير السيّء ووضعوا اللوم كلّه على الرب (14: 2-3).  وقد رأى الله في ذلك إهانة له (14: 11): وتتضح الأمور أكثر في تثنية 1: 26-27</w:t>
      </w:r>
      <w:r w:rsidRPr="00070B6E">
        <w:rPr>
          <w:rFonts w:eastAsia="Times New Roman" w:cs="DecoType Naskh" w:hint="cs"/>
          <w:color w:val="auto"/>
          <w:kern w:val="0"/>
          <w:szCs w:val="26"/>
          <w:rtl/>
          <w14:ligatures w14:val="none"/>
        </w:rPr>
        <w:t>.</w:t>
      </w:r>
    </w:p>
    <w:p w14:paraId="17CF7360"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لكنكم لم تشاءوا أن تصعدوا، وعصيتم قول الرب إلهكم، وتمرّدتم في خيامكم وقلتم: الرب بسبب بغضه لنا، قد أخرجنا من أرض مصر ليدفعنا إلى أيدي الأمّوريين لكي يهلكنا.</w:t>
      </w:r>
    </w:p>
    <w:p w14:paraId="0C89F0D6"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مثّل هذا عدم إيمان وتمرّد إراديين من قِبل الأمة التي سبق أن رأت أمانة الله في قيادتها وهدايتها وتوفير احتياجاتها حتى تلك المرحلة.  فكان لديهم أسباب كافية تدعوهم إلى الاتكال على الله في تثبيتهم في الأرض.</w:t>
      </w:r>
    </w:p>
    <w:p w14:paraId="22E8F5B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E28561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وفضلاً عن ذلك صرّحوا قائلين: "نقيم رئيساً ونرجع إلى مصر" (14: 4).  فكان هذا رفضاً للسلطة الثيوقراطية التي مارسها موسى منذ مغادرتهم مصر.  وسارع يشوع وكالب إلى تفسير خطة انتخاب قائد جديد بصفته تحدّياً سافراً للرب (14: 9).</w:t>
      </w:r>
    </w:p>
    <w:p w14:paraId="4C7C5314"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88BF71D"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 xml:space="preserve">استجاب يهوه بأن </w:t>
      </w:r>
      <w:r w:rsidRPr="00070B6E">
        <w:rPr>
          <w:rFonts w:eastAsia="Times New Roman" w:cs="DecoType Naskh" w:hint="cs"/>
          <w:color w:val="auto"/>
          <w:kern w:val="0"/>
          <w:szCs w:val="26"/>
          <w:rtl/>
          <w:lang w:bidi="ar-JO"/>
          <w14:ligatures w14:val="none"/>
        </w:rPr>
        <w:t>اقترح</w:t>
      </w:r>
      <w:r w:rsidRPr="00070B6E">
        <w:rPr>
          <w:rFonts w:eastAsia="Times New Roman" w:cs="DecoType Naskh"/>
          <w:color w:val="auto"/>
          <w:kern w:val="0"/>
          <w:szCs w:val="26"/>
          <w:rtl/>
          <w:lang w:bidi="ar-JO"/>
          <w14:ligatures w14:val="none"/>
        </w:rPr>
        <w:t xml:space="preserve"> ضربهم بالطاعون والقضاء عليهم، مستخدماً موسى لبدء أمّة جديدة (14: 12).  </w:t>
      </w:r>
      <w:r w:rsidRPr="00070B6E">
        <w:rPr>
          <w:rFonts w:eastAsia="Times New Roman" w:cs="DecoType Naskh"/>
          <w:color w:val="auto"/>
          <w:kern w:val="0"/>
          <w:szCs w:val="26"/>
          <w:rtl/>
          <w14:ligatures w14:val="none"/>
        </w:rPr>
        <w:t>في الواقع، كان بإمكان الله أن يبيدهم من دون خرق العهد الإبراهيمي، لأن موسى كان من نسل إبراهيم (وبافتراض أن كالب كان من سبط يهوذا [عدد ١٣: ٦] فيكون قد تم العفو عنه للحفاظ على الوعد الملكي لسبط يهوذا [تكوين ٤٠: ١٠]) </w:t>
      </w:r>
      <w:r w:rsidRPr="00070B6E">
        <w:rPr>
          <w:rFonts w:eastAsia="Times New Roman" w:cs="DecoType Naskh"/>
          <w:color w:val="auto"/>
          <w:kern w:val="0"/>
          <w:szCs w:val="26"/>
          <w:rtl/>
          <w:lang w:bidi="ar-JO"/>
          <w14:ligatures w14:val="none"/>
        </w:rPr>
        <w:t>. لكن موسى تشفّع في الأمّة تشفّعاً مزدوجاً: (1) كان مهتمّاً بكرامة الله بين الوثنيين، و(2) عبّر عن ثقته بطبيعة الله الأخلاقية، خاصة غفرانه ورحمته وكرمه النابع من محبّته (</w:t>
      </w:r>
      <w:r w:rsidRPr="00070B6E">
        <w:rPr>
          <w:rFonts w:eastAsia="Times New Roman" w:cs="DecoType Naskh" w:hint="cs"/>
          <w:color w:val="auto"/>
          <w:kern w:val="0"/>
          <w:szCs w:val="26"/>
          <w:rtl/>
          <w:lang w:bidi="ar-JO"/>
          <w14:ligatures w14:val="none"/>
        </w:rPr>
        <w:t>خ</w:t>
      </w:r>
      <w:r w:rsidRPr="00070B6E">
        <w:rPr>
          <w:rFonts w:eastAsia="Times New Roman" w:cs="DecoType Naskh"/>
          <w:color w:val="auto"/>
          <w:kern w:val="0"/>
          <w:szCs w:val="26"/>
          <w:rtl/>
          <w:lang w:bidi="ar-JO"/>
          <w14:ligatures w14:val="none"/>
        </w:rPr>
        <w:t>ِسِد</w:t>
      </w:r>
      <w:r w:rsidRPr="00070B6E">
        <w:rPr>
          <w:rFonts w:eastAsia="Times New Roman" w:cs="DecoType Naskh" w:hint="cs"/>
          <w:color w:val="auto"/>
          <w:kern w:val="0"/>
          <w:szCs w:val="26"/>
          <w:rtl/>
          <w14:ligatures w14:val="none"/>
        </w:rPr>
        <w:t xml:space="preserve"> </w:t>
      </w:r>
      <w:r w:rsidRPr="00070B6E">
        <w:rPr>
          <w:rFonts w:ascii="Charis SIL" w:eastAsia="Times New Roman" w:hAnsi="Charis SIL" w:cs="Charis SIL"/>
          <w:bCs/>
          <w:i/>
          <w:iCs/>
          <w:color w:val="auto"/>
          <w:kern w:val="0"/>
          <w:szCs w:val="26"/>
          <w:lang w:bidi="ar-JO"/>
          <w14:ligatures w14:val="none"/>
        </w:rPr>
        <w:t>ḥeseḏ</w:t>
      </w:r>
      <w:r w:rsidRPr="00070B6E">
        <w:rPr>
          <w:rFonts w:eastAsia="Times New Roman" w:cs="DecoType Naskh"/>
          <w:color w:val="auto"/>
          <w:kern w:val="0"/>
          <w:szCs w:val="26"/>
          <w:rtl/>
          <w:lang w:bidi="ar-JO"/>
          <w14:ligatures w14:val="none"/>
        </w:rPr>
        <w:t xml:space="preserve"> -</w:t>
      </w:r>
      <w:r w:rsidRPr="00070B6E">
        <w:rPr>
          <w:rFonts w:eastAsia="Times New Roman" w:cs="DecoType Naskh" w:hint="cs"/>
          <w:color w:val="auto"/>
          <w:kern w:val="0"/>
          <w:szCs w:val="26"/>
          <w:rtl/>
          <w14:ligatures w14:val="none"/>
        </w:rPr>
        <w:t xml:space="preserve"> </w:t>
      </w:r>
      <w:r w:rsidRPr="00070B6E">
        <w:rPr>
          <w:rFonts w:eastAsia="Times New Roman" w:cs="DecoType Naskh"/>
          <w:color w:val="auto"/>
          <w:kern w:val="0"/>
          <w:szCs w:val="26"/>
          <w:rtl/>
          <w:lang w:bidi="ar-JO"/>
          <w14:ligatures w14:val="none"/>
        </w:rPr>
        <w:t>الوفاء/الولاء المُحِب).</w:t>
      </w:r>
    </w:p>
    <w:p w14:paraId="0C93ED0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21F7EE3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استجاب الله بالغفران، لكنه جاء من منظور الحفاظ على الأمّة، لا من منظور إلغاء عقاب مستحق.  وستكون الدينونة عدم دخول هذا الجيل إلى الأرض (14: 23).  وتوجد هنا سخرية أدبية في سماحه للأمة بالتمرّد.  ففي 14: 2 كان الشعب قد ذكروا أن موتهم في البريّة سيكون أفضل بكثير من محاولتهم الاستيلاء على الأرض</w:t>
      </w:r>
      <w:r w:rsidRPr="00070B6E">
        <w:rPr>
          <w:rFonts w:eastAsia="Times New Roman" w:cs="DecoType Naskh" w:hint="cs"/>
          <w:color w:val="auto"/>
          <w:kern w:val="0"/>
          <w:szCs w:val="26"/>
          <w:rtl/>
          <w:lang w:bidi="ar-JO"/>
          <w14:ligatures w14:val="none"/>
        </w:rPr>
        <w:t>،</w:t>
      </w:r>
      <w:r w:rsidRPr="00070B6E">
        <w:rPr>
          <w:rFonts w:eastAsia="Times New Roman" w:cs="DecoType Naskh"/>
          <w:color w:val="auto"/>
          <w:kern w:val="0"/>
          <w:szCs w:val="26"/>
          <w:rtl/>
          <w:lang w:bidi="ar-JO"/>
          <w14:ligatures w14:val="none"/>
        </w:rPr>
        <w:t xml:space="preserve"> فنالوا ذات الشيء الذي أرادوه (14: 22-30).  وعلى الرغم من انهم أظهروا قلقاً على أبنائهم (14: 3)، فإن هؤلاء الصغار هم الذين سيدخلهم الله الأرض.  وأخيراً، فإن الجواسيس الذين جاءوا بتقرير سيء ماتوا بوباء (14: 37)، دون أن يمسّهم أهل الأرض الذين خافوا منهم، أي الكنعانيين.  غير أن الأمّة لم تكن هي التي حُرمت من بركة الدخول إلى الأرض، بل ذلك الجيل بعينه.  فالله ما زال وفياً، وهو يعتبر أن العهد الإبراهيمي ما زال قائماً.</w:t>
      </w:r>
    </w:p>
    <w:p w14:paraId="3F79BBC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C264D76"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4</w:t>
      </w:r>
      <w:r w:rsidRPr="00070B6E">
        <w:rPr>
          <w:rFonts w:eastAsia="Times New Roman" w:cs="DecoType Naskh"/>
          <w:bCs/>
          <w:color w:val="auto"/>
          <w:kern w:val="0"/>
          <w:szCs w:val="28"/>
          <w:rtl/>
          <w:lang w:bidi="ar-JO"/>
          <w14:ligatures w14:val="none"/>
        </w:rPr>
        <w:t>.</w:t>
      </w:r>
      <w:r w:rsidRPr="00070B6E">
        <w:rPr>
          <w:rFonts w:eastAsia="Times New Roman" w:cs="DecoType Naskh"/>
          <w:bCs/>
          <w:color w:val="auto"/>
          <w:kern w:val="0"/>
          <w:szCs w:val="28"/>
          <w:rtl/>
          <w:lang w:bidi="ar-JO"/>
          <w14:ligatures w14:val="none"/>
        </w:rPr>
        <w:tab/>
      </w:r>
      <w:r w:rsidRPr="00070B6E">
        <w:rPr>
          <w:rFonts w:eastAsia="Times New Roman" w:cs="DecoType Naskh" w:hint="cs"/>
          <w:bCs/>
          <w:color w:val="auto"/>
          <w:kern w:val="0"/>
          <w:szCs w:val="28"/>
          <w:rtl/>
          <w:lang w:bidi="ar-JO"/>
          <w14:ligatures w14:val="none"/>
        </w:rPr>
        <w:t>اهتمامات</w:t>
      </w:r>
      <w:r w:rsidRPr="00070B6E">
        <w:rPr>
          <w:rFonts w:eastAsia="Times New Roman" w:cs="DecoType Naskh"/>
          <w:bCs/>
          <w:color w:val="auto"/>
          <w:kern w:val="0"/>
          <w:szCs w:val="28"/>
          <w:rtl/>
          <w:lang w:bidi="ar-JO"/>
          <w14:ligatures w14:val="none"/>
        </w:rPr>
        <w:t xml:space="preserve"> كهنوتية (15: 1-19: 32)</w:t>
      </w:r>
    </w:p>
    <w:p w14:paraId="2476853B"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 xml:space="preserve">يغطي هذا القسم عدّة مواضيع تتناول الذبائح والكهنوت وهارون واللاويين والنجاسة.  وهكذا </w:t>
      </w:r>
      <w:r w:rsidRPr="00070B6E">
        <w:rPr>
          <w:rFonts w:eastAsia="Times New Roman" w:cs="DecoType Naskh" w:hint="cs"/>
          <w:color w:val="auto"/>
          <w:kern w:val="0"/>
          <w:szCs w:val="26"/>
          <w:rtl/>
          <w:lang w:bidi="ar-JO"/>
          <w14:ligatures w14:val="none"/>
        </w:rPr>
        <w:t>فإن</w:t>
      </w:r>
      <w:r w:rsidRPr="00070B6E">
        <w:rPr>
          <w:rFonts w:eastAsia="Times New Roman" w:cs="DecoType Naskh"/>
          <w:color w:val="auto"/>
          <w:kern w:val="0"/>
          <w:szCs w:val="26"/>
          <w:rtl/>
          <w:lang w:bidi="ar-JO"/>
          <w14:ligatures w14:val="none"/>
        </w:rPr>
        <w:t xml:space="preserve"> العنصر المشترك بينها هو "</w:t>
      </w:r>
      <w:r w:rsidRPr="00070B6E">
        <w:rPr>
          <w:rFonts w:eastAsia="Times New Roman" w:cs="DecoType Naskh" w:hint="cs"/>
          <w:color w:val="auto"/>
          <w:kern w:val="0"/>
          <w:szCs w:val="26"/>
          <w:rtl/>
          <w:lang w:bidi="ar-JO"/>
          <w14:ligatures w14:val="none"/>
        </w:rPr>
        <w:t>الاهتمامات</w:t>
      </w:r>
      <w:r w:rsidRPr="00070B6E">
        <w:rPr>
          <w:rFonts w:eastAsia="Times New Roman" w:cs="DecoType Naskh"/>
          <w:color w:val="auto"/>
          <w:kern w:val="0"/>
          <w:szCs w:val="26"/>
          <w:rtl/>
          <w:lang w:bidi="ar-JO"/>
          <w14:ligatures w14:val="none"/>
        </w:rPr>
        <w:t xml:space="preserve"> الكهنوتية".  وهذه المادّة موضوعة بعد مسألة عدم الإيمان في قادش، وهي لهذا تقع ضمن الفترة التي هامت فيها الأمّة في البريّة.  وعلى الرغم من أن "الت</w:t>
      </w:r>
      <w:r w:rsidRPr="00070B6E">
        <w:rPr>
          <w:rFonts w:eastAsia="Times New Roman" w:cs="DecoType Naskh" w:hint="cs"/>
          <w:color w:val="auto"/>
          <w:kern w:val="0"/>
          <w:szCs w:val="26"/>
          <w:rtl/>
          <w:lang w:bidi="ar-JO"/>
          <w14:ligatures w14:val="none"/>
        </w:rPr>
        <w:t>َيَ</w:t>
      </w:r>
      <w:r w:rsidRPr="00070B6E">
        <w:rPr>
          <w:rFonts w:eastAsia="Times New Roman" w:cs="DecoType Naskh"/>
          <w:color w:val="auto"/>
          <w:kern w:val="0"/>
          <w:szCs w:val="26"/>
          <w:rtl/>
          <w:lang w:bidi="ar-JO"/>
          <w14:ligatures w14:val="none"/>
        </w:rPr>
        <w:t xml:space="preserve">هان" حصل حوالي أربعين سنة، فإننا لا نجد إلاّ القليل المذكور عن هذه </w:t>
      </w:r>
      <w:r w:rsidRPr="00070B6E">
        <w:rPr>
          <w:rFonts w:eastAsia="Times New Roman" w:cs="DecoType Naskh" w:hint="cs"/>
          <w:color w:val="auto"/>
          <w:kern w:val="0"/>
          <w:szCs w:val="26"/>
          <w:rtl/>
          <w:lang w:bidi="ar-JO"/>
          <w14:ligatures w14:val="none"/>
        </w:rPr>
        <w:t>الاختبارات</w:t>
      </w:r>
      <w:r w:rsidRPr="00070B6E">
        <w:rPr>
          <w:rFonts w:eastAsia="Times New Roman" w:cs="DecoType Naskh"/>
          <w:color w:val="auto"/>
          <w:kern w:val="0"/>
          <w:szCs w:val="26"/>
          <w:rtl/>
          <w:lang w:bidi="ar-JO"/>
          <w14:ligatures w14:val="none"/>
        </w:rPr>
        <w:t>.  غير أن أحد أهم الأحداث هو التمرّد الذي قاده قورح (عدد 16: 1-40)، وهو من اللاويين القهاتيين (واحد من أكثر اللاويين المكرَّمين).</w:t>
      </w:r>
    </w:p>
    <w:p w14:paraId="71E1E85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029B75D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كان تمرّد قورح منظّماً شارك فيه 250 من قادة الجماعة، ممّا جعله أخطر تمرّد ضد موسى وهارون.  ويوحي سؤال موسى لهم</w:t>
      </w:r>
      <w:r w:rsidRPr="00070B6E">
        <w:rPr>
          <w:rFonts w:eastAsia="Times New Roman" w:cs="DecoType Naskh" w:hint="cs"/>
          <w:color w:val="auto"/>
          <w:kern w:val="0"/>
          <w:szCs w:val="26"/>
          <w:rtl/>
          <w:lang w:bidi="ar-JO"/>
          <w14:ligatures w14:val="none"/>
        </w:rPr>
        <w:t>:</w:t>
      </w:r>
      <w:r w:rsidRPr="00070B6E">
        <w:rPr>
          <w:rFonts w:eastAsia="Times New Roman" w:cs="DecoType Naskh"/>
          <w:color w:val="auto"/>
          <w:kern w:val="0"/>
          <w:szCs w:val="26"/>
          <w:rtl/>
          <w:lang w:bidi="ar-JO"/>
          <w14:ligatures w14:val="none"/>
        </w:rPr>
        <w:t xml:space="preserve"> "وتطلبون أيضاً كهنوتاً؟" (16: 10) بأنهم يتحدّون سلطة هارون أيضاً.  حتى أن المتمردين هزئوا بسلطة الله المعهود بها لموسى، وذلك برفضهم أن يأتوا إلى موسى عندما استدعاهم (16: 12).</w:t>
      </w:r>
    </w:p>
    <w:p w14:paraId="2104E5AB"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070B6E">
        <w:rPr>
          <w:rFonts w:eastAsia="Times New Roman" w:cs="DecoType Naskh"/>
          <w:color w:val="auto"/>
          <w:kern w:val="0"/>
          <w:szCs w:val="26"/>
          <w:rtl/>
          <w:lang w:bidi="ar-JO"/>
          <w14:ligatures w14:val="none"/>
        </w:rPr>
        <w:t xml:space="preserve">يبدو أن التحدّي في 16: 3 يوحي إلى أنهم لم يروا حاجة إلى أن يكونوا تحت سلطة حيث إنهم كانوا جميعاً جزءاً من الشعب المفدي.  شعروا بأنهم لم يكونوا يحتاجون إلى إداري عليهم.  </w:t>
      </w:r>
      <w:r w:rsidRPr="00070B6E">
        <w:rPr>
          <w:rFonts w:eastAsia="Times New Roman" w:cs="DecoType Naskh" w:hint="cs"/>
          <w:color w:val="auto"/>
          <w:kern w:val="0"/>
          <w:szCs w:val="26"/>
          <w:rtl/>
          <w:lang w:bidi="ar-JO"/>
          <w14:ligatures w14:val="none"/>
        </w:rPr>
        <w:t>والفكرة الكامنة وراء هذا</w:t>
      </w:r>
      <w:r w:rsidRPr="00070B6E">
        <w:rPr>
          <w:rFonts w:eastAsia="Times New Roman" w:cs="DecoType Naskh"/>
          <w:color w:val="auto"/>
          <w:kern w:val="0"/>
          <w:szCs w:val="26"/>
          <w:rtl/>
          <w:lang w:bidi="ar-JO"/>
          <w14:ligatures w14:val="none"/>
        </w:rPr>
        <w:t xml:space="preserve"> هي إنكارهم لحق الله في الحكم، قائلين بأنه لا حاجة بالمفديين إلى الخضوع إلى السلطة.  عكس هذا موقفاً خاطئاً (مشابهاً لموقف بعض المؤمنين بالمسيح الذين يزعمون أنهم أحرار من كل شريعة لأنهم "تحت النعمة"؛ فمع أننا أحرار </w:t>
      </w:r>
      <w:r w:rsidRPr="00070B6E">
        <w:rPr>
          <w:rFonts w:eastAsia="Times New Roman" w:cs="DecoType Naskh"/>
          <w:color w:val="auto"/>
          <w:kern w:val="0"/>
          <w:szCs w:val="26"/>
          <w:rtl/>
          <w:lang w:bidi="ar-JO"/>
          <w14:ligatures w14:val="none"/>
        </w:rPr>
        <w:lastRenderedPageBreak/>
        <w:t>من الشريعة الموسوية، إلاّ أننا تحت ناموس المسيح).  يقول أنجر</w:t>
      </w:r>
      <w:r w:rsidRPr="00070B6E">
        <w:rPr>
          <w:rFonts w:eastAsia="Times New Roman" w:cs="DecoType Naskh" w:hint="cs"/>
          <w:color w:val="auto"/>
          <w:kern w:val="0"/>
          <w:szCs w:val="26"/>
          <w:rtl/>
          <w:lang w:bidi="ar-JO"/>
          <w14:ligatures w14:val="none"/>
        </w:rPr>
        <w:t xml:space="preserve">:  </w:t>
      </w:r>
      <w:r w:rsidRPr="00070B6E">
        <w:rPr>
          <w:rFonts w:eastAsia="Times New Roman" w:cs="DecoType Naskh"/>
          <w:color w:val="auto"/>
          <w:kern w:val="0"/>
          <w:szCs w:val="26"/>
          <w:rtl/>
          <w:lang w:bidi="ar-JO"/>
          <w14:ligatures w14:val="none"/>
        </w:rPr>
        <w:t>"أرادوا أن يطيحوا بما سبق أن رسّخه الرب لكي يغتصبوا لهم مكاناً لم يُعطهم إياه."</w:t>
      </w:r>
      <w:r w:rsidRPr="00070B6E">
        <w:rPr>
          <w:rFonts w:eastAsia="Times New Roman" w:cs="DecoType Naskh"/>
          <w:color w:val="auto"/>
          <w:kern w:val="0"/>
          <w:sz w:val="30"/>
          <w:szCs w:val="28"/>
          <w:vertAlign w:val="superscript"/>
          <w:rtl/>
          <w:lang w:bidi="ar-JO"/>
          <w14:ligatures w14:val="none"/>
        </w:rPr>
        <w:footnoteReference w:id="111"/>
      </w:r>
    </w:p>
    <w:p w14:paraId="53EB90D0"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0F1F552E"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 xml:space="preserve">دُعيت كل الجماعة إلى التجمع، حيث إن هذا كان تمرّداً علنياً (لاحظ 16: </w:t>
      </w:r>
      <w:r w:rsidRPr="00070B6E">
        <w:rPr>
          <w:rFonts w:eastAsia="Times New Roman" w:cs="DecoType Naskh" w:hint="cs"/>
          <w:color w:val="auto"/>
          <w:kern w:val="0"/>
          <w:szCs w:val="26"/>
          <w:rtl/>
          <w:lang w:bidi="ar-JO"/>
          <w14:ligatures w14:val="none"/>
        </w:rPr>
        <w:t>19</w:t>
      </w:r>
      <w:r w:rsidRPr="00070B6E">
        <w:rPr>
          <w:rFonts w:eastAsia="Times New Roman" w:cs="DecoType Naskh"/>
          <w:color w:val="auto"/>
          <w:kern w:val="0"/>
          <w:szCs w:val="26"/>
          <w:rtl/>
          <w:lang w:bidi="ar-JO"/>
          <w14:ligatures w14:val="none"/>
        </w:rPr>
        <w:t>).  أراد الله أن يهلكهم، وكان سيهلكهم، لولا تشفّع موسى وهارون.  غير أن الدينونة كانت شديدة.  فقد ابتلعت الأرض عائلات قورح وداثان وأبيرام (16: 33)، والتهمت نار أرسلها الرب المئتين والخمسين قائداً متمرّداً.  كانت الدينونة قاسية، لأن الله رأى أنها تحدِّ لإدارته الثيوقراطية.  وقد أكّدت الدينونة أن الشعب لا يستطيع أن يتجنّب عواقب التمرّد الفردي أو التمرّد الجماعي.</w:t>
      </w:r>
    </w:p>
    <w:p w14:paraId="4013827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وهكذا أبقى الله على حياة بقية الجماعة</w:t>
      </w:r>
      <w:r w:rsidRPr="00070B6E">
        <w:rPr>
          <w:rFonts w:eastAsia="Times New Roman" w:cs="DecoType Naskh" w:hint="cs"/>
          <w:color w:val="auto"/>
          <w:kern w:val="0"/>
          <w:szCs w:val="26"/>
          <w:rtl/>
          <w:lang w:bidi="ar-JO"/>
          <w14:ligatures w14:val="none"/>
        </w:rPr>
        <w:t>،</w:t>
      </w:r>
      <w:r w:rsidRPr="00070B6E">
        <w:rPr>
          <w:rFonts w:eastAsia="Times New Roman" w:cs="DecoType Naskh"/>
          <w:color w:val="auto"/>
          <w:kern w:val="0"/>
          <w:szCs w:val="26"/>
          <w:rtl/>
          <w:lang w:bidi="ar-JO"/>
          <w14:ligatures w14:val="none"/>
        </w:rPr>
        <w:t xml:space="preserve"> </w:t>
      </w:r>
      <w:r w:rsidRPr="00070B6E">
        <w:rPr>
          <w:rFonts w:eastAsia="Times New Roman" w:cs="DecoType Naskh" w:hint="cs"/>
          <w:color w:val="auto"/>
          <w:kern w:val="0"/>
          <w:szCs w:val="26"/>
          <w:rtl/>
          <w:lang w:bidi="ar-JO"/>
          <w14:ligatures w14:val="none"/>
        </w:rPr>
        <w:t>وكان من المفروض أن الجماعة تعلَّمت</w:t>
      </w:r>
      <w:r w:rsidRPr="00070B6E">
        <w:rPr>
          <w:rFonts w:eastAsia="Times New Roman" w:cs="DecoType Naskh"/>
          <w:color w:val="auto"/>
          <w:kern w:val="0"/>
          <w:szCs w:val="26"/>
          <w:rtl/>
          <w:lang w:bidi="ar-JO"/>
          <w14:ligatures w14:val="none"/>
        </w:rPr>
        <w:t xml:space="preserve"> عدم التمرّد على السلطة التي رسّخها الله.  غير أنهم لم يتعلّموا درسهم جيّداً، لأنهم جاءوا في اليوم التالي بالذات قائلين بتذمّر بأن اللوم سيقع على موسى وهارون في المسألة كلّها (16: 41).  ويؤكد هذا أن قلوبهم لم تكن ميّالة إلى الخضوع لله.  </w:t>
      </w:r>
      <w:r w:rsidRPr="00070B6E">
        <w:rPr>
          <w:rFonts w:eastAsia="Times New Roman" w:cs="DecoType Naskh" w:hint="cs"/>
          <w:color w:val="auto"/>
          <w:kern w:val="0"/>
          <w:szCs w:val="26"/>
          <w:rtl/>
          <w:lang w:bidi="ar-JO"/>
          <w14:ligatures w14:val="none"/>
        </w:rPr>
        <w:t>بمقدار التمرُّد الذي يمكن أن يصبح في قلوب أولاد الله!</w:t>
      </w:r>
      <w:r w:rsidRPr="00070B6E">
        <w:rPr>
          <w:rFonts w:eastAsia="Times New Roman" w:cs="DecoType Naskh"/>
          <w:color w:val="auto"/>
          <w:kern w:val="0"/>
          <w:szCs w:val="26"/>
          <w:rtl/>
          <w:lang w:bidi="ar-JO"/>
          <w14:ligatures w14:val="none"/>
        </w:rPr>
        <w:t xml:space="preserve"> استجاب الله بوباء وانتزع حياة 14.700 شخص (16: 49).  وسيتعلم الذين أبقى الله على حياتهم درساً أعمق:</w:t>
      </w:r>
    </w:p>
    <w:p w14:paraId="47816813"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 xml:space="preserve">عرفوا أن الله لم يعفُ عنهم بسبب قلوبهم الوفية أو التائبة.  وكان عليهم أن يعرفوا، من توقيت توقّف </w:t>
      </w:r>
      <w:r w:rsidRPr="00070B6E">
        <w:rPr>
          <w:rFonts w:eastAsia="Times New Roman" w:cs="DecoType Naskh" w:hint="cs"/>
          <w:color w:val="auto"/>
          <w:kern w:val="0"/>
          <w:szCs w:val="26"/>
          <w:rtl/>
          <w:lang w:bidi="ar-JO"/>
          <w14:ligatures w14:val="none"/>
        </w:rPr>
        <w:t>الوبأ</w:t>
      </w:r>
      <w:r w:rsidRPr="00070B6E">
        <w:rPr>
          <w:rFonts w:eastAsia="Times New Roman" w:cs="DecoType Naskh"/>
          <w:color w:val="auto"/>
          <w:kern w:val="0"/>
          <w:szCs w:val="26"/>
          <w:rtl/>
          <w:lang w:bidi="ar-JO"/>
          <w14:ligatures w14:val="none"/>
        </w:rPr>
        <w:t xml:space="preserve"> القاتل المفاجئ مع ذبيحة الكفّارة، أن ما أنقذهم هو عمل موسى السريع والشفاعة الأمينة </w:t>
      </w:r>
      <w:r w:rsidRPr="00070B6E">
        <w:rPr>
          <w:rFonts w:eastAsia="Times New Roman" w:cs="DecoType Naskh" w:hint="cs"/>
          <w:color w:val="auto"/>
          <w:kern w:val="0"/>
          <w:szCs w:val="26"/>
          <w:rtl/>
          <w:lang w:bidi="ar-JO"/>
          <w14:ligatures w14:val="none"/>
        </w:rPr>
        <w:t>لرئيس الكهنة</w:t>
      </w:r>
      <w:r w:rsidRPr="00070B6E">
        <w:rPr>
          <w:rFonts w:eastAsia="Times New Roman" w:cs="DecoType Naskh"/>
          <w:color w:val="auto"/>
          <w:kern w:val="0"/>
          <w:szCs w:val="26"/>
          <w:rtl/>
          <w:lang w:bidi="ar-JO"/>
          <w14:ligatures w14:val="none"/>
        </w:rPr>
        <w:t xml:space="preserve"> هارون من خلال تقديم كفّارة على المذبح.  وهكذا تبيّن أن من دعاهم الشعب قاتلين كانا في واقع الأمر </w:t>
      </w:r>
      <w:r w:rsidRPr="00070B6E">
        <w:rPr>
          <w:rFonts w:eastAsia="Times New Roman" w:cs="DecoType Naskh" w:hint="cs"/>
          <w:color w:val="auto"/>
          <w:kern w:val="0"/>
          <w:szCs w:val="26"/>
          <w:rtl/>
          <w:lang w:bidi="ar-JO"/>
          <w14:ligatures w14:val="none"/>
        </w:rPr>
        <w:t>"</w:t>
      </w:r>
      <w:r w:rsidRPr="00070B6E">
        <w:rPr>
          <w:rFonts w:eastAsia="Times New Roman" w:cs="DecoType Naskh"/>
          <w:color w:val="auto"/>
          <w:kern w:val="0"/>
          <w:szCs w:val="26"/>
          <w:rtl/>
          <w:lang w:bidi="ar-JO"/>
          <w14:ligatures w14:val="none"/>
        </w:rPr>
        <w:t>مخلِّصين</w:t>
      </w:r>
      <w:r w:rsidRPr="00070B6E">
        <w:rPr>
          <w:rFonts w:eastAsia="Times New Roman" w:cs="DecoType Naskh" w:hint="cs"/>
          <w:color w:val="auto"/>
          <w:kern w:val="0"/>
          <w:szCs w:val="26"/>
          <w:rtl/>
          <w:lang w:bidi="ar-JO"/>
          <w14:ligatures w14:val="none"/>
        </w:rPr>
        <w:t>"</w:t>
      </w:r>
      <w:r w:rsidRPr="00070B6E">
        <w:rPr>
          <w:rFonts w:eastAsia="Times New Roman" w:cs="DecoType Naskh"/>
          <w:color w:val="auto"/>
          <w:kern w:val="0"/>
          <w:szCs w:val="26"/>
          <w:rtl/>
          <w:lang w:bidi="ar-JO"/>
          <w14:ligatures w14:val="none"/>
        </w:rPr>
        <w:t>.</w:t>
      </w:r>
      <w:r w:rsidRPr="00070B6E">
        <w:rPr>
          <w:rFonts w:eastAsia="Times New Roman" w:cs="DecoType Naskh"/>
          <w:color w:val="auto"/>
          <w:kern w:val="0"/>
          <w:sz w:val="30"/>
          <w:szCs w:val="28"/>
          <w:vertAlign w:val="superscript"/>
          <w:rtl/>
          <w:lang w:bidi="ar-JO"/>
          <w14:ligatures w14:val="none"/>
        </w:rPr>
        <w:footnoteReference w:id="112"/>
      </w:r>
    </w:p>
    <w:p w14:paraId="4A826E0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p>
    <w:p w14:paraId="08C2F2AF"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5</w:t>
      </w:r>
      <w:r w:rsidRPr="00070B6E">
        <w:rPr>
          <w:rFonts w:eastAsia="Times New Roman" w:cs="DecoType Naskh"/>
          <w:bCs/>
          <w:color w:val="auto"/>
          <w:kern w:val="0"/>
          <w:szCs w:val="28"/>
          <w:rtl/>
          <w:lang w:bidi="ar-JO"/>
          <w14:ligatures w14:val="none"/>
        </w:rPr>
        <w:t>.</w:t>
      </w:r>
      <w:r w:rsidRPr="00070B6E">
        <w:rPr>
          <w:rFonts w:eastAsia="Times New Roman" w:cs="DecoType Naskh"/>
          <w:bCs/>
          <w:color w:val="auto"/>
          <w:kern w:val="0"/>
          <w:szCs w:val="28"/>
          <w:rtl/>
          <w:lang w:bidi="ar-JO"/>
          <w14:ligatures w14:val="none"/>
        </w:rPr>
        <w:tab/>
        <w:t xml:space="preserve">من </w:t>
      </w:r>
      <w:r w:rsidRPr="00070B6E">
        <w:rPr>
          <w:rFonts w:eastAsia="Times New Roman" w:cs="DecoType Naskh" w:hint="cs"/>
          <w:bCs/>
          <w:color w:val="auto"/>
          <w:kern w:val="0"/>
          <w:szCs w:val="28"/>
          <w:rtl/>
          <w:lang w:bidi="ar-JO"/>
          <w14:ligatures w14:val="none"/>
        </w:rPr>
        <w:t>س</w:t>
      </w:r>
      <w:r w:rsidRPr="00070B6E">
        <w:rPr>
          <w:rFonts w:eastAsia="Times New Roman" w:cs="DecoType Naskh"/>
          <w:bCs/>
          <w:color w:val="auto"/>
          <w:kern w:val="0"/>
          <w:szCs w:val="28"/>
          <w:rtl/>
          <w:lang w:bidi="ar-JO"/>
          <w14:ligatures w14:val="none"/>
        </w:rPr>
        <w:t>ِ</w:t>
      </w:r>
      <w:r w:rsidRPr="00070B6E">
        <w:rPr>
          <w:rFonts w:eastAsia="Times New Roman" w:cs="DecoType Naskh" w:hint="cs"/>
          <w:bCs/>
          <w:color w:val="auto"/>
          <w:kern w:val="0"/>
          <w:szCs w:val="28"/>
          <w:rtl/>
          <w:lang w:bidi="ar-JO"/>
          <w14:ligatures w14:val="none"/>
        </w:rPr>
        <w:t>ي</w:t>
      </w:r>
      <w:r w:rsidRPr="00070B6E">
        <w:rPr>
          <w:rFonts w:eastAsia="Times New Roman" w:cs="DecoType Naskh"/>
          <w:bCs/>
          <w:color w:val="auto"/>
          <w:kern w:val="0"/>
          <w:szCs w:val="28"/>
          <w:rtl/>
          <w:lang w:bidi="ar-JO"/>
          <w14:ligatures w14:val="none"/>
        </w:rPr>
        <w:t>ن إلى موآب (20: 1-21: 35)</w:t>
      </w:r>
    </w:p>
    <w:p w14:paraId="39E4E0A4"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 xml:space="preserve">يوجد مشهد آخر يستحق التعليق، ألا وهو ضرب موسى للصخرة (عدد 20: 1-13).  والمشهد مألوف: فقلّة الماء جعلت الشعب "يخاصم" موسى.  وإن المرء ليدهش وهو </w:t>
      </w:r>
      <w:r w:rsidRPr="00070B6E">
        <w:rPr>
          <w:rFonts w:eastAsia="Times New Roman" w:cs="DecoType Naskh" w:hint="cs"/>
          <w:color w:val="auto"/>
          <w:kern w:val="0"/>
          <w:szCs w:val="26"/>
          <w:rtl/>
          <w:lang w:bidi="ar-JO"/>
          <w14:ligatures w14:val="none"/>
        </w:rPr>
        <w:t>يشاهد</w:t>
      </w:r>
      <w:r w:rsidRPr="00070B6E">
        <w:rPr>
          <w:rFonts w:eastAsia="Times New Roman" w:cs="DecoType Naskh"/>
          <w:color w:val="auto"/>
          <w:kern w:val="0"/>
          <w:szCs w:val="26"/>
          <w:rtl/>
          <w:lang w:bidi="ar-JO"/>
          <w14:ligatures w14:val="none"/>
        </w:rPr>
        <w:t xml:space="preserve"> شعباً لا يتعلّم أبداً من خبرات الماضي وتدبير الله الكريم لسداد حاجاتهم.  ففي خروج 17: 1-7، احتاج الشعب إلى ماء، فوفّر الله ماء حين ضرب موسى الصخرة.  وتعلّمنا 1كونثوس 10: 4 أن الصخرة كانت المسيح.  غير أن الله يطلب من موسى هذه المرة في ا</w:t>
      </w:r>
      <w:r w:rsidRPr="00070B6E">
        <w:rPr>
          <w:rFonts w:eastAsia="Times New Roman" w:cs="DecoType Naskh" w:hint="cs"/>
          <w:color w:val="auto"/>
          <w:kern w:val="0"/>
          <w:szCs w:val="26"/>
          <w:rtl/>
          <w:lang w:bidi="ar-JO"/>
          <w14:ligatures w14:val="none"/>
        </w:rPr>
        <w:t>لأ</w:t>
      </w:r>
      <w:r w:rsidRPr="00070B6E">
        <w:rPr>
          <w:rFonts w:eastAsia="Times New Roman" w:cs="DecoType Naskh"/>
          <w:color w:val="auto"/>
          <w:kern w:val="0"/>
          <w:szCs w:val="26"/>
          <w:rtl/>
          <w:lang w:bidi="ar-JO"/>
          <w14:ligatures w14:val="none"/>
        </w:rPr>
        <w:t>صحاح العشرين من سفر العدد أن يكلّم الصخرة.</w:t>
      </w:r>
    </w:p>
    <w:p w14:paraId="1C8ACED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على الرغم من أن الله وفّر في نعمته ماء مرّة أخرى، إلاّ أن تصرّف موسى كان ينم عن عدم خضوع.  فنحن نلاحظ أنه غضب سريعاً وفقد أعصابه، لأنه يخاطب الشعب بقوله</w:t>
      </w:r>
      <w:r w:rsidRPr="00070B6E">
        <w:rPr>
          <w:rFonts w:eastAsia="Times New Roman" w:cs="DecoType Naskh" w:hint="cs"/>
          <w:color w:val="auto"/>
          <w:kern w:val="0"/>
          <w:szCs w:val="26"/>
          <w:rtl/>
          <w:lang w:bidi="ar-JO"/>
          <w14:ligatures w14:val="none"/>
        </w:rPr>
        <w:t>:</w:t>
      </w:r>
      <w:r w:rsidRPr="00070B6E">
        <w:rPr>
          <w:rFonts w:eastAsia="Times New Roman" w:cs="DecoType Naskh"/>
          <w:color w:val="auto"/>
          <w:kern w:val="0"/>
          <w:szCs w:val="26"/>
          <w:rtl/>
          <w:lang w:bidi="ar-JO"/>
          <w14:ligatures w14:val="none"/>
        </w:rPr>
        <w:t xml:space="preserve"> "اسمعوا أيها المَرَدة</w:t>
      </w:r>
      <w:r w:rsidRPr="00070B6E">
        <w:rPr>
          <w:rFonts w:eastAsia="Times New Roman" w:cs="DecoType Naskh" w:hint="cs"/>
          <w:color w:val="auto"/>
          <w:kern w:val="0"/>
          <w:szCs w:val="26"/>
          <w:rtl/>
          <w:lang w:bidi="ar-JO"/>
          <w14:ligatures w14:val="none"/>
        </w:rPr>
        <w:t>"</w:t>
      </w:r>
      <w:r w:rsidRPr="00070B6E">
        <w:rPr>
          <w:rFonts w:eastAsia="Times New Roman" w:cs="DecoType Naskh"/>
          <w:color w:val="auto"/>
          <w:kern w:val="0"/>
          <w:szCs w:val="26"/>
          <w:rtl/>
          <w:lang w:bidi="ar-JO"/>
          <w14:ligatures w14:val="none"/>
        </w:rPr>
        <w:t xml:space="preserve"> (20: 10).  وفضلاً عن ذلك، فعل شيئاً سلب الله مجده، فهو يسأل في الآية (20)، "أمن هذه الصخرة نخرج لكم ماء؟" كان في هذا تعظيم للذات بالتوكيد على "نُخرج نحن"، دون أن </w:t>
      </w:r>
      <w:r w:rsidRPr="00070B6E">
        <w:rPr>
          <w:rFonts w:eastAsia="Times New Roman" w:cs="DecoType Naskh" w:hint="cs"/>
          <w:color w:val="auto"/>
          <w:kern w:val="0"/>
          <w:szCs w:val="26"/>
          <w:rtl/>
          <w:lang w:bidi="ar-JO"/>
          <w14:ligatures w14:val="none"/>
        </w:rPr>
        <w:t>يذكر</w:t>
      </w:r>
      <w:r w:rsidRPr="00070B6E">
        <w:rPr>
          <w:rFonts w:eastAsia="Times New Roman" w:cs="DecoType Naskh"/>
          <w:color w:val="auto"/>
          <w:kern w:val="0"/>
          <w:szCs w:val="26"/>
          <w:rtl/>
          <w:lang w:bidi="ar-JO"/>
          <w14:ligatures w14:val="none"/>
        </w:rPr>
        <w:t xml:space="preserve"> كلمة عن يهوه.  وأخيراً، عصا الله صراحة بضربه للصخرة مرّتين بدلاً من أن يكلّمها.  كان الإداري الثيوقراطي نفسه غير خاضع للسلطة الإلهية.  وشوّه بهذا الدرس الذي يُفترض أن يتعلّمه شعب إسرائيل.  لقد هدفت الصخرة إلى تعليم بني إسرائيل أن الله الذي فداهم سيسدد احتياجاتهم من خلال موسى الذي </w:t>
      </w:r>
      <w:r w:rsidRPr="00070B6E">
        <w:rPr>
          <w:rFonts w:eastAsia="Times New Roman" w:cs="DecoType Naskh" w:hint="cs"/>
          <w:color w:val="auto"/>
          <w:kern w:val="0"/>
          <w:szCs w:val="26"/>
          <w:rtl/>
          <w:lang w:bidi="ar-JO"/>
          <w14:ligatures w14:val="none"/>
        </w:rPr>
        <w:t>أوصل</w:t>
      </w:r>
      <w:r w:rsidRPr="00070B6E">
        <w:rPr>
          <w:rFonts w:eastAsia="Times New Roman" w:cs="DecoType Naskh"/>
          <w:color w:val="auto"/>
          <w:kern w:val="0"/>
          <w:szCs w:val="26"/>
          <w:rtl/>
          <w:lang w:bidi="ar-JO"/>
          <w14:ligatures w14:val="none"/>
        </w:rPr>
        <w:t xml:space="preserve"> بركة الله لهم.</w:t>
      </w:r>
    </w:p>
    <w:p w14:paraId="142DF117"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186B0C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ونتيجة لذلك أدان الله موسى (20: 12) بعدم السماح له بقيادة الشعب إلى داخل الأرض.  وقد بيّنت هذه الدينونة أن الله لا بدّ أن يحكم حتى على إداري الحكم الثيوقراطي الذي اختاره! وهكذا يسمح لنا الله أن نرى موسى القائد الأمين طوال هذا الوقت في لحظة فشله.  وهذا أمر حسن، بمعنى ما، حيث نرى أنه لا يستطيع حتى أفضل البشر أن يحققوا إرادة الله كاملة.  وتتلهف قلوبنا إلى مجيء واحد يستطيع أن يفعل ذلك</w:t>
      </w:r>
      <w:r w:rsidRPr="00070B6E">
        <w:rPr>
          <w:rFonts w:eastAsia="Times New Roman" w:cs="DecoType Naskh" w:hint="cs"/>
          <w:color w:val="auto"/>
          <w:kern w:val="0"/>
          <w:szCs w:val="26"/>
          <w:rtl/>
          <w:lang w:bidi="ar-JO"/>
          <w14:ligatures w14:val="none"/>
        </w:rPr>
        <w:t>،</w:t>
      </w:r>
      <w:r w:rsidRPr="00070B6E">
        <w:rPr>
          <w:rFonts w:eastAsia="Times New Roman" w:cs="DecoType Naskh"/>
          <w:color w:val="auto"/>
          <w:kern w:val="0"/>
          <w:szCs w:val="26"/>
          <w:rtl/>
          <w:lang w:bidi="ar-JO"/>
          <w14:ligatures w14:val="none"/>
        </w:rPr>
        <w:t xml:space="preserve"> وسيأتي هذا الواحد بعد 1400 سنة من موسى.</w:t>
      </w:r>
    </w:p>
    <w:p w14:paraId="6739CA8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2F1C0C11"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6</w:t>
      </w:r>
      <w:r w:rsidRPr="00070B6E">
        <w:rPr>
          <w:rFonts w:eastAsia="Times New Roman" w:cs="DecoType Naskh"/>
          <w:bCs/>
          <w:color w:val="auto"/>
          <w:kern w:val="0"/>
          <w:szCs w:val="28"/>
          <w:rtl/>
          <w:lang w:bidi="ar-JO"/>
          <w14:ligatures w14:val="none"/>
        </w:rPr>
        <w:t>.</w:t>
      </w:r>
      <w:r w:rsidRPr="00070B6E">
        <w:rPr>
          <w:rFonts w:eastAsia="Times New Roman" w:cs="DecoType Naskh"/>
          <w:bCs/>
          <w:color w:val="auto"/>
          <w:kern w:val="0"/>
          <w:szCs w:val="28"/>
          <w:rtl/>
          <w:lang w:bidi="ar-JO"/>
          <w14:ligatures w14:val="none"/>
        </w:rPr>
        <w:tab/>
        <w:t>درس لحياتنا</w:t>
      </w:r>
    </w:p>
    <w:p w14:paraId="6207AC4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lastRenderedPageBreak/>
        <w:t xml:space="preserve">لنتأمل عدد 16: 8-10.  كانت لقورح فرصة وامتياز لخدمة الرب بصفته لاويّاً، غير أنه لم يقنع بتلك المهمّة.  فقد أراد ما هو أكثر، ممّا يرفعه فوق الآخرين.  ومثل هذا الموقف خطير، خاصّة للذين يتولّون منّا مسؤوليات </w:t>
      </w:r>
      <w:r w:rsidRPr="00070B6E">
        <w:rPr>
          <w:rFonts w:eastAsia="Times New Roman" w:cs="DecoType Naskh" w:hint="cs"/>
          <w:color w:val="auto"/>
          <w:kern w:val="0"/>
          <w:szCs w:val="26"/>
          <w:rtl/>
          <w:lang w:bidi="ar-JO"/>
          <w14:ligatures w14:val="none"/>
        </w:rPr>
        <w:t>قياديَّة</w:t>
      </w:r>
      <w:r w:rsidRPr="00070B6E">
        <w:rPr>
          <w:rFonts w:eastAsia="Times New Roman" w:cs="DecoType Naskh"/>
          <w:color w:val="auto"/>
          <w:kern w:val="0"/>
          <w:szCs w:val="26"/>
          <w:rtl/>
          <w:lang w:bidi="ar-JO"/>
          <w14:ligatures w14:val="none"/>
        </w:rPr>
        <w:t>.  صلِّ أن يعطيك الله قناعة في خدمتك له، ودع الله هو الذي يرفعك، ولا تحاول أن ترفع نفسك بجهودك الجسدية.</w:t>
      </w:r>
    </w:p>
    <w:p w14:paraId="2FEA6FC5" w14:textId="21D304B9" w:rsidR="00F00728"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14:ligatures w14:val="none"/>
        </w:rPr>
      </w:pPr>
      <w:r w:rsidRPr="00070B6E">
        <w:rPr>
          <w:rFonts w:eastAsia="Times New Roman" w:cs="DecoType Naskh"/>
          <w:color w:val="auto"/>
          <w:kern w:val="0"/>
          <w:sz w:val="18"/>
          <w:szCs w:val="20"/>
          <w:rtl/>
          <w14:ligatures w14:val="none"/>
        </w:rPr>
        <w:t xml:space="preserve">      </w:t>
      </w:r>
    </w:p>
    <w:p w14:paraId="52BECED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14:ligatures w14:val="none"/>
        </w:rPr>
      </w:pPr>
    </w:p>
    <w:p w14:paraId="5B81FCDE" w14:textId="226A9AA8" w:rsidR="007259B1" w:rsidRPr="00564684" w:rsidRDefault="00322941" w:rsidP="00564684">
      <w:pPr>
        <w:bidi/>
        <w:rPr>
          <w:rFonts w:ascii="Simplified Arabic" w:hAnsi="Simplified Arabic" w:cs="Simplified Arabic"/>
          <w:b/>
          <w:bCs/>
          <w:sz w:val="28"/>
          <w:szCs w:val="28"/>
        </w:rPr>
      </w:pPr>
      <w:bookmarkStart w:id="120" w:name="_Hlk156573867"/>
      <w:bookmarkStart w:id="121" w:name="_Hlk178778993"/>
      <w:r w:rsidRPr="00564684">
        <w:rPr>
          <w:rFonts w:ascii="Simplified Arabic" w:hAnsi="Simplified Arabic" w:cs="Simplified Arabic"/>
          <w:b/>
          <w:bCs/>
          <w:sz w:val="28"/>
          <w:szCs w:val="28"/>
          <w:rtl/>
        </w:rPr>
        <w:t xml:space="preserve">الموضوع 4: </w:t>
      </w:r>
      <w:r w:rsidR="00564684" w:rsidRPr="00564684">
        <w:rPr>
          <w:rFonts w:ascii="Simplified Arabic" w:eastAsia="Calibri" w:hAnsi="Simplified Arabic" w:cs="Simplified Arabic"/>
          <w:b/>
          <w:bCs/>
          <w:kern w:val="0"/>
          <w:sz w:val="28"/>
          <w:szCs w:val="28"/>
          <w:rtl/>
          <w14:ligatures w14:val="none"/>
        </w:rPr>
        <w:t>إعداد الجيل الجديد للدخول (سفر العدد 22: 1 – 36: 13)</w:t>
      </w:r>
    </w:p>
    <w:bookmarkEnd w:id="120"/>
    <w:p w14:paraId="24CEBF3F" w14:textId="6961EE69" w:rsidR="007259B1" w:rsidRPr="007A4B15" w:rsidRDefault="007259B1" w:rsidP="00564684">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r w:rsidRPr="007A4B15">
        <w:rPr>
          <w:rFonts w:ascii="Verdana" w:eastAsia="Calibri" w:hAnsi="Verdana" w:cs="Times New Roman"/>
          <w:b/>
          <w:caps/>
          <w:noProof/>
          <w:color w:val="006699"/>
          <w:kern w:val="0"/>
          <w:sz w:val="21"/>
          <w:szCs w:val="24"/>
          <w14:ligatures w14:val="none"/>
        </w:rPr>
        <w:drawing>
          <wp:inline distT="0" distB="0" distL="0" distR="0" wp14:anchorId="0B37B886" wp14:editId="73AE9331">
            <wp:extent cx="613692" cy="541464"/>
            <wp:effectExtent l="0" t="0" r="0" b="0"/>
            <wp:docPr id="1424180835" name="Picture 1424180835"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564684" w:rsidRPr="00564684">
        <w:rPr>
          <w:rFonts w:ascii="Verdana" w:eastAsia="Calibri" w:hAnsi="Verdana" w:cs="Times New Roman" w:hint="cs"/>
          <w:bCs/>
          <w:caps/>
          <w:color w:val="006699"/>
          <w:kern w:val="0"/>
          <w:sz w:val="21"/>
          <w:szCs w:val="24"/>
          <w:u w:val="single"/>
          <w:rtl/>
          <w14:ligatures w14:val="none"/>
        </w:rPr>
        <w:t>القراءة:</w:t>
      </w:r>
      <w:r w:rsidR="00564684">
        <w:rPr>
          <w:rFonts w:ascii="Verdana" w:eastAsia="Calibri" w:hAnsi="Verdana" w:cs="Times New Roman" w:hint="cs"/>
          <w:b/>
          <w:caps/>
          <w:color w:val="006699"/>
          <w:kern w:val="0"/>
          <w:sz w:val="21"/>
          <w:szCs w:val="24"/>
          <w:u w:val="single"/>
          <w:rtl/>
          <w14:ligatures w14:val="none"/>
        </w:rPr>
        <w:t xml:space="preserve"> </w:t>
      </w:r>
    </w:p>
    <w:p w14:paraId="2A8B8B43" w14:textId="46C6002E" w:rsidR="007259B1" w:rsidRPr="002B24E1" w:rsidRDefault="007259B1" w:rsidP="00564684">
      <w:pPr>
        <w:bidi/>
        <w:spacing w:line="240" w:lineRule="auto"/>
        <w:rPr>
          <w:b/>
          <w:bCs/>
        </w:rPr>
      </w:pPr>
      <w:r>
        <w:tab/>
      </w:r>
      <w:r>
        <w:tab/>
      </w:r>
      <w:r w:rsidR="00564684">
        <w:rPr>
          <w:rFonts w:hint="cs"/>
          <w:rtl/>
        </w:rPr>
        <w:t xml:space="preserve">اقرأ سفر العدد 22: 1 </w:t>
      </w:r>
      <w:r w:rsidR="00564684">
        <w:rPr>
          <w:rtl/>
        </w:rPr>
        <w:t>–</w:t>
      </w:r>
      <w:r w:rsidR="00564684">
        <w:rPr>
          <w:rFonts w:hint="cs"/>
          <w:rtl/>
        </w:rPr>
        <w:t xml:space="preserve"> 36: 13 في كتابك المُقدَّس. </w:t>
      </w:r>
    </w:p>
    <w:bookmarkEnd w:id="121"/>
    <w:p w14:paraId="2D951F9E"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1.</w:t>
      </w:r>
      <w:r w:rsidRPr="00070B6E">
        <w:rPr>
          <w:rFonts w:eastAsia="Times New Roman" w:cs="DecoType Naskh" w:hint="cs"/>
          <w:bCs/>
          <w:color w:val="auto"/>
          <w:kern w:val="0"/>
          <w:szCs w:val="28"/>
          <w:rtl/>
          <w:lang w:bidi="ar-JO"/>
          <w14:ligatures w14:val="none"/>
        </w:rPr>
        <w:tab/>
        <w:t xml:space="preserve">مقدّمة </w:t>
      </w:r>
    </w:p>
    <w:p w14:paraId="4CEAC644"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070B6E">
        <w:rPr>
          <w:rFonts w:eastAsia="Times New Roman" w:cs="DecoType Naskh" w:hint="cs"/>
          <w:color w:val="auto"/>
          <w:kern w:val="0"/>
          <w:szCs w:val="26"/>
          <w:rtl/>
          <w:lang w:bidi="ar-JO"/>
          <w14:ligatures w14:val="none"/>
        </w:rPr>
        <w:t>تغطّي مادة الأصحاحات 22-36 فترة تقل عن ستة أشهر، وهي تقع في سهول موآب، مقابل أرض كنعان في عبر نهر الأردن.  اقتربت السنوات الثماني والثلاثون في البرية من نهايتها، وتهيّأ الجيل الجديد لدخول الأرض.  غير أن فيهم قلباً ميّالاً إلى الزيغان، كما تشهد "خطية فغور" (عدد 25).  بل إن موسى يعلن في عِظة سفر التثنية: "</w:t>
      </w:r>
      <w:r w:rsidRPr="00070B6E">
        <w:rPr>
          <w:rFonts w:eastAsia="Times New Roman" w:cs="DecoType Naskh" w:hint="cs"/>
          <w:i/>
          <w:iCs/>
          <w:color w:val="auto"/>
          <w:kern w:val="0"/>
          <w:szCs w:val="26"/>
          <w:rtl/>
          <w:lang w:bidi="ar-JO"/>
          <w14:ligatures w14:val="none"/>
        </w:rPr>
        <w:t>ولكن لم يعطكم الرب قلباً لتفهموا، وأعيناً لتبصروا، وآذاناً لتسمعوا إلى هذا اليوم</w:t>
      </w:r>
      <w:r w:rsidRPr="00070B6E">
        <w:rPr>
          <w:rFonts w:eastAsia="Times New Roman" w:cs="DecoType Naskh" w:hint="cs"/>
          <w:color w:val="auto"/>
          <w:kern w:val="0"/>
          <w:szCs w:val="26"/>
          <w:rtl/>
          <w:lang w:bidi="ar-JO"/>
          <w14:ligatures w14:val="none"/>
        </w:rPr>
        <w:t>" (تثنية 29: 4).  ليس الجيل الجديد أفضل بكثير من الجيل السابق، وهو سينحط ويفسد مع الزمن أيضاً.</w:t>
      </w:r>
    </w:p>
    <w:p w14:paraId="65C4FEAF"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2.</w:t>
      </w:r>
      <w:r w:rsidRPr="00070B6E">
        <w:rPr>
          <w:rFonts w:eastAsia="Times New Roman" w:cs="DecoType Naskh" w:hint="cs"/>
          <w:bCs/>
          <w:color w:val="auto"/>
          <w:kern w:val="0"/>
          <w:szCs w:val="28"/>
          <w:rtl/>
          <w:lang w:bidi="ar-JO"/>
          <w14:ligatures w14:val="none"/>
        </w:rPr>
        <w:tab/>
        <w:t>بنية القسم الرئيسي الأخير لسفر العدد (26: 1- 6: 13)</w:t>
      </w:r>
    </w:p>
    <w:p w14:paraId="516B7390"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أ.</w:t>
      </w:r>
      <w:r w:rsidRPr="00070B6E">
        <w:rPr>
          <w:rFonts w:eastAsia="Times New Roman" w:cs="DecoType Naskh" w:hint="cs"/>
          <w:color w:val="auto"/>
          <w:kern w:val="0"/>
          <w:szCs w:val="26"/>
          <w:rtl/>
          <w:lang w:bidi="ar-JO"/>
          <w14:ligatures w14:val="none"/>
        </w:rPr>
        <w:tab/>
        <w:t>استعدادات نهائية (26: 1-27: 23)</w:t>
      </w:r>
    </w:p>
    <w:p w14:paraId="223D3C0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1.</w:t>
      </w:r>
      <w:r w:rsidRPr="00070B6E">
        <w:rPr>
          <w:rFonts w:eastAsia="Times New Roman" w:cs="DecoType Naskh" w:hint="cs"/>
          <w:color w:val="auto"/>
          <w:kern w:val="0"/>
          <w:szCs w:val="26"/>
          <w:rtl/>
          <w:lang w:bidi="ar-JO"/>
          <w14:ligatures w14:val="none"/>
        </w:rPr>
        <w:tab/>
        <w:t>إحصاء الجيل الجديد (26: 1-55)</w:t>
      </w:r>
    </w:p>
    <w:p w14:paraId="22355EF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2.</w:t>
      </w:r>
      <w:r w:rsidRPr="00070B6E">
        <w:rPr>
          <w:rFonts w:eastAsia="Times New Roman" w:cs="DecoType Naskh" w:hint="cs"/>
          <w:color w:val="auto"/>
          <w:kern w:val="0"/>
          <w:szCs w:val="26"/>
          <w:rtl/>
          <w:lang w:bidi="ar-JO"/>
          <w14:ligatures w14:val="none"/>
        </w:rPr>
        <w:tab/>
        <w:t>الاستجابة لطلب بنات صلفحاد (27: 1-11)</w:t>
      </w:r>
    </w:p>
    <w:p w14:paraId="7488216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3.</w:t>
      </w:r>
      <w:r w:rsidRPr="00070B6E">
        <w:rPr>
          <w:rFonts w:eastAsia="Times New Roman" w:cs="DecoType Naskh" w:hint="cs"/>
          <w:color w:val="auto"/>
          <w:kern w:val="0"/>
          <w:szCs w:val="26"/>
          <w:rtl/>
          <w:lang w:bidi="ar-JO"/>
          <w14:ligatures w14:val="none"/>
        </w:rPr>
        <w:tab/>
        <w:t>تعيين يشوع (27: 12-23)</w:t>
      </w:r>
    </w:p>
    <w:p w14:paraId="25779005"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ب.</w:t>
      </w:r>
      <w:r w:rsidRPr="00070B6E">
        <w:rPr>
          <w:rFonts w:eastAsia="Times New Roman" w:cs="DecoType Naskh" w:hint="cs"/>
          <w:color w:val="auto"/>
          <w:kern w:val="0"/>
          <w:szCs w:val="26"/>
          <w:rtl/>
          <w:lang w:bidi="ar-JO"/>
          <w14:ligatures w14:val="none"/>
        </w:rPr>
        <w:tab/>
        <w:t>أمور دينية عبادية (28: 1-30: 16)</w:t>
      </w:r>
    </w:p>
    <w:p w14:paraId="76DCCA7B"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1.</w:t>
      </w:r>
      <w:r w:rsidRPr="00070B6E">
        <w:rPr>
          <w:rFonts w:eastAsia="Times New Roman" w:cs="DecoType Naskh" w:hint="cs"/>
          <w:color w:val="auto"/>
          <w:kern w:val="0"/>
          <w:szCs w:val="26"/>
          <w:rtl/>
          <w:lang w:bidi="ar-JO"/>
          <w14:ligatures w14:val="none"/>
        </w:rPr>
        <w:tab/>
        <w:t>الذبائح المنتظمة (28: 1-15)</w:t>
      </w:r>
    </w:p>
    <w:p w14:paraId="0F50D98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2.</w:t>
      </w:r>
      <w:r w:rsidRPr="00070B6E">
        <w:rPr>
          <w:rFonts w:eastAsia="Times New Roman" w:cs="DecoType Naskh" w:hint="cs"/>
          <w:color w:val="auto"/>
          <w:kern w:val="0"/>
          <w:szCs w:val="26"/>
          <w:rtl/>
          <w:lang w:bidi="ar-JO"/>
          <w14:ligatures w14:val="none"/>
        </w:rPr>
        <w:tab/>
        <w:t>ذبائح أيام الأعياد (28: 16-29: 40)</w:t>
      </w:r>
    </w:p>
    <w:p w14:paraId="2BB4F76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3.</w:t>
      </w:r>
      <w:r w:rsidRPr="00070B6E">
        <w:rPr>
          <w:rFonts w:eastAsia="Times New Roman" w:cs="DecoType Naskh" w:hint="cs"/>
          <w:color w:val="auto"/>
          <w:kern w:val="0"/>
          <w:szCs w:val="26"/>
          <w:rtl/>
          <w:lang w:bidi="ar-JO"/>
          <w14:ligatures w14:val="none"/>
        </w:rPr>
        <w:tab/>
        <w:t>شرائع للنذور (30: 1-16)</w:t>
      </w:r>
    </w:p>
    <w:p w14:paraId="58847745"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جـ.</w:t>
      </w:r>
      <w:r w:rsidRPr="00070B6E">
        <w:rPr>
          <w:rFonts w:eastAsia="Times New Roman" w:cs="DecoType Naskh" w:hint="cs"/>
          <w:color w:val="auto"/>
          <w:kern w:val="0"/>
          <w:szCs w:val="26"/>
          <w:rtl/>
          <w:lang w:bidi="ar-JO"/>
          <w14:ligatures w14:val="none"/>
        </w:rPr>
        <w:tab/>
        <w:t>هزيمة مديان وتقسيم الغنائم (31: 1-54)</w:t>
      </w:r>
    </w:p>
    <w:p w14:paraId="6CE08321"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د.</w:t>
      </w:r>
      <w:r w:rsidRPr="00070B6E">
        <w:rPr>
          <w:rFonts w:eastAsia="Times New Roman" w:cs="DecoType Naskh" w:hint="cs"/>
          <w:color w:val="auto"/>
          <w:kern w:val="0"/>
          <w:szCs w:val="26"/>
          <w:rtl/>
          <w:lang w:bidi="ar-JO"/>
          <w14:ligatures w14:val="none"/>
        </w:rPr>
        <w:tab/>
        <w:t>الإنباء بفتح الأرض ودخولها (32: 1-36: 13)</w:t>
      </w:r>
    </w:p>
    <w:p w14:paraId="7C138CD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1.</w:t>
      </w:r>
      <w:r w:rsidRPr="00070B6E">
        <w:rPr>
          <w:rFonts w:eastAsia="Times New Roman" w:cs="DecoType Naskh" w:hint="cs"/>
          <w:color w:val="auto"/>
          <w:kern w:val="0"/>
          <w:szCs w:val="26"/>
          <w:rtl/>
          <w:lang w:bidi="ar-JO"/>
          <w14:ligatures w14:val="none"/>
        </w:rPr>
        <w:tab/>
        <w:t>الميراث على الجانب الشرقي من نهر الأردن (32: 1-42)</w:t>
      </w:r>
    </w:p>
    <w:p w14:paraId="150FC823"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2.</w:t>
      </w:r>
      <w:r w:rsidRPr="00070B6E">
        <w:rPr>
          <w:rFonts w:eastAsia="Times New Roman" w:cs="DecoType Naskh" w:hint="cs"/>
          <w:color w:val="auto"/>
          <w:kern w:val="0"/>
          <w:szCs w:val="26"/>
          <w:rtl/>
          <w:lang w:bidi="ar-JO"/>
          <w14:ligatures w14:val="none"/>
        </w:rPr>
        <w:tab/>
        <w:t>سجل الرحلات (33: 1-49)</w:t>
      </w:r>
    </w:p>
    <w:p w14:paraId="197DB61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3.</w:t>
      </w:r>
      <w:r w:rsidRPr="00070B6E">
        <w:rPr>
          <w:rFonts w:eastAsia="Times New Roman" w:cs="DecoType Naskh" w:hint="cs"/>
          <w:color w:val="auto"/>
          <w:kern w:val="0"/>
          <w:szCs w:val="26"/>
          <w:rtl/>
          <w:lang w:bidi="ar-JO"/>
          <w14:ligatures w14:val="none"/>
        </w:rPr>
        <w:tab/>
        <w:t>تعليمات حول امتلاك الأرض (33: 50-35: 8)</w:t>
      </w:r>
    </w:p>
    <w:p w14:paraId="06BE6B5E"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4.</w:t>
      </w:r>
      <w:r w:rsidRPr="00070B6E">
        <w:rPr>
          <w:rFonts w:eastAsia="Times New Roman" w:cs="DecoType Naskh" w:hint="cs"/>
          <w:color w:val="auto"/>
          <w:kern w:val="0"/>
          <w:szCs w:val="26"/>
          <w:rtl/>
          <w:lang w:bidi="ar-JO"/>
          <w14:ligatures w14:val="none"/>
        </w:rPr>
        <w:tab/>
        <w:t>تأسيس مدن الملجأ (35: 9-34)</w:t>
      </w:r>
    </w:p>
    <w:p w14:paraId="5229A9A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5.</w:t>
      </w:r>
      <w:r w:rsidRPr="00070B6E">
        <w:rPr>
          <w:rFonts w:eastAsia="Times New Roman" w:cs="DecoType Naskh" w:hint="cs"/>
          <w:color w:val="auto"/>
          <w:kern w:val="0"/>
          <w:szCs w:val="26"/>
          <w:rtl/>
          <w:lang w:bidi="ar-JO"/>
          <w14:ligatures w14:val="none"/>
        </w:rPr>
        <w:tab/>
        <w:t>تنظيم الميراث حسب الزواج (36: 1-13)</w:t>
      </w:r>
    </w:p>
    <w:p w14:paraId="235F11FD"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070B6E">
        <w:rPr>
          <w:rFonts w:eastAsia="Times New Roman" w:cs="DecoType Naskh" w:hint="cs"/>
          <w:color w:val="auto"/>
          <w:kern w:val="0"/>
          <w:szCs w:val="26"/>
          <w:rtl/>
          <w:lang w:bidi="ar-JO"/>
          <w14:ligatures w14:val="none"/>
        </w:rPr>
        <w:t>على الرغم من أن القسم الرئيسي الأخير لسفر العدد يبدأ بالأصحاح السادس والعشرين وبإحصاء الجيل الجديد، فإن المادة الموجودة في الأصحاحات 22: 1-25-25: 18 تشكّل خلفية هامة لكيفية نظرتنا إلى هذا الجيل الجديد.  ويرتبط هذا بإعلانات بلعام النبوية، والتي تشكل الموضوع الرئيسي لهذا الدرس.</w:t>
      </w:r>
    </w:p>
    <w:p w14:paraId="1141DCF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KW"/>
          <w14:ligatures w14:val="none"/>
        </w:rPr>
      </w:pPr>
    </w:p>
    <w:p w14:paraId="26C6E99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KW"/>
          <w14:ligatures w14:val="none"/>
        </w:rPr>
      </w:pPr>
    </w:p>
    <w:p w14:paraId="37FB207D"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lastRenderedPageBreak/>
        <w:t>3.</w:t>
      </w:r>
      <w:r w:rsidRPr="00070B6E">
        <w:rPr>
          <w:rFonts w:eastAsia="Times New Roman" w:cs="DecoType Naskh" w:hint="cs"/>
          <w:bCs/>
          <w:color w:val="auto"/>
          <w:kern w:val="0"/>
          <w:szCs w:val="28"/>
          <w:rtl/>
          <w:lang w:bidi="ar-JO"/>
          <w14:ligatures w14:val="none"/>
        </w:rPr>
        <w:tab/>
        <w:t>إعلانات بلعام النبوية</w:t>
      </w:r>
      <w:r w:rsidRPr="00070B6E">
        <w:rPr>
          <w:rFonts w:eastAsia="Times New Roman" w:cs="DecoType Naskh"/>
          <w:bCs/>
          <w:color w:val="auto"/>
          <w:kern w:val="0"/>
          <w:sz w:val="30"/>
          <w:szCs w:val="28"/>
          <w:vertAlign w:val="superscript"/>
          <w:rtl/>
          <w:lang w:bidi="ar-JO"/>
          <w14:ligatures w14:val="none"/>
        </w:rPr>
        <w:footnoteReference w:customMarkFollows="1" w:id="113"/>
        <w:t>1</w:t>
      </w:r>
    </w:p>
    <w:p w14:paraId="381A39D2"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أ.</w:t>
      </w:r>
      <w:r w:rsidRPr="00070B6E">
        <w:rPr>
          <w:rFonts w:eastAsia="Times New Roman" w:cs="DecoType Naskh" w:hint="cs"/>
          <w:bCs/>
          <w:color w:val="auto"/>
          <w:kern w:val="0"/>
          <w:szCs w:val="26"/>
          <w:rtl/>
          <w14:ligatures w14:val="none"/>
        </w:rPr>
        <w:tab/>
        <w:t>مقدّمة</w:t>
      </w:r>
    </w:p>
    <w:p w14:paraId="6129020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تأتي هذه الأصحاحات على نحو مفاجئ وغير متوقع، إذ تركز الأصحاحات السابقة من 10: 11 فصاعداً على خطية إسرائيل المتعمّدة في عدم الإيمان والتمرد.  فمع أننا قد نتوقع أن يُنزل الله</w:t>
      </w:r>
      <w:r w:rsidRPr="00070B6E">
        <w:rPr>
          <w:rFonts w:eastAsia="Times New Roman" w:cs="DecoType Naskh" w:hint="cs"/>
          <w:i/>
          <w:iCs/>
          <w:color w:val="auto"/>
          <w:kern w:val="0"/>
          <w:szCs w:val="26"/>
          <w:rtl/>
          <w:lang w:bidi="ar-JO"/>
          <w14:ligatures w14:val="none"/>
        </w:rPr>
        <w:t xml:space="preserve"> لعنة</w:t>
      </w:r>
      <w:r w:rsidRPr="00070B6E">
        <w:rPr>
          <w:rFonts w:eastAsia="Times New Roman" w:cs="DecoType Naskh" w:hint="cs"/>
          <w:color w:val="auto"/>
          <w:kern w:val="0"/>
          <w:szCs w:val="26"/>
          <w:rtl/>
          <w:lang w:bidi="ar-JO"/>
          <w14:ligatures w14:val="none"/>
        </w:rPr>
        <w:t xml:space="preserve"> على الأمة، إلاّ أن ما نراه هو موضوع بركة الله على إسرائيل.  يقع هذا الحدث في سهول موآب.  هارن قد مات، وكذلك معظم جيل الخروج الأكبر سنّاً، وكانت الأمة تستعد للدخول إلى أرض الموعد.  وهكذا تشهد هذه الأصحاحات على وفاء يهوه للأمة التي ما تزال تملك قلباً ميّالاً إلى الزيغان والضلال.  ولا شك أن محبّة (</w:t>
      </w:r>
      <w:r w:rsidRPr="00070B6E">
        <w:rPr>
          <w:rFonts w:ascii="Charis SIL" w:eastAsia="Times New Roman" w:hAnsi="Charis SIL" w:cs="Charis SIL"/>
          <w:bCs/>
          <w:i/>
          <w:iCs/>
          <w:color w:val="auto"/>
          <w:kern w:val="0"/>
          <w:szCs w:val="26"/>
          <w:lang w:bidi="ar-JO"/>
          <w14:ligatures w14:val="none"/>
        </w:rPr>
        <w:t>ḥeseḏ</w:t>
      </w:r>
      <w:r w:rsidRPr="00070B6E">
        <w:rPr>
          <w:rFonts w:eastAsia="Times New Roman" w:cs="DecoType Naskh" w:hint="cs"/>
          <w:color w:val="auto"/>
          <w:kern w:val="0"/>
          <w:szCs w:val="26"/>
          <w:rtl/>
          <w:lang w:bidi="ar-JO"/>
          <w14:ligatures w14:val="none"/>
        </w:rPr>
        <w:t>)</w:t>
      </w:r>
      <w:r w:rsidRPr="00070B6E">
        <w:rPr>
          <w:rFonts w:eastAsia="Times New Roman" w:cs="DecoType Naskh" w:hint="cs"/>
          <w:color w:val="auto"/>
          <w:kern w:val="0"/>
          <w:szCs w:val="26"/>
          <w:rtl/>
          <w14:ligatures w14:val="none"/>
        </w:rPr>
        <w:t xml:space="preserve"> </w:t>
      </w:r>
      <w:r w:rsidRPr="00070B6E">
        <w:rPr>
          <w:rFonts w:eastAsia="Times New Roman" w:cs="DecoType Naskh" w:hint="cs"/>
          <w:color w:val="auto"/>
          <w:kern w:val="0"/>
          <w:szCs w:val="26"/>
          <w:rtl/>
          <w:lang w:bidi="ar-JO"/>
          <w14:ligatures w14:val="none"/>
        </w:rPr>
        <w:t>يهوه القوية لهم غير مبنية على أي استحقاق منهم.</w:t>
      </w:r>
    </w:p>
    <w:p w14:paraId="7D3FD773"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539623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bookmarkStart w:id="122" w:name="_MON_1166523495"/>
    <w:bookmarkStart w:id="123" w:name="_MON_1166523394"/>
    <w:bookmarkStart w:id="124" w:name="_MON_1166523416"/>
    <w:bookmarkStart w:id="125" w:name="_MON_1166523425"/>
    <w:bookmarkEnd w:id="122"/>
    <w:bookmarkEnd w:id="123"/>
    <w:bookmarkEnd w:id="124"/>
    <w:bookmarkEnd w:id="125"/>
    <w:bookmarkStart w:id="126" w:name="_MON_1166523466"/>
    <w:bookmarkEnd w:id="126"/>
    <w:p w14:paraId="5579D988" w14:textId="77777777" w:rsidR="00070B6E" w:rsidRPr="00070B6E" w:rsidRDefault="00070B6E" w:rsidP="002D6C54">
      <w:pPr>
        <w:bidi/>
        <w:spacing w:after="0" w:line="240" w:lineRule="auto"/>
        <w:jc w:val="center"/>
        <w:rPr>
          <w:rFonts w:eastAsia="Times New Roman" w:cs="DecoType Naskh"/>
          <w:color w:val="auto"/>
          <w:kern w:val="0"/>
          <w:szCs w:val="18"/>
          <w:rtl/>
          <w14:ligatures w14:val="none"/>
        </w:rPr>
      </w:pPr>
      <w:r w:rsidRPr="00070B6E">
        <w:rPr>
          <w:rFonts w:eastAsia="Times New Roman" w:cs="DecoType Naskh"/>
          <w:color w:val="auto"/>
          <w:kern w:val="0"/>
          <w:szCs w:val="18"/>
          <w14:ligatures w14:val="none"/>
        </w:rPr>
        <w:object w:dxaOrig="3960" w:dyaOrig="1440" w14:anchorId="5242E0EA">
          <v:shape id="_x0000_i1037" type="#_x0000_t75" style="width:396pt;height:2in" o:ole="">
            <v:imagedata r:id="rId66" o:title=""/>
          </v:shape>
          <o:OLEObject Type="Embed" ProgID="PowerPoint.Show.8" ShapeID="_x0000_i1037" DrawAspect="Content" ObjectID="_1802157132" r:id="rId67"/>
        </w:object>
      </w:r>
    </w:p>
    <w:p w14:paraId="3E9B126B" w14:textId="77777777" w:rsidR="00070B6E" w:rsidRPr="00070B6E" w:rsidRDefault="00070B6E" w:rsidP="002D6C54">
      <w:pPr>
        <w:bidi/>
        <w:spacing w:after="0" w:line="240" w:lineRule="auto"/>
        <w:rPr>
          <w:rFonts w:eastAsia="Times New Roman" w:cs="DecoType Naskh"/>
          <w:color w:val="auto"/>
          <w:kern w:val="0"/>
          <w:szCs w:val="18"/>
          <w:rtl/>
          <w14:ligatures w14:val="none"/>
        </w:rPr>
      </w:pPr>
    </w:p>
    <w:p w14:paraId="5E1E6ECE"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08DD02B"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ُتقدَّم معظم المادة من منظور نابع من داخل مخيم المديانيين، لا من مخيم إسرائيل.  إذ يؤخذ القارئ إلى مخيم مديانيين، ويسمح له برؤية خوفهم من بني إسرائيل (22: 3).  فهم مدركون لما فعله بنو إسرائيل للأموريين، ولهذا يلجأ الملك (بالاق) إلى مؤامرة سحرية لإيذاء إسرائيل.  فهو يريد أن يستخدم لعنةً ضدهم، فيلجأ إلى عرّاف اسمه بلعام طالباً منه أن يلعن إسرائيل.  ونحن نرى الدلالة اللاهوتية الكاملة في هذا الأمر.  فعندما يدعو بالاق بلعام، يقول له: "</w:t>
      </w:r>
      <w:r w:rsidRPr="00070B6E">
        <w:rPr>
          <w:rFonts w:eastAsia="Times New Roman" w:cs="DecoType Naskh" w:hint="cs"/>
          <w:i/>
          <w:iCs/>
          <w:color w:val="auto"/>
          <w:kern w:val="0"/>
          <w:szCs w:val="26"/>
          <w:rtl/>
          <w:lang w:bidi="ar-JO"/>
          <w14:ligatures w14:val="none"/>
        </w:rPr>
        <w:t>عرفتُ أن الذي تباركه مُبارك والذي تلعنه ملعون</w:t>
      </w:r>
      <w:r w:rsidRPr="00070B6E">
        <w:rPr>
          <w:rFonts w:eastAsia="Times New Roman" w:cs="DecoType Naskh" w:hint="cs"/>
          <w:color w:val="auto"/>
          <w:kern w:val="0"/>
          <w:szCs w:val="26"/>
          <w:rtl/>
          <w:lang w:bidi="ar-JO"/>
          <w14:ligatures w14:val="none"/>
        </w:rPr>
        <w:t>" (22: 6).</w:t>
      </w:r>
    </w:p>
    <w:p w14:paraId="6B77DAB5"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إن من الواضح أن بالاق لم يتحدث من منظور إلهي في هذا الأمر، لأن الله سبق أن وعد منذ زمن إبراهيم، "</w:t>
      </w:r>
      <w:r w:rsidRPr="00070B6E">
        <w:rPr>
          <w:rFonts w:eastAsia="Times New Roman" w:cs="DecoType Naskh" w:hint="cs"/>
          <w:i/>
          <w:iCs/>
          <w:color w:val="auto"/>
          <w:kern w:val="0"/>
          <w:szCs w:val="26"/>
          <w:rtl/>
          <w:lang w:bidi="ar-JO"/>
          <w14:ligatures w14:val="none"/>
        </w:rPr>
        <w:t>وأبارك مباركيك، ولاعنك ألعنه</w:t>
      </w:r>
      <w:r w:rsidRPr="00070B6E">
        <w:rPr>
          <w:rFonts w:eastAsia="Times New Roman" w:cs="DecoType Naskh" w:hint="cs"/>
          <w:color w:val="auto"/>
          <w:kern w:val="0"/>
          <w:szCs w:val="26"/>
          <w:rtl/>
          <w:lang w:bidi="ar-JO"/>
          <w14:ligatures w14:val="none"/>
        </w:rPr>
        <w:t>" (تكوين 12: 3).  وهكذا تصبح أحداث سفر العدد 22-25 امتحاناً للعهد الإبراهيمي.  إن الله مستعد أن يؤدب شعبه ويعاقبهم على تمرّدهم، لكنه لن يسمح لشخص آخر بأن يستمطر عليهم لعنة جزافاً (22: 12).</w:t>
      </w:r>
    </w:p>
    <w:p w14:paraId="700E50D4"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p>
    <w:p w14:paraId="703FD79D"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ب.</w:t>
      </w:r>
      <w:r w:rsidRPr="00070B6E">
        <w:rPr>
          <w:rFonts w:eastAsia="Times New Roman" w:cs="DecoType Naskh" w:hint="cs"/>
          <w:bCs/>
          <w:color w:val="auto"/>
          <w:kern w:val="0"/>
          <w:szCs w:val="26"/>
          <w:rtl/>
          <w14:ligatures w14:val="none"/>
        </w:rPr>
        <w:tab/>
        <w:t>بنية هذا القسم</w:t>
      </w:r>
    </w:p>
    <w:p w14:paraId="5C3F92F3"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p>
    <w:bookmarkStart w:id="127" w:name="_MON_1166523568"/>
    <w:bookmarkEnd w:id="127"/>
    <w:p w14:paraId="0DF56A4B" w14:textId="77777777" w:rsidR="00070B6E" w:rsidRPr="00070B6E" w:rsidRDefault="00070B6E" w:rsidP="002D6C54">
      <w:pPr>
        <w:bidi/>
        <w:spacing w:after="0" w:line="240" w:lineRule="auto"/>
        <w:jc w:val="center"/>
        <w:rPr>
          <w:rFonts w:eastAsia="Times New Roman" w:cs="DecoType Naskh"/>
          <w:color w:val="auto"/>
          <w:kern w:val="0"/>
          <w:szCs w:val="18"/>
          <w:rtl/>
          <w14:ligatures w14:val="none"/>
        </w:rPr>
      </w:pPr>
      <w:r w:rsidRPr="00070B6E">
        <w:rPr>
          <w:rFonts w:eastAsia="Times New Roman" w:cs="DecoType Naskh"/>
          <w:color w:val="auto"/>
          <w:kern w:val="0"/>
          <w:szCs w:val="18"/>
          <w14:ligatures w14:val="none"/>
        </w:rPr>
        <w:object w:dxaOrig="3960" w:dyaOrig="1800" w14:anchorId="6ABB46B9">
          <v:shape id="_x0000_i1038" type="#_x0000_t75" style="width:396pt;height:180pt" o:ole="">
            <v:imagedata r:id="rId68" o:title=""/>
          </v:shape>
          <o:OLEObject Type="Embed" ProgID="PowerPoint.Show.8" ShapeID="_x0000_i1038" DrawAspect="Content" ObjectID="_1802157133" r:id="rId69"/>
        </w:object>
      </w:r>
    </w:p>
    <w:p w14:paraId="1AFB75F2" w14:textId="77777777" w:rsidR="00070B6E" w:rsidRPr="00070B6E" w:rsidRDefault="00070B6E" w:rsidP="002D6C54">
      <w:pPr>
        <w:bidi/>
        <w:spacing w:after="0" w:line="240" w:lineRule="auto"/>
        <w:rPr>
          <w:rFonts w:eastAsia="Times New Roman" w:cs="DecoType Naskh"/>
          <w:color w:val="auto"/>
          <w:kern w:val="0"/>
          <w:szCs w:val="18"/>
          <w:rtl/>
          <w14:ligatures w14:val="none"/>
        </w:rPr>
      </w:pPr>
    </w:p>
    <w:p w14:paraId="3BE88F52" w14:textId="77777777" w:rsidR="00070B6E" w:rsidRPr="00070B6E" w:rsidRDefault="00070B6E" w:rsidP="002D6C54">
      <w:pPr>
        <w:bidi/>
        <w:spacing w:after="0" w:line="240" w:lineRule="auto"/>
        <w:rPr>
          <w:rFonts w:eastAsia="Times New Roman" w:cs="DecoType Naskh"/>
          <w:color w:val="auto"/>
          <w:kern w:val="0"/>
          <w:szCs w:val="18"/>
          <w:rtl/>
          <w14:ligatures w14:val="none"/>
        </w:rPr>
      </w:pPr>
    </w:p>
    <w:p w14:paraId="63CEFE6D"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جـ.</w:t>
      </w:r>
      <w:r w:rsidRPr="00070B6E">
        <w:rPr>
          <w:rFonts w:eastAsia="Times New Roman" w:cs="DecoType Naskh" w:hint="cs"/>
          <w:bCs/>
          <w:color w:val="auto"/>
          <w:kern w:val="0"/>
          <w:szCs w:val="26"/>
          <w:rtl/>
          <w14:ligatures w14:val="none"/>
        </w:rPr>
        <w:tab/>
        <w:t>شخصية بلعام</w:t>
      </w:r>
    </w:p>
    <w:p w14:paraId="170379E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قد يتكون لدى المرء عند قراءته السريعة لهذه الأصحاحات انطباع أن بلعام كان نبياً وفياً يعرف الرب ويحبّه.  غير أن هذا الاستنتاج بعيد عن الحق، كما تؤكد مواضع أخرى:</w:t>
      </w:r>
    </w:p>
    <w:p w14:paraId="7B69939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يشوع 13: 22- قتله بنو إسرائيل بصفته عرّافاً</w:t>
      </w:r>
    </w:p>
    <w:p w14:paraId="1C50434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يشوع 24: 10- لم يشأ الرب أن يستمع إلى بلعام</w:t>
      </w:r>
    </w:p>
    <w:p w14:paraId="4E30D307"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2 بطرس 2: 15-16- ضل بلعام، إذ أحبّ أجرة الإثم</w:t>
      </w:r>
    </w:p>
    <w:p w14:paraId="421C9925"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يهوذا 11- تتحدث عن "ضلالة بلعام"</w:t>
      </w:r>
    </w:p>
    <w:p w14:paraId="5E2C05F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انظر عدد 31: 8، 16؛ تثنية 23: 5-6؛ نحميا 13: 2؛ ميخا 6: 5؛ رؤيا 2: 14.</w:t>
      </w:r>
    </w:p>
    <w:p w14:paraId="59EDD9A7"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4C3BE5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تقدّم الآيتان 31: 8، 16 فهماً متبصّراً.  فعندما طلب الله فيما بعد من بني إسرائيل قتل المديانيين، قُتل بلعام معهم أيضاً لأنه كان مسؤولاً عن خطيّة فغور (الانحلال الأخلاقي)، فقد أشار على المديانيين بأنه يمكنهم أن يجعلوا بني إسرائيل يعثرون بإغرائهم بارتكاب الزنى مع النساء المديانيات، جالبين بهذا غضب الله عليهم.</w:t>
      </w:r>
    </w:p>
    <w:p w14:paraId="346A3EA4"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AF1D90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تقدّم المكتشفات الأثرية ما يلقي الضوء على هذا الأمر، كما يقترح ميريل:</w:t>
      </w:r>
    </w:p>
    <w:p w14:paraId="5B204F10"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070B6E">
        <w:rPr>
          <w:rFonts w:eastAsia="Times New Roman" w:cs="DecoType Naskh" w:hint="cs"/>
          <w:color w:val="auto"/>
          <w:kern w:val="0"/>
          <w:szCs w:val="26"/>
          <w:rtl/>
          <w:lang w:bidi="ar-JO"/>
          <w14:ligatures w14:val="none"/>
        </w:rPr>
        <w:t>توثّق النصوص المسمارية المأخوذة من مدينة ماري الأمورية، لوجود مجمع لنقابة من أنبياء خبراء في مهارات متنوعة بما فيها العرافة.  وتعود هذه الوثائق بشكل رئيسي إلى عام 1700ق م، لكن أنواع الأنبياء المذكورين والأساليب النبوية التي كانوا يستخدمونها كانت موجودة عبر المنطقة الشرقية من البحر المتوسط قبل هذا التاريخ وبعده منذ مئات السنين.</w:t>
      </w:r>
      <w:r w:rsidRPr="00070B6E">
        <w:rPr>
          <w:rFonts w:eastAsia="Times New Roman" w:cs="DecoType Naskh"/>
          <w:color w:val="auto"/>
          <w:kern w:val="0"/>
          <w:sz w:val="30"/>
          <w:szCs w:val="28"/>
          <w:vertAlign w:val="superscript"/>
          <w:rtl/>
          <w:lang w:bidi="ar-JO"/>
          <w14:ligatures w14:val="none"/>
        </w:rPr>
        <w:footnoteReference w:customMarkFollows="1" w:id="114"/>
        <w:t>2</w:t>
      </w:r>
      <w:r w:rsidRPr="00070B6E">
        <w:rPr>
          <w:rFonts w:eastAsia="Times New Roman" w:cs="DecoType Naskh" w:hint="cs"/>
          <w:color w:val="auto"/>
          <w:kern w:val="0"/>
          <w:szCs w:val="26"/>
          <w:rtl/>
          <w:lang w:bidi="ar-JO"/>
          <w14:ligatures w14:val="none"/>
        </w:rPr>
        <w:t xml:space="preserve"> </w:t>
      </w:r>
    </w:p>
    <w:p w14:paraId="01861187"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0F5B0D10"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310C7F3" w14:textId="1A10E45F"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لقد كانت لبلعام معرفة بيهوه (انظر تثنية 2: 25؛ خروج 23: 27)، على الرغم من أن قلبه لم يكن مع الرب فعلاً.  إذ كان في قلبه صراع بين المعرفة والإرادة.  عرف أن يهوه لم يُرِدْه أن يذهب (22: 12)، لكن عندما قام رسل بالاق بزيارة ثانية له</w:t>
      </w:r>
      <w:r w:rsidRPr="00070B6E">
        <w:rPr>
          <w:rFonts w:eastAsia="Times New Roman" w:cs="DecoType Naskh"/>
          <w:color w:val="auto"/>
          <w:kern w:val="0"/>
          <w:szCs w:val="26"/>
          <w14:ligatures w14:val="none"/>
        </w:rPr>
        <w:t xml:space="preserve"> </w:t>
      </w:r>
      <w:r w:rsidRPr="00070B6E">
        <w:rPr>
          <w:rFonts w:eastAsia="Times New Roman" w:cs="DecoType Naskh" w:hint="cs"/>
          <w:color w:val="auto"/>
          <w:kern w:val="0"/>
          <w:szCs w:val="26"/>
          <w:rtl/>
          <w:lang w:bidi="ar-JO"/>
          <w14:ligatures w14:val="none"/>
        </w:rPr>
        <w:t>، أبلغهم بأنه سيرى "</w:t>
      </w:r>
      <w:r w:rsidRPr="00070B6E">
        <w:rPr>
          <w:rFonts w:eastAsia="Times New Roman" w:cs="DecoType Naskh" w:hint="cs"/>
          <w:i/>
          <w:iCs/>
          <w:color w:val="auto"/>
          <w:kern w:val="0"/>
          <w:szCs w:val="26"/>
          <w:rtl/>
          <w:lang w:bidi="ar-JO"/>
          <w14:ligatures w14:val="none"/>
        </w:rPr>
        <w:t>ماذا يعود الرب يكلّمني به</w:t>
      </w:r>
      <w:r w:rsidRPr="00070B6E">
        <w:rPr>
          <w:rFonts w:eastAsia="Times New Roman" w:cs="DecoType Naskh" w:hint="cs"/>
          <w:color w:val="auto"/>
          <w:kern w:val="0"/>
          <w:szCs w:val="26"/>
          <w:rtl/>
          <w:lang w:bidi="ar-JO"/>
          <w14:ligatures w14:val="none"/>
        </w:rPr>
        <w:t xml:space="preserve">" (22: 19).  ولم يكن هنالك داعٍ لهذا الأمر، حيث إن يهوه سبق أن جعل خطته واضحة تماماً.  ويكشف هذا أن بلعام لم يكن يهدف إلى إرضاء الرب في حياته، على الرغم من أنه تحدّث بنفاق عن يهوه بصفته "الرب إلهي" (22: 18).  كان بلعام عرّافاً وثنياً، ويبدو أنه أحرز بعض النجاح في إطلاق البركة واللعنة على بعض الأشخاص (22: 6).  لم يكن يهوه </w:t>
      </w:r>
      <w:r w:rsidRPr="00070B6E">
        <w:rPr>
          <w:rFonts w:eastAsia="Times New Roman" w:cs="DecoType Naskh" w:hint="cs"/>
          <w:color w:val="auto"/>
          <w:kern w:val="0"/>
          <w:szCs w:val="26"/>
          <w:rtl/>
          <w:lang w:bidi="ar-JO"/>
          <w14:ligatures w14:val="none"/>
        </w:rPr>
        <w:lastRenderedPageBreak/>
        <w:t xml:space="preserve">بالنسبة له الإله </w:t>
      </w:r>
      <w:r w:rsidRPr="00070B6E">
        <w:rPr>
          <w:rFonts w:eastAsia="Times New Roman" w:cs="DecoType Naskh" w:hint="cs"/>
          <w:color w:val="auto"/>
          <w:kern w:val="0"/>
          <w:szCs w:val="26"/>
          <w:u w:val="single"/>
          <w:rtl/>
          <w:lang w:bidi="ar-JO"/>
          <w14:ligatures w14:val="none"/>
        </w:rPr>
        <w:t>الوحيد</w:t>
      </w:r>
      <w:r w:rsidRPr="00070B6E">
        <w:rPr>
          <w:rFonts w:eastAsia="Times New Roman" w:cs="DecoType Naskh" w:hint="cs"/>
          <w:color w:val="auto"/>
          <w:kern w:val="0"/>
          <w:szCs w:val="26"/>
          <w:rtl/>
          <w:lang w:bidi="ar-JO"/>
          <w14:ligatures w14:val="none"/>
        </w:rPr>
        <w:t>، بل كان مجرّد واحد من آلهة كثيرين ينسجمون مع ممارسته للعرافة.  غير أن بلعام يعرف عن يهوه ويبدو أنه يدرك أن يهوه ليس إلهاً يمكن استغلاله أو التلاعب به.  ولهذا فإنه في الظاهر يتعاون مع يهوه، لكنه يسعى في واقع الأمر إلى مصالحه الخاصة.  وكأن لسان حاله هو: "لا أستطيع أن أتلاعب بيهوه أو أن أتحكم به؛ ولهذا فإني سأتعاون إلى الحد الذي يمكنني فيه أن أنتهز كل فرصة مناسبة لتطوير مصالحي." فعلى الرغم من أنه قال إنه لم يكن مهتمّاً بمال بالاق أو بالكرامة التي يعطيها، لكن الأمر كذلك في الواقع (2بطرس 2: 15-16).  تصارعت في بلعام الرغبة والضمير؛ وسيطرت الشهوه عليه (على الرغم من أن الحق كان واضحاً له).  تركه الله يذهب، وكان ذلك بسماح منه، إلاّ أن ذلك لم يكن ما أراده الله فعلاً- "</w:t>
      </w:r>
      <w:r w:rsidRPr="00070B6E">
        <w:rPr>
          <w:rFonts w:eastAsia="Times New Roman" w:cs="DecoType Naskh" w:hint="cs"/>
          <w:i/>
          <w:iCs/>
          <w:color w:val="auto"/>
          <w:kern w:val="0"/>
          <w:szCs w:val="26"/>
          <w:rtl/>
          <w:lang w:bidi="ar-JO"/>
          <w14:ligatures w14:val="none"/>
        </w:rPr>
        <w:t>فحمي غضب الله لأنه منطلق</w:t>
      </w:r>
      <w:r w:rsidRPr="00070B6E">
        <w:rPr>
          <w:rFonts w:eastAsia="Times New Roman" w:cs="DecoType Naskh" w:hint="cs"/>
          <w:color w:val="auto"/>
          <w:kern w:val="0"/>
          <w:szCs w:val="26"/>
          <w:rtl/>
          <w:lang w:bidi="ar-JO"/>
          <w14:ligatures w14:val="none"/>
        </w:rPr>
        <w:t>" (22: 32؛ انظر 22: 12).  استخدم الله بلعام، لسوء حظه، لأنه كان لله قصد يحققه، وليس لأن بلعام كان رجلاً بارّاً.  وحقيقة الأمر أنه كان جشعاً ومنافقاً طموحاً، حيث كان يُظهر غير ما يُبطن.  وهكذا استخدمه الله على الرغم من طبيعته الأخلاقية، لكي يحقق إرادته من أجل مجده من خلال بلعام.</w:t>
      </w:r>
    </w:p>
    <w:p w14:paraId="25D38FE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0447236"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لكن إن كان الله لم يُرِد لبلعام أن يذهب، فلماذا يبدو أن هنالك تغييراً في رأيه بالسماح له في الذهاب؟ عندما سمح الله لبلعام بالذهاب، بيَّن بشكل أكثر قوّة اختياره لإسرائيل.  غير أن بلعام يبدو في نفس الوقت رجلاً عنيداً.  ويبدو أن هذا هو الهدف من رواية حمار بلعام ومواجهة الله له. </w:t>
      </w:r>
    </w:p>
    <w:p w14:paraId="1CDE694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070B6E">
        <w:rPr>
          <w:rFonts w:eastAsia="Times New Roman" w:cs="DecoType Naskh" w:hint="cs"/>
          <w:color w:val="auto"/>
          <w:kern w:val="0"/>
          <w:szCs w:val="26"/>
          <w:rtl/>
          <w:lang w:bidi="ar-JO"/>
          <w14:ligatures w14:val="none"/>
        </w:rPr>
        <w:t>كان الحمار على الدوام رمزاً للعناد، ويهدف استخدام الحمار في عدد 22 إلى عملِ مقابلةٍ بين بلعام والحمار في عناده وغبائه: فالرائي الأعمى (وهو نفسه غبي) يرى أقل مما يراه هذا الحيوان الغبي الأعجم.  لكن هذا هو ما يجعل بلعام الشخصية المناسبة لهذه الإعلانات النبوية، فهو ليس من بني إسرائيل أو حتى عضواً وفياً في جماعة العهد (أي شخصاً ميّالاً في طبيعته إلى مصلحة إسرائيل).  انه راءٍ يمكن أن يستخدمه الله؛ غير أنه مستعد أن يستغل أيّة فرصة لكي يلعن إسرائيل.  ولو كان هنالك أي ميل من يهوه للعن إسرائيل، فإنه سيكون فرحاً جدّاً في كشف ذلك والحصول على ذهب بالاق.</w:t>
      </w:r>
    </w:p>
    <w:p w14:paraId="1B79C14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p>
    <w:p w14:paraId="28F89DA1"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د.</w:t>
      </w:r>
      <w:r w:rsidRPr="00070B6E">
        <w:rPr>
          <w:rFonts w:eastAsia="Times New Roman" w:cs="DecoType Naskh" w:hint="cs"/>
          <w:bCs/>
          <w:color w:val="auto"/>
          <w:kern w:val="0"/>
          <w:szCs w:val="26"/>
          <w:rtl/>
          <w14:ligatures w14:val="none"/>
        </w:rPr>
        <w:tab/>
        <w:t>الإعلانات النبوية</w:t>
      </w:r>
    </w:p>
    <w:p w14:paraId="64C4055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في كل إعلان نبوي، تنتهي رغبة بلعام الأصلية في اللعن إلى الرغبة في البركة.  وبشكل عام، ومع تقدّم هذه الإعلانات، تزداد البركة تحديداً، ويزداد بالاق غضباً.  ومن الواضح أنه يجب أن نفهم رغبة بالاق في لعن إسرائيل في ضوء العهد الإبراهيمي.  ليست بركة الله مبنية على استحقاق إسرائيل، وإنما على وفاء الله لما سبق أن وعد به في العهد الإبراهيمي.  وإن الطريقة الوحيدة لجعل الله يغيّر نيّته في مباركة إسرائيل هي جعله يغيّر رأيه.  وهذا أمر مستحيل، لأن يهوه فريد ولا يمكن أن يتغير بأية وسيلة من وسائل العرافة المتبعة، كما كان الحال مع آلهة العالم الوثني (23: 22-23).</w:t>
      </w:r>
    </w:p>
    <w:p w14:paraId="4F0E1BB2"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1.</w:t>
      </w:r>
      <w:r w:rsidRPr="00070B6E">
        <w:rPr>
          <w:rFonts w:eastAsia="Times New Roman" w:cs="DecoType Naskh" w:hint="cs"/>
          <w:color w:val="auto"/>
          <w:kern w:val="0"/>
          <w:szCs w:val="26"/>
          <w:rtl/>
          <w:lang w:bidi="ar-JO"/>
          <w14:ligatures w14:val="none"/>
        </w:rPr>
        <w:tab/>
        <w:t>الإعلان النبوي الأول (23: 1-12)</w:t>
      </w:r>
    </w:p>
    <w:p w14:paraId="6B4958D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يصرخ بالاق قائلاً: "</w:t>
      </w:r>
      <w:r w:rsidRPr="00070B6E">
        <w:rPr>
          <w:rFonts w:eastAsia="Times New Roman" w:cs="DecoType Naskh" w:hint="cs"/>
          <w:i/>
          <w:iCs/>
          <w:color w:val="auto"/>
          <w:kern w:val="0"/>
          <w:szCs w:val="26"/>
          <w:rtl/>
          <w:lang w:bidi="ar-JO"/>
          <w14:ligatures w14:val="none"/>
        </w:rPr>
        <w:t>كيف ألعن من لم يلعنه الله</w:t>
      </w:r>
      <w:r w:rsidRPr="00070B6E">
        <w:rPr>
          <w:rFonts w:eastAsia="Times New Roman" w:cs="DecoType Naskh" w:hint="cs"/>
          <w:color w:val="auto"/>
          <w:kern w:val="0"/>
          <w:szCs w:val="26"/>
          <w:rtl/>
          <w:lang w:bidi="ar-JO"/>
          <w14:ligatures w14:val="none"/>
        </w:rPr>
        <w:t xml:space="preserve">؟" (23: 8).  إن أية محاولة للعن إسرائيل هي بلا جدوى، لأن الله جعلها </w:t>
      </w:r>
      <w:r w:rsidRPr="00070B6E">
        <w:rPr>
          <w:rFonts w:eastAsia="Times New Roman" w:cs="DecoType Naskh" w:hint="cs"/>
          <w:i/>
          <w:iCs/>
          <w:color w:val="auto"/>
          <w:kern w:val="0"/>
          <w:szCs w:val="26"/>
          <w:rtl/>
          <w:lang w:bidi="ar-JO"/>
          <w14:ligatures w14:val="none"/>
        </w:rPr>
        <w:t>فريدة</w:t>
      </w:r>
      <w:r w:rsidRPr="00070B6E">
        <w:rPr>
          <w:rFonts w:eastAsia="Times New Roman" w:cs="DecoType Naskh" w:hint="cs"/>
          <w:color w:val="auto"/>
          <w:kern w:val="0"/>
          <w:szCs w:val="26"/>
          <w:rtl/>
          <w:lang w:bidi="ar-JO"/>
          <w14:ligatures w14:val="none"/>
        </w:rPr>
        <w:t xml:space="preserve">... وهي شعب "يسكن وحده" (23: 9)، أي مفرزاً لله.  لا يتعامل الله مع إسرائيل كما يتعامل مع الأمم الأخرى، ولا يمكن لبلعام أن يتعامل مع إسرائيل كما يتعامل مع الأمم الأخرى. </w:t>
      </w:r>
    </w:p>
    <w:p w14:paraId="77E361B6"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69288950"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2.</w:t>
      </w:r>
      <w:r w:rsidRPr="00070B6E">
        <w:rPr>
          <w:rFonts w:eastAsia="Times New Roman" w:cs="DecoType Naskh" w:hint="cs"/>
          <w:color w:val="auto"/>
          <w:kern w:val="0"/>
          <w:szCs w:val="26"/>
          <w:rtl/>
          <w:lang w:bidi="ar-JO"/>
          <w14:ligatures w14:val="none"/>
        </w:rPr>
        <w:tab/>
        <w:t>الإعلان النبوي الثاني (23: 13-26)</w:t>
      </w:r>
    </w:p>
    <w:p w14:paraId="5328A830"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إنه لأمر عبثي أن يسعى المرء إلى تغيير موقف الله، فالله لا يتراجع عن وعده أبداً.  وقد وعد بأن يبارك إسرائيل، وسيحافظ على صدق وعده.  وهو يسكن في وسط شعبه، ولا تقدر الحُجُب والسحر والعرافة أن تغيِّر من هذه الحقيقة.</w:t>
      </w:r>
    </w:p>
    <w:p w14:paraId="59C9296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15455651"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3.</w:t>
      </w:r>
      <w:r w:rsidRPr="00070B6E">
        <w:rPr>
          <w:rFonts w:eastAsia="Times New Roman" w:cs="DecoType Naskh" w:hint="cs"/>
          <w:color w:val="auto"/>
          <w:kern w:val="0"/>
          <w:szCs w:val="26"/>
          <w:rtl/>
          <w:lang w:bidi="ar-JO"/>
          <w14:ligatures w14:val="none"/>
        </w:rPr>
        <w:tab/>
        <w:t>الإعلان النبوي الثالث (23: 27-24: 13)</w:t>
      </w:r>
    </w:p>
    <w:p w14:paraId="200D205E"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يركّز هذا الإعلان على البركة الحتمية التي ستختبرها إسرائيل، في تعظّمها وانتصارها على أعدائها.  وإن الطريق الصائبة في التعامل مع إسرائيل هي أن تباركها الأمم الأخرى، لا أن تلعنها، فهذا هو الطريق </w:t>
      </w:r>
      <w:r w:rsidRPr="00070B6E">
        <w:rPr>
          <w:rFonts w:eastAsia="Times New Roman" w:cs="DecoType Naskh" w:hint="cs"/>
          <w:color w:val="auto"/>
          <w:kern w:val="0"/>
          <w:szCs w:val="26"/>
          <w:rtl/>
          <w:lang w:bidi="ar-JO"/>
          <w14:ligatures w14:val="none"/>
        </w:rPr>
        <w:lastRenderedPageBreak/>
        <w:t>إلى البركة التوسطية (24: 9).  ويجب أن تخضع الشعوب الأخرى للخطة الإلهية المعلنة في تكوين 12: 1-3.</w:t>
      </w:r>
    </w:p>
    <w:p w14:paraId="329F7FCE"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2BF6CA85"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4.</w:t>
      </w:r>
      <w:r w:rsidRPr="00070B6E">
        <w:rPr>
          <w:rFonts w:eastAsia="Times New Roman" w:cs="DecoType Naskh" w:hint="cs"/>
          <w:color w:val="auto"/>
          <w:kern w:val="0"/>
          <w:szCs w:val="26"/>
          <w:rtl/>
          <w:lang w:bidi="ar-JO"/>
          <w14:ligatures w14:val="none"/>
        </w:rPr>
        <w:tab/>
        <w:t>الإعلان النبوي الرابع (24: 14-25)</w:t>
      </w:r>
    </w:p>
    <w:p w14:paraId="35C40B23"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يتحدث الإعلان الرابع والأخير عن "</w:t>
      </w:r>
      <w:r w:rsidRPr="00070B6E">
        <w:rPr>
          <w:rFonts w:eastAsia="Times New Roman" w:cs="DecoType Naskh" w:hint="cs"/>
          <w:i/>
          <w:iCs/>
          <w:color w:val="auto"/>
          <w:kern w:val="0"/>
          <w:szCs w:val="26"/>
          <w:rtl/>
          <w:lang w:bidi="ar-JO"/>
          <w14:ligatures w14:val="none"/>
        </w:rPr>
        <w:t>كوكب (نجم) من يعقوب</w:t>
      </w:r>
      <w:r w:rsidRPr="00070B6E">
        <w:rPr>
          <w:rFonts w:eastAsia="Times New Roman" w:cs="DecoType Naskh" w:hint="cs"/>
          <w:color w:val="auto"/>
          <w:kern w:val="0"/>
          <w:szCs w:val="26"/>
          <w:rtl/>
          <w:lang w:bidi="ar-JO"/>
          <w14:ligatures w14:val="none"/>
        </w:rPr>
        <w:t>" و "</w:t>
      </w:r>
      <w:r w:rsidRPr="00070B6E">
        <w:rPr>
          <w:rFonts w:eastAsia="Times New Roman" w:cs="DecoType Naskh" w:hint="cs"/>
          <w:i/>
          <w:iCs/>
          <w:color w:val="auto"/>
          <w:kern w:val="0"/>
          <w:szCs w:val="26"/>
          <w:rtl/>
          <w:lang w:bidi="ar-JO"/>
          <w14:ligatures w14:val="none"/>
        </w:rPr>
        <w:t>يتسلّط الذي من يعقوب</w:t>
      </w:r>
      <w:r w:rsidRPr="00070B6E">
        <w:rPr>
          <w:rFonts w:eastAsia="Times New Roman" w:cs="DecoType Naskh" w:hint="cs"/>
          <w:color w:val="auto"/>
          <w:kern w:val="0"/>
          <w:szCs w:val="26"/>
          <w:rtl/>
          <w:lang w:bidi="ar-JO"/>
          <w14:ligatures w14:val="none"/>
        </w:rPr>
        <w:t>".  ومن الواضح أن هذا توقّع مسيّاني.  سيُذلّ كل أعداء إسرائيل، وسيضمن مجيء مسيّا إسرائيل ذلك!</w:t>
      </w:r>
    </w:p>
    <w:p w14:paraId="3CEC07B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45F1EF8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تختتم هذه الإعلانات بفكرة أن يهوه مسيطر سيطرة مطلقة على الكون، وأنه لا يمكن إفشال مشيئته.  ويعترف بلعام قائلاً: "آهٍ! من يعيش حتى يفعل ذلك؟" وفي ترجمة أخرى ("واأسفاه! من يستطيع أن يحيا إلاّ أن يكون الله قضى بذلك؟" لا يمكن إذاً أن يقلب أحد الله ضد إسرائيل.</w:t>
      </w:r>
    </w:p>
    <w:p w14:paraId="6D7F9A6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53548697"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إن هذه الحقيقة هي ما يجعل الحادثة المذكورة في العدد 25 ذات دلالة خاصة.  فعندما ارتكبت إسرائيل خطيّتها الفظيعة في فغور، كانوا في أدنى مستوياتهم الروحية.  فقد زنوا مع النساء المديانيّات، حتى أنهم أكلوا وسجدوا للآلهة الوثنية (حتى لبعل).  فإذا احتاج يهوه يوماً إلى سبب لإلغاء خطّته لإسرائيل كما هي متضمّنة في العهد الإبراهيمي، فلا شك أنه هذه الحادثة كانت تصلح ذريعة مناسبة.  يقول فستشر:</w:t>
      </w:r>
    </w:p>
    <w:p w14:paraId="6CBC28D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14:ligatures w14:val="none"/>
        </w:rPr>
      </w:pPr>
      <w:r w:rsidRPr="00070B6E">
        <w:rPr>
          <w:rFonts w:eastAsia="Times New Roman" w:cs="DecoType Naskh" w:hint="cs"/>
          <w:color w:val="auto"/>
          <w:kern w:val="0"/>
          <w:szCs w:val="26"/>
          <w:rtl/>
          <w:lang w:bidi="ar-JO"/>
          <w14:ligatures w14:val="none"/>
        </w:rPr>
        <w:t>يبدو أمراً مؤكّداً أن إسرائيل بفعلتها هذه تخلّت عن بركتها.  غير أن الرب يحوّل اللعنة في فم بلعام إلى بركة (وهذه هي معجزة وفاء الله وأمانته، وهي معجزة لا تقارن في روعتها أبداً بحقيقة أن حمار بلعام فتح فمه ونطق).  فعلى الرغم من خيانة إسرائيل، تبقى بركة إبراهيم ويعقوب.</w:t>
      </w:r>
      <w:r w:rsidRPr="00070B6E">
        <w:rPr>
          <w:rFonts w:eastAsia="Times New Roman" w:cs="DecoType Naskh"/>
          <w:color w:val="auto"/>
          <w:kern w:val="0"/>
          <w:sz w:val="30"/>
          <w:szCs w:val="28"/>
          <w:vertAlign w:val="superscript"/>
          <w:rtl/>
          <w:lang w:bidi="ar-JO"/>
          <w14:ligatures w14:val="none"/>
        </w:rPr>
        <w:footnoteReference w:customMarkFollows="1" w:id="115"/>
        <w:t>3</w:t>
      </w:r>
    </w:p>
    <w:p w14:paraId="0977C615"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يُشكِّل هذا أساساً صلباً للاهوت قبل الألفي وانتظار مستقبل لإسرائيل، فإن كان الله لا يرفضهم في تلك المرحلة، فإنه لا يوجد ما يدعو إلى الاعتقاد بأنه سيتخلّى عنهم في أيّة مرحلة مستقبلة في التاريخ الكتابي!</w:t>
      </w:r>
    </w:p>
    <w:p w14:paraId="52F6BE6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5EF3B77B"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4.</w:t>
      </w:r>
      <w:r w:rsidRPr="00070B6E">
        <w:rPr>
          <w:rFonts w:eastAsia="Times New Roman" w:cs="DecoType Naskh" w:hint="cs"/>
          <w:bCs/>
          <w:color w:val="auto"/>
          <w:kern w:val="0"/>
          <w:szCs w:val="28"/>
          <w:rtl/>
          <w:lang w:bidi="ar-JO"/>
          <w14:ligatures w14:val="none"/>
        </w:rPr>
        <w:tab/>
        <w:t xml:space="preserve">خاتمة </w:t>
      </w:r>
    </w:p>
    <w:p w14:paraId="46D2D4C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وأخيراً، يمكننا القول إن سفر العدد يتضمن التزاماً صريحاً من يهوه بالعهد الإبراهيمي، بغض النظر عن طاعة الأمة.  لقد تمرّد جيل الخروج على الله في قادش برنيع، وقام الجيل الجديد بتحريف كلّي لفكرة الوفاء للعهد في فغور.  غير أن الله لم يترك الأمة، بل إنه يستمر في خطّته.  وما يحدث ليس إبطالاً للعهد، بل تفويت للبركة واختبار ذلك الجيل لتأديب الله.  فالعصيان لا يمر دون عقاب.  لكن العهد يبقى قائماً ينتظر الجيل الذي سيخضع ليهوه. </w:t>
      </w:r>
    </w:p>
    <w:p w14:paraId="2138DF9C" w14:textId="77777777" w:rsidR="00070B6E" w:rsidRPr="00070B6E" w:rsidRDefault="00070B6E" w:rsidP="002D6C54">
      <w:pPr>
        <w:bidi/>
        <w:spacing w:after="0" w:line="240" w:lineRule="auto"/>
        <w:rPr>
          <w:rFonts w:eastAsia="Times New Roman" w:cs="DecoType Naskh"/>
          <w:color w:val="auto"/>
          <w:kern w:val="0"/>
          <w:szCs w:val="18"/>
          <w:rtl/>
          <w:lang w:bidi="ar-JO"/>
          <w14:ligatures w14:val="none"/>
        </w:rPr>
      </w:pPr>
      <w:r w:rsidRPr="00070B6E">
        <w:rPr>
          <w:rFonts w:eastAsia="Times New Roman" w:cs="DecoType Naskh" w:hint="cs"/>
          <w:color w:val="auto"/>
          <w:kern w:val="0"/>
          <w:szCs w:val="18"/>
          <w:rtl/>
          <w:lang w:bidi="ar-JO"/>
          <w14:ligatures w14:val="none"/>
        </w:rPr>
        <w:t xml:space="preserve">  </w:t>
      </w:r>
    </w:p>
    <w:p w14:paraId="1DE721F1" w14:textId="77777777" w:rsidR="00070B6E" w:rsidRPr="00070B6E" w:rsidRDefault="00070B6E" w:rsidP="002D6C54">
      <w:pPr>
        <w:bidi/>
        <w:spacing w:after="0" w:line="240" w:lineRule="auto"/>
        <w:rPr>
          <w:rFonts w:eastAsia="Times New Roman" w:cs="DecoType Naskh"/>
          <w:color w:val="auto"/>
          <w:kern w:val="0"/>
          <w:szCs w:val="18"/>
          <w:rtl/>
          <w:lang w:bidi="ar-JO"/>
          <w14:ligatures w14:val="none"/>
        </w:rPr>
      </w:pPr>
    </w:p>
    <w:p w14:paraId="470DCBDA" w14:textId="77777777" w:rsidR="00070B6E" w:rsidRPr="00070B6E" w:rsidRDefault="00070B6E" w:rsidP="002D6C54">
      <w:pPr>
        <w:bidi/>
        <w:spacing w:after="0" w:line="240" w:lineRule="auto"/>
        <w:rPr>
          <w:rFonts w:eastAsia="Times New Roman" w:cs="DecoType Naskh"/>
          <w:color w:val="A50021"/>
          <w:kern w:val="0"/>
          <w:szCs w:val="32"/>
          <w:rtl/>
          <w:lang w:bidi="ar-JO"/>
          <w14:ligatures w14:val="none"/>
        </w:rPr>
      </w:pPr>
    </w:p>
    <w:p w14:paraId="486428CD" w14:textId="24CD5F54" w:rsidR="007259B1" w:rsidRPr="00070B6E" w:rsidRDefault="007259B1" w:rsidP="002D6C54">
      <w:pPr>
        <w:tabs>
          <w:tab w:val="left" w:pos="547"/>
          <w:tab w:val="left" w:pos="1094"/>
          <w:tab w:val="left" w:pos="1642"/>
          <w:tab w:val="left" w:pos="2189"/>
          <w:tab w:val="left" w:pos="2736"/>
          <w:tab w:val="left" w:pos="3283"/>
          <w:tab w:val="left" w:pos="3830"/>
          <w:tab w:val="left" w:pos="4378"/>
        </w:tabs>
        <w:spacing w:before="120" w:after="120" w:line="240" w:lineRule="auto"/>
        <w:jc w:val="both"/>
        <w:outlineLvl w:val="4"/>
        <w:rPr>
          <w:rFonts w:eastAsia="Times New Roman" w:cs="Times New Roman"/>
          <w:bCs/>
          <w:color w:val="auto"/>
          <w:kern w:val="0"/>
          <w:sz w:val="22"/>
          <w:szCs w:val="24"/>
          <w14:ligatures w14:val="none"/>
        </w:rPr>
      </w:pPr>
      <w:r w:rsidRPr="00F04371">
        <w:rPr>
          <w:rFonts w:eastAsia="Times New Roman" w:cs="Times New Roman"/>
          <w:b/>
          <w:bCs/>
          <w:iCs/>
          <w:color w:val="auto"/>
          <w:kern w:val="0"/>
          <w:sz w:val="22"/>
          <w:szCs w:val="26"/>
          <w14:ligatures w14:val="none"/>
        </w:rPr>
        <w:br w:type="page"/>
      </w:r>
    </w:p>
    <w:p w14:paraId="6C59A0F4" w14:textId="77777777" w:rsidR="00851CEE" w:rsidRDefault="00851CEE" w:rsidP="002D6C54">
      <w:pPr>
        <w:pStyle w:val="Heading2"/>
        <w:rPr>
          <w:rtl/>
        </w:rPr>
      </w:pPr>
      <w:bookmarkStart w:id="128" w:name="_Toc164420051"/>
      <w:bookmarkStart w:id="129" w:name="_Hlk178779019"/>
    </w:p>
    <w:bookmarkEnd w:id="128"/>
    <w:p w14:paraId="38EE745B" w14:textId="062784EB" w:rsidR="00BE411E" w:rsidRPr="00851CEE" w:rsidRDefault="00851CEE" w:rsidP="00851CEE">
      <w:pPr>
        <w:pStyle w:val="Heading2"/>
        <w:bidi/>
      </w:pPr>
      <w:r w:rsidRPr="00851CEE">
        <w:rPr>
          <w:rFonts w:ascii="Simplified Arabic" w:hAnsi="Simplified Arabic" w:cs="Simplified Arabic"/>
          <w:rtl/>
          <w14:ligatures w14:val="none"/>
        </w:rPr>
        <w:t xml:space="preserve">الدرس </w:t>
      </w:r>
      <w:r w:rsidRPr="00851CEE">
        <w:rPr>
          <w:rFonts w:ascii="Simplified Arabic" w:hAnsi="Simplified Arabic" w:cs="Simplified Arabic" w:hint="cs"/>
          <w:rtl/>
          <w14:ligatures w14:val="none"/>
        </w:rPr>
        <w:t>9</w:t>
      </w:r>
      <w:r w:rsidRPr="00851CEE">
        <w:rPr>
          <w:rFonts w:ascii="Simplified Arabic" w:hAnsi="Simplified Arabic" w:cs="Simplified Arabic"/>
          <w:rtl/>
          <w14:ligatures w14:val="none"/>
        </w:rPr>
        <w:t xml:space="preserve">: </w:t>
      </w:r>
      <w:r w:rsidRPr="00851CEE">
        <w:rPr>
          <w:rFonts w:ascii="Simplified Arabic" w:hAnsi="Simplified Arabic" w:cs="Simplified Arabic" w:hint="cs"/>
          <w:rtl/>
          <w:lang w:bidi="ar-JO"/>
          <w14:ligatures w14:val="none"/>
        </w:rPr>
        <w:t>توصية الجيل الجديد (تثنية 1-34)</w:t>
      </w:r>
    </w:p>
    <w:p w14:paraId="2EF2A924" w14:textId="77777777" w:rsidR="00BE411E" w:rsidRPr="007A4B15" w:rsidRDefault="00BE411E"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kern w:val="0"/>
          <w:szCs w:val="24"/>
          <w14:ligatures w14:val="none"/>
        </w:rPr>
      </w:pPr>
    </w:p>
    <w:p w14:paraId="2E4F9B01" w14:textId="3973A1CF" w:rsidR="00BE411E" w:rsidRPr="008815B7" w:rsidRDefault="00EB5D57" w:rsidP="00EB5D57">
      <w:pPr>
        <w:pStyle w:val="Heading3"/>
        <w:bidi/>
        <w:spacing w:line="240" w:lineRule="auto"/>
        <w:rPr>
          <w:rFonts w:ascii="Simplified Arabic" w:hAnsi="Simplified Arabic" w:cs="Simplified Arabic"/>
          <w:lang w:val="fr-FR"/>
        </w:rPr>
      </w:pPr>
      <w:r w:rsidRPr="008815B7">
        <w:rPr>
          <w:rFonts w:ascii="Simplified Arabic" w:hAnsi="Simplified Arabic" w:cs="Simplified Arabic"/>
          <w:rtl/>
          <w:lang w:val="fr-FR"/>
        </w:rPr>
        <w:t>مُقدِّمة الدرس</w:t>
      </w:r>
    </w:p>
    <w:p w14:paraId="13D8F32A" w14:textId="52389DC9" w:rsidR="00EB5D57" w:rsidRPr="008815B7" w:rsidRDefault="00982D83" w:rsidP="00EB5D57">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sidRPr="008815B7">
        <w:rPr>
          <w:rFonts w:ascii="Simplified Arabic" w:eastAsia="Calibri" w:hAnsi="Simplified Arabic" w:cs="Simplified Arabic"/>
          <w:kern w:val="0"/>
          <w:sz w:val="26"/>
          <w:szCs w:val="26"/>
          <w:rtl/>
          <w14:ligatures w14:val="none"/>
        </w:rPr>
        <w:t>يبدأ سفر التثنية بوجود الشعب العبري على حدود أرض كنعان (على الجهة الشرقية من نهر الأردن). مضت حوالي أربع</w:t>
      </w:r>
      <w:r w:rsidR="00AD1385">
        <w:rPr>
          <w:rFonts w:ascii="Simplified Arabic" w:eastAsia="Calibri" w:hAnsi="Simplified Arabic" w:cs="Simplified Arabic" w:hint="cs"/>
          <w:kern w:val="0"/>
          <w:sz w:val="26"/>
          <w:szCs w:val="26"/>
          <w:rtl/>
          <w14:ligatures w14:val="none"/>
        </w:rPr>
        <w:t>ي</w:t>
      </w:r>
      <w:r w:rsidRPr="008815B7">
        <w:rPr>
          <w:rFonts w:ascii="Simplified Arabic" w:eastAsia="Calibri" w:hAnsi="Simplified Arabic" w:cs="Simplified Arabic"/>
          <w:kern w:val="0"/>
          <w:sz w:val="26"/>
          <w:szCs w:val="26"/>
          <w:rtl/>
          <w14:ligatures w14:val="none"/>
        </w:rPr>
        <w:t xml:space="preserve">ن سنة على خروجهم من مصر. والشعب الذي شهد الخروج واختبره مات، وقام جيلٌ جديد مكانهم. وفي هذا الوقت، كان موسى بعمر المئة وعشرين سنة، ولن يُسمَح له بالدخول مع شعبه إلى </w:t>
      </w:r>
      <w:r w:rsidR="00AD1385">
        <w:rPr>
          <w:rFonts w:ascii="Simplified Arabic" w:eastAsia="Calibri" w:hAnsi="Simplified Arabic" w:cs="Simplified Arabic" w:hint="cs"/>
          <w:kern w:val="0"/>
          <w:sz w:val="26"/>
          <w:szCs w:val="26"/>
          <w:rtl/>
          <w14:ligatures w14:val="none"/>
        </w:rPr>
        <w:t>أ</w:t>
      </w:r>
      <w:r w:rsidRPr="008815B7">
        <w:rPr>
          <w:rFonts w:ascii="Simplified Arabic" w:eastAsia="Calibri" w:hAnsi="Simplified Arabic" w:cs="Simplified Arabic"/>
          <w:kern w:val="0"/>
          <w:sz w:val="26"/>
          <w:szCs w:val="26"/>
          <w:rtl/>
          <w14:ligatures w14:val="none"/>
        </w:rPr>
        <w:t>رض الموعد. ولكنّه يُعطى فرصة</w:t>
      </w:r>
      <w:r w:rsidR="00AD1385">
        <w:rPr>
          <w:rFonts w:ascii="Simplified Arabic" w:eastAsia="Calibri" w:hAnsi="Simplified Arabic" w:cs="Simplified Arabic" w:hint="cs"/>
          <w:kern w:val="0"/>
          <w:sz w:val="26"/>
          <w:szCs w:val="26"/>
          <w:rtl/>
          <w14:ligatures w14:val="none"/>
        </w:rPr>
        <w:t>ً</w:t>
      </w:r>
      <w:r w:rsidRPr="008815B7">
        <w:rPr>
          <w:rFonts w:ascii="Simplified Arabic" w:eastAsia="Calibri" w:hAnsi="Simplified Arabic" w:cs="Simplified Arabic"/>
          <w:kern w:val="0"/>
          <w:sz w:val="26"/>
          <w:szCs w:val="26"/>
          <w:rtl/>
          <w14:ligatures w14:val="none"/>
        </w:rPr>
        <w:t xml:space="preserve"> أخيرة </w:t>
      </w:r>
      <w:r w:rsidR="008815B7" w:rsidRPr="008815B7">
        <w:rPr>
          <w:rFonts w:ascii="Simplified Arabic" w:eastAsia="Calibri" w:hAnsi="Simplified Arabic" w:cs="Simplified Arabic"/>
          <w:kern w:val="0"/>
          <w:sz w:val="26"/>
          <w:szCs w:val="26"/>
          <w:rtl/>
          <w14:ligatures w14:val="none"/>
        </w:rPr>
        <w:t>بأن يخاطب العبرانيّين، وسفر التثنية في جوهره ومعظمه هو تلك الرسالة. رسالته مناشدة وعظيّة للأمة بأن تدخل إلى الأرض التي وعدهم الله بها، ومن ثم بأن يطيعوا عهد الناموس الذي أعطاهم الله إيّاه في جبل سيناء. وبهذا، فإن سفر التثنية في جوهره إعادة صياغة للعهد لأجل الجيل الجديد مطعَّمًا بالكثير من الحثّ على الأمانة.</w:t>
      </w:r>
    </w:p>
    <w:p w14:paraId="5152E587" w14:textId="7B96EF4F" w:rsidR="00EB5D57" w:rsidRPr="008815B7" w:rsidRDefault="008815B7" w:rsidP="00EB5D57">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 xml:space="preserve">الأصحاحان 28 و29 من سفر التثنية بيان مُفصَّل للبركات التي يمكن للشعب أن </w:t>
      </w:r>
      <w:r w:rsidR="00AD1385">
        <w:rPr>
          <w:rFonts w:ascii="Simplified Arabic" w:eastAsia="Calibri" w:hAnsi="Simplified Arabic" w:cs="Simplified Arabic" w:hint="cs"/>
          <w:kern w:val="0"/>
          <w:sz w:val="26"/>
          <w:szCs w:val="26"/>
          <w:rtl/>
          <w14:ligatures w14:val="none"/>
        </w:rPr>
        <w:t>ي</w:t>
      </w:r>
      <w:r>
        <w:rPr>
          <w:rFonts w:ascii="Simplified Arabic" w:eastAsia="Calibri" w:hAnsi="Simplified Arabic" w:cs="Simplified Arabic" w:hint="cs"/>
          <w:kern w:val="0"/>
          <w:sz w:val="26"/>
          <w:szCs w:val="26"/>
          <w:rtl/>
          <w14:ligatures w14:val="none"/>
        </w:rPr>
        <w:t>توق</w:t>
      </w:r>
      <w:r w:rsidR="00AD1385">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ع نوالها بسبب أمانته للعهد، متبوعةً باللعنات (التأديب والدينونة) التي تنتظرهم إن عصوا. وعدم إصغائهم إلى الأشكال الخفيفة من التأديب (خاصّة حين ينخرطون في عبادةِ الأوثان مدّة طويلة) يمكن أن تؤدّي إلى غزوٍ من أمم أجنبي</w:t>
      </w:r>
      <w:r w:rsidR="00AD1385">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ة وسبيهم من أرضهم. ومع هذا، يُعطى تدبير يتعلَّق بخطّةٍ لرد</w:t>
      </w:r>
      <w:r w:rsidR="00AD1385">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الأم</w:t>
      </w:r>
      <w:r w:rsidR="00AD1385">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ة من خلال توبتها كأمّة (تثنية 30: 1-10). </w:t>
      </w:r>
    </w:p>
    <w:p w14:paraId="27658EF8" w14:textId="0527B7F3" w:rsidR="000706E7" w:rsidRPr="00D626EA" w:rsidRDefault="000706E7"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kern w:val="0"/>
          <w:szCs w:val="24"/>
          <w14:ligatures w14:val="none"/>
        </w:rPr>
      </w:pPr>
    </w:p>
    <w:p w14:paraId="1EFA8666" w14:textId="14B564FD" w:rsidR="00BE411E" w:rsidRPr="007A4B15" w:rsidRDefault="0020079F" w:rsidP="0020079F">
      <w:pPr>
        <w:pStyle w:val="Heading3"/>
        <w:bidi/>
        <w:spacing w:line="240" w:lineRule="auto"/>
      </w:pPr>
      <w:r>
        <w:rPr>
          <w:rFonts w:hint="cs"/>
          <w:rtl/>
        </w:rPr>
        <w:t>مُخطَّط الدرس</w:t>
      </w:r>
    </w:p>
    <w:p w14:paraId="154EB347" w14:textId="77777777" w:rsidR="0020079F" w:rsidRDefault="0020079F" w:rsidP="0020079F">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bookmarkStart w:id="130" w:name="_Hlk190697274"/>
      <w:r>
        <w:rPr>
          <w:rFonts w:ascii="Simplified Arabic" w:eastAsia="Calibri" w:hAnsi="Simplified Arabic" w:cs="Simplified Arabic" w:hint="cs"/>
          <w:kern w:val="0"/>
          <w:sz w:val="26"/>
          <w:szCs w:val="26"/>
          <w:rtl/>
          <w14:ligatures w14:val="none"/>
        </w:rPr>
        <w:t>الموضوع 1: مُقدِّمة إلى سفر التثنية</w:t>
      </w:r>
    </w:p>
    <w:p w14:paraId="2E619975" w14:textId="0740562E" w:rsidR="0020079F" w:rsidRDefault="0020079F" w:rsidP="0020079F">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 xml:space="preserve">الموضوع 2: حضٌّ على إطاعة العهد (تثنية 1: 1 </w:t>
      </w:r>
      <w:r>
        <w:rPr>
          <w:rFonts w:ascii="Simplified Arabic" w:eastAsia="Calibri" w:hAnsi="Simplified Arabic" w:cs="Simplified Arabic"/>
          <w:kern w:val="0"/>
          <w:sz w:val="26"/>
          <w:szCs w:val="26"/>
          <w:rtl/>
          <w14:ligatures w14:val="none"/>
        </w:rPr>
        <w:t>–</w:t>
      </w:r>
      <w:r>
        <w:rPr>
          <w:rFonts w:ascii="Simplified Arabic" w:eastAsia="Calibri" w:hAnsi="Simplified Arabic" w:cs="Simplified Arabic" w:hint="cs"/>
          <w:kern w:val="0"/>
          <w:sz w:val="26"/>
          <w:szCs w:val="26"/>
          <w:rtl/>
          <w14:ligatures w14:val="none"/>
        </w:rPr>
        <w:t xml:space="preserve"> 4: 43) </w:t>
      </w:r>
    </w:p>
    <w:p w14:paraId="41CFBAA0" w14:textId="3C94AA9A" w:rsidR="0020079F" w:rsidRDefault="0020079F" w:rsidP="0020079F">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 xml:space="preserve">الموضوع 3: بنود العهد المُجدَّد (تثنية 4: 44 </w:t>
      </w:r>
      <w:r>
        <w:rPr>
          <w:rFonts w:ascii="Simplified Arabic" w:eastAsia="Calibri" w:hAnsi="Simplified Arabic" w:cs="Simplified Arabic"/>
          <w:kern w:val="0"/>
          <w:sz w:val="26"/>
          <w:szCs w:val="26"/>
          <w:rtl/>
          <w14:ligatures w14:val="none"/>
        </w:rPr>
        <w:t>–</w:t>
      </w:r>
      <w:r>
        <w:rPr>
          <w:rFonts w:ascii="Simplified Arabic" w:eastAsia="Calibri" w:hAnsi="Simplified Arabic" w:cs="Simplified Arabic" w:hint="cs"/>
          <w:kern w:val="0"/>
          <w:sz w:val="26"/>
          <w:szCs w:val="26"/>
          <w:rtl/>
          <w14:ligatures w14:val="none"/>
        </w:rPr>
        <w:t xml:space="preserve"> 26: 19) </w:t>
      </w:r>
    </w:p>
    <w:p w14:paraId="71CEBED8" w14:textId="5A2B9654" w:rsidR="0020079F" w:rsidRDefault="0020079F" w:rsidP="0020079F">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 xml:space="preserve">الموضوع 4: مستقبل أمّة العهد (تثنية 27: 1 </w:t>
      </w:r>
      <w:r>
        <w:rPr>
          <w:rFonts w:ascii="Simplified Arabic" w:eastAsia="Calibri" w:hAnsi="Simplified Arabic" w:cs="Simplified Arabic"/>
          <w:kern w:val="0"/>
          <w:sz w:val="26"/>
          <w:szCs w:val="26"/>
          <w:rtl/>
          <w14:ligatures w14:val="none"/>
        </w:rPr>
        <w:t>–</w:t>
      </w:r>
      <w:r>
        <w:rPr>
          <w:rFonts w:ascii="Simplified Arabic" w:eastAsia="Calibri" w:hAnsi="Simplified Arabic" w:cs="Simplified Arabic" w:hint="cs"/>
          <w:kern w:val="0"/>
          <w:sz w:val="26"/>
          <w:szCs w:val="26"/>
          <w:rtl/>
          <w14:ligatures w14:val="none"/>
        </w:rPr>
        <w:t xml:space="preserve"> 34: 12) </w:t>
      </w:r>
    </w:p>
    <w:bookmarkEnd w:id="130"/>
    <w:p w14:paraId="7634ABF8" w14:textId="77777777" w:rsidR="0020079F" w:rsidRPr="0020079F" w:rsidRDefault="0020079F" w:rsidP="0020079F">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14:ligatures w14:val="none"/>
        </w:rPr>
      </w:pPr>
    </w:p>
    <w:p w14:paraId="0601874B" w14:textId="03AFFC40" w:rsidR="0020079F" w:rsidRPr="004E0B35" w:rsidRDefault="0020079F" w:rsidP="0020079F">
      <w:pPr>
        <w:pStyle w:val="Heading3"/>
        <w:bidi/>
        <w:spacing w:line="240" w:lineRule="auto"/>
        <w:rPr>
          <w:rFonts w:ascii="Simplified Arabic" w:hAnsi="Simplified Arabic" w:cs="Simplified Arabic"/>
          <w:lang w:val="fr-FR"/>
        </w:rPr>
      </w:pPr>
      <w:r w:rsidRPr="004E0B35">
        <w:rPr>
          <w:rFonts w:ascii="Simplified Arabic" w:hAnsi="Simplified Arabic" w:cs="Simplified Arabic"/>
          <w:rtl/>
          <w:lang w:val="fr-FR"/>
        </w:rPr>
        <w:t xml:space="preserve">أهداف الدرس </w:t>
      </w:r>
    </w:p>
    <w:p w14:paraId="26A82FB3" w14:textId="492ED4B9" w:rsidR="00BE411E" w:rsidRPr="004E0B35" w:rsidRDefault="0020079F" w:rsidP="0020079F">
      <w:pPr>
        <w:bidi/>
        <w:spacing w:before="120" w:after="80" w:line="240" w:lineRule="auto"/>
        <w:rPr>
          <w:rFonts w:ascii="Simplified Arabic" w:eastAsia="Calibri" w:hAnsi="Simplified Arabic" w:cs="Simplified Arabic"/>
          <w:kern w:val="0"/>
          <w:sz w:val="26"/>
          <w:szCs w:val="26"/>
          <w14:ligatures w14:val="none"/>
        </w:rPr>
      </w:pPr>
      <w:r w:rsidRPr="004E0B35">
        <w:rPr>
          <w:rFonts w:ascii="Simplified Arabic" w:eastAsia="Calibri" w:hAnsi="Simplified Arabic" w:cs="Simplified Arabic"/>
          <w:kern w:val="0"/>
          <w:sz w:val="26"/>
          <w:szCs w:val="26"/>
          <w:rtl/>
          <w14:ligatures w14:val="none"/>
        </w:rPr>
        <w:t xml:space="preserve">بانتهائك من دراسة هذا الدرس، ستكون قادرًا على ما يلي: </w:t>
      </w:r>
    </w:p>
    <w:p w14:paraId="6E44C2D5" w14:textId="0EC9D01F" w:rsidR="00BE411E" w:rsidRPr="004E0B35" w:rsidRDefault="0020079F" w:rsidP="0020079F">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4E0B35">
        <w:rPr>
          <w:rFonts w:ascii="Simplified Arabic" w:eastAsia="Calibri" w:hAnsi="Simplified Arabic" w:cs="Simplified Arabic"/>
          <w:kern w:val="0"/>
          <w:sz w:val="26"/>
          <w:szCs w:val="26"/>
          <w:rtl/>
          <w14:ligatures w14:val="none"/>
        </w:rPr>
        <w:lastRenderedPageBreak/>
        <w:t xml:space="preserve">أن تفهم هجمات العلماء النقديّين على حقيقة تأليف موسى لسفر التثنية، وأن تكون قادرًا على أن تقدِّم حججًا مُضادّةً للدفاع عن تأليف موسى للسفر. </w:t>
      </w:r>
    </w:p>
    <w:p w14:paraId="6F41FBD7" w14:textId="5A7585EC" w:rsidR="0020079F" w:rsidRPr="004E0B35" w:rsidRDefault="0020079F" w:rsidP="0020079F">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4E0B35">
        <w:rPr>
          <w:rFonts w:ascii="Simplified Arabic" w:eastAsia="Calibri" w:hAnsi="Simplified Arabic" w:cs="Simplified Arabic"/>
          <w:kern w:val="0"/>
          <w:sz w:val="26"/>
          <w:szCs w:val="26"/>
          <w:rtl/>
          <w14:ligatures w14:val="none"/>
        </w:rPr>
        <w:t xml:space="preserve">أن تطبق دروسًا عديدة تعلَّمتَها عن الطاعة في ضوء اختبار شعب إسرائيل. </w:t>
      </w:r>
    </w:p>
    <w:p w14:paraId="699FA053" w14:textId="4D0BD36C" w:rsidR="0020079F" w:rsidRPr="004E0B35" w:rsidRDefault="0020079F" w:rsidP="0020079F">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4E0B35">
        <w:rPr>
          <w:rFonts w:ascii="Simplified Arabic" w:eastAsia="Calibri" w:hAnsi="Simplified Arabic" w:cs="Simplified Arabic"/>
          <w:kern w:val="0"/>
          <w:sz w:val="26"/>
          <w:szCs w:val="26"/>
          <w:rtl/>
          <w14:ligatures w14:val="none"/>
        </w:rPr>
        <w:t>أن تدرِك بعمق أكبر من قبل ضرورة</w:t>
      </w:r>
      <w:r w:rsidR="00DF784C">
        <w:rPr>
          <w:rFonts w:ascii="Simplified Arabic" w:eastAsia="Calibri" w:hAnsi="Simplified Arabic" w:cs="Simplified Arabic" w:hint="cs"/>
          <w:kern w:val="0"/>
          <w:sz w:val="26"/>
          <w:szCs w:val="26"/>
          <w:rtl/>
          <w14:ligatures w14:val="none"/>
        </w:rPr>
        <w:t>َ</w:t>
      </w:r>
      <w:r w:rsidRPr="004E0B35">
        <w:rPr>
          <w:rFonts w:ascii="Simplified Arabic" w:eastAsia="Calibri" w:hAnsi="Simplified Arabic" w:cs="Simplified Arabic"/>
          <w:kern w:val="0"/>
          <w:sz w:val="26"/>
          <w:szCs w:val="26"/>
          <w:rtl/>
          <w14:ligatures w14:val="none"/>
        </w:rPr>
        <w:t xml:space="preserve"> أن تحبّ الرب لتعيش حياة الطاعة. </w:t>
      </w:r>
    </w:p>
    <w:p w14:paraId="4719E9AE" w14:textId="330BAE50" w:rsidR="0020079F" w:rsidRPr="004E0B35" w:rsidRDefault="0020079F" w:rsidP="0020079F">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4E0B35">
        <w:rPr>
          <w:rFonts w:ascii="Simplified Arabic" w:eastAsia="Calibri" w:hAnsi="Simplified Arabic" w:cs="Simplified Arabic"/>
          <w:kern w:val="0"/>
          <w:sz w:val="26"/>
          <w:szCs w:val="26"/>
          <w:rtl/>
          <w14:ligatures w14:val="none"/>
        </w:rPr>
        <w:t xml:space="preserve">أن تبيّن عدد البركات التي وُعِد بها للأمة على طاعتها، وكذلك اللعنات (التأديب) التي يمكنهم توقُّع مجيئها بسبب عصيانهم بنود العهد. </w:t>
      </w:r>
    </w:p>
    <w:p w14:paraId="622AFA8B" w14:textId="5E8E5639" w:rsidR="0020079F" w:rsidRPr="004E0B35" w:rsidRDefault="0020079F" w:rsidP="0020079F">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4E0B35">
        <w:rPr>
          <w:rFonts w:ascii="Simplified Arabic" w:eastAsia="Calibri" w:hAnsi="Simplified Arabic" w:cs="Simplified Arabic"/>
          <w:kern w:val="0"/>
          <w:sz w:val="26"/>
          <w:szCs w:val="26"/>
          <w:rtl/>
          <w14:ligatures w14:val="none"/>
        </w:rPr>
        <w:t xml:space="preserve">أن تحدِّد وتلخِّص المقطع الذي يقدِّم خطّة الله لردّ الأمّة. </w:t>
      </w:r>
    </w:p>
    <w:p w14:paraId="3781D9D9" w14:textId="7BCD74E2" w:rsidR="00BE411E" w:rsidRPr="007A4B15" w:rsidRDefault="00E22EC9" w:rsidP="00E22EC9">
      <w:pPr>
        <w:pStyle w:val="Heading3"/>
        <w:bidi/>
        <w:spacing w:line="240" w:lineRule="auto"/>
      </w:pPr>
      <w:r>
        <w:rPr>
          <w:rFonts w:hint="cs"/>
          <w:rtl/>
        </w:rPr>
        <w:t>الموضوع 1: مُقدِّمة إلى سفر التثنية</w:t>
      </w:r>
    </w:p>
    <w:p w14:paraId="0B8F377F" w14:textId="08EA8CFA" w:rsidR="00BE411E" w:rsidRPr="007A4B15" w:rsidRDefault="00BE411E" w:rsidP="002F0BF2">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rtl/>
          <w:lang w:bidi="ar-JO"/>
          <w14:ligatures w14:val="none"/>
        </w:rPr>
      </w:pPr>
      <w:r w:rsidRPr="007A4B15">
        <w:rPr>
          <w:rFonts w:ascii="Verdana" w:eastAsia="Calibri" w:hAnsi="Verdana" w:cs="Times New Roman"/>
          <w:b/>
          <w:caps/>
          <w:noProof/>
          <w:color w:val="006699"/>
          <w:kern w:val="0"/>
          <w:sz w:val="21"/>
          <w:szCs w:val="24"/>
          <w14:ligatures w14:val="none"/>
        </w:rPr>
        <w:drawing>
          <wp:inline distT="0" distB="0" distL="0" distR="0" wp14:anchorId="01602DE5" wp14:editId="61CD4AEF">
            <wp:extent cx="613692" cy="541464"/>
            <wp:effectExtent l="0" t="0" r="0" b="0"/>
            <wp:docPr id="917082530" name="Picture 917082530"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2F0BF2" w:rsidRPr="002F0BF2">
        <w:rPr>
          <w:rFonts w:ascii="Verdana" w:eastAsia="Calibri" w:hAnsi="Verdana" w:cs="Times New Roman" w:hint="cs"/>
          <w:bCs/>
          <w:caps/>
          <w:color w:val="006699"/>
          <w:kern w:val="0"/>
          <w:sz w:val="21"/>
          <w:szCs w:val="24"/>
          <w:u w:val="single"/>
          <w:rtl/>
          <w:lang w:bidi="ar-JO"/>
          <w14:ligatures w14:val="none"/>
        </w:rPr>
        <w:t>القراءة:</w:t>
      </w:r>
    </w:p>
    <w:p w14:paraId="1050B890" w14:textId="135BF6C8" w:rsidR="00BE411E" w:rsidRPr="002B24E1" w:rsidRDefault="00BE411E" w:rsidP="002F0BF2">
      <w:pPr>
        <w:bidi/>
        <w:spacing w:line="240" w:lineRule="auto"/>
        <w:rPr>
          <w:b/>
          <w:bCs/>
        </w:rPr>
      </w:pPr>
      <w:r>
        <w:tab/>
      </w:r>
      <w:r>
        <w:tab/>
      </w:r>
      <w:r w:rsidR="002F0BF2">
        <w:rPr>
          <w:rFonts w:hint="cs"/>
          <w:rtl/>
        </w:rPr>
        <w:t xml:space="preserve">اقرأ </w:t>
      </w:r>
      <w:r w:rsidR="00DF784C">
        <w:rPr>
          <w:rFonts w:hint="cs"/>
          <w:rtl/>
        </w:rPr>
        <w:t xml:space="preserve">يوجين </w:t>
      </w:r>
      <w:r w:rsidR="002F0BF2">
        <w:rPr>
          <w:rFonts w:hint="cs"/>
          <w:rtl/>
        </w:rPr>
        <w:t xml:space="preserve">ميرل، </w:t>
      </w:r>
      <w:r w:rsidR="002F0BF2" w:rsidRPr="002F0BF2">
        <w:rPr>
          <w:rFonts w:hint="cs"/>
          <w:u w:val="single"/>
          <w:rtl/>
        </w:rPr>
        <w:t>لاهوت العهد القديم الكتابي</w:t>
      </w:r>
      <w:r w:rsidR="002F0BF2">
        <w:rPr>
          <w:rFonts w:hint="cs"/>
          <w:rtl/>
        </w:rPr>
        <w:t>، "لاهوت سفر العدد".</w:t>
      </w:r>
    </w:p>
    <w:bookmarkEnd w:id="129"/>
    <w:p w14:paraId="03C53359" w14:textId="4DEA86FA" w:rsidR="00BE411E" w:rsidRDefault="00070B6E"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strike/>
          <w:kern w:val="0"/>
          <w:szCs w:val="24"/>
          <w14:ligatures w14:val="none"/>
        </w:rPr>
      </w:pPr>
      <w:r>
        <w:rPr>
          <w:rFonts w:eastAsia="Calibri" w:cs="Times New Roman"/>
          <w:strike/>
          <w:noProof/>
          <w:kern w:val="0"/>
          <w:szCs w:val="24"/>
          <w14:ligatures w14:val="none"/>
        </w:rPr>
        <w:drawing>
          <wp:inline distT="0" distB="0" distL="0" distR="0" wp14:anchorId="5BF4A8A1" wp14:editId="6F4BE704">
            <wp:extent cx="5935980" cy="4137660"/>
            <wp:effectExtent l="0" t="0" r="0" b="0"/>
            <wp:docPr id="15185515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5980" cy="4137660"/>
                    </a:xfrm>
                    <a:prstGeom prst="rect">
                      <a:avLst/>
                    </a:prstGeom>
                    <a:noFill/>
                    <a:ln>
                      <a:noFill/>
                    </a:ln>
                  </pic:spPr>
                </pic:pic>
              </a:graphicData>
            </a:graphic>
          </wp:inline>
        </w:drawing>
      </w:r>
    </w:p>
    <w:p w14:paraId="406E123F" w14:textId="77777777" w:rsidR="00070B6E" w:rsidRPr="00070B6E" w:rsidRDefault="00070B6E" w:rsidP="002D6C54">
      <w:pPr>
        <w:bidi/>
        <w:spacing w:after="0" w:line="240" w:lineRule="auto"/>
        <w:jc w:val="center"/>
        <w:rPr>
          <w:rFonts w:eastAsia="Times New Roman" w:cs="Traditional Arabic Backslanted"/>
          <w:bCs/>
          <w:color w:val="auto"/>
          <w:kern w:val="0"/>
          <w:szCs w:val="28"/>
          <w:rtl/>
          <w:lang w:bidi="ar-JO"/>
          <w14:ligatures w14:val="none"/>
        </w:rPr>
      </w:pPr>
    </w:p>
    <w:p w14:paraId="59BED865"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1.</w:t>
      </w:r>
      <w:r w:rsidRPr="00070B6E">
        <w:rPr>
          <w:rFonts w:eastAsia="Times New Roman" w:cs="DecoType Naskh" w:hint="cs"/>
          <w:bCs/>
          <w:color w:val="auto"/>
          <w:kern w:val="0"/>
          <w:szCs w:val="28"/>
          <w:rtl/>
          <w:lang w:bidi="ar-JO"/>
          <w14:ligatures w14:val="none"/>
        </w:rPr>
        <w:tab/>
        <w:t>مقدمة</w:t>
      </w:r>
    </w:p>
    <w:p w14:paraId="09808EE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lastRenderedPageBreak/>
        <w:t>لا يمثل سفر التثنية فترة تاريخية أخرى من الزمن في تاريخ إسرائيل، لكنه يمثّل مناسبة فريدة تحدّث فيها موسى للجيل الجديد من بني إسرائيل قبل دخولهم مباشرة إلى أرض كنعان.  ألقى موسى هذا الخطاب في سهول موآب على الجانب الشرقي من نهر الأردن.  وتتضمن خلفية هذا المشهد الشعب الذي يوشك على عبور النهر وغزو الأرض لكي يسكنوا هناك ويبارَكوا من الله.  غير أنهم يحتاجون إلى "موعظة" جيدة في هذا الوقت لئلا يعتقدوا أن بإمكانهم أن يتراخوا في إيمانهم وطاعتهم بعد دخول الأرض.</w:t>
      </w:r>
    </w:p>
    <w:p w14:paraId="23F7298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p>
    <w:p w14:paraId="5C020D2B" w14:textId="6FBCE16D"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والسفر وعظي جداً حقاً.  تقول تثنية 1: 5: "</w:t>
      </w:r>
      <w:r w:rsidRPr="00070B6E">
        <w:rPr>
          <w:rFonts w:eastAsia="Times New Roman" w:cs="DecoType Naskh" w:hint="cs"/>
          <w:i/>
          <w:iCs/>
          <w:color w:val="auto"/>
          <w:kern w:val="0"/>
          <w:szCs w:val="26"/>
          <w:rtl/>
          <w:lang w:bidi="ar-JO"/>
          <w14:ligatures w14:val="none"/>
        </w:rPr>
        <w:t>في عبر الأردن، في أرض موآب، ابتدأ موسى يشرح هذه الشريعة</w:t>
      </w:r>
      <w:r w:rsidRPr="00070B6E">
        <w:rPr>
          <w:rFonts w:eastAsia="Times New Roman" w:cs="DecoType Naskh" w:hint="cs"/>
          <w:color w:val="auto"/>
          <w:kern w:val="0"/>
          <w:szCs w:val="26"/>
          <w:rtl/>
          <w:lang w:bidi="ar-JO"/>
          <w14:ligatures w14:val="none"/>
        </w:rPr>
        <w:t xml:space="preserve">."  لم يكن هذا مجرّد مراجعة لما تطالب به الشريعة؛ بل كان بشكلٍ أساسي عظة </w:t>
      </w:r>
      <w:r w:rsidRPr="00070B6E">
        <w:rPr>
          <w:rFonts w:eastAsia="Times New Roman" w:cs="DecoType Naskh" w:hint="cs"/>
          <w:color w:val="auto"/>
          <w:kern w:val="0"/>
          <w:szCs w:val="26"/>
          <w:u w:val="single"/>
          <w:rtl/>
          <w:lang w:bidi="ar-JO"/>
          <w14:ligatures w14:val="none"/>
        </w:rPr>
        <w:t>تحريضية</w:t>
      </w:r>
      <w:r w:rsidRPr="00070B6E">
        <w:rPr>
          <w:rFonts w:eastAsia="Times New Roman" w:cs="DecoType Naskh" w:hint="cs"/>
          <w:color w:val="auto"/>
          <w:kern w:val="0"/>
          <w:szCs w:val="26"/>
          <w:rtl/>
          <w:lang w:bidi="ar-JO"/>
          <w14:ligatures w14:val="none"/>
        </w:rPr>
        <w:t xml:space="preserve"> تكشف قلب الشريعة وتقدّم حوافز للطاعة.  فلا بد أن تأتي الطاعة الحقيقية من محبّة المرء ليهوه (تثنية 6: 4-6)، وبدون طاعة الله لن تأتي البركات.  وفي الحقيقة، العصيان سيجلب لعنات وحتى النفي من الأرض.  فدخول الأرض ليس ضماناً بالمحافظة عليها؛ فالميراث يمكن أن يضيع.</w:t>
      </w:r>
    </w:p>
    <w:p w14:paraId="55C009A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p>
    <w:p w14:paraId="433E4B9E" w14:textId="38ECA00C"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14:ligatures w14:val="none"/>
        </w:rPr>
      </w:pPr>
      <w:r w:rsidRPr="00070B6E">
        <w:rPr>
          <w:rFonts w:eastAsia="Times New Roman" w:cs="DecoType Naskh" w:hint="cs"/>
          <w:color w:val="auto"/>
          <w:kern w:val="0"/>
          <w:szCs w:val="26"/>
          <w:rtl/>
          <w:lang w:bidi="ar-JO"/>
          <w14:ligatures w14:val="none"/>
        </w:rPr>
        <w:t>وسنتناول في بحثنا هذا رأي الباحثين الانتقاديين الذين يجمعون عملياً على رفضهم حقيقة أن موسى هو كاتب السفر.  وهم ينسبون السفر إلى مؤرخ "تثنوي" مجهول في القرن السابع ق م.</w:t>
      </w:r>
      <w:r w:rsidRPr="00070B6E">
        <w:rPr>
          <w:rFonts w:eastAsia="Times New Roman" w:cs="DecoType Naskh"/>
          <w:color w:val="auto"/>
          <w:kern w:val="0"/>
          <w:sz w:val="30"/>
          <w:szCs w:val="28"/>
          <w:vertAlign w:val="superscript"/>
          <w:rtl/>
          <w:lang w:bidi="ar-JO"/>
          <w14:ligatures w14:val="none"/>
        </w:rPr>
        <w:footnoteReference w:customMarkFollows="1" w:id="116"/>
        <w:t>1</w:t>
      </w:r>
      <w:r w:rsidRPr="00070B6E">
        <w:rPr>
          <w:rFonts w:eastAsia="Times New Roman" w:cs="DecoType Naskh" w:hint="cs"/>
          <w:color w:val="auto"/>
          <w:kern w:val="0"/>
          <w:szCs w:val="26"/>
          <w:rtl/>
          <w:lang w:bidi="ar-JO"/>
          <w14:ligatures w14:val="none"/>
        </w:rPr>
        <w:t xml:space="preserve"> وسنقدم تفنيداً لهذه النظرية في بحث منفصل [انظر الدرس المعنون "النظرية التثنوية"].</w:t>
      </w:r>
    </w:p>
    <w:p w14:paraId="47E7B5F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p>
    <w:p w14:paraId="1F3D1FE6"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2.</w:t>
      </w:r>
      <w:r w:rsidRPr="00070B6E">
        <w:rPr>
          <w:rFonts w:eastAsia="Times New Roman" w:cs="DecoType Naskh" w:hint="cs"/>
          <w:bCs/>
          <w:color w:val="auto"/>
          <w:kern w:val="0"/>
          <w:szCs w:val="28"/>
          <w:rtl/>
          <w:lang w:bidi="ar-JO"/>
          <w14:ligatures w14:val="none"/>
        </w:rPr>
        <w:tab/>
        <w:t>تعليقات عامّة</w:t>
      </w:r>
    </w:p>
    <w:p w14:paraId="06FD7980"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أ.</w:t>
      </w:r>
      <w:r w:rsidRPr="00070B6E">
        <w:rPr>
          <w:rFonts w:eastAsia="Times New Roman" w:cs="DecoType Naskh" w:hint="cs"/>
          <w:bCs/>
          <w:color w:val="auto"/>
          <w:kern w:val="0"/>
          <w:szCs w:val="26"/>
          <w:rtl/>
          <w14:ligatures w14:val="none"/>
        </w:rPr>
        <w:tab/>
        <w:t xml:space="preserve">عنوان السفر </w:t>
      </w:r>
    </w:p>
    <w:p w14:paraId="452AC6CB"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لم يكن العنوان الحالي للسفر (التثنية) هو الاسم الذي يعرف به دائماً.  فقد كان شائعاً لدى اليهود باسم</w:t>
      </w:r>
      <w:r w:rsidRPr="00070B6E">
        <w:rPr>
          <w:rFonts w:eastAsia="Times New Roman" w:cs="DecoType Naskh" w:hint="cs"/>
          <w:color w:val="auto"/>
          <w:kern w:val="0"/>
          <w:szCs w:val="26"/>
          <w:rtl/>
          <w14:ligatures w14:val="none"/>
        </w:rPr>
        <w:t xml:space="preserve"> </w:t>
      </w:r>
      <w:r w:rsidRPr="00070B6E">
        <w:rPr>
          <w:rFonts w:ascii="Charis SIL" w:eastAsia="Times New Roman" w:hAnsi="Charis SIL" w:cs="Charis SIL"/>
          <w:bCs/>
          <w:i/>
          <w:iCs/>
          <w:color w:val="auto"/>
          <w:kern w:val="0"/>
          <w:szCs w:val="26"/>
          <w:lang w:bidi="ar-JO"/>
          <w14:ligatures w14:val="none"/>
        </w:rPr>
        <w:t xml:space="preserve">ʾēlleh </w:t>
      </w:r>
      <w:proofErr w:type="spellStart"/>
      <w:r w:rsidRPr="00070B6E">
        <w:rPr>
          <w:rFonts w:ascii="Hebrewtl" w:eastAsia="Times New Roman" w:hAnsi="Hebrewtl" w:cs="DecoType Naskh"/>
          <w:color w:val="auto"/>
          <w:kern w:val="0"/>
          <w:szCs w:val="26"/>
          <w14:ligatures w14:val="none"/>
        </w:rPr>
        <w:t>h^DD+b</w:t>
      </w:r>
      <w:proofErr w:type="spellEnd"/>
      <w:r w:rsidRPr="00070B6E">
        <w:rPr>
          <w:rFonts w:ascii="Hebrewtl" w:eastAsia="Times New Roman" w:hAnsi="Hebrewtl" w:cs="DecoType Naskh"/>
          <w:color w:val="auto"/>
          <w:kern w:val="0"/>
          <w:szCs w:val="26"/>
          <w14:ligatures w14:val="none"/>
        </w:rPr>
        <w:t>*</w:t>
      </w:r>
      <w:proofErr w:type="spellStart"/>
      <w:r w:rsidRPr="00070B6E">
        <w:rPr>
          <w:rFonts w:ascii="Hebrewtl" w:eastAsia="Times New Roman" w:hAnsi="Hebrewtl" w:cs="DecoType Naskh"/>
          <w:color w:val="auto"/>
          <w:kern w:val="0"/>
          <w:szCs w:val="26"/>
          <w14:ligatures w14:val="none"/>
        </w:rPr>
        <w:t>r'm</w:t>
      </w:r>
      <w:proofErr w:type="spellEnd"/>
      <w:r w:rsidRPr="00070B6E">
        <w:rPr>
          <w:rFonts w:eastAsia="Times New Roman" w:cs="DecoType Naskh" w:hint="cs"/>
          <w:color w:val="auto"/>
          <w:kern w:val="0"/>
          <w:szCs w:val="26"/>
          <w:rtl/>
          <w:lang w:bidi="ar-JO"/>
          <w14:ligatures w14:val="none"/>
        </w:rPr>
        <w:t xml:space="preserve"> "</w:t>
      </w:r>
      <w:r w:rsidRPr="00070B6E">
        <w:rPr>
          <w:rFonts w:eastAsia="Times New Roman" w:cs="DecoType Naskh" w:hint="cs"/>
          <w:i/>
          <w:iCs/>
          <w:color w:val="auto"/>
          <w:kern w:val="0"/>
          <w:szCs w:val="26"/>
          <w:rtl/>
          <w:lang w:bidi="ar-JO"/>
          <w14:ligatures w14:val="none"/>
        </w:rPr>
        <w:t xml:space="preserve">إِلِّه هَدِّفاريم" </w:t>
      </w:r>
      <w:r w:rsidRPr="00070B6E">
        <w:rPr>
          <w:rFonts w:eastAsia="Times New Roman" w:cs="DecoType Naskh" w:hint="cs"/>
          <w:color w:val="auto"/>
          <w:kern w:val="0"/>
          <w:szCs w:val="26"/>
          <w:rtl/>
          <w:lang w:bidi="ar-JO"/>
          <w14:ligatures w14:val="none"/>
        </w:rPr>
        <w:t xml:space="preserve">("هذه هي الكلمات")، أي "هذا هو الكلام" كما يبدأ العدد الأول من السفر.  وقد استخدم تعبير </w:t>
      </w:r>
      <w:r w:rsidRPr="00070B6E">
        <w:rPr>
          <w:rFonts w:ascii="Charis SIL" w:eastAsia="Times New Roman" w:hAnsi="Charis SIL" w:cs="Charis SIL"/>
          <w:bCs/>
          <w:i/>
          <w:iCs/>
          <w:color w:val="auto"/>
          <w:kern w:val="0"/>
          <w:szCs w:val="26"/>
          <w:lang w:bidi="ar-JO"/>
          <w14:ligatures w14:val="none"/>
        </w:rPr>
        <w:t>mišnĕh</w:t>
      </w:r>
      <w:r w:rsidRPr="00070B6E">
        <w:rPr>
          <w:rFonts w:eastAsia="Times New Roman" w:cs="DecoType Naskh" w:hint="cs"/>
          <w:color w:val="auto"/>
          <w:kern w:val="0"/>
          <w:szCs w:val="26"/>
          <w:rtl/>
          <w:lang w:bidi="ar-JO"/>
          <w14:ligatures w14:val="none"/>
        </w:rPr>
        <w:t xml:space="preserve"> (</w:t>
      </w:r>
      <w:r w:rsidRPr="00070B6E">
        <w:rPr>
          <w:rFonts w:eastAsia="Times New Roman" w:cs="DecoType Naskh" w:hint="cs"/>
          <w:i/>
          <w:iCs/>
          <w:color w:val="auto"/>
          <w:kern w:val="0"/>
          <w:szCs w:val="26"/>
          <w:rtl/>
          <w:lang w:bidi="ar-JO"/>
          <w14:ligatures w14:val="none"/>
        </w:rPr>
        <w:t>مِشنا)</w:t>
      </w:r>
      <w:r w:rsidRPr="00070B6E">
        <w:rPr>
          <w:rFonts w:eastAsia="Times New Roman" w:cs="DecoType Naskh" w:hint="cs"/>
          <w:color w:val="auto"/>
          <w:kern w:val="0"/>
          <w:szCs w:val="26"/>
          <w:rtl/>
          <w:lang w:bidi="ar-JO"/>
          <w14:ligatures w14:val="none"/>
        </w:rPr>
        <w:t xml:space="preserve"> أحياناً للإشارة إلى سفر التثنية (مشتق من 17: 18 </w:t>
      </w:r>
      <w:r w:rsidRPr="00070B6E">
        <w:rPr>
          <w:rFonts w:eastAsia="Times New Roman" w:cs="DecoType Naskh"/>
          <w:color w:val="auto"/>
          <w:kern w:val="0"/>
          <w:szCs w:val="26"/>
          <w:rtl/>
          <w:lang w:bidi="ar-JO"/>
          <w14:ligatures w14:val="none"/>
        </w:rPr>
        <w:t>–</w:t>
      </w:r>
      <w:r w:rsidRPr="00070B6E">
        <w:rPr>
          <w:rFonts w:eastAsia="Times New Roman" w:cs="DecoType Naskh" w:hint="cs"/>
          <w:color w:val="auto"/>
          <w:kern w:val="0"/>
          <w:szCs w:val="26"/>
          <w:rtl/>
          <w:lang w:bidi="ar-JO"/>
          <w14:ligatures w14:val="none"/>
        </w:rPr>
        <w:t xml:space="preserve"> "نسخة [</w:t>
      </w:r>
      <w:r w:rsidRPr="00070B6E">
        <w:rPr>
          <w:rFonts w:ascii="Ezra SIL" w:eastAsia="Times New Roman" w:hAnsi="Ezra SIL" w:cs="Ezra SIL" w:hint="cs"/>
          <w:b/>
          <w:i/>
          <w:color w:val="auto"/>
          <w:kern w:val="0"/>
          <w:sz w:val="20"/>
          <w:szCs w:val="20"/>
          <w:rtl/>
          <w:lang w:bidi="he-IL"/>
          <w14:ligatures w14:val="none"/>
        </w:rPr>
        <w:t>מִשְׁנֵה</w:t>
      </w:r>
      <w:r w:rsidRPr="00070B6E">
        <w:rPr>
          <w:rFonts w:eastAsia="Times New Roman" w:cs="DecoType Naskh" w:hint="cs"/>
          <w:color w:val="auto"/>
          <w:kern w:val="0"/>
          <w:szCs w:val="26"/>
          <w:rtl/>
          <w:lang w:bidi="ar-JO"/>
          <w14:ligatures w14:val="none"/>
        </w:rPr>
        <w:t>] من هذه الشريعة").</w:t>
      </w:r>
    </w:p>
    <w:p w14:paraId="1519226E"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p>
    <w:p w14:paraId="004A90C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ولقد أخطأت الترجمة السبعينية (الترجمة اليونانية للعهد القديم في القرن الثالث ق م) بترجمة تعبير "نسخة من هذه الشريعة "في 17: 18 إلى </w:t>
      </w:r>
      <w:r w:rsidRPr="00070B6E">
        <w:rPr>
          <w:rFonts w:eastAsia="Times New Roman" w:cs="DecoType Naskh"/>
          <w:i/>
          <w:iCs/>
          <w:color w:val="auto"/>
          <w:kern w:val="0"/>
          <w:szCs w:val="26"/>
          <w14:ligatures w14:val="none"/>
        </w:rPr>
        <w:t>to</w:t>
      </w:r>
      <w:r w:rsidRPr="00070B6E">
        <w:rPr>
          <w:rFonts w:eastAsia="Times New Roman" w:cs="DecoType Naskh"/>
          <w:color w:val="auto"/>
          <w:kern w:val="0"/>
          <w:szCs w:val="26"/>
          <w14:ligatures w14:val="none"/>
        </w:rPr>
        <w:t xml:space="preserve"> </w:t>
      </w:r>
      <w:r w:rsidRPr="00070B6E">
        <w:rPr>
          <w:rFonts w:eastAsia="Times New Roman" w:cs="DecoType Naskh"/>
          <w:i/>
          <w:iCs/>
          <w:color w:val="auto"/>
          <w:kern w:val="0"/>
          <w:szCs w:val="26"/>
          <w14:ligatures w14:val="none"/>
        </w:rPr>
        <w:t>deuteronomion touto</w:t>
      </w:r>
      <w:r w:rsidRPr="00070B6E">
        <w:rPr>
          <w:rFonts w:eastAsia="Times New Roman" w:cs="DecoType Naskh" w:hint="cs"/>
          <w:color w:val="auto"/>
          <w:kern w:val="0"/>
          <w:szCs w:val="26"/>
          <w:rtl/>
          <w:lang w:bidi="ar-JO"/>
          <w14:ligatures w14:val="none"/>
        </w:rPr>
        <w:t xml:space="preserve"> ، أي "هذه الشريعة الثانية"، بمعنى "هذه الشريعة المكررة".  ومن هنا ترجمت الفَلجاتا اللاتينية الاسم اليوناني إلى </w:t>
      </w:r>
      <w:r w:rsidRPr="00070B6E">
        <w:rPr>
          <w:rFonts w:eastAsia="Times New Roman" w:cs="DecoType Naskh"/>
          <w:i/>
          <w:iCs/>
          <w:color w:val="auto"/>
          <w:kern w:val="0"/>
          <w:szCs w:val="26"/>
          <w14:ligatures w14:val="none"/>
        </w:rPr>
        <w:t>deuteronomion</w:t>
      </w:r>
      <w:r w:rsidRPr="00070B6E">
        <w:rPr>
          <w:rFonts w:eastAsia="Times New Roman" w:cs="DecoType Naskh" w:hint="cs"/>
          <w:color w:val="auto"/>
          <w:kern w:val="0"/>
          <w:szCs w:val="26"/>
          <w:rtl/>
          <w:lang w:bidi="ar-JO"/>
          <w14:ligatures w14:val="none"/>
        </w:rPr>
        <w:t xml:space="preserve"> (التي اشتقت منها كلمة تثنية بالإنجليزية (</w:t>
      </w:r>
      <w:r w:rsidRPr="00070B6E">
        <w:rPr>
          <w:rFonts w:eastAsia="Times New Roman" w:cs="DecoType Naskh"/>
          <w:color w:val="auto"/>
          <w:kern w:val="0"/>
          <w:szCs w:val="26"/>
          <w14:ligatures w14:val="none"/>
        </w:rPr>
        <w:t>Deuteronomy</w:t>
      </w:r>
      <w:r w:rsidRPr="00070B6E">
        <w:rPr>
          <w:rFonts w:eastAsia="Times New Roman" w:cs="DecoType Naskh" w:hint="cs"/>
          <w:color w:val="auto"/>
          <w:kern w:val="0"/>
          <w:szCs w:val="26"/>
          <w:rtl/>
          <w:lang w:bidi="ar-JO"/>
          <w14:ligatures w14:val="none"/>
        </w:rPr>
        <w:t xml:space="preserve">)، وقد اعتُبرت المحتويات شريعة ثانية             ( </w:t>
      </w:r>
      <w:r w:rsidRPr="00070B6E">
        <w:rPr>
          <w:rFonts w:eastAsia="Times New Roman" w:cs="DecoType Naskh"/>
          <w:i/>
          <w:iCs/>
          <w:color w:val="auto"/>
          <w:kern w:val="0"/>
          <w:szCs w:val="26"/>
          <w14:ligatures w14:val="none"/>
        </w:rPr>
        <w:t>deuteros</w:t>
      </w:r>
      <w:r w:rsidRPr="00070B6E">
        <w:rPr>
          <w:rFonts w:eastAsia="Times New Roman" w:cs="DecoType Naskh" w:hint="cs"/>
          <w:color w:val="auto"/>
          <w:kern w:val="0"/>
          <w:szCs w:val="26"/>
          <w:rtl/>
          <w:lang w:bidi="ar-JO"/>
          <w14:ligatures w14:val="none"/>
        </w:rPr>
        <w:t xml:space="preserve">= ثانية؛ </w:t>
      </w:r>
      <w:r w:rsidRPr="00070B6E">
        <w:rPr>
          <w:rFonts w:eastAsia="Times New Roman" w:cs="DecoType Naskh"/>
          <w:i/>
          <w:iCs/>
          <w:color w:val="auto"/>
          <w:kern w:val="0"/>
          <w:szCs w:val="26"/>
          <w14:ligatures w14:val="none"/>
        </w:rPr>
        <w:t>nomos</w:t>
      </w:r>
      <w:r w:rsidRPr="00070B6E">
        <w:rPr>
          <w:rFonts w:eastAsia="Times New Roman" w:cs="DecoType Naskh" w:hint="cs"/>
          <w:color w:val="auto"/>
          <w:kern w:val="0"/>
          <w:szCs w:val="26"/>
          <w:rtl/>
          <w:lang w:bidi="ar-JO"/>
          <w14:ligatures w14:val="none"/>
        </w:rPr>
        <w:t xml:space="preserve">= شريعة). </w:t>
      </w:r>
    </w:p>
    <w:p w14:paraId="47A112A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i/>
          <w:iCs/>
          <w:color w:val="auto"/>
          <w:kern w:val="0"/>
          <w:szCs w:val="26"/>
          <w:rtl/>
          <w:lang w:bidi="ar-JO"/>
          <w14:ligatures w14:val="none"/>
        </w:rPr>
        <w:t xml:space="preserve"> </w:t>
      </w:r>
      <w:r w:rsidRPr="00070B6E">
        <w:rPr>
          <w:rFonts w:eastAsia="Times New Roman" w:cs="DecoType Naskh" w:hint="cs"/>
          <w:color w:val="auto"/>
          <w:kern w:val="0"/>
          <w:szCs w:val="26"/>
          <w:rtl/>
          <w:lang w:bidi="ar-JO"/>
          <w14:ligatures w14:val="none"/>
        </w:rPr>
        <w:t xml:space="preserve">  </w:t>
      </w:r>
    </w:p>
    <w:p w14:paraId="0956AF1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وعلى الرغم من أن العنوان جاء من ترجمة خاطئة للأصل العبري، فإنه ليس عنواناً غير سليم.  إذ يتضمن الوضع التاريخي للسفر الجيل الجديد لبني إسرائيل الذين حلّوا محل جيل الخروج الذي مات وانقرض في البرية.  وها هو موسى يدعو هذا الجيل إلى ربط أنفسهم بعهد مع الشريعة.</w:t>
      </w:r>
    </w:p>
    <w:p w14:paraId="5D882D0B"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p>
    <w:p w14:paraId="4C34EC77"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lastRenderedPageBreak/>
        <w:t>ب.</w:t>
      </w:r>
      <w:r w:rsidRPr="00070B6E">
        <w:rPr>
          <w:rFonts w:eastAsia="Times New Roman" w:cs="DecoType Naskh" w:hint="cs"/>
          <w:bCs/>
          <w:color w:val="auto"/>
          <w:kern w:val="0"/>
          <w:szCs w:val="26"/>
          <w:rtl/>
          <w14:ligatures w14:val="none"/>
        </w:rPr>
        <w:tab/>
        <w:t>نبرة سفر التثنية</w:t>
      </w:r>
    </w:p>
    <w:p w14:paraId="2560798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ليس سفر التثنية مجرّد إسهاب مطوّل حول الأنظمة التي يجب أن تتبعها أمّة العهد.  ومما لا شك فيه أن هنالك تشريعاً، لكن السفر وعظي في معظمه، أي أنه "إقناع" يقوم به قائد الأمّة الذي سيرحل عمّا قريب لشعبه بأن يطيعوا يهوه.  ويجب أن تأتي هذه الطاعة المتصوَّرة من قلب يحب يهوه.  يقول جي. أ. ثومبسون:</w:t>
      </w:r>
    </w:p>
    <w:p w14:paraId="01232A4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0"/>
          <w:szCs w:val="28"/>
          <w:rtl/>
          <w:lang w:bidi="ar-KW"/>
          <w14:ligatures w14:val="none"/>
        </w:rPr>
      </w:pPr>
      <w:r w:rsidRPr="00070B6E">
        <w:rPr>
          <w:rFonts w:eastAsia="Times New Roman" w:cs="DecoType Naskh" w:hint="cs"/>
          <w:color w:val="auto"/>
          <w:kern w:val="0"/>
          <w:szCs w:val="26"/>
          <w:rtl/>
          <w:lang w:bidi="ar-JO"/>
          <w14:ligatures w14:val="none"/>
        </w:rPr>
        <w:t>يتّسم سفر التثنية بروح الإلحاح والضرورة.  وهو يأتي حتى للقارئ الحديث كعظة تهدف إلى التحدّي والتشجيع، فهو موجّه إلى تحريك عقول السامعين وإرادتهم لاتخاذ قرار: اختاروا الحياة لكي تحيوا أنتم وأبناؤكم (30: 19).  وقد هدف السفر ككل بوضوح إلى إعطاء إسرائيل إرشادات وتعليمهم في إيمانهم وإلى إفهامهم متطلبات إيمانهم.</w:t>
      </w:r>
      <w:r w:rsidRPr="00070B6E">
        <w:rPr>
          <w:rFonts w:eastAsia="Times New Roman" w:cs="DecoType Naskh"/>
          <w:color w:val="auto"/>
          <w:kern w:val="0"/>
          <w:sz w:val="30"/>
          <w:szCs w:val="28"/>
          <w:vertAlign w:val="superscript"/>
          <w:rtl/>
          <w:lang w:bidi="ar-JO"/>
          <w14:ligatures w14:val="none"/>
        </w:rPr>
        <w:footnoteReference w:customMarkFollows="1" w:id="117"/>
        <w:t>2</w:t>
      </w:r>
    </w:p>
    <w:p w14:paraId="3D18BCE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7913DA15"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09A26014"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354C89E7"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3.</w:t>
      </w:r>
      <w:r w:rsidRPr="00070B6E">
        <w:rPr>
          <w:rFonts w:eastAsia="Times New Roman" w:cs="DecoType Naskh" w:hint="cs"/>
          <w:bCs/>
          <w:color w:val="auto"/>
          <w:kern w:val="0"/>
          <w:szCs w:val="28"/>
          <w:rtl/>
          <w:lang w:bidi="ar-JO"/>
          <w14:ligatures w14:val="none"/>
        </w:rPr>
        <w:tab/>
        <w:t>مسألة تاريخ كتابة السفر وهوية كاتبه</w:t>
      </w:r>
    </w:p>
    <w:p w14:paraId="545323F4" w14:textId="41350C60"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يطبق الباحثون على البحث في مسألة زمن الكتابة أي سفر من الأسفار المقدّسة وهوية كاتبه اسم "النقد الأعلى</w:t>
      </w:r>
      <w:r w:rsidRPr="00070B6E">
        <w:rPr>
          <w:rFonts w:eastAsia="Times New Roman" w:cs="DecoType Naskh" w:hint="cs"/>
          <w:color w:val="auto"/>
          <w:kern w:val="0"/>
          <w:szCs w:val="26"/>
          <w:rtl/>
          <w14:ligatures w14:val="none"/>
        </w:rPr>
        <w:t>.</w:t>
      </w:r>
      <w:r w:rsidRPr="00070B6E">
        <w:rPr>
          <w:rFonts w:eastAsia="Times New Roman" w:cs="DecoType Naskh" w:hint="cs"/>
          <w:color w:val="auto"/>
          <w:kern w:val="0"/>
          <w:szCs w:val="26"/>
          <w:rtl/>
          <w:lang w:bidi="ar-JO"/>
          <w14:ligatures w14:val="none"/>
        </w:rPr>
        <w:t>"  وهذه ممارسة ملائمة في حد ذاتها، لأنه يتوجب علينا أن نعرف الكاتب وتاريخ الكتابة لكي نتمكن من فهم الوضع التاريخي الذي كُتب فيه السفر فهماً صحيحاً بالإضافة إلى جمهور القرّاء الأصليين للسفر.  ولسوء الحظ، كان سفر التثنية أحد أكثر أسفار العهد القديم تعرّضاً للطعن والشك في هذين الأمرين. ويعتبر الإنجيليون بشكل عام أن</w:t>
      </w:r>
      <w:r w:rsidR="00DF784C">
        <w:rPr>
          <w:rFonts w:eastAsia="Times New Roman" w:cs="DecoType Naskh" w:hint="cs"/>
          <w:color w:val="auto"/>
          <w:kern w:val="0"/>
          <w:szCs w:val="26"/>
          <w:rtl/>
          <w:lang w:bidi="ar-JO"/>
          <w14:ligatures w14:val="none"/>
        </w:rPr>
        <w:t>ّ</w:t>
      </w:r>
      <w:r w:rsidRPr="00070B6E">
        <w:rPr>
          <w:rFonts w:eastAsia="Times New Roman" w:cs="DecoType Naskh" w:hint="cs"/>
          <w:color w:val="auto"/>
          <w:kern w:val="0"/>
          <w:szCs w:val="26"/>
          <w:rtl/>
          <w:lang w:bidi="ar-JO"/>
          <w14:ligatures w14:val="none"/>
        </w:rPr>
        <w:t xml:space="preserve"> موسى هو كاتب السفر (مع الاستثناء المحتمل للمقطع الذي يتحدث عن موته في نهاية السفر)، بينما يرفض الباحثون النقديون بشدة أن يكون موسى هو كاتب السفر.  يقول هاريسون: "تَبنّى اليهود والمسيحيّون، مع بعض الاستثناءات، فكرة تأليف موسى للسفر حتى القرن التاسع عشر."</w:t>
      </w:r>
      <w:r w:rsidRPr="00070B6E">
        <w:rPr>
          <w:rFonts w:eastAsia="Times New Roman" w:cs="DecoType Naskh"/>
          <w:color w:val="auto"/>
          <w:kern w:val="0"/>
          <w:sz w:val="30"/>
          <w:szCs w:val="28"/>
          <w:vertAlign w:val="superscript"/>
          <w:rtl/>
          <w:lang w:bidi="ar-JO"/>
          <w14:ligatures w14:val="none"/>
        </w:rPr>
        <w:footnoteReference w:customMarkFollows="1" w:id="118"/>
        <w:t>3</w:t>
      </w:r>
      <w:r w:rsidRPr="00070B6E">
        <w:rPr>
          <w:rFonts w:eastAsia="Times New Roman" w:cs="DecoType Naskh" w:hint="cs"/>
          <w:color w:val="auto"/>
          <w:kern w:val="0"/>
          <w:szCs w:val="26"/>
          <w:rtl/>
          <w:lang w:bidi="ar-JO"/>
          <w14:ligatures w14:val="none"/>
        </w:rPr>
        <w:t xml:space="preserve"> غير أن الرأي التقليدي قد تعرّض للهجوم على مدى القرنين الماضيين.</w:t>
      </w:r>
    </w:p>
    <w:p w14:paraId="14973AF5" w14:textId="14A7BB1D"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p>
    <w:p w14:paraId="08BD9163"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أ.</w:t>
      </w:r>
      <w:r w:rsidRPr="00070B6E">
        <w:rPr>
          <w:rFonts w:eastAsia="Times New Roman" w:cs="DecoType Naskh" w:hint="cs"/>
          <w:bCs/>
          <w:color w:val="auto"/>
          <w:kern w:val="0"/>
          <w:szCs w:val="26"/>
          <w:rtl/>
          <w14:ligatures w14:val="none"/>
        </w:rPr>
        <w:tab/>
        <w:t xml:space="preserve">تحدّي الباحثين النقديين </w:t>
      </w:r>
    </w:p>
    <w:p w14:paraId="6B7F4845" w14:textId="3ED67D3B"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1.</w:t>
      </w:r>
      <w:r w:rsidRPr="00070B6E">
        <w:rPr>
          <w:rFonts w:eastAsia="Times New Roman" w:cs="DecoType Naskh" w:hint="cs"/>
          <w:color w:val="auto"/>
          <w:kern w:val="0"/>
          <w:szCs w:val="26"/>
          <w:rtl/>
          <w:lang w:bidi="ar-JO"/>
          <w14:ligatures w14:val="none"/>
        </w:rPr>
        <w:tab/>
        <w:t>دي وتّي ولهيلم م. ل. (1805)</w:t>
      </w:r>
    </w:p>
    <w:p w14:paraId="0D047FF2" w14:textId="2A7E16FF"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تحدّى دي وتّي الموقف التقليدي بأن أكّد على أن سفر التثنية كُتب في زمن يوشيا (في الجزء الأخير من القرن السابع ق م)، وأنه السفر الذي وجده الكاهن حلقيّا في الهيكل بعد السنوات الطويلة من الارتداد تحت حكم الملكين الشرّيرين منسّى وآمون.  "وعِند إخراجهم الفضّة المُدْخَلة إلى بيت الرب، وجد حلقيا الكاهن سفر شريعة الرب بيد موسى" (2 أخبار 34: 14؛ انظر 2 ملوك 22: 8 فصاعداً).</w:t>
      </w:r>
    </w:p>
    <w:p w14:paraId="00AD2A94" w14:textId="2DA2D92A"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0E472412" w14:textId="4F1B1804"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2.</w:t>
      </w:r>
      <w:r w:rsidRPr="00070B6E">
        <w:rPr>
          <w:rFonts w:eastAsia="Times New Roman" w:cs="DecoType Naskh" w:hint="cs"/>
          <w:color w:val="auto"/>
          <w:kern w:val="0"/>
          <w:szCs w:val="26"/>
          <w:rtl/>
          <w:lang w:bidi="ar-JO"/>
          <w14:ligatures w14:val="none"/>
        </w:rPr>
        <w:tab/>
        <w:t>ولهاوسن، جوليوس</w:t>
      </w:r>
    </w:p>
    <w:p w14:paraId="5A3F71C6" w14:textId="42450D6D"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Pr>
          <w:rFonts w:eastAsia="Times New Roman" w:cs="Times New Roman"/>
          <w:b/>
          <w:iCs/>
          <w:noProof/>
          <w:color w:val="auto"/>
          <w:kern w:val="0"/>
          <w:sz w:val="22"/>
          <w:szCs w:val="24"/>
          <w14:ligatures w14:val="none"/>
        </w:rPr>
        <w:lastRenderedPageBreak/>
        <w:drawing>
          <wp:anchor distT="0" distB="0" distL="114300" distR="114300" simplePos="0" relativeHeight="251650048" behindDoc="0" locked="0" layoutInCell="1" allowOverlap="1" wp14:anchorId="79F034D9" wp14:editId="6E616BC7">
            <wp:simplePos x="0" y="0"/>
            <wp:positionH relativeFrom="column">
              <wp:posOffset>72390</wp:posOffset>
            </wp:positionH>
            <wp:positionV relativeFrom="paragraph">
              <wp:posOffset>171450</wp:posOffset>
            </wp:positionV>
            <wp:extent cx="1143000" cy="1654810"/>
            <wp:effectExtent l="0" t="0" r="0" b="0"/>
            <wp:wrapSquare wrapText="bothSides"/>
            <wp:docPr id="21463835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43000" cy="1654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70B6E">
        <w:rPr>
          <w:rFonts w:eastAsia="Times New Roman" w:cs="DecoType Naskh" w:hint="cs"/>
          <w:color w:val="auto"/>
          <w:kern w:val="0"/>
          <w:szCs w:val="26"/>
          <w:rtl/>
          <w:lang w:bidi="ar-JO"/>
          <w14:ligatures w14:val="none"/>
        </w:rPr>
        <w:t xml:space="preserve">بعد النتيجة التي خلص إليها دي وتّي، أشاع ولهاوسن "النظرية الوثائقية" معطياً إيّاها شكلها التقليدي.  وهذه النظرية هي نتيجة منهج </w:t>
      </w:r>
      <w:r w:rsidRPr="00070B6E">
        <w:rPr>
          <w:rFonts w:eastAsia="Times New Roman" w:cs="DecoType Naskh" w:hint="cs"/>
          <w:color w:val="auto"/>
          <w:kern w:val="0"/>
          <w:szCs w:val="26"/>
          <w:u w:val="single"/>
          <w:rtl/>
          <w:lang w:bidi="ar-JO"/>
          <w14:ligatures w14:val="none"/>
        </w:rPr>
        <w:t>التحليل الأدبي</w:t>
      </w:r>
      <w:r w:rsidRPr="00070B6E">
        <w:rPr>
          <w:rFonts w:eastAsia="Times New Roman" w:cs="DecoType Naskh" w:hint="cs"/>
          <w:color w:val="auto"/>
          <w:kern w:val="0"/>
          <w:szCs w:val="26"/>
          <w:rtl/>
          <w:lang w:bidi="ar-JO"/>
          <w14:ligatures w14:val="none"/>
        </w:rPr>
        <w:t xml:space="preserve"> في تناول الأسفار المقدَّسة الذي سعى إلى تحليل الأطوار الأدبية التي مرّ بها النص حتى وصل إلى شكله الحالي ضمن العهد القديم.  وقد ركّز هذا النهج على </w:t>
      </w:r>
      <w:r w:rsidRPr="00070B6E">
        <w:rPr>
          <w:rFonts w:eastAsia="Times New Roman" w:cs="DecoType Naskh" w:hint="cs"/>
          <w:color w:val="auto"/>
          <w:kern w:val="0"/>
          <w:szCs w:val="26"/>
          <w:u w:val="single"/>
          <w:rtl/>
          <w:lang w:bidi="ar-JO"/>
          <w14:ligatures w14:val="none"/>
        </w:rPr>
        <w:t>تطوّر</w:t>
      </w:r>
      <w:r w:rsidRPr="00070B6E">
        <w:rPr>
          <w:rFonts w:eastAsia="Times New Roman" w:cs="DecoType Naskh" w:hint="cs"/>
          <w:color w:val="auto"/>
          <w:kern w:val="0"/>
          <w:szCs w:val="26"/>
          <w:rtl/>
          <w:lang w:bidi="ar-JO"/>
          <w14:ligatures w14:val="none"/>
        </w:rPr>
        <w:t xml:space="preserve"> ديانة إسرائيل إلى أن وصلت إلى صيغتها التوحيدية في حوالي عام 750ق م.  وقد خلُص ولهاوسن إلى أن الشكل الحالي للعهد القديم قد جاء نتيجة جمع أربعة مصادر مختلفة: ي، إ، ت، ك (</w:t>
      </w:r>
      <w:r w:rsidRPr="00070B6E">
        <w:rPr>
          <w:rFonts w:eastAsia="Times New Roman" w:cs="DecoType Naskh"/>
          <w:color w:val="auto"/>
          <w:kern w:val="0"/>
          <w:szCs w:val="26"/>
          <w14:ligatures w14:val="none"/>
        </w:rPr>
        <w:t>J,E,D,P</w:t>
      </w:r>
      <w:r w:rsidRPr="00070B6E">
        <w:rPr>
          <w:rFonts w:eastAsia="Times New Roman" w:cs="DecoType Naskh" w:hint="cs"/>
          <w:color w:val="auto"/>
          <w:kern w:val="0"/>
          <w:szCs w:val="26"/>
          <w:rtl/>
          <w:lang w:bidi="ar-JO"/>
          <w14:ligatures w14:val="none"/>
        </w:rPr>
        <w:t>).  وقد افترض أن مصدر "ت" هو المادة التثنوية التي جاءت بعد مصدري "ي" و"إ".  وقد نسب ولهاوسن تاريخ المصدر التثنوي إلى زمن يوشيا (حوالي 622 ق م)، فتكون مادة التوراة ككل قد جُمعتْ حسب نظريته في زمن ما بعد 622 ق م.  يتحدث هاريسون عن منهج ولهاوسن فيقول:</w:t>
      </w:r>
    </w:p>
    <w:p w14:paraId="4EFC96D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2"/>
          <w:szCs w:val="26"/>
          <w:rtl/>
          <w14:ligatures w14:val="none"/>
        </w:rPr>
      </w:pPr>
      <w:r w:rsidRPr="00070B6E">
        <w:rPr>
          <w:rFonts w:eastAsia="Times New Roman" w:cs="DecoType Naskh"/>
          <w:color w:val="auto"/>
          <w:kern w:val="0"/>
          <w:szCs w:val="26"/>
          <w:rtl/>
          <w:lang w:bidi="ar-JO"/>
          <w14:ligatures w14:val="none"/>
        </w:rPr>
        <w:t xml:space="preserve">اعتبر ولهاوسن أن الأسفار الخمسة (التوراة) هي </w:t>
      </w:r>
      <w:r w:rsidRPr="00070B6E">
        <w:rPr>
          <w:rFonts w:eastAsia="Times New Roman" w:cs="DecoType Naskh" w:hint="cs"/>
          <w:color w:val="auto"/>
          <w:kern w:val="0"/>
          <w:szCs w:val="26"/>
          <w:rtl/>
          <w:lang w:bidi="ar-JO"/>
          <w14:ligatures w14:val="none"/>
        </w:rPr>
        <w:t xml:space="preserve">بشكلٍ أساسي </w:t>
      </w:r>
      <w:r w:rsidRPr="00070B6E">
        <w:rPr>
          <w:rFonts w:eastAsia="Times New Roman" w:cs="DecoType Naskh"/>
          <w:color w:val="auto"/>
          <w:kern w:val="0"/>
          <w:szCs w:val="26"/>
          <w:rtl/>
          <w:lang w:bidi="ar-JO"/>
          <w14:ligatures w14:val="none"/>
        </w:rPr>
        <w:t>من مصدر مركّ</w:t>
      </w:r>
      <w:r w:rsidRPr="00070B6E">
        <w:rPr>
          <w:rFonts w:eastAsia="Times New Roman" w:cs="DecoType Naskh" w:hint="cs"/>
          <w:color w:val="auto"/>
          <w:kern w:val="0"/>
          <w:szCs w:val="26"/>
          <w:rtl/>
          <w:lang w:bidi="ar-JO"/>
          <w14:ligatures w14:val="none"/>
        </w:rPr>
        <w:t>َ</w:t>
      </w:r>
      <w:r w:rsidRPr="00070B6E">
        <w:rPr>
          <w:rFonts w:eastAsia="Times New Roman" w:cs="DecoType Naskh"/>
          <w:color w:val="auto"/>
          <w:kern w:val="0"/>
          <w:szCs w:val="26"/>
          <w:rtl/>
          <w:lang w:bidi="ar-JO"/>
          <w14:ligatures w14:val="none"/>
        </w:rPr>
        <w:t>ب</w:t>
      </w:r>
      <w:r w:rsidRPr="00070B6E">
        <w:rPr>
          <w:rFonts w:eastAsia="Times New Roman" w:cs="DecoType Naskh" w:hint="cs"/>
          <w:color w:val="auto"/>
          <w:kern w:val="0"/>
          <w:szCs w:val="26"/>
          <w:rtl/>
          <w:lang w:bidi="ar-JO"/>
          <w14:ligatures w14:val="none"/>
        </w:rPr>
        <w:t>، يتألف من مصدر يهووي (ي) يرجع إلى القرن التاسع ق م، ومصدر إيلوهيمي مستقل (إ)، يرجع إلى القرن الثامن ق م، والمضمون الأساسي لسفر التثنية (ت) الذي أرجعه إلى زمن يوشيّا (640/39-609ق م)، ومصدر كهنوتي (ك) يعود إلى القرن الخامس ق م.  وحسب هذه العملية التي قدّم ولهاوسن هيكلاً عاملاً لها في كتابه</w:t>
      </w:r>
      <w:r w:rsidRPr="00070B6E">
        <w:rPr>
          <w:rFonts w:eastAsia="Times New Roman" w:cs="DecoType Naskh"/>
          <w:i/>
          <w:iCs/>
          <w:color w:val="auto"/>
          <w:kern w:val="0"/>
          <w:szCs w:val="26"/>
          <w14:ligatures w14:val="none"/>
        </w:rPr>
        <w:t xml:space="preserve">Die </w:t>
      </w:r>
      <w:proofErr w:type="spellStart"/>
      <w:r w:rsidRPr="00070B6E">
        <w:rPr>
          <w:rFonts w:eastAsia="Times New Roman" w:cs="DecoType Naskh"/>
          <w:i/>
          <w:iCs/>
          <w:color w:val="auto"/>
          <w:kern w:val="0"/>
          <w:szCs w:val="26"/>
          <w14:ligatures w14:val="none"/>
        </w:rPr>
        <w:t>Kompostion</w:t>
      </w:r>
      <w:proofErr w:type="spellEnd"/>
      <w:r w:rsidRPr="00070B6E">
        <w:rPr>
          <w:rFonts w:eastAsia="Times New Roman" w:cs="DecoType Naskh"/>
          <w:i/>
          <w:iCs/>
          <w:color w:val="auto"/>
          <w:kern w:val="0"/>
          <w:szCs w:val="26"/>
          <w14:ligatures w14:val="none"/>
        </w:rPr>
        <w:t xml:space="preserve"> des Hexateuchs</w:t>
      </w:r>
      <w:r w:rsidRPr="00070B6E">
        <w:rPr>
          <w:rFonts w:eastAsia="Times New Roman" w:cs="DecoType Naskh"/>
          <w:color w:val="auto"/>
          <w:kern w:val="0"/>
          <w:szCs w:val="26"/>
          <w14:ligatures w14:val="none"/>
        </w:rPr>
        <w:t xml:space="preserve"> </w:t>
      </w:r>
      <w:r w:rsidRPr="00070B6E">
        <w:rPr>
          <w:rFonts w:eastAsia="Times New Roman" w:cs="DecoType Naskh" w:hint="cs"/>
          <w:color w:val="auto"/>
          <w:kern w:val="0"/>
          <w:szCs w:val="26"/>
          <w:rtl/>
          <w14:ligatures w14:val="none"/>
        </w:rPr>
        <w:t xml:space="preserve"> </w:t>
      </w:r>
      <w:r w:rsidRPr="00070B6E">
        <w:rPr>
          <w:rFonts w:eastAsia="Times New Roman" w:cs="DecoType Naskh" w:hint="cs"/>
          <w:color w:val="auto"/>
          <w:kern w:val="0"/>
          <w:sz w:val="32"/>
          <w:szCs w:val="26"/>
          <w:rtl/>
          <w:lang w:bidi="ar-JO"/>
          <w14:ligatures w14:val="none"/>
        </w:rPr>
        <w:t>الذي نُشر في عام 1877، فإن الكاتب اليهودي جمع وثيقة سردية من المصدرين (ي) و(إ)، ثم ألحق بهما سفر التثنية الذي أُضيف في زمن يوشيا.</w:t>
      </w:r>
      <w:r w:rsidRPr="00070B6E">
        <w:rPr>
          <w:rFonts w:eastAsia="Times New Roman" w:cs="DecoType Naskh"/>
          <w:color w:val="auto"/>
          <w:kern w:val="0"/>
          <w:sz w:val="30"/>
          <w:szCs w:val="28"/>
          <w:vertAlign w:val="superscript"/>
          <w:rtl/>
          <w:lang w:bidi="ar-JO"/>
          <w14:ligatures w14:val="none"/>
        </w:rPr>
        <w:footnoteReference w:customMarkFollows="1" w:id="119"/>
        <w:t>4</w:t>
      </w:r>
    </w:p>
    <w:p w14:paraId="4B340A27"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267655A8" w14:textId="0547210D"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قد يبدو موقف ولهاوسن في ما يتعلق بنظرية "ي، إ، ت، ك) متّسماً بالخيال الواسع، لكن كان لهذه النظرية تأثير عميق على الباحثين الانتقاديين الدراسيين للعهد القديم.  وتقوم النظرية على إنكار كتابة موسى لسفر التثنية (بل كل التوراة)، وعلى نسبة تاريخ متأخر لسفر التثنية (القرن السابع ق م) وقد كان الباحثون براون </w:t>
      </w:r>
      <w:r w:rsidR="00857A90">
        <w:rPr>
          <w:rFonts w:eastAsia="Times New Roman" w:cs="DecoType Naskh" w:hint="cs"/>
          <w:color w:val="auto"/>
          <w:kern w:val="0"/>
          <w:szCs w:val="26"/>
          <w:rtl/>
          <w:lang w:bidi="ar-JO"/>
          <w14:ligatures w14:val="none"/>
        </w:rPr>
        <w:t>و</w:t>
      </w:r>
      <w:r w:rsidRPr="00070B6E">
        <w:rPr>
          <w:rFonts w:eastAsia="Times New Roman" w:cs="DecoType Naskh" w:hint="cs"/>
          <w:color w:val="auto"/>
          <w:kern w:val="0"/>
          <w:szCs w:val="26"/>
          <w:rtl/>
          <w:lang w:bidi="ar-JO"/>
          <w14:ligatures w14:val="none"/>
        </w:rPr>
        <w:t>درايفر وبريجز الذي</w:t>
      </w:r>
      <w:r w:rsidR="00857A90">
        <w:rPr>
          <w:rFonts w:eastAsia="Times New Roman" w:cs="DecoType Naskh" w:hint="cs"/>
          <w:color w:val="auto"/>
          <w:kern w:val="0"/>
          <w:szCs w:val="26"/>
          <w:rtl/>
          <w:lang w:bidi="ar-JO"/>
          <w14:ligatures w14:val="none"/>
        </w:rPr>
        <w:t>ن</w:t>
      </w:r>
      <w:r w:rsidRPr="00070B6E">
        <w:rPr>
          <w:rFonts w:eastAsia="Times New Roman" w:cs="DecoType Naskh" w:hint="cs"/>
          <w:color w:val="auto"/>
          <w:kern w:val="0"/>
          <w:szCs w:val="26"/>
          <w:rtl/>
          <w:lang w:bidi="ar-JO"/>
          <w14:ligatures w14:val="none"/>
        </w:rPr>
        <w:t xml:space="preserve"> ألّفوا المعجم العبري (1906) من مؤيدي هذه النظرية. </w:t>
      </w:r>
    </w:p>
    <w:p w14:paraId="24C0DF8E"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 </w:t>
      </w:r>
    </w:p>
    <w:p w14:paraId="164D160B"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3.</w:t>
      </w:r>
      <w:r w:rsidRPr="00070B6E">
        <w:rPr>
          <w:rFonts w:eastAsia="Times New Roman" w:cs="DecoType Naskh" w:hint="cs"/>
          <w:color w:val="auto"/>
          <w:kern w:val="0"/>
          <w:szCs w:val="26"/>
          <w:rtl/>
          <w:lang w:bidi="ar-JO"/>
          <w14:ligatures w14:val="none"/>
        </w:rPr>
        <w:tab/>
        <w:t>محاولات أخرى</w:t>
      </w:r>
    </w:p>
    <w:p w14:paraId="2653541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0"/>
          <w:szCs w:val="28"/>
          <w:rtl/>
          <w:lang w:bidi="ar-KW"/>
          <w14:ligatures w14:val="none"/>
        </w:rPr>
      </w:pPr>
      <w:r w:rsidRPr="00070B6E">
        <w:rPr>
          <w:rFonts w:eastAsia="Times New Roman" w:cs="DecoType Naskh" w:hint="cs"/>
          <w:color w:val="auto"/>
          <w:kern w:val="0"/>
          <w:szCs w:val="26"/>
          <w:rtl/>
          <w:lang w:bidi="ar-JO"/>
          <w14:ligatures w14:val="none"/>
        </w:rPr>
        <w:t>قبل الباحثون النقديون السابقون بشكل سريع نتائج نظرية "ي إ ت ك"، فقاموا بإرجاع تأليف سفر التثنية إلى القرن السابع ق م (إذ اقترح راولي، على سبيل المثال، أن أحد أتباع إشعياء كتب سفر التثنية في حوالي 680ق م).</w:t>
      </w:r>
      <w:r w:rsidRPr="00070B6E">
        <w:rPr>
          <w:rFonts w:eastAsia="Times New Roman" w:cs="DecoType Naskh"/>
          <w:color w:val="auto"/>
          <w:kern w:val="0"/>
          <w:sz w:val="30"/>
          <w:szCs w:val="28"/>
          <w:vertAlign w:val="superscript"/>
          <w:rtl/>
          <w:lang w:bidi="ar-JO"/>
          <w14:ligatures w14:val="none"/>
        </w:rPr>
        <w:footnoteReference w:customMarkFollows="1" w:id="120"/>
        <w:t>5</w:t>
      </w:r>
      <w:r w:rsidRPr="00070B6E">
        <w:rPr>
          <w:rFonts w:eastAsia="Times New Roman" w:cs="DecoType Naskh" w:hint="cs"/>
          <w:color w:val="auto"/>
          <w:kern w:val="0"/>
          <w:szCs w:val="26"/>
          <w:rtl/>
          <w:lang w:bidi="ar-JO"/>
          <w14:ligatures w14:val="none"/>
        </w:rPr>
        <w:t xml:space="preserve"> وقد قُدّمت افتراضات أخرى.  فقد أرجع أولبرايت نشيد موسى (تثنية 32) إلى زمن صموئيل.</w:t>
      </w:r>
      <w:r w:rsidRPr="00070B6E">
        <w:rPr>
          <w:rFonts w:eastAsia="Times New Roman" w:cs="DecoType Naskh"/>
          <w:color w:val="auto"/>
          <w:kern w:val="0"/>
          <w:sz w:val="30"/>
          <w:szCs w:val="28"/>
          <w:vertAlign w:val="superscript"/>
          <w:rtl/>
          <w:lang w:bidi="ar-JO"/>
          <w14:ligatures w14:val="none"/>
        </w:rPr>
        <w:footnoteReference w:customMarkFollows="1" w:id="121"/>
        <w:t>6</w:t>
      </w:r>
      <w:r w:rsidRPr="00070B6E">
        <w:rPr>
          <w:rFonts w:eastAsia="Times New Roman" w:cs="DecoType Naskh" w:hint="cs"/>
          <w:color w:val="auto"/>
          <w:kern w:val="0"/>
          <w:szCs w:val="26"/>
          <w:rtl/>
          <w:lang w:bidi="ar-JO"/>
          <w14:ligatures w14:val="none"/>
        </w:rPr>
        <w:t xml:space="preserve"> غير أن الميل الشائع في القسم الأخير من القرن العشرين اتجه إلى اعتبار سفر التثنية جزءاً من كتابات أدبية أكثر اتساعاً معروفة باسم "التاريخ التثنوي</w:t>
      </w:r>
      <w:r w:rsidRPr="00070B6E">
        <w:rPr>
          <w:rFonts w:eastAsia="Times New Roman" w:cs="DecoType Naskh" w:hint="cs"/>
          <w:color w:val="auto"/>
          <w:kern w:val="0"/>
          <w:szCs w:val="26"/>
          <w:rtl/>
          <w:lang w:bidi="ar-KW"/>
          <w14:ligatures w14:val="none"/>
        </w:rPr>
        <w:t xml:space="preserve"> التأثُّر</w:t>
      </w:r>
      <w:r w:rsidRPr="00070B6E">
        <w:rPr>
          <w:rFonts w:eastAsia="Times New Roman" w:cs="DecoType Naskh" w:hint="cs"/>
          <w:color w:val="auto"/>
          <w:kern w:val="0"/>
          <w:szCs w:val="26"/>
          <w:rtl/>
          <w14:ligatures w14:val="none"/>
        </w:rPr>
        <w:t>.</w:t>
      </w:r>
      <w:r w:rsidRPr="00070B6E">
        <w:rPr>
          <w:rFonts w:eastAsia="Times New Roman" w:cs="DecoType Naskh" w:hint="cs"/>
          <w:color w:val="auto"/>
          <w:kern w:val="0"/>
          <w:szCs w:val="26"/>
          <w:rtl/>
          <w:lang w:bidi="ar-JO"/>
          <w14:ligatures w14:val="none"/>
        </w:rPr>
        <w:t>"  وتتألف هذه من المادة الموجودة في أسفار التثنية ويشوع وقضاة وصموئيل الأول والثاني وملوك الأول والثاني.  والفكرة هنا هي أن كل هذه المادة مكتوبة من نفس وجهة النظر، أي على أنها عمل أدبي كُتب وحُرِّر ونُقِّح على مدى فترة طويلة من الزمن.  ووفق هذه النظرية، فإن السفر الذي نعرفه باسم "التثنية" هو نتيجة أعمال تحرير وتنقيح متعددة تم آخرها في فترة السبي البابلي (حوالي 550ق م).  وهنالك نتائج أكثر تطرفاً وصل إليها بدرسن ومدرسة أبسالا الذين توصلوا إلى أن سفر التثنية وصل إلى شكله النهائي في حوالي 400 ق م.</w:t>
      </w:r>
      <w:r w:rsidRPr="00070B6E">
        <w:rPr>
          <w:rFonts w:eastAsia="Times New Roman" w:cs="DecoType Naskh"/>
          <w:color w:val="auto"/>
          <w:kern w:val="0"/>
          <w:sz w:val="30"/>
          <w:szCs w:val="28"/>
          <w:vertAlign w:val="superscript"/>
          <w:rtl/>
          <w:lang w:bidi="ar-JO"/>
          <w14:ligatures w14:val="none"/>
        </w:rPr>
        <w:footnoteReference w:customMarkFollows="1" w:id="122"/>
        <w:t>7</w:t>
      </w:r>
    </w:p>
    <w:p w14:paraId="65CE347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32BEF2CD"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ب.</w:t>
      </w:r>
      <w:r w:rsidRPr="00070B6E">
        <w:rPr>
          <w:rFonts w:eastAsia="Times New Roman" w:cs="DecoType Naskh" w:hint="cs"/>
          <w:bCs/>
          <w:color w:val="auto"/>
          <w:kern w:val="0"/>
          <w:szCs w:val="26"/>
          <w:rtl/>
          <w14:ligatures w14:val="none"/>
        </w:rPr>
        <w:tab/>
        <w:t>لماذا هذا التحدّي لحقيقة المصدر الموسوي</w:t>
      </w:r>
    </w:p>
    <w:p w14:paraId="62755FD6"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lastRenderedPageBreak/>
        <w:t>من الواضح أن هؤلاء الباحثين الانتقاديين قطعوا شوطاً بعيداً في اتّباع هذه النظرية.  غير أن هنالك تفسيراً معقولاً لذلك.  فقد ظهر ولهاوسن ومن هم على شاكلته في "الفترة العلمية" التي نُبذت أثناءها فكرة ما هو خارق لمصلحة التفسيرات العلمية.  وهكذا تم استبعاد القول بالمصادر النبوية والخارقة، وبُذلت محاولات لشرح عملية تطور ديانة إسرائيل.</w:t>
      </w:r>
    </w:p>
    <w:p w14:paraId="4BEA8BE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0005093D"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يرى هؤلاء الباحثون النقديون ضرورة إرجاع سفر التثنية إلى تاريخ متأخر بسبب كثير من الملاحظات التي يتضمنها.  فمثلاً، هنالك الذهاب إلى السبي، أولاً للمملكة الشمالية في عام 722ق م، ثم للمملكة الجنوبية بين 605-586ق م.  وهذا السبي مُنبأ عنه في تثنية 29: 28.  فلا يمكن أن يقبل الباحثون النقديون أن سفراً كُتب في القرن الثالث عشر-الخامس عشر ق م أن يتنبّأ بدقّة عن أحداث القرنين الثامن والسابع ق م.  وبعبارة أخرى فإن لديهم تحاملاً على ما هو خارق.  فلا بد لكاتب سفر التثنية، أيّاً كان، أن يكون ملمّاً بأحداث القرنين الثامن والسابع قبل الميلاد.</w:t>
      </w:r>
    </w:p>
    <w:p w14:paraId="5C401C1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p>
    <w:p w14:paraId="22834BC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ونجد في جيرهارد فون راد، الباحث النقدي الألماني، مثلاً على هذا الأمر عينه.  كتب يقول:</w:t>
      </w:r>
    </w:p>
    <w:p w14:paraId="21FF887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0"/>
          <w:szCs w:val="28"/>
          <w:rtl/>
          <w:lang w:bidi="ar-KW"/>
          <w14:ligatures w14:val="none"/>
        </w:rPr>
      </w:pPr>
      <w:r w:rsidRPr="00070B6E">
        <w:rPr>
          <w:rFonts w:eastAsia="Times New Roman" w:cs="DecoType Naskh" w:hint="cs"/>
          <w:color w:val="auto"/>
          <w:kern w:val="0"/>
          <w:szCs w:val="26"/>
          <w:rtl/>
          <w:lang w:bidi="ar-JO"/>
          <w14:ligatures w14:val="none"/>
        </w:rPr>
        <w:t xml:space="preserve">إن العظات المتضمنة في سفر التثنية موجَّهة إلى إسرائيل على شكل كلمات نطق بها موسى الذي اقترب الآن من الموت، لدى وصولهم إلى أرض موآب بعد أسفارهم وتيهانهم.  وهذه الفكرة الخرافية موجودة في كل سفر التثنية.  </w:t>
      </w:r>
      <w:r w:rsidRPr="00070B6E">
        <w:rPr>
          <w:rFonts w:eastAsia="Times New Roman" w:cs="DecoType Naskh" w:hint="cs"/>
          <w:b/>
          <w:bCs/>
          <w:color w:val="auto"/>
          <w:kern w:val="0"/>
          <w:szCs w:val="26"/>
          <w:rtl/>
          <w:lang w:bidi="ar-JO"/>
          <w14:ligatures w14:val="none"/>
        </w:rPr>
        <w:t>لكنها في حقيقة الأمر خرافة</w:t>
      </w:r>
      <w:r w:rsidRPr="00070B6E">
        <w:rPr>
          <w:rFonts w:eastAsia="Times New Roman" w:cs="DecoType Naskh" w:hint="cs"/>
          <w:color w:val="auto"/>
          <w:kern w:val="0"/>
          <w:szCs w:val="26"/>
          <w:rtl/>
          <w:lang w:bidi="ar-JO"/>
          <w14:ligatures w14:val="none"/>
        </w:rPr>
        <w:t>، فهذه العظات موجّهة إلى بني إسرائيل في الفترة الأخيرة من الحكم الملكي.</w:t>
      </w:r>
      <w:r w:rsidRPr="00070B6E">
        <w:rPr>
          <w:rFonts w:eastAsia="Times New Roman" w:cs="DecoType Naskh"/>
          <w:color w:val="auto"/>
          <w:kern w:val="0"/>
          <w:sz w:val="30"/>
          <w:szCs w:val="28"/>
          <w:vertAlign w:val="superscript"/>
          <w:rtl/>
          <w:lang w:bidi="ar-JO"/>
          <w14:ligatures w14:val="none"/>
        </w:rPr>
        <w:footnoteReference w:customMarkFollows="1" w:id="123"/>
        <w:t>8</w:t>
      </w:r>
    </w:p>
    <w:p w14:paraId="6323B970"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6C8DE6F6"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14:ligatures w14:val="none"/>
        </w:rPr>
      </w:pPr>
      <w:r w:rsidRPr="00070B6E">
        <w:rPr>
          <w:rFonts w:eastAsia="Times New Roman" w:cs="DecoType Naskh" w:hint="cs"/>
          <w:color w:val="auto"/>
          <w:kern w:val="0"/>
          <w:szCs w:val="26"/>
          <w:rtl/>
          <w:lang w:bidi="ar-JO"/>
          <w14:ligatures w14:val="none"/>
        </w:rPr>
        <w:t>ثم يحدد مواضع معينة في سفر التثنية تتضمن تطورات لاحقة في تاريخ إسرائيل وتتطلب حسب رأيه تاريخاً لاحقاً لكتابة السفر:</w:t>
      </w:r>
    </w:p>
    <w:p w14:paraId="1AE24D14"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0"/>
          <w:szCs w:val="28"/>
          <w:rtl/>
          <w:lang w:bidi="ar-KW"/>
          <w14:ligatures w14:val="none"/>
        </w:rPr>
      </w:pPr>
      <w:r w:rsidRPr="00070B6E">
        <w:rPr>
          <w:rFonts w:eastAsia="Times New Roman" w:cs="DecoType Naskh" w:hint="cs"/>
          <w:color w:val="auto"/>
          <w:kern w:val="0"/>
          <w:szCs w:val="26"/>
          <w:rtl/>
          <w:lang w:bidi="ar-JO"/>
          <w14:ligatures w14:val="none"/>
        </w:rPr>
        <w:t>يجب أن نضع في اعتبارنا ما يقال عن إمكانية وقوع مدن بأكملها في حال الارتداد (13: 13 فصاعداً)، وظهور أنبياء كذبة، والحديث عن الاقتصاد الذي حتّم إعادة تفسير القوانين القديمة المتعلقة بسنة الإبراء (15: 10 فصاعداً)، والاختبارات المؤسفة التي تشكّل أساس الشريعة في ما يتعلق بالملك وأمور أخرى كثيرة.</w:t>
      </w:r>
      <w:r w:rsidRPr="00070B6E">
        <w:rPr>
          <w:rFonts w:eastAsia="Times New Roman" w:cs="DecoType Naskh"/>
          <w:color w:val="auto"/>
          <w:kern w:val="0"/>
          <w:sz w:val="30"/>
          <w:szCs w:val="28"/>
          <w:vertAlign w:val="superscript"/>
          <w:rtl/>
          <w:lang w:bidi="ar-JO"/>
          <w14:ligatures w14:val="none"/>
        </w:rPr>
        <w:footnoteReference w:customMarkFollows="1" w:id="124"/>
        <w:t>9</w:t>
      </w:r>
    </w:p>
    <w:p w14:paraId="0E053775"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792D3807" w14:textId="2B28A468"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يدّعي جيرهارد فون راد أن السفر يتّسم بروح حربية واضحة ينسبها إلى فرقة من اللاويين (ص 24).  وهو يخلُص إلى أن فرقة من اللاويين تمثّل هذه الروح من التقوى المتعطّشة للدماء، كتبت المضمون الأساسي لسفر التثنية أثناء حكم الملك يوشيا. (قبل عام 622ق م) من أجل إيقاظ ديانة يهوه القديمة التي استسلمت أمام الديانة الكنعانية.  وهو يذهب إلى حد القول إن سفر التثنية وُلد في أحد مقادس المملكة الشمالية لإسرائيل (ربما شكيم أو بيت إيل، ص 26).</w:t>
      </w:r>
    </w:p>
    <w:p w14:paraId="56CB4B0B"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500AD16B"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lang w:bidi="ar-KW"/>
          <w14:ligatures w14:val="none"/>
        </w:rPr>
      </w:pPr>
      <w:r w:rsidRPr="00070B6E">
        <w:rPr>
          <w:rFonts w:eastAsia="Times New Roman" w:cs="DecoType Naskh" w:hint="cs"/>
          <w:bCs/>
          <w:color w:val="auto"/>
          <w:kern w:val="0"/>
          <w:szCs w:val="26"/>
          <w:rtl/>
          <w14:ligatures w14:val="none"/>
        </w:rPr>
        <w:t>جـ.</w:t>
      </w:r>
      <w:r w:rsidRPr="00070B6E">
        <w:rPr>
          <w:rFonts w:eastAsia="Times New Roman" w:cs="DecoType Naskh" w:hint="cs"/>
          <w:bCs/>
          <w:color w:val="auto"/>
          <w:kern w:val="0"/>
          <w:szCs w:val="26"/>
          <w:rtl/>
          <w14:ligatures w14:val="none"/>
        </w:rPr>
        <w:tab/>
        <w:t xml:space="preserve">حجج الباحثين النقديين </w:t>
      </w:r>
    </w:p>
    <w:p w14:paraId="4A10C957"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1.</w:t>
      </w:r>
      <w:r w:rsidRPr="00070B6E">
        <w:rPr>
          <w:rFonts w:eastAsia="Times New Roman" w:cs="DecoType Naskh" w:hint="cs"/>
          <w:color w:val="auto"/>
          <w:kern w:val="0"/>
          <w:szCs w:val="26"/>
          <w:rtl/>
          <w:lang w:bidi="ar-JO"/>
          <w14:ligatures w14:val="none"/>
        </w:rPr>
        <w:tab/>
        <w:t xml:space="preserve">مركزية العبادة </w:t>
      </w:r>
    </w:p>
    <w:p w14:paraId="0108F5C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قال ولهاوسن بناءً على تثنية 12: 5، 11، 14، 18، 21، 26 إن كاتب سفر التثنية كان يهدف إلى ترسيخ مركزية العبادة في أورشليم.  وهو يدّعي من هذا المنطلق أن مثل هذا الموقف ملائم جدّاً لحركة إصلاحية في عهد يوشيّا. </w:t>
      </w:r>
    </w:p>
    <w:p w14:paraId="4FC9D811" w14:textId="5137E1FA"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i/>
          <w:iCs/>
          <w:color w:val="auto"/>
          <w:kern w:val="0"/>
          <w:szCs w:val="26"/>
          <w:rtl/>
          <w:lang w:bidi="ar-JO"/>
          <w14:ligatures w14:val="none"/>
        </w:rPr>
        <w:t>رد</w:t>
      </w:r>
      <w:r w:rsidRPr="00070B6E">
        <w:rPr>
          <w:rFonts w:eastAsia="Times New Roman" w:cs="DecoType Naskh" w:hint="cs"/>
          <w:color w:val="auto"/>
          <w:kern w:val="0"/>
          <w:szCs w:val="26"/>
          <w:rtl/>
          <w:lang w:bidi="ar-JO"/>
          <w14:ligatures w14:val="none"/>
        </w:rPr>
        <w:t xml:space="preserve">: لا يوجد أي شيء في سفر التثنية يفيد بأن المقدس المركزي المشروع الوحيد يجب أن يقع في أورشليم.  وفضلاً عن ذلك، فإن الدعوة إلى بناء مذبح على جبل عيبال في تثنية 27: 1-8 تنسف مثل </w:t>
      </w:r>
      <w:r w:rsidRPr="00070B6E">
        <w:rPr>
          <w:rFonts w:eastAsia="Times New Roman" w:cs="DecoType Naskh" w:hint="cs"/>
          <w:color w:val="auto"/>
          <w:kern w:val="0"/>
          <w:szCs w:val="26"/>
          <w:rtl/>
          <w:lang w:bidi="ar-JO"/>
          <w14:ligatures w14:val="none"/>
        </w:rPr>
        <w:lastRenderedPageBreak/>
        <w:t>هذا النهج التفكيري نسفاً كلّياً. ولا يقبل الباحثون النقديون الأكثر حداثة من ولهاوسن وجهة نظره بالنسبة لأورشليم.</w:t>
      </w:r>
    </w:p>
    <w:p w14:paraId="0D72D8ED"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09F8A563"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2.</w:t>
      </w:r>
      <w:r w:rsidRPr="00070B6E">
        <w:rPr>
          <w:rFonts w:eastAsia="Times New Roman" w:cs="DecoType Naskh" w:hint="cs"/>
          <w:color w:val="auto"/>
          <w:kern w:val="0"/>
          <w:szCs w:val="26"/>
          <w:rtl/>
          <w:lang w:bidi="ar-JO"/>
          <w14:ligatures w14:val="none"/>
        </w:rPr>
        <w:tab/>
        <w:t xml:space="preserve">التحريمات الكنعانية </w:t>
      </w:r>
    </w:p>
    <w:p w14:paraId="22ED7DA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قال بعضهم إن التحريمات الموجودة في تثنية (16: 21 فصاعداً، و12: 29 فصاعداً) في ما يتعلق بالممارسات الدينية الكنعانية ستكون منطقية إذا عُزيت لكاتب في زمن يوشيا يسعى إلى تخليص الأمة من مثل هذه التأثيرات.</w:t>
      </w:r>
    </w:p>
    <w:p w14:paraId="0BFAAD2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i/>
          <w:iCs/>
          <w:color w:val="auto"/>
          <w:kern w:val="0"/>
          <w:szCs w:val="26"/>
          <w:rtl/>
          <w:lang w:bidi="ar-JO"/>
          <w14:ligatures w14:val="none"/>
        </w:rPr>
        <w:t>رد</w:t>
      </w:r>
      <w:r w:rsidRPr="00070B6E">
        <w:rPr>
          <w:rFonts w:eastAsia="Times New Roman" w:cs="DecoType Naskh" w:hint="cs"/>
          <w:color w:val="auto"/>
          <w:kern w:val="0"/>
          <w:szCs w:val="26"/>
          <w:rtl/>
          <w:lang w:bidi="ar-JO"/>
          <w14:ligatures w14:val="none"/>
        </w:rPr>
        <w:t>: لا يثبت هذا الكلام شيئاً.  فمثل هذه التحريمات مناسبة لأمة على وشك الدخول إلى الأرض في زمن موسى حيث يسكن الكنعانيون.  فكان موسى مهتمّاً جدّاً بأن لا يكون هنالك أي امتزاج بالممارسات الكنعانية.</w:t>
      </w:r>
    </w:p>
    <w:p w14:paraId="2AD1E5E6"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516D6086"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3.</w:t>
      </w:r>
      <w:r w:rsidRPr="00070B6E">
        <w:rPr>
          <w:rFonts w:eastAsia="Times New Roman" w:cs="DecoType Naskh" w:hint="cs"/>
          <w:color w:val="auto"/>
          <w:kern w:val="0"/>
          <w:szCs w:val="26"/>
          <w:rtl/>
          <w:lang w:bidi="ar-JO"/>
          <w14:ligatures w14:val="none"/>
        </w:rPr>
        <w:tab/>
        <w:t>إن السفر الذي وجده حلقيّا هو سفر التثنية</w:t>
      </w:r>
    </w:p>
    <w:p w14:paraId="6C1CE8D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إن الحجة الأساسية للباحثين النقديين هي أن "سفر الشريعة" الذي وجده الكاهن حلقيا في زمن يوشيّا (622ق م) هو سفر التثنية (2 ملوك 22: 8؛ 2 أخبار 34: 14).  وهم يفترضون أنه لا بدّ أن يكون قد كُتب قبل وقت قصير من اكتشافه.</w:t>
      </w:r>
    </w:p>
    <w:p w14:paraId="2C1C889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5DB113F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i/>
          <w:iCs/>
          <w:color w:val="auto"/>
          <w:kern w:val="0"/>
          <w:szCs w:val="26"/>
          <w:rtl/>
          <w:lang w:bidi="ar-JO"/>
          <w14:ligatures w14:val="none"/>
        </w:rPr>
        <w:t>رد</w:t>
      </w:r>
      <w:r w:rsidRPr="00070B6E">
        <w:rPr>
          <w:rFonts w:eastAsia="Times New Roman" w:cs="DecoType Naskh" w:hint="cs"/>
          <w:color w:val="auto"/>
          <w:kern w:val="0"/>
          <w:szCs w:val="26"/>
          <w:rtl/>
          <w:lang w:bidi="ar-JO"/>
          <w14:ligatures w14:val="none"/>
        </w:rPr>
        <w:t>: إنه لأمر مستحيل أن نقرر من النص طول "سفر التوراة" أو مضمونه.  وفضلاً عن هذا، فإنه يمكن أن يكون قد عُثر على سفر التثنية في زمن يوشيّا مع كتابته قبل ذلك بقرون.  ربما ضاع هذا السفر أو أُهمل أثناء سنوات حكم منسّى وآمون عندما سادت عبادة الأصنام.</w:t>
      </w:r>
    </w:p>
    <w:p w14:paraId="6D59033D"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4.</w:t>
      </w:r>
      <w:r w:rsidRPr="00070B6E">
        <w:rPr>
          <w:rFonts w:eastAsia="Times New Roman" w:cs="DecoType Naskh" w:hint="cs"/>
          <w:color w:val="auto"/>
          <w:kern w:val="0"/>
          <w:szCs w:val="26"/>
          <w:rtl/>
          <w:lang w:bidi="ar-JO"/>
          <w14:ligatures w14:val="none"/>
        </w:rPr>
        <w:tab/>
        <w:t>العناصر التنبّؤية</w:t>
      </w:r>
    </w:p>
    <w:p w14:paraId="0ADE20B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بما أن الباحثين النقديين ينكرون العناصر النبوية في السفر كجزء من رفضهم للوحي الإلهي، فإن من الطبيعي أن يميلوا إلى إرجاع السفر إلى زمن متأخر يكون سهلاً تفسير هذه العناصر فيه (انظر التعليق السابق تحت عنوان "تحدّي المصدر الموسوي").</w:t>
      </w:r>
    </w:p>
    <w:p w14:paraId="0698DE93"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319F70B0"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د.</w:t>
      </w:r>
      <w:r w:rsidRPr="00070B6E">
        <w:rPr>
          <w:rFonts w:eastAsia="Times New Roman" w:cs="DecoType Naskh" w:hint="cs"/>
          <w:bCs/>
          <w:color w:val="auto"/>
          <w:kern w:val="0"/>
          <w:szCs w:val="26"/>
          <w:rtl/>
          <w14:ligatures w14:val="none"/>
        </w:rPr>
        <w:tab/>
        <w:t>دفاع عن المصدر الموسوي (كتابة موسى لسفر التثنية)</w:t>
      </w:r>
    </w:p>
    <w:p w14:paraId="4CB2EE1F"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1.</w:t>
      </w:r>
      <w:r w:rsidRPr="00070B6E">
        <w:rPr>
          <w:rFonts w:eastAsia="Times New Roman" w:cs="DecoType Naskh" w:hint="cs"/>
          <w:color w:val="auto"/>
          <w:kern w:val="0"/>
          <w:szCs w:val="26"/>
          <w:rtl/>
          <w:lang w:bidi="ar-JO"/>
          <w14:ligatures w14:val="none"/>
        </w:rPr>
        <w:tab/>
        <w:t>ما يقوله النص نفسه</w:t>
      </w:r>
    </w:p>
    <w:p w14:paraId="0766017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تقول تثنية 31: 9، "وكتب موسى هذه التوراة وسلَّمها للكهنة..." (انظر 31: 24؛ 1: 5).</w:t>
      </w:r>
    </w:p>
    <w:p w14:paraId="6F5302C7"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2.</w:t>
      </w:r>
      <w:r w:rsidRPr="00070B6E">
        <w:rPr>
          <w:rFonts w:eastAsia="Times New Roman" w:cs="DecoType Naskh" w:hint="cs"/>
          <w:color w:val="auto"/>
          <w:kern w:val="0"/>
          <w:szCs w:val="26"/>
          <w:rtl/>
          <w:lang w:bidi="ar-JO"/>
          <w14:ligatures w14:val="none"/>
        </w:rPr>
        <w:tab/>
        <w:t>اقتباسات العهد الجديد</w:t>
      </w:r>
    </w:p>
    <w:p w14:paraId="5E9E703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تقتبس أعمال 3: 22 تثنية 18: 15 وتنسبها إلى موسى (انظر 1كورنثوس 9: 9)</w:t>
      </w:r>
    </w:p>
    <w:p w14:paraId="7F4506B6"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3.</w:t>
      </w:r>
      <w:r w:rsidRPr="00070B6E">
        <w:rPr>
          <w:rFonts w:eastAsia="Times New Roman" w:cs="DecoType Naskh" w:hint="cs"/>
          <w:color w:val="auto"/>
          <w:kern w:val="0"/>
          <w:szCs w:val="26"/>
          <w:rtl/>
          <w:lang w:bidi="ar-JO"/>
          <w14:ligatures w14:val="none"/>
        </w:rPr>
        <w:tab/>
        <w:t xml:space="preserve">أكَّد يسوع كتابة موسى للسفر </w:t>
      </w:r>
    </w:p>
    <w:p w14:paraId="161F6E8E"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في متّى 19: 8 نسب يسوع في حديثه حول الطلاق إلى موسى كتابة شريعة الطلاق في تثنية 24.</w:t>
      </w:r>
    </w:p>
    <w:p w14:paraId="4EE0E991"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4.</w:t>
      </w:r>
      <w:r w:rsidRPr="00070B6E">
        <w:rPr>
          <w:rFonts w:eastAsia="Times New Roman" w:cs="DecoType Naskh" w:hint="cs"/>
          <w:color w:val="auto"/>
          <w:kern w:val="0"/>
          <w:szCs w:val="26"/>
          <w:rtl/>
          <w:lang w:bidi="ar-JO"/>
          <w14:ligatures w14:val="none"/>
        </w:rPr>
        <w:tab/>
        <w:t>صيغة المعاهدات السائدة في الألفية الثانية قبل الميلاد</w:t>
      </w:r>
    </w:p>
    <w:p w14:paraId="256D516B"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0"/>
          <w:szCs w:val="28"/>
          <w:rtl/>
          <w:lang w:bidi="ar-JO"/>
          <w14:ligatures w14:val="none"/>
        </w:rPr>
      </w:pPr>
      <w:r w:rsidRPr="00070B6E">
        <w:rPr>
          <w:rFonts w:eastAsia="Times New Roman" w:cs="DecoType Naskh" w:hint="cs"/>
          <w:color w:val="auto"/>
          <w:kern w:val="0"/>
          <w:szCs w:val="26"/>
          <w:rtl/>
          <w:lang w:bidi="ar-JO"/>
          <w14:ligatures w14:val="none"/>
        </w:rPr>
        <w:t>قدّم ميرديث كلاين حجّة ممتازة بأن سفر التثنية جاء في صيغة المعاهدات التي كانت سائدة في الشرق الأدنى بين الدولة المتسيدة المنتصرة والدولة الأضعف التابعة.  وفضلاً عن ذلك بيّن كلاين أن هنالك فروقات مميزة بين أشكال المعاهدات في الألف الأول قبل الميلاد، والألف الثاني قبل الميلاد، وهو أمر له أهميته ودلالته في ضوء أن سفر التثنية جاء حسب صيغة المعاهدات شبيهاً بمعاهدات الألف الثاني ق م</w:t>
      </w:r>
      <w:r w:rsidRPr="00070B6E">
        <w:rPr>
          <w:rFonts w:eastAsia="Times New Roman" w:cs="DecoType Naskh" w:hint="cs"/>
          <w:color w:val="auto"/>
          <w:kern w:val="0"/>
          <w:sz w:val="32"/>
          <w:szCs w:val="30"/>
          <w:rtl/>
          <w:lang w:bidi="ar-JO"/>
          <w14:ligatures w14:val="none"/>
        </w:rPr>
        <w:t>.</w:t>
      </w:r>
      <w:r w:rsidRPr="00070B6E">
        <w:rPr>
          <w:rFonts w:eastAsia="Times New Roman" w:cs="DecoType Naskh"/>
          <w:color w:val="auto"/>
          <w:kern w:val="0"/>
          <w:sz w:val="30"/>
          <w:szCs w:val="28"/>
          <w:vertAlign w:val="superscript"/>
          <w:rtl/>
          <w:lang w:bidi="ar-JO"/>
          <w14:ligatures w14:val="none"/>
        </w:rPr>
        <w:footnoteReference w:customMarkFollows="1" w:id="125"/>
        <w:t>10</w:t>
      </w:r>
    </w:p>
    <w:p w14:paraId="6DD9455E"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p>
    <w:p w14:paraId="43471CA3"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هـ.</w:t>
      </w:r>
      <w:r w:rsidRPr="00070B6E">
        <w:rPr>
          <w:rFonts w:eastAsia="Times New Roman" w:cs="DecoType Naskh" w:hint="cs"/>
          <w:bCs/>
          <w:color w:val="auto"/>
          <w:kern w:val="0"/>
          <w:szCs w:val="26"/>
          <w:rtl/>
          <w14:ligatures w14:val="none"/>
        </w:rPr>
        <w:tab/>
        <w:t xml:space="preserve">سجل موت موسى </w:t>
      </w:r>
    </w:p>
    <w:p w14:paraId="1A226BDD"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lastRenderedPageBreak/>
        <w:t xml:space="preserve">من الواضح أن موسى لم يكتب الأصحاح الأخير الذي يذكر تفاصيل موته وتولّي يشوع للقيادة.   ويؤكد التقليد اليهودي أن يشوع أضاف هذا القسم إجلالاً وتقديراً لرجل عظيم. </w:t>
      </w:r>
    </w:p>
    <w:p w14:paraId="3590BE2D"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p>
    <w:p w14:paraId="76E9A9F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p>
    <w:p w14:paraId="7D29ACC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p>
    <w:p w14:paraId="42D68F3C"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و.</w:t>
      </w:r>
      <w:r w:rsidRPr="00070B6E">
        <w:rPr>
          <w:rFonts w:eastAsia="Times New Roman" w:cs="DecoType Naskh" w:hint="cs"/>
          <w:bCs/>
          <w:color w:val="auto"/>
          <w:kern w:val="0"/>
          <w:szCs w:val="26"/>
          <w:rtl/>
          <w14:ligatures w14:val="none"/>
        </w:rPr>
        <w:tab/>
        <w:t xml:space="preserve">خاتمة </w:t>
      </w:r>
    </w:p>
    <w:p w14:paraId="3C41C026" w14:textId="5A9D0ECE"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كتب موسى سفر التثنية، حسب شهادة السفر نفسه، في نهاية حياته قبل عبور بني إسرائيل نهر الأردن.   وقد حدث هذا بعد انقراض جيل الخروج، حيث إن (تثنية 1 : 3) تذكر أن موسى شرح الشريعة لبني إسرائيل في السنة الأربعين، في اليوم الأول من الشهر الحادي عشر، ويعتمد تحديد السنة الأربعين على التاريخ المقبول للخروج من مصر.  فإذا قُبل عام 1446 ق م كتاريخ للخروج (انظر1 ملوك 6 : 1)، يكون موسى قد كتب سفر التثنية في سهول موآب في الأشهر الأولى من عام 1406 ق م.  </w:t>
      </w:r>
    </w:p>
    <w:p w14:paraId="417532FE" w14:textId="77777777" w:rsidR="00070B6E" w:rsidRPr="00070B6E" w:rsidRDefault="00070B6E" w:rsidP="002D6C54">
      <w:pPr>
        <w:tabs>
          <w:tab w:val="num" w:pos="638"/>
        </w:tabs>
        <w:bidi/>
        <w:spacing w:after="0" w:line="240" w:lineRule="auto"/>
        <w:ind w:left="360" w:hanging="1162"/>
        <w:jc w:val="lowKashida"/>
        <w:rPr>
          <w:rFonts w:eastAsia="Times New Roman" w:cs="Akhbar MT"/>
          <w:color w:val="auto"/>
          <w:kern w:val="0"/>
          <w:sz w:val="30"/>
          <w:szCs w:val="30"/>
          <w:rtl/>
          <w14:ligatures w14:val="none"/>
        </w:rPr>
      </w:pPr>
      <w:r w:rsidRPr="00070B6E">
        <w:rPr>
          <w:rFonts w:eastAsia="Times New Roman" w:cs="Akhbar MT" w:hint="cs"/>
          <w:color w:val="auto"/>
          <w:kern w:val="0"/>
          <w:sz w:val="30"/>
          <w:szCs w:val="30"/>
          <w:rtl/>
          <w14:ligatures w14:val="none"/>
        </w:rPr>
        <w:t xml:space="preserve"> </w:t>
      </w:r>
    </w:p>
    <w:p w14:paraId="48321529"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14:ligatures w14:val="none"/>
        </w:rPr>
        <w:t>4.</w:t>
      </w:r>
      <w:r w:rsidRPr="00070B6E">
        <w:rPr>
          <w:rFonts w:eastAsia="Times New Roman" w:cs="DecoType Naskh" w:hint="cs"/>
          <w:bCs/>
          <w:color w:val="auto"/>
          <w:kern w:val="0"/>
          <w:szCs w:val="28"/>
          <w:rtl/>
          <w14:ligatures w14:val="none"/>
        </w:rPr>
        <w:tab/>
      </w:r>
      <w:r w:rsidRPr="00070B6E">
        <w:rPr>
          <w:rFonts w:eastAsia="Times New Roman" w:cs="DecoType Naskh" w:hint="cs"/>
          <w:bCs/>
          <w:color w:val="auto"/>
          <w:kern w:val="0"/>
          <w:szCs w:val="28"/>
          <w:rtl/>
          <w:lang w:bidi="ar-JO"/>
          <w14:ligatures w14:val="none"/>
        </w:rPr>
        <w:t xml:space="preserve">الخلفية التاريخية لسفر التثنية </w:t>
      </w:r>
    </w:p>
    <w:p w14:paraId="4462AC66"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أ.</w:t>
      </w:r>
      <w:r w:rsidRPr="00070B6E">
        <w:rPr>
          <w:rFonts w:eastAsia="Times New Roman" w:cs="DecoType Naskh" w:hint="cs"/>
          <w:bCs/>
          <w:color w:val="auto"/>
          <w:kern w:val="0"/>
          <w:szCs w:val="26"/>
          <w:rtl/>
          <w14:ligatures w14:val="none"/>
        </w:rPr>
        <w:tab/>
        <w:t xml:space="preserve">مقدمة </w:t>
      </w:r>
    </w:p>
    <w:p w14:paraId="187C8B1E"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تعتمد أية محاولة لدراسة الخلفية التاريخية لسفر التثنية على تحديد تاريخ دقيق لكتابة السفر.  تقول تثنية 1 : 3 إن موسى خاطب الأمة بهذه الكلمات في السنة الأربعين، في اليوم الأول من الشهر الحادي عشر.  غير أن هوية (تحديد) السنة الأربعين هذه تعتمد على التاريخ الذي يقبله المرء للخروج من مصر، وهي مسألة يدور حولها خلاف.  يعطي الباحثون النقديون (وحتى بعض الباحثين الإنجيليين) " تاريخاً متأخراً" للخروج، أي في القرن الثالث عشر ق م.  ويقبل حتى الباحث المحافظ كينيث أ. كتشن تاريخاً متأخراً للخروج. </w:t>
      </w:r>
      <w:r w:rsidRPr="00070B6E">
        <w:rPr>
          <w:rFonts w:eastAsia="Times New Roman" w:cs="Akhbar MT"/>
          <w:color w:val="auto"/>
          <w:kern w:val="0"/>
          <w:sz w:val="30"/>
          <w:szCs w:val="30"/>
          <w:vertAlign w:val="superscript"/>
          <w:rtl/>
          <w:lang w:bidi="ar-JO"/>
          <w14:ligatures w14:val="none"/>
        </w:rPr>
        <w:footnoteReference w:customMarkFollows="1" w:id="126"/>
        <w:t>11</w:t>
      </w:r>
      <w:r w:rsidRPr="00070B6E">
        <w:rPr>
          <w:rFonts w:eastAsia="Times New Roman" w:cs="DecoType Naskh" w:hint="cs"/>
          <w:color w:val="auto"/>
          <w:kern w:val="0"/>
          <w:szCs w:val="26"/>
          <w:rtl/>
          <w:lang w:bidi="ar-JO"/>
          <w14:ligatures w14:val="none"/>
        </w:rPr>
        <w:t xml:space="preserve">  ويميل باحثون إنجيليون آخرون، من ضمنهم أنا، إلى القول "بتاريخ مبكِّر" للخروج، حوالي 1446 ق م (وهو أمر يتّفق مع 1 ملوك 6 : 1).  وبناء على هذا " التاريخ المبكر" للخروج، يكون سفر التثنية قد كُتب حوالي كانون 2-شباط من عام 1406 ق م.</w:t>
      </w:r>
    </w:p>
    <w:p w14:paraId="7CF1AB00"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p>
    <w:p w14:paraId="5E3A2C8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ويمكن تقرير الخلفية الجغرافية من تثنية 1 : 5.  فقد قدّم موسى الرسالة عندما كان بنو إسرائيل "في عبر الأردن... في أرض موآب" (أنظر 4 : 46). </w:t>
      </w:r>
    </w:p>
    <w:p w14:paraId="78CB889D"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 </w:t>
      </w:r>
    </w:p>
    <w:p w14:paraId="3344F11D"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ب.</w:t>
      </w:r>
      <w:r w:rsidRPr="00070B6E">
        <w:rPr>
          <w:rFonts w:eastAsia="Times New Roman" w:cs="DecoType Naskh" w:hint="cs"/>
          <w:bCs/>
          <w:color w:val="auto"/>
          <w:kern w:val="0"/>
          <w:szCs w:val="26"/>
          <w:rtl/>
          <w14:ligatures w14:val="none"/>
        </w:rPr>
        <w:tab/>
        <w:t xml:space="preserve">المشهد الدولي </w:t>
      </w:r>
    </w:p>
    <w:p w14:paraId="76E2A59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بقيت منطقة سورية </w:t>
      </w:r>
      <w:r w:rsidRPr="00070B6E">
        <w:rPr>
          <w:rFonts w:eastAsia="Times New Roman" w:cs="DecoType Naskh"/>
          <w:color w:val="auto"/>
          <w:kern w:val="0"/>
          <w:szCs w:val="26"/>
          <w:rtl/>
          <w:lang w:bidi="ar-JO"/>
          <w14:ligatures w14:val="none"/>
        </w:rPr>
        <w:t>–</w:t>
      </w:r>
      <w:r w:rsidRPr="00070B6E">
        <w:rPr>
          <w:rFonts w:eastAsia="Times New Roman" w:cs="DecoType Naskh" w:hint="cs"/>
          <w:color w:val="auto"/>
          <w:kern w:val="0"/>
          <w:szCs w:val="26"/>
          <w:rtl/>
          <w:lang w:bidi="ar-JO"/>
          <w14:ligatures w14:val="none"/>
        </w:rPr>
        <w:t xml:space="preserve">كنعان الواسعة منطقة تبادل إطلاق نار أثناء الفترة الممتدة ما بين القرن السادس عشر إلى الثالث عشر قبل الميلاد.  وقد تنافست ثلاث إمبراطوريات على السيطرة على هذه المنطقة: مصر وميتاني والإمبراطورية الحثّية.  وكانت كلا المملكتين الميتانيّة والحثّية واقعتين إلى الشمال من سورية، بينما كانت مصر واقعة إلى الجنوب.  وكانت سورية </w:t>
      </w:r>
      <w:r w:rsidRPr="00070B6E">
        <w:rPr>
          <w:rFonts w:eastAsia="Times New Roman" w:cs="DecoType Naskh"/>
          <w:color w:val="auto"/>
          <w:kern w:val="0"/>
          <w:szCs w:val="26"/>
          <w:rtl/>
          <w:lang w:bidi="ar-JO"/>
          <w14:ligatures w14:val="none"/>
        </w:rPr>
        <w:t>–</w:t>
      </w:r>
      <w:r w:rsidRPr="00070B6E">
        <w:rPr>
          <w:rFonts w:eastAsia="Times New Roman" w:cs="DecoType Naskh" w:hint="cs"/>
          <w:color w:val="auto"/>
          <w:kern w:val="0"/>
          <w:szCs w:val="26"/>
          <w:rtl/>
          <w:lang w:bidi="ar-JO"/>
          <w14:ligatures w14:val="none"/>
        </w:rPr>
        <w:t xml:space="preserve"> كنعان تحت تأثير المملكة الميتانية حتى حوالي منتصف القرن السادس عشر ق م.  ومن تلك النقطة فصاعداً، وقعت الهيمنة المصرية على الرغم من أن الإمبراطوريتين بقيتا متنافستين حتى أوائل القرن الرابع عشر ق م.  وانتقل الصراع إلى توتر بين مصر والحثّيين. </w:t>
      </w:r>
    </w:p>
    <w:p w14:paraId="6FF7C40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14:ligatures w14:val="none"/>
        </w:rPr>
      </w:pPr>
      <w:r w:rsidRPr="00070B6E">
        <w:rPr>
          <w:rFonts w:eastAsia="Times New Roman" w:cs="DecoType Naskh" w:hint="cs"/>
          <w:color w:val="auto"/>
          <w:kern w:val="0"/>
          <w:szCs w:val="26"/>
          <w:rtl/>
          <w:lang w:bidi="ar-JO"/>
          <w14:ligatures w14:val="none"/>
        </w:rPr>
        <w:t xml:space="preserve">فإذا قبلنا عام 1406 ق م كتاريخ لكتابة سفر التثنية (وبداية الغزو)، فإن معنى هذا أن كلاًّ من كنعان وسورية في هذه الفترة كانتا تحت الهيمنة المصرية.  </w:t>
      </w:r>
    </w:p>
    <w:p w14:paraId="0F286504" w14:textId="77777777" w:rsidR="00070B6E" w:rsidRPr="00070B6E" w:rsidRDefault="00070B6E" w:rsidP="002D6C54">
      <w:pPr>
        <w:bidi/>
        <w:spacing w:after="0" w:line="240" w:lineRule="auto"/>
        <w:jc w:val="lowKashida"/>
        <w:rPr>
          <w:rFonts w:eastAsia="Times New Roman" w:cs="Akhbar MT"/>
          <w:color w:val="auto"/>
          <w:kern w:val="0"/>
          <w:sz w:val="30"/>
          <w:szCs w:val="30"/>
          <w:rtl/>
          <w14:ligatures w14:val="none"/>
        </w:rPr>
      </w:pPr>
    </w:p>
    <w:p w14:paraId="1BB7F28B"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14:ligatures w14:val="none"/>
        </w:rPr>
      </w:pPr>
      <w:r w:rsidRPr="00070B6E">
        <w:rPr>
          <w:rFonts w:eastAsia="Times New Roman" w:cs="DecoType Naskh" w:hint="cs"/>
          <w:color w:val="auto"/>
          <w:kern w:val="0"/>
          <w:szCs w:val="26"/>
          <w:rtl/>
          <w:lang w:bidi="ar-JO"/>
          <w14:ligatures w14:val="none"/>
        </w:rPr>
        <w:t xml:space="preserve"> </w:t>
      </w:r>
      <w:r w:rsidRPr="00070B6E">
        <w:rPr>
          <w:rFonts w:eastAsia="Times New Roman" w:cs="DecoType Naskh" w:hint="cs"/>
          <w:color w:val="auto"/>
          <w:kern w:val="0"/>
          <w:szCs w:val="26"/>
          <w:rtl/>
          <w14:ligatures w14:val="none"/>
        </w:rPr>
        <w:t xml:space="preserve"> </w:t>
      </w:r>
    </w:p>
    <w:p w14:paraId="7AE078C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 xml:space="preserve">كل من الخروج وغزو كنعان قد حدثا خلال فترة فراعنة مصر من الأسرة الثامنة عشرة. ومع ذلك، فإن تحديد هوية الفراعنة لكل من هذه الأحداث يعتمد على التسلسل الزمني المصري الذي يختار المرء اتباعه </w:t>
      </w:r>
      <w:r w:rsidRPr="00070B6E">
        <w:rPr>
          <w:rFonts w:eastAsia="Times New Roman" w:cs="DecoType Naskh"/>
          <w:color w:val="auto"/>
          <w:kern w:val="0"/>
          <w:szCs w:val="26"/>
          <w:rtl/>
          <w:lang w:bidi="ar-JO"/>
          <w14:ligatures w14:val="none"/>
        </w:rPr>
        <w:lastRenderedPageBreak/>
        <w:t>(</w:t>
      </w:r>
      <w:r w:rsidRPr="00070B6E">
        <w:rPr>
          <w:rFonts w:eastAsia="Times New Roman" w:cs="DecoType Naskh" w:hint="cs"/>
          <w:color w:val="auto"/>
          <w:kern w:val="0"/>
          <w:szCs w:val="26"/>
          <w:rtl/>
          <w:lang w:bidi="ar-JO"/>
          <w14:ligatures w14:val="none"/>
        </w:rPr>
        <w:t>يناقش</w:t>
      </w:r>
      <w:r w:rsidRPr="00070B6E">
        <w:rPr>
          <w:rFonts w:eastAsia="Times New Roman" w:cs="DecoType Naskh"/>
          <w:color w:val="auto"/>
          <w:kern w:val="0"/>
          <w:szCs w:val="26"/>
          <w:rtl/>
          <w:lang w:bidi="ar-JO"/>
          <w14:ligatures w14:val="none"/>
        </w:rPr>
        <w:t xml:space="preserve"> العلماء بين "التسلسل الزمني المنخفض" و"التسلسل الزمني العالي" لفراعنة الأسرة الثامنة عشرة). أما الفراعنة والتواريخ حسب التسلسل الزمني المنخفض فهي تقريبًا كما يلي:</w:t>
      </w:r>
    </w:p>
    <w:p w14:paraId="1086C35D"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 xml:space="preserve">أحمس الأول </w:t>
      </w:r>
      <w:r w:rsidRPr="00070B6E">
        <w:rPr>
          <w:rFonts w:eastAsia="Times New Roman" w:cs="DecoType Naskh"/>
          <w:color w:val="auto"/>
          <w:kern w:val="0"/>
          <w:szCs w:val="26"/>
          <w:rtl/>
          <w:lang w:bidi="ar-JO"/>
          <w14:ligatures w14:val="none"/>
        </w:rPr>
        <w:tab/>
      </w:r>
      <w:r w:rsidRPr="00070B6E">
        <w:rPr>
          <w:rFonts w:eastAsia="Times New Roman" w:cs="DecoType Naskh"/>
          <w:color w:val="auto"/>
          <w:kern w:val="0"/>
          <w:szCs w:val="26"/>
          <w:lang w:bidi="ar-JO"/>
          <w14:ligatures w14:val="none"/>
        </w:rPr>
        <w:t xml:space="preserve">     </w:t>
      </w:r>
      <w:r w:rsidRPr="00070B6E">
        <w:rPr>
          <w:rFonts w:eastAsia="Times New Roman" w:cs="DecoType Naskh"/>
          <w:color w:val="auto"/>
          <w:kern w:val="0"/>
          <w:szCs w:val="26"/>
          <w:lang w:bidi="ar-JO"/>
          <w14:ligatures w14:val="none"/>
        </w:rPr>
        <w:tab/>
      </w:r>
      <w:r w:rsidRPr="00070B6E">
        <w:rPr>
          <w:rFonts w:eastAsia="Times New Roman" w:cs="DecoType Naskh"/>
          <w:color w:val="auto"/>
          <w:kern w:val="0"/>
          <w:szCs w:val="26"/>
          <w:rtl/>
          <w:lang w:bidi="ar-JO"/>
          <w14:ligatures w14:val="none"/>
        </w:rPr>
        <w:tab/>
        <w:t>1549</w:t>
      </w:r>
      <w:r w:rsidRPr="00070B6E">
        <w:rPr>
          <w:rFonts w:eastAsia="Times New Roman" w:cs="DecoType Naskh"/>
          <w:color w:val="auto"/>
          <w:kern w:val="0"/>
          <w:szCs w:val="26"/>
          <w:lang w:bidi="ar-JO"/>
          <w14:ligatures w14:val="none"/>
        </w:rPr>
        <w:tab/>
      </w:r>
      <w:r w:rsidRPr="00070B6E">
        <w:rPr>
          <w:rFonts w:eastAsia="Times New Roman" w:cs="DecoType Naskh"/>
          <w:color w:val="auto"/>
          <w:kern w:val="0"/>
          <w:szCs w:val="26"/>
          <w:rtl/>
          <w:lang w:bidi="ar-JO"/>
          <w14:ligatures w14:val="none"/>
        </w:rPr>
        <w:t>-1524 ق.م</w:t>
      </w:r>
    </w:p>
    <w:p w14:paraId="1D01828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 xml:space="preserve">أمنحتب الأول </w:t>
      </w:r>
      <w:r w:rsidRPr="00070B6E">
        <w:rPr>
          <w:rFonts w:eastAsia="Times New Roman" w:cs="DecoType Naskh"/>
          <w:color w:val="auto"/>
          <w:kern w:val="0"/>
          <w:szCs w:val="26"/>
          <w:rtl/>
          <w:lang w:bidi="ar-JO"/>
          <w14:ligatures w14:val="none"/>
        </w:rPr>
        <w:tab/>
      </w:r>
      <w:r w:rsidRPr="00070B6E">
        <w:rPr>
          <w:rFonts w:eastAsia="Times New Roman" w:cs="DecoType Naskh"/>
          <w:color w:val="auto"/>
          <w:kern w:val="0"/>
          <w:szCs w:val="26"/>
          <w:rtl/>
          <w:lang w:bidi="ar-JO"/>
          <w14:ligatures w14:val="none"/>
        </w:rPr>
        <w:tab/>
        <w:t>1524-1503 ق</w:t>
      </w:r>
    </w:p>
    <w:p w14:paraId="5DF85FC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 xml:space="preserve">تحتمس الأول </w:t>
      </w:r>
      <w:r w:rsidRPr="00070B6E">
        <w:rPr>
          <w:rFonts w:eastAsia="Times New Roman" w:cs="DecoType Naskh"/>
          <w:color w:val="auto"/>
          <w:kern w:val="0"/>
          <w:szCs w:val="26"/>
          <w:rtl/>
          <w:lang w:bidi="ar-JO"/>
          <w14:ligatures w14:val="none"/>
        </w:rPr>
        <w:tab/>
      </w:r>
      <w:r w:rsidRPr="00070B6E">
        <w:rPr>
          <w:rFonts w:eastAsia="Times New Roman" w:cs="DecoType Naskh"/>
          <w:color w:val="auto"/>
          <w:kern w:val="0"/>
          <w:szCs w:val="26"/>
          <w:rtl/>
          <w:lang w:bidi="ar-JO"/>
          <w14:ligatures w14:val="none"/>
        </w:rPr>
        <w:tab/>
        <w:t>1503 – 1493 ق.م</w:t>
      </w:r>
    </w:p>
    <w:p w14:paraId="1C7F8274"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تحتمس الثاني</w:t>
      </w:r>
      <w:r w:rsidRPr="00070B6E">
        <w:rPr>
          <w:rFonts w:eastAsia="Times New Roman" w:cs="DecoType Naskh"/>
          <w:color w:val="auto"/>
          <w:kern w:val="0"/>
          <w:szCs w:val="26"/>
          <w:rtl/>
          <w:lang w:bidi="ar-JO"/>
          <w14:ligatures w14:val="none"/>
        </w:rPr>
        <w:tab/>
      </w:r>
      <w:r w:rsidRPr="00070B6E">
        <w:rPr>
          <w:rFonts w:eastAsia="Times New Roman" w:cs="DecoType Naskh"/>
          <w:color w:val="auto"/>
          <w:kern w:val="0"/>
          <w:szCs w:val="26"/>
          <w:rtl/>
          <w:lang w:bidi="ar-JO"/>
          <w14:ligatures w14:val="none"/>
        </w:rPr>
        <w:tab/>
        <w:t xml:space="preserve"> 1493-1479 ق.م</w:t>
      </w:r>
    </w:p>
    <w:p w14:paraId="62BC6D36"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تحتمس الثالث</w:t>
      </w:r>
      <w:r w:rsidRPr="00070B6E">
        <w:rPr>
          <w:rFonts w:eastAsia="Times New Roman" w:cs="DecoType Naskh"/>
          <w:color w:val="auto"/>
          <w:kern w:val="0"/>
          <w:szCs w:val="26"/>
          <w:rtl/>
          <w:lang w:bidi="ar-JO"/>
          <w14:ligatures w14:val="none"/>
        </w:rPr>
        <w:tab/>
      </w:r>
      <w:r w:rsidRPr="00070B6E">
        <w:rPr>
          <w:rFonts w:eastAsia="Times New Roman" w:cs="DecoType Naskh"/>
          <w:color w:val="auto"/>
          <w:kern w:val="0"/>
          <w:szCs w:val="26"/>
          <w:rtl/>
          <w:lang w:bidi="ar-JO"/>
          <w14:ligatures w14:val="none"/>
        </w:rPr>
        <w:tab/>
        <w:t xml:space="preserve"> 1479-1424 ق.م. </w:t>
      </w:r>
      <w:r w:rsidRPr="00070B6E">
        <w:rPr>
          <w:rFonts w:eastAsia="Times New Roman" w:cs="DecoType Naskh"/>
          <w:color w:val="auto"/>
          <w:kern w:val="0"/>
          <w:sz w:val="22"/>
          <w:rtl/>
          <w:lang w:bidi="ar-JO"/>
          <w14:ligatures w14:val="none"/>
        </w:rPr>
        <w:t>(مع حكم مشترك مع حتشبسوت، 1479-1458)</w:t>
      </w:r>
    </w:p>
    <w:p w14:paraId="71B69EF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 xml:space="preserve">أمنحتب الثاني </w:t>
      </w:r>
      <w:r w:rsidRPr="00070B6E">
        <w:rPr>
          <w:rFonts w:eastAsia="Times New Roman" w:cs="DecoType Naskh"/>
          <w:color w:val="auto"/>
          <w:kern w:val="0"/>
          <w:szCs w:val="26"/>
          <w:rtl/>
          <w:lang w:bidi="ar-JO"/>
          <w14:ligatures w14:val="none"/>
        </w:rPr>
        <w:tab/>
      </w:r>
      <w:r w:rsidRPr="00070B6E">
        <w:rPr>
          <w:rFonts w:eastAsia="Times New Roman" w:cs="DecoType Naskh"/>
          <w:color w:val="auto"/>
          <w:kern w:val="0"/>
          <w:szCs w:val="26"/>
          <w:rtl/>
          <w:lang w:bidi="ar-JO"/>
          <w14:ligatures w14:val="none"/>
        </w:rPr>
        <w:tab/>
        <w:t xml:space="preserve">1424-1398 ق.م. </w:t>
      </w:r>
      <w:r w:rsidRPr="00070B6E">
        <w:rPr>
          <w:rFonts w:eastAsia="Times New Roman" w:cs="DecoType Naskh"/>
          <w:color w:val="auto"/>
          <w:kern w:val="0"/>
          <w:sz w:val="22"/>
          <w:rtl/>
          <w:lang w:bidi="ar-JO"/>
          <w14:ligatures w14:val="none"/>
        </w:rPr>
        <w:t>(بدأ الحكم المشترك مع تحتمس الثالث حوالي عام 1427)</w:t>
      </w:r>
    </w:p>
    <w:p w14:paraId="05FE18B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 xml:space="preserve">تحتمس الرابع </w:t>
      </w:r>
      <w:r w:rsidRPr="00070B6E">
        <w:rPr>
          <w:rFonts w:eastAsia="Times New Roman" w:cs="DecoType Naskh"/>
          <w:color w:val="auto"/>
          <w:kern w:val="0"/>
          <w:szCs w:val="26"/>
          <w:rtl/>
          <w:lang w:bidi="ar-JO"/>
          <w14:ligatures w14:val="none"/>
        </w:rPr>
        <w:tab/>
      </w:r>
      <w:r w:rsidRPr="00070B6E">
        <w:rPr>
          <w:rFonts w:eastAsia="Times New Roman" w:cs="DecoType Naskh"/>
          <w:color w:val="auto"/>
          <w:kern w:val="0"/>
          <w:szCs w:val="26"/>
          <w:rtl/>
          <w:lang w:bidi="ar-JO"/>
          <w14:ligatures w14:val="none"/>
        </w:rPr>
        <w:tab/>
        <w:t>1398-1388 ق.م</w:t>
      </w:r>
    </w:p>
    <w:p w14:paraId="0007F9C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 xml:space="preserve">أمنحتب الثالث </w:t>
      </w:r>
      <w:r w:rsidRPr="00070B6E">
        <w:rPr>
          <w:rFonts w:eastAsia="Times New Roman" w:cs="DecoType Naskh"/>
          <w:color w:val="auto"/>
          <w:kern w:val="0"/>
          <w:szCs w:val="26"/>
          <w:rtl/>
          <w:lang w:bidi="ar-JO"/>
          <w14:ligatures w14:val="none"/>
        </w:rPr>
        <w:tab/>
      </w:r>
      <w:r w:rsidRPr="00070B6E">
        <w:rPr>
          <w:rFonts w:eastAsia="Times New Roman" w:cs="DecoType Naskh"/>
          <w:color w:val="auto"/>
          <w:kern w:val="0"/>
          <w:szCs w:val="26"/>
          <w:rtl/>
          <w:lang w:bidi="ar-JO"/>
          <w14:ligatures w14:val="none"/>
        </w:rPr>
        <w:tab/>
        <w:t>1388-1351/50 ق.م</w:t>
      </w:r>
    </w:p>
    <w:p w14:paraId="4D062F7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وبافتراض صحة هذه التواريخ، فإن "الملك الجديد الذي لم يعرف يوسف" (خروج 1: 8) سيكون أحمس الأول. وكان موسى (ولد 1526 ق.م.) قد نشأ في بلاط أمنحتب الأول، وتحتمس الأول، وجزئياً في عهد تحتمس الثاني. وكان الأخير، تحتمس الثاني، هو الفرعون الذي هرب منه موسى عام 1486 قبل الميلاد. إذ</w:t>
      </w:r>
      <w:r w:rsidRPr="00070B6E">
        <w:rPr>
          <w:rFonts w:eastAsia="Times New Roman" w:cs="DecoType Naskh" w:hint="cs"/>
          <w:color w:val="auto"/>
          <w:kern w:val="0"/>
          <w:szCs w:val="26"/>
          <w:rtl/>
          <w:lang w:bidi="ar-JO"/>
          <w14:ligatures w14:val="none"/>
        </w:rPr>
        <w:t>اً</w:t>
      </w:r>
      <w:r w:rsidRPr="00070B6E">
        <w:rPr>
          <w:rFonts w:eastAsia="Times New Roman" w:cs="DecoType Naskh"/>
          <w:color w:val="auto"/>
          <w:kern w:val="0"/>
          <w:szCs w:val="26"/>
          <w:rtl/>
          <w:lang w:bidi="ar-JO"/>
          <w14:ligatures w14:val="none"/>
        </w:rPr>
        <w:t>، كان فرعون الخروج (1446 ق.م.) هو تحتمس الثالث، وكان فرعون وقت غزو كنعان (1406 ق.م.) هو أمنحتب الثاني.</w:t>
      </w:r>
    </w:p>
    <w:p w14:paraId="0156EE54"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14:ligatures w14:val="none"/>
        </w:rPr>
      </w:pPr>
      <w:r w:rsidRPr="00070B6E">
        <w:rPr>
          <w:rFonts w:eastAsia="Times New Roman" w:cs="DecoType Naskh" w:hint="cs"/>
          <w:color w:val="auto"/>
          <w:kern w:val="0"/>
          <w:szCs w:val="26"/>
          <w:rtl/>
          <w:lang w:bidi="ar-JO"/>
          <w14:ligatures w14:val="none"/>
        </w:rPr>
        <w:t xml:space="preserve">وكانت منطقة كنعان مقسّمة إلى عدد من المدن </w:t>
      </w:r>
      <w:r w:rsidRPr="00070B6E">
        <w:rPr>
          <w:rFonts w:eastAsia="Times New Roman" w:cs="DecoType Naskh"/>
          <w:color w:val="auto"/>
          <w:kern w:val="0"/>
          <w:szCs w:val="26"/>
          <w:rtl/>
          <w:lang w:bidi="ar-JO"/>
          <w14:ligatures w14:val="none"/>
        </w:rPr>
        <w:t>–</w:t>
      </w:r>
      <w:r w:rsidRPr="00070B6E">
        <w:rPr>
          <w:rFonts w:eastAsia="Times New Roman" w:cs="DecoType Naskh" w:hint="cs"/>
          <w:color w:val="auto"/>
          <w:kern w:val="0"/>
          <w:szCs w:val="26"/>
          <w:rtl/>
          <w:lang w:bidi="ar-JO"/>
          <w14:ligatures w14:val="none"/>
        </w:rPr>
        <w:t xml:space="preserve"> الولايات التي تدين بالولاء لمصر. وحكم كل واحدة منها ملك يتمتع بقدرة معيَّنة من الحرية ما دام يدرك أنه مسؤول أمام السلطة المصرية: </w:t>
      </w:r>
    </w:p>
    <w:p w14:paraId="7F01B95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Akhbar MT"/>
          <w:color w:val="auto"/>
          <w:kern w:val="0"/>
          <w:sz w:val="30"/>
          <w:szCs w:val="30"/>
          <w:rtl/>
          <w:lang w:bidi="ar-JO"/>
          <w14:ligatures w14:val="none"/>
        </w:rPr>
      </w:pPr>
      <w:r w:rsidRPr="00070B6E">
        <w:rPr>
          <w:rFonts w:eastAsia="Times New Roman" w:cs="DecoType Naskh" w:hint="cs"/>
          <w:color w:val="auto"/>
          <w:kern w:val="0"/>
          <w:szCs w:val="26"/>
          <w:rtl/>
          <w:lang w:bidi="ar-JO"/>
          <w14:ligatures w14:val="none"/>
        </w:rPr>
        <w:t xml:space="preserve">لم يتدخل المصريون في البنية الداخلية للمدن- الممالك الكنعانية الأخرى ما دامت تقبل السلطة المصرية، وتدفع الجزية، وتؤمّن الطرقات المارة عبر أراضيها، وتزوّد الجيش المصري بالمركبات والقوّات المساعدة والطعام واللوازم الأخرى. </w:t>
      </w:r>
      <w:r w:rsidRPr="00070B6E">
        <w:rPr>
          <w:rFonts w:eastAsia="Times New Roman" w:cs="Akhbar MT"/>
          <w:color w:val="auto"/>
          <w:kern w:val="0"/>
          <w:sz w:val="30"/>
          <w:szCs w:val="30"/>
          <w:vertAlign w:val="superscript"/>
          <w:rtl/>
          <w:lang w:bidi="ar-JO"/>
          <w14:ligatures w14:val="none"/>
        </w:rPr>
        <w:footnoteReference w:customMarkFollows="1" w:id="127"/>
        <w:t>12</w:t>
      </w:r>
    </w:p>
    <w:p w14:paraId="002F7076"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 </w:t>
      </w:r>
    </w:p>
    <w:p w14:paraId="36FA0CA6"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تميز عهد تحتمس الثالث بعدد من الرحلات العسكرية باتجاه الشمال. وقد أدى ذلك إلى دخوله في صراع مع الإمبراطورية الميتانية شمال سوريا، وكلاهما تنافسا على السيطرة على سوريا. تضمنت هذه الحملات انتقالات عبر المناطق الساحلية في فلسطين. ومع ذلك، قام أمنحتب الثاني، ابن تحتمس، بحملات عسكرية قليلة جدًا، وشهد عهده وقف الأعمال العدائية بين مصر وميتاني. ومن المثير للاهتمام أن أمنحتب الثاني لم يكن الابن البكر لتحتمس الثالث. أمنحتب الثاني (ابن من ميريتر حتشبسوت غير الملكية) كان له أخ أكبر اسمه أمنمحات الذي كان الابن البكر لتحتمس الثالث من الملكة ساتيا. إلا أن الأمير أمنمحات مات قبل أن يصبح فرعوناً. ومن المحتمل جدًا أن يكون الابن البكر لفرعون الذي مات في وقت الخروج (خروج 29:12-32).</w:t>
      </w:r>
    </w:p>
    <w:p w14:paraId="31C4157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lang w:bidi="ar-JO"/>
          <w14:ligatures w14:val="none"/>
        </w:rPr>
      </w:pPr>
    </w:p>
    <w:p w14:paraId="4A788AA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t>ولد أمنحتب الثاني ونشأ في ممفيس (بالقرب من القاهرة الحديثة) بدلاً من طيبة (الأقصر)، العاصمة التقليدية. وقد شارك في الحكم مع والده، تحتمس الثالث، لمدة عامين وأربعة أشهر تقريبًا. وهذا من شأنه أن يؤرخ انضمامه إلى حوالي عام 1427 قبل الميلاد. على الرغم من أنه قام في وقت مبكر من حكمه بحملتين شمالًا إلى كنعان وسوريا، إلا أن حملته الأخيرة حدثت في عامه التاسع، والذي كان من الممكن أن يكون قبل دخول العبرانيين إلى كنعان. بعد ذلك، يبدو أنه عقد السلام (على الأقل بشكل غير رسمي) مع ميتاني، وتحول تركيزه أكثر إلى الشؤون الداخلية</w:t>
      </w:r>
    </w:p>
    <w:p w14:paraId="0D6C6F15"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p>
    <w:p w14:paraId="13EE2B8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بعد حكم </w:t>
      </w:r>
      <w:r w:rsidRPr="00070B6E">
        <w:rPr>
          <w:rFonts w:eastAsia="Times New Roman" w:cs="DecoType Naskh"/>
          <w:color w:val="auto"/>
          <w:kern w:val="0"/>
          <w:szCs w:val="26"/>
          <w:rtl/>
          <w:lang w:bidi="ar-JO"/>
          <w14:ligatures w14:val="none"/>
        </w:rPr>
        <w:t>أمنحتب</w:t>
      </w:r>
      <w:r w:rsidRPr="00070B6E">
        <w:rPr>
          <w:rFonts w:eastAsia="Times New Roman" w:cs="DecoType Naskh" w:hint="cs"/>
          <w:color w:val="auto"/>
          <w:kern w:val="0"/>
          <w:szCs w:val="26"/>
          <w:rtl/>
          <w:lang w:bidi="ar-JO"/>
          <w14:ligatures w14:val="none"/>
        </w:rPr>
        <w:t xml:space="preserve"> الثاني انتقلت السياسة الخارجية لمصر من العدوان العسكري إلى علاقات سلمية نسبياً مع بقية العالم المعروف.</w:t>
      </w:r>
      <w:r w:rsidRPr="00070B6E">
        <w:rPr>
          <w:rFonts w:eastAsia="Times New Roman" w:cs="DecoType Naskh"/>
          <w:color w:val="auto"/>
          <w:kern w:val="0"/>
          <w:szCs w:val="26"/>
          <w:vertAlign w:val="superscript"/>
          <w:rtl/>
          <w:lang w:bidi="ar-JO"/>
          <w14:ligatures w14:val="none"/>
        </w:rPr>
        <w:footnoteReference w:id="128"/>
      </w:r>
      <w:r w:rsidRPr="00070B6E">
        <w:rPr>
          <w:rFonts w:eastAsia="Times New Roman" w:cs="DecoType Naskh" w:hint="cs"/>
          <w:color w:val="auto"/>
          <w:kern w:val="0"/>
          <w:szCs w:val="26"/>
          <w:rtl/>
          <w:lang w:bidi="ar-JO"/>
          <w14:ligatures w14:val="none"/>
        </w:rPr>
        <w:t xml:space="preserve"> </w:t>
      </w:r>
    </w:p>
    <w:p w14:paraId="3307DA84"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color w:val="auto"/>
          <w:kern w:val="0"/>
          <w:szCs w:val="26"/>
          <w:rtl/>
          <w:lang w:bidi="ar-JO"/>
          <w14:ligatures w14:val="none"/>
        </w:rPr>
        <w:lastRenderedPageBreak/>
        <w:t>لا يُعرف سوى القليل عن ابن أمنحتب وخليفته، تحتمس الرابع. يسجل التاريخ أنه عزز أيضًا العلاقات السلمية مع ميتاني وتزوج من أميرة ميتانية لإبرام هذا التحالف الجديد. عند وفاته، أصبح أمنحتب الثالث (المعروف أيضًا باسم أمنحتب الكبير) فرعون مصر.</w:t>
      </w:r>
    </w:p>
    <w:p w14:paraId="4F56CDF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وتحت حكم </w:t>
      </w:r>
      <w:r w:rsidRPr="00070B6E">
        <w:rPr>
          <w:rFonts w:eastAsia="Times New Roman" w:cs="DecoType Naskh"/>
          <w:color w:val="auto"/>
          <w:kern w:val="0"/>
          <w:szCs w:val="26"/>
          <w:rtl/>
          <w:lang w:bidi="ar-JO"/>
          <w14:ligatures w14:val="none"/>
        </w:rPr>
        <w:t>أمنحتب</w:t>
      </w:r>
      <w:r w:rsidRPr="00070B6E">
        <w:rPr>
          <w:rFonts w:eastAsia="Times New Roman" w:cs="DecoType Naskh" w:hint="cs"/>
          <w:color w:val="auto"/>
          <w:kern w:val="0"/>
          <w:szCs w:val="26"/>
          <w:rtl/>
          <w:lang w:bidi="ar-JO"/>
          <w14:ligatures w14:val="none"/>
        </w:rPr>
        <w:t xml:space="preserve"> الثالث (</w:t>
      </w:r>
      <w:r w:rsidRPr="00070B6E">
        <w:rPr>
          <w:rFonts w:eastAsia="Times New Roman" w:cs="DecoType Naskh"/>
          <w:color w:val="auto"/>
          <w:kern w:val="0"/>
          <w:szCs w:val="26"/>
          <w:rtl/>
          <w:lang w:bidi="ar-JO"/>
          <w14:ligatures w14:val="none"/>
        </w:rPr>
        <w:t>يشار إليه أحيانًا باسم أمينوفيس الثالث</w:t>
      </w:r>
      <w:r w:rsidRPr="00070B6E">
        <w:rPr>
          <w:rFonts w:eastAsia="Times New Roman" w:cs="DecoType Naskh" w:hint="cs"/>
          <w:color w:val="auto"/>
          <w:kern w:val="0"/>
          <w:szCs w:val="26"/>
          <w:rtl/>
          <w:lang w:bidi="ar-JO"/>
          <w14:ligatures w14:val="none"/>
        </w:rPr>
        <w:t xml:space="preserve">) أرتخت قبضة مصر على ما يبدو عن المقاطعات الآسيوية، إذ يوصف هذا الحكم " كحاكم أدى إهماله الكسول للمقاطعات الآسيوية إلى تمهيد الطريق لانحسار سيطرة مصر على سورية." </w:t>
      </w:r>
      <w:r w:rsidRPr="00070B6E">
        <w:rPr>
          <w:rFonts w:eastAsia="Times New Roman" w:cs="Akhbar MT"/>
          <w:color w:val="auto"/>
          <w:kern w:val="0"/>
          <w:sz w:val="30"/>
          <w:szCs w:val="30"/>
          <w:vertAlign w:val="superscript"/>
          <w:rtl/>
          <w:lang w:bidi="ar-JO"/>
          <w14:ligatures w14:val="none"/>
        </w:rPr>
        <w:footnoteReference w:customMarkFollows="1" w:id="129"/>
        <w:t>14</w:t>
      </w:r>
      <w:r w:rsidRPr="00070B6E">
        <w:rPr>
          <w:rFonts w:eastAsia="Times New Roman" w:cs="DecoType Naskh" w:hint="cs"/>
          <w:color w:val="auto"/>
          <w:kern w:val="0"/>
          <w:szCs w:val="26"/>
          <w:rtl/>
          <w:lang w:bidi="ar-JO"/>
          <w14:ligatures w14:val="none"/>
        </w:rPr>
        <w:t xml:space="preserve"> غير أن أحوال مصر نفسها كانت ممتازة:</w:t>
      </w:r>
    </w:p>
    <w:p w14:paraId="5027AE8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جاء اعتلاء المللك نبمير، أمينوفس الثالث، في لحظة من تاريخ مصر، كانت مصر فيها، بفضل قرنين من الإنجازات التي لا مثيل لها تقريباً في الداخل والخارج، في ذروة قوتها السياسية وازدهارها الاقتصادي وتطوُّرها الحضاري. </w:t>
      </w:r>
      <w:r w:rsidRPr="00070B6E">
        <w:rPr>
          <w:rFonts w:eastAsia="Times New Roman" w:cs="Akhbar MT"/>
          <w:color w:val="auto"/>
          <w:kern w:val="0"/>
          <w:sz w:val="30"/>
          <w:szCs w:val="30"/>
          <w:vertAlign w:val="superscript"/>
          <w:rtl/>
          <w:lang w:bidi="ar-JO"/>
          <w14:ligatures w14:val="none"/>
        </w:rPr>
        <w:footnoteReference w:customMarkFollows="1" w:id="130"/>
        <w:t>15</w:t>
      </w:r>
      <w:r w:rsidRPr="00070B6E">
        <w:rPr>
          <w:rFonts w:eastAsia="Times New Roman" w:cs="DecoType Naskh" w:hint="cs"/>
          <w:color w:val="auto"/>
          <w:kern w:val="0"/>
          <w:szCs w:val="26"/>
          <w:rtl/>
          <w:lang w:bidi="ar-JO"/>
          <w14:ligatures w14:val="none"/>
        </w:rPr>
        <w:t xml:space="preserve"> </w:t>
      </w:r>
    </w:p>
    <w:p w14:paraId="1D5E72CB" w14:textId="77777777" w:rsidR="00070B6E" w:rsidRPr="00070B6E" w:rsidRDefault="00070B6E" w:rsidP="002D6C54">
      <w:pPr>
        <w:bidi/>
        <w:spacing w:after="0" w:line="240" w:lineRule="auto"/>
        <w:jc w:val="lowKashida"/>
        <w:rPr>
          <w:rFonts w:eastAsia="Times New Roman" w:cs="Akhbar MT"/>
          <w:color w:val="auto"/>
          <w:kern w:val="0"/>
          <w:sz w:val="30"/>
          <w:szCs w:val="30"/>
          <w:rtl/>
          <w14:ligatures w14:val="none"/>
        </w:rPr>
      </w:pPr>
    </w:p>
    <w:p w14:paraId="4B6686C0"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ومن ناحية بشرية، كانت الدعوة إلى إسرائيل في تثنية إلى الهجوم على كنعان وقتل كل السكان مغامرة محفوفة بالخطر.  فقد كانت فلسطين تحت هيمنة مصر عندما كانت في أوج قوتها ومجدها.  وقد يعود عدم قيام مصر بهجوم شامل مضاد إلى </w:t>
      </w:r>
      <w:r w:rsidRPr="00070B6E">
        <w:rPr>
          <w:rFonts w:eastAsia="Times New Roman" w:cs="DecoType Naskh"/>
          <w:color w:val="auto"/>
          <w:kern w:val="0"/>
          <w:szCs w:val="26"/>
          <w:rtl/>
          <w:lang w:bidi="ar-JO"/>
          <w14:ligatures w14:val="none"/>
        </w:rPr>
        <w:t>تطوير العلاقات السلمية مع ميتاني (وبالتالي الحد من مشاريع مصر شمالاً)</w:t>
      </w:r>
      <w:r w:rsidRPr="00070B6E">
        <w:rPr>
          <w:rFonts w:eastAsia="Times New Roman" w:cs="DecoType Naskh" w:hint="cs"/>
          <w:color w:val="auto"/>
          <w:kern w:val="0"/>
          <w:szCs w:val="26"/>
          <w:rtl/>
          <w:lang w:bidi="ar-JO"/>
          <w14:ligatures w14:val="none"/>
        </w:rPr>
        <w:t xml:space="preserve"> </w:t>
      </w:r>
      <w:r w:rsidRPr="00070B6E">
        <w:rPr>
          <w:rFonts w:eastAsia="Times New Roman" w:cs="DecoType Naskh"/>
          <w:color w:val="auto"/>
          <w:kern w:val="0"/>
          <w:szCs w:val="26"/>
          <w:rtl/>
          <w:lang w:bidi="ar-JO"/>
          <w14:ligatures w14:val="none"/>
        </w:rPr>
        <w:t>واهتمامها الأول بالجبهة الداخلية</w:t>
      </w:r>
      <w:r w:rsidRPr="00070B6E">
        <w:rPr>
          <w:rFonts w:eastAsia="Times New Roman" w:cs="DecoType Naskh" w:hint="cs"/>
          <w:color w:val="auto"/>
          <w:kern w:val="0"/>
          <w:szCs w:val="26"/>
          <w:rtl/>
          <w:lang w:bidi="ar-JO"/>
          <w14:ligatures w14:val="none"/>
        </w:rPr>
        <w:t xml:space="preserve">. </w:t>
      </w:r>
    </w:p>
    <w:p w14:paraId="374C45A6" w14:textId="77777777" w:rsidR="00070B6E" w:rsidRPr="00070B6E" w:rsidRDefault="00070B6E" w:rsidP="002D6C54">
      <w:pPr>
        <w:bidi/>
        <w:spacing w:after="0" w:line="240" w:lineRule="auto"/>
        <w:jc w:val="lowKashida"/>
        <w:rPr>
          <w:rFonts w:eastAsia="Times New Roman" w:cs="Akhbar MT"/>
          <w:color w:val="auto"/>
          <w:kern w:val="0"/>
          <w:sz w:val="30"/>
          <w:szCs w:val="30"/>
          <w:rtl/>
          <w14:ligatures w14:val="none"/>
        </w:rPr>
      </w:pPr>
    </w:p>
    <w:p w14:paraId="0418B93D"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بالإضافة الى ذلك، لا يوجد لدينا أي سجل لإجراءات انتقامية قام بها أخناتون الذي خلف أمنحتب الثالث.  غير أن المكتشفات الأثرية كشفت لنا ما يعرف بـ " رسائل العمارنة"، وهي عدد من الألواح التي عُثر عليها في مصر.  وهي رسائل موجهة إلى الفرعونيين </w:t>
      </w:r>
      <w:r w:rsidRPr="00070B6E">
        <w:rPr>
          <w:rFonts w:eastAsia="Times New Roman" w:cs="DecoType Naskh"/>
          <w:color w:val="auto"/>
          <w:kern w:val="0"/>
          <w:szCs w:val="26"/>
          <w:rtl/>
          <w:lang w:bidi="ar-JO"/>
          <w14:ligatures w14:val="none"/>
        </w:rPr>
        <w:t>أمنحتب</w:t>
      </w:r>
      <w:r w:rsidRPr="00070B6E">
        <w:rPr>
          <w:rFonts w:eastAsia="Times New Roman" w:cs="DecoType Naskh" w:hint="cs"/>
          <w:color w:val="auto"/>
          <w:kern w:val="0"/>
          <w:szCs w:val="26"/>
          <w:rtl/>
          <w:lang w:bidi="ar-JO"/>
          <w14:ligatures w14:val="none"/>
        </w:rPr>
        <w:t xml:space="preserve">  الثالث وأختاتون من ملوك سوريين </w:t>
      </w:r>
      <w:r w:rsidRPr="00070B6E">
        <w:rPr>
          <w:rFonts w:eastAsia="Times New Roman" w:cs="DecoType Naskh"/>
          <w:color w:val="auto"/>
          <w:kern w:val="0"/>
          <w:szCs w:val="26"/>
          <w:rtl/>
          <w:lang w:bidi="ar-JO"/>
          <w14:ligatures w14:val="none"/>
        </w:rPr>
        <w:t>–</w:t>
      </w:r>
      <w:r w:rsidRPr="00070B6E">
        <w:rPr>
          <w:rFonts w:eastAsia="Times New Roman" w:cs="DecoType Naskh" w:hint="cs"/>
          <w:color w:val="auto"/>
          <w:kern w:val="0"/>
          <w:szCs w:val="26"/>
          <w:rtl/>
          <w:lang w:bidi="ar-JO"/>
          <w14:ligatures w14:val="none"/>
        </w:rPr>
        <w:t xml:space="preserve"> فلسطينيين يناشدون الفرعون العون في ما يتعلق بأحداث التمرد و الثورات في بلادهم.  وتعرف هذه الفترة باسم "فترة العمارنة" عندما أدى الضغط الحثي وثورة المدن الأمورية في الشمال إلى إضعاف نفوذ مصر بشكل حاسم.  وقد تبع ذلك غزوات داخل أرض فلسطين من قبل عصابات شبه حربية معروفة باسم خابيرو. </w:t>
      </w:r>
      <w:r w:rsidRPr="00070B6E">
        <w:rPr>
          <w:rFonts w:eastAsia="Times New Roman" w:cs="Akhbar MT"/>
          <w:color w:val="auto"/>
          <w:kern w:val="0"/>
          <w:sz w:val="30"/>
          <w:szCs w:val="30"/>
          <w:vertAlign w:val="superscript"/>
          <w:rtl/>
          <w:lang w:bidi="ar-JO"/>
          <w14:ligatures w14:val="none"/>
        </w:rPr>
        <w:footnoteReference w:customMarkFollows="1" w:id="131"/>
        <w:t>16</w:t>
      </w:r>
      <w:r w:rsidRPr="00070B6E">
        <w:rPr>
          <w:rFonts w:eastAsia="Times New Roman" w:cs="DecoType Naskh" w:hint="cs"/>
          <w:color w:val="auto"/>
          <w:kern w:val="0"/>
          <w:szCs w:val="26"/>
          <w:rtl/>
          <w:lang w:bidi="ar-JO"/>
          <w14:ligatures w14:val="none"/>
        </w:rPr>
        <w:t xml:space="preserve"> والباحثون غير واثقين من صلة هذا الأمر الأخير بالعبرانيين المذكورين في الكتاب المقدس. </w:t>
      </w:r>
    </w:p>
    <w:p w14:paraId="43871B06" w14:textId="77777777" w:rsidR="00070B6E" w:rsidRPr="00070B6E" w:rsidRDefault="00070B6E" w:rsidP="002D6C54">
      <w:pPr>
        <w:bidi/>
        <w:spacing w:after="0" w:line="240" w:lineRule="auto"/>
        <w:jc w:val="lowKashida"/>
        <w:rPr>
          <w:rFonts w:eastAsia="Times New Roman" w:cs="Akhbar MT"/>
          <w:color w:val="auto"/>
          <w:kern w:val="0"/>
          <w:sz w:val="30"/>
          <w:szCs w:val="30"/>
          <w:rtl/>
          <w14:ligatures w14:val="none"/>
        </w:rPr>
      </w:pPr>
    </w:p>
    <w:p w14:paraId="3124820F"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ج.</w:t>
      </w:r>
      <w:r w:rsidRPr="00070B6E">
        <w:rPr>
          <w:rFonts w:eastAsia="Times New Roman" w:cs="DecoType Naskh" w:hint="cs"/>
          <w:bCs/>
          <w:color w:val="auto"/>
          <w:kern w:val="0"/>
          <w:szCs w:val="26"/>
          <w:rtl/>
          <w14:ligatures w14:val="none"/>
        </w:rPr>
        <w:tab/>
        <w:t xml:space="preserve">في سهول موآب </w:t>
      </w:r>
    </w:p>
    <w:p w14:paraId="609E3ADC" w14:textId="53728D6C"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لا يمثل سفر التثنية فترة تاريخية، وإنما مناسبة معينة خاطب فيها موسى أمة إسرائيل.  وقد حدث قبل شهرين فقط من بدء الغزو (انظر يشوع </w:t>
      </w:r>
      <w:r w:rsidR="00DF784C">
        <w:rPr>
          <w:rFonts w:eastAsia="Times New Roman" w:cs="DecoType Naskh" w:hint="cs"/>
          <w:color w:val="auto"/>
          <w:kern w:val="0"/>
          <w:szCs w:val="26"/>
          <w:rtl/>
          <w:lang w:bidi="ar-JO"/>
          <w14:ligatures w14:val="none"/>
        </w:rPr>
        <w:t>4</w:t>
      </w:r>
      <w:r w:rsidRPr="00070B6E">
        <w:rPr>
          <w:rFonts w:eastAsia="Times New Roman" w:cs="DecoType Naskh" w:hint="cs"/>
          <w:color w:val="auto"/>
          <w:kern w:val="0"/>
          <w:szCs w:val="26"/>
          <w:rtl/>
          <w:lang w:bidi="ar-JO"/>
          <w14:ligatures w14:val="none"/>
        </w:rPr>
        <w:t>: 19).  تاهت الأمة في البرية أربعين سنة، ومات جيل الخروج وانقرض.  وخيم الآن جيل جديد في سهول موآب</w:t>
      </w:r>
      <w:r w:rsidRPr="00070B6E">
        <w:rPr>
          <w:rFonts w:eastAsia="Times New Roman" w:cs="DecoType Naskh" w:hint="cs"/>
          <w:color w:val="auto"/>
          <w:kern w:val="0"/>
          <w:szCs w:val="26"/>
          <w:rtl/>
          <w14:ligatures w14:val="none"/>
        </w:rPr>
        <w:t xml:space="preserve"> </w:t>
      </w:r>
      <w:r w:rsidRPr="00070B6E">
        <w:rPr>
          <w:rFonts w:eastAsia="Times New Roman" w:cs="DecoType Naskh" w:hint="cs"/>
          <w:color w:val="auto"/>
          <w:kern w:val="0"/>
          <w:szCs w:val="26"/>
          <w:rtl/>
          <w:lang w:bidi="ar-JO"/>
          <w14:ligatures w14:val="none"/>
        </w:rPr>
        <w:t xml:space="preserve">(تثنية </w:t>
      </w:r>
      <w:r w:rsidR="00DF784C">
        <w:rPr>
          <w:rFonts w:eastAsia="Times New Roman" w:cs="DecoType Naskh" w:hint="cs"/>
          <w:color w:val="auto"/>
          <w:kern w:val="0"/>
          <w:szCs w:val="26"/>
          <w:rtl/>
          <w:lang w:bidi="ar-JO"/>
          <w14:ligatures w14:val="none"/>
        </w:rPr>
        <w:t>1</w:t>
      </w:r>
      <w:r w:rsidRPr="00070B6E">
        <w:rPr>
          <w:rFonts w:eastAsia="Times New Roman" w:cs="DecoType Naskh" w:hint="cs"/>
          <w:color w:val="auto"/>
          <w:kern w:val="0"/>
          <w:szCs w:val="26"/>
          <w:rtl/>
          <w:lang w:bidi="ar-JO"/>
          <w14:ligatures w14:val="none"/>
        </w:rPr>
        <w:t xml:space="preserve">: 5) على الجانب الشرقي من نهر الأردن متأهبين لدخول الأرض التي سبق أن أقسم الله أن يعطيها لإبراهيم و نسله،  فهل سيكونون مستعدين لدخول الأرض بالإيمان والقضاء على السكان؟ وهل سيطيعون الرب حال دخولهم الأرض؟ إن سفر التثنية عظة تتناول هذه القضايا، لكنه أكثر من مجرد عظة، فهو أيضاً تجديد أمة إسرائيل للعهد مع ملكها، يهوه.  والنبرة هنا مخلصة جداً؛ إنها توسل يتسم بالإلحاح من موسى الطاعن في السن للأمة لكي تكون وفية.  هذا هو تثقُّل قلبه الشديد، إذ هو على وشك الموت. </w:t>
      </w:r>
    </w:p>
    <w:p w14:paraId="3144F9B7"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p>
    <w:p w14:paraId="3E2CBB9F" w14:textId="0DAB2833"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14:ligatures w14:val="none"/>
        </w:rPr>
      </w:pPr>
      <w:r w:rsidRPr="00070B6E">
        <w:rPr>
          <w:rFonts w:eastAsia="Times New Roman" w:cs="DecoType Naskh" w:hint="cs"/>
          <w:color w:val="auto"/>
          <w:kern w:val="0"/>
          <w:szCs w:val="26"/>
          <w:rtl/>
          <w:lang w:bidi="ar-JO"/>
          <w14:ligatures w14:val="none"/>
        </w:rPr>
        <w:t xml:space="preserve">لن يسمح الله لموسى بالاستمرار مع الأمة بالرغم من توسله ( تثنية </w:t>
      </w:r>
      <w:r w:rsidR="00DF784C">
        <w:rPr>
          <w:rFonts w:eastAsia="Times New Roman" w:cs="DecoType Naskh" w:hint="cs"/>
          <w:color w:val="auto"/>
          <w:kern w:val="0"/>
          <w:szCs w:val="26"/>
          <w:rtl/>
          <w:lang w:bidi="ar-JO"/>
          <w14:ligatures w14:val="none"/>
        </w:rPr>
        <w:t>3</w:t>
      </w:r>
      <w:r w:rsidRPr="00070B6E">
        <w:rPr>
          <w:rFonts w:eastAsia="Times New Roman" w:cs="DecoType Naskh" w:hint="cs"/>
          <w:color w:val="auto"/>
          <w:kern w:val="0"/>
          <w:szCs w:val="26"/>
          <w:rtl/>
          <w:lang w:bidi="ar-JO"/>
          <w14:ligatures w14:val="none"/>
        </w:rPr>
        <w:t xml:space="preserve">: 23 </w:t>
      </w:r>
      <w:r w:rsidRPr="00070B6E">
        <w:rPr>
          <w:rFonts w:eastAsia="Times New Roman" w:cs="DecoType Naskh"/>
          <w:color w:val="auto"/>
          <w:kern w:val="0"/>
          <w:szCs w:val="26"/>
          <w:rtl/>
          <w:lang w:bidi="ar-JO"/>
          <w14:ligatures w14:val="none"/>
        </w:rPr>
        <w:t>–</w:t>
      </w:r>
      <w:r w:rsidRPr="00070B6E">
        <w:rPr>
          <w:rFonts w:eastAsia="Times New Roman" w:cs="DecoType Naskh" w:hint="cs"/>
          <w:color w:val="auto"/>
          <w:kern w:val="0"/>
          <w:szCs w:val="26"/>
          <w:rtl/>
          <w:lang w:bidi="ar-JO"/>
          <w14:ligatures w14:val="none"/>
        </w:rPr>
        <w:t xml:space="preserve"> 28) وقد أعطته سنوات قيادته الطويلة للأمة فرصاً كثيرة لملاحظة الشعب.  وسفر التثنية هو ذروة فرصه وآخرها لحث الأمة </w:t>
      </w:r>
      <w:r w:rsidRPr="00070B6E">
        <w:rPr>
          <w:rFonts w:eastAsia="Times New Roman" w:cs="DecoType Naskh" w:hint="cs"/>
          <w:color w:val="auto"/>
          <w:kern w:val="0"/>
          <w:szCs w:val="26"/>
          <w:rtl/>
          <w:lang w:bidi="ar-JO"/>
          <w14:ligatures w14:val="none"/>
        </w:rPr>
        <w:lastRenderedPageBreak/>
        <w:t>على الولاء ليهوه: "أطيعوا فيبارككم الله!" دعا موسى الشعب إلى تجديد عهدهم (دستورهم) لأن فرصة امتلاك الأرض كانت مناسبة ذات أهمية كبيرة، أتاح خطاب موسى الفرصة لعدة أحداث هامة:</w:t>
      </w:r>
      <w:r w:rsidRPr="00070B6E">
        <w:rPr>
          <w:rFonts w:eastAsia="Times New Roman" w:cs="Akhbar MT"/>
          <w:color w:val="auto"/>
          <w:kern w:val="0"/>
          <w:sz w:val="30"/>
          <w:szCs w:val="30"/>
          <w:vertAlign w:val="superscript"/>
          <w:rtl/>
          <w:lang w:bidi="ar-JO"/>
          <w14:ligatures w14:val="none"/>
        </w:rPr>
        <w:footnoteReference w:customMarkFollows="1" w:id="132"/>
        <w:t>17</w:t>
      </w:r>
      <w:r w:rsidRPr="00070B6E">
        <w:rPr>
          <w:rFonts w:eastAsia="Times New Roman" w:cs="DecoType Naskh" w:hint="cs"/>
          <w:color w:val="auto"/>
          <w:kern w:val="0"/>
          <w:szCs w:val="26"/>
          <w:rtl/>
          <w:lang w:bidi="ar-JO"/>
          <w14:ligatures w14:val="none"/>
        </w:rPr>
        <w:t xml:space="preserve"> </w:t>
      </w:r>
    </w:p>
    <w:p w14:paraId="552689F1" w14:textId="7A31E000"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(1)</w:t>
      </w:r>
      <w:r w:rsidRPr="00070B6E">
        <w:rPr>
          <w:rFonts w:eastAsia="Times New Roman" w:cs="DecoType Naskh" w:hint="cs"/>
          <w:color w:val="auto"/>
          <w:kern w:val="0"/>
          <w:szCs w:val="26"/>
          <w:rtl/>
          <w:lang w:bidi="ar-JO"/>
          <w14:ligatures w14:val="none"/>
        </w:rPr>
        <w:tab/>
        <w:t xml:space="preserve">أعلن الشعب بشكل رسمي ولاءهم وذلك بالتأكيد على أن يهوه هو إلههم (26: 16 </w:t>
      </w:r>
      <w:r w:rsidRPr="00070B6E">
        <w:rPr>
          <w:rFonts w:eastAsia="Times New Roman" w:cs="DecoType Naskh"/>
          <w:color w:val="auto"/>
          <w:kern w:val="0"/>
          <w:szCs w:val="26"/>
          <w:rtl/>
          <w:lang w:bidi="ar-JO"/>
          <w14:ligatures w14:val="none"/>
        </w:rPr>
        <w:t>–</w:t>
      </w:r>
      <w:r w:rsidRPr="00070B6E">
        <w:rPr>
          <w:rFonts w:eastAsia="Times New Roman" w:cs="DecoType Naskh" w:hint="cs"/>
          <w:color w:val="auto"/>
          <w:kern w:val="0"/>
          <w:szCs w:val="26"/>
          <w:rtl/>
          <w:lang w:bidi="ar-JO"/>
          <w14:ligatures w14:val="none"/>
        </w:rPr>
        <w:t xml:space="preserve"> 17). </w:t>
      </w:r>
    </w:p>
    <w:p w14:paraId="4286D1D2"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(2)</w:t>
      </w:r>
      <w:r w:rsidRPr="00070B6E">
        <w:rPr>
          <w:rFonts w:eastAsia="Times New Roman" w:cs="DecoType Naskh" w:hint="cs"/>
          <w:color w:val="auto"/>
          <w:kern w:val="0"/>
          <w:szCs w:val="26"/>
          <w:rtl/>
          <w:lang w:bidi="ar-JO"/>
          <w14:ligatures w14:val="none"/>
        </w:rPr>
        <w:tab/>
        <w:t xml:space="preserve">ُقدِّمت تعليمات من أجل التجديد التالي للعهد (الأصحاح 27). </w:t>
      </w:r>
    </w:p>
    <w:p w14:paraId="492C3503"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(3)</w:t>
      </w:r>
      <w:r w:rsidRPr="00070B6E">
        <w:rPr>
          <w:rFonts w:eastAsia="Times New Roman" w:cs="DecoType Naskh" w:hint="cs"/>
          <w:color w:val="auto"/>
          <w:kern w:val="0"/>
          <w:szCs w:val="26"/>
          <w:rtl/>
          <w:lang w:bidi="ar-JO"/>
          <w14:ligatures w14:val="none"/>
        </w:rPr>
        <w:tab/>
        <w:t xml:space="preserve">أعلنت بركات ولعنات للشعب (الأصحاح 28). </w:t>
      </w:r>
    </w:p>
    <w:p w14:paraId="3FFA981F"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(4)</w:t>
      </w:r>
      <w:r w:rsidRPr="00070B6E">
        <w:rPr>
          <w:rFonts w:eastAsia="Times New Roman" w:cs="DecoType Naskh" w:hint="cs"/>
          <w:color w:val="auto"/>
          <w:kern w:val="0"/>
          <w:szCs w:val="26"/>
          <w:rtl/>
          <w:lang w:bidi="ar-JO"/>
          <w14:ligatures w14:val="none"/>
        </w:rPr>
        <w:tab/>
        <w:t xml:space="preserve">عُيِّن يشوع خليفةُ لموسى.  </w:t>
      </w:r>
    </w:p>
    <w:p w14:paraId="0BAAA38C"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(5)</w:t>
      </w:r>
      <w:r w:rsidRPr="00070B6E">
        <w:rPr>
          <w:rFonts w:eastAsia="Times New Roman" w:cs="DecoType Naskh" w:hint="cs"/>
          <w:color w:val="auto"/>
          <w:kern w:val="0"/>
          <w:szCs w:val="26"/>
          <w:rtl/>
          <w:lang w:bidi="ar-JO"/>
          <w14:ligatures w14:val="none"/>
        </w:rPr>
        <w:tab/>
        <w:t xml:space="preserve">أعطيت تعليمات بوضع نص العهد في تابوت العهد (31: 9، 26).  </w:t>
      </w:r>
    </w:p>
    <w:p w14:paraId="2C50F3DF" w14:textId="77777777" w:rsidR="00070B6E" w:rsidRPr="00070B6E" w:rsidRDefault="00070B6E" w:rsidP="002D6C54">
      <w:pPr>
        <w:bidi/>
        <w:spacing w:after="0" w:line="240" w:lineRule="auto"/>
        <w:jc w:val="lowKashida"/>
        <w:rPr>
          <w:rFonts w:eastAsia="Times New Roman" w:cs="Akhbar MT"/>
          <w:color w:val="auto"/>
          <w:kern w:val="0"/>
          <w:sz w:val="30"/>
          <w:szCs w:val="30"/>
          <w:rtl/>
          <w14:ligatures w14:val="none"/>
        </w:rPr>
      </w:pPr>
    </w:p>
    <w:p w14:paraId="38A88CD3"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د.</w:t>
      </w:r>
      <w:r w:rsidRPr="00070B6E">
        <w:rPr>
          <w:rFonts w:eastAsia="Times New Roman" w:cs="DecoType Naskh" w:hint="cs"/>
          <w:bCs/>
          <w:color w:val="auto"/>
          <w:kern w:val="0"/>
          <w:szCs w:val="26"/>
          <w:rtl/>
          <w14:ligatures w14:val="none"/>
        </w:rPr>
        <w:tab/>
        <w:t xml:space="preserve">الاستعداد للحرب المقدسة </w:t>
      </w:r>
    </w:p>
    <w:p w14:paraId="352F5A30" w14:textId="666B5808"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كانت مناسبة سفر التثنية هامة أيضاً كوقت للاستعداد، حيث كان في انتظارهم غزو عسكري، غير أن هذا الاستعداد كان أقرب إلى الطبيعة الروحية منه إلى الطبيعة التكتيكية. يقول كريجي:</w:t>
      </w:r>
    </w:p>
    <w:p w14:paraId="74A3AD9D"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لكنهم الآن، بعد أن عرفوا الطبيعة الأخلاقية لإلههم، جددوا ولاءهم للعهد وله قبل دخولهم المعركة، إذ لم تكن حصيلة المعارك المستقبلية تعتمد على قدرتهم العسكرية، و إنما على قوة الله و تكريسهم القلبي الكامل له.</w:t>
      </w:r>
      <w:r w:rsidRPr="00070B6E">
        <w:rPr>
          <w:rFonts w:eastAsia="Times New Roman" w:cs="Akhbar MT"/>
          <w:color w:val="auto"/>
          <w:kern w:val="0"/>
          <w:sz w:val="30"/>
          <w:szCs w:val="30"/>
          <w:vertAlign w:val="superscript"/>
          <w:rtl/>
          <w:lang w:bidi="ar-JO"/>
          <w14:ligatures w14:val="none"/>
        </w:rPr>
        <w:footnoteReference w:customMarkFollows="1" w:id="133"/>
        <w:t>18</w:t>
      </w:r>
      <w:r w:rsidRPr="00070B6E">
        <w:rPr>
          <w:rFonts w:eastAsia="Times New Roman" w:cs="DecoType Naskh" w:hint="cs"/>
          <w:color w:val="auto"/>
          <w:kern w:val="0"/>
          <w:szCs w:val="26"/>
          <w:rtl/>
          <w:lang w:bidi="ar-JO"/>
          <w14:ligatures w14:val="none"/>
        </w:rPr>
        <w:t xml:space="preserve"> </w:t>
      </w:r>
    </w:p>
    <w:p w14:paraId="4648597E"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609E218B" w14:textId="44190F00"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كانت سياسة الحرب مزدوجة، إذ كان يجب القضاء على سكان الأرض، خاصة الكنعانيين (7 : 1 </w:t>
      </w:r>
      <w:r w:rsidRPr="00070B6E">
        <w:rPr>
          <w:rFonts w:eastAsia="Times New Roman" w:cs="DecoType Naskh"/>
          <w:color w:val="auto"/>
          <w:kern w:val="0"/>
          <w:szCs w:val="26"/>
          <w:rtl/>
          <w:lang w:bidi="ar-JO"/>
          <w14:ligatures w14:val="none"/>
        </w:rPr>
        <w:t>–</w:t>
      </w:r>
      <w:r w:rsidRPr="00070B6E">
        <w:rPr>
          <w:rFonts w:eastAsia="Times New Roman" w:cs="DecoType Naskh" w:hint="cs"/>
          <w:color w:val="auto"/>
          <w:kern w:val="0"/>
          <w:szCs w:val="26"/>
          <w:rtl/>
          <w:lang w:bidi="ar-JO"/>
          <w14:ligatures w14:val="none"/>
        </w:rPr>
        <w:t xml:space="preserve"> 5، 20 : 16 فصاعداً)، بينما يجب اعتبار شعوب أخرى أعداء دائمين، كالعمونيين والموآبين على سبيل المثال (23 : 3 </w:t>
      </w:r>
      <w:r w:rsidRPr="00070B6E">
        <w:rPr>
          <w:rFonts w:eastAsia="Times New Roman" w:cs="DecoType Naskh"/>
          <w:color w:val="auto"/>
          <w:kern w:val="0"/>
          <w:szCs w:val="26"/>
          <w:rtl/>
          <w:lang w:bidi="ar-JO"/>
          <w14:ligatures w14:val="none"/>
        </w:rPr>
        <w:t>–</w:t>
      </w:r>
      <w:r w:rsidRPr="00070B6E">
        <w:rPr>
          <w:rFonts w:eastAsia="Times New Roman" w:cs="DecoType Naskh" w:hint="cs"/>
          <w:color w:val="auto"/>
          <w:kern w:val="0"/>
          <w:szCs w:val="26"/>
          <w:rtl/>
          <w:lang w:bidi="ar-JO"/>
          <w14:ligatures w14:val="none"/>
        </w:rPr>
        <w:t xml:space="preserve"> 6).  و قد كان تعبير "الكنعانيين" يشير أحياناً إلى مجموعة معينة من الناس الساكنين في الأرض، ويضم أحياناً أخرى عدة مجموعات من السكان (أنظر 7 : 1 فصاعداً).  غير أن الله شاء أن يكون هنالك تمييز كامل (انفصال) بين بني إسرائيل والكنعانيين (خروج 23 : 32، 33).  وقد كان القضاء على الكنعانيين دينونة من الله عليهم (تكوين 15 : 16).  ولم يكن هذا أمراً غير معقول على الإطلاق، عندما يضع المرء في اعتباره ثقافتهم.  فقد كانوا يمارسون الرق والتمييز الطبقي، وعبدوا آلهة كثيرين وقدموا ذبائح لها، و أسسوا كهنوتهم الخاص، و بنوا معابد لعبادتهم (مثلاً في لخيش وأريحا ومجدو وحاضور)، وقدموا أبناءهم ذبائح لآلهتهم، و انغمسوا في طقوس شيطانية كثيرة (تثنية 8 : 9 </w:t>
      </w:r>
      <w:r w:rsidRPr="00070B6E">
        <w:rPr>
          <w:rFonts w:eastAsia="Times New Roman" w:cs="DecoType Naskh"/>
          <w:color w:val="auto"/>
          <w:kern w:val="0"/>
          <w:szCs w:val="26"/>
          <w:rtl/>
          <w:lang w:bidi="ar-JO"/>
          <w14:ligatures w14:val="none"/>
        </w:rPr>
        <w:t>–</w:t>
      </w:r>
      <w:r w:rsidRPr="00070B6E">
        <w:rPr>
          <w:rFonts w:eastAsia="Times New Roman" w:cs="DecoType Naskh" w:hint="cs"/>
          <w:color w:val="auto"/>
          <w:kern w:val="0"/>
          <w:szCs w:val="26"/>
          <w:rtl/>
          <w:lang w:bidi="ar-JO"/>
          <w14:ligatures w14:val="none"/>
        </w:rPr>
        <w:t xml:space="preserve"> 11)، وأسسوا ديانة الخصب.  وقد تضمنت الممارسة الأخيرة ممارسة البغاء في الهيكل الذي تضمن نساءً ورجا</w:t>
      </w:r>
      <w:r w:rsidR="007E1B23">
        <w:rPr>
          <w:rFonts w:eastAsia="Times New Roman" w:cs="DecoType Naskh" w:hint="cs"/>
          <w:color w:val="auto"/>
          <w:kern w:val="0"/>
          <w:szCs w:val="26"/>
          <w:rtl/>
          <w:lang w:bidi="ar-JO"/>
          <w14:ligatures w14:val="none"/>
        </w:rPr>
        <w:t>لاً</w:t>
      </w:r>
      <w:r w:rsidRPr="00070B6E">
        <w:rPr>
          <w:rFonts w:eastAsia="Times New Roman" w:cs="DecoType Naskh" w:hint="cs"/>
          <w:color w:val="auto"/>
          <w:kern w:val="0"/>
          <w:szCs w:val="26"/>
          <w:rtl/>
          <w:lang w:bidi="ar-JO"/>
          <w14:ligatures w14:val="none"/>
        </w:rPr>
        <w:t xml:space="preserve"> على حد سواء (انظر عاموس 2 : 7، هوشع 4 : 14).</w:t>
      </w:r>
      <w:r w:rsidRPr="00070B6E">
        <w:rPr>
          <w:rFonts w:eastAsia="Times New Roman" w:cs="DecoType Naskh"/>
          <w:color w:val="auto"/>
          <w:kern w:val="0"/>
          <w:sz w:val="30"/>
          <w:szCs w:val="28"/>
          <w:vertAlign w:val="superscript"/>
          <w:rtl/>
          <w:lang w:bidi="ar-JO"/>
          <w14:ligatures w14:val="none"/>
        </w:rPr>
        <w:footnoteReference w:id="134"/>
      </w:r>
      <w:r w:rsidRPr="00070B6E">
        <w:rPr>
          <w:rFonts w:eastAsia="Times New Roman" w:cs="DecoType Naskh" w:hint="cs"/>
          <w:color w:val="auto"/>
          <w:kern w:val="0"/>
          <w:szCs w:val="26"/>
          <w:rtl/>
          <w:lang w:bidi="ar-JO"/>
          <w14:ligatures w14:val="none"/>
        </w:rPr>
        <w:t xml:space="preserve">  فكان "التحريم" أو "القضاء الكامل" الذي دعا إليه يهوه معقولاً تماماً.  وكانت لإسرائيل ديانة وإعلان معتمد على هذا العمل، و قد تضمن هذا القرار خير شعوب العالم (تكوين 12).  ونجد مزيداً من الوصف للحرب في 20: 1- 20، 21: 10-14، 23: 10-14، 24: 5، 25: 17-19.  وقد وضعت هذه المسؤولية على عاتق إسرائيل، وكانت جزءاً من الدعوة إلى الطاعة التي يعهد بها موسى إلى الأمة. </w:t>
      </w:r>
    </w:p>
    <w:p w14:paraId="2D79CB7B" w14:textId="77777777" w:rsidR="00070B6E" w:rsidRPr="00070B6E" w:rsidRDefault="00070B6E" w:rsidP="002D6C54">
      <w:pPr>
        <w:bidi/>
        <w:spacing w:after="0" w:line="240" w:lineRule="auto"/>
        <w:jc w:val="lowKashida"/>
        <w:rPr>
          <w:rFonts w:eastAsia="Times New Roman" w:cs="Akhbar MT"/>
          <w:color w:val="auto"/>
          <w:kern w:val="0"/>
          <w:sz w:val="30"/>
          <w:szCs w:val="30"/>
          <w:rtl/>
          <w14:ligatures w14:val="none"/>
        </w:rPr>
      </w:pPr>
    </w:p>
    <w:p w14:paraId="347FFC6F" w14:textId="77777777" w:rsidR="00070B6E" w:rsidRPr="00070B6E" w:rsidRDefault="00070B6E" w:rsidP="002D6C54">
      <w:pPr>
        <w:bidi/>
        <w:spacing w:after="0" w:line="240" w:lineRule="auto"/>
        <w:jc w:val="lowKashida"/>
        <w:rPr>
          <w:rFonts w:eastAsia="Times New Roman" w:cs="Akhbar MT"/>
          <w:color w:val="auto"/>
          <w:kern w:val="0"/>
          <w:sz w:val="30"/>
          <w:szCs w:val="30"/>
          <w:rtl/>
          <w14:ligatures w14:val="none"/>
        </w:rPr>
      </w:pPr>
    </w:p>
    <w:p w14:paraId="2D04047E"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5.</w:t>
      </w:r>
      <w:r w:rsidRPr="00070B6E">
        <w:rPr>
          <w:rFonts w:eastAsia="Times New Roman" w:cs="DecoType Naskh" w:hint="cs"/>
          <w:bCs/>
          <w:color w:val="auto"/>
          <w:kern w:val="0"/>
          <w:szCs w:val="28"/>
          <w:rtl/>
          <w:lang w:bidi="ar-JO"/>
          <w14:ligatures w14:val="none"/>
        </w:rPr>
        <w:tab/>
        <w:t xml:space="preserve">أطروحة السفر وغرضه </w:t>
      </w:r>
    </w:p>
    <w:p w14:paraId="0E2D2B45"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إن من شأن تحديد الوحدات الأساسية للفكر ضمن هذا السفر و" الآيات الرئيسية" ( 4 : 44، 12 : 1، 29 : 1) أن تساعد في تحديد أطروحة سفر التثنية والغرض منه.  وإن من الواضح أن السفر متعلق بالشريعة، خاصة أنَّها تُشرح لهذا الجيل الجديد الذي يوشك على دخول الأرض الموعودة.  " في عبر الأردن، في أرض موآب، ابتدأ موسى بشرح هذه الشريعة..." (1 : 5). </w:t>
      </w:r>
    </w:p>
    <w:p w14:paraId="75E1B334"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p>
    <w:p w14:paraId="6EA4DA7B"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غير أن آيات أخرى من تلك التي تحاول شرح الشريعة كانت أكثر من مجرد توضيح للحقائق.  ومن الواضح أن الشريعة كانت لدى إسرائيل من قبل، كما هو مذكور في خروج- لاويين.  إذ كانت رسالة موسى في سهول موآب فرصة لكي يربط الجيل الحالي أنفسهم باتفاقية العهد مع يهوه.   وهي اتفاقية عهد متميزة عن تلك التي تمت عند جبل سيناء (انظر 29 : 1، 10 </w:t>
      </w:r>
      <w:r w:rsidRPr="00070B6E">
        <w:rPr>
          <w:rFonts w:eastAsia="Times New Roman" w:cs="DecoType Naskh"/>
          <w:color w:val="auto"/>
          <w:kern w:val="0"/>
          <w:szCs w:val="26"/>
          <w:rtl/>
          <w:lang w:bidi="ar-JO"/>
          <w14:ligatures w14:val="none"/>
        </w:rPr>
        <w:t>–</w:t>
      </w:r>
      <w:r w:rsidRPr="00070B6E">
        <w:rPr>
          <w:rFonts w:eastAsia="Times New Roman" w:cs="DecoType Naskh" w:hint="cs"/>
          <w:color w:val="auto"/>
          <w:kern w:val="0"/>
          <w:szCs w:val="26"/>
          <w:rtl/>
          <w:lang w:bidi="ar-JO"/>
          <w14:ligatures w14:val="none"/>
        </w:rPr>
        <w:t xml:space="preserve"> 13).  وهكذا فإن البنود الحالية (12 : 1 </w:t>
      </w:r>
      <w:r w:rsidRPr="00070B6E">
        <w:rPr>
          <w:rFonts w:eastAsia="Times New Roman" w:cs="DecoType Naskh"/>
          <w:color w:val="auto"/>
          <w:kern w:val="0"/>
          <w:szCs w:val="26"/>
          <w:rtl/>
          <w:lang w:bidi="ar-JO"/>
          <w14:ligatures w14:val="none"/>
        </w:rPr>
        <w:t>–</w:t>
      </w:r>
      <w:r w:rsidRPr="00070B6E">
        <w:rPr>
          <w:rFonts w:eastAsia="Times New Roman" w:cs="DecoType Naskh" w:hint="cs"/>
          <w:color w:val="auto"/>
          <w:kern w:val="0"/>
          <w:szCs w:val="26"/>
          <w:rtl/>
          <w:lang w:bidi="ar-JO"/>
          <w14:ligatures w14:val="none"/>
        </w:rPr>
        <w:t xml:space="preserve"> 26 : 19)، على الرغم من أن معظمها متضمن في العهد السابق، تقدم بوضوح للجيل الجديد،  وهاهم الآن يعطون فرصة لأن يكونوا شعب يهوه (29 : 13).  لكن لا يجب التعامل مع هذه الفرصة باستخفاف.  فمعنى أن يكونوا" شعبه" هو أن يتحملوا مسؤولية أن يكونوا نوراً للأمم... وسطاء بركة الله ومعرفة يهوه (تكوين 12، خروج 19).  لكن هذا الدور الفريد هو امتياز، وهو لا يأتي إلا بمطالب محدودة.  و هكذا يواجه الجيل الجديد بهذه المطالب و بأهمية الطاعة.  يجعلهم موسى ينظرون عن كثب إلى التوقعات لكي يفهموا بوضوح ما الذي يتوقع منهم كشعب يهوه.  ثم يطلب منهم أن يتخذوا قراراً إن كانوا مستعدين أن يأخذوا هذا الدور كشعب يهوه.  يمكنهم أن يستجيبوا بشكل إيجابي بالدخول في هذا العهد مع يهوه (29 : 12).  يؤكد العهد على ضرورة اتخاذ إسرائيل هذا القرار، وإذا اتخذوه، فهذا يعني أنهم مستعدون لتحمل مسؤوليات قرارهم.  إنهم يعرفون مطلب الطاعة، ويعرفون أيضاً عواقب العصيان ( اللعنات).  فالفكرة الأساسية من اتفاقية العهد هي المساءلة.</w:t>
      </w:r>
    </w:p>
    <w:p w14:paraId="455EA5FB"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   </w:t>
      </w:r>
    </w:p>
    <w:p w14:paraId="5B126D6B" w14:textId="7998043A"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تجلب الدعوة إلى الدخول في العهد الانتباه إلى الفكرة الأساسية للسفر، ألا وهي استجابة إسرائيل.  فالله يسعى (من خلال وساطة موسى) إلى الحصول على استجابة من الأمة.   وهي استجابة لا تنطبق على الجيل الحالي للأمة، بل على الأجيال المستقبلية أيضاً (29 : 14 </w:t>
      </w:r>
      <w:r w:rsidRPr="00070B6E">
        <w:rPr>
          <w:rFonts w:eastAsia="Times New Roman" w:cs="DecoType Naskh"/>
          <w:color w:val="auto"/>
          <w:kern w:val="0"/>
          <w:szCs w:val="26"/>
          <w:rtl/>
          <w:lang w:bidi="ar-JO"/>
          <w14:ligatures w14:val="none"/>
        </w:rPr>
        <w:t>–</w:t>
      </w:r>
      <w:r w:rsidRPr="00070B6E">
        <w:rPr>
          <w:rFonts w:eastAsia="Times New Roman" w:cs="DecoType Naskh" w:hint="cs"/>
          <w:color w:val="auto"/>
          <w:kern w:val="0"/>
          <w:szCs w:val="26"/>
          <w:rtl/>
          <w:lang w:bidi="ar-JO"/>
          <w14:ligatures w14:val="none"/>
        </w:rPr>
        <w:t xml:space="preserve"> 15).  يقدم سفر التثنية بشكلٍ أساسي خياراً للأمة، ونرى ذروة ذلك في (30: 19 </w:t>
      </w:r>
      <w:r w:rsidRPr="00070B6E">
        <w:rPr>
          <w:rFonts w:eastAsia="Times New Roman" w:cs="DecoType Naskh"/>
          <w:color w:val="auto"/>
          <w:kern w:val="0"/>
          <w:szCs w:val="26"/>
          <w:rtl/>
          <w:lang w:bidi="ar-JO"/>
          <w14:ligatures w14:val="none"/>
        </w:rPr>
        <w:t>–</w:t>
      </w:r>
      <w:r w:rsidRPr="00070B6E">
        <w:rPr>
          <w:rFonts w:eastAsia="Times New Roman" w:cs="DecoType Naskh" w:hint="cs"/>
          <w:color w:val="auto"/>
          <w:kern w:val="0"/>
          <w:szCs w:val="26"/>
          <w:rtl/>
          <w:lang w:bidi="ar-JO"/>
          <w14:ligatures w14:val="none"/>
        </w:rPr>
        <w:t xml:space="preserve"> 20).  </w:t>
      </w:r>
    </w:p>
    <w:p w14:paraId="6CFC768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p>
    <w:p w14:paraId="2C5C6FB7" w14:textId="57E72FC3"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أُشهِد عليكم اليوم السماء والأرض.  قد جُعلت قدامك الحياة والموت، البركة واللعنة، فاختر الحياة لكي تحيا أنتً ونسلك، إذ تحب الرب ألهك وتسمع لصوته وتلتصق به، لأنه هو حياتك والذي يطيل أيامك لكي تسكن على الأرض التي حلف الرب لآبائك إبراهيم وإسحاق ويعقوب أن يعطيهم إياها.</w:t>
      </w:r>
    </w:p>
    <w:p w14:paraId="36E7E5B7"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p>
    <w:p w14:paraId="79646C27"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تلخص هذه الآيات رسالة السفر: </w:t>
      </w:r>
    </w:p>
    <w:p w14:paraId="1C9609B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14:ligatures w14:val="none"/>
        </w:rPr>
        <w:t>-</w:t>
      </w:r>
      <w:r w:rsidRPr="00070B6E">
        <w:rPr>
          <w:rFonts w:eastAsia="Times New Roman" w:cs="DecoType Naskh" w:hint="cs"/>
          <w:color w:val="auto"/>
          <w:kern w:val="0"/>
          <w:szCs w:val="26"/>
          <w:rtl/>
          <w14:ligatures w14:val="none"/>
        </w:rPr>
        <w:tab/>
      </w:r>
      <w:r w:rsidRPr="00070B6E">
        <w:rPr>
          <w:rFonts w:eastAsia="Times New Roman" w:cs="DecoType Naskh" w:hint="cs"/>
          <w:color w:val="auto"/>
          <w:kern w:val="0"/>
          <w:szCs w:val="26"/>
          <w:rtl/>
          <w:lang w:bidi="ar-JO"/>
          <w14:ligatures w14:val="none"/>
        </w:rPr>
        <w:t xml:space="preserve">يضع الله أمام الأمة خياراً </w:t>
      </w:r>
    </w:p>
    <w:p w14:paraId="4300249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14:ligatures w14:val="none"/>
        </w:rPr>
      </w:pPr>
      <w:r w:rsidRPr="00070B6E">
        <w:rPr>
          <w:rFonts w:eastAsia="Times New Roman" w:cs="DecoType Naskh" w:hint="cs"/>
          <w:color w:val="auto"/>
          <w:kern w:val="0"/>
          <w:szCs w:val="26"/>
          <w:rtl/>
          <w14:ligatures w14:val="none"/>
        </w:rPr>
        <w:t>-</w:t>
      </w:r>
      <w:r w:rsidRPr="00070B6E">
        <w:rPr>
          <w:rFonts w:eastAsia="Times New Roman" w:cs="DecoType Naskh" w:hint="cs"/>
          <w:color w:val="auto"/>
          <w:kern w:val="0"/>
          <w:szCs w:val="26"/>
          <w:rtl/>
          <w14:ligatures w14:val="none"/>
        </w:rPr>
        <w:tab/>
      </w:r>
      <w:r w:rsidRPr="00070B6E">
        <w:rPr>
          <w:rFonts w:eastAsia="Times New Roman" w:cs="DecoType Naskh" w:hint="cs"/>
          <w:color w:val="auto"/>
          <w:kern w:val="0"/>
          <w:szCs w:val="26"/>
          <w:rtl/>
          <w:lang w:bidi="ar-JO"/>
          <w14:ligatures w14:val="none"/>
        </w:rPr>
        <w:t xml:space="preserve">يؤثر الخيار على الجيل الحالي وعلى الأجيال التالية أيضاً </w:t>
      </w:r>
    </w:p>
    <w:p w14:paraId="7789D1DB"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14:ligatures w14:val="none"/>
        </w:rPr>
      </w:pPr>
      <w:r w:rsidRPr="00070B6E">
        <w:rPr>
          <w:rFonts w:eastAsia="Times New Roman" w:cs="DecoType Naskh" w:hint="cs"/>
          <w:color w:val="auto"/>
          <w:kern w:val="0"/>
          <w:szCs w:val="26"/>
          <w:rtl/>
          <w14:ligatures w14:val="none"/>
        </w:rPr>
        <w:t>-</w:t>
      </w:r>
      <w:r w:rsidRPr="00070B6E">
        <w:rPr>
          <w:rFonts w:eastAsia="Times New Roman" w:cs="DecoType Naskh" w:hint="cs"/>
          <w:color w:val="auto"/>
          <w:kern w:val="0"/>
          <w:szCs w:val="26"/>
          <w:rtl/>
          <w14:ligatures w14:val="none"/>
        </w:rPr>
        <w:tab/>
      </w:r>
      <w:r w:rsidRPr="00070B6E">
        <w:rPr>
          <w:rFonts w:eastAsia="Times New Roman" w:cs="DecoType Naskh" w:hint="cs"/>
          <w:color w:val="auto"/>
          <w:kern w:val="0"/>
          <w:szCs w:val="26"/>
          <w:rtl/>
          <w:lang w:bidi="ar-JO"/>
          <w14:ligatures w14:val="none"/>
        </w:rPr>
        <w:t xml:space="preserve">بركة الأمة هي الحصيلة المقصودة </w:t>
      </w:r>
    </w:p>
    <w:p w14:paraId="7D44C68D"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14:ligatures w14:val="none"/>
        </w:rPr>
      </w:pPr>
      <w:r w:rsidRPr="00070B6E">
        <w:rPr>
          <w:rFonts w:eastAsia="Times New Roman" w:cs="DecoType Naskh" w:hint="cs"/>
          <w:color w:val="auto"/>
          <w:kern w:val="0"/>
          <w:szCs w:val="26"/>
          <w:rtl/>
          <w14:ligatures w14:val="none"/>
        </w:rPr>
        <w:t>-</w:t>
      </w:r>
      <w:r w:rsidRPr="00070B6E">
        <w:rPr>
          <w:rFonts w:eastAsia="Times New Roman" w:cs="DecoType Naskh" w:hint="cs"/>
          <w:color w:val="auto"/>
          <w:kern w:val="0"/>
          <w:szCs w:val="26"/>
          <w:rtl/>
          <w14:ligatures w14:val="none"/>
        </w:rPr>
        <w:tab/>
      </w:r>
      <w:r w:rsidRPr="00070B6E">
        <w:rPr>
          <w:rFonts w:eastAsia="Times New Roman" w:cs="DecoType Naskh" w:hint="cs"/>
          <w:color w:val="auto"/>
          <w:kern w:val="0"/>
          <w:szCs w:val="26"/>
          <w:rtl/>
          <w:lang w:bidi="ar-JO"/>
          <w14:ligatures w14:val="none"/>
        </w:rPr>
        <w:t xml:space="preserve">تعتمد البركة على طاعة يهوه من محبة قلبية </w:t>
      </w:r>
    </w:p>
    <w:p w14:paraId="52820323"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14:ligatures w14:val="none"/>
        </w:rPr>
      </w:pPr>
      <w:r w:rsidRPr="00070B6E">
        <w:rPr>
          <w:rFonts w:eastAsia="Times New Roman" w:cs="DecoType Naskh" w:hint="cs"/>
          <w:color w:val="auto"/>
          <w:kern w:val="0"/>
          <w:szCs w:val="26"/>
          <w:rtl/>
          <w:lang w:bidi="ar-JO"/>
          <w14:ligatures w14:val="none"/>
        </w:rPr>
        <w:t>-</w:t>
      </w:r>
      <w:r w:rsidRPr="00070B6E">
        <w:rPr>
          <w:rFonts w:eastAsia="Times New Roman" w:cs="DecoType Naskh" w:hint="cs"/>
          <w:color w:val="auto"/>
          <w:kern w:val="0"/>
          <w:szCs w:val="26"/>
          <w:rtl/>
          <w:lang w:bidi="ar-JO"/>
          <w14:ligatures w14:val="none"/>
        </w:rPr>
        <w:tab/>
        <w:t xml:space="preserve">يهدف الخيار إلى تحقيق العهد الإبراهيمي </w:t>
      </w:r>
    </w:p>
    <w:p w14:paraId="60BF2F8D"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p>
    <w:p w14:paraId="21902C43"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فإذا أخذنا هذا بعين الاعتبار، يمكن تلخيص أطروحة السفر وغرضه كما يلي: </w:t>
      </w:r>
    </w:p>
    <w:p w14:paraId="32FEB95E"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b/>
          <w:bCs/>
          <w:color w:val="auto"/>
          <w:kern w:val="0"/>
          <w:sz w:val="32"/>
          <w:szCs w:val="32"/>
          <w:u w:val="single"/>
          <w:rtl/>
          <w:lang w:bidi="ar-JO"/>
          <w14:ligatures w14:val="none"/>
        </w:rPr>
        <w:t>الأطروحة:</w:t>
      </w:r>
      <w:r w:rsidRPr="00070B6E">
        <w:rPr>
          <w:rFonts w:eastAsia="Times New Roman" w:cs="DecoType Naskh" w:hint="cs"/>
          <w:color w:val="auto"/>
          <w:kern w:val="0"/>
          <w:szCs w:val="26"/>
          <w:rtl/>
          <w:lang w:bidi="ar-JO"/>
          <w14:ligatures w14:val="none"/>
        </w:rPr>
        <w:t xml:space="preserve"> </w:t>
      </w:r>
      <w:r w:rsidRPr="00070B6E">
        <w:rPr>
          <w:rFonts w:eastAsia="Times New Roman" w:cs="DecoType Naskh" w:hint="cs"/>
          <w:color w:val="auto"/>
          <w:kern w:val="0"/>
          <w:szCs w:val="26"/>
          <w:rtl/>
          <w14:ligatures w14:val="none"/>
        </w:rPr>
        <w:tab/>
      </w:r>
      <w:r w:rsidRPr="00070B6E">
        <w:rPr>
          <w:rFonts w:eastAsia="Times New Roman" w:cs="DecoType Naskh" w:hint="cs"/>
          <w:color w:val="auto"/>
          <w:kern w:val="0"/>
          <w:szCs w:val="26"/>
          <w:rtl/>
          <w:lang w:bidi="ar-JO"/>
          <w14:ligatures w14:val="none"/>
        </w:rPr>
        <w:t>إن استجاب</w:t>
      </w:r>
      <w:r w:rsidRPr="00070B6E">
        <w:rPr>
          <w:rFonts w:eastAsia="Times New Roman" w:cs="DecoType Naskh" w:hint="eastAsia"/>
          <w:color w:val="auto"/>
          <w:kern w:val="0"/>
          <w:szCs w:val="26"/>
          <w:rtl/>
          <w:lang w:bidi="ar-JO"/>
          <w14:ligatures w14:val="none"/>
        </w:rPr>
        <w:t>ة</w:t>
      </w:r>
      <w:r w:rsidRPr="00070B6E">
        <w:rPr>
          <w:rFonts w:eastAsia="Times New Roman" w:cs="DecoType Naskh" w:hint="cs"/>
          <w:color w:val="auto"/>
          <w:kern w:val="0"/>
          <w:szCs w:val="26"/>
          <w:rtl/>
          <w:lang w:bidi="ar-JO"/>
          <w14:ligatures w14:val="none"/>
        </w:rPr>
        <w:t xml:space="preserve"> إسرائي</w:t>
      </w:r>
      <w:r w:rsidRPr="00070B6E">
        <w:rPr>
          <w:rFonts w:eastAsia="Times New Roman" w:cs="DecoType Naskh" w:hint="eastAsia"/>
          <w:color w:val="auto"/>
          <w:kern w:val="0"/>
          <w:szCs w:val="26"/>
          <w:rtl/>
          <w:lang w:bidi="ar-JO"/>
          <w14:ligatures w14:val="none"/>
        </w:rPr>
        <w:t>ل</w:t>
      </w:r>
      <w:r w:rsidRPr="00070B6E">
        <w:rPr>
          <w:rFonts w:eastAsia="Times New Roman" w:cs="DecoType Naskh" w:hint="cs"/>
          <w:color w:val="auto"/>
          <w:kern w:val="0"/>
          <w:szCs w:val="26"/>
          <w:rtl/>
          <w:lang w:bidi="ar-JO"/>
          <w14:ligatures w14:val="none"/>
        </w:rPr>
        <w:t xml:space="preserve"> المطلوبة لمحبة يهوه وعهده معهم هي الطاعة القلبية له ولشريعته. </w:t>
      </w:r>
    </w:p>
    <w:p w14:paraId="711A195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b/>
          <w:bCs/>
          <w:color w:val="auto"/>
          <w:kern w:val="0"/>
          <w:sz w:val="32"/>
          <w:szCs w:val="32"/>
          <w:u w:val="single"/>
          <w:rtl/>
          <w:lang w:bidi="ar-JO"/>
          <w14:ligatures w14:val="none"/>
        </w:rPr>
        <w:t>الغرض:</w:t>
      </w:r>
      <w:r w:rsidRPr="00070B6E">
        <w:rPr>
          <w:rFonts w:eastAsia="Times New Roman" w:cs="DecoType Naskh" w:hint="cs"/>
          <w:color w:val="auto"/>
          <w:kern w:val="0"/>
          <w:szCs w:val="26"/>
          <w:rtl/>
          <w:lang w:bidi="ar-JO"/>
          <w14:ligatures w14:val="none"/>
        </w:rPr>
        <w:t xml:space="preserve"> </w:t>
      </w:r>
      <w:r w:rsidRPr="00070B6E">
        <w:rPr>
          <w:rFonts w:eastAsia="Times New Roman" w:cs="DecoType Naskh" w:hint="cs"/>
          <w:color w:val="auto"/>
          <w:kern w:val="0"/>
          <w:szCs w:val="26"/>
          <w:rtl/>
          <w14:ligatures w14:val="none"/>
        </w:rPr>
        <w:tab/>
      </w:r>
      <w:r w:rsidRPr="00070B6E">
        <w:rPr>
          <w:rFonts w:eastAsia="Times New Roman" w:cs="DecoType Naskh" w:hint="cs"/>
          <w:color w:val="auto"/>
          <w:kern w:val="0"/>
          <w:szCs w:val="26"/>
          <w:rtl/>
          <w:lang w:bidi="ar-JO"/>
          <w14:ligatures w14:val="none"/>
        </w:rPr>
        <w:t xml:space="preserve">أن تتمتع الأمة ببركة مستمرة في الأرض وأن يكونوا في الوقت نفسه عرضة للمساءلة عن عصيانهم. </w:t>
      </w:r>
    </w:p>
    <w:p w14:paraId="114C43A1" w14:textId="77777777" w:rsidR="00070B6E" w:rsidRPr="00070B6E" w:rsidRDefault="00070B6E" w:rsidP="002D6C54">
      <w:pPr>
        <w:bidi/>
        <w:spacing w:after="0" w:line="240" w:lineRule="auto"/>
        <w:ind w:left="864"/>
        <w:jc w:val="lowKashida"/>
        <w:rPr>
          <w:rFonts w:eastAsia="Times New Roman" w:cs="Akhbar MT"/>
          <w:color w:val="auto"/>
          <w:kern w:val="0"/>
          <w:sz w:val="30"/>
          <w:szCs w:val="30"/>
          <w:rtl/>
          <w14:ligatures w14:val="none"/>
        </w:rPr>
      </w:pPr>
    </w:p>
    <w:p w14:paraId="35CB438B"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10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هذه الأطروحة وهذا الغرض هامان للأسفار التالية في العهد القديم، لأنهما يشرحان أساس تعامل الله مع الأمة.  وعندما نرى إسرائيل تُؤدَّب، فإننا نفهم أن هذا نابع من عامل المساءلة المشروح في سفر التثنية.  </w:t>
      </w:r>
    </w:p>
    <w:p w14:paraId="51EAECFC" w14:textId="77777777" w:rsidR="00070B6E" w:rsidRPr="00070B6E" w:rsidRDefault="00070B6E" w:rsidP="002D6C54">
      <w:pPr>
        <w:bidi/>
        <w:spacing w:after="0" w:line="240" w:lineRule="auto"/>
        <w:jc w:val="lowKashida"/>
        <w:rPr>
          <w:rFonts w:eastAsia="Times New Roman" w:cs="Akhbar MT"/>
          <w:color w:val="auto"/>
          <w:kern w:val="0"/>
          <w:sz w:val="30"/>
          <w:szCs w:val="30"/>
          <w:rtl/>
          <w14:ligatures w14:val="none"/>
        </w:rPr>
      </w:pPr>
    </w:p>
    <w:p w14:paraId="3C924FF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p>
    <w:p w14:paraId="35366BD4" w14:textId="77777777" w:rsidR="00857A90" w:rsidRPr="007C4B14" w:rsidRDefault="00857A90" w:rsidP="00857A90">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b/>
          <w:bCs/>
          <w:kern w:val="0"/>
          <w:sz w:val="28"/>
          <w:szCs w:val="28"/>
          <w:rtl/>
          <w14:ligatures w14:val="none"/>
        </w:rPr>
      </w:pPr>
      <w:bookmarkStart w:id="131" w:name="_Hlk178779045"/>
      <w:bookmarkStart w:id="132" w:name="_Hlk157179038"/>
      <w:r w:rsidRPr="007C4B14">
        <w:rPr>
          <w:rFonts w:ascii="Simplified Arabic" w:eastAsia="Calibri" w:hAnsi="Simplified Arabic" w:cs="Simplified Arabic" w:hint="cs"/>
          <w:b/>
          <w:bCs/>
          <w:kern w:val="0"/>
          <w:sz w:val="28"/>
          <w:szCs w:val="28"/>
          <w:rtl/>
          <w14:ligatures w14:val="none"/>
        </w:rPr>
        <w:lastRenderedPageBreak/>
        <w:t xml:space="preserve">الموضوع 2: حضٌّ على إطاعة العهد (تثنية 1: 1 </w:t>
      </w:r>
      <w:r w:rsidRPr="007C4B14">
        <w:rPr>
          <w:rFonts w:ascii="Simplified Arabic" w:eastAsia="Calibri" w:hAnsi="Simplified Arabic" w:cs="Simplified Arabic"/>
          <w:b/>
          <w:bCs/>
          <w:kern w:val="0"/>
          <w:sz w:val="28"/>
          <w:szCs w:val="28"/>
          <w:rtl/>
          <w14:ligatures w14:val="none"/>
        </w:rPr>
        <w:t>–</w:t>
      </w:r>
      <w:r w:rsidRPr="007C4B14">
        <w:rPr>
          <w:rFonts w:ascii="Simplified Arabic" w:eastAsia="Calibri" w:hAnsi="Simplified Arabic" w:cs="Simplified Arabic" w:hint="cs"/>
          <w:b/>
          <w:bCs/>
          <w:kern w:val="0"/>
          <w:sz w:val="28"/>
          <w:szCs w:val="28"/>
          <w:rtl/>
          <w14:ligatures w14:val="none"/>
        </w:rPr>
        <w:t xml:space="preserve"> 4: 43) </w:t>
      </w:r>
    </w:p>
    <w:p w14:paraId="127491B1" w14:textId="5E54AC18" w:rsidR="00BE411E" w:rsidRPr="007A4B15" w:rsidRDefault="00BE411E" w:rsidP="007C4B14">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r w:rsidRPr="007A4B15">
        <w:rPr>
          <w:rFonts w:ascii="Verdana" w:eastAsia="Calibri" w:hAnsi="Verdana" w:cs="Times New Roman"/>
          <w:b/>
          <w:caps/>
          <w:noProof/>
          <w:color w:val="006699"/>
          <w:kern w:val="0"/>
          <w:sz w:val="21"/>
          <w:szCs w:val="24"/>
          <w14:ligatures w14:val="none"/>
        </w:rPr>
        <w:drawing>
          <wp:inline distT="0" distB="0" distL="0" distR="0" wp14:anchorId="31802176" wp14:editId="1B908B54">
            <wp:extent cx="613692" cy="541464"/>
            <wp:effectExtent l="0" t="0" r="0" b="0"/>
            <wp:docPr id="949911906" name="Picture 949911906"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7C4B14" w:rsidRPr="007C4B14">
        <w:rPr>
          <w:rFonts w:ascii="Verdana" w:eastAsia="Calibri" w:hAnsi="Verdana" w:cs="Times New Roman" w:hint="cs"/>
          <w:bCs/>
          <w:caps/>
          <w:color w:val="006699"/>
          <w:kern w:val="0"/>
          <w:sz w:val="21"/>
          <w:szCs w:val="24"/>
          <w:u w:val="single"/>
          <w:rtl/>
          <w14:ligatures w14:val="none"/>
        </w:rPr>
        <w:t>القراءة:</w:t>
      </w:r>
    </w:p>
    <w:p w14:paraId="1D05FFF4" w14:textId="7CE7A84B" w:rsidR="00BE411E" w:rsidRPr="002B24E1" w:rsidRDefault="00BE411E" w:rsidP="007C4B14">
      <w:pPr>
        <w:bidi/>
        <w:spacing w:line="240" w:lineRule="auto"/>
        <w:rPr>
          <w:b/>
          <w:bCs/>
        </w:rPr>
      </w:pPr>
      <w:r>
        <w:tab/>
      </w:r>
      <w:r>
        <w:tab/>
      </w:r>
      <w:r w:rsidR="007C4B14">
        <w:rPr>
          <w:rFonts w:hint="cs"/>
          <w:rtl/>
        </w:rPr>
        <w:t xml:space="preserve">اقرأ تثنية 1: 1 </w:t>
      </w:r>
      <w:r w:rsidR="007C4B14">
        <w:rPr>
          <w:rtl/>
        </w:rPr>
        <w:t>–</w:t>
      </w:r>
      <w:r w:rsidR="007C4B14">
        <w:rPr>
          <w:rFonts w:hint="cs"/>
          <w:rtl/>
        </w:rPr>
        <w:t xml:space="preserve"> 4: 43 في كتابك المُقدَّس. </w:t>
      </w:r>
    </w:p>
    <w:bookmarkEnd w:id="131"/>
    <w:bookmarkEnd w:id="132"/>
    <w:p w14:paraId="4208C31F" w14:textId="77777777" w:rsidR="00070B6E" w:rsidRPr="00070B6E" w:rsidRDefault="00070B6E" w:rsidP="002D6C54">
      <w:pPr>
        <w:bidi/>
        <w:spacing w:after="0" w:line="240" w:lineRule="auto"/>
        <w:jc w:val="center"/>
        <w:rPr>
          <w:rFonts w:eastAsia="Times New Roman" w:cs="Traditional Arabic Backslanted"/>
          <w:bCs/>
          <w:color w:val="auto"/>
          <w:kern w:val="0"/>
          <w:szCs w:val="28"/>
          <w:rtl/>
          <w:lang w:bidi="ar-JO"/>
          <w14:ligatures w14:val="none"/>
        </w:rPr>
      </w:pPr>
    </w:p>
    <w:p w14:paraId="653250DB"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1.</w:t>
      </w:r>
      <w:r w:rsidRPr="00070B6E">
        <w:rPr>
          <w:rFonts w:eastAsia="Times New Roman" w:cs="DecoType Naskh" w:hint="cs"/>
          <w:bCs/>
          <w:color w:val="auto"/>
          <w:kern w:val="0"/>
          <w:szCs w:val="28"/>
          <w:rtl/>
          <w:lang w:bidi="ar-JO"/>
          <w14:ligatures w14:val="none"/>
        </w:rPr>
        <w:tab/>
        <w:t>نظرة عامة إلى 1: 1-4: 43</w:t>
      </w:r>
    </w:p>
    <w:p w14:paraId="5654D52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لا يركز الجزء الأول من السفر على المواصفات الفعلية للشريعة (كما هو الحال في 4: 44-26: 19).  وهذا القسم الافتتاحي تحريضي تحضيري في طبيعته مع تركيزه على تاريخ عهدهم.  لكن الغرض من المراجعة التاريخية هو مساعدة الجيل الجديد في فهم حاجتهم إلى الطاعة (الأصحاح 4).  وهكذا، وقبل أن تفصَّل لهم بنود العهد الذي سيطيعونه، فإن من الضروري أن يفهموا الأهمية القصوى للطاعة.  ويجب أن تتضمن هذه الطاعة فتح الأرض بالإضافة إلى وفائهم ليهوه عند استقرارهم في الأرض.  طُلب إلى قديس عجوز حكيم يوماً ما أن يلخّص مضمون سفر التثنية، فأجاب: "يمكنني أن ألخص في ثلاث كلمات: أَطِع! أَطِع! أَطِع!".</w:t>
      </w:r>
    </w:p>
    <w:p w14:paraId="0F82DD3E"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2A6E4859"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2.</w:t>
      </w:r>
      <w:r w:rsidRPr="00070B6E">
        <w:rPr>
          <w:rFonts w:eastAsia="Times New Roman" w:cs="DecoType Naskh" w:hint="cs"/>
          <w:bCs/>
          <w:color w:val="auto"/>
          <w:kern w:val="0"/>
          <w:szCs w:val="28"/>
          <w:rtl/>
          <w:lang w:bidi="ar-JO"/>
          <w14:ligatures w14:val="none"/>
        </w:rPr>
        <w:tab/>
        <w:t>بنية هذا القسم</w:t>
      </w:r>
    </w:p>
    <w:p w14:paraId="63DA5A58"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p>
    <w:p w14:paraId="4AC8BDE8" w14:textId="77777777" w:rsidR="00070B6E" w:rsidRPr="00070B6E" w:rsidRDefault="00070B6E" w:rsidP="002D6C54">
      <w:pPr>
        <w:bidi/>
        <w:spacing w:after="0" w:line="240" w:lineRule="auto"/>
        <w:rPr>
          <w:rFonts w:eastAsia="Times New Roman" w:cs="DecoType Naskh"/>
          <w:color w:val="auto"/>
          <w:kern w:val="0"/>
          <w:szCs w:val="18"/>
          <w:rtl/>
          <w14:ligatures w14:val="none"/>
        </w:rPr>
      </w:pPr>
    </w:p>
    <w:bookmarkStart w:id="133" w:name="_MON_1066905422"/>
    <w:bookmarkStart w:id="134" w:name="_MON_1066905708"/>
    <w:bookmarkEnd w:id="133"/>
    <w:bookmarkEnd w:id="134"/>
    <w:bookmarkStart w:id="135" w:name="_MON_1166681123"/>
    <w:bookmarkEnd w:id="135"/>
    <w:p w14:paraId="122A4241" w14:textId="77777777" w:rsidR="00070B6E" w:rsidRPr="00070B6E" w:rsidRDefault="00070B6E" w:rsidP="002D6C54">
      <w:pPr>
        <w:bidi/>
        <w:spacing w:after="0" w:line="240" w:lineRule="auto"/>
        <w:jc w:val="center"/>
        <w:rPr>
          <w:rFonts w:eastAsia="Times New Roman" w:cs="DecoType Naskh"/>
          <w:color w:val="auto"/>
          <w:kern w:val="0"/>
          <w:szCs w:val="18"/>
          <w:rtl/>
          <w14:ligatures w14:val="none"/>
        </w:rPr>
      </w:pPr>
      <w:r w:rsidRPr="00070B6E">
        <w:rPr>
          <w:rFonts w:eastAsia="Times New Roman" w:cs="DecoType Naskh"/>
          <w:color w:val="auto"/>
          <w:kern w:val="0"/>
          <w:szCs w:val="18"/>
          <w14:ligatures w14:val="none"/>
        </w:rPr>
        <w:object w:dxaOrig="3960" w:dyaOrig="1800" w14:anchorId="03251E51">
          <v:shape id="_x0000_i1039" type="#_x0000_t75" style="width:396pt;height:180pt" o:ole="">
            <v:imagedata r:id="rId72" o:title=""/>
          </v:shape>
          <o:OLEObject Type="Embed" ProgID="PowerPoint.Show.8" ShapeID="_x0000_i1039" DrawAspect="Content" ObjectID="_1802157134" r:id="rId73"/>
        </w:object>
      </w:r>
    </w:p>
    <w:p w14:paraId="7A3C6A56" w14:textId="77777777" w:rsidR="00070B6E" w:rsidRPr="00070B6E" w:rsidRDefault="00070B6E" w:rsidP="002D6C54">
      <w:pPr>
        <w:bidi/>
        <w:spacing w:after="0" w:line="240" w:lineRule="auto"/>
        <w:rPr>
          <w:rFonts w:eastAsia="Times New Roman" w:cs="DecoType Naskh"/>
          <w:color w:val="auto"/>
          <w:kern w:val="0"/>
          <w:szCs w:val="18"/>
          <w:rtl/>
          <w:lang w:bidi="ar-KW"/>
          <w14:ligatures w14:val="none"/>
        </w:rPr>
      </w:pPr>
    </w:p>
    <w:p w14:paraId="74BD7A06" w14:textId="77777777" w:rsidR="00070B6E" w:rsidRPr="00070B6E" w:rsidRDefault="00070B6E" w:rsidP="002D6C54">
      <w:pPr>
        <w:bidi/>
        <w:spacing w:after="0" w:line="240" w:lineRule="auto"/>
        <w:rPr>
          <w:rFonts w:eastAsia="Times New Roman" w:cs="DecoType Naskh"/>
          <w:color w:val="auto"/>
          <w:kern w:val="0"/>
          <w:szCs w:val="18"/>
          <w:rtl/>
          <w:lang w:bidi="ar-KW"/>
          <w14:ligatures w14:val="none"/>
        </w:rPr>
      </w:pPr>
    </w:p>
    <w:p w14:paraId="23FF2919" w14:textId="77777777" w:rsidR="00070B6E" w:rsidRPr="00070B6E" w:rsidRDefault="00070B6E" w:rsidP="002D6C54">
      <w:pPr>
        <w:bidi/>
        <w:spacing w:after="0" w:line="240" w:lineRule="auto"/>
        <w:rPr>
          <w:rFonts w:eastAsia="Times New Roman" w:cs="DecoType Naskh"/>
          <w:color w:val="auto"/>
          <w:kern w:val="0"/>
          <w:szCs w:val="18"/>
          <w:rtl/>
          <w:lang w:bidi="ar-KW"/>
          <w14:ligatures w14:val="none"/>
        </w:rPr>
      </w:pPr>
    </w:p>
    <w:p w14:paraId="0ED873BC"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3.</w:t>
      </w:r>
      <w:r w:rsidRPr="00070B6E">
        <w:rPr>
          <w:rFonts w:eastAsia="Times New Roman" w:cs="DecoType Naskh" w:hint="cs"/>
          <w:bCs/>
          <w:color w:val="auto"/>
          <w:kern w:val="0"/>
          <w:szCs w:val="28"/>
          <w:rtl/>
          <w:lang w:bidi="ar-JO"/>
          <w14:ligatures w14:val="none"/>
        </w:rPr>
        <w:tab/>
        <w:t>تمهيد (1: 1-5)</w:t>
      </w:r>
    </w:p>
    <w:p w14:paraId="20DCA9F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تعرّفنا الآيات الخمس الأولى بوسيط العهد وتذكّر الجيل الثاني من بني إسرائيل من أين أتوا.  والزمن هنا هو اليوم الأول من الشهر الحادي عشر من السنة الأربعين.  فقد مرّت حوالي أربعين سنة على خروج إسرائيل من مصر، لكن لم تمض ستّة أشهر بعد على الخطية التي ارتكبت في بعل فغور (سفر العدد 25).  وقد مات الجيل الأول من الرجال الذين كانوا مؤهلين للحرب، لكن ذكرى خطية بعل فغّور ظلّت ماثلة في أذهان الجيل الجديد.  فعلى الرغم من انقراض الجيل الأول، إلاّ أن الجيل الجديد يدرك أيضاً أن قلوبهم ميّالة إلى الضلال.  والسؤال الماثل في ذهن موسى هو: هل سيرتكب هذا الجيل نفس الخطأ الذي ارتكبه الجيل السابق في قادش برْنيع؟ إنهم الآن متمركزون على حدود أرض الموعد، لكن هل ستخور عزائهم في عدم إيمان؟ وإذا كان لهم أن يدخلوا </w:t>
      </w:r>
      <w:r w:rsidRPr="00070B6E">
        <w:rPr>
          <w:rFonts w:eastAsia="Times New Roman" w:cs="DecoType Naskh" w:hint="cs"/>
          <w:color w:val="auto"/>
          <w:kern w:val="0"/>
          <w:szCs w:val="26"/>
          <w:rtl/>
          <w:lang w:bidi="ar-JO"/>
          <w14:ligatures w14:val="none"/>
        </w:rPr>
        <w:lastRenderedPageBreak/>
        <w:t>الأرض ويفتحوها، فهل سيخدمون ويطيعون يهوه بحسب التعليمات التي أعطاها لهم؟ كانت هذه أسئلة هامّة جدّاً.  فهل تعلّم الشعب من ماضيهم؟</w:t>
      </w:r>
    </w:p>
    <w:p w14:paraId="4C72660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5BC175A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شرع موسى في </w:t>
      </w:r>
      <w:r w:rsidRPr="00070B6E">
        <w:rPr>
          <w:rFonts w:eastAsia="Times New Roman" w:cs="DecoType Naskh" w:hint="cs"/>
          <w:color w:val="auto"/>
          <w:kern w:val="0"/>
          <w:szCs w:val="26"/>
          <w:u w:val="single"/>
          <w:rtl/>
          <w:lang w:bidi="ar-JO"/>
          <w14:ligatures w14:val="none"/>
        </w:rPr>
        <w:t>شرح</w:t>
      </w:r>
      <w:r w:rsidRPr="00070B6E">
        <w:rPr>
          <w:rFonts w:eastAsia="Times New Roman" w:cs="DecoType Naskh" w:hint="cs"/>
          <w:color w:val="auto"/>
          <w:kern w:val="0"/>
          <w:szCs w:val="26"/>
          <w:rtl/>
          <w:lang w:bidi="ar-JO"/>
          <w14:ligatures w14:val="none"/>
        </w:rPr>
        <w:t xml:space="preserve"> الشريعة (1: 5) على أمل أن لا يكرر الجيل الجديد نفس الأخطاء.  والكلمة العبرية المستخدمة هنا هي بيإير</w:t>
      </w:r>
      <w:proofErr w:type="spellStart"/>
      <w:r w:rsidRPr="00070B6E">
        <w:rPr>
          <w:rFonts w:ascii="Charis SIL" w:eastAsia="Times New Roman" w:hAnsi="Charis SIL" w:cs="Charis SIL"/>
          <w:bCs/>
          <w:i/>
          <w:iCs/>
          <w:color w:val="auto"/>
          <w:kern w:val="0"/>
          <w:lang w:bidi="ar-JO"/>
          <w14:ligatures w14:val="none"/>
        </w:rPr>
        <w:t>bēʾēr</w:t>
      </w:r>
      <w:proofErr w:type="spellEnd"/>
      <w:r w:rsidRPr="00070B6E">
        <w:rPr>
          <w:rFonts w:eastAsia="Times New Roman" w:cs="DecoType Naskh"/>
          <w:color w:val="auto"/>
          <w:kern w:val="0"/>
          <w:szCs w:val="26"/>
          <w:lang w:bidi="ar-JO"/>
          <w14:ligatures w14:val="none"/>
        </w:rPr>
        <w:t xml:space="preserve"> </w:t>
      </w:r>
      <w:r w:rsidRPr="00070B6E">
        <w:rPr>
          <w:rFonts w:eastAsia="Times New Roman" w:cs="DecoType Naskh" w:hint="cs"/>
          <w:color w:val="auto"/>
          <w:kern w:val="0"/>
          <w:szCs w:val="26"/>
          <w:rtl/>
          <w:lang w:bidi="ar-JO"/>
          <w14:ligatures w14:val="none"/>
        </w:rPr>
        <w:t xml:space="preserve"> </w:t>
      </w:r>
      <w:r w:rsidRPr="00070B6E">
        <w:rPr>
          <w:rFonts w:eastAsia="Times New Roman" w:cs="DecoType Naskh"/>
          <w:color w:val="auto"/>
          <w:kern w:val="0"/>
          <w:szCs w:val="26"/>
          <w:lang w:bidi="ar-JO"/>
          <w14:ligatures w14:val="none"/>
        </w:rPr>
        <w:t>)</w:t>
      </w:r>
      <w:r w:rsidRPr="00070B6E">
        <w:rPr>
          <w:rFonts w:eastAsia="Times New Roman" w:cs="DecoType Naskh"/>
          <w:bCs/>
          <w:color w:val="auto"/>
          <w:kern w:val="0"/>
          <w:lang w:bidi="ar-JO"/>
          <w14:ligatures w14:val="none"/>
        </w:rPr>
        <w:t xml:space="preserve"> </w:t>
      </w:r>
      <w:r w:rsidRPr="00070B6E">
        <w:rPr>
          <w:rFonts w:ascii="Ezra SIL" w:eastAsia="Times New Roman" w:hAnsi="Ezra SIL" w:cs="Ezra SIL" w:hint="cs"/>
          <w:b/>
          <w:color w:val="auto"/>
          <w:kern w:val="0"/>
          <w:sz w:val="20"/>
          <w:szCs w:val="20"/>
          <w:rtl/>
          <w:lang w:bidi="he-IL"/>
          <w14:ligatures w14:val="none"/>
        </w:rPr>
        <w:t>בֵּאֵר</w:t>
      </w:r>
      <w:r w:rsidRPr="00070B6E">
        <w:rPr>
          <w:rFonts w:ascii="Ezra SIL" w:eastAsia="Times New Roman" w:hAnsi="Ezra SIL" w:cs="Ezra SIL"/>
          <w:b/>
          <w:color w:val="auto"/>
          <w:kern w:val="0"/>
          <w:sz w:val="20"/>
          <w:szCs w:val="20"/>
          <w:lang w:bidi="he-IL"/>
          <w14:ligatures w14:val="none"/>
        </w:rPr>
        <w:t xml:space="preserve"> </w:t>
      </w:r>
      <w:r w:rsidRPr="00070B6E">
        <w:rPr>
          <w:rFonts w:eastAsia="Times New Roman" w:cs="DecoType Naskh"/>
          <w:bCs/>
          <w:color w:val="auto"/>
          <w:kern w:val="0"/>
          <w:lang w:bidi="ar-JO"/>
          <w14:ligatures w14:val="none"/>
        </w:rPr>
        <w:t>(</w:t>
      </w:r>
      <w:r w:rsidRPr="00070B6E">
        <w:rPr>
          <w:rFonts w:eastAsia="Times New Roman" w:cs="DecoType Naskh" w:hint="cs"/>
          <w:color w:val="auto"/>
          <w:kern w:val="0"/>
          <w:szCs w:val="26"/>
          <w:rtl/>
          <w:lang w:bidi="ar-JO"/>
          <w14:ligatures w14:val="none"/>
        </w:rPr>
        <w:t xml:space="preserve">وتعني "يفسّر" أو "يوضّح".  وكان الهدف من المادة التحريضية لسفر التثنية، خاصة الأصحاحات 1-4، هو إيضاح أهمية الناموس للأمة مع التركيز على الطاعة.  وهكذا فإن الأصحاحات الافتتاحية لا تشكّل مراجعة تاريخية فحسب (إذ كان بنو إسرائيل يعرفون هذه الأحداث)، لكنها </w:t>
      </w:r>
      <w:r w:rsidRPr="00070B6E">
        <w:rPr>
          <w:rFonts w:eastAsia="Times New Roman" w:cs="DecoType Naskh" w:hint="cs"/>
          <w:color w:val="auto"/>
          <w:kern w:val="0"/>
          <w:szCs w:val="26"/>
          <w:u w:val="single"/>
          <w:rtl/>
          <w:lang w:bidi="ar-JO"/>
          <w14:ligatures w14:val="none"/>
        </w:rPr>
        <w:t>لاهوتية</w:t>
      </w:r>
      <w:r w:rsidRPr="00070B6E">
        <w:rPr>
          <w:rFonts w:eastAsia="Times New Roman" w:cs="DecoType Naskh" w:hint="cs"/>
          <w:color w:val="auto"/>
          <w:kern w:val="0"/>
          <w:szCs w:val="26"/>
          <w:rtl/>
          <w:lang w:bidi="ar-JO"/>
          <w14:ligatures w14:val="none"/>
        </w:rPr>
        <w:t xml:space="preserve"> أيضاً في مضمونها مذكّرة الشعب بأي إله يعبدون: وهو لن يتعامل باستخفاف مع عدم الإيمان والتمرُّد، كما حدث في قادش برْنيع.  غير أنه سيُنجح الشعب إذا سعوا إلى طاعة إرادته (مثلاً، في محاربة الأموريين). لم يُعطَ الناموس لمعاقبة الناس لكن لحمايتهم وليريهم طريق البركة.  وكانت محبتهم ليهوه تشكّل أساساً لطاعته (تثنية 6).</w:t>
      </w:r>
    </w:p>
    <w:p w14:paraId="27CAA630"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24564D37"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4.</w:t>
      </w:r>
      <w:r w:rsidRPr="00070B6E">
        <w:rPr>
          <w:rFonts w:eastAsia="Times New Roman" w:cs="DecoType Naskh" w:hint="cs"/>
          <w:bCs/>
          <w:color w:val="auto"/>
          <w:kern w:val="0"/>
          <w:szCs w:val="28"/>
          <w:rtl/>
          <w:lang w:bidi="ar-JO"/>
          <w14:ligatures w14:val="none"/>
        </w:rPr>
        <w:tab/>
        <w:t>التحفيز على دخول الأرض وفتحها (1: 6-3: 29)</w:t>
      </w:r>
    </w:p>
    <w:p w14:paraId="1DDCFF4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تنقسم المقدمة التاريخية (1: 6-4: 43) إلى قسمين رئيسيين: (1) التحفيز على دخول أرض الموعد وفتحها (1: 6-3: 29)، و(2) التحريض على الطاعة عند استقرارهم في الأرض (4: 1-40).</w:t>
      </w:r>
    </w:p>
    <w:p w14:paraId="423A783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58230157" w14:textId="7E4EF37B"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لا يُقصد بالقسم الرئيسي الأول إعادة سرد تاريخ إسرائيل أثناء الأربعين سنة الماضية.  فالمادة منتقاة بحرص، وتختص بشكل رئيسي بفشلهم في قادش وعمليات النجاح الأخيرة ضد الأموريين وباشان. الأول مثال سلبي، أمّا الثاني فإيجابي.  يتوجب على الشعب أن يطيعوا ويفتحوا الأرض؛ وسيعطيهم الله النجاح يقيناً!</w:t>
      </w:r>
    </w:p>
    <w:p w14:paraId="51F7504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4836A89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73EF4CB3" w14:textId="77777777" w:rsidR="00070B6E" w:rsidRPr="00070B6E" w:rsidRDefault="00070B6E" w:rsidP="002D6C54">
      <w:pPr>
        <w:tabs>
          <w:tab w:val="left" w:pos="454"/>
        </w:tabs>
        <w:bidi/>
        <w:spacing w:after="60" w:line="240" w:lineRule="auto"/>
        <w:ind w:righ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أ.</w:t>
      </w:r>
      <w:r w:rsidRPr="00070B6E">
        <w:rPr>
          <w:rFonts w:eastAsia="Times New Roman" w:cs="DecoType Naskh" w:hint="cs"/>
          <w:bCs/>
          <w:color w:val="auto"/>
          <w:kern w:val="0"/>
          <w:szCs w:val="26"/>
          <w:rtl/>
          <w14:ligatures w14:val="none"/>
        </w:rPr>
        <w:tab/>
        <w:t>وصية امتلاك الأرض (1: 6-8)</w:t>
      </w:r>
    </w:p>
    <w:p w14:paraId="3E5E5BA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يبدأ هذا القسم المتعلق بالفتح بإعادة ذكر وصية الله لإسرائيل بدخول الأرض وامتلاكها.  ومن شأن إعادة التوكيد على إعطاء الأرض لإسرائيل أن توضح أن فشل إسرائيل سابقاً لم يلغِ خطة يهوه.  غير أن الفكرة الرئيسية موجودة في الآية 8: لماذا يتوجب على الشعب أن يأخذوا الأرض؟ الجواب </w:t>
      </w:r>
      <w:r w:rsidRPr="00070B6E">
        <w:rPr>
          <w:rFonts w:eastAsia="Times New Roman" w:cs="DecoType Naskh"/>
          <w:color w:val="auto"/>
          <w:kern w:val="0"/>
          <w:szCs w:val="26"/>
          <w:rtl/>
          <w:lang w:bidi="ar-JO"/>
          <w14:ligatures w14:val="none"/>
        </w:rPr>
        <w:t>–</w:t>
      </w:r>
      <w:r w:rsidRPr="00070B6E">
        <w:rPr>
          <w:rFonts w:eastAsia="Times New Roman" w:cs="DecoType Naskh" w:hint="cs"/>
          <w:color w:val="auto"/>
          <w:kern w:val="0"/>
          <w:szCs w:val="26"/>
          <w:rtl/>
          <w:lang w:bidi="ar-JO"/>
          <w14:ligatures w14:val="none"/>
        </w:rPr>
        <w:t xml:space="preserve"> ما زال الله يتعامل معهم على أساس العهد الإبراهيمي.</w:t>
      </w:r>
    </w:p>
    <w:p w14:paraId="44EFBE0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3C593B7A" w14:textId="77777777" w:rsidR="00070B6E" w:rsidRPr="00070B6E" w:rsidRDefault="00070B6E" w:rsidP="002D6C54">
      <w:pPr>
        <w:tabs>
          <w:tab w:val="left" w:pos="454"/>
        </w:tabs>
        <w:bidi/>
        <w:spacing w:after="60" w:line="240" w:lineRule="auto"/>
        <w:ind w:righ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ب.</w:t>
      </w:r>
      <w:r w:rsidRPr="00070B6E">
        <w:rPr>
          <w:rFonts w:eastAsia="Times New Roman" w:cs="DecoType Naskh" w:hint="cs"/>
          <w:bCs/>
          <w:color w:val="auto"/>
          <w:kern w:val="0"/>
          <w:szCs w:val="26"/>
          <w:rtl/>
          <w14:ligatures w14:val="none"/>
        </w:rPr>
        <w:tab/>
        <w:t>المثال السلبي لما حدث في قادش (1: 9-46)</w:t>
      </w:r>
    </w:p>
    <w:p w14:paraId="464B8E9D" w14:textId="35DF9F69"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يبدأ هذا القسم بذكر تفويض السلطة من أجل مساعدة موسى.  ولقد كان هذا ضرورياً بسبب عبء الشعب </w:t>
      </w:r>
      <w:r w:rsidRPr="00070B6E">
        <w:rPr>
          <w:rFonts w:eastAsia="Times New Roman" w:cs="DecoType Naskh" w:hint="cs"/>
          <w:color w:val="auto"/>
          <w:kern w:val="0"/>
          <w:szCs w:val="26"/>
          <w:u w:val="single"/>
          <w:rtl/>
          <w:lang w:bidi="ar-JO"/>
          <w14:ligatures w14:val="none"/>
        </w:rPr>
        <w:t>و</w:t>
      </w:r>
      <w:r w:rsidRPr="00070B6E">
        <w:rPr>
          <w:rFonts w:eastAsia="Times New Roman" w:cs="DecoType Naskh" w:hint="cs"/>
          <w:color w:val="auto"/>
          <w:kern w:val="0"/>
          <w:szCs w:val="26"/>
          <w:u w:val="single"/>
          <w:rtl/>
          <w14:ligatures w14:val="none"/>
        </w:rPr>
        <w:t>م</w:t>
      </w:r>
      <w:r w:rsidRPr="00070B6E">
        <w:rPr>
          <w:rFonts w:eastAsia="Times New Roman" w:cs="DecoType Naskh" w:hint="cs"/>
          <w:color w:val="auto"/>
          <w:kern w:val="0"/>
          <w:szCs w:val="26"/>
          <w:u w:val="single"/>
          <w:rtl/>
          <w:lang w:bidi="ar-JO"/>
          <w14:ligatures w14:val="none"/>
        </w:rPr>
        <w:t>خ</w:t>
      </w:r>
      <w:r w:rsidRPr="00070B6E">
        <w:rPr>
          <w:rFonts w:eastAsia="Times New Roman" w:cs="DecoType Naskh" w:hint="cs"/>
          <w:color w:val="auto"/>
          <w:kern w:val="0"/>
          <w:szCs w:val="26"/>
          <w:u w:val="single"/>
          <w:rtl/>
          <w14:ligatures w14:val="none"/>
        </w:rPr>
        <w:t>ا</w:t>
      </w:r>
      <w:r w:rsidRPr="00070B6E">
        <w:rPr>
          <w:rFonts w:eastAsia="Times New Roman" w:cs="DecoType Naskh" w:hint="cs"/>
          <w:color w:val="auto"/>
          <w:kern w:val="0"/>
          <w:szCs w:val="26"/>
          <w:u w:val="single"/>
          <w:rtl/>
          <w:lang w:bidi="ar-JO"/>
          <w14:ligatures w14:val="none"/>
        </w:rPr>
        <w:t>صماتهم</w:t>
      </w:r>
      <w:r w:rsidRPr="00070B6E">
        <w:rPr>
          <w:rFonts w:eastAsia="Times New Roman" w:cs="DecoType Naskh" w:hint="cs"/>
          <w:color w:val="auto"/>
          <w:kern w:val="0"/>
          <w:szCs w:val="26"/>
          <w:rtl/>
          <w:lang w:bidi="ar-JO"/>
          <w14:ligatures w14:val="none"/>
        </w:rPr>
        <w:t xml:space="preserve"> (1: 12).  وتشكّل هذه الفكرة تمهيداً لقادش برْنيع: حيث يتبين أن التمرد وعدم الإيمان اللذين وصلا ذروتهما في قادش كانت لهما جذور في سلوك الناس منذ البد</w:t>
      </w:r>
      <w:r w:rsidRPr="00070B6E">
        <w:rPr>
          <w:rFonts w:eastAsia="Times New Roman" w:cs="DecoType Naskh" w:hint="cs"/>
          <w:color w:val="auto"/>
          <w:kern w:val="0"/>
          <w:szCs w:val="26"/>
          <w:rtl/>
          <w14:ligatures w14:val="none"/>
        </w:rPr>
        <w:t>ا</w:t>
      </w:r>
      <w:r w:rsidRPr="00070B6E">
        <w:rPr>
          <w:rFonts w:eastAsia="Times New Roman" w:cs="DecoType Naskh" w:hint="cs"/>
          <w:color w:val="auto"/>
          <w:kern w:val="0"/>
          <w:szCs w:val="26"/>
          <w:rtl/>
          <w:lang w:bidi="ar-JO"/>
          <w14:ligatures w14:val="none"/>
        </w:rPr>
        <w:t>ية في حوريب.  ولم يكن في مقدور أفضل إدارة موجودة أن تغيّر من هذه الحقيقة.</w:t>
      </w:r>
    </w:p>
    <w:p w14:paraId="5BAAE7F6"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4691BAC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يتركّز باقي الأصحاح (19- 46) بشكل مباشر على أحداث قادش:</w:t>
      </w:r>
    </w:p>
    <w:p w14:paraId="5FB7728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1: 19-25</w:t>
      </w:r>
      <w:r w:rsidRPr="00070B6E">
        <w:rPr>
          <w:rFonts w:eastAsia="Times New Roman" w:cs="DecoType Naskh" w:hint="cs"/>
          <w:color w:val="auto"/>
          <w:kern w:val="0"/>
          <w:szCs w:val="26"/>
          <w:rtl/>
          <w:lang w:bidi="ar-JO"/>
          <w14:ligatures w14:val="none"/>
        </w:rPr>
        <w:tab/>
        <w:t>قرار إرسال الجواسيس</w:t>
      </w:r>
    </w:p>
    <w:p w14:paraId="1BB0B5A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1: 26-33</w:t>
      </w:r>
      <w:r w:rsidRPr="00070B6E">
        <w:rPr>
          <w:rFonts w:eastAsia="Times New Roman" w:cs="DecoType Naskh" w:hint="cs"/>
          <w:color w:val="auto"/>
          <w:kern w:val="0"/>
          <w:szCs w:val="26"/>
          <w:rtl/>
          <w:lang w:bidi="ar-JO"/>
          <w14:ligatures w14:val="none"/>
        </w:rPr>
        <w:tab/>
        <w:t xml:space="preserve">تمرّد إسرائيل وعدم إيمانهم </w:t>
      </w:r>
    </w:p>
    <w:p w14:paraId="65349124"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1: 34-40</w:t>
      </w:r>
      <w:r w:rsidRPr="00070B6E">
        <w:rPr>
          <w:rFonts w:eastAsia="Times New Roman" w:cs="DecoType Naskh" w:hint="cs"/>
          <w:color w:val="auto"/>
          <w:kern w:val="0"/>
          <w:szCs w:val="26"/>
          <w:rtl/>
          <w:lang w:bidi="ar-JO"/>
          <w14:ligatures w14:val="none"/>
        </w:rPr>
        <w:tab/>
        <w:t>استجابة يهوه بتحريم دخول الأرض</w:t>
      </w:r>
    </w:p>
    <w:p w14:paraId="2CB10000"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1: 41-46</w:t>
      </w:r>
      <w:r w:rsidRPr="00070B6E">
        <w:rPr>
          <w:rFonts w:eastAsia="Times New Roman" w:cs="DecoType Naskh" w:hint="cs"/>
          <w:color w:val="auto"/>
          <w:kern w:val="0"/>
          <w:szCs w:val="26"/>
          <w:rtl/>
          <w:lang w:bidi="ar-JO"/>
          <w14:ligatures w14:val="none"/>
        </w:rPr>
        <w:tab/>
        <w:t xml:space="preserve">عمل عصيان وقح للاستيلاء على الأرض دون موافقة الرب </w:t>
      </w:r>
    </w:p>
    <w:p w14:paraId="1D59C563"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17F62216"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احتاج الجيل الحالي إلى أن يذكَّر كيف أن التمرّد على الرب كان سبب سقوط الجيل الأول قبل التوجه إلى الأرض مرة أخرى.  كان تصرّفهم في قادش هو التمرّد، وهو إهانة لمحبة الله لهم، وتعبيراً عن عدم الثقة به بالرغم من إثباته لأمانته ووفائه.</w:t>
      </w:r>
    </w:p>
    <w:p w14:paraId="5886658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lastRenderedPageBreak/>
        <w:t>ا: 26-</w:t>
      </w:r>
      <w:r w:rsidRPr="00070B6E">
        <w:rPr>
          <w:rFonts w:eastAsia="Times New Roman" w:cs="DecoType Naskh" w:hint="cs"/>
          <w:color w:val="auto"/>
          <w:kern w:val="0"/>
          <w:szCs w:val="26"/>
          <w:rtl/>
          <w:lang w:bidi="ar-JO"/>
          <w14:ligatures w14:val="none"/>
        </w:rPr>
        <w:tab/>
      </w:r>
      <w:r w:rsidRPr="00070B6E">
        <w:rPr>
          <w:rFonts w:eastAsia="Times New Roman" w:cs="DecoType Naskh" w:hint="cs"/>
          <w:color w:val="auto"/>
          <w:kern w:val="0"/>
          <w:szCs w:val="26"/>
          <w:rtl/>
          <w:lang w:bidi="ar-JO"/>
          <w14:ligatures w14:val="none"/>
        </w:rPr>
        <w:tab/>
      </w:r>
      <w:r w:rsidRPr="00070B6E">
        <w:rPr>
          <w:rFonts w:eastAsia="Times New Roman" w:cs="DecoType Naskh" w:hint="cs"/>
          <w:color w:val="auto"/>
          <w:kern w:val="0"/>
          <w:szCs w:val="26"/>
          <w:rtl/>
          <w:lang w:bidi="ar-JO"/>
          <w14:ligatures w14:val="none"/>
        </w:rPr>
        <w:tab/>
        <w:t xml:space="preserve">لكنكم </w:t>
      </w:r>
      <w:r w:rsidRPr="00070B6E">
        <w:rPr>
          <w:rFonts w:eastAsia="Times New Roman" w:cs="DecoType Naskh" w:hint="cs"/>
          <w:color w:val="auto"/>
          <w:kern w:val="0"/>
          <w:szCs w:val="26"/>
          <w:u w:val="single"/>
          <w:rtl/>
          <w:lang w:bidi="ar-JO"/>
          <w14:ligatures w14:val="none"/>
        </w:rPr>
        <w:t>لم تشاءوا</w:t>
      </w:r>
      <w:r w:rsidRPr="00070B6E">
        <w:rPr>
          <w:rFonts w:eastAsia="Times New Roman" w:cs="DecoType Naskh" w:hint="cs"/>
          <w:color w:val="auto"/>
          <w:kern w:val="0"/>
          <w:szCs w:val="26"/>
          <w:rtl/>
          <w:lang w:bidi="ar-JO"/>
          <w14:ligatures w14:val="none"/>
        </w:rPr>
        <w:t xml:space="preserve">  أن تصعدوا، وعصيتم قول الرب إلهكم.</w:t>
      </w:r>
    </w:p>
    <w:p w14:paraId="36F1ED7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1: 27-</w:t>
      </w:r>
      <w:r w:rsidRPr="00070B6E">
        <w:rPr>
          <w:rFonts w:eastAsia="Times New Roman" w:cs="DecoType Naskh" w:hint="cs"/>
          <w:color w:val="auto"/>
          <w:kern w:val="0"/>
          <w:szCs w:val="26"/>
          <w:rtl/>
          <w:lang w:bidi="ar-JO"/>
          <w14:ligatures w14:val="none"/>
        </w:rPr>
        <w:tab/>
      </w:r>
      <w:r w:rsidRPr="00070B6E">
        <w:rPr>
          <w:rFonts w:eastAsia="Times New Roman" w:cs="DecoType Naskh" w:hint="cs"/>
          <w:color w:val="auto"/>
          <w:kern w:val="0"/>
          <w:szCs w:val="26"/>
          <w:rtl/>
          <w:lang w:bidi="ar-JO"/>
          <w14:ligatures w14:val="none"/>
        </w:rPr>
        <w:tab/>
        <w:t xml:space="preserve">قلتم: الرب بسبب </w:t>
      </w:r>
      <w:r w:rsidRPr="00070B6E">
        <w:rPr>
          <w:rFonts w:eastAsia="Times New Roman" w:cs="DecoType Naskh" w:hint="cs"/>
          <w:color w:val="auto"/>
          <w:kern w:val="0"/>
          <w:szCs w:val="26"/>
          <w:u w:val="single"/>
          <w:rtl/>
          <w:lang w:bidi="ar-JO"/>
          <w14:ligatures w14:val="none"/>
        </w:rPr>
        <w:t>بُغضه</w:t>
      </w:r>
      <w:r w:rsidRPr="00070B6E">
        <w:rPr>
          <w:rFonts w:eastAsia="Times New Roman" w:cs="DecoType Naskh" w:hint="cs"/>
          <w:color w:val="auto"/>
          <w:kern w:val="0"/>
          <w:szCs w:val="26"/>
          <w:rtl/>
          <w:lang w:bidi="ar-JO"/>
          <w14:ligatures w14:val="none"/>
        </w:rPr>
        <w:t xml:space="preserve"> لنا...</w:t>
      </w:r>
    </w:p>
    <w:p w14:paraId="7A2EFC7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1571" w:hanging="550"/>
        <w:jc w:val="both"/>
        <w:rPr>
          <w:rFonts w:eastAsia="Times New Roman" w:cs="DecoType Naskh"/>
          <w:color w:val="auto"/>
          <w:kern w:val="0"/>
          <w:szCs w:val="26"/>
          <w:rtl/>
          <w:lang w:bidi="ar-JO"/>
          <w14:ligatures w14:val="none"/>
        </w:rPr>
      </w:pPr>
      <w:r w:rsidRPr="00070B6E">
        <w:rPr>
          <w:rFonts w:eastAsia="Times New Roman" w:cs="DecoType Naskh" w:hint="cs"/>
          <w:i/>
          <w:iCs/>
          <w:color w:val="auto"/>
          <w:kern w:val="0"/>
          <w:szCs w:val="26"/>
          <w:rtl/>
          <w:lang w:bidi="ar-JO"/>
          <w14:ligatures w14:val="none"/>
        </w:rPr>
        <w:t>1: 32-</w:t>
      </w:r>
      <w:r w:rsidRPr="00070B6E">
        <w:rPr>
          <w:rFonts w:eastAsia="Times New Roman" w:cs="DecoType Naskh" w:hint="cs"/>
          <w:i/>
          <w:iCs/>
          <w:color w:val="auto"/>
          <w:kern w:val="0"/>
          <w:szCs w:val="26"/>
          <w:rtl/>
          <w:lang w:bidi="ar-JO"/>
          <w14:ligatures w14:val="none"/>
        </w:rPr>
        <w:tab/>
      </w:r>
      <w:r w:rsidRPr="00070B6E">
        <w:rPr>
          <w:rFonts w:eastAsia="Times New Roman" w:cs="DecoType Naskh" w:hint="cs"/>
          <w:i/>
          <w:iCs/>
          <w:color w:val="auto"/>
          <w:kern w:val="0"/>
          <w:szCs w:val="26"/>
          <w:rtl/>
          <w:lang w:bidi="ar-JO"/>
          <w14:ligatures w14:val="none"/>
        </w:rPr>
        <w:tab/>
        <w:t xml:space="preserve">"ولكن في هذا الأمر لستم </w:t>
      </w:r>
      <w:r w:rsidRPr="00070B6E">
        <w:rPr>
          <w:rFonts w:eastAsia="Times New Roman" w:cs="DecoType Naskh" w:hint="cs"/>
          <w:i/>
          <w:iCs/>
          <w:color w:val="auto"/>
          <w:kern w:val="0"/>
          <w:szCs w:val="26"/>
          <w:u w:val="single"/>
          <w:rtl/>
          <w:lang w:bidi="ar-JO"/>
          <w14:ligatures w14:val="none"/>
        </w:rPr>
        <w:t>واثقين</w:t>
      </w:r>
      <w:r w:rsidRPr="00070B6E">
        <w:rPr>
          <w:rFonts w:eastAsia="Times New Roman" w:cs="DecoType Naskh" w:hint="cs"/>
          <w:i/>
          <w:iCs/>
          <w:color w:val="auto"/>
          <w:kern w:val="0"/>
          <w:szCs w:val="26"/>
          <w:rtl/>
          <w:lang w:bidi="ar-JO"/>
          <w14:ligatures w14:val="none"/>
        </w:rPr>
        <w:t xml:space="preserve"> بالرب إلهكم"،</w:t>
      </w:r>
      <w:r w:rsidRPr="00070B6E">
        <w:rPr>
          <w:rFonts w:eastAsia="Times New Roman" w:cs="DecoType Naskh" w:hint="cs"/>
          <w:color w:val="auto"/>
          <w:kern w:val="0"/>
          <w:szCs w:val="26"/>
          <w:rtl/>
          <w:lang w:bidi="ar-JO"/>
          <w14:ligatures w14:val="none"/>
        </w:rPr>
        <w:t xml:space="preserve"> وفي ترجمة أخرى "في كل هذه الأمور لم تثقوا بالرب إلهكم."</w:t>
      </w:r>
    </w:p>
    <w:p w14:paraId="77992B96"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4A2A1426"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استجاب الرب لتمرّدهم بالغضب.  وكان الرب قد انتظر لعدّة سنوات فرصة التقدم ببرنامجه الإلهي الذي بدأه بإبراهيم.  والآن صار لديه شعب أعطاه دستوراً؛ وإن ترك الأمة ليهوه هو خيانة.  وهذا مستحق للتأديب العادل:</w:t>
      </w:r>
    </w:p>
    <w:p w14:paraId="4B53DCFB"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2160" w:right="2160" w:hanging="1139"/>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1: 35-</w:t>
      </w:r>
      <w:r w:rsidRPr="00070B6E">
        <w:rPr>
          <w:rFonts w:eastAsia="Times New Roman" w:cs="DecoType Naskh" w:hint="cs"/>
          <w:color w:val="auto"/>
          <w:kern w:val="0"/>
          <w:szCs w:val="26"/>
          <w:rtl/>
          <w:lang w:bidi="ar-JO"/>
          <w14:ligatures w14:val="none"/>
        </w:rPr>
        <w:tab/>
      </w:r>
      <w:r w:rsidRPr="00070B6E">
        <w:rPr>
          <w:rFonts w:eastAsia="Times New Roman" w:cs="DecoType Naskh" w:hint="cs"/>
          <w:color w:val="auto"/>
          <w:kern w:val="0"/>
          <w:szCs w:val="26"/>
          <w:rtl/>
          <w:lang w:bidi="ar-JO"/>
          <w14:ligatures w14:val="none"/>
        </w:rPr>
        <w:tab/>
        <w:t xml:space="preserve">لن يرى إنسان من هؤلاء الناس </w:t>
      </w:r>
      <w:r w:rsidRPr="00070B6E">
        <w:rPr>
          <w:rFonts w:eastAsia="Times New Roman" w:cs="DecoType Naskh"/>
          <w:color w:val="auto"/>
          <w:kern w:val="0"/>
          <w:szCs w:val="26"/>
          <w:rtl/>
          <w:lang w:bidi="ar-JO"/>
          <w14:ligatures w14:val="none"/>
        </w:rPr>
        <w:t>–</w:t>
      </w:r>
      <w:r w:rsidRPr="00070B6E">
        <w:rPr>
          <w:rFonts w:eastAsia="Times New Roman" w:cs="DecoType Naskh" w:hint="cs"/>
          <w:color w:val="auto"/>
          <w:kern w:val="0"/>
          <w:szCs w:val="26"/>
          <w:rtl/>
          <w:lang w:bidi="ar-JO"/>
          <w14:ligatures w14:val="none"/>
        </w:rPr>
        <w:t xml:space="preserve"> من </w:t>
      </w:r>
      <w:r w:rsidRPr="00070B6E">
        <w:rPr>
          <w:rFonts w:eastAsia="Times New Roman" w:cs="DecoType Naskh" w:hint="cs"/>
          <w:color w:val="auto"/>
          <w:kern w:val="0"/>
          <w:szCs w:val="26"/>
          <w:u w:val="single"/>
          <w:rtl/>
          <w:lang w:bidi="ar-JO"/>
          <w14:ligatures w14:val="none"/>
        </w:rPr>
        <w:t>هذا الجيل الشرير</w:t>
      </w:r>
      <w:r w:rsidRPr="00070B6E">
        <w:rPr>
          <w:rFonts w:eastAsia="Times New Roman" w:cs="DecoType Naskh" w:hint="cs"/>
          <w:color w:val="auto"/>
          <w:kern w:val="0"/>
          <w:szCs w:val="26"/>
          <w:rtl/>
          <w:lang w:bidi="ar-JO"/>
          <w14:ligatures w14:val="none"/>
        </w:rPr>
        <w:t xml:space="preserve"> </w:t>
      </w:r>
      <w:r w:rsidRPr="00070B6E">
        <w:rPr>
          <w:rFonts w:eastAsia="Times New Roman" w:cs="DecoType Naskh"/>
          <w:color w:val="auto"/>
          <w:kern w:val="0"/>
          <w:szCs w:val="26"/>
          <w:rtl/>
          <w:lang w:bidi="ar-JO"/>
          <w14:ligatures w14:val="none"/>
        </w:rPr>
        <w:t>–</w:t>
      </w:r>
      <w:r w:rsidRPr="00070B6E">
        <w:rPr>
          <w:rFonts w:eastAsia="Times New Roman" w:cs="DecoType Naskh" w:hint="cs"/>
          <w:color w:val="auto"/>
          <w:kern w:val="0"/>
          <w:szCs w:val="26"/>
          <w:rtl/>
          <w:lang w:bidi="ar-JO"/>
          <w14:ligatures w14:val="none"/>
        </w:rPr>
        <w:t xml:space="preserve"> الأرض الجيدة التي أقسمت أن أعطيها لآبائكم، ما عدا كالب...  ويشوع."</w:t>
      </w:r>
    </w:p>
    <w:p w14:paraId="6B516797"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إن إعلان التأديب أمر ذو دلالة.  فالرب لا ينبذ الأمّة إلى الأبد من برنامجه؛ فقد خسر ذلك الجيل بالذات الامتياز الذي كان في إمكانهم أن ينالوه.  وحتى الآن، لم توضع إسرائيل بشكل كلّي خارج برنامج الله.  إذ سيحقق الله مستقبلاً كل وعوده لإسرائيل.  وستكون للعهد مع إبراهيم تطبيقاته.  فالكنيسة (التي وُلدت في يوم الخمسين) لم تحل محل إسرائيل.  إن إسرائيل الآن </w:t>
      </w:r>
      <w:r w:rsidRPr="00070B6E">
        <w:rPr>
          <w:rFonts w:eastAsia="Times New Roman" w:cs="DecoType Naskh" w:hint="cs"/>
          <w:color w:val="auto"/>
          <w:kern w:val="0"/>
          <w:szCs w:val="26"/>
          <w:u w:val="single"/>
          <w:rtl/>
          <w:lang w:bidi="ar-JO"/>
          <w14:ligatures w14:val="none"/>
        </w:rPr>
        <w:t>تحت التأديب</w:t>
      </w:r>
      <w:r w:rsidRPr="00070B6E">
        <w:rPr>
          <w:rFonts w:eastAsia="Times New Roman" w:cs="DecoType Naskh" w:hint="cs"/>
          <w:color w:val="auto"/>
          <w:kern w:val="0"/>
          <w:szCs w:val="26"/>
          <w:rtl/>
          <w:lang w:bidi="ar-JO"/>
          <w14:ligatures w14:val="none"/>
        </w:rPr>
        <w:t>، والكنيسة هي النقطة المركزية لنشاط (عمل) الله الفدائي.  لكن سيكون هنالك جيل في إسرائيل مستقبلاً سيُرد إلى الله وسيحقق الله من خلاله وعوده لإسرائيل.</w:t>
      </w:r>
    </w:p>
    <w:p w14:paraId="2D0006F7"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7517F5FD" w14:textId="77777777" w:rsidR="00070B6E" w:rsidRPr="00070B6E" w:rsidRDefault="00070B6E" w:rsidP="002D6C54">
      <w:pPr>
        <w:tabs>
          <w:tab w:val="left" w:pos="454"/>
        </w:tabs>
        <w:bidi/>
        <w:spacing w:after="60" w:line="240" w:lineRule="auto"/>
        <w:ind w:righ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هـ.</w:t>
      </w:r>
      <w:r w:rsidRPr="00070B6E">
        <w:rPr>
          <w:rFonts w:eastAsia="Times New Roman" w:cs="DecoType Naskh" w:hint="cs"/>
          <w:bCs/>
          <w:color w:val="auto"/>
          <w:kern w:val="0"/>
          <w:szCs w:val="26"/>
          <w:rtl/>
          <w14:ligatures w14:val="none"/>
        </w:rPr>
        <w:tab/>
        <w:t xml:space="preserve">المثال الإيجابي </w:t>
      </w:r>
      <w:r w:rsidRPr="00070B6E">
        <w:rPr>
          <w:rFonts w:eastAsia="Times New Roman" w:cs="DecoType Naskh"/>
          <w:bCs/>
          <w:color w:val="auto"/>
          <w:kern w:val="0"/>
          <w:szCs w:val="26"/>
          <w:rtl/>
          <w14:ligatures w14:val="none"/>
        </w:rPr>
        <w:t>–</w:t>
      </w:r>
      <w:r w:rsidRPr="00070B6E">
        <w:rPr>
          <w:rFonts w:eastAsia="Times New Roman" w:cs="DecoType Naskh" w:hint="cs"/>
          <w:bCs/>
          <w:color w:val="auto"/>
          <w:kern w:val="0"/>
          <w:szCs w:val="26"/>
          <w:rtl/>
          <w14:ligatures w14:val="none"/>
        </w:rPr>
        <w:t xml:space="preserve"> النجاح العسكري (2: 1-3: 17)</w:t>
      </w:r>
    </w:p>
    <w:p w14:paraId="3344D6F5"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لا يجب أن يحرص الجيل الجديد على عدم تكرار الخطأ الفاضح في قادش فحسب، لكن يجب عليهم أيضاً أن يتحلّوا بالشجاعة، حيث إن الله أظهر لهم قوّته وانتصاره على الأعداء.  فهم غير مطالبين بالانطلاق وفتح بلاد الكنعانيين بإيمان أعمى.  ففي الأشهر القليلة الأخيرة فقط هزموا مملكتي سيحون ملك حشبون (الأموريين) وعوج ملك باشان.  وقد هدف هذا إلى أن يتأكدوا أن الله سيمدهم بعون إلهي ويمكنّهم من هزيمة سكان الأرض:</w:t>
      </w:r>
    </w:p>
    <w:p w14:paraId="72F74C25"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1021"/>
        <w:jc w:val="both"/>
        <w:rPr>
          <w:rFonts w:eastAsia="Times New Roman" w:cs="DecoType Naskh"/>
          <w:color w:val="auto"/>
          <w:kern w:val="0"/>
          <w:szCs w:val="26"/>
          <w:rtl/>
          <w14:ligatures w14:val="none"/>
        </w:rPr>
      </w:pPr>
      <w:r w:rsidRPr="00070B6E">
        <w:rPr>
          <w:rFonts w:eastAsia="Times New Roman" w:cs="DecoType Naskh" w:hint="cs"/>
          <w:color w:val="auto"/>
          <w:kern w:val="0"/>
          <w:szCs w:val="26"/>
          <w:rtl/>
          <w:lang w:bidi="ar-JO"/>
          <w14:ligatures w14:val="none"/>
        </w:rPr>
        <w:t>وأمرتُ يشوع في ذلك الوقت قائلاً: "عيناكَ قد أبصرتا كل ما فعل الرب إلهكم بهذين الملكين.  هكذا يفعل الرب بجميع الممالك التي أنت عابر إليها.  لا تخافوا منهم، لأن الرب إلهكم هو المحارب عنكم" (تثنية 3: 21-22).</w:t>
      </w:r>
    </w:p>
    <w:p w14:paraId="14310ACD"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1588"/>
        <w:jc w:val="both"/>
        <w:rPr>
          <w:rFonts w:eastAsia="Times New Roman" w:cs="DecoType Naskh"/>
          <w:color w:val="auto"/>
          <w:kern w:val="0"/>
          <w:szCs w:val="26"/>
          <w:rtl/>
          <w14:ligatures w14:val="none"/>
        </w:rPr>
      </w:pPr>
    </w:p>
    <w:p w14:paraId="3878088E"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5.</w:t>
      </w:r>
      <w:r w:rsidRPr="00070B6E">
        <w:rPr>
          <w:rFonts w:eastAsia="Times New Roman" w:cs="DecoType Naskh" w:hint="cs"/>
          <w:bCs/>
          <w:color w:val="auto"/>
          <w:kern w:val="0"/>
          <w:szCs w:val="28"/>
          <w:rtl/>
          <w:lang w:bidi="ar-JO"/>
          <w14:ligatures w14:val="none"/>
        </w:rPr>
        <w:tab/>
        <w:t>تحفيز على الطاعة في الأرض (4: 1-40)</w:t>
      </w:r>
    </w:p>
    <w:p w14:paraId="6FECFE4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تتوقع مادة الأصحاح الرابع أن تذهب إسرائيل وتفتح الأرض.  لكن وماذا بعد ذلك؟ إن من الواضح أن الله يعرّفهم بأن الطاعة شرط مسبق للبركة!</w:t>
      </w:r>
    </w:p>
    <w:p w14:paraId="71E31F8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313DCAD3" w14:textId="77777777" w:rsidR="00070B6E" w:rsidRPr="00070B6E" w:rsidRDefault="00070B6E" w:rsidP="002D6C54">
      <w:pPr>
        <w:tabs>
          <w:tab w:val="left" w:pos="454"/>
        </w:tabs>
        <w:bidi/>
        <w:spacing w:after="60" w:line="240" w:lineRule="auto"/>
        <w:ind w:righ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أ.</w:t>
      </w:r>
      <w:r w:rsidRPr="00070B6E">
        <w:rPr>
          <w:rFonts w:eastAsia="Times New Roman" w:cs="DecoType Naskh" w:hint="cs"/>
          <w:bCs/>
          <w:color w:val="auto"/>
          <w:kern w:val="0"/>
          <w:szCs w:val="26"/>
          <w:rtl/>
          <w14:ligatures w14:val="none"/>
        </w:rPr>
        <w:tab/>
        <w:t>تحريض على الطاعة (4: 1-8)</w:t>
      </w:r>
    </w:p>
    <w:p w14:paraId="2A9AC477"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يبدأ الأصحاح الرابع بحث على طاعة يهوه، يتبعه أربعة أسباب لعمل ذلك. أولاً، إن الطاعة هي الطريق إلى "الحياة"، أي إلى اختبار بركة يهوه (4: 1).  ثانياً، سيُسفر العصيان عن التأديب كما في حالة بعل فغور (4: 3).  ثالثاً، ستراقب الأمم الأخرى إسرائيل عن كثب، خاصّة في ضوء الطريقة الباهرة التي امتلكوا بها كنعان (تقاطع طرق العالم القديم).  وإن من شأن اتّباع إسرائيل ليهوه أن يسمها كشعب حكيم فَطِن، وسيجذب هذا انتباه الأمم الأخرى، معطياً إياها بهذا فرصة سماع شهادتهم عن يهوه (4: 6).  رابعاً، أعطيت إسرائيل فرصة فريدة وسط الأمم! "لأنه أي شعب هو عظيم له آلهة قريبة منه كالرب إلهنا في كل أدعيتنا إليه؟" (4: 7).</w:t>
      </w:r>
    </w:p>
    <w:p w14:paraId="0E6FCB7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71DD83F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5A1BD472" w14:textId="77777777" w:rsidR="00070B6E" w:rsidRPr="00070B6E" w:rsidRDefault="00070B6E" w:rsidP="002D6C54">
      <w:pPr>
        <w:tabs>
          <w:tab w:val="left" w:pos="454"/>
        </w:tabs>
        <w:bidi/>
        <w:spacing w:after="60" w:line="240" w:lineRule="auto"/>
        <w:ind w:righ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ب.</w:t>
      </w:r>
      <w:r w:rsidRPr="00070B6E">
        <w:rPr>
          <w:rFonts w:eastAsia="Times New Roman" w:cs="DecoType Naskh" w:hint="cs"/>
          <w:bCs/>
          <w:color w:val="auto"/>
          <w:kern w:val="0"/>
          <w:szCs w:val="26"/>
          <w:rtl/>
          <w14:ligatures w14:val="none"/>
        </w:rPr>
        <w:tab/>
        <w:t>التحريض على عدم النسيان (4: 9-14)</w:t>
      </w:r>
    </w:p>
    <w:p w14:paraId="78B20B3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سيكون الميل إلى النسيان أحد أسوأ أعداء إسرائيل الذين ستواجههم إسرائيل عندما تستقر في الأرض.  فعلى الرغم من قيام يهوه بمعجزات عجيبة بينهم، إلاّ أنهم كانوا مهددين بخطر نسيان هذه الأمور وتركها تتسرب من </w:t>
      </w:r>
      <w:r w:rsidRPr="00070B6E">
        <w:rPr>
          <w:rFonts w:eastAsia="Times New Roman" w:cs="DecoType Naskh" w:hint="cs"/>
          <w:color w:val="auto"/>
          <w:kern w:val="0"/>
          <w:szCs w:val="26"/>
          <w:rtl/>
          <w:lang w:bidi="ar-JO"/>
          <w14:ligatures w14:val="none"/>
        </w:rPr>
        <w:lastRenderedPageBreak/>
        <w:t>قلوبهم (4: 9).  ولهذا يجب أن يحترسوا وأن ينتبهوا لأنفسهم عن كثب، لأن لديهم مسؤولية في نقل إيمانهم إلى أبنائهم.</w:t>
      </w:r>
    </w:p>
    <w:p w14:paraId="6165ACE6" w14:textId="77777777" w:rsidR="00070B6E" w:rsidRPr="00070B6E" w:rsidRDefault="00070B6E" w:rsidP="002D6C54">
      <w:pPr>
        <w:tabs>
          <w:tab w:val="left" w:pos="454"/>
        </w:tabs>
        <w:bidi/>
        <w:spacing w:after="60" w:line="240" w:lineRule="auto"/>
        <w:ind w:righ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جـ.</w:t>
      </w:r>
      <w:r w:rsidRPr="00070B6E">
        <w:rPr>
          <w:rFonts w:eastAsia="Times New Roman" w:cs="DecoType Naskh" w:hint="cs"/>
          <w:bCs/>
          <w:color w:val="auto"/>
          <w:kern w:val="0"/>
          <w:szCs w:val="26"/>
          <w:rtl/>
          <w14:ligatures w14:val="none"/>
        </w:rPr>
        <w:tab/>
        <w:t>التحريض على تجنّب عبادة الأصنام (4: 15-24)</w:t>
      </w:r>
    </w:p>
    <w:p w14:paraId="14A6E513"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 الله غيور جدّاً على مجده ولن يشاركه مع أحد آخر.  ولهذا يجب أن يتجنّب شعبه العبادة الوثنية مهما كلّفه الأمر.  هذه وصيّة هامّة جدّاً لأن بني إسرائيل كانوا على وشك دخول أرض مشبعة بكل أشكال عبادة الأصنام.  وقد واجهتهم من كل ناحية إغراءات بالاشتراك في الممارسات اليومية للكنعانيين.  فهل سيؤثر الكنعانيون في إسرائيل؟ لم تنجح أمة إسرائيل بعد في تجنّب عبادة الأصنام.  فقد صنع جيل الخروج تحت سلطة هارون العجل الذهبي، وقد قدّم الجيل الجديد ذبائح لآلهة الموآبيين وعبدوها في بعل فغور (سفر العدد 25).  وفي هذا القسم يذكر موسى خطيّته الشخصية عندما ضرب الصخرة.  وقد سلبت هذه الخطية، مثلها في ذلك مثل عبادة الأصنام، الله مجده.</w:t>
      </w:r>
    </w:p>
    <w:p w14:paraId="61AEC47F" w14:textId="77777777" w:rsidR="00070B6E" w:rsidRPr="00070B6E" w:rsidRDefault="00070B6E" w:rsidP="002D6C54">
      <w:pPr>
        <w:tabs>
          <w:tab w:val="left" w:pos="454"/>
        </w:tabs>
        <w:bidi/>
        <w:spacing w:after="60" w:line="240" w:lineRule="auto"/>
        <w:ind w:righ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د.</w:t>
      </w:r>
      <w:r w:rsidRPr="00070B6E">
        <w:rPr>
          <w:rFonts w:eastAsia="Times New Roman" w:cs="DecoType Naskh" w:hint="cs"/>
          <w:bCs/>
          <w:color w:val="auto"/>
          <w:kern w:val="0"/>
          <w:szCs w:val="26"/>
          <w:rtl/>
          <w14:ligatures w14:val="none"/>
        </w:rPr>
        <w:tab/>
        <w:t>الإنباء بعصيان مستقبلي وسبي (4: 25-31)</w:t>
      </w:r>
    </w:p>
    <w:p w14:paraId="08B517A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هذه فقرة هامة جدّاً، لا على أساس ما تتنبأ به حول سبي إسرائيل فحسب، بل أيضاً بسبب ما تكشفه عن ردِّهم.  ولا يمكن لأحد أن ينكر نبويّة هذه الفقرة؛ لكن تحديد الأحداث بدقّة هو مسألة أخرى يختلف عليها الباحثون.</w:t>
      </w:r>
    </w:p>
    <w:p w14:paraId="265826A6"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إن بنية 4: 25-31 واضحة:</w:t>
      </w:r>
    </w:p>
    <w:p w14:paraId="1ECF79C3"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1.</w:t>
      </w:r>
      <w:r w:rsidRPr="00070B6E">
        <w:rPr>
          <w:rFonts w:eastAsia="Times New Roman" w:cs="DecoType Naskh" w:hint="cs"/>
          <w:color w:val="auto"/>
          <w:kern w:val="0"/>
          <w:szCs w:val="26"/>
          <w:rtl/>
          <w:lang w:bidi="ar-JO"/>
          <w14:ligatures w14:val="none"/>
        </w:rPr>
        <w:tab/>
        <w:t>ارتداد مستقبلي (25)</w:t>
      </w:r>
    </w:p>
    <w:p w14:paraId="187EDDF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2.</w:t>
      </w:r>
      <w:r w:rsidRPr="00070B6E">
        <w:rPr>
          <w:rFonts w:eastAsia="Times New Roman" w:cs="DecoType Naskh" w:hint="cs"/>
          <w:color w:val="auto"/>
          <w:kern w:val="0"/>
          <w:szCs w:val="26"/>
          <w:rtl/>
          <w:lang w:bidi="ar-JO"/>
          <w14:ligatures w14:val="none"/>
        </w:rPr>
        <w:tab/>
        <w:t>تأديب من يهوه (26-28)</w:t>
      </w:r>
    </w:p>
    <w:p w14:paraId="561557EB"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3.</w:t>
      </w:r>
      <w:r w:rsidRPr="00070B6E">
        <w:rPr>
          <w:rFonts w:eastAsia="Times New Roman" w:cs="DecoType Naskh" w:hint="cs"/>
          <w:color w:val="auto"/>
          <w:kern w:val="0"/>
          <w:szCs w:val="26"/>
          <w:rtl/>
          <w:lang w:bidi="ar-JO"/>
          <w14:ligatures w14:val="none"/>
        </w:rPr>
        <w:tab/>
        <w:t>الردّ (29-30)</w:t>
      </w:r>
    </w:p>
    <w:p w14:paraId="0BDAA565"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4.</w:t>
      </w:r>
      <w:r w:rsidRPr="00070B6E">
        <w:rPr>
          <w:rFonts w:eastAsia="Times New Roman" w:cs="DecoType Naskh" w:hint="cs"/>
          <w:color w:val="auto"/>
          <w:kern w:val="0"/>
          <w:szCs w:val="26"/>
          <w:rtl/>
          <w:lang w:bidi="ar-JO"/>
          <w14:ligatures w14:val="none"/>
        </w:rPr>
        <w:tab/>
        <w:t>أساس وفاء الله لإسرائيل (31)</w:t>
      </w:r>
    </w:p>
    <w:p w14:paraId="5E07D10E"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تبدأ الفقرة بتنبيه الأمة إلى الارتداد المستقبلي.  كان موسى قد انتهى لتوّه من تحريض الأمة على عبادة الرب وعدم الوقوع في عبادة الأصنام، فعندئذ فقط سينالون بركة يهوه.  لكنه ينبههم الآن إلى أن الطاعة هي مسؤولية كل جيل.  وفضلاً عن ذلك، فإنه يؤكد لهم أن جيلاً في المستقبل سيبتعد عنه ويرتد.  إن تفصيلات هذا الأمر غامضة، لكنها كافية لتجعل كل جيل يتوقّف ويفكّر: هل سنطيع الرب أم سنكون الجيل الذي سيرتدّ عن الله؟ سيتضمن هذا الارتداد (1) التصرّف الفاسد، (2) عبادة الأصنام، (3) إثارة غضب يهوه بفعل ما هو شر في عينيه.  إن زمن هذا الارتداد غير محدد، لكنه سيحدث على الأقل بعد أن يكونوا قد "أطالوا الزمان في الأرض".  وإن غموض الزمن وطبيعته أمر متعمَّد لكي يتوقّف كل جيل ويفكّر: "هل سنكون نحن ذلك الجيل؟" </w:t>
      </w:r>
    </w:p>
    <w:p w14:paraId="6CEBFD3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345E4634"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لن يسمح يهوه بأن يمر ارتداد الأمة دون عقاب: إذْ سيجلب عليهم تأديباً في نهاية الأمر (الآيات 26-28).  وسيأتي تأديب الله في حقيقة الأمر على شكل دورات، تكون كل دورة أقسى من سابقتها من أجل ردّ الشعب إلى الله (قارن لاويين 26).  ولا نجد هنا إلاّ جوانب عامّة: (1) دماراً في الأرض، (2) سبياً من الأرض وتشتّت بين الشعوب الأممية، (3) تقليل عدد السكّان (انظر تكوين 15: 5)، وعبادة آلهة الوثنيين.</w:t>
      </w:r>
    </w:p>
    <w:p w14:paraId="1FB8124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73A2226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وبعد هذا التأديب والسبي إلى دولٍ أجنبية، سيردّ الله شعبه (الآيات 69-30).  وسيكون هنالك زمن فيه "يرجعون إلى الرب."... عندما تتوب الأمة (كأمّة) وتتطلع بإيمان إلى الرب.  وسيحدث هذا الردّ تحت ظروف معيّنة:</w:t>
      </w:r>
    </w:p>
    <w:p w14:paraId="2E0DD55B"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1.</w:t>
      </w:r>
      <w:r w:rsidRPr="00070B6E">
        <w:rPr>
          <w:rFonts w:eastAsia="Times New Roman" w:cs="DecoType Naskh" w:hint="cs"/>
          <w:color w:val="auto"/>
          <w:kern w:val="0"/>
          <w:szCs w:val="26"/>
          <w:rtl/>
          <w:lang w:bidi="ar-JO"/>
          <w14:ligatures w14:val="none"/>
        </w:rPr>
        <w:tab/>
        <w:t xml:space="preserve">ستكون إسرائيل في السبي (الآية 29 </w:t>
      </w:r>
      <w:r w:rsidRPr="00070B6E">
        <w:rPr>
          <w:rFonts w:eastAsia="Times New Roman" w:cs="DecoType Naskh"/>
          <w:color w:val="auto"/>
          <w:kern w:val="0"/>
          <w:szCs w:val="26"/>
          <w:rtl/>
          <w:lang w:bidi="ar-JO"/>
          <w14:ligatures w14:val="none"/>
        </w:rPr>
        <w:t>–</w:t>
      </w:r>
      <w:r w:rsidRPr="00070B6E">
        <w:rPr>
          <w:rFonts w:eastAsia="Times New Roman" w:cs="DecoType Naskh" w:hint="cs"/>
          <w:color w:val="auto"/>
          <w:kern w:val="0"/>
          <w:szCs w:val="26"/>
          <w:rtl/>
          <w:lang w:bidi="ar-JO"/>
          <w14:ligatures w14:val="none"/>
        </w:rPr>
        <w:t>"من هناك")</w:t>
      </w:r>
    </w:p>
    <w:p w14:paraId="63BED01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2.</w:t>
      </w:r>
      <w:r w:rsidRPr="00070B6E">
        <w:rPr>
          <w:rFonts w:eastAsia="Times New Roman" w:cs="DecoType Naskh" w:hint="cs"/>
          <w:color w:val="auto"/>
          <w:kern w:val="0"/>
          <w:szCs w:val="26"/>
          <w:rtl/>
          <w:lang w:bidi="ar-JO"/>
          <w14:ligatures w14:val="none"/>
        </w:rPr>
        <w:tab/>
        <w:t>يجب أن تكون التوبة حقيقية وعميقة من القلب</w:t>
      </w:r>
    </w:p>
    <w:p w14:paraId="2A42AA06"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3.</w:t>
      </w:r>
      <w:r w:rsidRPr="00070B6E">
        <w:rPr>
          <w:rFonts w:eastAsia="Times New Roman" w:cs="DecoType Naskh" w:hint="cs"/>
          <w:color w:val="auto"/>
          <w:kern w:val="0"/>
          <w:szCs w:val="26"/>
          <w:rtl/>
          <w:lang w:bidi="ar-JO"/>
          <w14:ligatures w14:val="none"/>
        </w:rPr>
        <w:tab/>
        <w:t>عندما تكون إسرائيل "في ضيق"</w:t>
      </w:r>
    </w:p>
    <w:p w14:paraId="5A817894"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4.</w:t>
      </w:r>
      <w:r w:rsidRPr="00070B6E">
        <w:rPr>
          <w:rFonts w:eastAsia="Times New Roman" w:cs="DecoType Naskh" w:hint="cs"/>
          <w:color w:val="auto"/>
          <w:kern w:val="0"/>
          <w:szCs w:val="26"/>
          <w:rtl/>
          <w:lang w:bidi="ar-JO"/>
          <w14:ligatures w14:val="none"/>
        </w:rPr>
        <w:tab/>
        <w:t>سيحدث هذا في "آخر الأيام"</w:t>
      </w:r>
    </w:p>
    <w:p w14:paraId="33FB9BC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56943593"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يترجم بيتر كريجي تعبير "في آخر الأيام" إلى "في الأيام القادمة" ويعلّق قائلاً: "على الرغم من أن هذه الكلمات تحمل نغمة نبوية... إلاّ أن إشارتها المباشرة هي إلى نقطة في المستقبل القريب وفي الأرض الموعودة."</w:t>
      </w:r>
      <w:r w:rsidRPr="00070B6E">
        <w:rPr>
          <w:rFonts w:eastAsia="Times New Roman" w:cs="DecoType Naskh"/>
          <w:color w:val="auto"/>
          <w:kern w:val="0"/>
          <w:sz w:val="30"/>
          <w:szCs w:val="28"/>
          <w:vertAlign w:val="superscript"/>
          <w:rtl/>
          <w:lang w:bidi="ar-JO"/>
          <w14:ligatures w14:val="none"/>
        </w:rPr>
        <w:footnoteReference w:id="135"/>
      </w:r>
      <w:r w:rsidRPr="00070B6E">
        <w:rPr>
          <w:rFonts w:eastAsia="Times New Roman" w:cs="DecoType Naskh" w:hint="cs"/>
          <w:color w:val="auto"/>
          <w:kern w:val="0"/>
          <w:szCs w:val="26"/>
          <w:rtl/>
          <w:lang w:bidi="ar-JO"/>
          <w14:ligatures w14:val="none"/>
        </w:rPr>
        <w:t xml:space="preserve"> غير </w:t>
      </w:r>
      <w:r w:rsidRPr="00070B6E">
        <w:rPr>
          <w:rFonts w:eastAsia="Times New Roman" w:cs="DecoType Naskh" w:hint="cs"/>
          <w:color w:val="auto"/>
          <w:kern w:val="0"/>
          <w:szCs w:val="26"/>
          <w:rtl/>
          <w:lang w:bidi="ar-JO"/>
          <w14:ligatures w14:val="none"/>
        </w:rPr>
        <w:lastRenderedPageBreak/>
        <w:t>أن هذا الاستنتاج مشكوك فيه.  فلا بدّ أن يتضمن هذا المشهد السبي.  وقد سبي اليهود إلى بابل تحت حكم نبوخذنصّر، وقد تمّ سبيهم ثانية بعد دمار أورشليم في عام 70ب م (إن تشتُّت المملكة الشمالية في عام 722 متميز من حيث إنه لم تكن هنالك عودة واضحة للشعب الذين حافظوا على هويتهم).  وعلى الرغم من أن السبي البابلي كان يتّفق بشكل عام مع هذا النمط، إلاّ أنه لم يحقّق النبوءة تحقيقاً كاملاً.  ولا يبدو أن عودة إسرائيل من بابل كانت مشروطة بتوبة وطنية.  ويتطلع زكريّا، الذي كتب بعد السبي، إلى توبة وطنية مرتبطة بعودة المسيح للحكم كملك (زكريّا 12: 10 فصاعداً).  وهذا أمر أكثر ملاءمة لفقرة تثنية هذه وأكثر معقولية بالنسبة لعبارة "في آخر الأيام" (</w:t>
      </w:r>
      <w:r w:rsidRPr="00070B6E">
        <w:rPr>
          <w:rFonts w:ascii="Ezra SIL" w:eastAsia="Times New Roman" w:hAnsi="Ezra SIL" w:cs="Ezra SIL" w:hint="cs"/>
          <w:b/>
          <w:color w:val="auto"/>
          <w:kern w:val="0"/>
          <w:sz w:val="20"/>
          <w:szCs w:val="20"/>
          <w:rtl/>
          <w:lang w:bidi="he-IL"/>
          <w14:ligatures w14:val="none"/>
        </w:rPr>
        <w:t>בְּאַחֲרִית הַיָּמִים</w:t>
      </w:r>
      <w:r w:rsidRPr="00070B6E">
        <w:rPr>
          <w:rFonts w:eastAsia="Times New Roman" w:cs="DecoType Naskh" w:hint="cs"/>
          <w:color w:val="auto"/>
          <w:kern w:val="0"/>
          <w:szCs w:val="26"/>
          <w:rtl/>
          <w:lang w:bidi="ar-JO"/>
          <w14:ligatures w14:val="none"/>
        </w:rPr>
        <w:t>).</w:t>
      </w:r>
    </w:p>
    <w:p w14:paraId="0ED83427"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3159C293" w14:textId="79E44615"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هذه العبارة مستخدمة 14 مرّة في العهد القديم: تكوين 49: 1؛ عدد 24: 14؛ تثنية 4: 30؛ 31: 29؛ إشعياء 2: 2؛ إرميا 23: 20؛ 30: 24؛ 48: 47؛ 49: 39؛ حزقيال 38: 16؛ دانيال 2: 28؛ 10: 14؛ هوشع 3: 5؛ ميخا 4: 1.  ويخلص سيباس إلى أن هذا التعبير يمكن أن يُستخدم بمعنى عام لفكرة "وقت مستقبلي ما" أو بمعنى اصطلاحي، لـ"آخر الزمان".</w:t>
      </w:r>
      <w:r w:rsidRPr="00070B6E">
        <w:rPr>
          <w:rFonts w:eastAsia="Times New Roman" w:cs="DecoType Naskh"/>
          <w:color w:val="auto"/>
          <w:kern w:val="0"/>
          <w:sz w:val="30"/>
          <w:szCs w:val="28"/>
          <w:vertAlign w:val="superscript"/>
          <w:rtl/>
          <w:lang w:bidi="ar-JO"/>
          <w14:ligatures w14:val="none"/>
        </w:rPr>
        <w:footnoteReference w:id="136"/>
      </w:r>
      <w:r w:rsidRPr="00070B6E">
        <w:rPr>
          <w:rFonts w:eastAsia="Times New Roman" w:cs="DecoType Naskh" w:hint="cs"/>
          <w:color w:val="auto"/>
          <w:kern w:val="0"/>
          <w:szCs w:val="26"/>
          <w:rtl/>
          <w:lang w:bidi="ar-JO"/>
          <w14:ligatures w14:val="none"/>
        </w:rPr>
        <w:t xml:space="preserve"> وإنه لأمر صعب أن يثبت المرء أن كل هذه الإشارات استخدمت بالمعنى الثاني الاصطلاحي، "آخر الزمان"، لكن من المؤكد أن هذا الاحتمال موجود بالنسبة لتثنية 4: 30.  وتوجد آيات أخرى (يرد كثير منها في سياق بركات الملكوت السعيد) تتطلع هذه إلى الفترة المرتبطة ارتباطاً وثيقاً بعودة المسيح في نهاية هذا الدهر (مثلاً إشعياء 2: 2؛ إرميا 30: </w:t>
      </w:r>
      <w:r w:rsidR="006B5847" w:rsidRPr="00070B6E">
        <w:rPr>
          <w:rFonts w:eastAsia="Times New Roman" w:cs="DecoType Naskh" w:hint="cs"/>
          <w:color w:val="auto"/>
          <w:kern w:val="0"/>
          <w:szCs w:val="26"/>
          <w:rtl/>
          <w:lang w:bidi="ar-JO"/>
          <w14:ligatures w14:val="none"/>
        </w:rPr>
        <w:t>2</w:t>
      </w:r>
      <w:r w:rsidRPr="00070B6E">
        <w:rPr>
          <w:rFonts w:eastAsia="Times New Roman" w:cs="DecoType Naskh" w:hint="cs"/>
          <w:color w:val="auto"/>
          <w:kern w:val="0"/>
          <w:szCs w:val="26"/>
          <w:rtl/>
          <w:lang w:bidi="ar-JO"/>
          <w14:ligatures w14:val="none"/>
        </w:rPr>
        <w:t>4، دانيال 2: 28).  ويبدو أن الأدلة تصب في صالح فكرة أن الفقرة الموجودة في تثنية 4 تُنبئ بردٍ آخر من السبي لليهود اليوم (فلم ينتهِ الله من عمله معهم بعد).  وسيُردّون إلى الأرض ثانية (وإن القول إن الكنيسة = إسرائيل لا يكون له معنى بالنسبة إلى فكرة العودة إلى الأرض).</w:t>
      </w:r>
    </w:p>
    <w:p w14:paraId="5B8A48B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63152B23"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وأخيراً تعطي الآية 31 </w:t>
      </w:r>
      <w:r w:rsidRPr="00070B6E">
        <w:rPr>
          <w:rFonts w:eastAsia="Times New Roman" w:cs="DecoType Naskh" w:hint="cs"/>
          <w:color w:val="auto"/>
          <w:kern w:val="0"/>
          <w:szCs w:val="26"/>
          <w:u w:val="single"/>
          <w:rtl/>
          <w:lang w:bidi="ar-JO"/>
          <w14:ligatures w14:val="none"/>
        </w:rPr>
        <w:t>سبب</w:t>
      </w:r>
      <w:r w:rsidRPr="00070B6E">
        <w:rPr>
          <w:rFonts w:eastAsia="Times New Roman" w:cs="DecoType Naskh" w:hint="cs"/>
          <w:color w:val="auto"/>
          <w:kern w:val="0"/>
          <w:szCs w:val="26"/>
          <w:rtl/>
          <w:lang w:bidi="ar-JO"/>
          <w14:ligatures w14:val="none"/>
        </w:rPr>
        <w:t xml:space="preserve"> إعطاء يهوه وعد الرد للأمة حتى بعد السبي، ألا وهو العهد الإبراهيمي! فالرب "</w:t>
      </w:r>
      <w:r w:rsidRPr="00070B6E">
        <w:rPr>
          <w:rFonts w:eastAsia="Times New Roman" w:cs="DecoType Naskh" w:hint="cs"/>
          <w:i/>
          <w:iCs/>
          <w:color w:val="auto"/>
          <w:kern w:val="0"/>
          <w:szCs w:val="26"/>
          <w:rtl/>
          <w:lang w:bidi="ar-JO"/>
          <w14:ligatures w14:val="none"/>
        </w:rPr>
        <w:t>لا ينسى عهد آبائك الذي أقسم لهم عليه</w:t>
      </w:r>
      <w:r w:rsidRPr="00070B6E">
        <w:rPr>
          <w:rFonts w:eastAsia="Times New Roman" w:cs="DecoType Naskh" w:hint="cs"/>
          <w:color w:val="auto"/>
          <w:kern w:val="0"/>
          <w:szCs w:val="26"/>
          <w:rtl/>
          <w:lang w:bidi="ar-JO"/>
          <w14:ligatures w14:val="none"/>
        </w:rPr>
        <w:t>."  نرى مرّة أخرى أن الله يستمر في التعامل مع إسرائيل على أساس هذا العهد.  ولا تبطل عدم أمانتهم العهد.  فالعهد الإبراهيمي مازال مشروعاً وقائماً اليوم، وهو يؤكد أن لإسرائيل مستقبلاً.</w:t>
      </w:r>
    </w:p>
    <w:p w14:paraId="3E24CB8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24A211BB" w14:textId="77777777" w:rsidR="00070B6E" w:rsidRPr="00070B6E" w:rsidRDefault="00070B6E" w:rsidP="002D6C54">
      <w:pPr>
        <w:tabs>
          <w:tab w:val="left" w:pos="454"/>
        </w:tabs>
        <w:bidi/>
        <w:spacing w:after="60" w:line="240" w:lineRule="auto"/>
        <w:ind w:righ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هـ.</w:t>
      </w:r>
      <w:r w:rsidRPr="00070B6E">
        <w:rPr>
          <w:rFonts w:eastAsia="Times New Roman" w:cs="DecoType Naskh" w:hint="cs"/>
          <w:bCs/>
          <w:color w:val="auto"/>
          <w:kern w:val="0"/>
          <w:szCs w:val="26"/>
          <w:rtl/>
          <w14:ligatures w14:val="none"/>
        </w:rPr>
        <w:tab/>
        <w:t xml:space="preserve">خاتمة </w:t>
      </w:r>
      <w:r w:rsidRPr="00070B6E">
        <w:rPr>
          <w:rFonts w:eastAsia="Times New Roman" w:cs="DecoType Naskh"/>
          <w:bCs/>
          <w:color w:val="auto"/>
          <w:kern w:val="0"/>
          <w:szCs w:val="26"/>
          <w:rtl/>
          <w14:ligatures w14:val="none"/>
        </w:rPr>
        <w:t>–</w:t>
      </w:r>
      <w:r w:rsidRPr="00070B6E">
        <w:rPr>
          <w:rFonts w:eastAsia="Times New Roman" w:cs="DecoType Naskh" w:hint="cs"/>
          <w:bCs/>
          <w:color w:val="auto"/>
          <w:kern w:val="0"/>
          <w:szCs w:val="26"/>
          <w:rtl/>
          <w14:ligatures w14:val="none"/>
        </w:rPr>
        <w:t xml:space="preserve"> مناشدة للطاعة (4: 32-40)</w:t>
      </w:r>
    </w:p>
    <w:p w14:paraId="788EF22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نجد في هذا القسم الأخير من تثنية 4 إعادة لتحريض إسرائيل على الطاعة.  لقد تمتّعت إسرائيل بامتياز العلاقة الخاصة مع يهوه؛ ولهذا يجب أن يطيعوه (الآيات 32-34).  لقد خلق الله إسرائيل لكي يعرفوا يهوه ومجده (الآيات 35-38).  وأخيراً، تلخّص الآيتان 39-40 الحاجة إلى الطاعة: فمجد الله وبركة إسرائيل هما على المحك.  لكن إذا رفضت إسرائيل، فسيعلن الله مجده أيضاً.</w:t>
      </w:r>
    </w:p>
    <w:p w14:paraId="1EED6784"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p>
    <w:p w14:paraId="14A8EB3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righ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يختتم هذا الأصحاح بملحق يخص مدن الملجأ الثلاث عبر الأردن (تثنية 4: 41-43).</w:t>
      </w:r>
    </w:p>
    <w:p w14:paraId="2F54D35B" w14:textId="77777777" w:rsidR="00070B6E" w:rsidRPr="00070B6E" w:rsidRDefault="00070B6E" w:rsidP="002D6C54">
      <w:pPr>
        <w:bidi/>
        <w:spacing w:after="0" w:line="240" w:lineRule="auto"/>
        <w:rPr>
          <w:rFonts w:eastAsia="Times New Roman" w:cs="DecoType Naskh"/>
          <w:color w:val="auto"/>
          <w:kern w:val="0"/>
          <w:szCs w:val="18"/>
          <w:rtl/>
          <w14:ligatures w14:val="none"/>
        </w:rPr>
      </w:pPr>
    </w:p>
    <w:p w14:paraId="11D89107" w14:textId="77777777" w:rsidR="003E1A38" w:rsidRDefault="003E1A38" w:rsidP="002D6C54">
      <w:pPr>
        <w:tabs>
          <w:tab w:val="left" w:pos="0"/>
          <w:tab w:val="left" w:pos="504"/>
          <w:tab w:val="left" w:pos="1008"/>
          <w:tab w:val="left" w:pos="1094"/>
          <w:tab w:val="left" w:pos="1512"/>
          <w:tab w:val="left" w:pos="1642"/>
          <w:tab w:val="left" w:pos="2016"/>
          <w:tab w:val="left" w:pos="2189"/>
          <w:tab w:val="left" w:pos="2520"/>
          <w:tab w:val="left" w:pos="2736"/>
          <w:tab w:val="left" w:pos="3024"/>
          <w:tab w:val="left" w:pos="3283"/>
          <w:tab w:val="left" w:pos="3528"/>
          <w:tab w:val="left" w:pos="3830"/>
          <w:tab w:val="left" w:pos="4032"/>
          <w:tab w:val="left" w:pos="4536"/>
          <w:tab w:val="left" w:pos="5040"/>
          <w:tab w:val="left" w:pos="5544"/>
          <w:tab w:val="left" w:pos="6048"/>
          <w:tab w:val="left" w:pos="6552"/>
          <w:tab w:val="left" w:pos="7056"/>
          <w:tab w:val="left" w:pos="7560"/>
          <w:tab w:val="left" w:pos="8064"/>
          <w:tab w:val="left" w:pos="8568"/>
          <w:tab w:val="left" w:pos="8640"/>
          <w:tab w:val="left" w:pos="9072"/>
        </w:tabs>
        <w:spacing w:after="120" w:line="240" w:lineRule="auto"/>
        <w:ind w:left="547"/>
        <w:jc w:val="both"/>
        <w:rPr>
          <w:rFonts w:eastAsia="Times New Roman" w:cs="Times New Roman"/>
          <w:bCs/>
          <w:color w:val="auto"/>
          <w:kern w:val="0"/>
          <w:sz w:val="22"/>
          <w:lang w:bidi="ar-JO"/>
          <w14:ligatures w14:val="none"/>
        </w:rPr>
      </w:pPr>
    </w:p>
    <w:p w14:paraId="0F66A1B3" w14:textId="77777777" w:rsidR="003E1A38" w:rsidRPr="00A41124" w:rsidRDefault="003E1A38" w:rsidP="002D6C54">
      <w:pPr>
        <w:tabs>
          <w:tab w:val="left" w:pos="0"/>
          <w:tab w:val="left" w:pos="504"/>
          <w:tab w:val="left" w:pos="1008"/>
          <w:tab w:val="left" w:pos="1094"/>
          <w:tab w:val="left" w:pos="1512"/>
          <w:tab w:val="left" w:pos="1642"/>
          <w:tab w:val="left" w:pos="2016"/>
          <w:tab w:val="left" w:pos="2189"/>
          <w:tab w:val="left" w:pos="2520"/>
          <w:tab w:val="left" w:pos="2736"/>
          <w:tab w:val="left" w:pos="3024"/>
          <w:tab w:val="left" w:pos="3283"/>
          <w:tab w:val="left" w:pos="3528"/>
          <w:tab w:val="left" w:pos="3830"/>
          <w:tab w:val="left" w:pos="4032"/>
          <w:tab w:val="left" w:pos="4536"/>
          <w:tab w:val="left" w:pos="5040"/>
          <w:tab w:val="left" w:pos="5544"/>
          <w:tab w:val="left" w:pos="6048"/>
          <w:tab w:val="left" w:pos="6552"/>
          <w:tab w:val="left" w:pos="7056"/>
          <w:tab w:val="left" w:pos="7560"/>
          <w:tab w:val="left" w:pos="8064"/>
          <w:tab w:val="left" w:pos="8568"/>
          <w:tab w:val="left" w:pos="8640"/>
          <w:tab w:val="left" w:pos="9072"/>
        </w:tabs>
        <w:spacing w:after="120" w:line="240" w:lineRule="auto"/>
        <w:ind w:left="547"/>
        <w:jc w:val="both"/>
        <w:rPr>
          <w:rFonts w:eastAsia="Times New Roman" w:cs="Times New Roman"/>
          <w:bCs/>
          <w:color w:val="auto"/>
          <w:kern w:val="0"/>
          <w:sz w:val="22"/>
          <w14:ligatures w14:val="none"/>
        </w:rPr>
      </w:pPr>
    </w:p>
    <w:p w14:paraId="20F484FB" w14:textId="77777777" w:rsidR="00857A90" w:rsidRPr="002975BE" w:rsidRDefault="00857A90" w:rsidP="00857A90">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b/>
          <w:bCs/>
          <w:kern w:val="0"/>
          <w:sz w:val="26"/>
          <w:szCs w:val="26"/>
          <w:rtl/>
          <w14:ligatures w14:val="none"/>
        </w:rPr>
      </w:pPr>
      <w:bookmarkStart w:id="136" w:name="_Hlk178779068"/>
      <w:r w:rsidRPr="002975BE">
        <w:rPr>
          <w:rFonts w:ascii="Simplified Arabic" w:eastAsia="Calibri" w:hAnsi="Simplified Arabic" w:cs="Simplified Arabic" w:hint="cs"/>
          <w:b/>
          <w:bCs/>
          <w:kern w:val="0"/>
          <w:sz w:val="26"/>
          <w:szCs w:val="26"/>
          <w:rtl/>
          <w14:ligatures w14:val="none"/>
        </w:rPr>
        <w:lastRenderedPageBreak/>
        <w:t xml:space="preserve">الموضوع 3: بنود العهد المُجدَّد (تثنية 4: 44 </w:t>
      </w:r>
      <w:r w:rsidRPr="002975BE">
        <w:rPr>
          <w:rFonts w:ascii="Simplified Arabic" w:eastAsia="Calibri" w:hAnsi="Simplified Arabic" w:cs="Simplified Arabic"/>
          <w:b/>
          <w:bCs/>
          <w:kern w:val="0"/>
          <w:sz w:val="26"/>
          <w:szCs w:val="26"/>
          <w:rtl/>
          <w14:ligatures w14:val="none"/>
        </w:rPr>
        <w:t>–</w:t>
      </w:r>
      <w:r w:rsidRPr="002975BE">
        <w:rPr>
          <w:rFonts w:ascii="Simplified Arabic" w:eastAsia="Calibri" w:hAnsi="Simplified Arabic" w:cs="Simplified Arabic" w:hint="cs"/>
          <w:b/>
          <w:bCs/>
          <w:kern w:val="0"/>
          <w:sz w:val="26"/>
          <w:szCs w:val="26"/>
          <w:rtl/>
          <w14:ligatures w14:val="none"/>
        </w:rPr>
        <w:t xml:space="preserve"> 26: 19) </w:t>
      </w:r>
    </w:p>
    <w:p w14:paraId="6195BEFB" w14:textId="065F66C0" w:rsidR="00BE411E" w:rsidRPr="007A4B15" w:rsidRDefault="00BE411E" w:rsidP="002975BE">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bookmarkStart w:id="137" w:name="_Hlk157179112"/>
      <w:r w:rsidRPr="007A4B15">
        <w:rPr>
          <w:rFonts w:ascii="Verdana" w:eastAsia="Calibri" w:hAnsi="Verdana" w:cs="Times New Roman"/>
          <w:b/>
          <w:caps/>
          <w:noProof/>
          <w:color w:val="006699"/>
          <w:kern w:val="0"/>
          <w:sz w:val="21"/>
          <w:szCs w:val="24"/>
          <w14:ligatures w14:val="none"/>
        </w:rPr>
        <w:drawing>
          <wp:inline distT="0" distB="0" distL="0" distR="0" wp14:anchorId="133DD8BB" wp14:editId="46B02EC9">
            <wp:extent cx="613692" cy="541464"/>
            <wp:effectExtent l="0" t="0" r="0" b="0"/>
            <wp:docPr id="1803605162" name="Picture 1803605162"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2975BE" w:rsidRPr="002975BE">
        <w:rPr>
          <w:rFonts w:ascii="Verdana" w:eastAsia="Calibri" w:hAnsi="Verdana" w:cs="Times New Roman" w:hint="cs"/>
          <w:bCs/>
          <w:caps/>
          <w:color w:val="006699"/>
          <w:kern w:val="0"/>
          <w:sz w:val="21"/>
          <w:szCs w:val="24"/>
          <w:u w:val="single"/>
          <w:rtl/>
          <w14:ligatures w14:val="none"/>
        </w:rPr>
        <w:t>القراءة:</w:t>
      </w:r>
    </w:p>
    <w:p w14:paraId="48CC8BA2" w14:textId="2AAD77E3" w:rsidR="00BE411E" w:rsidRPr="002B24E1" w:rsidRDefault="00BE411E" w:rsidP="002975BE">
      <w:pPr>
        <w:bidi/>
        <w:spacing w:line="240" w:lineRule="auto"/>
        <w:rPr>
          <w:b/>
          <w:bCs/>
        </w:rPr>
      </w:pPr>
      <w:r>
        <w:tab/>
      </w:r>
      <w:r>
        <w:tab/>
      </w:r>
      <w:r w:rsidR="002975BE">
        <w:rPr>
          <w:rFonts w:hint="cs"/>
          <w:rtl/>
        </w:rPr>
        <w:t xml:space="preserve">اقرأ تثنية 4: 44 </w:t>
      </w:r>
      <w:r w:rsidR="002975BE">
        <w:rPr>
          <w:rtl/>
        </w:rPr>
        <w:t>–</w:t>
      </w:r>
      <w:r w:rsidR="002975BE">
        <w:rPr>
          <w:rFonts w:hint="cs"/>
          <w:rtl/>
        </w:rPr>
        <w:t xml:space="preserve"> 11: 32 في كتابك المُقدَّس. </w:t>
      </w:r>
    </w:p>
    <w:bookmarkEnd w:id="136"/>
    <w:bookmarkEnd w:id="137"/>
    <w:p w14:paraId="7338F429" w14:textId="77777777" w:rsidR="00070B6E" w:rsidRPr="00070B6E" w:rsidRDefault="00070B6E" w:rsidP="002D6C54">
      <w:pPr>
        <w:bidi/>
        <w:spacing w:after="0" w:line="240" w:lineRule="auto"/>
        <w:jc w:val="center"/>
        <w:rPr>
          <w:rFonts w:eastAsia="Times New Roman" w:cs="Traditional Arabic Backslanted"/>
          <w:bCs/>
          <w:color w:val="auto"/>
          <w:kern w:val="0"/>
          <w:szCs w:val="28"/>
          <w:rtl/>
          <w:lang w:bidi="ar-JO"/>
          <w14:ligatures w14:val="none"/>
        </w:rPr>
      </w:pPr>
    </w:p>
    <w:p w14:paraId="6AFBB5B0"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14:ligatures w14:val="none"/>
        </w:rPr>
      </w:pPr>
      <w:r w:rsidRPr="00070B6E">
        <w:rPr>
          <w:rFonts w:eastAsia="Times New Roman" w:cs="DecoType Naskh" w:hint="cs"/>
          <w:bCs/>
          <w:color w:val="auto"/>
          <w:kern w:val="0"/>
          <w:szCs w:val="28"/>
          <w:rtl/>
          <w:lang w:bidi="ar-JO"/>
          <w14:ligatures w14:val="none"/>
        </w:rPr>
        <w:t>1.</w:t>
      </w:r>
      <w:r w:rsidRPr="00070B6E">
        <w:rPr>
          <w:rFonts w:eastAsia="Times New Roman" w:cs="DecoType Naskh" w:hint="cs"/>
          <w:bCs/>
          <w:color w:val="auto"/>
          <w:kern w:val="0"/>
          <w:szCs w:val="28"/>
          <w:rtl/>
          <w:lang w:bidi="ar-JO"/>
          <w14:ligatures w14:val="none"/>
        </w:rPr>
        <w:tab/>
        <w:t>بنود العهد في موآب (4: 44-29: 1)</w:t>
      </w:r>
    </w:p>
    <w:p w14:paraId="55761740"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درسنا في القسم السابق الأصحاحات الأربعة الأولى من السفر.  ورأينا أنها تحريضية في طبيعتها، لكي ينطلق الجيل الجديد بالإيمان ويأخذ أرض الموعد.  وقد أكّد القسم السابق على أن الاستجابة بالطاعة أمر جوهري في أهميته للحصول على بركة يهوه والمحافظة عليها.  سيركِّز هذا الجزء (قلب السفر) على تفاصيل العهد المجدَّد الذي طلب أن تستجيب إسرائيل إليه بالطاعة.  بشكلٍ أساسي، سيُظهر هذا القسم (4: 44-29: 1) ما ستتضمنه الطاعة الذي كان موسى يشدِّد عليها بقوة.  باختصار، نرى الأمة هنا تتلقى تعليماً بشأن أسلوب حياة العهد. (ستُعالَج الأصحاحات 27: 1-29: 1 في الدرس التالي).</w:t>
      </w:r>
    </w:p>
    <w:p w14:paraId="2E66C4E6"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79C6C72"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أ.</w:t>
      </w:r>
      <w:r w:rsidRPr="00070B6E">
        <w:rPr>
          <w:rFonts w:eastAsia="Times New Roman" w:cs="DecoType Naskh" w:hint="cs"/>
          <w:bCs/>
          <w:color w:val="auto"/>
          <w:kern w:val="0"/>
          <w:szCs w:val="26"/>
          <w:rtl/>
          <w14:ligatures w14:val="none"/>
        </w:rPr>
        <w:tab/>
        <w:t>مقدّمة لشريعة العهد (4: 44-49)</w:t>
      </w:r>
    </w:p>
    <w:p w14:paraId="06F9106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يبدأ موسى في هذا القسم بقوله، "وهذه هي الشريعة..." (4: 44).  وهو لن يتناول التفصيلات حتى الآية الأولى من الأصحاح 12.  غير أنه يبدو أن هذه الآية، لدى مقارنتها بـ 29: 1، تبدأ القسم الرئيسي الذي يتناول بنود العهد في موآب.  تؤكّد المقدمة على </w:t>
      </w:r>
      <w:r w:rsidRPr="00070B6E">
        <w:rPr>
          <w:rFonts w:eastAsia="Times New Roman" w:cs="DecoType Naskh" w:hint="cs"/>
          <w:i/>
          <w:iCs/>
          <w:color w:val="auto"/>
          <w:kern w:val="0"/>
          <w:szCs w:val="26"/>
          <w:rtl/>
          <w:lang w:bidi="ar-JO"/>
          <w14:ligatures w14:val="none"/>
        </w:rPr>
        <w:t xml:space="preserve">فرادة </w:t>
      </w:r>
      <w:r w:rsidRPr="00070B6E">
        <w:rPr>
          <w:rFonts w:eastAsia="Times New Roman" w:cs="DecoType Naskh" w:hint="cs"/>
          <w:color w:val="auto"/>
          <w:kern w:val="0"/>
          <w:szCs w:val="26"/>
          <w:rtl/>
          <w:lang w:bidi="ar-JO"/>
          <w14:ligatures w14:val="none"/>
        </w:rPr>
        <w:t>المناسبة التي قُدّم فيها العهد، أي في سهول موآب في عبر الأردن.  وقبل أن تعبر الأمة نهر الأردن، يريد الله أن يُفهمهم بوضوح ما هو المطلوب منهم.  إذ يعني كونهم "أمّة فريدة" (انظر خروج 19: 5-6) امتيازاً، لكنه يعني مسؤولية في نفس الوقت.</w:t>
      </w:r>
    </w:p>
    <w:p w14:paraId="1BF81C96"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86D6B0E"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ب.</w:t>
      </w:r>
      <w:r w:rsidRPr="00070B6E">
        <w:rPr>
          <w:rFonts w:eastAsia="Times New Roman" w:cs="DecoType Naskh" w:hint="cs"/>
          <w:bCs/>
          <w:color w:val="auto"/>
          <w:kern w:val="0"/>
          <w:szCs w:val="26"/>
          <w:rtl/>
          <w14:ligatures w14:val="none"/>
        </w:rPr>
        <w:tab/>
        <w:t>مراجعة للعهد في سيناء</w:t>
      </w:r>
    </w:p>
    <w:p w14:paraId="38B0B34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قبل أن يواصل موسى الحديث في الدعوة الحالية إلى تجديد العهد، فإنه يذكّرهم بالعهد السابق الذي دخل فيه الجيل السابق مع يهوه.  وترتبط الدعوة الحالية إلى تجديد العهد ارتباطاً حيوياً بالعهد في سيناء... إذ ينبع منه ويعتمد أيضاً على الوصايا العشر العامة.  ثم يواصل القسم مراجعة استجابة إسرائيل لإعطائهم العهد في المرة الأولى.  فعلى الرغم من أن إسرائيل استجابت بشكل لائق بالتعبير عن استعدادهم لربط أنفسهم بيهوه تحت شريعته (5: 27-28)، إلاّ أنهم لم يستوعبوا قدرتهم على حفظ الشريعة.  </w:t>
      </w:r>
    </w:p>
    <w:p w14:paraId="6DDA97A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تاق الرب إلى طاعتهم له، لكن بنظرة أكثر واقعية: "</w:t>
      </w:r>
      <w:r w:rsidRPr="00070B6E">
        <w:rPr>
          <w:rFonts w:eastAsia="Times New Roman" w:cs="DecoType Naskh" w:hint="cs"/>
          <w:i/>
          <w:iCs/>
          <w:color w:val="auto"/>
          <w:kern w:val="0"/>
          <w:szCs w:val="26"/>
          <w:rtl/>
          <w:lang w:bidi="ar-JO"/>
          <w14:ligatures w14:val="none"/>
        </w:rPr>
        <w:t>يا ليت قلبهم كان هكذا فيهم حتى يتّقوني ويحفظوا جميع وصاياي كل الأيام، لكي يكون لهم ولأبنائهم خير إلى الأبد</w:t>
      </w:r>
      <w:r w:rsidRPr="00070B6E">
        <w:rPr>
          <w:rFonts w:eastAsia="Times New Roman" w:cs="DecoType Naskh" w:hint="cs"/>
          <w:color w:val="auto"/>
          <w:kern w:val="0"/>
          <w:szCs w:val="26"/>
          <w:rtl/>
          <w:lang w:bidi="ar-JO"/>
          <w14:ligatures w14:val="none"/>
        </w:rPr>
        <w:t>" (5: 29).  يرغب لهم الله حقّاً أن يختبروا بركته، لكنه يدرك أنها لا تأتي إلا من "قلب سليم".  وهو يعطي موسى دور إرشاد الشعب حول الاستجابة الصحيحة لإعلان الشريعة.  فدوره هنا هو دور معلّم.  ليست الطاعة استجابة بيولوجية.  فلا يجب أن يعرف الشعب ما يُتوقّع منهم فحسب، لكن يجب أن يعرفوا أيضاً الأساس الذي تنبع منهُ الطاعة.  غير أنه لا يجب وضع العربة قبل الحصان، فتعلُّم جوهر الطاعة (6: 1-11: 32) يسبق التفاصيل المحددة لما يجب أن يطيعوه (12: 1-26: 19).</w:t>
      </w:r>
    </w:p>
    <w:p w14:paraId="75F92BA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30D5A4B"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جـ.</w:t>
      </w:r>
      <w:r w:rsidRPr="00070B6E">
        <w:rPr>
          <w:rFonts w:eastAsia="Times New Roman" w:cs="DecoType Naskh" w:hint="cs"/>
          <w:bCs/>
          <w:color w:val="auto"/>
          <w:kern w:val="0"/>
          <w:szCs w:val="26"/>
          <w:rtl/>
          <w14:ligatures w14:val="none"/>
        </w:rPr>
        <w:tab/>
        <w:t>أساس الطاعة (6: 1-11: 32)</w:t>
      </w:r>
    </w:p>
    <w:p w14:paraId="624DF657"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يتولّى موسى دوره كمعلّم.  وقبل أن يُطلع الشعب على مطالب العهد، فإنه يوضّح كيف يمكن للطاعة أن تأتي من قلب بشري.  وتتضمن الطاعة الحقيقية عوامل إيجابية وأخرى سلبية في نفس الوقت.  وبغير اعتبار لائق لها، يكون مطلب الطاعة وأمر الطاعة بلا فائدة.  فمن ناحية إيجابية، تأتي الطاعة من قلب:</w:t>
      </w:r>
    </w:p>
    <w:p w14:paraId="63F054A0"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1)</w:t>
      </w:r>
      <w:r w:rsidRPr="00070B6E">
        <w:rPr>
          <w:rFonts w:eastAsia="Times New Roman" w:cs="DecoType Naskh" w:hint="cs"/>
          <w:color w:val="auto"/>
          <w:kern w:val="0"/>
          <w:szCs w:val="26"/>
          <w:rtl/>
          <w:lang w:bidi="ar-JO"/>
          <w14:ligatures w14:val="none"/>
        </w:rPr>
        <w:tab/>
        <w:t>يحب الرب محبّة كاملة (6: 1-9)</w:t>
      </w:r>
    </w:p>
    <w:p w14:paraId="15EB62FB"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lastRenderedPageBreak/>
        <w:t>2)</w:t>
      </w:r>
      <w:r w:rsidRPr="00070B6E">
        <w:rPr>
          <w:rFonts w:eastAsia="Times New Roman" w:cs="DecoType Naskh" w:hint="cs"/>
          <w:color w:val="auto"/>
          <w:kern w:val="0"/>
          <w:szCs w:val="26"/>
          <w:rtl/>
          <w:lang w:bidi="ar-JO"/>
          <w14:ligatures w14:val="none"/>
        </w:rPr>
        <w:tab/>
        <w:t>قبِل أعمال التأديب الكريمة من الرب كتدريب على الطاعة (8: 1-10)</w:t>
      </w:r>
    </w:p>
    <w:p w14:paraId="0240FD65"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3)</w:t>
      </w:r>
      <w:r w:rsidRPr="00070B6E">
        <w:rPr>
          <w:rFonts w:eastAsia="Times New Roman" w:cs="DecoType Naskh" w:hint="cs"/>
          <w:color w:val="auto"/>
          <w:kern w:val="0"/>
          <w:szCs w:val="26"/>
          <w:rtl/>
          <w:lang w:bidi="ar-JO"/>
          <w14:ligatures w14:val="none"/>
        </w:rPr>
        <w:tab/>
        <w:t>يركّز على طبيعة الله الأخلاقية (10: 12-22)</w:t>
      </w:r>
    </w:p>
    <w:p w14:paraId="1245C6BD"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4)</w:t>
      </w:r>
      <w:r w:rsidRPr="00070B6E">
        <w:rPr>
          <w:rFonts w:eastAsia="Times New Roman" w:cs="DecoType Naskh" w:hint="cs"/>
          <w:color w:val="auto"/>
          <w:kern w:val="0"/>
          <w:szCs w:val="26"/>
          <w:rtl/>
          <w:lang w:bidi="ar-JO"/>
          <w14:ligatures w14:val="none"/>
        </w:rPr>
        <w:tab/>
        <w:t xml:space="preserve">يعطي توقيراً جادّاً لمبدأ اللعنات والبركات (7: 12 </w:t>
      </w:r>
      <w:r w:rsidRPr="00070B6E">
        <w:rPr>
          <w:rFonts w:eastAsia="Times New Roman" w:cs="DecoType Naskh"/>
          <w:color w:val="auto"/>
          <w:kern w:val="0"/>
          <w:szCs w:val="26"/>
          <w:rtl/>
          <w:lang w:bidi="ar-JO"/>
          <w14:ligatures w14:val="none"/>
        </w:rPr>
        <w:t>–</w:t>
      </w:r>
      <w:r w:rsidRPr="00070B6E">
        <w:rPr>
          <w:rFonts w:eastAsia="Times New Roman" w:cs="DecoType Naskh" w:hint="cs"/>
          <w:color w:val="auto"/>
          <w:kern w:val="0"/>
          <w:szCs w:val="26"/>
          <w:rtl/>
          <w:lang w:bidi="ar-JO"/>
          <w14:ligatures w14:val="none"/>
        </w:rPr>
        <w:t>26؛ 11: 1-32)</w:t>
      </w:r>
    </w:p>
    <w:p w14:paraId="19E5F93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5)</w:t>
      </w:r>
      <w:r w:rsidRPr="00070B6E">
        <w:rPr>
          <w:rFonts w:eastAsia="Times New Roman" w:cs="DecoType Naskh" w:hint="cs"/>
          <w:color w:val="auto"/>
          <w:kern w:val="0"/>
          <w:szCs w:val="26"/>
          <w:rtl/>
          <w:lang w:bidi="ar-JO"/>
          <w14:ligatures w14:val="none"/>
        </w:rPr>
        <w:tab/>
        <w:t xml:space="preserve">يستجيب بامتنان للامتيازات التي منحها الله في كرمه (7: 6-11) </w:t>
      </w:r>
    </w:p>
    <w:p w14:paraId="2697429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3E2AC3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لكن توجد من ناحية أخرى عوامل سلبية يمكن أن تُفشل الطاعة، وهي عوامل يجب أن تحترس منها الأمّة لئلا يتعرّض وضع الأمّة مع الله للتهديد:</w:t>
      </w:r>
    </w:p>
    <w:p w14:paraId="79F5A28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1)</w:t>
      </w:r>
      <w:r w:rsidRPr="00070B6E">
        <w:rPr>
          <w:rFonts w:eastAsia="Times New Roman" w:cs="DecoType Naskh" w:hint="cs"/>
          <w:color w:val="auto"/>
          <w:kern w:val="0"/>
          <w:szCs w:val="26"/>
          <w:rtl/>
          <w:lang w:bidi="ar-JO"/>
          <w14:ligatures w14:val="none"/>
        </w:rPr>
        <w:tab/>
        <w:t>يجب أن يحترسوا من الميل إلى "النسيان".  إذ يمكن أن يكون لبركات الطاعة تأثير عكسي يتمثّل في عدم رؤية ضرورة الاتكال على الرب (6: 10-19؛ 8: 11-20).</w:t>
      </w:r>
    </w:p>
    <w:p w14:paraId="5F68179D"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2)</w:t>
      </w:r>
      <w:r w:rsidRPr="00070B6E">
        <w:rPr>
          <w:rFonts w:eastAsia="Times New Roman" w:cs="DecoType Naskh" w:hint="cs"/>
          <w:color w:val="auto"/>
          <w:kern w:val="0"/>
          <w:szCs w:val="26"/>
          <w:rtl/>
          <w:lang w:bidi="ar-JO"/>
          <w14:ligatures w14:val="none"/>
        </w:rPr>
        <w:tab/>
        <w:t>يجب أن تحرص الأمّة على استمرار الإيمان بنقله إلى الأبناء الذين سيشكّلون الجيل التالي (6: 20-25).</w:t>
      </w:r>
    </w:p>
    <w:p w14:paraId="375EB97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3)</w:t>
      </w:r>
      <w:r w:rsidRPr="00070B6E">
        <w:rPr>
          <w:rFonts w:eastAsia="Times New Roman" w:cs="DecoType Naskh" w:hint="cs"/>
          <w:color w:val="auto"/>
          <w:kern w:val="0"/>
          <w:szCs w:val="26"/>
          <w:rtl/>
          <w:lang w:bidi="ar-JO"/>
          <w14:ligatures w14:val="none"/>
        </w:rPr>
        <w:tab/>
        <w:t>يجب أن تحرص الأمة على إزالة تلك التأثيرات التي يمكن أن تبعدها عن يهوه خاصة تأثيرات الكنعانيين الأشرار                   (6: 1-5).</w:t>
      </w:r>
    </w:p>
    <w:p w14:paraId="47FE562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4)</w:t>
      </w:r>
      <w:r w:rsidRPr="00070B6E">
        <w:rPr>
          <w:rFonts w:eastAsia="Times New Roman" w:cs="DecoType Naskh" w:hint="cs"/>
          <w:color w:val="auto"/>
          <w:kern w:val="0"/>
          <w:szCs w:val="26"/>
          <w:rtl/>
          <w:lang w:bidi="ar-JO"/>
          <w14:ligatures w14:val="none"/>
        </w:rPr>
        <w:tab/>
        <w:t>يجب أن يقاوموا كل نظرة تفاخر متّسمة بالكبرياء تنسب النجاح إلى برِّ المرء الذاتي، إذ يعكس تاريخهم في واقع الأمر مقاومة عنيدة لله (9: 1-10: 11).</w:t>
      </w:r>
    </w:p>
    <w:p w14:paraId="033D3340"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د.</w:t>
      </w:r>
      <w:r w:rsidRPr="00070B6E">
        <w:rPr>
          <w:rFonts w:eastAsia="Times New Roman" w:cs="DecoType Naskh" w:hint="cs"/>
          <w:bCs/>
          <w:color w:val="auto"/>
          <w:kern w:val="0"/>
          <w:szCs w:val="26"/>
          <w:rtl/>
          <w14:ligatures w14:val="none"/>
        </w:rPr>
        <w:tab/>
        <w:t>بنود الطاعة (12: 1-26: 19)</w:t>
      </w:r>
    </w:p>
    <w:p w14:paraId="5DE3E07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الآن وبعد أن عرض موسى طبيعة الطاعة، فإنه يفصّل الوصايا التي يجب أن تطيعها الأمّة لكي تتمتع بالنجاح والبركات في الأرض وهي تشمل نواحي مثل (1) نقاوة عبادتهم ليهوه، (2) احترام حياة الآخرين وممتلكاتهم، (3) احترام الزواج والطهارة الجنسية، (4) الحفاظ على العدل، (5) التحنن على المضطهدين والمظلومين في المجتمع، (6) الوكالة الأمينة في الأمور المالية، مع الله والإنسان.</w:t>
      </w:r>
    </w:p>
    <w:p w14:paraId="4D2B15AD"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14:ligatures w14:val="none"/>
        </w:rPr>
      </w:pPr>
    </w:p>
    <w:p w14:paraId="20893C5D" w14:textId="664EAC68" w:rsidR="00BE411E" w:rsidRDefault="00BE411E" w:rsidP="002D6C54">
      <w:pPr>
        <w:tabs>
          <w:tab w:val="left" w:pos="0"/>
          <w:tab w:val="left" w:pos="504"/>
          <w:tab w:val="left" w:pos="1008"/>
          <w:tab w:val="left" w:pos="1094"/>
          <w:tab w:val="left" w:pos="1512"/>
          <w:tab w:val="left" w:pos="1642"/>
          <w:tab w:val="left" w:pos="2016"/>
          <w:tab w:val="left" w:pos="2189"/>
          <w:tab w:val="left" w:pos="2520"/>
          <w:tab w:val="left" w:pos="2736"/>
          <w:tab w:val="left" w:pos="3024"/>
          <w:tab w:val="left" w:pos="3283"/>
          <w:tab w:val="left" w:pos="3528"/>
          <w:tab w:val="left" w:pos="3830"/>
          <w:tab w:val="left" w:pos="4032"/>
          <w:tab w:val="left" w:pos="4536"/>
          <w:tab w:val="left" w:pos="5040"/>
          <w:tab w:val="left" w:pos="5544"/>
          <w:tab w:val="left" w:pos="6048"/>
          <w:tab w:val="left" w:pos="6552"/>
          <w:tab w:val="left" w:pos="7056"/>
          <w:tab w:val="left" w:pos="7560"/>
          <w:tab w:val="left" w:pos="8064"/>
          <w:tab w:val="left" w:pos="8568"/>
          <w:tab w:val="left" w:pos="8640"/>
          <w:tab w:val="left" w:pos="9072"/>
        </w:tabs>
        <w:spacing w:after="120" w:line="240" w:lineRule="auto"/>
        <w:jc w:val="both"/>
        <w:rPr>
          <w:rFonts w:eastAsia="Times New Roman" w:cs="Times New Roman"/>
          <w:bCs/>
          <w:color w:val="auto"/>
          <w:kern w:val="0"/>
          <w:sz w:val="22"/>
          <w:lang w:bidi="ar-JO"/>
          <w14:ligatures w14:val="none"/>
        </w:rPr>
      </w:pPr>
    </w:p>
    <w:p w14:paraId="4BDD6D9D" w14:textId="3B2B9D00" w:rsidR="00BE411E" w:rsidRPr="007A4B15" w:rsidRDefault="00BE411E" w:rsidP="001E42C4">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bookmarkStart w:id="138" w:name="_Hlk178779087"/>
      <w:r w:rsidRPr="007A4B15">
        <w:rPr>
          <w:rFonts w:ascii="Verdana" w:eastAsia="Calibri" w:hAnsi="Verdana" w:cs="Times New Roman"/>
          <w:b/>
          <w:caps/>
          <w:noProof/>
          <w:color w:val="006699"/>
          <w:kern w:val="0"/>
          <w:sz w:val="21"/>
          <w:szCs w:val="24"/>
          <w14:ligatures w14:val="none"/>
        </w:rPr>
        <w:drawing>
          <wp:inline distT="0" distB="0" distL="0" distR="0" wp14:anchorId="6FFFBF57" wp14:editId="415C6324">
            <wp:extent cx="613692" cy="541464"/>
            <wp:effectExtent l="0" t="0" r="0" b="0"/>
            <wp:docPr id="674142303" name="Picture 674142303"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1E42C4" w:rsidRPr="001E42C4">
        <w:rPr>
          <w:rFonts w:ascii="Verdana" w:eastAsia="Calibri" w:hAnsi="Verdana" w:cs="Times New Roman" w:hint="cs"/>
          <w:bCs/>
          <w:caps/>
          <w:color w:val="006699"/>
          <w:kern w:val="0"/>
          <w:sz w:val="21"/>
          <w:szCs w:val="24"/>
          <w:u w:val="single"/>
          <w:rtl/>
          <w14:ligatures w14:val="none"/>
        </w:rPr>
        <w:t>القراءة:</w:t>
      </w:r>
      <w:r w:rsidR="001E42C4">
        <w:rPr>
          <w:rFonts w:ascii="Verdana" w:eastAsia="Calibri" w:hAnsi="Verdana" w:cs="Times New Roman" w:hint="cs"/>
          <w:b/>
          <w:caps/>
          <w:color w:val="006699"/>
          <w:kern w:val="0"/>
          <w:sz w:val="21"/>
          <w:szCs w:val="24"/>
          <w:u w:val="single"/>
          <w:rtl/>
          <w14:ligatures w14:val="none"/>
        </w:rPr>
        <w:t xml:space="preserve"> </w:t>
      </w:r>
    </w:p>
    <w:p w14:paraId="08C2F1DC" w14:textId="6A26A12A" w:rsidR="00BE411E" w:rsidRPr="002B24E1" w:rsidRDefault="00BE411E" w:rsidP="001E42C4">
      <w:pPr>
        <w:bidi/>
        <w:spacing w:line="240" w:lineRule="auto"/>
        <w:rPr>
          <w:b/>
          <w:bCs/>
        </w:rPr>
      </w:pPr>
      <w:r>
        <w:tab/>
      </w:r>
      <w:r>
        <w:tab/>
      </w:r>
      <w:r w:rsidR="001E42C4">
        <w:rPr>
          <w:rFonts w:hint="cs"/>
          <w:rtl/>
        </w:rPr>
        <w:t xml:space="preserve">اقرأ تثنية 12: 1 </w:t>
      </w:r>
      <w:r w:rsidR="001E42C4">
        <w:rPr>
          <w:rtl/>
        </w:rPr>
        <w:t>–</w:t>
      </w:r>
      <w:r w:rsidR="001E42C4">
        <w:rPr>
          <w:rFonts w:hint="cs"/>
          <w:rtl/>
        </w:rPr>
        <w:t xml:space="preserve"> 26: 19 في كتابك المُقدَّس. </w:t>
      </w:r>
    </w:p>
    <w:bookmarkEnd w:id="138"/>
    <w:p w14:paraId="4D06511B"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 xml:space="preserve">درس لحياتنا </w:t>
      </w:r>
    </w:p>
    <w:p w14:paraId="066255A6"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تأمَّل تثنية 4: 9.  ما أسهل أن </w:t>
      </w:r>
      <w:r w:rsidRPr="00070B6E">
        <w:rPr>
          <w:rFonts w:eastAsia="Times New Roman" w:cs="DecoType Naskh" w:hint="cs"/>
          <w:color w:val="auto"/>
          <w:kern w:val="0"/>
          <w:szCs w:val="26"/>
          <w:u w:val="single"/>
          <w:rtl/>
          <w:lang w:bidi="ar-JO"/>
          <w14:ligatures w14:val="none"/>
        </w:rPr>
        <w:t>ينسى</w:t>
      </w:r>
      <w:r w:rsidRPr="00070B6E">
        <w:rPr>
          <w:rFonts w:eastAsia="Times New Roman" w:cs="DecoType Naskh" w:hint="cs"/>
          <w:color w:val="auto"/>
          <w:kern w:val="0"/>
          <w:szCs w:val="26"/>
          <w:rtl/>
          <w:lang w:bidi="ar-JO"/>
          <w14:ligatures w14:val="none"/>
        </w:rPr>
        <w:t xml:space="preserve"> المرء.  فمهما كانت الانتصارات الروحية التي حققناها أو الامتيازات التي حصلنا عليها عندما رأينا الله يعمل ويصنع المعجزات، فقد ننسى وننجرف بعيداً.  لا تنظر بثقة زائدة إلى نفسك وتعتبر أن ما حصلت عليه أمر مفروغ منه، وإن من الحكمة أن يكون للمرء رفيق روحي... أخ يمكن أن يضع نفسه أمامه موضع المساءلة. </w:t>
      </w:r>
    </w:p>
    <w:p w14:paraId="67ED9747" w14:textId="77777777" w:rsidR="00BE411E" w:rsidRPr="00A41124" w:rsidRDefault="00BE411E" w:rsidP="002D6C54">
      <w:pPr>
        <w:tabs>
          <w:tab w:val="left" w:pos="547"/>
          <w:tab w:val="left" w:pos="1094"/>
          <w:tab w:val="left" w:pos="1642"/>
          <w:tab w:val="left" w:pos="2189"/>
          <w:tab w:val="left" w:pos="2736"/>
          <w:tab w:val="left" w:pos="3283"/>
          <w:tab w:val="left" w:pos="3830"/>
          <w:tab w:val="left" w:pos="4378"/>
        </w:tabs>
        <w:spacing w:after="120" w:line="240" w:lineRule="auto"/>
        <w:jc w:val="both"/>
        <w:rPr>
          <w:rFonts w:eastAsia="Times New Roman" w:cs="Times New Roman"/>
          <w:color w:val="auto"/>
          <w:kern w:val="0"/>
          <w:sz w:val="22"/>
          <w:szCs w:val="24"/>
          <w:lang w:bidi="ar-JO"/>
          <w14:ligatures w14:val="none"/>
        </w:rPr>
      </w:pPr>
    </w:p>
    <w:p w14:paraId="20D16A18" w14:textId="54EC4544" w:rsidR="00BE411E" w:rsidRPr="001E42C4" w:rsidRDefault="00857A90" w:rsidP="00857A90">
      <w:pPr>
        <w:pStyle w:val="Heading3"/>
        <w:bidi/>
        <w:spacing w:line="240" w:lineRule="auto"/>
      </w:pPr>
      <w:bookmarkStart w:id="139" w:name="_Hlk178779102"/>
      <w:r w:rsidRPr="001E42C4">
        <w:rPr>
          <w:rFonts w:ascii="Simplified Arabic" w:eastAsia="Calibri" w:hAnsi="Simplified Arabic" w:cs="Simplified Arabic" w:hint="cs"/>
          <w:rtl/>
          <w14:ligatures w14:val="none"/>
        </w:rPr>
        <w:t xml:space="preserve">الموضوع 4: مستقبل أمّة العهد (تثنية 27: 1 </w:t>
      </w:r>
      <w:r w:rsidRPr="001E42C4">
        <w:rPr>
          <w:rFonts w:ascii="Simplified Arabic" w:eastAsia="Calibri" w:hAnsi="Simplified Arabic" w:cs="Simplified Arabic"/>
          <w:rtl/>
          <w14:ligatures w14:val="none"/>
        </w:rPr>
        <w:t>–</w:t>
      </w:r>
      <w:r w:rsidRPr="001E42C4">
        <w:rPr>
          <w:rFonts w:ascii="Simplified Arabic" w:eastAsia="Calibri" w:hAnsi="Simplified Arabic" w:cs="Simplified Arabic" w:hint="cs"/>
          <w:rtl/>
          <w14:ligatures w14:val="none"/>
        </w:rPr>
        <w:t xml:space="preserve"> 34: 12)</w:t>
      </w:r>
    </w:p>
    <w:p w14:paraId="1CDFD265" w14:textId="7724FF70" w:rsidR="00BE411E" w:rsidRPr="007A4B15" w:rsidRDefault="00BE411E" w:rsidP="001E42C4">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bookmarkStart w:id="140" w:name="_Hlk157179225"/>
      <w:r w:rsidRPr="007A4B15">
        <w:rPr>
          <w:rFonts w:ascii="Verdana" w:eastAsia="Calibri" w:hAnsi="Verdana" w:cs="Times New Roman"/>
          <w:b/>
          <w:caps/>
          <w:noProof/>
          <w:color w:val="006699"/>
          <w:kern w:val="0"/>
          <w:sz w:val="21"/>
          <w:szCs w:val="24"/>
          <w14:ligatures w14:val="none"/>
        </w:rPr>
        <w:drawing>
          <wp:inline distT="0" distB="0" distL="0" distR="0" wp14:anchorId="105443B5" wp14:editId="0BB63240">
            <wp:extent cx="613692" cy="541464"/>
            <wp:effectExtent l="0" t="0" r="0" b="0"/>
            <wp:docPr id="18739591" name="Picture 18739591"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1E42C4" w:rsidRPr="001E42C4">
        <w:rPr>
          <w:rFonts w:ascii="Verdana" w:eastAsia="Calibri" w:hAnsi="Verdana" w:cs="Times New Roman" w:hint="cs"/>
          <w:bCs/>
          <w:caps/>
          <w:color w:val="006699"/>
          <w:kern w:val="0"/>
          <w:sz w:val="21"/>
          <w:szCs w:val="24"/>
          <w:u w:val="single"/>
          <w:rtl/>
          <w14:ligatures w14:val="none"/>
        </w:rPr>
        <w:t>القراءة:</w:t>
      </w:r>
    </w:p>
    <w:p w14:paraId="51971E98" w14:textId="2CEF7D31" w:rsidR="00BE411E" w:rsidRPr="002B24E1" w:rsidRDefault="00BE411E" w:rsidP="001E42C4">
      <w:pPr>
        <w:bidi/>
        <w:spacing w:line="240" w:lineRule="auto"/>
        <w:rPr>
          <w:b/>
          <w:bCs/>
        </w:rPr>
      </w:pPr>
      <w:r>
        <w:tab/>
      </w:r>
      <w:r>
        <w:tab/>
      </w:r>
      <w:r w:rsidR="001E42C4">
        <w:rPr>
          <w:rFonts w:hint="cs"/>
          <w:rtl/>
        </w:rPr>
        <w:t xml:space="preserve">اقرأ تثنية 27: 1 </w:t>
      </w:r>
      <w:r w:rsidR="001E42C4">
        <w:rPr>
          <w:rtl/>
        </w:rPr>
        <w:t>–</w:t>
      </w:r>
      <w:r w:rsidR="001E42C4">
        <w:rPr>
          <w:rFonts w:hint="cs"/>
          <w:rtl/>
        </w:rPr>
        <w:t xml:space="preserve"> 34: 12 في كتابك المُقدَّس. </w:t>
      </w:r>
    </w:p>
    <w:bookmarkEnd w:id="139"/>
    <w:bookmarkEnd w:id="140"/>
    <w:p w14:paraId="6AE96803" w14:textId="77777777" w:rsidR="00070B6E" w:rsidRPr="00070B6E" w:rsidRDefault="00070B6E" w:rsidP="002D6C54">
      <w:pPr>
        <w:bidi/>
        <w:spacing w:after="0" w:line="240" w:lineRule="auto"/>
        <w:jc w:val="center"/>
        <w:rPr>
          <w:rFonts w:eastAsia="Times New Roman" w:cs="Traditional Arabic Backslanted"/>
          <w:bCs/>
          <w:color w:val="auto"/>
          <w:kern w:val="0"/>
          <w:szCs w:val="28"/>
          <w:rtl/>
          <w:lang w:bidi="ar-JO"/>
          <w14:ligatures w14:val="none"/>
        </w:rPr>
      </w:pPr>
    </w:p>
    <w:p w14:paraId="1748390C"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1.</w:t>
      </w:r>
      <w:r w:rsidRPr="00070B6E">
        <w:rPr>
          <w:rFonts w:eastAsia="Times New Roman" w:cs="DecoType Naskh" w:hint="cs"/>
          <w:bCs/>
          <w:color w:val="auto"/>
          <w:kern w:val="0"/>
          <w:szCs w:val="28"/>
          <w:rtl/>
          <w:lang w:bidi="ar-JO"/>
          <w14:ligatures w14:val="none"/>
        </w:rPr>
        <w:tab/>
        <w:t>مقدمة</w:t>
      </w:r>
    </w:p>
    <w:p w14:paraId="48C141D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lastRenderedPageBreak/>
        <w:t xml:space="preserve">حمل العهد الإبراهيمي معه وعداً بأن يبارك يهوه الأمّة.  غير أن الأمة تعلّمت أن البركات متوقّفة على الطاعة.  ولهذا كان لا بد أن تعرف الأمة كيف تطيع يهوه لتحصل على البركات، وقد أخبرتهم الشريعة ماذا يجب أن يفعلوا.  كانت تثنية 4: 44-26: 19 توضيحاً أكثر وأعمق للناموس، معلِّمةً إياهم أسلوب حياة العهد.  سبق أن وضعت أمامهم توقُّعات يهوه منهم، وهم مدعوون إلى اتّخاذ قرار.  إن الجيل الجديد مدعو إلى </w:t>
      </w:r>
      <w:r w:rsidRPr="00070B6E">
        <w:rPr>
          <w:rFonts w:eastAsia="Times New Roman" w:cs="DecoType Naskh" w:hint="cs"/>
          <w:color w:val="auto"/>
          <w:kern w:val="0"/>
          <w:szCs w:val="26"/>
          <w:u w:val="single"/>
          <w:rtl/>
          <w:lang w:bidi="ar-JO"/>
          <w14:ligatures w14:val="none"/>
        </w:rPr>
        <w:t xml:space="preserve">تجديد العهد </w:t>
      </w:r>
      <w:r w:rsidRPr="00070B6E">
        <w:rPr>
          <w:rFonts w:eastAsia="Times New Roman" w:cs="DecoType Naskh" w:hint="cs"/>
          <w:color w:val="auto"/>
          <w:kern w:val="0"/>
          <w:szCs w:val="26"/>
          <w:rtl/>
          <w:lang w:bidi="ar-JO"/>
          <w14:ligatures w14:val="none"/>
        </w:rPr>
        <w:t xml:space="preserve"> مع يهوه قبل الدخول إلى الأرض.  غير أنهم ُينبَّهون بشكل كامل إلى ما ينتظرهم، إذ سيكون هنالك بركات ولعنات معاً، وسيكون كل جيل تالٍ مسؤولاً عن المحافظة على العهد.  وعلى الرغم من أن فشل الأجيال القادمة أمر لا مفر منه، إلاّ أن الردّ أمرٌ ممكن... فهنالك إذاً رجاء.</w:t>
      </w:r>
    </w:p>
    <w:p w14:paraId="3908F0E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270EFFE0"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2.</w:t>
      </w:r>
      <w:r w:rsidRPr="00070B6E">
        <w:rPr>
          <w:rFonts w:eastAsia="Times New Roman" w:cs="DecoType Naskh" w:hint="cs"/>
          <w:bCs/>
          <w:color w:val="auto"/>
          <w:kern w:val="0"/>
          <w:szCs w:val="28"/>
          <w:rtl/>
          <w:lang w:bidi="ar-JO"/>
          <w14:ligatures w14:val="none"/>
        </w:rPr>
        <w:tab/>
        <w:t>بنية هذا القسم</w:t>
      </w:r>
    </w:p>
    <w:p w14:paraId="057AF71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توجد وحدتان رئيسيتان في هذا القسم.  الوحدة الأولى هي 27: 1-30: 20، وتتضمن المصادقة على العهد والدعوة إلى الالتزام به.  والوحدة الثانية هي 31: 1-34: 12 التي تتناول بشكل رئيسي الأحداث الأخيرة في حياة موسى، إداري الأمّة الثيوقراطي منذ الخروج.  تسهم هذه الأحداث في استمرارية العهد.</w:t>
      </w:r>
    </w:p>
    <w:p w14:paraId="5964ED9D"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14:ligatures w14:val="none"/>
        </w:rPr>
      </w:pPr>
      <w:r w:rsidRPr="00070B6E">
        <w:rPr>
          <w:rFonts w:eastAsia="Times New Roman" w:cs="DecoType Naskh" w:hint="cs"/>
          <w:color w:val="auto"/>
          <w:kern w:val="0"/>
          <w:szCs w:val="26"/>
          <w:rtl/>
          <w:lang w:bidi="ar-JO"/>
          <w14:ligatures w14:val="none"/>
        </w:rPr>
        <w:t xml:space="preserve">  </w:t>
      </w:r>
    </w:p>
    <w:p w14:paraId="0FFC80D9"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أ.</w:t>
      </w:r>
      <w:r w:rsidRPr="00070B6E">
        <w:rPr>
          <w:rFonts w:eastAsia="Times New Roman" w:cs="DecoType Naskh" w:hint="cs"/>
          <w:color w:val="auto"/>
          <w:kern w:val="0"/>
          <w:szCs w:val="26"/>
          <w:rtl/>
          <w:lang w:bidi="ar-JO"/>
          <w14:ligatures w14:val="none"/>
        </w:rPr>
        <w:tab/>
        <w:t>المصادقة على العهد والالتزام به (27: 1-30: 20)</w:t>
      </w:r>
    </w:p>
    <w:p w14:paraId="64E7AC05"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1.</w:t>
      </w:r>
      <w:r w:rsidRPr="00070B6E">
        <w:rPr>
          <w:rFonts w:eastAsia="Times New Roman" w:cs="DecoType Naskh" w:hint="cs"/>
          <w:color w:val="auto"/>
          <w:kern w:val="0"/>
          <w:szCs w:val="26"/>
          <w:rtl/>
          <w:lang w:bidi="ar-JO"/>
          <w14:ligatures w14:val="none"/>
        </w:rPr>
        <w:tab/>
        <w:t>طقس المصادقة في كنعان (27: 1-26)</w:t>
      </w:r>
    </w:p>
    <w:p w14:paraId="26BF1595"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2.</w:t>
      </w:r>
      <w:r w:rsidRPr="00070B6E">
        <w:rPr>
          <w:rFonts w:eastAsia="Times New Roman" w:cs="DecoType Naskh" w:hint="cs"/>
          <w:color w:val="auto"/>
          <w:kern w:val="0"/>
          <w:szCs w:val="26"/>
          <w:rtl/>
          <w:lang w:bidi="ar-JO"/>
          <w14:ligatures w14:val="none"/>
        </w:rPr>
        <w:tab/>
        <w:t>إعلان البركات واللعنات (28: 1-29: 1)</w:t>
      </w:r>
    </w:p>
    <w:p w14:paraId="0BABBFD6"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3.</w:t>
      </w:r>
      <w:r w:rsidRPr="00070B6E">
        <w:rPr>
          <w:rFonts w:eastAsia="Times New Roman" w:cs="DecoType Naskh" w:hint="cs"/>
          <w:color w:val="auto"/>
          <w:kern w:val="0"/>
          <w:szCs w:val="26"/>
          <w:rtl/>
          <w:lang w:bidi="ar-JO"/>
          <w14:ligatures w14:val="none"/>
        </w:rPr>
        <w:tab/>
        <w:t>فرصة الاستجابة (29: 2-30: 20)</w:t>
      </w:r>
    </w:p>
    <w:p w14:paraId="56EB2BE3"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أ.</w:t>
      </w:r>
      <w:r w:rsidRPr="00070B6E">
        <w:rPr>
          <w:rFonts w:eastAsia="Times New Roman" w:cs="DecoType Naskh" w:hint="cs"/>
          <w:color w:val="auto"/>
          <w:kern w:val="0"/>
          <w:szCs w:val="26"/>
          <w:rtl/>
          <w:lang w:bidi="ar-JO"/>
          <w14:ligatures w14:val="none"/>
        </w:rPr>
        <w:tab/>
        <w:t>الدعوة إلى قَسَم العهد والتحذير من التمرّد (29: 2-29)</w:t>
      </w:r>
    </w:p>
    <w:p w14:paraId="16FF97AE"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ب.</w:t>
      </w:r>
      <w:r w:rsidRPr="00070B6E">
        <w:rPr>
          <w:rFonts w:eastAsia="Times New Roman" w:cs="DecoType Naskh" w:hint="cs"/>
          <w:color w:val="auto"/>
          <w:kern w:val="0"/>
          <w:szCs w:val="26"/>
          <w:rtl/>
          <w:lang w:bidi="ar-JO"/>
          <w14:ligatures w14:val="none"/>
        </w:rPr>
        <w:tab/>
        <w:t>الرد وطاعة العهد (30: 1-20)</w:t>
      </w:r>
    </w:p>
    <w:p w14:paraId="666ABD7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p>
    <w:p w14:paraId="27F41EA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p>
    <w:p w14:paraId="5B47E57F"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ب.</w:t>
      </w:r>
      <w:r w:rsidRPr="00070B6E">
        <w:rPr>
          <w:rFonts w:eastAsia="Times New Roman" w:cs="DecoType Naskh" w:hint="cs"/>
          <w:color w:val="auto"/>
          <w:kern w:val="0"/>
          <w:szCs w:val="26"/>
          <w:rtl/>
          <w:lang w:bidi="ar-JO"/>
          <w14:ligatures w14:val="none"/>
        </w:rPr>
        <w:tab/>
        <w:t>استمرارية العهد عند موت موسى (31: 1-34: 12)</w:t>
      </w:r>
    </w:p>
    <w:p w14:paraId="703C1F43"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1.</w:t>
      </w:r>
      <w:r w:rsidRPr="00070B6E">
        <w:rPr>
          <w:rFonts w:eastAsia="Times New Roman" w:cs="DecoType Naskh" w:hint="cs"/>
          <w:color w:val="auto"/>
          <w:kern w:val="0"/>
          <w:szCs w:val="26"/>
          <w:rtl/>
          <w:lang w:bidi="ar-JO"/>
          <w14:ligatures w14:val="none"/>
        </w:rPr>
        <w:tab/>
        <w:t>مواصلة العهد (3: 1-30)</w:t>
      </w:r>
    </w:p>
    <w:p w14:paraId="4D883D4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2.</w:t>
      </w:r>
      <w:r w:rsidRPr="00070B6E">
        <w:rPr>
          <w:rFonts w:eastAsia="Times New Roman" w:cs="DecoType Naskh" w:hint="cs"/>
          <w:color w:val="auto"/>
          <w:kern w:val="0"/>
          <w:szCs w:val="26"/>
          <w:rtl/>
          <w:lang w:bidi="ar-JO"/>
          <w14:ligatures w14:val="none"/>
        </w:rPr>
        <w:tab/>
        <w:t>نشيد موسى حول مستقبل إسرائيل الضال (32: 1-47)</w:t>
      </w:r>
    </w:p>
    <w:p w14:paraId="7EA3DB61" w14:textId="77777777" w:rsidR="00070B6E" w:rsidRPr="00070B6E" w:rsidRDefault="00070B6E" w:rsidP="002D6C54">
      <w:pPr>
        <w:numPr>
          <w:ilvl w:val="0"/>
          <w:numId w:val="30"/>
        </w:numPr>
        <w:tabs>
          <w:tab w:val="left" w:pos="550"/>
          <w:tab w:val="left" w:pos="1100"/>
          <w:tab w:val="left" w:pos="1650"/>
          <w:tab w:val="left" w:pos="2200"/>
          <w:tab w:val="left" w:pos="2750"/>
          <w:tab w:val="left" w:pos="3300"/>
          <w:tab w:val="left" w:pos="3850"/>
          <w:tab w:val="left" w:pos="4400"/>
        </w:tabs>
        <w:bidi/>
        <w:spacing w:after="0" w:line="240" w:lineRule="auto"/>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بركة موسى وموته (32: 48-34: 12)</w:t>
      </w:r>
    </w:p>
    <w:p w14:paraId="6F240B7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54D92F3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2AF65B54"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3.</w:t>
      </w:r>
      <w:r w:rsidRPr="00070B6E">
        <w:rPr>
          <w:rFonts w:eastAsia="Times New Roman" w:cs="DecoType Naskh" w:hint="cs"/>
          <w:bCs/>
          <w:color w:val="auto"/>
          <w:kern w:val="0"/>
          <w:szCs w:val="28"/>
          <w:rtl/>
          <w:lang w:bidi="ar-JO"/>
          <w14:ligatures w14:val="none"/>
        </w:rPr>
        <w:tab/>
        <w:t>المصادقة على العهد والالتزام به (27: 1-30: 20)</w:t>
      </w:r>
    </w:p>
    <w:p w14:paraId="481A7E61"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أ.</w:t>
      </w:r>
      <w:r w:rsidRPr="00070B6E">
        <w:rPr>
          <w:rFonts w:eastAsia="Times New Roman" w:cs="DecoType Naskh" w:hint="cs"/>
          <w:bCs/>
          <w:color w:val="auto"/>
          <w:kern w:val="0"/>
          <w:szCs w:val="26"/>
          <w:rtl/>
          <w14:ligatures w14:val="none"/>
        </w:rPr>
        <w:tab/>
        <w:t>طقس المصادقة في كنعان (27: 10-26)</w:t>
      </w:r>
    </w:p>
    <w:p w14:paraId="3B6F396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فصّل القسم السابق التوقعات المحددة من أمّة يهوه الفريدة.  وعلى الرغم من أنه لم يكن شاملاً بالضرورة، إلاّ أنه قدّم صورة واضحة للمطالب الموضوعة على شعب سيكون مقتنى فريداً لله بين شعوب العالم.  وكدليل لوعيهم لما طُلب إليهم أن يكرّسوا أنفسهم له بالطاعة، طُلب إلى الأمّة أن تقوم بطقسٍ احتفالي لتجديد العهد حال ترسيخ أنفسهم في أرض الموعد.  كان عليهم، كدليل على أخذهم للعهد مأخذ الجد، أن يعلنوا البركات واللعنات من فوق جبلي عيبال وجرزيم.  وسيكون هذا الطقس الاحتفالي والمذبح الذي سيبنونه شاهداً على الواجبات والالتزامات التي اضطلع بها الشعب.  وإن من الواضح أنهم كانوا عرضة للمساءلة حول أمانتهم في حفظ العهد.</w:t>
      </w:r>
    </w:p>
    <w:p w14:paraId="34FA59B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0351BDBF" w14:textId="5EF33E02"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وبين جبلي عيبال وجرزيم كانت تقع مدينة شكيم على بعد 32 ميلاً إلى الشمال من أورشليم.  كان إبراهيم قد بنى أول مذبح له ليهوه في هذا الموقع (تكوين 12: 4-9).  ومن هناك بدأ ينادي باسم يهوه.  كان ذلك هو المكان الذي أشار منه الله إلى أن هذه هي الأرض التي سيعطيها لنسل إبراهيم.  والآن سيقوم الجيل الذي تحت قيادة يشوع بإعلان تمسّكهم بالعهد مع يهوه في نفس المنطقة.  وسيقومون بطريقة مشابهة ببناء حجارة تذكارية ومذبح على جبل عيبال.  وهكذا كان هذا الطقس الاحتفالي تذكاراً ملائماً بأمانة يهوه.  فها الله الآن يعطي الأمّة في أمانته ما سبق أن وعد به لإبراهيم.</w:t>
      </w:r>
    </w:p>
    <w:p w14:paraId="71E8F53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1134A7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سيتضمن جزء آخر من الطقس تقسيم الشعب إلى مجموعتين، حيث توضع المجموعة الأولى على جبل جرزيم لإعلان البركات، والمجموعة الأخرى على جبل عيبال لإعلان البركات.  وقد أوضح هذا الاحتفال التفرع الثنائي القوي بين الطاعة المصحوبة بالبركة وبين العصيان المصحوب باللعنة.  فكان على الشعب أن يكونوا في إحدى الخانتين؛ إذ لم يكن الله يريد نصف طاعة.</w:t>
      </w:r>
    </w:p>
    <w:p w14:paraId="2C1CBD2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590652A" w14:textId="3AFA15F5"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Pr>
          <w:rFonts w:eastAsia="Times New Roman" w:cs="DecoType Naskh" w:hint="cs"/>
          <w:noProof/>
          <w:color w:val="auto"/>
          <w:kern w:val="0"/>
          <w:szCs w:val="26"/>
          <w:lang w:bidi="ar-JO"/>
          <w14:ligatures w14:val="none"/>
        </w:rPr>
        <w:drawing>
          <wp:inline distT="0" distB="0" distL="0" distR="0" wp14:anchorId="72BFECE0" wp14:editId="50B75807">
            <wp:extent cx="5676900" cy="4032055"/>
            <wp:effectExtent l="0" t="0" r="0" b="0"/>
            <wp:docPr id="2764591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678464" cy="4033166"/>
                    </a:xfrm>
                    <a:prstGeom prst="rect">
                      <a:avLst/>
                    </a:prstGeom>
                    <a:noFill/>
                    <a:ln>
                      <a:noFill/>
                    </a:ln>
                  </pic:spPr>
                </pic:pic>
              </a:graphicData>
            </a:graphic>
          </wp:inline>
        </w:drawing>
      </w:r>
    </w:p>
    <w:p w14:paraId="257527A9"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A7F394A"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ب.</w:t>
      </w:r>
      <w:r w:rsidRPr="00070B6E">
        <w:rPr>
          <w:rFonts w:eastAsia="Times New Roman" w:cs="DecoType Naskh" w:hint="cs"/>
          <w:bCs/>
          <w:color w:val="auto"/>
          <w:kern w:val="0"/>
          <w:szCs w:val="26"/>
          <w:rtl/>
          <w14:ligatures w14:val="none"/>
        </w:rPr>
        <w:tab/>
        <w:t>إعلان البركات واللعنات (28: 1-29: 1)</w:t>
      </w:r>
    </w:p>
    <w:p w14:paraId="1DC59CE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تقدّم القائمة الطويلة من البركات واللعنات للأمة أساساً تفهم بموجبه تعاملات الرب معها في أيّة لحظة من التاريخ.  وإذ كانت الأمة تستمع، أخذ موسى يصف لهم طبيعة البركات واللعنات.  إذ ستكون هنالك بركات للطاعة (28: 1-14) ولعنات للعصيان                           (28: 15-29: 1).  كان المبدأ بسيطاً: "البركات مشروطة بالطاعة!" وسيكون هذا هو المبدأ العام الذي سيتعامل الله بموجبه مع الشعب المفدي عندما يكونون في الأرض.  وهذا الأصحاح هام جدّاً، خاصة عندما نتناول الكتب النبوية.  التفاصيل المذكورة في تثنية 28 تعكس حقيقة إن كانت الأمة تحت التأديب أم تحت البركة.  وإن أحد الأمثلة البارزة على ذلك هو بركة المطر (28: 12)؛ فتعرُّض الأمة للجفاف يعكس استياء الله منهم.  ويمكن لبركات المطر والحصاد، والأمان من أعدائهم، والحريّة من الأمراض أن تكون كلّها من نصيبهم إذا أطاعوا.</w:t>
      </w:r>
    </w:p>
    <w:p w14:paraId="41204B24"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0EEF7108" w14:textId="77777777" w:rsid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lang w:bidi="ar-JO"/>
          <w14:ligatures w14:val="none"/>
        </w:rPr>
      </w:pPr>
      <w:r w:rsidRPr="00070B6E">
        <w:rPr>
          <w:rFonts w:eastAsia="Times New Roman" w:cs="DecoType Naskh" w:hint="cs"/>
          <w:color w:val="auto"/>
          <w:kern w:val="0"/>
          <w:szCs w:val="26"/>
          <w:rtl/>
          <w:lang w:bidi="ar-JO"/>
          <w14:ligatures w14:val="none"/>
        </w:rPr>
        <w:t>أمّا إذا لم يطيعوا، فستأتي اللعنات متدرّجة متزايدة الشدة، ويمكن أن تصل إلى ذروتها في السماح بغزو أجنبي وبالسبي... سيذهبون إلى السبي (ويزاحون من أرض الموعد).  وستجبر هذه الظروف الأمّة على الركوع وانسحاق الروح.  تقول 28: 34: "</w:t>
      </w:r>
      <w:r w:rsidRPr="00070B6E">
        <w:rPr>
          <w:rFonts w:eastAsia="Times New Roman" w:cs="DecoType Naskh" w:hint="cs"/>
          <w:i/>
          <w:iCs/>
          <w:color w:val="auto"/>
          <w:kern w:val="0"/>
          <w:szCs w:val="26"/>
          <w:rtl/>
          <w:lang w:bidi="ar-JO"/>
          <w14:ligatures w14:val="none"/>
        </w:rPr>
        <w:t>وتكون مجنوناً من منظر عينيك الذي تنظر</w:t>
      </w:r>
      <w:r w:rsidRPr="00070B6E">
        <w:rPr>
          <w:rFonts w:eastAsia="Times New Roman" w:cs="DecoType Naskh" w:hint="cs"/>
          <w:color w:val="auto"/>
          <w:kern w:val="0"/>
          <w:szCs w:val="26"/>
          <w:rtl/>
          <w:lang w:bidi="ar-JO"/>
          <w14:ligatures w14:val="none"/>
        </w:rPr>
        <w:t xml:space="preserve">."  قارن تثنية 28: 52-57 مع 2ملوك 6: 34-31 ومراثي 2: 30؛ 4: 10.  فكما أحضرهم الرب إلى الأرض، فإنه يستطيع أن يخرجهم من </w:t>
      </w:r>
      <w:r w:rsidRPr="00070B6E">
        <w:rPr>
          <w:rFonts w:eastAsia="Times New Roman" w:cs="DecoType Naskh" w:hint="cs"/>
          <w:color w:val="auto"/>
          <w:kern w:val="0"/>
          <w:szCs w:val="26"/>
          <w:rtl/>
          <w:lang w:bidi="ar-JO"/>
          <w14:ligatures w14:val="none"/>
        </w:rPr>
        <w:lastRenderedPageBreak/>
        <w:t>الأرض تأديباً لهم.  إذ سيهاجَمون (49-51) ويحاصَرون (52-57)، ويُشتَّتون في نهاية الأمر بين الأمم (36-37، 41، 64).  والآية 28: 64 جديرة بالملاحظة، لأنها تتطلع إلى سبي أكثر اتساعاً من السبي إلى بابل.  "</w:t>
      </w:r>
      <w:r w:rsidRPr="00070B6E">
        <w:rPr>
          <w:rFonts w:eastAsia="Times New Roman" w:cs="DecoType Naskh" w:hint="cs"/>
          <w:i/>
          <w:iCs/>
          <w:color w:val="auto"/>
          <w:kern w:val="0"/>
          <w:szCs w:val="26"/>
          <w:rtl/>
          <w:lang w:bidi="ar-JO"/>
          <w14:ligatures w14:val="none"/>
        </w:rPr>
        <w:t>ويبدّدك الرب في جميع الشعوب من أقصاء الأرض إلى أقصائها...</w:t>
      </w:r>
      <w:r w:rsidRPr="00070B6E">
        <w:rPr>
          <w:rFonts w:eastAsia="Times New Roman" w:cs="DecoType Naskh" w:hint="cs"/>
          <w:color w:val="auto"/>
          <w:kern w:val="0"/>
          <w:szCs w:val="26"/>
          <w:rtl/>
          <w:lang w:bidi="ar-JO"/>
          <w14:ligatures w14:val="none"/>
        </w:rPr>
        <w:t>" وهذا هو وضع اليهود اليوم.  إنهم مشتّتون، وهم تحت التأديب، لكن هذا لا يعني أن العهد الإبراهيمي مع الله قد أُلغي.</w:t>
      </w:r>
    </w:p>
    <w:p w14:paraId="217CC6F3" w14:textId="77777777" w:rsid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lang w:bidi="ar-JO"/>
          <w14:ligatures w14:val="none"/>
        </w:rPr>
      </w:pPr>
    </w:p>
    <w:p w14:paraId="12D0084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1DAC43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هذه اللعنات موصوفة في 28: 46 على أنها "آية" أي علامة على الأمّة (لنتذكر أن الآية [العلامة] استخدمت لتأييد أمر الله الموجَّه إلى فرعون).  والغرض من الآيات هو تذكير الأمّة بأنها لم تكن مطيعة.  وسيدل استمرار الآيات على مقاومة إسرائيل للرب ويذكّرهم بواجباتهم والتزاماتهم.  وستكون الأمم الغازية عاملاً أو وسيطاً هاماً في التأديب (28: 47-48).  ويمكن أن يكون النمط كما يلي:</w:t>
      </w:r>
    </w:p>
    <w:p w14:paraId="50A56650"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خطية ... غزو... توبة... إقامة الله لمخلِّص</w:t>
      </w:r>
    </w:p>
    <w:p w14:paraId="7452F515"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2D9127A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أصبح هذا النمط بارزاً جداً في فترة القضاة.  رأى الشعب أثناء تلك الفترة الغزوات كعلامات ضدّهم.  وأثناء فترة المملكة الموحَّدة كان هنالك سلام وانتصار بسبب طاعتهم النسبية.  وأثناء فترة المملكة المنقسمة، لم تُبالِ المملكة الشمالية بالآيات، فذهبت إلى السبي              (722 ق م).  ومضت المملكة الجنوبية أيضاً في نهاية المطاف إلى السبي في عام 586ق م.  كان هنالك تمديد لفترة المملكة الجنوبية بسبب وجود ملوك قاموا بحركات إصلاحية. </w:t>
      </w:r>
    </w:p>
    <w:p w14:paraId="34AB29C7"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ونكتشف مع كتابة سفر دانيال (الذي كُتب أثناء السبي البابلي) أن على الأمّة أن تخضع لـ "أزمنة الأمم"، وهي فترة ستمتد من سقوط أورشليم في  586ق م حتى حُكم المسيّا.  وهكذا ظهرت علامات تثنية 28 في تاريخ إسرائيل وقد أُعطيت لردّ الأمة ثانية (انظر 28: 58-59). </w:t>
      </w:r>
    </w:p>
    <w:p w14:paraId="256E97A7"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 xml:space="preserve"> </w:t>
      </w:r>
    </w:p>
    <w:p w14:paraId="1EBCABC6"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تنبّه تثنية 29: 1 القارئ إلى أن العهد المقطوع في سهول موآب ليس مطابقاً للعهد المقطوع عند جبل سيناء.  فالعهد المشروح في تثنية كان "</w:t>
      </w:r>
      <w:r w:rsidRPr="00070B6E">
        <w:rPr>
          <w:rFonts w:eastAsia="Times New Roman" w:cs="DecoType Naskh" w:hint="cs"/>
          <w:i/>
          <w:iCs/>
          <w:color w:val="auto"/>
          <w:kern w:val="0"/>
          <w:szCs w:val="26"/>
          <w:rtl/>
          <w:lang w:bidi="ar-JO"/>
          <w14:ligatures w14:val="none"/>
        </w:rPr>
        <w:t xml:space="preserve"> فضلاً عن (إلى جانب) العهد الذي قطعه معهم في حوريب</w:t>
      </w:r>
      <w:r w:rsidRPr="00070B6E">
        <w:rPr>
          <w:rFonts w:eastAsia="Times New Roman" w:cs="DecoType Naskh" w:hint="cs"/>
          <w:color w:val="auto"/>
          <w:kern w:val="0"/>
          <w:szCs w:val="26"/>
          <w:rtl/>
          <w:lang w:bidi="ar-JO"/>
          <w14:ligatures w14:val="none"/>
        </w:rPr>
        <w:t xml:space="preserve">."  وهما متشابهان من نواحٍ كثيرة، على الرغم من أن العهد التثنوي الثاني يتميّز بالتاريخ والخبرات.  وينظر بعض الباحثين التابعين لمدرسة الفكر ما قبل الألفي (مثلاً جي د. بنتيكوست) إلى تثنية 28-30 باعتباره "العهد الفلسطيني" بسبب التركيز على الأرض.  وهم يعتبرونه عهداً غير مشروط ومتميّزاً عن العهد الموسوي، وينظرون إليه  على أنه يوسّع وعود العهد الإبراهيمي في ما يختص بالأرض ويسهب في الحديث عنها.  أمّا أنا، فأفضّل أن أنظر إلى سفر التثنية بصفته </w:t>
      </w:r>
      <w:r w:rsidRPr="00070B6E">
        <w:rPr>
          <w:rFonts w:eastAsia="Times New Roman" w:cs="DecoType Naskh" w:hint="cs"/>
          <w:i/>
          <w:iCs/>
          <w:color w:val="auto"/>
          <w:kern w:val="0"/>
          <w:szCs w:val="26"/>
          <w:rtl/>
          <w:lang w:bidi="ar-JO"/>
          <w14:ligatures w14:val="none"/>
        </w:rPr>
        <w:t xml:space="preserve">تجديداً </w:t>
      </w:r>
      <w:r w:rsidRPr="00070B6E">
        <w:rPr>
          <w:rFonts w:eastAsia="Times New Roman" w:cs="DecoType Naskh" w:hint="cs"/>
          <w:color w:val="auto"/>
          <w:kern w:val="0"/>
          <w:szCs w:val="26"/>
          <w:rtl/>
          <w:lang w:bidi="ar-JO"/>
          <w14:ligatures w14:val="none"/>
        </w:rPr>
        <w:t xml:space="preserve">للعهد الموسوي مع الجيل الجديد حيث توجد وعود كثيرة مرتبطة بالأرض.  لكن العهد ليس مقصوراً على الأصحاحات 28-30، ولا يقتصر على الأرض.  غير أنه يؤكّد أن لإسرائيل مستقبلاً </w:t>
      </w:r>
      <w:r w:rsidRPr="00070B6E">
        <w:rPr>
          <w:rFonts w:eastAsia="Times New Roman" w:cs="DecoType Naskh" w:hint="cs"/>
          <w:i/>
          <w:iCs/>
          <w:color w:val="auto"/>
          <w:kern w:val="0"/>
          <w:szCs w:val="26"/>
          <w:rtl/>
          <w:lang w:bidi="ar-JO"/>
          <w14:ligatures w14:val="none"/>
        </w:rPr>
        <w:t>في الأرض (لكن لجيلٍ مستقبلي تائب)</w:t>
      </w:r>
      <w:r w:rsidRPr="00070B6E">
        <w:rPr>
          <w:rFonts w:eastAsia="Times New Roman" w:cs="DecoType Naskh" w:hint="cs"/>
          <w:color w:val="auto"/>
          <w:kern w:val="0"/>
          <w:szCs w:val="26"/>
          <w:rtl/>
          <w:lang w:bidi="ar-JO"/>
          <w14:ligatures w14:val="none"/>
        </w:rPr>
        <w:t>.</w:t>
      </w:r>
    </w:p>
    <w:p w14:paraId="4716970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8ADE2E8" w14:textId="77777777" w:rsidR="00070B6E" w:rsidRPr="00070B6E" w:rsidRDefault="00070B6E"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070B6E">
        <w:rPr>
          <w:rFonts w:eastAsia="Times New Roman" w:cs="DecoType Naskh" w:hint="cs"/>
          <w:bCs/>
          <w:color w:val="auto"/>
          <w:kern w:val="0"/>
          <w:szCs w:val="26"/>
          <w:rtl/>
          <w14:ligatures w14:val="none"/>
        </w:rPr>
        <w:t>جـ.</w:t>
      </w:r>
      <w:r w:rsidRPr="00070B6E">
        <w:rPr>
          <w:rFonts w:eastAsia="Times New Roman" w:cs="DecoType Naskh" w:hint="cs"/>
          <w:bCs/>
          <w:color w:val="auto"/>
          <w:kern w:val="0"/>
          <w:szCs w:val="26"/>
          <w:rtl/>
          <w14:ligatures w14:val="none"/>
        </w:rPr>
        <w:tab/>
        <w:t>فرصة الاستجابة (29: 2-30: 20)</w:t>
      </w:r>
    </w:p>
    <w:p w14:paraId="51E6AA8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رسمت الأصحاحات السابقة بدقّة العهد الذي يطالب الله إسرائيل بالدخول فيه.  وقد تحدّثت عن طبيعة الطاعة وتوقّعاتها ومسؤولياتها بشكل مفصَّل.  أمّا الآن فتُشجّع الأمة على الاستجابة: أن تجدد العهد وتستمر في الطاعة.  وقد ذُكّرت الأمّة بأن خيار تجديد العهد جزء من البرنامج الإلهي المستمر الذي بدأ بإبراهيم (29: 13).  غير أن الأمّة نُبّهت إلى أن التأديب النهائي بالغزو والسبي سيقع على جيلٍ عاصِ مستقبلاً، على الرغم من أن الرد ولم الشمل سيظل أمراً ممكناً.</w:t>
      </w:r>
    </w:p>
    <w:p w14:paraId="192A065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C422200"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1.</w:t>
      </w:r>
      <w:r w:rsidRPr="00070B6E">
        <w:rPr>
          <w:rFonts w:eastAsia="Times New Roman" w:cs="DecoType Naskh" w:hint="cs"/>
          <w:color w:val="auto"/>
          <w:kern w:val="0"/>
          <w:szCs w:val="26"/>
          <w:rtl/>
          <w:lang w:bidi="ar-JO"/>
          <w14:ligatures w14:val="none"/>
        </w:rPr>
        <w:tab/>
        <w:t>دعوة إلى قسم العهد والتحذير من التمرّد (9: 1-29)</w:t>
      </w:r>
    </w:p>
    <w:p w14:paraId="101F578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تشكّل الآية 29: 4 فكرة هامّة جداً في لاهوت برنامج الله مع إسرائيل: "</w:t>
      </w:r>
      <w:r w:rsidRPr="00070B6E">
        <w:rPr>
          <w:rFonts w:eastAsia="Times New Roman" w:cs="DecoType Naskh" w:hint="cs"/>
          <w:i/>
          <w:iCs/>
          <w:color w:val="auto"/>
          <w:kern w:val="0"/>
          <w:szCs w:val="26"/>
          <w:rtl/>
          <w:lang w:bidi="ar-JO"/>
          <w14:ligatures w14:val="none"/>
        </w:rPr>
        <w:t xml:space="preserve">ولكن لم يعطِكم الله </w:t>
      </w:r>
      <w:r w:rsidRPr="00070B6E">
        <w:rPr>
          <w:rFonts w:eastAsia="Times New Roman" w:cs="DecoType Naskh" w:hint="cs"/>
          <w:i/>
          <w:iCs/>
          <w:color w:val="auto"/>
          <w:kern w:val="0"/>
          <w:szCs w:val="26"/>
          <w:u w:val="single"/>
          <w:rtl/>
          <w:lang w:bidi="ar-JO"/>
          <w14:ligatures w14:val="none"/>
        </w:rPr>
        <w:t>قلباً</w:t>
      </w:r>
      <w:r w:rsidRPr="00070B6E">
        <w:rPr>
          <w:rFonts w:eastAsia="Times New Roman" w:cs="DecoType Naskh" w:hint="cs"/>
          <w:i/>
          <w:iCs/>
          <w:color w:val="auto"/>
          <w:kern w:val="0"/>
          <w:szCs w:val="26"/>
          <w:rtl/>
          <w:lang w:bidi="ar-JO"/>
          <w14:ligatures w14:val="none"/>
        </w:rPr>
        <w:t xml:space="preserve"> لتفهموا، وأعيناً لتصروا، وآذاناً لتسمعوا إلى هذا اليوم</w:t>
      </w:r>
      <w:r w:rsidRPr="00070B6E">
        <w:rPr>
          <w:rFonts w:eastAsia="Times New Roman" w:cs="DecoType Naskh" w:hint="cs"/>
          <w:color w:val="auto"/>
          <w:kern w:val="0"/>
          <w:szCs w:val="26"/>
          <w:rtl/>
          <w:lang w:bidi="ar-JO"/>
          <w14:ligatures w14:val="none"/>
        </w:rPr>
        <w:t xml:space="preserve">."  كان لإسرائيل امتياز إمكانية التعلّم من خبرة إنقاذ الله لهم من مصر (لاحظ الآيات 5-9) بالإضافة إلى خبرات البرّية، لكن ما يزال هنالك شيء حيوي ناقص، إذ </w:t>
      </w:r>
      <w:r w:rsidRPr="00070B6E">
        <w:rPr>
          <w:rFonts w:eastAsia="Times New Roman" w:cs="DecoType Naskh" w:hint="cs"/>
          <w:color w:val="auto"/>
          <w:kern w:val="0"/>
          <w:szCs w:val="26"/>
          <w:rtl/>
          <w:lang w:bidi="ar-JO"/>
          <w14:ligatures w14:val="none"/>
        </w:rPr>
        <w:lastRenderedPageBreak/>
        <w:t>لم يفهموا عمل الله فهماً تاماً ولم يدركوا حاجتهم.  فقبل أن تتمكن الأمّة من الخضوع بشكل كامل ليهوه وتحصل بهذا على بركاته، لا بدّ أن يقوم يهوه بعملية تحويل في داخلهم.  كانوا في حاجة إلى قلب مختون! ولا يمكن أن يأتي هذا إلاّ من يهوه (يجب أن يعطى لهم هذا القلب)، ولن تتمتع إسرائيل أبداً بعلاقة سليمة مع يهوه إلى أن يقوم بهذا العمل الخارق.  وسيعطى هذا القلب الجديد للأمة من خلال العهد الجديد (إرميا 31: 31 فصاعداً).</w:t>
      </w:r>
    </w:p>
    <w:p w14:paraId="1D6CD34C"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وفي هذا العصر الحاضر يشارك المؤمنون بالمسيح في بعض بركات العهد الإبراهيمي (مثلاً،  غفران كامل للخطايا).  غير أن إسرائيل لم تدخل بعد كأمّة في العهد الجديد (انظر رومية 11: 27).  تتطلع تثنية 30: 6 إلى نوال "قلب مختون"، وهو حدث يتحقق عندما تتم إقامة العهد الجديد مع إسرائيل في سياق المجيء الثاني للمسيح.  عندئذ ستُجمع إسرائيل في أرض الوعد وتعطى قلباً لمعرفة الرب.  سيكون هذا إعداداً للحكم الألفي للمسيح من أورشليم.</w:t>
      </w:r>
    </w:p>
    <w:p w14:paraId="72F2BF8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65A9C134"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وبين زمن موسى والزمن الذي سيتم فيه إدخال إسرائيل في العهد الجديد وإعطائهم قلباً مختوناً، لا بدّ أن تختبر الأمة تأديب الله لها على عصيانها.  سيأتي تأديب خفيف على أجيال عديدة (وفق درجة عصيانها)،  لكن العصيان سيصل إلى ذروته في جيل واحد معيّن سيختبر ملء اللعنات.  ونتيجة لذلك، سيصير ذلك الجيل درساً لكل الشعوب:</w:t>
      </w:r>
    </w:p>
    <w:p w14:paraId="3C65E625"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ويقول جميع الأمم: "لماذا فعل الرب هكذا بهذه الأرض؟ لماذا حُمُوُّ هذا الغضب العظيم؟" فيقولون: "لأنهم تركوا عهد الرب..." (تثنية 29: 24-25).</w:t>
      </w:r>
    </w:p>
    <w:p w14:paraId="2C3AF5C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مهما حصل مع إسرائيل، فإنه يمكننا أن نتأكد أن ظروفها لن تكون أبداً من قبيل الصدفة.  بل ستكون دائماً بترتيب إلهي! وستكون اللعنات على الأرض متناسبة مع عصيان إسرائيل للعهد الذي قطعته مع يهوه.</w:t>
      </w:r>
    </w:p>
    <w:p w14:paraId="6CF2BE8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37855ECC" w14:textId="77777777" w:rsidR="00070B6E" w:rsidRPr="00070B6E" w:rsidRDefault="00070B6E"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2.</w:t>
      </w:r>
      <w:r w:rsidRPr="00070B6E">
        <w:rPr>
          <w:rFonts w:eastAsia="Times New Roman" w:cs="DecoType Naskh" w:hint="cs"/>
          <w:color w:val="auto"/>
          <w:kern w:val="0"/>
          <w:szCs w:val="26"/>
          <w:rtl/>
          <w:lang w:bidi="ar-JO"/>
          <w14:ligatures w14:val="none"/>
        </w:rPr>
        <w:tab/>
        <w:t>ردّ وطاعة العهد (30: 1-20)</w:t>
      </w:r>
    </w:p>
    <w:p w14:paraId="129292D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يُنبئ الأصحاح 29 ارتداد إسرائيل الأكيد واختبارها للعنات.  سيأتي النفي والسبي لأن الأمّة ستبتعد في نهاية الأمر عن يهوه بعصيانها.  غير أن الرد أمر ممكن.  أمّا الردّ الذي تتصوره تثنية 30: 1-10 فليس ردّاً من السبي البابلي فحسب، لكنه أيضاً الرد النهائي في المستقبل البعيد.  وهذه الفقرة، في واقع الأمر، نموذج لكيفية تعامل الرب مع أي جيل  من أجيال إسرائيل يتوب ويُرَد.  والفكرة هنا هي أن التوبة القومية هي شرط مسبق للرد والعودة إلى الأرض  (انظر صلاة دانيال، دانيال 9: 4-19).</w:t>
      </w:r>
    </w:p>
    <w:p w14:paraId="1C186766"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6F43825A"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لخّصت في رسالة الماجستير التي قدّمتها النقاش حول رد إسرائيل كما هو مبيّن في تثنية 30: 1-10:</w:t>
      </w:r>
    </w:p>
    <w:p w14:paraId="0BECAFC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"يتناول العهد القديم مسألة رد إسرائيل تناولاً مطوّلاً، معتمداً بشكل أساسي على تثنية 28- 30. ويبدو أن هذا المقطع أصبح أساساً لمادة نبوية كثيرة لاحقة، خاصة استخدام تعبير "يتوب" (</w:t>
      </w:r>
      <w:r w:rsidRPr="00070B6E">
        <w:rPr>
          <w:rFonts w:ascii="Ezra SIL" w:eastAsia="Times New Roman" w:hAnsi="Ezra SIL" w:cs="Ezra SIL" w:hint="cs"/>
          <w:color w:val="auto"/>
          <w:kern w:val="0"/>
          <w:rtl/>
          <w:lang w:bidi="he-IL"/>
          <w14:ligatures w14:val="none"/>
        </w:rPr>
        <w:t>שׁוב</w:t>
      </w:r>
      <w:r w:rsidRPr="00070B6E">
        <w:rPr>
          <w:rFonts w:eastAsia="Times New Roman" w:cs="DecoType Naskh" w:hint="cs"/>
          <w:color w:val="auto"/>
          <w:kern w:val="0"/>
          <w:szCs w:val="26"/>
          <w:rtl/>
          <w:lang w:bidi="ar-JO"/>
          <w14:ligatures w14:val="none"/>
        </w:rPr>
        <w:t>) و "يردّ سبيك (ثروتك)" (</w:t>
      </w:r>
      <w:r w:rsidRPr="00070B6E">
        <w:rPr>
          <w:rFonts w:ascii="Ezra SIL" w:eastAsia="Times New Roman" w:hAnsi="Ezra SIL" w:cs="Ezra SIL" w:hint="cs"/>
          <w:color w:val="auto"/>
          <w:kern w:val="0"/>
          <w:rtl/>
          <w:lang w:bidi="he-IL"/>
          <w14:ligatures w14:val="none"/>
        </w:rPr>
        <w:t>שׁוב שׁבות</w:t>
      </w:r>
      <w:r w:rsidRPr="00070B6E">
        <w:rPr>
          <w:rFonts w:eastAsia="Times New Roman" w:cs="DecoType Naskh" w:hint="cs"/>
          <w:color w:val="auto"/>
          <w:kern w:val="0"/>
          <w:szCs w:val="26"/>
          <w:rtl/>
          <w:lang w:bidi="ar-JO"/>
          <w14:ligatures w14:val="none"/>
        </w:rPr>
        <w:t>).  وقد أصبح هذا التعبير تعبيراً واصفاً لردّ إسرائيل:</w:t>
      </w:r>
    </w:p>
    <w:p w14:paraId="12205384"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إن أقدم استخدام لتعبير (</w:t>
      </w:r>
      <w:r w:rsidRPr="00070B6E">
        <w:rPr>
          <w:rFonts w:ascii="Ezra SIL" w:eastAsia="Times New Roman" w:hAnsi="Ezra SIL" w:cs="Ezra SIL" w:hint="cs"/>
          <w:color w:val="auto"/>
          <w:kern w:val="0"/>
          <w:rtl/>
          <w:lang w:bidi="he-IL"/>
          <w14:ligatures w14:val="none"/>
        </w:rPr>
        <w:t>שׁוב שׁבות</w:t>
      </w:r>
      <w:r w:rsidRPr="00070B6E">
        <w:rPr>
          <w:rFonts w:eastAsia="Times New Roman" w:cs="DecoType Naskh" w:hint="cs"/>
          <w:color w:val="auto"/>
          <w:kern w:val="0"/>
          <w:szCs w:val="26"/>
          <w:rtl/>
          <w:lang w:bidi="ar-JO"/>
          <w14:ligatures w14:val="none"/>
        </w:rPr>
        <w:t>) موجود في تثنية 30: 3 حيث يُشرح بشكل كامل بالتفاصيل التالية (30: 3-9).  ويشير استخدام هذا التعبير في الأنبياء إلى أنه عندما يستخدم مرتبطاً بإسرائيل، فإنه يصبح تعبيراً اصطلاحياً للرد الأخروي للأمة؛ الفداء القومي (انظر هوشع 6: 11؛ يوئيل 4: 1؛ إرميا 29: 14؛ 30: 3، 18؛ 37: 7، 11).</w:t>
      </w:r>
    </w:p>
    <w:p w14:paraId="7D30A9D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0"/>
          <w:szCs w:val="28"/>
          <w:rtl/>
          <w:lang w:bidi="ar-KW"/>
          <w14:ligatures w14:val="none"/>
        </w:rPr>
      </w:pPr>
      <w:r w:rsidRPr="00070B6E">
        <w:rPr>
          <w:rFonts w:eastAsia="Times New Roman" w:cs="DecoType Naskh" w:hint="cs"/>
          <w:color w:val="auto"/>
          <w:kern w:val="0"/>
          <w:szCs w:val="26"/>
          <w:rtl/>
          <w:lang w:bidi="ar-JO"/>
          <w14:ligatures w14:val="none"/>
        </w:rPr>
        <w:t>تشكّل تثنية 30: 1 فصاعداً</w:t>
      </w:r>
      <w:r w:rsidRPr="00070B6E">
        <w:rPr>
          <w:rFonts w:eastAsia="Times New Roman" w:cs="DecoType Naskh" w:hint="cs"/>
          <w:color w:val="auto"/>
          <w:kern w:val="0"/>
          <w:szCs w:val="26"/>
          <w:u w:val="single"/>
          <w:rtl/>
          <w:lang w:bidi="ar-JO"/>
          <w14:ligatures w14:val="none"/>
        </w:rPr>
        <w:t xml:space="preserve"> أساس رد إسرائيل</w:t>
      </w:r>
      <w:r w:rsidRPr="00070B6E">
        <w:rPr>
          <w:rFonts w:eastAsia="Times New Roman" w:cs="DecoType Naskh" w:hint="cs"/>
          <w:color w:val="auto"/>
          <w:kern w:val="0"/>
          <w:szCs w:val="26"/>
          <w:rtl/>
          <w:lang w:bidi="ar-JO"/>
          <w14:ligatures w14:val="none"/>
        </w:rPr>
        <w:t xml:space="preserve"> ، وهو يتضمن عدّة عناصر هامة: (1) التشتت بين الأمم (30: 1)؛ (2) التوبة القومية </w:t>
      </w:r>
      <w:r w:rsidRPr="00070B6E">
        <w:rPr>
          <w:rFonts w:eastAsia="Times New Roman" w:cs="DecoType Naskh"/>
          <w:color w:val="auto"/>
          <w:kern w:val="0"/>
          <w:szCs w:val="26"/>
          <w:rtl/>
          <w:lang w:bidi="ar-JO"/>
          <w14:ligatures w14:val="none"/>
        </w:rPr>
        <w:t>–</w:t>
      </w:r>
      <w:r w:rsidRPr="00070B6E">
        <w:rPr>
          <w:rFonts w:eastAsia="Times New Roman" w:cs="DecoType Naskh" w:hint="cs"/>
          <w:color w:val="auto"/>
          <w:kern w:val="0"/>
          <w:szCs w:val="26"/>
          <w:rtl/>
          <w:lang w:bidi="ar-JO"/>
          <w14:ligatures w14:val="none"/>
        </w:rPr>
        <w:t xml:space="preserve"> "ورجعتَ إلى الرب إلهك" (30: 2)؛ (3) لم شمل الأمة في الأرض  (30: 3)؛ (4) تفعيل العهد الجديد مع إسرائيل </w:t>
      </w:r>
      <w:r w:rsidRPr="00070B6E">
        <w:rPr>
          <w:rFonts w:eastAsia="Times New Roman" w:cs="DecoType Naskh"/>
          <w:color w:val="auto"/>
          <w:kern w:val="0"/>
          <w:szCs w:val="26"/>
          <w:rtl/>
          <w:lang w:bidi="ar-JO"/>
          <w14:ligatures w14:val="none"/>
        </w:rPr>
        <w:t>–</w:t>
      </w:r>
      <w:r w:rsidRPr="00070B6E">
        <w:rPr>
          <w:rFonts w:eastAsia="Times New Roman" w:cs="DecoType Naskh" w:hint="cs"/>
          <w:color w:val="auto"/>
          <w:kern w:val="0"/>
          <w:szCs w:val="26"/>
          <w:rtl/>
          <w:lang w:bidi="ar-JO"/>
          <w14:ligatures w14:val="none"/>
        </w:rPr>
        <w:t xml:space="preserve"> وإعطائهم قلباً مختوناً ليحبوا الرب (30: 6)؛ (5) الانتقام من الأمم التي اضطهدت إسرائيل  (30:  7) ؛ (6) ازدهار إسرائيل.  تؤكّد الآية العاشرة الشرط </w:t>
      </w:r>
      <w:r w:rsidRPr="00070B6E">
        <w:rPr>
          <w:rFonts w:eastAsia="Times New Roman" w:cs="DecoType Naskh" w:hint="cs"/>
          <w:color w:val="auto"/>
          <w:kern w:val="0"/>
          <w:szCs w:val="26"/>
          <w:rtl/>
          <w:lang w:bidi="ar-JO"/>
          <w14:ligatures w14:val="none"/>
        </w:rPr>
        <w:lastRenderedPageBreak/>
        <w:t>الجوهري- "إذا رجعت إلى الرب إلهك بكل قلبك وبكل نفسك."  وهكذا فإن توبة إسرائيل القومية شرط مسبق لفدائها.  وسيتبع لم شمل إسرائيل من بين كل الشعوب هذه التوبة الوطنية.</w:t>
      </w:r>
      <w:r w:rsidRPr="00070B6E">
        <w:rPr>
          <w:rFonts w:eastAsia="Times New Roman" w:cs="DecoType Naskh"/>
          <w:color w:val="auto"/>
          <w:kern w:val="0"/>
          <w:sz w:val="30"/>
          <w:szCs w:val="28"/>
          <w:vertAlign w:val="superscript"/>
          <w:rtl/>
          <w:lang w:bidi="ar-JO"/>
          <w14:ligatures w14:val="none"/>
        </w:rPr>
        <w:footnoteReference w:customMarkFollows="1" w:id="137"/>
        <w:t>1</w:t>
      </w:r>
    </w:p>
    <w:p w14:paraId="4EF0BAD4"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KW"/>
          <w14:ligatures w14:val="none"/>
        </w:rPr>
      </w:pPr>
    </w:p>
    <w:p w14:paraId="043C3E7F"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تقدّم لنا 30: 19-20 ذروة رسالة السفر: "اختر الحياة لكي تحيا!" فهذا هو الطريق الذي يعمل العهد الإبراهيمي من خلاله.</w:t>
      </w:r>
    </w:p>
    <w:p w14:paraId="16363BB2"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399CDFED"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4.</w:t>
      </w:r>
      <w:r w:rsidRPr="00070B6E">
        <w:rPr>
          <w:rFonts w:eastAsia="Times New Roman" w:cs="DecoType Naskh" w:hint="cs"/>
          <w:bCs/>
          <w:color w:val="auto"/>
          <w:kern w:val="0"/>
          <w:szCs w:val="28"/>
          <w:rtl/>
          <w:lang w:bidi="ar-JO"/>
          <w14:ligatures w14:val="none"/>
        </w:rPr>
        <w:tab/>
        <w:t>نهاية قيادة موسى (31: 1-33: 29)</w:t>
      </w:r>
    </w:p>
    <w:p w14:paraId="52474CC8"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070B6E">
        <w:rPr>
          <w:rFonts w:eastAsia="Times New Roman" w:cs="DecoType Naskh" w:hint="cs"/>
          <w:color w:val="auto"/>
          <w:kern w:val="0"/>
          <w:szCs w:val="26"/>
          <w:rtl/>
          <w:lang w:bidi="ar-JO"/>
          <w14:ligatures w14:val="none"/>
        </w:rPr>
        <w:t>تختتم الأسفار الخمسة بموت موسى.  وعلى الرغم من أنه لا بدّ للأمة من أن تجدد العهد وتمتلك الأرض وتسكن فيها أياماً كثيرة، إلاّ أن موسى لم يستطع أن يستمر مع الأمّة في مستقبلها.  فلن يسمح له الله إلاّ برؤية لمحة من أرض الموعد من بعيد: "</w:t>
      </w:r>
      <w:r w:rsidRPr="00070B6E">
        <w:rPr>
          <w:rFonts w:eastAsia="Times New Roman" w:cs="DecoType Naskh" w:hint="cs"/>
          <w:i/>
          <w:iCs/>
          <w:color w:val="auto"/>
          <w:kern w:val="0"/>
          <w:szCs w:val="26"/>
          <w:rtl/>
          <w:lang w:bidi="ar-JO"/>
          <w14:ligatures w14:val="none"/>
        </w:rPr>
        <w:t>هذه هي الأرض التي أقسمت لإسحاق ويعقوب قائلاً: لنسلك أعطيها.  قد أريتك إياها بعينيك، لكنك إلى هناك لا تعبر</w:t>
      </w:r>
      <w:r w:rsidRPr="00070B6E">
        <w:rPr>
          <w:rFonts w:eastAsia="Times New Roman" w:cs="DecoType Naskh" w:hint="cs"/>
          <w:color w:val="auto"/>
          <w:kern w:val="0"/>
          <w:szCs w:val="26"/>
          <w:rtl/>
          <w:lang w:bidi="ar-JO"/>
          <w14:ligatures w14:val="none"/>
        </w:rPr>
        <w:t>" (34: 4).  لكن يجب أن يستمر العهد وأن تتقدم الأمة في برنامج الله.  ولهذا فإن هذه الأصحاحات تقدّم طريقة لاستمرار العهد والقيادة بالنسبة للأمة.  وسيتولى يشوع القيادة من حيث رحل موسى.</w:t>
      </w:r>
    </w:p>
    <w:p w14:paraId="14596BA7"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458394B9"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5.</w:t>
      </w:r>
      <w:r w:rsidRPr="00070B6E">
        <w:rPr>
          <w:rFonts w:eastAsia="Times New Roman" w:cs="DecoType Naskh" w:hint="cs"/>
          <w:bCs/>
          <w:color w:val="auto"/>
          <w:kern w:val="0"/>
          <w:szCs w:val="28"/>
          <w:rtl/>
          <w:lang w:bidi="ar-JO"/>
          <w14:ligatures w14:val="none"/>
        </w:rPr>
        <w:tab/>
        <w:t>خاتمة (34: 1-12)</w:t>
      </w:r>
    </w:p>
    <w:p w14:paraId="63ED59BE"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070B6E">
        <w:rPr>
          <w:rFonts w:eastAsia="Times New Roman" w:cs="DecoType Naskh" w:hint="cs"/>
          <w:color w:val="auto"/>
          <w:kern w:val="0"/>
          <w:szCs w:val="26"/>
          <w:rtl/>
          <w:lang w:bidi="ar-JO"/>
          <w14:ligatures w14:val="none"/>
        </w:rPr>
        <w:t>كان لا بد من امتداح قيادة موسى المباركة، أثناء الفترة الحاسمة من وجود الأمّة، عند موته.  ولهذا كان موته مناسبة ملائمة لمدحِهِ وتقديره: "ولم يقم بعد نبي في إسرائيل مثل موسى الذي عرفه الرب وجهاً لوجه" (34: 10).</w:t>
      </w:r>
    </w:p>
    <w:p w14:paraId="2398B46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344CA55C" w14:textId="77777777" w:rsidR="00070B6E" w:rsidRPr="00070B6E" w:rsidRDefault="00070B6E"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070B6E">
        <w:rPr>
          <w:rFonts w:eastAsia="Times New Roman" w:cs="DecoType Naskh" w:hint="cs"/>
          <w:bCs/>
          <w:color w:val="auto"/>
          <w:kern w:val="0"/>
          <w:szCs w:val="28"/>
          <w:rtl/>
          <w:lang w:bidi="ar-JO"/>
          <w14:ligatures w14:val="none"/>
        </w:rPr>
        <w:t>درس لحياتنا</w:t>
      </w:r>
    </w:p>
    <w:p w14:paraId="7B709621" w14:textId="77777777" w:rsidR="00070B6E" w:rsidRPr="00070B6E" w:rsidRDefault="00070B6E"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070B6E">
        <w:rPr>
          <w:rFonts w:eastAsia="Times New Roman" w:cs="DecoType Naskh" w:hint="cs"/>
          <w:color w:val="auto"/>
          <w:kern w:val="0"/>
          <w:szCs w:val="26"/>
          <w:rtl/>
          <w:lang w:bidi="ar-JO"/>
          <w14:ligatures w14:val="none"/>
        </w:rPr>
        <w:t>تأمل تثنية 31: 6 "</w:t>
      </w:r>
      <w:r w:rsidRPr="00070B6E">
        <w:rPr>
          <w:rFonts w:eastAsia="Times New Roman" w:cs="DecoType Naskh" w:hint="cs"/>
          <w:i/>
          <w:iCs/>
          <w:color w:val="auto"/>
          <w:kern w:val="0"/>
          <w:szCs w:val="26"/>
          <w:rtl/>
          <w:lang w:bidi="ar-JO"/>
          <w14:ligatures w14:val="none"/>
        </w:rPr>
        <w:t>تشدّدوا وتشجّعوا</w:t>
      </w:r>
      <w:r w:rsidRPr="00070B6E">
        <w:rPr>
          <w:rFonts w:eastAsia="Times New Roman" w:cs="DecoType Naskh" w:hint="cs"/>
          <w:color w:val="auto"/>
          <w:kern w:val="0"/>
          <w:szCs w:val="26"/>
          <w:rtl/>
          <w:lang w:bidi="ar-JO"/>
          <w14:ligatures w14:val="none"/>
        </w:rPr>
        <w:t>.</w:t>
      </w:r>
      <w:r w:rsidRPr="00070B6E">
        <w:rPr>
          <w:rFonts w:eastAsia="Times New Roman" w:cs="DecoType Naskh" w:hint="cs"/>
          <w:i/>
          <w:iCs/>
          <w:color w:val="auto"/>
          <w:kern w:val="0"/>
          <w:szCs w:val="26"/>
          <w:rtl/>
          <w:lang w:bidi="ar-JO"/>
          <w14:ligatures w14:val="none"/>
        </w:rPr>
        <w:t xml:space="preserve">  لا تخافوا ولا ترهبوا وجوههم، لأن الرب إلهك سائر معك.  لا يُهملك ولا يتركك.</w:t>
      </w:r>
      <w:r w:rsidRPr="00070B6E">
        <w:rPr>
          <w:rFonts w:eastAsia="Times New Roman" w:cs="DecoType Naskh" w:hint="cs"/>
          <w:color w:val="auto"/>
          <w:kern w:val="0"/>
          <w:szCs w:val="26"/>
          <w:rtl/>
          <w:lang w:bidi="ar-JO"/>
          <w14:ligatures w14:val="none"/>
        </w:rPr>
        <w:t>"  عندما تخدم الرب وتتبع إرادته، يمكنك أن تعتمد عليه.  لن يتركك وحيداً، بل سيكون معك.  ومع هذا الوعد يمكنك أن تواجه أي تحدٍّ.  لا ينبغي أن تكون عبداً للخوف، فهو معك.</w:t>
      </w:r>
    </w:p>
    <w:p w14:paraId="293C7CC8" w14:textId="77777777" w:rsidR="00070B6E" w:rsidRPr="00070B6E" w:rsidRDefault="00070B6E" w:rsidP="002D6C54">
      <w:pPr>
        <w:bidi/>
        <w:spacing w:after="0" w:line="240" w:lineRule="auto"/>
        <w:rPr>
          <w:rFonts w:eastAsia="Times New Roman" w:cs="DecoType Naskh"/>
          <w:color w:val="auto"/>
          <w:kern w:val="0"/>
          <w:sz w:val="32"/>
          <w:szCs w:val="18"/>
          <w:rtl/>
          <w:lang w:bidi="ar-JO"/>
          <w14:ligatures w14:val="none"/>
        </w:rPr>
      </w:pPr>
    </w:p>
    <w:p w14:paraId="6BBD5C1F" w14:textId="3B4F43D0" w:rsidR="00BE411E" w:rsidRPr="000148DB" w:rsidRDefault="00BE411E" w:rsidP="002D6C54">
      <w:pPr>
        <w:tabs>
          <w:tab w:val="left" w:pos="547"/>
          <w:tab w:val="left" w:pos="1094"/>
          <w:tab w:val="left" w:pos="1642"/>
          <w:tab w:val="left" w:pos="2189"/>
          <w:tab w:val="left" w:pos="2736"/>
          <w:tab w:val="left" w:pos="3283"/>
        </w:tabs>
        <w:spacing w:after="120" w:line="240" w:lineRule="auto"/>
        <w:jc w:val="both"/>
        <w:rPr>
          <w:rFonts w:eastAsia="Times New Roman" w:cs="Times New Roman"/>
          <w:bCs/>
          <w:color w:val="auto"/>
          <w:kern w:val="0"/>
          <w:sz w:val="22"/>
          <w:szCs w:val="24"/>
          <w14:ligatures w14:val="none"/>
        </w:rPr>
      </w:pPr>
    </w:p>
    <w:p w14:paraId="5A83F969" w14:textId="1D124C2D" w:rsidR="00BE411E" w:rsidRPr="007A4B15" w:rsidRDefault="00BE411E" w:rsidP="00BE4756">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rtl/>
          <w:lang w:bidi="ar-JO"/>
          <w14:ligatures w14:val="none"/>
        </w:rPr>
      </w:pPr>
      <w:bookmarkStart w:id="141" w:name="_Hlk178779123"/>
      <w:r w:rsidRPr="007A4B15">
        <w:rPr>
          <w:rFonts w:ascii="Verdana" w:eastAsia="Calibri" w:hAnsi="Verdana" w:cs="Times New Roman"/>
          <w:b/>
          <w:caps/>
          <w:noProof/>
          <w:color w:val="006699"/>
          <w:kern w:val="0"/>
          <w:sz w:val="21"/>
          <w:szCs w:val="24"/>
          <w14:ligatures w14:val="none"/>
        </w:rPr>
        <w:drawing>
          <wp:inline distT="0" distB="0" distL="0" distR="0" wp14:anchorId="5540AC73" wp14:editId="2D248A5A">
            <wp:extent cx="613692" cy="541464"/>
            <wp:effectExtent l="0" t="0" r="0" b="0"/>
            <wp:docPr id="678490361" name="Picture 678490361"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BE4756" w:rsidRPr="00BE4756">
        <w:rPr>
          <w:rFonts w:ascii="Verdana" w:eastAsia="Calibri" w:hAnsi="Verdana" w:cs="Times New Roman" w:hint="cs"/>
          <w:bCs/>
          <w:caps/>
          <w:color w:val="006699"/>
          <w:kern w:val="0"/>
          <w:sz w:val="21"/>
          <w:szCs w:val="24"/>
          <w:u w:val="single"/>
          <w:rtl/>
          <w:lang w:bidi="ar-JO"/>
          <w14:ligatures w14:val="none"/>
        </w:rPr>
        <w:t>القراءة:</w:t>
      </w:r>
      <w:r w:rsidR="00BE4756">
        <w:rPr>
          <w:rFonts w:ascii="Verdana" w:eastAsia="Calibri" w:hAnsi="Verdana" w:cs="Times New Roman" w:hint="cs"/>
          <w:b/>
          <w:caps/>
          <w:color w:val="006699"/>
          <w:kern w:val="0"/>
          <w:sz w:val="21"/>
          <w:szCs w:val="24"/>
          <w:u w:val="single"/>
          <w:rtl/>
          <w:lang w:bidi="ar-JO"/>
          <w14:ligatures w14:val="none"/>
        </w:rPr>
        <w:t xml:space="preserve"> </w:t>
      </w:r>
    </w:p>
    <w:p w14:paraId="1991020C" w14:textId="1FA14167" w:rsidR="00BE4756" w:rsidRDefault="00BE411E" w:rsidP="00BE4756">
      <w:pPr>
        <w:bidi/>
        <w:spacing w:line="240" w:lineRule="auto"/>
        <w:rPr>
          <w:rtl/>
        </w:rPr>
      </w:pPr>
      <w:r>
        <w:tab/>
      </w:r>
      <w:r>
        <w:tab/>
      </w:r>
      <w:r w:rsidR="00BE4756">
        <w:rPr>
          <w:rFonts w:hint="cs"/>
          <w:rtl/>
        </w:rPr>
        <w:t xml:space="preserve">1. اقرأ </w:t>
      </w:r>
      <w:r w:rsidR="007E1B23">
        <w:rPr>
          <w:rFonts w:hint="cs"/>
          <w:rtl/>
        </w:rPr>
        <w:t xml:space="preserve">يوجين </w:t>
      </w:r>
      <w:r w:rsidR="00BE4756">
        <w:rPr>
          <w:rFonts w:hint="cs"/>
          <w:rtl/>
        </w:rPr>
        <w:t xml:space="preserve">ميرل، </w:t>
      </w:r>
      <w:r w:rsidR="00BE4756" w:rsidRPr="00BE4756">
        <w:rPr>
          <w:rFonts w:hint="cs"/>
          <w:u w:val="single"/>
          <w:rtl/>
        </w:rPr>
        <w:t>لاهوت العهد القديم الكتابي</w:t>
      </w:r>
      <w:r w:rsidR="00BE4756">
        <w:rPr>
          <w:rFonts w:hint="cs"/>
          <w:rtl/>
        </w:rPr>
        <w:t xml:space="preserve">، "لاهوت سفر التثنية". </w:t>
      </w:r>
    </w:p>
    <w:p w14:paraId="14041D92" w14:textId="531D3305" w:rsidR="00BE411E" w:rsidRPr="002B24E1" w:rsidRDefault="00BE4756" w:rsidP="00BE4756">
      <w:pPr>
        <w:bidi/>
        <w:spacing w:line="240" w:lineRule="auto"/>
        <w:ind w:left="720" w:firstLine="720"/>
        <w:rPr>
          <w:b/>
          <w:bCs/>
        </w:rPr>
      </w:pPr>
      <w:r>
        <w:rPr>
          <w:rFonts w:hint="cs"/>
          <w:rtl/>
        </w:rPr>
        <w:t xml:space="preserve">2. اقرأ </w:t>
      </w:r>
      <w:r w:rsidR="007E1B23">
        <w:rPr>
          <w:rFonts w:hint="cs"/>
          <w:rtl/>
        </w:rPr>
        <w:t xml:space="preserve">يوجين </w:t>
      </w:r>
      <w:r>
        <w:rPr>
          <w:rFonts w:hint="cs"/>
          <w:rtl/>
        </w:rPr>
        <w:t xml:space="preserve">ميرل، </w:t>
      </w:r>
      <w:r w:rsidRPr="00BE4756">
        <w:rPr>
          <w:rFonts w:hint="cs"/>
          <w:u w:val="single"/>
          <w:rtl/>
        </w:rPr>
        <w:t>لاهوت العهد القديم الكتابي</w:t>
      </w:r>
      <w:r>
        <w:rPr>
          <w:rFonts w:hint="cs"/>
          <w:rtl/>
        </w:rPr>
        <w:t>، "الخاتمة".</w:t>
      </w:r>
      <w:r w:rsidR="00BE411E">
        <w:br/>
      </w:r>
      <w:r w:rsidR="00BE411E">
        <w:tab/>
      </w:r>
      <w:r w:rsidR="00C24023">
        <w:tab/>
      </w:r>
    </w:p>
    <w:bookmarkEnd w:id="141"/>
    <w:p w14:paraId="7CEF1724" w14:textId="77777777" w:rsidR="00BE411E" w:rsidRPr="000148DB" w:rsidRDefault="00BE411E" w:rsidP="002D6C54">
      <w:pPr>
        <w:tabs>
          <w:tab w:val="left" w:pos="547"/>
          <w:tab w:val="left" w:pos="1094"/>
          <w:tab w:val="left" w:pos="1642"/>
          <w:tab w:val="left" w:pos="2189"/>
          <w:tab w:val="left" w:pos="2736"/>
          <w:tab w:val="left" w:pos="3283"/>
          <w:tab w:val="left" w:pos="3830"/>
          <w:tab w:val="left" w:pos="4378"/>
        </w:tabs>
        <w:spacing w:after="120" w:line="240" w:lineRule="auto"/>
        <w:jc w:val="both"/>
        <w:rPr>
          <w:rFonts w:eastAsia="Times New Roman" w:cs="Times New Roman"/>
          <w:color w:val="auto"/>
          <w:kern w:val="0"/>
          <w:sz w:val="22"/>
          <w:szCs w:val="24"/>
          <w14:ligatures w14:val="none"/>
        </w:rPr>
      </w:pPr>
    </w:p>
    <w:p w14:paraId="7B57CD9D" w14:textId="77777777" w:rsidR="00BE411E" w:rsidRPr="007A4B15" w:rsidRDefault="00BE411E"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strike/>
          <w:kern w:val="0"/>
          <w:szCs w:val="24"/>
          <w14:ligatures w14:val="none"/>
        </w:rPr>
      </w:pPr>
    </w:p>
    <w:p w14:paraId="727804E1" w14:textId="77777777" w:rsidR="00BE411E" w:rsidRDefault="00BE411E"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contextualSpacing/>
        <w:rPr>
          <w:rFonts w:eastAsia="Calibri" w:cs="Times New Roman"/>
          <w:kern w:val="0"/>
          <w:szCs w:val="24"/>
          <w14:ligatures w14:val="none"/>
        </w:rPr>
      </w:pPr>
      <w:r>
        <w:rPr>
          <w:rFonts w:eastAsia="Calibri" w:cs="Times New Roman"/>
          <w:kern w:val="0"/>
          <w:szCs w:val="24"/>
          <w14:ligatures w14:val="none"/>
        </w:rPr>
        <w:br w:type="page"/>
      </w:r>
    </w:p>
    <w:p w14:paraId="1F163C57" w14:textId="2165B14C" w:rsidR="005B452F" w:rsidRPr="00FF6CEC" w:rsidRDefault="00FF6CEC" w:rsidP="00FF6CEC">
      <w:pPr>
        <w:pStyle w:val="Heading2"/>
        <w:bidi/>
        <w:rPr>
          <w:rFonts w:ascii="Simplified Arabic" w:hAnsi="Simplified Arabic" w:cs="Simplified Arabic"/>
          <w:rtl/>
          <w:lang w:bidi="ar-JO"/>
        </w:rPr>
      </w:pPr>
      <w:bookmarkStart w:id="142" w:name="_Toc164420059"/>
      <w:bookmarkStart w:id="143" w:name="_Hlk178779141"/>
      <w:r w:rsidRPr="00FF6CEC">
        <w:rPr>
          <w:rFonts w:ascii="Simplified Arabic" w:hAnsi="Simplified Arabic" w:cs="Simplified Arabic"/>
          <w:rtl/>
          <w14:ligatures w14:val="none"/>
        </w:rPr>
        <w:lastRenderedPageBreak/>
        <w:t>الوحدة 4: فتح الأرض والصراعات في أرض الموعد</w:t>
      </w:r>
      <w:r w:rsidR="005B452F" w:rsidRPr="00FF6CEC">
        <w:rPr>
          <w:rFonts w:ascii="Simplified Arabic" w:hAnsi="Simplified Arabic" w:cs="Simplified Arabic"/>
        </w:rPr>
        <w:br/>
      </w:r>
      <w:bookmarkEnd w:id="142"/>
      <w:r>
        <w:rPr>
          <w:rFonts w:ascii="Simplified Arabic" w:hAnsi="Simplified Arabic" w:cs="Simplified Arabic" w:hint="cs"/>
          <w:rtl/>
          <w:lang w:bidi="ar-JO"/>
        </w:rPr>
        <w:t xml:space="preserve">(يشوع </w:t>
      </w:r>
      <w:r>
        <w:rPr>
          <w:rFonts w:ascii="Simplified Arabic" w:hAnsi="Simplified Arabic" w:cs="Simplified Arabic"/>
          <w:rtl/>
          <w:lang w:bidi="ar-JO"/>
        </w:rPr>
        <w:t>–</w:t>
      </w:r>
      <w:r>
        <w:rPr>
          <w:rFonts w:ascii="Simplified Arabic" w:hAnsi="Simplified Arabic" w:cs="Simplified Arabic" w:hint="cs"/>
          <w:rtl/>
          <w:lang w:bidi="ar-JO"/>
        </w:rPr>
        <w:t xml:space="preserve"> راعوث)</w:t>
      </w:r>
    </w:p>
    <w:p w14:paraId="6711F45D" w14:textId="1347A7DA" w:rsidR="00FF6CEC" w:rsidRPr="003E3929" w:rsidRDefault="003E3929" w:rsidP="00FF6CEC">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lang w:bidi="ar-JO"/>
          <w14:ligatures w14:val="none"/>
        </w:rPr>
      </w:pPr>
      <w:r w:rsidRPr="003E3929">
        <w:rPr>
          <w:rFonts w:ascii="Simplified Arabic" w:eastAsia="Calibri" w:hAnsi="Simplified Arabic" w:cs="Simplified Arabic"/>
          <w:kern w:val="0"/>
          <w:sz w:val="26"/>
          <w:szCs w:val="26"/>
          <w:rtl/>
          <w14:ligatures w14:val="none"/>
        </w:rPr>
        <w:t>نقوم في هذه الوحدة الأخيرة من المساق بعمل مسحٍ للأحداث التي مرّ بها العبرانيّون من وقت دخولهم أرض كنعان وحتّى وقتٍ قريب من تنصيب أول ملك لإسرائيل (بعد عدّة قرون). تُعرَف هذه الفترة في تاريخ إسرائيل بـ"الثيوقراطية"، أي أنّها</w:t>
      </w:r>
      <w:r w:rsidR="00281678">
        <w:rPr>
          <w:rFonts w:ascii="Simplified Arabic" w:eastAsia="Calibri" w:hAnsi="Simplified Arabic" w:cs="Simplified Arabic" w:hint="cs"/>
          <w:kern w:val="0"/>
          <w:sz w:val="26"/>
          <w:szCs w:val="26"/>
          <w:rtl/>
          <w14:ligatures w14:val="none"/>
        </w:rPr>
        <w:t xml:space="preserve"> الفترة التي كانت إسرائيل فيها</w:t>
      </w:r>
      <w:r w:rsidRPr="003E3929">
        <w:rPr>
          <w:rFonts w:ascii="Simplified Arabic" w:eastAsia="Calibri" w:hAnsi="Simplified Arabic" w:cs="Simplified Arabic"/>
          <w:kern w:val="0"/>
          <w:sz w:val="26"/>
          <w:szCs w:val="26"/>
          <w:rtl/>
          <w14:ligatures w14:val="none"/>
        </w:rPr>
        <w:t xml:space="preserve"> محكومة من الله من دون تدخُّل الملوك. اختار الله يشوع، الذي كان مساعدًا أمينًا لموسى في طول فترة البرّيّة، ليقود الدخول إلى أرض كنعان بدءًا بالعام 1406 ق.م. وبعد الدخول إلى الأرض، قُسِّمت الأرض بين الأسباط الاثني عشر. ولكن</w:t>
      </w:r>
      <w:r w:rsidR="00281678">
        <w:rPr>
          <w:rFonts w:ascii="Simplified Arabic" w:eastAsia="Calibri" w:hAnsi="Simplified Arabic" w:cs="Simplified Arabic" w:hint="cs"/>
          <w:kern w:val="0"/>
          <w:sz w:val="26"/>
          <w:szCs w:val="26"/>
          <w:rtl/>
          <w14:ligatures w14:val="none"/>
        </w:rPr>
        <w:t>ْ</w:t>
      </w:r>
      <w:r w:rsidRPr="003E3929">
        <w:rPr>
          <w:rFonts w:ascii="Simplified Arabic" w:eastAsia="Calibri" w:hAnsi="Simplified Arabic" w:cs="Simplified Arabic"/>
          <w:kern w:val="0"/>
          <w:sz w:val="26"/>
          <w:szCs w:val="26"/>
          <w:rtl/>
          <w14:ligatures w14:val="none"/>
        </w:rPr>
        <w:t xml:space="preserve"> حين </w:t>
      </w:r>
      <w:r w:rsidR="00281678">
        <w:rPr>
          <w:rFonts w:ascii="Simplified Arabic" w:eastAsia="Calibri" w:hAnsi="Simplified Arabic" w:cs="Simplified Arabic" w:hint="cs"/>
          <w:kern w:val="0"/>
          <w:sz w:val="26"/>
          <w:szCs w:val="26"/>
          <w:rtl/>
          <w14:ligatures w14:val="none"/>
        </w:rPr>
        <w:t>مات</w:t>
      </w:r>
      <w:r w:rsidRPr="003E3929">
        <w:rPr>
          <w:rFonts w:ascii="Simplified Arabic" w:eastAsia="Calibri" w:hAnsi="Simplified Arabic" w:cs="Simplified Arabic"/>
          <w:kern w:val="0"/>
          <w:sz w:val="26"/>
          <w:szCs w:val="26"/>
          <w:rtl/>
          <w14:ligatures w14:val="none"/>
        </w:rPr>
        <w:t xml:space="preserve"> جيل يشوع وابتعد عن مشهد الأحداث، ترك الأسباط الرب</w:t>
      </w:r>
      <w:r w:rsidR="00281678">
        <w:rPr>
          <w:rFonts w:ascii="Simplified Arabic" w:eastAsia="Calibri" w:hAnsi="Simplified Arabic" w:cs="Simplified Arabic" w:hint="cs"/>
          <w:kern w:val="0"/>
          <w:sz w:val="26"/>
          <w:szCs w:val="26"/>
          <w:rtl/>
          <w14:ligatures w14:val="none"/>
        </w:rPr>
        <w:t>َّ</w:t>
      </w:r>
      <w:r w:rsidRPr="003E3929">
        <w:rPr>
          <w:rFonts w:ascii="Simplified Arabic" w:eastAsia="Calibri" w:hAnsi="Simplified Arabic" w:cs="Simplified Arabic"/>
          <w:kern w:val="0"/>
          <w:sz w:val="26"/>
          <w:szCs w:val="26"/>
          <w:rtl/>
          <w14:ligatures w14:val="none"/>
        </w:rPr>
        <w:t xml:space="preserve"> وتبنَّ</w:t>
      </w:r>
      <w:r w:rsidR="00281678">
        <w:rPr>
          <w:rFonts w:ascii="Simplified Arabic" w:eastAsia="Calibri" w:hAnsi="Simplified Arabic" w:cs="Simplified Arabic" w:hint="cs"/>
          <w:kern w:val="0"/>
          <w:sz w:val="26"/>
          <w:szCs w:val="26"/>
          <w:rtl/>
          <w14:ligatures w14:val="none"/>
        </w:rPr>
        <w:t>وا</w:t>
      </w:r>
      <w:r w:rsidRPr="003E3929">
        <w:rPr>
          <w:rFonts w:ascii="Simplified Arabic" w:eastAsia="Calibri" w:hAnsi="Simplified Arabic" w:cs="Simplified Arabic"/>
          <w:kern w:val="0"/>
          <w:sz w:val="26"/>
          <w:szCs w:val="26"/>
          <w:rtl/>
          <w14:ligatures w14:val="none"/>
        </w:rPr>
        <w:t xml:space="preserve"> ممارساتٍ وثنية. ونتيجة لهذه الوثنية، تعرَّضت الأمة لغزو</w:t>
      </w:r>
      <w:r w:rsidR="00281678">
        <w:rPr>
          <w:rFonts w:ascii="Simplified Arabic" w:eastAsia="Calibri" w:hAnsi="Simplified Arabic" w:cs="Simplified Arabic" w:hint="cs"/>
          <w:kern w:val="0"/>
          <w:sz w:val="26"/>
          <w:szCs w:val="26"/>
          <w:rtl/>
          <w14:ligatures w14:val="none"/>
        </w:rPr>
        <w:t>ِ</w:t>
      </w:r>
      <w:r w:rsidRPr="003E3929">
        <w:rPr>
          <w:rFonts w:ascii="Simplified Arabic" w:eastAsia="Calibri" w:hAnsi="Simplified Arabic" w:cs="Simplified Arabic"/>
          <w:kern w:val="0"/>
          <w:sz w:val="26"/>
          <w:szCs w:val="26"/>
          <w:rtl/>
          <w14:ligatures w14:val="none"/>
        </w:rPr>
        <w:t xml:space="preserve"> قوى أجنبيّة أخربت الأرض وآذت الشعب. وفي حالة البؤس هذه، صرخ بنو إسرائيل إلى الله بأن يخلِّصهم، وقد أقام برحمته "قضاةً" (قادة محاربين كاريزماتيّين) أنقذوهم. ولكنّهم لم يتعلَّموا من هذا، فعادوا بصورة متكرِّرة </w:t>
      </w:r>
      <w:r w:rsidR="00281678">
        <w:rPr>
          <w:rFonts w:ascii="Simplified Arabic" w:eastAsia="Calibri" w:hAnsi="Simplified Arabic" w:cs="Simplified Arabic" w:hint="cs"/>
          <w:kern w:val="0"/>
          <w:sz w:val="26"/>
          <w:szCs w:val="26"/>
          <w:rtl/>
          <w14:ligatures w14:val="none"/>
        </w:rPr>
        <w:t>إ</w:t>
      </w:r>
      <w:r w:rsidRPr="003E3929">
        <w:rPr>
          <w:rFonts w:ascii="Simplified Arabic" w:eastAsia="Calibri" w:hAnsi="Simplified Arabic" w:cs="Simplified Arabic"/>
          <w:kern w:val="0"/>
          <w:sz w:val="26"/>
          <w:szCs w:val="26"/>
          <w:rtl/>
          <w14:ligatures w14:val="none"/>
        </w:rPr>
        <w:t xml:space="preserve">لى عبادة الأوثان. وقد وقعت أحداث سفر راعوث في هذه الفترة الكئيبة </w:t>
      </w:r>
      <w:r w:rsidRPr="003E3929">
        <w:rPr>
          <w:rFonts w:ascii="Simplified Arabic" w:eastAsia="Calibri" w:hAnsi="Simplified Arabic" w:cs="Simplified Arabic"/>
          <w:kern w:val="0"/>
          <w:sz w:val="26"/>
          <w:szCs w:val="26"/>
          <w:rtl/>
          <w:lang w:bidi="ar-JO"/>
          <w14:ligatures w14:val="none"/>
        </w:rPr>
        <w:t>من تاريخ شعب إسرائيل، ولكن</w:t>
      </w:r>
      <w:r w:rsidR="00281678">
        <w:rPr>
          <w:rFonts w:ascii="Simplified Arabic" w:eastAsia="Calibri" w:hAnsi="Simplified Arabic" w:cs="Simplified Arabic" w:hint="cs"/>
          <w:kern w:val="0"/>
          <w:sz w:val="26"/>
          <w:szCs w:val="26"/>
          <w:rtl/>
          <w:lang w:bidi="ar-JO"/>
          <w14:ligatures w14:val="none"/>
        </w:rPr>
        <w:t>َّه</w:t>
      </w:r>
      <w:r w:rsidRPr="003E3929">
        <w:rPr>
          <w:rFonts w:ascii="Simplified Arabic" w:eastAsia="Calibri" w:hAnsi="Simplified Arabic" w:cs="Simplified Arabic"/>
          <w:kern w:val="0"/>
          <w:sz w:val="26"/>
          <w:szCs w:val="26"/>
          <w:rtl/>
          <w:lang w:bidi="ar-JO"/>
          <w14:ligatures w14:val="none"/>
        </w:rPr>
        <w:t xml:space="preserve"> (بخلاف كآبة سفر القضاة) يقدِّم نظرةً إلى عمل نعمة الله، إذ نراه يستجيب لصلوات مجموعة قليلة من الناس وإلى أعمالهم المُخلِصة والأم</w:t>
      </w:r>
      <w:r w:rsidR="00281678">
        <w:rPr>
          <w:rFonts w:ascii="Simplified Arabic" w:eastAsia="Calibri" w:hAnsi="Simplified Arabic" w:cs="Simplified Arabic" w:hint="cs"/>
          <w:kern w:val="0"/>
          <w:sz w:val="26"/>
          <w:szCs w:val="26"/>
          <w:rtl/>
          <w:lang w:bidi="ar-JO"/>
          <w14:ligatures w14:val="none"/>
        </w:rPr>
        <w:t>ي</w:t>
      </w:r>
      <w:r w:rsidRPr="003E3929">
        <w:rPr>
          <w:rFonts w:ascii="Simplified Arabic" w:eastAsia="Calibri" w:hAnsi="Simplified Arabic" w:cs="Simplified Arabic"/>
          <w:kern w:val="0"/>
          <w:sz w:val="26"/>
          <w:szCs w:val="26"/>
          <w:rtl/>
          <w:lang w:bidi="ar-JO"/>
          <w14:ligatures w14:val="none"/>
        </w:rPr>
        <w:t xml:space="preserve">نة. لافت للنظر أنْ نرى امرأة أمميّة تقبل </w:t>
      </w:r>
      <w:r w:rsidR="00281678">
        <w:rPr>
          <w:rFonts w:ascii="Simplified Arabic" w:eastAsia="Calibri" w:hAnsi="Simplified Arabic" w:cs="Simplified Arabic" w:hint="cs"/>
          <w:kern w:val="0"/>
          <w:sz w:val="26"/>
          <w:szCs w:val="26"/>
          <w:rtl/>
          <w:lang w:bidi="ar-JO"/>
          <w14:ligatures w14:val="none"/>
        </w:rPr>
        <w:t xml:space="preserve">إله </w:t>
      </w:r>
      <w:r w:rsidRPr="003E3929">
        <w:rPr>
          <w:rFonts w:ascii="Simplified Arabic" w:eastAsia="Calibri" w:hAnsi="Simplified Arabic" w:cs="Simplified Arabic"/>
          <w:kern w:val="0"/>
          <w:sz w:val="26"/>
          <w:szCs w:val="26"/>
          <w:rtl/>
          <w:lang w:bidi="ar-JO"/>
          <w14:ligatures w14:val="none"/>
        </w:rPr>
        <w:t>إسرائيل بالإيمان، لتكون جدّةً للملك داود.</w:t>
      </w:r>
    </w:p>
    <w:p w14:paraId="2859E025" w14:textId="77777777" w:rsidR="00FF6CEC" w:rsidRDefault="00FF6CEC" w:rsidP="00FF6CEC">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eastAsia="Calibri" w:cs="Times New Roman"/>
          <w:kern w:val="0"/>
          <w:szCs w:val="24"/>
          <w:rtl/>
          <w14:ligatures w14:val="none"/>
        </w:rPr>
      </w:pPr>
    </w:p>
    <w:p w14:paraId="61DC9248" w14:textId="4D6FAE23" w:rsidR="005B452F" w:rsidRPr="007A4B15" w:rsidRDefault="003E3929" w:rsidP="003E3929">
      <w:pPr>
        <w:pStyle w:val="Heading3"/>
        <w:bidi/>
        <w:spacing w:line="240" w:lineRule="auto"/>
      </w:pPr>
      <w:r>
        <w:rPr>
          <w:rFonts w:hint="cs"/>
          <w:rtl/>
        </w:rPr>
        <w:t>مُخطَّط الوحدة</w:t>
      </w:r>
    </w:p>
    <w:p w14:paraId="3E2891E3" w14:textId="77777777" w:rsidR="003E3929" w:rsidRPr="00AD7FFD" w:rsidRDefault="003E3929" w:rsidP="003E3929">
      <w:pPr>
        <w:bidi/>
        <w:spacing w:after="0" w:line="240" w:lineRule="auto"/>
        <w:ind w:left="1440" w:hanging="900"/>
        <w:contextualSpacing/>
        <w:rPr>
          <w:rFonts w:ascii="Simplified Arabic" w:hAnsi="Simplified Arabic" w:cs="Simplified Arabic"/>
          <w:b/>
          <w:kern w:val="0"/>
          <w:sz w:val="26"/>
          <w:szCs w:val="26"/>
          <w:rtl/>
          <w14:ligatures w14:val="none"/>
        </w:rPr>
      </w:pPr>
      <w:bookmarkStart w:id="144" w:name="_Toc164420061"/>
      <w:r w:rsidRPr="00AD7FFD">
        <w:rPr>
          <w:rFonts w:ascii="Simplified Arabic" w:hAnsi="Simplified Arabic" w:cs="Simplified Arabic"/>
          <w:b/>
          <w:kern w:val="0"/>
          <w:sz w:val="26"/>
          <w:szCs w:val="26"/>
          <w:rtl/>
          <w14:ligatures w14:val="none"/>
        </w:rPr>
        <w:t xml:space="preserve">الدرس </w:t>
      </w:r>
      <w:r>
        <w:rPr>
          <w:rFonts w:ascii="Simplified Arabic" w:hAnsi="Simplified Arabic" w:cs="Simplified Arabic" w:hint="cs"/>
          <w:b/>
          <w:kern w:val="0"/>
          <w:sz w:val="26"/>
          <w:szCs w:val="26"/>
          <w:rtl/>
          <w14:ligatures w14:val="none"/>
        </w:rPr>
        <w:t>10</w:t>
      </w:r>
      <w:r w:rsidRPr="00AD7FFD">
        <w:rPr>
          <w:rFonts w:ascii="Simplified Arabic" w:hAnsi="Simplified Arabic" w:cs="Simplified Arabic"/>
          <w:b/>
          <w:kern w:val="0"/>
          <w:sz w:val="26"/>
          <w:szCs w:val="26"/>
          <w:rtl/>
          <w14:ligatures w14:val="none"/>
        </w:rPr>
        <w:t xml:space="preserve">: </w:t>
      </w:r>
      <w:r>
        <w:rPr>
          <w:rFonts w:ascii="Simplified Arabic" w:hAnsi="Simplified Arabic" w:cs="Simplified Arabic" w:hint="cs"/>
          <w:b/>
          <w:kern w:val="0"/>
          <w:sz w:val="26"/>
          <w:szCs w:val="26"/>
          <w:rtl/>
          <w14:ligatures w14:val="none"/>
        </w:rPr>
        <w:t xml:space="preserve">فتح الأرض وتوزيعها على الأسباط (يشوع 1-24) </w:t>
      </w:r>
    </w:p>
    <w:p w14:paraId="35719126" w14:textId="77777777" w:rsidR="003E3929" w:rsidRPr="00AD7FFD" w:rsidRDefault="003E3929" w:rsidP="003E3929">
      <w:pPr>
        <w:bidi/>
        <w:spacing w:after="0" w:line="240" w:lineRule="auto"/>
        <w:ind w:left="1440" w:hanging="900"/>
        <w:contextualSpacing/>
        <w:rPr>
          <w:rFonts w:ascii="Simplified Arabic" w:hAnsi="Simplified Arabic" w:cs="Simplified Arabic"/>
          <w:b/>
          <w:kern w:val="0"/>
          <w:sz w:val="26"/>
          <w:szCs w:val="26"/>
          <w:rtl/>
          <w14:ligatures w14:val="none"/>
        </w:rPr>
      </w:pPr>
      <w:r w:rsidRPr="00AD7FFD">
        <w:rPr>
          <w:rFonts w:ascii="Simplified Arabic" w:hAnsi="Simplified Arabic" w:cs="Simplified Arabic"/>
          <w:b/>
          <w:kern w:val="0"/>
          <w:sz w:val="26"/>
          <w:szCs w:val="26"/>
          <w:rtl/>
          <w14:ligatures w14:val="none"/>
        </w:rPr>
        <w:t xml:space="preserve">الدرس </w:t>
      </w:r>
      <w:r>
        <w:rPr>
          <w:rFonts w:ascii="Simplified Arabic" w:hAnsi="Simplified Arabic" w:cs="Simplified Arabic" w:hint="cs"/>
          <w:b/>
          <w:kern w:val="0"/>
          <w:sz w:val="26"/>
          <w:szCs w:val="26"/>
          <w:rtl/>
          <w14:ligatures w14:val="none"/>
        </w:rPr>
        <w:t>11</w:t>
      </w:r>
      <w:r w:rsidRPr="00AD7FFD">
        <w:rPr>
          <w:rFonts w:ascii="Simplified Arabic" w:hAnsi="Simplified Arabic" w:cs="Simplified Arabic"/>
          <w:b/>
          <w:kern w:val="0"/>
          <w:sz w:val="26"/>
          <w:szCs w:val="26"/>
          <w:rtl/>
          <w14:ligatures w14:val="none"/>
        </w:rPr>
        <w:t>:</w:t>
      </w:r>
      <w:r>
        <w:rPr>
          <w:rFonts w:ascii="Simplified Arabic" w:hAnsi="Simplified Arabic" w:cs="Simplified Arabic" w:hint="cs"/>
          <w:b/>
          <w:kern w:val="0"/>
          <w:sz w:val="26"/>
          <w:szCs w:val="26"/>
          <w:rtl/>
          <w14:ligatures w14:val="none"/>
        </w:rPr>
        <w:t xml:space="preserve"> ضلال إسرائيل في فترة القضاة (قضاة 1-21)</w:t>
      </w:r>
    </w:p>
    <w:p w14:paraId="60DA36EB" w14:textId="77777777" w:rsidR="003E3929" w:rsidRDefault="003E3929" w:rsidP="003E3929">
      <w:pPr>
        <w:bidi/>
        <w:ind w:firstLine="540"/>
      </w:pPr>
      <w:r w:rsidRPr="00AD7FFD">
        <w:rPr>
          <w:rFonts w:ascii="Simplified Arabic" w:hAnsi="Simplified Arabic" w:cs="Simplified Arabic"/>
          <w:b/>
          <w:kern w:val="0"/>
          <w:sz w:val="26"/>
          <w:szCs w:val="26"/>
          <w:rtl/>
          <w14:ligatures w14:val="none"/>
        </w:rPr>
        <w:t xml:space="preserve">الدرس </w:t>
      </w:r>
      <w:r>
        <w:rPr>
          <w:rFonts w:ascii="Simplified Arabic" w:hAnsi="Simplified Arabic" w:cs="Simplified Arabic" w:hint="cs"/>
          <w:b/>
          <w:kern w:val="0"/>
          <w:sz w:val="26"/>
          <w:szCs w:val="26"/>
          <w:rtl/>
          <w14:ligatures w14:val="none"/>
        </w:rPr>
        <w:t>12</w:t>
      </w:r>
      <w:r w:rsidRPr="00AD7FFD">
        <w:rPr>
          <w:rFonts w:ascii="Simplified Arabic" w:hAnsi="Simplified Arabic" w:cs="Simplified Arabic"/>
          <w:b/>
          <w:kern w:val="0"/>
          <w:sz w:val="26"/>
          <w:szCs w:val="26"/>
          <w:rtl/>
          <w14:ligatures w14:val="none"/>
        </w:rPr>
        <w:t xml:space="preserve">: </w:t>
      </w:r>
      <w:r>
        <w:rPr>
          <w:rFonts w:ascii="Simplified Arabic" w:hAnsi="Simplified Arabic" w:cs="Simplified Arabic" w:hint="cs"/>
          <w:b/>
          <w:kern w:val="0"/>
          <w:sz w:val="26"/>
          <w:szCs w:val="26"/>
          <w:rtl/>
          <w14:ligatures w14:val="none"/>
        </w:rPr>
        <w:t>سفر راعوث، نظرة عامّة والتوقُّعات المسيانيّة</w:t>
      </w:r>
    </w:p>
    <w:bookmarkEnd w:id="144"/>
    <w:p w14:paraId="61D63232" w14:textId="1D6947B7" w:rsidR="005B452F" w:rsidRPr="007A4B15" w:rsidRDefault="003E3929" w:rsidP="003E3929">
      <w:pPr>
        <w:pStyle w:val="Heading3"/>
        <w:bidi/>
        <w:spacing w:line="240" w:lineRule="auto"/>
      </w:pPr>
      <w:r>
        <w:rPr>
          <w:rFonts w:hint="cs"/>
          <w:rtl/>
        </w:rPr>
        <w:t>أهدف الوحدة</w:t>
      </w:r>
    </w:p>
    <w:p w14:paraId="71509C60" w14:textId="24A3A61C" w:rsidR="005B452F" w:rsidRPr="003E3929" w:rsidRDefault="003E3929" w:rsidP="003E3929">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14:ligatures w14:val="none"/>
        </w:rPr>
      </w:pPr>
      <w:r w:rsidRPr="003E3929">
        <w:rPr>
          <w:rFonts w:ascii="Simplified Arabic" w:eastAsia="Calibri" w:hAnsi="Simplified Arabic" w:cs="Simplified Arabic"/>
          <w:kern w:val="0"/>
          <w:sz w:val="26"/>
          <w:szCs w:val="26"/>
          <w:rtl/>
          <w14:ligatures w14:val="none"/>
        </w:rPr>
        <w:t xml:space="preserve">بانتهائك من دراسة هذه الوحدة، ستكون قادرًا على ما يلي: </w:t>
      </w:r>
    </w:p>
    <w:p w14:paraId="782A7751" w14:textId="49D21E2E" w:rsidR="00FA6819" w:rsidRPr="003E3929" w:rsidRDefault="003E3929" w:rsidP="003E3929">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hAnsi="Simplified Arabic" w:cs="Simplified Arabic"/>
          <w:sz w:val="26"/>
          <w:szCs w:val="26"/>
        </w:rPr>
      </w:pPr>
      <w:bookmarkStart w:id="145" w:name="_Hlk162950358"/>
      <w:r w:rsidRPr="003E3929">
        <w:rPr>
          <w:rFonts w:ascii="Simplified Arabic" w:eastAsia="Calibri" w:hAnsi="Simplified Arabic" w:cs="Simplified Arabic"/>
          <w:kern w:val="0"/>
          <w:sz w:val="26"/>
          <w:szCs w:val="26"/>
          <w:rtl/>
          <w14:ligatures w14:val="none"/>
        </w:rPr>
        <w:t xml:space="preserve">أن تتبع مثال يشوع في أن "تتشدَّد وتتشجَّع" في مواجهة المعارك الروحيّة. </w:t>
      </w:r>
    </w:p>
    <w:p w14:paraId="1CDCA2FB" w14:textId="738D5D73" w:rsidR="003E3929" w:rsidRPr="003E3929" w:rsidRDefault="003E3929" w:rsidP="003E3929">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hAnsi="Simplified Arabic" w:cs="Simplified Arabic"/>
          <w:sz w:val="26"/>
          <w:szCs w:val="26"/>
        </w:rPr>
      </w:pPr>
      <w:r>
        <w:rPr>
          <w:rFonts w:ascii="Simplified Arabic" w:eastAsia="Calibri" w:hAnsi="Simplified Arabic" w:cs="Simplified Arabic" w:hint="cs"/>
          <w:kern w:val="0"/>
          <w:sz w:val="26"/>
          <w:szCs w:val="26"/>
          <w:rtl/>
          <w14:ligatures w14:val="none"/>
        </w:rPr>
        <w:t xml:space="preserve">أن تسعى إلى "ميراثك" بغيرةٍ أعظم، الميراث الذي ستُعطاه </w:t>
      </w:r>
      <w:r w:rsidR="00DB2474">
        <w:rPr>
          <w:rFonts w:ascii="Simplified Arabic" w:eastAsia="Calibri" w:hAnsi="Simplified Arabic" w:cs="Simplified Arabic" w:hint="cs"/>
          <w:kern w:val="0"/>
          <w:sz w:val="26"/>
          <w:szCs w:val="26"/>
          <w:rtl/>
          <w14:ligatures w14:val="none"/>
        </w:rPr>
        <w:t>عند</w:t>
      </w:r>
      <w:r>
        <w:rPr>
          <w:rFonts w:ascii="Simplified Arabic" w:eastAsia="Calibri" w:hAnsi="Simplified Arabic" w:cs="Simplified Arabic" w:hint="cs"/>
          <w:kern w:val="0"/>
          <w:sz w:val="26"/>
          <w:szCs w:val="26"/>
          <w:rtl/>
          <w14:ligatures w14:val="none"/>
        </w:rPr>
        <w:t xml:space="preserve"> عودة المسيح. </w:t>
      </w:r>
    </w:p>
    <w:p w14:paraId="2493AB0A" w14:textId="463A1663" w:rsidR="003E3929" w:rsidRPr="003E3929" w:rsidRDefault="003E3929" w:rsidP="003E3929">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hAnsi="Simplified Arabic" w:cs="Simplified Arabic"/>
          <w:sz w:val="26"/>
          <w:szCs w:val="26"/>
        </w:rPr>
      </w:pPr>
      <w:r>
        <w:rPr>
          <w:rFonts w:ascii="Simplified Arabic" w:eastAsia="Calibri" w:hAnsi="Simplified Arabic" w:cs="Simplified Arabic" w:hint="cs"/>
          <w:kern w:val="0"/>
          <w:sz w:val="26"/>
          <w:szCs w:val="26"/>
          <w:rtl/>
          <w14:ligatures w14:val="none"/>
        </w:rPr>
        <w:t xml:space="preserve">أن تصف التصميم العام لسفر القضاة الذي يكشف عن فساد تدريجي للأمة في عدم حفظها وطاعتها للشريعة. </w:t>
      </w:r>
    </w:p>
    <w:p w14:paraId="3D79B4ED" w14:textId="1146E823" w:rsidR="003E3929" w:rsidRPr="003E3929" w:rsidRDefault="003E3929" w:rsidP="003E3929">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hAnsi="Simplified Arabic" w:cs="Simplified Arabic"/>
          <w:sz w:val="26"/>
          <w:szCs w:val="26"/>
        </w:rPr>
      </w:pPr>
      <w:r>
        <w:rPr>
          <w:rFonts w:ascii="Simplified Arabic" w:eastAsia="Calibri" w:hAnsi="Simplified Arabic" w:cs="Simplified Arabic" w:hint="cs"/>
          <w:kern w:val="0"/>
          <w:sz w:val="26"/>
          <w:szCs w:val="26"/>
          <w:rtl/>
          <w14:ligatures w14:val="none"/>
        </w:rPr>
        <w:t>أن تبيّن مغزى كون جدعون "قاضيًا" في الحبكة العام</w:t>
      </w:r>
      <w:r w:rsidR="00DB2474">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ة لسفر القضاة. </w:t>
      </w:r>
    </w:p>
    <w:p w14:paraId="0A318A82" w14:textId="1F8C3FA0" w:rsidR="003E3929" w:rsidRPr="003E3929" w:rsidRDefault="003E3929" w:rsidP="003E3929">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hAnsi="Simplified Arabic" w:cs="Simplified Arabic"/>
          <w:sz w:val="26"/>
          <w:szCs w:val="26"/>
        </w:rPr>
      </w:pPr>
      <w:r>
        <w:rPr>
          <w:rFonts w:ascii="Simplified Arabic" w:eastAsia="Calibri" w:hAnsi="Simplified Arabic" w:cs="Simplified Arabic" w:hint="cs"/>
          <w:kern w:val="0"/>
          <w:sz w:val="26"/>
          <w:szCs w:val="26"/>
          <w:rtl/>
          <w14:ligatures w14:val="none"/>
        </w:rPr>
        <w:t xml:space="preserve">أن تشرح مغزى وأهمّيّة هوية راعوث وصفاتها وأعمالها في ضوء السياق التاريخي للسفر. </w:t>
      </w:r>
    </w:p>
    <w:p w14:paraId="62719ED6" w14:textId="684434CB" w:rsidR="003E3929" w:rsidRPr="00445DBD" w:rsidRDefault="003E3929" w:rsidP="003E3929">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hAnsi="Simplified Arabic" w:cs="Simplified Arabic"/>
          <w:sz w:val="26"/>
          <w:szCs w:val="26"/>
        </w:rPr>
      </w:pPr>
      <w:r>
        <w:rPr>
          <w:rFonts w:ascii="Simplified Arabic" w:eastAsia="Calibri" w:hAnsi="Simplified Arabic" w:cs="Simplified Arabic" w:hint="cs"/>
          <w:kern w:val="0"/>
          <w:sz w:val="26"/>
          <w:szCs w:val="26"/>
          <w:rtl/>
          <w14:ligatures w14:val="none"/>
        </w:rPr>
        <w:t xml:space="preserve">أن </w:t>
      </w:r>
      <w:r w:rsidR="00445DBD">
        <w:rPr>
          <w:rFonts w:ascii="Simplified Arabic" w:eastAsia="Calibri" w:hAnsi="Simplified Arabic" w:cs="Simplified Arabic" w:hint="cs"/>
          <w:kern w:val="0"/>
          <w:sz w:val="26"/>
          <w:szCs w:val="26"/>
          <w:rtl/>
          <w:lang w:bidi="ar-JO"/>
          <w14:ligatures w14:val="none"/>
        </w:rPr>
        <w:t>تبي</w:t>
      </w:r>
      <w:r w:rsidR="00DB2474">
        <w:rPr>
          <w:rFonts w:ascii="Simplified Arabic" w:eastAsia="Calibri" w:hAnsi="Simplified Arabic" w:cs="Simplified Arabic" w:hint="cs"/>
          <w:kern w:val="0"/>
          <w:sz w:val="26"/>
          <w:szCs w:val="26"/>
          <w:rtl/>
          <w:lang w:bidi="ar-JO"/>
          <w14:ligatures w14:val="none"/>
        </w:rPr>
        <w:t>ّ</w:t>
      </w:r>
      <w:r w:rsidR="00445DBD">
        <w:rPr>
          <w:rFonts w:ascii="Simplified Arabic" w:eastAsia="Calibri" w:hAnsi="Simplified Arabic" w:cs="Simplified Arabic" w:hint="cs"/>
          <w:kern w:val="0"/>
          <w:sz w:val="26"/>
          <w:szCs w:val="26"/>
          <w:rtl/>
          <w:lang w:bidi="ar-JO"/>
          <w14:ligatures w14:val="none"/>
        </w:rPr>
        <w:t xml:space="preserve">ن الأحداث والتطوُّرات الرئيسيّة في الأسفار الثمانية الأولى في الكتاب المُقدَّس (تثنية </w:t>
      </w:r>
      <w:r w:rsidR="00445DBD">
        <w:rPr>
          <w:rFonts w:ascii="Simplified Arabic" w:eastAsia="Calibri" w:hAnsi="Simplified Arabic" w:cs="Simplified Arabic"/>
          <w:kern w:val="0"/>
          <w:sz w:val="26"/>
          <w:szCs w:val="26"/>
          <w:rtl/>
          <w:lang w:bidi="ar-JO"/>
          <w14:ligatures w14:val="none"/>
        </w:rPr>
        <w:t>–</w:t>
      </w:r>
      <w:r w:rsidR="00445DBD">
        <w:rPr>
          <w:rFonts w:ascii="Simplified Arabic" w:eastAsia="Calibri" w:hAnsi="Simplified Arabic" w:cs="Simplified Arabic" w:hint="cs"/>
          <w:kern w:val="0"/>
          <w:sz w:val="26"/>
          <w:szCs w:val="26"/>
          <w:rtl/>
          <w:lang w:bidi="ar-JO"/>
          <w14:ligatures w14:val="none"/>
        </w:rPr>
        <w:t xml:space="preserve"> راعوث) </w:t>
      </w:r>
    </w:p>
    <w:p w14:paraId="6E6A6276" w14:textId="6AF512D9" w:rsidR="00445DBD" w:rsidRPr="003E3929" w:rsidRDefault="00445DBD" w:rsidP="00445DBD">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hAnsi="Simplified Arabic" w:cs="Simplified Arabic"/>
          <w:sz w:val="26"/>
          <w:szCs w:val="26"/>
        </w:rPr>
      </w:pPr>
      <w:r>
        <w:rPr>
          <w:rFonts w:ascii="Simplified Arabic" w:eastAsia="Calibri" w:hAnsi="Simplified Arabic" w:cs="Simplified Arabic" w:hint="cs"/>
          <w:kern w:val="0"/>
          <w:sz w:val="26"/>
          <w:szCs w:val="26"/>
          <w:rtl/>
          <w:lang w:bidi="ar-JO"/>
          <w14:ligatures w14:val="none"/>
        </w:rPr>
        <w:lastRenderedPageBreak/>
        <w:t xml:space="preserve">أن تُشير إلى التوقُّعات المسيانيّة الرئيسيّة الموجودة في الأسفار من تكوين إلى راعوث. </w:t>
      </w:r>
    </w:p>
    <w:bookmarkEnd w:id="145"/>
    <w:p w14:paraId="4709F99B" w14:textId="57A5F455" w:rsidR="009810D1" w:rsidRDefault="009810D1" w:rsidP="002D6C54">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contextualSpacing/>
      </w:pPr>
      <w:r>
        <w:br w:type="page"/>
      </w:r>
    </w:p>
    <w:p w14:paraId="28E32A4C" w14:textId="2D9DF882" w:rsidR="008B149F" w:rsidRPr="007A4B15" w:rsidRDefault="00445DBD" w:rsidP="00445DBD">
      <w:pPr>
        <w:pStyle w:val="Heading2"/>
        <w:bidi/>
      </w:pPr>
      <w:r>
        <w:rPr>
          <w:rFonts w:hint="cs"/>
          <w:rtl/>
        </w:rPr>
        <w:lastRenderedPageBreak/>
        <w:t xml:space="preserve">الدرس 10: </w:t>
      </w:r>
      <w:r w:rsidRPr="00445DBD">
        <w:rPr>
          <w:rFonts w:ascii="Simplified Arabic" w:hAnsi="Simplified Arabic" w:cs="Simplified Arabic" w:hint="cs"/>
          <w:rtl/>
          <w14:ligatures w14:val="none"/>
        </w:rPr>
        <w:t>فتح الأرض وتوزيعها على الأسباط (يشوع 1-24)</w:t>
      </w:r>
    </w:p>
    <w:p w14:paraId="0CBAC31F" w14:textId="77777777" w:rsidR="00311C51" w:rsidRPr="007A4B15" w:rsidRDefault="00311C51"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kern w:val="0"/>
          <w:szCs w:val="24"/>
          <w14:ligatures w14:val="none"/>
        </w:rPr>
      </w:pPr>
    </w:p>
    <w:p w14:paraId="2DDA7F9A" w14:textId="6C2E05C0" w:rsidR="008B149F" w:rsidRPr="007A4B15" w:rsidRDefault="00445DBD" w:rsidP="00445DBD">
      <w:pPr>
        <w:pStyle w:val="Heading3"/>
        <w:bidi/>
        <w:spacing w:line="240" w:lineRule="auto"/>
        <w:rPr>
          <w:lang w:val="fr-FR"/>
        </w:rPr>
      </w:pPr>
      <w:r>
        <w:rPr>
          <w:rFonts w:hint="cs"/>
          <w:rtl/>
          <w:lang w:val="fr-FR"/>
        </w:rPr>
        <w:t>مُقدّمة الدرس</w:t>
      </w:r>
    </w:p>
    <w:p w14:paraId="3E352C44" w14:textId="79DB85AD" w:rsidR="00003420" w:rsidRDefault="00003420" w:rsidP="00003420">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lang w:bidi="ar-JO"/>
          <w14:ligatures w14:val="none"/>
        </w:rPr>
      </w:pPr>
      <w:r>
        <w:rPr>
          <w:rFonts w:ascii="Simplified Arabic" w:eastAsia="Calibri" w:hAnsi="Simplified Arabic" w:cs="Simplified Arabic" w:hint="cs"/>
          <w:kern w:val="0"/>
          <w:sz w:val="26"/>
          <w:szCs w:val="26"/>
          <w:rtl/>
          <w:lang w:bidi="ar-JO"/>
          <w14:ligatures w14:val="none"/>
        </w:rPr>
        <w:t>بانتهاء سفر التثنية، تكون أسفار موسى الخمسة قد اكتملت، ويُدوَّن موت موسى بصورة لائقة ومناسبة. ويمثِّل سفر ي</w:t>
      </w:r>
      <w:r w:rsidR="00DB2474">
        <w:rPr>
          <w:rFonts w:ascii="Simplified Arabic" w:eastAsia="Calibri" w:hAnsi="Simplified Arabic" w:cs="Simplified Arabic" w:hint="cs"/>
          <w:kern w:val="0"/>
          <w:sz w:val="26"/>
          <w:szCs w:val="26"/>
          <w:rtl/>
          <w:lang w:bidi="ar-JO"/>
          <w14:ligatures w14:val="none"/>
        </w:rPr>
        <w:t>ش</w:t>
      </w:r>
      <w:r>
        <w:rPr>
          <w:rFonts w:ascii="Simplified Arabic" w:eastAsia="Calibri" w:hAnsi="Simplified Arabic" w:cs="Simplified Arabic" w:hint="cs"/>
          <w:kern w:val="0"/>
          <w:sz w:val="26"/>
          <w:szCs w:val="26"/>
          <w:rtl/>
          <w:lang w:bidi="ar-JO"/>
          <w14:ligatures w14:val="none"/>
        </w:rPr>
        <w:t>وع، التي يأتي بعد سفر التثنية، نقطة</w:t>
      </w:r>
      <w:r w:rsidR="00DB2474">
        <w:rPr>
          <w:rFonts w:ascii="Simplified Arabic" w:eastAsia="Calibri" w:hAnsi="Simplified Arabic" w:cs="Simplified Arabic" w:hint="cs"/>
          <w:kern w:val="0"/>
          <w:sz w:val="26"/>
          <w:szCs w:val="26"/>
          <w:rtl/>
          <w:lang w:bidi="ar-JO"/>
          <w14:ligatures w14:val="none"/>
        </w:rPr>
        <w:t>َ</w:t>
      </w:r>
      <w:r>
        <w:rPr>
          <w:rFonts w:ascii="Simplified Arabic" w:eastAsia="Calibri" w:hAnsi="Simplified Arabic" w:cs="Simplified Arabic" w:hint="cs"/>
          <w:kern w:val="0"/>
          <w:sz w:val="26"/>
          <w:szCs w:val="26"/>
          <w:rtl/>
          <w:lang w:bidi="ar-JO"/>
          <w14:ligatures w14:val="none"/>
        </w:rPr>
        <w:t xml:space="preserve"> تحوُّل</w:t>
      </w:r>
      <w:r w:rsidR="00DB2474">
        <w:rPr>
          <w:rFonts w:ascii="Simplified Arabic" w:eastAsia="Calibri" w:hAnsi="Simplified Arabic" w:cs="Simplified Arabic" w:hint="cs"/>
          <w:kern w:val="0"/>
          <w:sz w:val="26"/>
          <w:szCs w:val="26"/>
          <w:rtl/>
          <w:lang w:bidi="ar-JO"/>
          <w14:ligatures w14:val="none"/>
        </w:rPr>
        <w:t>ٍ</w:t>
      </w:r>
      <w:r>
        <w:rPr>
          <w:rFonts w:ascii="Simplified Arabic" w:eastAsia="Calibri" w:hAnsi="Simplified Arabic" w:cs="Simplified Arabic" w:hint="cs"/>
          <w:kern w:val="0"/>
          <w:sz w:val="26"/>
          <w:szCs w:val="26"/>
          <w:rtl/>
          <w:lang w:bidi="ar-JO"/>
          <w14:ligatures w14:val="none"/>
        </w:rPr>
        <w:t xml:space="preserve"> في تطوُّرات </w:t>
      </w:r>
      <w:r w:rsidR="00DB2474">
        <w:rPr>
          <w:rFonts w:ascii="Simplified Arabic" w:eastAsia="Calibri" w:hAnsi="Simplified Arabic" w:cs="Simplified Arabic" w:hint="cs"/>
          <w:kern w:val="0"/>
          <w:sz w:val="26"/>
          <w:szCs w:val="26"/>
          <w:rtl/>
          <w:lang w:bidi="ar-JO"/>
          <w14:ligatures w14:val="none"/>
        </w:rPr>
        <w:t xml:space="preserve">أحداث </w:t>
      </w:r>
      <w:r>
        <w:rPr>
          <w:rFonts w:ascii="Simplified Arabic" w:eastAsia="Calibri" w:hAnsi="Simplified Arabic" w:cs="Simplified Arabic" w:hint="cs"/>
          <w:kern w:val="0"/>
          <w:sz w:val="26"/>
          <w:szCs w:val="26"/>
          <w:rtl/>
          <w:lang w:bidi="ar-JO"/>
          <w14:ligatures w14:val="none"/>
        </w:rPr>
        <w:t>الع</w:t>
      </w:r>
      <w:r w:rsidR="00DB2474">
        <w:rPr>
          <w:rFonts w:ascii="Simplified Arabic" w:eastAsia="Calibri" w:hAnsi="Simplified Arabic" w:cs="Simplified Arabic" w:hint="cs"/>
          <w:kern w:val="0"/>
          <w:sz w:val="26"/>
          <w:szCs w:val="26"/>
          <w:rtl/>
          <w:lang w:bidi="ar-JO"/>
          <w14:ligatures w14:val="none"/>
        </w:rPr>
        <w:t>ه</w:t>
      </w:r>
      <w:r>
        <w:rPr>
          <w:rFonts w:ascii="Simplified Arabic" w:eastAsia="Calibri" w:hAnsi="Simplified Arabic" w:cs="Simplified Arabic" w:hint="cs"/>
          <w:kern w:val="0"/>
          <w:sz w:val="26"/>
          <w:szCs w:val="26"/>
          <w:rtl/>
          <w:lang w:bidi="ar-JO"/>
          <w14:ligatures w14:val="none"/>
        </w:rPr>
        <w:t>د القديم. فالآن ظهرت حاجة إلى قائد جديد يقود الأمّة إلى الأمام. وهذا القائد هو يشوع، مساعد موسى الأمين، الذي خدم موسى مدّة أربعين سنة. في البداية، نراه يلتقي بقائد جند الرب</w:t>
      </w:r>
      <w:r w:rsidR="00DB2474">
        <w:rPr>
          <w:rFonts w:ascii="Simplified Arabic" w:eastAsia="Calibri" w:hAnsi="Simplified Arabic" w:cs="Simplified Arabic" w:hint="cs"/>
          <w:kern w:val="0"/>
          <w:sz w:val="26"/>
          <w:szCs w:val="26"/>
          <w:rtl/>
          <w:lang w:bidi="ar-JO"/>
          <w14:ligatures w14:val="none"/>
        </w:rPr>
        <w:t>ّ</w:t>
      </w:r>
      <w:r>
        <w:rPr>
          <w:rFonts w:ascii="Simplified Arabic" w:eastAsia="Calibri" w:hAnsi="Simplified Arabic" w:cs="Simplified Arabic" w:hint="cs"/>
          <w:kern w:val="0"/>
          <w:sz w:val="26"/>
          <w:szCs w:val="26"/>
          <w:rtl/>
          <w:lang w:bidi="ar-JO"/>
          <w14:ligatures w14:val="none"/>
        </w:rPr>
        <w:t>، وقد أدرك أنّ الرب</w:t>
      </w:r>
      <w:r w:rsidR="00DB2474">
        <w:rPr>
          <w:rFonts w:ascii="Simplified Arabic" w:eastAsia="Calibri" w:hAnsi="Simplified Arabic" w:cs="Simplified Arabic" w:hint="cs"/>
          <w:kern w:val="0"/>
          <w:sz w:val="26"/>
          <w:szCs w:val="26"/>
          <w:rtl/>
          <w:lang w:bidi="ar-JO"/>
          <w14:ligatures w14:val="none"/>
        </w:rPr>
        <w:t>ّ</w:t>
      </w:r>
      <w:r>
        <w:rPr>
          <w:rFonts w:ascii="Simplified Arabic" w:eastAsia="Calibri" w:hAnsi="Simplified Arabic" w:cs="Simplified Arabic" w:hint="cs"/>
          <w:kern w:val="0"/>
          <w:sz w:val="26"/>
          <w:szCs w:val="26"/>
          <w:rtl/>
          <w:lang w:bidi="ar-JO"/>
          <w14:ligatures w14:val="none"/>
        </w:rPr>
        <w:t xml:space="preserve"> الإله هو مَن سيسير أمامهم ويمكِّنهم من النجاح، طالما كانوا يثقون به ويطيعون قيادته. حدث الاستيلاء على الأرض في ثلاث مراحل من الناحية الجغرافية. وبرغم النجاح الذي تحقَّق في النهاية، حدث</w:t>
      </w:r>
      <w:r w:rsidR="00DB2474">
        <w:rPr>
          <w:rFonts w:ascii="Simplified Arabic" w:eastAsia="Calibri" w:hAnsi="Simplified Arabic" w:cs="Simplified Arabic" w:hint="cs"/>
          <w:kern w:val="0"/>
          <w:sz w:val="26"/>
          <w:szCs w:val="26"/>
          <w:rtl/>
          <w:lang w:bidi="ar-JO"/>
          <w14:ligatures w14:val="none"/>
        </w:rPr>
        <w:t>تْ</w:t>
      </w:r>
      <w:r>
        <w:rPr>
          <w:rFonts w:ascii="Simplified Arabic" w:eastAsia="Calibri" w:hAnsi="Simplified Arabic" w:cs="Simplified Arabic" w:hint="cs"/>
          <w:kern w:val="0"/>
          <w:sz w:val="26"/>
          <w:szCs w:val="26"/>
          <w:rtl/>
          <w:lang w:bidi="ar-JO"/>
          <w14:ligatures w14:val="none"/>
        </w:rPr>
        <w:t xml:space="preserve"> أخطاء في عملية الاستيلاء ظهر أنّها أخطاء كلَّفت الكثير. ومع هذا، مع أنّه بقيت جيوبٌ من مقاومة الكنعانيّين في الأرض، فقد تمكَّن العبرانيون من الاستيلاء بفاعلية على كل</w:t>
      </w:r>
      <w:r w:rsidR="00DB2474">
        <w:rPr>
          <w:rFonts w:ascii="Simplified Arabic" w:eastAsia="Calibri" w:hAnsi="Simplified Arabic" w:cs="Simplified Arabic" w:hint="cs"/>
          <w:kern w:val="0"/>
          <w:sz w:val="26"/>
          <w:szCs w:val="26"/>
          <w:rtl/>
          <w:lang w:bidi="ar-JO"/>
          <w14:ligatures w14:val="none"/>
        </w:rPr>
        <w:t>ّ</w:t>
      </w:r>
      <w:r>
        <w:rPr>
          <w:rFonts w:ascii="Simplified Arabic" w:eastAsia="Calibri" w:hAnsi="Simplified Arabic" w:cs="Simplified Arabic" w:hint="cs"/>
          <w:kern w:val="0"/>
          <w:sz w:val="26"/>
          <w:szCs w:val="26"/>
          <w:rtl/>
          <w:lang w:bidi="ar-JO"/>
          <w14:ligatures w14:val="none"/>
        </w:rPr>
        <w:t xml:space="preserve"> الأرض التي وُعِد إبراهيم ونسله بها. </w:t>
      </w:r>
    </w:p>
    <w:p w14:paraId="0479C108" w14:textId="1B73E699" w:rsidR="00003420" w:rsidRDefault="00003420" w:rsidP="00003420">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lang w:bidi="ar-JO"/>
          <w14:ligatures w14:val="none"/>
        </w:rPr>
      </w:pPr>
      <w:r>
        <w:rPr>
          <w:rFonts w:ascii="Simplified Arabic" w:eastAsia="Calibri" w:hAnsi="Simplified Arabic" w:cs="Simplified Arabic" w:hint="cs"/>
          <w:kern w:val="0"/>
          <w:sz w:val="26"/>
          <w:szCs w:val="26"/>
          <w:rtl/>
          <w:lang w:bidi="ar-JO"/>
          <w14:ligatures w14:val="none"/>
        </w:rPr>
        <w:t>بكسر القوّة الرئيسيّة للكنعانيّين، استمرّ يشوع في مهمّة سعيه بأن ينال كلّ</w:t>
      </w:r>
      <w:r w:rsidR="00DB2474">
        <w:rPr>
          <w:rFonts w:ascii="Simplified Arabic" w:eastAsia="Calibri" w:hAnsi="Simplified Arabic" w:cs="Simplified Arabic" w:hint="cs"/>
          <w:kern w:val="0"/>
          <w:sz w:val="26"/>
          <w:szCs w:val="26"/>
          <w:rtl/>
          <w:lang w:bidi="ar-JO"/>
          <w14:ligatures w14:val="none"/>
        </w:rPr>
        <w:t>ُ</w:t>
      </w:r>
      <w:r>
        <w:rPr>
          <w:rFonts w:ascii="Simplified Arabic" w:eastAsia="Calibri" w:hAnsi="Simplified Arabic" w:cs="Simplified Arabic" w:hint="cs"/>
          <w:kern w:val="0"/>
          <w:sz w:val="26"/>
          <w:szCs w:val="26"/>
          <w:rtl/>
          <w:lang w:bidi="ar-JO"/>
          <w14:ligatures w14:val="none"/>
        </w:rPr>
        <w:t xml:space="preserve"> واحدٍ من الأسباط الاثني عشر حصّته المناسبة من الأرض (ميراثه). وقد بلغ الس</w:t>
      </w:r>
      <w:r w:rsidR="00DB2474">
        <w:rPr>
          <w:rFonts w:ascii="Simplified Arabic" w:eastAsia="Calibri" w:hAnsi="Simplified Arabic" w:cs="Simplified Arabic" w:hint="cs"/>
          <w:kern w:val="0"/>
          <w:sz w:val="26"/>
          <w:szCs w:val="26"/>
          <w:rtl/>
          <w:lang w:bidi="ar-JO"/>
          <w14:ligatures w14:val="none"/>
        </w:rPr>
        <w:t>ِّ</w:t>
      </w:r>
      <w:r>
        <w:rPr>
          <w:rFonts w:ascii="Simplified Arabic" w:eastAsia="Calibri" w:hAnsi="Simplified Arabic" w:cs="Simplified Arabic" w:hint="cs"/>
          <w:kern w:val="0"/>
          <w:sz w:val="26"/>
          <w:szCs w:val="26"/>
          <w:rtl/>
          <w:lang w:bidi="ar-JO"/>
          <w14:ligatures w14:val="none"/>
        </w:rPr>
        <w:t>فر ذروته في المراسم الاحتفاليّة التي حدث</w:t>
      </w:r>
      <w:r w:rsidR="00DB2474">
        <w:rPr>
          <w:rFonts w:ascii="Simplified Arabic" w:eastAsia="Calibri" w:hAnsi="Simplified Arabic" w:cs="Simplified Arabic" w:hint="cs"/>
          <w:kern w:val="0"/>
          <w:sz w:val="26"/>
          <w:szCs w:val="26"/>
          <w:rtl/>
          <w:lang w:bidi="ar-JO"/>
          <w14:ligatures w14:val="none"/>
        </w:rPr>
        <w:t>ت</w:t>
      </w:r>
      <w:r>
        <w:rPr>
          <w:rFonts w:ascii="Simplified Arabic" w:eastAsia="Calibri" w:hAnsi="Simplified Arabic" w:cs="Simplified Arabic" w:hint="cs"/>
          <w:kern w:val="0"/>
          <w:sz w:val="26"/>
          <w:szCs w:val="26"/>
          <w:rtl/>
          <w:lang w:bidi="ar-JO"/>
          <w14:ligatures w14:val="none"/>
        </w:rPr>
        <w:t xml:space="preserve"> في شكيم، والتي بها أعادت الأسباط التأكيد على التزامها بالعهد الموسوي وولائها للربّ وعبادته وخدمته وحده. </w:t>
      </w:r>
    </w:p>
    <w:p w14:paraId="771140D4" w14:textId="77777777" w:rsidR="00003420" w:rsidRPr="00445DBD" w:rsidRDefault="00003420" w:rsidP="00003420">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lang w:bidi="ar-JO"/>
          <w14:ligatures w14:val="none"/>
        </w:rPr>
      </w:pPr>
    </w:p>
    <w:p w14:paraId="58D458F2" w14:textId="59DC4184" w:rsidR="008B149F" w:rsidRPr="007A4B15" w:rsidRDefault="00003420" w:rsidP="00003420">
      <w:pPr>
        <w:pStyle w:val="Heading3"/>
        <w:bidi/>
        <w:spacing w:line="240" w:lineRule="auto"/>
      </w:pPr>
      <w:bookmarkStart w:id="146" w:name="_Toc164420064"/>
      <w:r>
        <w:rPr>
          <w:rFonts w:hint="cs"/>
          <w:rtl/>
        </w:rPr>
        <w:t xml:space="preserve">مُخطّط الدرس </w:t>
      </w:r>
      <w:bookmarkEnd w:id="146"/>
    </w:p>
    <w:p w14:paraId="6E551441" w14:textId="77777777" w:rsidR="00915244" w:rsidRPr="00915244" w:rsidRDefault="00915244" w:rsidP="00915244">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bookmarkStart w:id="147" w:name="_Hlk190754588"/>
      <w:r w:rsidRPr="00915244">
        <w:rPr>
          <w:rFonts w:ascii="Simplified Arabic" w:eastAsia="Calibri" w:hAnsi="Simplified Arabic" w:cs="Simplified Arabic"/>
          <w:kern w:val="0"/>
          <w:sz w:val="26"/>
          <w:szCs w:val="26"/>
          <w:rtl/>
          <w14:ligatures w14:val="none"/>
        </w:rPr>
        <w:t xml:space="preserve">الموضوع 1: مُقدِّمة إلى سفر يشوع </w:t>
      </w:r>
    </w:p>
    <w:p w14:paraId="3CD8D3AF" w14:textId="77777777" w:rsidR="00915244" w:rsidRPr="00915244" w:rsidRDefault="00915244" w:rsidP="00915244">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r w:rsidRPr="00915244">
        <w:rPr>
          <w:rFonts w:ascii="Simplified Arabic" w:eastAsia="Calibri" w:hAnsi="Simplified Arabic" w:cs="Simplified Arabic"/>
          <w:kern w:val="0"/>
          <w:sz w:val="26"/>
          <w:szCs w:val="26"/>
          <w:rtl/>
          <w14:ligatures w14:val="none"/>
        </w:rPr>
        <w:t xml:space="preserve">الموضوع 2: الاستيلاء على أرض كنعان (يشوع 1: 1 – 12: 24) </w:t>
      </w:r>
    </w:p>
    <w:p w14:paraId="65653140" w14:textId="6FA9B92F" w:rsidR="008B149F" w:rsidRPr="007A4B15" w:rsidRDefault="00915244" w:rsidP="00915244">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eastAsia="Calibri" w:cs="Times New Roman"/>
          <w:kern w:val="0"/>
          <w:szCs w:val="24"/>
          <w14:ligatures w14:val="none"/>
        </w:rPr>
      </w:pPr>
      <w:r w:rsidRPr="00915244">
        <w:rPr>
          <w:rFonts w:ascii="Simplified Arabic" w:eastAsia="Calibri" w:hAnsi="Simplified Arabic" w:cs="Simplified Arabic"/>
          <w:kern w:val="0"/>
          <w:sz w:val="26"/>
          <w:szCs w:val="26"/>
          <w:rtl/>
          <w14:ligatures w14:val="none"/>
        </w:rPr>
        <w:t xml:space="preserve">الموضوع 3: توزيع الأرض حصصًا (يشوع 13: 1 – 24: 33) </w:t>
      </w:r>
      <w:bookmarkEnd w:id="147"/>
      <w:r w:rsidR="008B149F" w:rsidRPr="007A4B15">
        <w:rPr>
          <w:rFonts w:eastAsia="Calibri" w:cs="Times New Roman"/>
          <w:kern w:val="0"/>
          <w:szCs w:val="24"/>
          <w14:ligatures w14:val="none"/>
        </w:rPr>
        <w:br/>
      </w:r>
    </w:p>
    <w:p w14:paraId="761F4F52" w14:textId="7BB22E80" w:rsidR="008B149F" w:rsidRPr="007A4B15" w:rsidRDefault="00915244" w:rsidP="00915244">
      <w:pPr>
        <w:pStyle w:val="Heading3"/>
        <w:bidi/>
        <w:spacing w:line="240" w:lineRule="auto"/>
        <w:rPr>
          <w:lang w:val="fr-FR"/>
        </w:rPr>
      </w:pPr>
      <w:r>
        <w:rPr>
          <w:rFonts w:hint="cs"/>
          <w:rtl/>
          <w:lang w:val="fr-FR"/>
        </w:rPr>
        <w:t>أهداف الدرس</w:t>
      </w:r>
    </w:p>
    <w:p w14:paraId="2A32EC49" w14:textId="35283F0A" w:rsidR="008B149F" w:rsidRPr="00915244" w:rsidRDefault="00915244" w:rsidP="00915244">
      <w:pPr>
        <w:bidi/>
        <w:spacing w:before="120" w:after="80" w:line="240" w:lineRule="auto"/>
        <w:rPr>
          <w:rFonts w:ascii="Simplified Arabic" w:eastAsia="Calibri" w:hAnsi="Simplified Arabic" w:cs="Simplified Arabic"/>
          <w:kern w:val="0"/>
          <w:sz w:val="26"/>
          <w:szCs w:val="26"/>
          <w14:ligatures w14:val="none"/>
        </w:rPr>
      </w:pPr>
      <w:r w:rsidRPr="00915244">
        <w:rPr>
          <w:rFonts w:ascii="Simplified Arabic" w:eastAsia="Calibri" w:hAnsi="Simplified Arabic" w:cs="Simplified Arabic"/>
          <w:kern w:val="0"/>
          <w:sz w:val="26"/>
          <w:szCs w:val="26"/>
          <w:rtl/>
          <w14:ligatures w14:val="none"/>
        </w:rPr>
        <w:t xml:space="preserve">بانتهائك من دراسة هذا الدرس، ستكون قادرًا على ما يلي: </w:t>
      </w:r>
    </w:p>
    <w:p w14:paraId="579E405F" w14:textId="485AF8FC" w:rsidR="00A444C2" w:rsidRPr="00915244" w:rsidRDefault="00915244" w:rsidP="00915244">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915244">
        <w:rPr>
          <w:rFonts w:ascii="Simplified Arabic" w:eastAsia="Calibri" w:hAnsi="Simplified Arabic" w:cs="Simplified Arabic"/>
          <w:kern w:val="0"/>
          <w:sz w:val="26"/>
          <w:szCs w:val="26"/>
          <w:rtl/>
          <w14:ligatures w14:val="none"/>
        </w:rPr>
        <w:t xml:space="preserve">أن تتبع مثال يشوع في أن "تتشدَّد وتتشجَّع" في مواجهة المعاركة الروحية. </w:t>
      </w:r>
    </w:p>
    <w:p w14:paraId="650EA786" w14:textId="69EEE30D" w:rsidR="00915244" w:rsidRPr="00915244" w:rsidRDefault="00915244" w:rsidP="00915244">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915244">
        <w:rPr>
          <w:rFonts w:ascii="Simplified Arabic" w:eastAsia="Calibri" w:hAnsi="Simplified Arabic" w:cs="Simplified Arabic"/>
          <w:kern w:val="0"/>
          <w:sz w:val="26"/>
          <w:szCs w:val="26"/>
          <w:rtl/>
          <w14:ligatures w14:val="none"/>
        </w:rPr>
        <w:t xml:space="preserve">أن تسعى إلى "ميراثك" بغيرة أعظم، وهو الميراث الذي ستناله عند عودة المسيح. </w:t>
      </w:r>
    </w:p>
    <w:p w14:paraId="0C89589F" w14:textId="58C2AC7F" w:rsidR="00915244" w:rsidRPr="00915244" w:rsidRDefault="00915244" w:rsidP="00915244">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915244">
        <w:rPr>
          <w:rFonts w:ascii="Simplified Arabic" w:eastAsia="Calibri" w:hAnsi="Simplified Arabic" w:cs="Simplified Arabic"/>
          <w:kern w:val="0"/>
          <w:sz w:val="26"/>
          <w:szCs w:val="26"/>
          <w:rtl/>
          <w14:ligatures w14:val="none"/>
        </w:rPr>
        <w:t xml:space="preserve">أن تشرح حقيقة صحّة وعدالة تعليمات الرب بإبادة الحضارة الكنعانيّة. </w:t>
      </w:r>
    </w:p>
    <w:p w14:paraId="3F606E16" w14:textId="28F22FB5" w:rsidR="00915244" w:rsidRPr="00915244" w:rsidRDefault="00915244" w:rsidP="00915244">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915244">
        <w:rPr>
          <w:rFonts w:ascii="Simplified Arabic" w:eastAsia="Calibri" w:hAnsi="Simplified Arabic" w:cs="Simplified Arabic"/>
          <w:kern w:val="0"/>
          <w:sz w:val="26"/>
          <w:szCs w:val="26"/>
          <w:rtl/>
          <w14:ligatures w14:val="none"/>
        </w:rPr>
        <w:t xml:space="preserve">أن تُشير إلى الخطايا والأخطاء العديدة التي ارتكبها شعب إسرائيل وهم يسعون إلى الاستيلاء على الأرض، من أجل أن تكتسب بصيرةً بشأن الضلال والحرب الروحيّة اللذين نواجههما اليوم. </w:t>
      </w:r>
    </w:p>
    <w:p w14:paraId="6E1CFF54" w14:textId="2A9C0478" w:rsidR="00915244" w:rsidRPr="00915244" w:rsidRDefault="00915244" w:rsidP="00915244">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915244">
        <w:rPr>
          <w:rFonts w:ascii="Simplified Arabic" w:eastAsia="Calibri" w:hAnsi="Simplified Arabic" w:cs="Simplified Arabic"/>
          <w:kern w:val="0"/>
          <w:sz w:val="26"/>
          <w:szCs w:val="26"/>
          <w:rtl/>
          <w14:ligatures w14:val="none"/>
        </w:rPr>
        <w:lastRenderedPageBreak/>
        <w:t xml:space="preserve">أن تدرِك حقيقة أن التزام يشوع الشخصي نحو الربّ قد ألهم كلّ الأمّة بأن </w:t>
      </w:r>
      <w:r w:rsidR="00DB2474">
        <w:rPr>
          <w:rFonts w:ascii="Simplified Arabic" w:eastAsia="Calibri" w:hAnsi="Simplified Arabic" w:cs="Simplified Arabic" w:hint="cs"/>
          <w:kern w:val="0"/>
          <w:sz w:val="26"/>
          <w:szCs w:val="26"/>
          <w:rtl/>
          <w14:ligatures w14:val="none"/>
        </w:rPr>
        <w:t>تتمِّم</w:t>
      </w:r>
      <w:r w:rsidRPr="00915244">
        <w:rPr>
          <w:rFonts w:ascii="Simplified Arabic" w:eastAsia="Calibri" w:hAnsi="Simplified Arabic" w:cs="Simplified Arabic"/>
          <w:kern w:val="0"/>
          <w:sz w:val="26"/>
          <w:szCs w:val="26"/>
          <w:rtl/>
          <w14:ligatures w14:val="none"/>
        </w:rPr>
        <w:t xml:space="preserve"> خطّة الرب بالاستيلاء على أرض كنعان. </w:t>
      </w:r>
    </w:p>
    <w:p w14:paraId="782D956E" w14:textId="6985CA92" w:rsidR="006311FA" w:rsidRPr="00E42FBE" w:rsidRDefault="008B149F" w:rsidP="00915244">
      <w:pPr>
        <w:pStyle w:val="Heading3"/>
        <w:bidi/>
        <w:spacing w:line="240" w:lineRule="auto"/>
        <w:rPr>
          <w:rFonts w:eastAsia="Calibri"/>
          <w:szCs w:val="24"/>
        </w:rPr>
      </w:pPr>
      <w:r>
        <w:rPr>
          <w:rFonts w:eastAsia="Calibri"/>
          <w:szCs w:val="24"/>
        </w:rPr>
        <w:br w:type="page"/>
      </w:r>
      <w:r w:rsidR="00915244">
        <w:rPr>
          <w:rFonts w:hint="cs"/>
          <w:rtl/>
        </w:rPr>
        <w:lastRenderedPageBreak/>
        <w:t>الموضوع 1: مُقدِّمة إلى سفر يشوع</w:t>
      </w:r>
    </w:p>
    <w:bookmarkEnd w:id="143"/>
    <w:p w14:paraId="429923E2" w14:textId="60412557" w:rsidR="00BD35FC" w:rsidRDefault="00915244" w:rsidP="00915244">
      <w:pPr>
        <w:pStyle w:val="Heading4RED"/>
        <w:bidi/>
        <w:rPr>
          <w:rtl/>
        </w:rPr>
      </w:pPr>
      <w:r>
        <w:rPr>
          <w:rFonts w:hint="cs"/>
          <w:rtl/>
        </w:rPr>
        <w:t>لوحة توضيحيّة لسفر يشوع</w:t>
      </w:r>
    </w:p>
    <w:p w14:paraId="3E425665" w14:textId="77777777" w:rsidR="00915244" w:rsidRDefault="00915244" w:rsidP="00915244">
      <w:pPr>
        <w:pStyle w:val="Heading4RED"/>
        <w:bidi/>
      </w:pPr>
    </w:p>
    <w:p w14:paraId="05332506" w14:textId="51FCAE46" w:rsidR="006311FA" w:rsidRDefault="00070B6E"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strike/>
          <w:kern w:val="0"/>
          <w:szCs w:val="24"/>
          <w14:ligatures w14:val="none"/>
        </w:rPr>
      </w:pPr>
      <w:r>
        <w:rPr>
          <w:rFonts w:eastAsia="Calibri" w:cs="Times New Roman"/>
          <w:strike/>
          <w:noProof/>
          <w:kern w:val="0"/>
          <w:szCs w:val="24"/>
          <w14:ligatures w14:val="none"/>
        </w:rPr>
        <w:drawing>
          <wp:inline distT="0" distB="0" distL="0" distR="0" wp14:anchorId="2E32A21E" wp14:editId="10EC3D69">
            <wp:extent cx="5935980" cy="4191000"/>
            <wp:effectExtent l="0" t="0" r="0" b="0"/>
            <wp:docPr id="13963816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5980" cy="4191000"/>
                    </a:xfrm>
                    <a:prstGeom prst="rect">
                      <a:avLst/>
                    </a:prstGeom>
                    <a:noFill/>
                    <a:ln>
                      <a:noFill/>
                    </a:ln>
                  </pic:spPr>
                </pic:pic>
              </a:graphicData>
            </a:graphic>
          </wp:inline>
        </w:drawing>
      </w:r>
    </w:p>
    <w:p w14:paraId="2BE37DE9" w14:textId="5C69143F" w:rsidR="00BD35FC" w:rsidRPr="00A74161" w:rsidRDefault="00A74161" w:rsidP="00A74161">
      <w:pPr>
        <w:pStyle w:val="Heading4RED"/>
        <w:bidi/>
        <w:rPr>
          <w:rFonts w:ascii="Simplified Arabic" w:hAnsi="Simplified Arabic" w:cs="Simplified Arabic"/>
          <w:rtl/>
          <w:lang w:bidi="ar-JO"/>
        </w:rPr>
      </w:pPr>
      <w:bookmarkStart w:id="148" w:name="_Hlk178779200"/>
      <w:r w:rsidRPr="00A74161">
        <w:rPr>
          <w:rFonts w:ascii="Simplified Arabic" w:hAnsi="Simplified Arabic" w:cs="Simplified Arabic"/>
          <w:rtl/>
          <w:lang w:bidi="ar-JO"/>
        </w:rPr>
        <w:t>تبرير إبادة وإفناء الحضارة الكنعانيّة</w:t>
      </w:r>
    </w:p>
    <w:p w14:paraId="0004BF75" w14:textId="4342F051" w:rsidR="00E71FF9" w:rsidRPr="00A74161" w:rsidRDefault="00F53C81" w:rsidP="00A74161">
      <w:pPr>
        <w:bidi/>
        <w:spacing w:line="240" w:lineRule="auto"/>
        <w:rPr>
          <w:rFonts w:ascii="Simplified Arabic" w:hAnsi="Simplified Arabic" w:cs="Simplified Arabic"/>
          <w:b/>
          <w:bCs/>
          <w:sz w:val="26"/>
          <w:szCs w:val="26"/>
        </w:rPr>
      </w:pPr>
      <w:r w:rsidRPr="00A74161">
        <w:rPr>
          <w:rFonts w:ascii="Simplified Arabic" w:hAnsi="Simplified Arabic" w:cs="Simplified Arabic"/>
          <w:b/>
          <w:bCs/>
        </w:rPr>
        <w:br/>
      </w:r>
      <w:r w:rsidR="00A74161" w:rsidRPr="00A74161">
        <w:rPr>
          <w:rFonts w:ascii="Simplified Arabic" w:hAnsi="Simplified Arabic" w:cs="Simplified Arabic"/>
          <w:b/>
          <w:bCs/>
          <w:sz w:val="26"/>
          <w:szCs w:val="26"/>
          <w:rtl/>
        </w:rPr>
        <w:t>مُقدِّمة</w:t>
      </w:r>
    </w:p>
    <w:p w14:paraId="4C66AC32" w14:textId="7DE30146" w:rsidR="00A74161" w:rsidRDefault="009579C7" w:rsidP="009579C7">
      <w:pPr>
        <w:bidi/>
        <w:spacing w:line="240" w:lineRule="auto"/>
        <w:rPr>
          <w:rFonts w:ascii="Simplified Arabic" w:hAnsi="Simplified Arabic" w:cs="Simplified Arabic"/>
          <w:sz w:val="26"/>
          <w:szCs w:val="26"/>
          <w:rtl/>
          <w:lang w:bidi="ar-JO"/>
        </w:rPr>
      </w:pPr>
      <w:r>
        <w:rPr>
          <w:rFonts w:ascii="Simplified Arabic" w:hAnsi="Simplified Arabic" w:cs="Simplified Arabic" w:hint="cs"/>
          <w:sz w:val="26"/>
          <w:szCs w:val="26"/>
          <w:rtl/>
        </w:rPr>
        <w:t xml:space="preserve">يمثِّل </w:t>
      </w:r>
      <w:r w:rsidRPr="009579C7">
        <w:rPr>
          <w:rFonts w:ascii="Simplified Arabic" w:hAnsi="Simplified Arabic" w:cs="Simplified Arabic"/>
          <w:sz w:val="26"/>
          <w:szCs w:val="26"/>
          <w:rtl/>
        </w:rPr>
        <w:t>أمر الله ل</w:t>
      </w:r>
      <w:r>
        <w:rPr>
          <w:rFonts w:ascii="Simplified Arabic" w:hAnsi="Simplified Arabic" w:cs="Simplified Arabic" w:hint="cs"/>
          <w:sz w:val="26"/>
          <w:szCs w:val="26"/>
          <w:rtl/>
        </w:rPr>
        <w:t>شعب إسرائيل بتدمير الحضارة الكنعانيّة أكبر</w:t>
      </w:r>
      <w:r w:rsidR="00DB2474">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ورطة أخلاقيّة في العهد القديم. فهل حقّا أمر</w:t>
      </w:r>
      <w:r w:rsidR="00DB2474">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الإله القدّوس والم</w:t>
      </w:r>
      <w:r w:rsidR="00DB2474">
        <w:rPr>
          <w:rFonts w:ascii="Simplified Arabic" w:hAnsi="Simplified Arabic" w:cs="Simplified Arabic" w:hint="cs"/>
          <w:sz w:val="26"/>
          <w:szCs w:val="26"/>
          <w:rtl/>
        </w:rPr>
        <w:t>ُ</w:t>
      </w:r>
      <w:r>
        <w:rPr>
          <w:rFonts w:ascii="Simplified Arabic" w:hAnsi="Simplified Arabic" w:cs="Simplified Arabic" w:hint="cs"/>
          <w:sz w:val="26"/>
          <w:szCs w:val="26"/>
          <w:rtl/>
        </w:rPr>
        <w:t xml:space="preserve">حبّ إسرائيل بإبادة شعبٍ كامل؟ بالنسبة إلى كثيرين، </w:t>
      </w:r>
      <w:r w:rsidR="00FF3AD1">
        <w:rPr>
          <w:rFonts w:ascii="Simplified Arabic" w:hAnsi="Simplified Arabic" w:cs="Simplified Arabic" w:hint="cs"/>
          <w:sz w:val="26"/>
          <w:szCs w:val="26"/>
          <w:rtl/>
        </w:rPr>
        <w:t>ليس هذا سوى</w:t>
      </w:r>
      <w:r w:rsidR="00FF3AD1">
        <w:rPr>
          <w:rFonts w:ascii="Simplified Arabic" w:hAnsi="Simplified Arabic" w:cs="Simplified Arabic" w:hint="cs"/>
          <w:sz w:val="26"/>
          <w:szCs w:val="26"/>
          <w:rtl/>
          <w:lang w:bidi="ar-JO"/>
        </w:rPr>
        <w:t xml:space="preserve"> انتهاك أخلاقي</w:t>
      </w:r>
      <w:r w:rsidR="00DB2474">
        <w:rPr>
          <w:rFonts w:ascii="Simplified Arabic" w:hAnsi="Simplified Arabic" w:cs="Simplified Arabic" w:hint="cs"/>
          <w:sz w:val="26"/>
          <w:szCs w:val="26"/>
          <w:rtl/>
          <w:lang w:bidi="ar-JO"/>
        </w:rPr>
        <w:t>ّ</w:t>
      </w:r>
      <w:r w:rsidR="00FF3AD1">
        <w:rPr>
          <w:rFonts w:ascii="Simplified Arabic" w:hAnsi="Simplified Arabic" w:cs="Simplified Arabic" w:hint="cs"/>
          <w:sz w:val="26"/>
          <w:szCs w:val="26"/>
          <w:rtl/>
          <w:lang w:bidi="ar-JO"/>
        </w:rPr>
        <w:t xml:space="preserve"> لا مبرِّر له. فكيف ينبغي للمؤمنين أن يردّ</w:t>
      </w:r>
      <w:r w:rsidR="00DB2474">
        <w:rPr>
          <w:rFonts w:ascii="Simplified Arabic" w:hAnsi="Simplified Arabic" w:cs="Simplified Arabic" w:hint="cs"/>
          <w:sz w:val="26"/>
          <w:szCs w:val="26"/>
          <w:rtl/>
          <w:lang w:bidi="ar-JO"/>
        </w:rPr>
        <w:t>ُو</w:t>
      </w:r>
      <w:r w:rsidR="00FF3AD1">
        <w:rPr>
          <w:rFonts w:ascii="Simplified Arabic" w:hAnsi="Simplified Arabic" w:cs="Simplified Arabic" w:hint="cs"/>
          <w:sz w:val="26"/>
          <w:szCs w:val="26"/>
          <w:rtl/>
          <w:lang w:bidi="ar-JO"/>
        </w:rPr>
        <w:t xml:space="preserve">ا على انتقاد الآخرين بشأن هذه المسألة الصعبة؟ </w:t>
      </w:r>
    </w:p>
    <w:p w14:paraId="707F3202" w14:textId="77777777" w:rsidR="00FF3AD1" w:rsidRPr="009579C7" w:rsidRDefault="00FF3AD1" w:rsidP="00FF3AD1">
      <w:pPr>
        <w:bidi/>
        <w:spacing w:line="240" w:lineRule="auto"/>
        <w:rPr>
          <w:rFonts w:ascii="Simplified Arabic" w:hAnsi="Simplified Arabic" w:cs="Simplified Arabic"/>
          <w:sz w:val="26"/>
          <w:szCs w:val="26"/>
          <w:lang w:bidi="ar-JO"/>
        </w:rPr>
      </w:pPr>
    </w:p>
    <w:p w14:paraId="7A495250" w14:textId="1464C6C7" w:rsidR="00FF3AD1" w:rsidRPr="00FF3AD1" w:rsidRDefault="00FF3AD1" w:rsidP="00FF3AD1">
      <w:pPr>
        <w:bidi/>
        <w:spacing w:line="240" w:lineRule="auto"/>
        <w:rPr>
          <w:rFonts w:ascii="Simplified Arabic" w:hAnsi="Simplified Arabic" w:cs="Simplified Arabic"/>
          <w:b/>
          <w:bCs/>
          <w:sz w:val="26"/>
          <w:szCs w:val="26"/>
          <w:rtl/>
        </w:rPr>
      </w:pPr>
      <w:r w:rsidRPr="00FF3AD1">
        <w:rPr>
          <w:rFonts w:ascii="Simplified Arabic" w:hAnsi="Simplified Arabic" w:cs="Simplified Arabic"/>
          <w:b/>
          <w:bCs/>
          <w:sz w:val="26"/>
          <w:szCs w:val="26"/>
          <w:rtl/>
        </w:rPr>
        <w:t xml:space="preserve">نظرة إلى بعض التعليمات التي أُعطيت لإسرائيل </w:t>
      </w:r>
    </w:p>
    <w:p w14:paraId="12779A6E" w14:textId="392AD454" w:rsidR="00FF3AD1" w:rsidRPr="00FF3AD1" w:rsidRDefault="00FF3AD1" w:rsidP="00FF3AD1">
      <w:pPr>
        <w:bidi/>
        <w:spacing w:line="240" w:lineRule="auto"/>
        <w:rPr>
          <w:rFonts w:ascii="Simplified Arabic" w:hAnsi="Simplified Arabic" w:cs="Simplified Arabic"/>
          <w:sz w:val="26"/>
          <w:szCs w:val="26"/>
          <w:rtl/>
        </w:rPr>
      </w:pPr>
      <w:r w:rsidRPr="00FF3AD1">
        <w:rPr>
          <w:rFonts w:ascii="Simplified Arabic" w:hAnsi="Simplified Arabic" w:cs="Simplified Arabic"/>
          <w:sz w:val="26"/>
          <w:szCs w:val="26"/>
          <w:rtl/>
        </w:rPr>
        <w:lastRenderedPageBreak/>
        <w:t xml:space="preserve">تثنية 7: 1-5: </w:t>
      </w:r>
    </w:p>
    <w:p w14:paraId="5EFBB903" w14:textId="360D8BB3" w:rsidR="00FF3AD1" w:rsidRDefault="00FF3AD1" w:rsidP="00FF3AD1">
      <w:pPr>
        <w:bidi/>
        <w:spacing w:line="240" w:lineRule="auto"/>
        <w:ind w:left="1008" w:right="1008"/>
        <w:rPr>
          <w:vertAlign w:val="superscript"/>
          <w:rtl/>
          <w:lang w:val="en"/>
        </w:rPr>
      </w:pPr>
      <w:r w:rsidRPr="00F52E9D">
        <w:rPr>
          <w:rFonts w:ascii="Simplified Arabic" w:hAnsi="Simplified Arabic" w:cs="Simplified Arabic"/>
          <w:sz w:val="26"/>
          <w:szCs w:val="26"/>
          <w:vertAlign w:val="superscript"/>
          <w:rtl/>
        </w:rPr>
        <w:t>1</w:t>
      </w:r>
      <w:r w:rsidRPr="00F52E9D">
        <w:rPr>
          <w:rFonts w:ascii="Simplified Arabic" w:hAnsi="Simplified Arabic" w:cs="Simplified Arabic"/>
          <w:sz w:val="26"/>
          <w:szCs w:val="26"/>
          <w:rtl/>
        </w:rPr>
        <w:t xml:space="preserve">مَتَى أَتَى بِكَ الرَّبُّ إِلهُكَ إِلَى الأَرْضِ الَّتِي أَنْتَ دَاخِلٌ إِلَيْهَا لِتَمْتَلِكَهَا، وَطَرَدَ شُعُوبًا كَثِيرَةً مِنْ أَمَامِكَ: الْحِثِّيِّينَ وَالْجِرْجَاشِيِّينَ وَالأَمُورِيِّينَ وَالْكَنْعَانِيِّينَ وَالْفِرِزِّيِّينَ وَالْحِوِّيِّينَ وَالْيَبُوسِيِّينَ، سَبْعَ شُعُوبٍ أَكْثَرَ وَأَعْظَمَ مِنْكَ، </w:t>
      </w:r>
      <w:r w:rsidRPr="00F52E9D">
        <w:rPr>
          <w:rFonts w:ascii="Simplified Arabic" w:hAnsi="Simplified Arabic" w:cs="Simplified Arabic"/>
          <w:sz w:val="26"/>
          <w:szCs w:val="26"/>
          <w:vertAlign w:val="superscript"/>
          <w:rtl/>
        </w:rPr>
        <w:t>2</w:t>
      </w:r>
      <w:r w:rsidRPr="00F52E9D">
        <w:rPr>
          <w:rFonts w:ascii="Simplified Arabic" w:hAnsi="Simplified Arabic" w:cs="Simplified Arabic"/>
          <w:sz w:val="26"/>
          <w:szCs w:val="26"/>
          <w:rtl/>
        </w:rPr>
        <w:t xml:space="preserve">وَدَفَعَهُمُ الرَّبُّ إِلهُكَ أَمَامَكَ، وَضَرَبْتَهُمْ، فَإِنَّكَ تُحَرِّمُهُمْ. لاَ تَقْطَعْ لَهُمْ عَهْدًا، وَلاَ تُشْفِقْ عَلَيْهِمْ، </w:t>
      </w:r>
      <w:r w:rsidRPr="00F52E9D">
        <w:rPr>
          <w:rFonts w:ascii="Simplified Arabic" w:hAnsi="Simplified Arabic" w:cs="Simplified Arabic"/>
          <w:sz w:val="26"/>
          <w:szCs w:val="26"/>
          <w:vertAlign w:val="superscript"/>
          <w:rtl/>
        </w:rPr>
        <w:t>3</w:t>
      </w:r>
      <w:r w:rsidRPr="00F52E9D">
        <w:rPr>
          <w:rFonts w:ascii="Simplified Arabic" w:hAnsi="Simplified Arabic" w:cs="Simplified Arabic"/>
          <w:sz w:val="26"/>
          <w:szCs w:val="26"/>
          <w:rtl/>
        </w:rPr>
        <w:t xml:space="preserve">وَلاَ تُصَاهِرْهُمْ. بْنَتَكَ لاَ تُعْطِ لابْنِهِ، وَبِنتْهُ لاَ تَأْخُذْ لابْنِكَ. </w:t>
      </w:r>
      <w:r w:rsidRPr="00F52E9D">
        <w:rPr>
          <w:rFonts w:ascii="Simplified Arabic" w:hAnsi="Simplified Arabic" w:cs="Simplified Arabic"/>
          <w:sz w:val="26"/>
          <w:szCs w:val="26"/>
          <w:vertAlign w:val="superscript"/>
          <w:rtl/>
        </w:rPr>
        <w:t>4</w:t>
      </w:r>
      <w:r w:rsidRPr="00F52E9D">
        <w:rPr>
          <w:rFonts w:ascii="Simplified Arabic" w:hAnsi="Simplified Arabic" w:cs="Simplified Arabic"/>
          <w:sz w:val="26"/>
          <w:szCs w:val="26"/>
          <w:rtl/>
        </w:rPr>
        <w:t xml:space="preserve">لأَنَّهُ يَرُدُّ ابْنَكَ مِنْ وَرَائِي فَيَعْبُدُ آلِهَةً أُخْرَى، فَيَحْمَى غَضَبُ الرَّبِّ عَلَيْكُمْ وَيُهْلِكُكُمْ سَرِيعًا. </w:t>
      </w:r>
      <w:r w:rsidRPr="00F52E9D">
        <w:rPr>
          <w:rFonts w:ascii="Simplified Arabic" w:hAnsi="Simplified Arabic" w:cs="Simplified Arabic"/>
          <w:sz w:val="26"/>
          <w:szCs w:val="26"/>
          <w:vertAlign w:val="superscript"/>
          <w:rtl/>
        </w:rPr>
        <w:t>5</w:t>
      </w:r>
      <w:r w:rsidRPr="00F52E9D">
        <w:rPr>
          <w:rFonts w:ascii="Simplified Arabic" w:hAnsi="Simplified Arabic" w:cs="Simplified Arabic"/>
          <w:sz w:val="26"/>
          <w:szCs w:val="26"/>
          <w:rtl/>
        </w:rPr>
        <w:t>وَلكِنْ هكَذَا تَفْعَلُونَ بِهِمْ: تَهْدِمُونَ مَذَابِحَهُمْ، وَتُكَسِّرُونَ أَنْصَابَهُمْ، وَتُقَطِّعُونَ سَوَارِيَهُمْ، وَتُحْرِقُونَ تَمَاثِيلَهُمْ بِالنَّارِ.</w:t>
      </w:r>
    </w:p>
    <w:p w14:paraId="6D299CBA" w14:textId="3066B5A2" w:rsidR="00FE004C" w:rsidRDefault="00FE004C" w:rsidP="00FF3AD1">
      <w:pPr>
        <w:bidi/>
        <w:spacing w:line="240" w:lineRule="auto"/>
        <w:rPr>
          <w:rtl/>
        </w:rPr>
      </w:pPr>
    </w:p>
    <w:p w14:paraId="6F52C8BD" w14:textId="30D22C5B" w:rsidR="00FF3AD1" w:rsidRPr="00A859D9" w:rsidRDefault="00FF3AD1" w:rsidP="00FF3AD1">
      <w:pPr>
        <w:bidi/>
        <w:spacing w:line="240" w:lineRule="auto"/>
        <w:rPr>
          <w:rFonts w:ascii="Simplified Arabic" w:hAnsi="Simplified Arabic" w:cs="Simplified Arabic"/>
          <w:sz w:val="26"/>
          <w:szCs w:val="26"/>
        </w:rPr>
      </w:pPr>
      <w:r w:rsidRPr="00A859D9">
        <w:rPr>
          <w:rFonts w:ascii="Simplified Arabic" w:hAnsi="Simplified Arabic" w:cs="Simplified Arabic"/>
          <w:sz w:val="26"/>
          <w:szCs w:val="26"/>
          <w:rtl/>
        </w:rPr>
        <w:t xml:space="preserve">ونقرأ أمرًا شبيهًا في تثنية 20: 16-18: </w:t>
      </w:r>
    </w:p>
    <w:p w14:paraId="31D16E1B" w14:textId="080D138B" w:rsidR="00FF3AD1" w:rsidRPr="00A859D9" w:rsidRDefault="00A859D9" w:rsidP="00A859D9">
      <w:pPr>
        <w:bidi/>
        <w:spacing w:line="240" w:lineRule="auto"/>
        <w:ind w:left="1008" w:right="1008"/>
        <w:rPr>
          <w:rFonts w:ascii="Simplified Arabic" w:hAnsi="Simplified Arabic" w:cs="Simplified Arabic"/>
          <w:sz w:val="26"/>
          <w:szCs w:val="26"/>
          <w:rtl/>
        </w:rPr>
      </w:pPr>
      <w:r w:rsidRPr="00A859D9">
        <w:rPr>
          <w:rFonts w:ascii="Simplified Arabic" w:hAnsi="Simplified Arabic" w:cs="Simplified Arabic"/>
          <w:sz w:val="26"/>
          <w:szCs w:val="26"/>
          <w:vertAlign w:val="superscript"/>
          <w:rtl/>
        </w:rPr>
        <w:t>16</w:t>
      </w:r>
      <w:r w:rsidRPr="00A859D9">
        <w:rPr>
          <w:rFonts w:ascii="Simplified Arabic" w:hAnsi="Simplified Arabic" w:cs="Simplified Arabic"/>
          <w:sz w:val="26"/>
          <w:szCs w:val="26"/>
          <w:rtl/>
        </w:rPr>
        <w:t xml:space="preserve">وَأَمَّا مُدُنُ هؤُلاَءِ الشُّعُوبِ الَّتِي يُعْطِيكَ الرَّبُّ إِلهُكَ نَصِيبًا فَلاَ تَسْتَبْقِ مِنْهَا نَسَمَةً مَّا، </w:t>
      </w:r>
      <w:r w:rsidRPr="00A859D9">
        <w:rPr>
          <w:rFonts w:ascii="Simplified Arabic" w:hAnsi="Simplified Arabic" w:cs="Simplified Arabic"/>
          <w:sz w:val="26"/>
          <w:szCs w:val="26"/>
          <w:vertAlign w:val="superscript"/>
          <w:rtl/>
        </w:rPr>
        <w:t>17</w:t>
      </w:r>
      <w:r w:rsidRPr="00A859D9">
        <w:rPr>
          <w:rFonts w:ascii="Simplified Arabic" w:hAnsi="Simplified Arabic" w:cs="Simplified Arabic"/>
          <w:sz w:val="26"/>
          <w:szCs w:val="26"/>
          <w:rtl/>
        </w:rPr>
        <w:t xml:space="preserve">بَلْ تُحَرِّمُهَا تَحْرِيمًا: الْحِثِّيِّينَ وَالأَمُورِيِّينَ وَالْكَنْعَانِيِّينَ وَالْفِرِزِّيِّينَ وَالْحِوِّيِّينَ وَالْيَبُوسِيِّينَ، كَمَا أَمَرَكَ الرَّبُّ إِلهُكَ، </w:t>
      </w:r>
      <w:r w:rsidRPr="00A859D9">
        <w:rPr>
          <w:rFonts w:ascii="Simplified Arabic" w:hAnsi="Simplified Arabic" w:cs="Simplified Arabic"/>
          <w:sz w:val="26"/>
          <w:szCs w:val="26"/>
          <w:vertAlign w:val="superscript"/>
          <w:rtl/>
        </w:rPr>
        <w:t>18</w:t>
      </w:r>
      <w:r w:rsidRPr="00A859D9">
        <w:rPr>
          <w:rFonts w:ascii="Simplified Arabic" w:hAnsi="Simplified Arabic" w:cs="Simplified Arabic"/>
          <w:sz w:val="26"/>
          <w:szCs w:val="26"/>
          <w:rtl/>
        </w:rPr>
        <w:t>لِكَيْ لاَ يُعَلِّمُوكُمْ أَنْ تَعْمَلُوا حَسَبَ جَمِيعِ أَرْجَاسِهِمِ الَّتِي عَمِلُوا لآلِهَتِهِمْ، فَتُخْطِئُوا إِلَى الرَّبِّ إِلهِكُمْ.</w:t>
      </w:r>
    </w:p>
    <w:p w14:paraId="77CFD80A" w14:textId="77777777" w:rsidR="00A859D9" w:rsidRDefault="00A859D9" w:rsidP="00A859D9">
      <w:pPr>
        <w:bidi/>
        <w:spacing w:line="240" w:lineRule="auto"/>
        <w:rPr>
          <w:rtl/>
        </w:rPr>
      </w:pPr>
    </w:p>
    <w:p w14:paraId="299751CF" w14:textId="08B4DEAF" w:rsidR="00A859D9" w:rsidRPr="00A859D9" w:rsidRDefault="00A859D9" w:rsidP="00A859D9">
      <w:pPr>
        <w:bidi/>
        <w:spacing w:line="240" w:lineRule="auto"/>
        <w:rPr>
          <w:rFonts w:ascii="Simplified Arabic" w:hAnsi="Simplified Arabic" w:cs="Simplified Arabic"/>
          <w:sz w:val="26"/>
          <w:szCs w:val="26"/>
          <w:rtl/>
        </w:rPr>
      </w:pPr>
      <w:r w:rsidRPr="00A859D9">
        <w:rPr>
          <w:rFonts w:ascii="Simplified Arabic" w:hAnsi="Simplified Arabic" w:cs="Simplified Arabic"/>
          <w:sz w:val="26"/>
          <w:szCs w:val="26"/>
          <w:rtl/>
        </w:rPr>
        <w:t>وفي تثنية 3: 3-7، أمر موسى بأن</w:t>
      </w:r>
      <w:r w:rsidR="00DB2474">
        <w:rPr>
          <w:rFonts w:ascii="Simplified Arabic" w:hAnsi="Simplified Arabic" w:cs="Simplified Arabic" w:hint="cs"/>
          <w:sz w:val="26"/>
          <w:szCs w:val="26"/>
          <w:rtl/>
        </w:rPr>
        <w:t>ْ</w:t>
      </w:r>
      <w:r w:rsidRPr="00A859D9">
        <w:rPr>
          <w:rFonts w:ascii="Simplified Arabic" w:hAnsi="Simplified Arabic" w:cs="Simplified Arabic"/>
          <w:sz w:val="26"/>
          <w:szCs w:val="26"/>
          <w:rtl/>
        </w:rPr>
        <w:t xml:space="preserve"> يهزم شعب إسرائيل أعداءهم في شرق نهر الأردن:</w:t>
      </w:r>
    </w:p>
    <w:p w14:paraId="644B03F6" w14:textId="3CF90609" w:rsidR="00723F77" w:rsidRDefault="00A859D9" w:rsidP="00A859D9">
      <w:pPr>
        <w:bidi/>
        <w:spacing w:line="240" w:lineRule="auto"/>
        <w:ind w:left="1008" w:right="1008"/>
      </w:pPr>
      <w:r w:rsidRPr="00F52E9D">
        <w:rPr>
          <w:rFonts w:ascii="Simplified Arabic" w:hAnsi="Simplified Arabic" w:cs="Simplified Arabic"/>
          <w:sz w:val="26"/>
          <w:szCs w:val="26"/>
          <w:vertAlign w:val="superscript"/>
          <w:rtl/>
        </w:rPr>
        <w:t>3</w:t>
      </w:r>
      <w:r w:rsidRPr="00F52E9D">
        <w:rPr>
          <w:rFonts w:ascii="Simplified Arabic" w:hAnsi="Simplified Arabic" w:cs="Simplified Arabic"/>
          <w:sz w:val="26"/>
          <w:szCs w:val="26"/>
          <w:rtl/>
        </w:rPr>
        <w:t xml:space="preserve">فَدَفَعَ الرَّبُّ إِلهُنَا إِلَى أَيْدِينَا عُوجَ أَيْضًا مَلِكَ بَاشَانَ وَجَمِيعَ قَوْمِهِ، فَضَرَبْنَاهُ حَتَّى لَمْ يَبْقَ لَهُ شَارِدٌ. </w:t>
      </w:r>
      <w:r w:rsidRPr="00F52E9D">
        <w:rPr>
          <w:rFonts w:ascii="Simplified Arabic" w:hAnsi="Simplified Arabic" w:cs="Simplified Arabic"/>
          <w:sz w:val="26"/>
          <w:szCs w:val="26"/>
          <w:vertAlign w:val="superscript"/>
          <w:rtl/>
        </w:rPr>
        <w:t>4</w:t>
      </w:r>
      <w:r w:rsidRPr="00F52E9D">
        <w:rPr>
          <w:rFonts w:ascii="Simplified Arabic" w:hAnsi="Simplified Arabic" w:cs="Simplified Arabic"/>
          <w:sz w:val="26"/>
          <w:szCs w:val="26"/>
          <w:rtl/>
        </w:rPr>
        <w:t xml:space="preserve">وَأَخَذْنَا كُلَّ مُدُنِهِ فِي ذلِكَ الْوَقْتِ. لَمْ تَكُنْ قَرْيَةٌ لَمْ نَأْخُذْهَا مِنْهُمْ. سِتُّونَ مَدِينَةً، كُلُّ كُورَةِ أَرْجُوبَ مَمْلَكَةُ عُوجٍ فِي بَاشَانَ. </w:t>
      </w:r>
      <w:r w:rsidRPr="00F52E9D">
        <w:rPr>
          <w:rFonts w:ascii="Simplified Arabic" w:hAnsi="Simplified Arabic" w:cs="Simplified Arabic"/>
          <w:sz w:val="26"/>
          <w:szCs w:val="26"/>
          <w:vertAlign w:val="superscript"/>
          <w:rtl/>
        </w:rPr>
        <w:t>5</w:t>
      </w:r>
      <w:r w:rsidRPr="00F52E9D">
        <w:rPr>
          <w:rFonts w:ascii="Simplified Arabic" w:hAnsi="Simplified Arabic" w:cs="Simplified Arabic"/>
          <w:sz w:val="26"/>
          <w:szCs w:val="26"/>
          <w:rtl/>
        </w:rPr>
        <w:t>كُلُّ هذِهِ كَانَتْ مُدُنًا مُحَصَّنَةً بِأَسْوَارٍ شَامِخَةٍ، وَأَبْوَابٍ وَمَزَالِيجَ</w:t>
      </w:r>
      <w:r w:rsidR="00DB2474">
        <w:rPr>
          <w:rFonts w:ascii="Simplified Arabic" w:hAnsi="Simplified Arabic" w:cs="Simplified Arabic" w:hint="cs"/>
          <w:sz w:val="26"/>
          <w:szCs w:val="26"/>
          <w:rtl/>
        </w:rPr>
        <w:t>،</w:t>
      </w:r>
      <w:r w:rsidRPr="00F52E9D">
        <w:rPr>
          <w:rFonts w:ascii="Simplified Arabic" w:hAnsi="Simplified Arabic" w:cs="Simplified Arabic"/>
          <w:sz w:val="26"/>
          <w:szCs w:val="26"/>
          <w:rtl/>
        </w:rPr>
        <w:t xml:space="preserve"> سِوَى قُرَى الصَّحْرَاءِ الْكَثِيرَةِ جِدًّا. </w:t>
      </w:r>
      <w:r w:rsidRPr="00F52E9D">
        <w:rPr>
          <w:rFonts w:ascii="Simplified Arabic" w:hAnsi="Simplified Arabic" w:cs="Simplified Arabic"/>
          <w:sz w:val="26"/>
          <w:szCs w:val="26"/>
          <w:vertAlign w:val="superscript"/>
          <w:rtl/>
        </w:rPr>
        <w:t>6</w:t>
      </w:r>
      <w:r w:rsidRPr="00F52E9D">
        <w:rPr>
          <w:rFonts w:ascii="Simplified Arabic" w:hAnsi="Simplified Arabic" w:cs="Simplified Arabic"/>
          <w:sz w:val="26"/>
          <w:szCs w:val="26"/>
          <w:rtl/>
        </w:rPr>
        <w:t xml:space="preserve">فَحَرَّمْنَاهَا كَمَا فَعَلْنَا بِسِيحُونَ مَلِكِ حَشْبُونَ، مُحَرِّمِينَ كُلَّ مَدِينَةٍ: الرِّجَالَ وَالنِّسَاءَ وَالأَطْفَالَ. </w:t>
      </w:r>
      <w:r w:rsidRPr="00F52E9D">
        <w:rPr>
          <w:rFonts w:ascii="Simplified Arabic" w:hAnsi="Simplified Arabic" w:cs="Simplified Arabic"/>
          <w:sz w:val="26"/>
          <w:szCs w:val="26"/>
          <w:vertAlign w:val="superscript"/>
          <w:rtl/>
        </w:rPr>
        <w:t>7</w:t>
      </w:r>
      <w:r w:rsidRPr="00F52E9D">
        <w:rPr>
          <w:rFonts w:ascii="Simplified Arabic" w:hAnsi="Simplified Arabic" w:cs="Simplified Arabic"/>
          <w:sz w:val="26"/>
          <w:szCs w:val="26"/>
          <w:rtl/>
        </w:rPr>
        <w:t>لكِنَّ كُلَّ الْبَهَائِمِ وَغَنِيمَةِ الْمُدُنِ نَهَبْنَاهَا لأَنْفُسِنَا.</w:t>
      </w:r>
    </w:p>
    <w:p w14:paraId="68CCE0CD" w14:textId="19DD82D7" w:rsidR="00A859D9" w:rsidRDefault="00A859D9" w:rsidP="00A859D9">
      <w:pPr>
        <w:bidi/>
        <w:spacing w:line="240" w:lineRule="auto"/>
        <w:rPr>
          <w:rFonts w:ascii="Simplified Arabic" w:hAnsi="Simplified Arabic" w:cs="Simplified Arabic"/>
          <w:sz w:val="26"/>
          <w:szCs w:val="26"/>
        </w:rPr>
      </w:pPr>
      <w:r>
        <w:rPr>
          <w:rFonts w:ascii="Simplified Arabic" w:hAnsi="Simplified Arabic" w:cs="Simplified Arabic" w:hint="cs"/>
          <w:sz w:val="26"/>
          <w:szCs w:val="26"/>
          <w:rtl/>
        </w:rPr>
        <w:t xml:space="preserve">يستخدم بعض العلماء التعبير "حرب يهوه" بوصفها فئةً تصف أحداثًا مثل المعارك التي خيضت في الاستيلاء على كنعان. تُدوَّن لنا أخبار هذه المعارك في الكتاب المُقدَّس التي أمر الله بها وحقَّق الشعب فيها الانتصار بقوة الله. </w:t>
      </w:r>
      <w:r w:rsidR="00017885">
        <w:rPr>
          <w:rFonts w:ascii="Simplified Arabic" w:hAnsi="Simplified Arabic" w:cs="Simplified Arabic" w:hint="cs"/>
          <w:sz w:val="26"/>
          <w:szCs w:val="26"/>
          <w:rtl/>
        </w:rPr>
        <w:t>يصف يوجين ميرل (</w:t>
      </w:r>
      <w:r w:rsidR="00017885">
        <w:rPr>
          <w:rFonts w:ascii="Simplified Arabic" w:hAnsi="Simplified Arabic" w:cs="Simplified Arabic"/>
          <w:sz w:val="26"/>
          <w:szCs w:val="26"/>
        </w:rPr>
        <w:t>Eugene Merrill</w:t>
      </w:r>
      <w:r w:rsidR="00017885">
        <w:rPr>
          <w:rFonts w:ascii="Simplified Arabic" w:hAnsi="Simplified Arabic" w:cs="Simplified Arabic" w:hint="cs"/>
          <w:sz w:val="26"/>
          <w:szCs w:val="26"/>
          <w:rtl/>
        </w:rPr>
        <w:t xml:space="preserve">)، وهو عالمٌ بارز في العهد القديم، "حرب يهوه" بالكلمات التالية: </w:t>
      </w:r>
    </w:p>
    <w:p w14:paraId="61F121FC" w14:textId="3E6BB916" w:rsidR="00017885" w:rsidRPr="00A859D9" w:rsidRDefault="000A24AD" w:rsidP="000A24AD">
      <w:pPr>
        <w:bidi/>
        <w:spacing w:line="240" w:lineRule="auto"/>
        <w:ind w:left="1152" w:right="1008"/>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lastRenderedPageBreak/>
        <w:t>"بدأ الله العملية بإفراز المُعيَّنين للهلاك، فأعطى قوّة لوسيطٍ (عادةً ما كان شعبه المختار إسرائيل) لأجل إنجاز هذه العملية، ضامنًا نجاح مهمّتها حين يوفَى بالشروط."</w:t>
      </w:r>
      <w:r w:rsidRPr="000A24AD">
        <w:rPr>
          <w:rStyle w:val="FootnoteReference"/>
        </w:rPr>
        <w:t xml:space="preserve"> </w:t>
      </w:r>
      <w:r>
        <w:rPr>
          <w:rStyle w:val="FootnoteReference"/>
        </w:rPr>
        <w:footnoteReference w:id="138"/>
      </w:r>
      <w:r>
        <w:rPr>
          <w:rFonts w:ascii="Simplified Arabic" w:hAnsi="Simplified Arabic" w:cs="Simplified Arabic" w:hint="cs"/>
          <w:sz w:val="26"/>
          <w:szCs w:val="26"/>
          <w:rtl/>
          <w:lang w:bidi="ar-JO"/>
        </w:rPr>
        <w:t xml:space="preserve"> وهذ</w:t>
      </w:r>
      <w:r w:rsidR="00DB2474">
        <w:rPr>
          <w:rFonts w:ascii="Simplified Arabic" w:hAnsi="Simplified Arabic" w:cs="Simplified Arabic" w:hint="cs"/>
          <w:sz w:val="26"/>
          <w:szCs w:val="26"/>
          <w:rtl/>
          <w:lang w:bidi="ar-JO"/>
        </w:rPr>
        <w:t>ه</w:t>
      </w:r>
      <w:r>
        <w:rPr>
          <w:rFonts w:ascii="Simplified Arabic" w:hAnsi="Simplified Arabic" w:cs="Simplified Arabic" w:hint="cs"/>
          <w:sz w:val="26"/>
          <w:szCs w:val="26"/>
          <w:rtl/>
          <w:lang w:bidi="ar-JO"/>
        </w:rPr>
        <w:t xml:space="preserve"> الحروب كانت "جزءًا من علاقة العهد" بين يهوه وإسرائيل. "لن يشهد شعب إسرائيل أعمال الله العظيمة، بوصفه محاربًا سماويًّا، فقط، ولكنّهم سيشاركون في إنجاز هذه الأعمال."</w:t>
      </w:r>
      <w:r w:rsidRPr="000A24AD">
        <w:rPr>
          <w:rStyle w:val="FootnoteReference"/>
        </w:rPr>
        <w:t xml:space="preserve"> </w:t>
      </w:r>
      <w:r>
        <w:rPr>
          <w:rStyle w:val="FootnoteReference"/>
        </w:rPr>
        <w:footnoteReference w:id="139"/>
      </w:r>
    </w:p>
    <w:p w14:paraId="2DF5CE09" w14:textId="77777777" w:rsidR="000A24AD" w:rsidRDefault="000A24AD" w:rsidP="002D6C54">
      <w:pPr>
        <w:spacing w:line="240" w:lineRule="auto"/>
        <w:rPr>
          <w:b/>
          <w:bCs/>
          <w:rtl/>
        </w:rPr>
      </w:pPr>
    </w:p>
    <w:p w14:paraId="60C3B34E" w14:textId="1FF02CC7" w:rsidR="00723F77" w:rsidRPr="000A24AD" w:rsidRDefault="000A24AD" w:rsidP="000A24AD">
      <w:pPr>
        <w:bidi/>
        <w:spacing w:line="240" w:lineRule="auto"/>
        <w:rPr>
          <w:rFonts w:ascii="Simplified Arabic" w:hAnsi="Simplified Arabic" w:cs="Simplified Arabic"/>
          <w:b/>
          <w:bCs/>
          <w:sz w:val="26"/>
          <w:szCs w:val="26"/>
        </w:rPr>
      </w:pPr>
      <w:r>
        <w:rPr>
          <w:rFonts w:ascii="Simplified Arabic" w:hAnsi="Simplified Arabic" w:cs="Simplified Arabic" w:hint="cs"/>
          <w:b/>
          <w:bCs/>
          <w:sz w:val="26"/>
          <w:szCs w:val="26"/>
          <w:rtl/>
        </w:rPr>
        <w:t xml:space="preserve">مسألة صفات الله </w:t>
      </w:r>
    </w:p>
    <w:p w14:paraId="026348FE" w14:textId="69F01BAA" w:rsidR="000A24AD" w:rsidRDefault="00C82138" w:rsidP="000A24AD">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بحسب الرواية الكتابية، فإنّ فكرة إبادة الكنعانيّين لم تكن طموحًا غير إنساني متعطِّشًا للدم عند الشعب العبري. وببساطة، لم تكن تلك فكرتهم. ولذا لا ينبغي لومهم عليها. فقد كانت فكرة الله، إذ هو من أمر بعمل ذلك. ولذا، قد يردّ شخصٌ ما على هذا الكلام بالاستنتاج بأن</w:t>
      </w:r>
      <w:r w:rsidR="00DB2474">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إله الكتاب المُقدَّس (أو على الأقل إله العهد القديم) إله لاأخلاقيّ ينبغي عدم إطاعته أو عبادته. ولكنّ هذا الاستنتاج ببساطة غير سليم. فالحقّ هو أنّه لأن</w:t>
      </w:r>
      <w:r w:rsidR="003E0B4F">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إله الكتاب المُقدَّس إله قدّوس، فإن مرسوم إبادة الكنعانيّين عادل ومناسب. ينبغي أن نتذكَّر باستمرار أن يسوع قال: "أنا والآب واحد" (يوحنا 10: 30)، و"الذي رآني فقد رأى الآب" (يوحنا 14: 9). وعلاوةً على ذلك، فالله سيدين في النهاية كل</w:t>
      </w:r>
      <w:r w:rsidR="003E0B4F">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الخطاة الذين لم يقبلوا يسوع المسيح مُخلِّصًا، وسيقضي هؤلاء الأبديّة في عذابٍ أبدي</w:t>
      </w:r>
      <w:r w:rsidR="003E0B4F">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في بحيرة النار والكبريت. ولذا، فإنّه إبادته للكنعانيّين تتوافق مع ما سيعمله</w:t>
      </w:r>
      <w:r w:rsidR="00A50985">
        <w:rPr>
          <w:rFonts w:ascii="Simplified Arabic" w:hAnsi="Simplified Arabic" w:cs="Simplified Arabic" w:hint="cs"/>
          <w:sz w:val="26"/>
          <w:szCs w:val="26"/>
          <w:rtl/>
        </w:rPr>
        <w:t xml:space="preserve"> في إدانته كلّ الأشرار، وسيشمل هذا اليهود الذين لن يعود</w:t>
      </w:r>
      <w:r w:rsidR="003E0B4F">
        <w:rPr>
          <w:rFonts w:ascii="Simplified Arabic" w:hAnsi="Simplified Arabic" w:cs="Simplified Arabic" w:hint="cs"/>
          <w:sz w:val="26"/>
          <w:szCs w:val="26"/>
          <w:rtl/>
        </w:rPr>
        <w:t>وا</w:t>
      </w:r>
      <w:r w:rsidR="00A50985">
        <w:rPr>
          <w:rFonts w:ascii="Simplified Arabic" w:hAnsi="Simplified Arabic" w:cs="Simplified Arabic" w:hint="cs"/>
          <w:sz w:val="26"/>
          <w:szCs w:val="26"/>
          <w:rtl/>
        </w:rPr>
        <w:t xml:space="preserve"> إلى الرب يسوع ليقبلوا خلاصه. </w:t>
      </w:r>
    </w:p>
    <w:p w14:paraId="6862F00F" w14:textId="36A056DA" w:rsidR="00A50985" w:rsidRDefault="00A50985" w:rsidP="00A50985">
      <w:pPr>
        <w:bidi/>
        <w:spacing w:line="240" w:lineRule="auto"/>
        <w:rPr>
          <w:rFonts w:ascii="Simplified Arabic" w:hAnsi="Simplified Arabic" w:cs="Simplified Arabic"/>
          <w:sz w:val="26"/>
          <w:szCs w:val="26"/>
          <w:rtl/>
        </w:rPr>
      </w:pPr>
    </w:p>
    <w:p w14:paraId="4030B626" w14:textId="0CF188CB" w:rsidR="00A50985" w:rsidRPr="00A50985" w:rsidRDefault="00A50985" w:rsidP="00A50985">
      <w:pPr>
        <w:bidi/>
        <w:spacing w:line="240" w:lineRule="auto"/>
        <w:rPr>
          <w:rFonts w:ascii="Simplified Arabic" w:hAnsi="Simplified Arabic" w:cs="Simplified Arabic"/>
          <w:b/>
          <w:bCs/>
          <w:sz w:val="26"/>
          <w:szCs w:val="26"/>
          <w:rtl/>
        </w:rPr>
      </w:pPr>
      <w:r w:rsidRPr="00A50985">
        <w:rPr>
          <w:rFonts w:ascii="Simplified Arabic" w:hAnsi="Simplified Arabic" w:cs="Simplified Arabic" w:hint="cs"/>
          <w:b/>
          <w:bCs/>
          <w:sz w:val="26"/>
          <w:szCs w:val="26"/>
          <w:rtl/>
        </w:rPr>
        <w:t xml:space="preserve">أخلاقيات كنعان التي تتطلَّب دينونة الله </w:t>
      </w:r>
    </w:p>
    <w:p w14:paraId="291984E7" w14:textId="6685D8CC" w:rsidR="00A50985" w:rsidRDefault="00A50985" w:rsidP="00A50985">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كانت إبادة الحضارة الكنعانيّة أمرًا أُنبئ به حين وعد الله بالأرض لإبراهيم (حوالي العالم 2085 ق.م.). وهذا مُدوَّن لنا في تكوين 15: 13-16: </w:t>
      </w:r>
    </w:p>
    <w:p w14:paraId="37DAE526" w14:textId="15AB6BA2" w:rsidR="00A50985" w:rsidRDefault="008B57F6" w:rsidP="008B57F6">
      <w:pPr>
        <w:bidi/>
        <w:spacing w:line="240" w:lineRule="auto"/>
        <w:ind w:left="1008" w:right="1008"/>
        <w:rPr>
          <w:rFonts w:ascii="Simplified Arabic" w:hAnsi="Simplified Arabic" w:cs="Simplified Arabic"/>
          <w:sz w:val="26"/>
          <w:szCs w:val="26"/>
          <w:rtl/>
        </w:rPr>
      </w:pPr>
      <w:r w:rsidRPr="0064546C">
        <w:rPr>
          <w:rFonts w:ascii="Simplified Arabic" w:hAnsi="Simplified Arabic" w:cs="Simplified Arabic"/>
          <w:sz w:val="26"/>
          <w:szCs w:val="26"/>
          <w:vertAlign w:val="superscript"/>
          <w:rtl/>
        </w:rPr>
        <w:t>13</w:t>
      </w:r>
      <w:r w:rsidRPr="0064546C">
        <w:rPr>
          <w:rFonts w:ascii="Simplified Arabic" w:hAnsi="Simplified Arabic" w:cs="Simplified Arabic"/>
          <w:sz w:val="26"/>
          <w:szCs w:val="26"/>
          <w:rtl/>
        </w:rPr>
        <w:t xml:space="preserve">فَقَالَ لأَبْرَامَ: </w:t>
      </w:r>
      <w:r>
        <w:rPr>
          <w:rFonts w:ascii="Simplified Arabic" w:hAnsi="Simplified Arabic" w:cs="Simplified Arabic" w:hint="cs"/>
          <w:sz w:val="26"/>
          <w:szCs w:val="26"/>
          <w:rtl/>
        </w:rPr>
        <w:t>"</w:t>
      </w:r>
      <w:r w:rsidRPr="0064546C">
        <w:rPr>
          <w:rFonts w:ascii="Simplified Arabic" w:hAnsi="Simplified Arabic" w:cs="Simplified Arabic"/>
          <w:sz w:val="26"/>
          <w:szCs w:val="26"/>
          <w:rtl/>
        </w:rPr>
        <w:t xml:space="preserve">اعْلَمْ يَقِينًا أَنَّ نَسْلَكَ سَيَكُونُ غَرِيبًا فِي أَرْضٍ لَيْسَتْ لَهُمْ، وَيُسْتَعْبَدُونَ لَهُمْ. فَيُذِلُّونَهُمْ أَرْبَعَ مِئَةِ سَنَةٍ. </w:t>
      </w:r>
      <w:r w:rsidRPr="0064546C">
        <w:rPr>
          <w:rFonts w:ascii="Simplified Arabic" w:hAnsi="Simplified Arabic" w:cs="Simplified Arabic"/>
          <w:sz w:val="26"/>
          <w:szCs w:val="26"/>
          <w:vertAlign w:val="superscript"/>
          <w:rtl/>
        </w:rPr>
        <w:t>14</w:t>
      </w:r>
      <w:r w:rsidRPr="0064546C">
        <w:rPr>
          <w:rFonts w:ascii="Simplified Arabic" w:hAnsi="Simplified Arabic" w:cs="Simplified Arabic"/>
          <w:sz w:val="26"/>
          <w:szCs w:val="26"/>
          <w:rtl/>
        </w:rPr>
        <w:t xml:space="preserve">ثُمَّ الأُمَّةُ الَّتِي يُسْتَعْبَدُونَ لَهَا أَنَا أَدِينُهَا، وَبَعْدَ ذلِكَ يَخْرُجُونَ بِأَمْلاَكٍ جَزِيلَةٍ. </w:t>
      </w:r>
      <w:r w:rsidRPr="0064546C">
        <w:rPr>
          <w:rFonts w:ascii="Simplified Arabic" w:hAnsi="Simplified Arabic" w:cs="Simplified Arabic"/>
          <w:sz w:val="26"/>
          <w:szCs w:val="26"/>
          <w:vertAlign w:val="superscript"/>
          <w:rtl/>
        </w:rPr>
        <w:t>15</w:t>
      </w:r>
      <w:r w:rsidRPr="0064546C">
        <w:rPr>
          <w:rFonts w:ascii="Simplified Arabic" w:hAnsi="Simplified Arabic" w:cs="Simplified Arabic"/>
          <w:sz w:val="26"/>
          <w:szCs w:val="26"/>
          <w:rtl/>
        </w:rPr>
        <w:t xml:space="preserve">وَأَمَّا أَنْتَ فَتَمْضِي إِلَى آبَائِكَ بِسَلاَمٍ وَتُدْفَنُ بِشَيْبَةٍ صَالِحَةٍ. </w:t>
      </w:r>
      <w:r w:rsidRPr="0064546C">
        <w:rPr>
          <w:rFonts w:ascii="Simplified Arabic" w:hAnsi="Simplified Arabic" w:cs="Simplified Arabic"/>
          <w:sz w:val="26"/>
          <w:szCs w:val="26"/>
          <w:vertAlign w:val="superscript"/>
          <w:rtl/>
        </w:rPr>
        <w:t>16</w:t>
      </w:r>
      <w:r w:rsidRPr="0064546C">
        <w:rPr>
          <w:rFonts w:ascii="Simplified Arabic" w:hAnsi="Simplified Arabic" w:cs="Simplified Arabic"/>
          <w:sz w:val="26"/>
          <w:szCs w:val="26"/>
          <w:rtl/>
        </w:rPr>
        <w:t>وَفِي الْجِيلِ الرَّابعِ يَرْجِعُونَ إِلَى ههُنَا، لأَنَّ ذَنْبَ الأَمُورِيِّينَ لَيْسَ إِلَى الآنَ كَامِلاً</w:t>
      </w:r>
      <w:r>
        <w:rPr>
          <w:rFonts w:ascii="Simplified Arabic" w:hAnsi="Simplified Arabic" w:cs="Simplified Arabic" w:hint="cs"/>
          <w:sz w:val="26"/>
          <w:szCs w:val="26"/>
          <w:rtl/>
        </w:rPr>
        <w:t>."</w:t>
      </w:r>
    </w:p>
    <w:p w14:paraId="00AF8BEC" w14:textId="7EACA8AE" w:rsidR="00A50985" w:rsidRDefault="00A50985" w:rsidP="00A50985">
      <w:pPr>
        <w:bidi/>
        <w:spacing w:line="240" w:lineRule="auto"/>
        <w:rPr>
          <w:rFonts w:ascii="Simplified Arabic" w:hAnsi="Simplified Arabic" w:cs="Simplified Arabic"/>
          <w:sz w:val="26"/>
          <w:szCs w:val="26"/>
          <w:rtl/>
        </w:rPr>
      </w:pPr>
    </w:p>
    <w:p w14:paraId="40D00C34" w14:textId="62C6A75F" w:rsidR="008B57F6" w:rsidRDefault="008B57F6" w:rsidP="008B57F6">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lastRenderedPageBreak/>
        <w:t>تتعلَّق الآيتان 13-14 بوجود شعب إسرائيل في أرض مصر وما سيتعرَّضون له هناك، بينما تُنبئ الآية 16 بامتلاك الأرض بقيادة يشوع عام 1406</w:t>
      </w:r>
      <w:r w:rsidR="003E0B4F">
        <w:rPr>
          <w:rFonts w:ascii="Simplified Arabic" w:hAnsi="Simplified Arabic" w:cs="Simplified Arabic" w:hint="cs"/>
          <w:sz w:val="26"/>
          <w:szCs w:val="26"/>
          <w:rtl/>
        </w:rPr>
        <w:t xml:space="preserve"> ق.م.</w:t>
      </w:r>
      <w:r>
        <w:rPr>
          <w:rFonts w:ascii="Simplified Arabic" w:hAnsi="Simplified Arabic" w:cs="Simplified Arabic" w:hint="cs"/>
          <w:sz w:val="26"/>
          <w:szCs w:val="26"/>
          <w:rtl/>
        </w:rPr>
        <w:t xml:space="preserve"> [تُستخدَم الكلمة "أموريّ" ككلمة مرادفة للكلمة "كنعاني" في هذا النصّ، إذ الأموريّون إحدى المجموعات الفرعيّة الكنعانيّة.] أُعطي هذا الوعد لإبراهيم قبل أكثر من 300 سنة من نزول شعب إسرائيل إلى مصر، وقبل حوالي 700 سنة من فتح يشوع للأرض. ومع هذا، فحتّى في زمن إبراهيم، كان</w:t>
      </w:r>
      <w:r w:rsidR="00B06F6A">
        <w:rPr>
          <w:rFonts w:ascii="Simplified Arabic" w:hAnsi="Simplified Arabic" w:cs="Simplified Arabic" w:hint="cs"/>
          <w:sz w:val="26"/>
          <w:szCs w:val="26"/>
          <w:rtl/>
        </w:rPr>
        <w:t>تْ</w:t>
      </w:r>
      <w:r>
        <w:rPr>
          <w:rFonts w:ascii="Simplified Arabic" w:hAnsi="Simplified Arabic" w:cs="Simplified Arabic" w:hint="cs"/>
          <w:sz w:val="26"/>
          <w:szCs w:val="26"/>
          <w:rtl/>
        </w:rPr>
        <w:t xml:space="preserve"> عينُ الله على إثم هذا الشعب الكنعاني الذي كان يسكن في الأرض التي اختار الله أن يعطيها لإبراهيم ونسله. </w:t>
      </w:r>
      <w:r w:rsidR="00B33719">
        <w:rPr>
          <w:rFonts w:ascii="Simplified Arabic" w:hAnsi="Simplified Arabic" w:cs="Simplified Arabic" w:hint="cs"/>
          <w:sz w:val="26"/>
          <w:szCs w:val="26"/>
          <w:rtl/>
        </w:rPr>
        <w:t xml:space="preserve">كانوا شعبًا فاسدًا </w:t>
      </w:r>
      <w:r w:rsidR="00B06F6A">
        <w:rPr>
          <w:rFonts w:ascii="Simplified Arabic" w:hAnsi="Simplified Arabic" w:cs="Simplified Arabic" w:hint="cs"/>
          <w:sz w:val="26"/>
          <w:szCs w:val="26"/>
          <w:rtl/>
        </w:rPr>
        <w:t>من الناحية الأخلاقيّة</w:t>
      </w:r>
      <w:r w:rsidR="00B33719">
        <w:rPr>
          <w:rFonts w:ascii="Simplified Arabic" w:hAnsi="Simplified Arabic" w:cs="Simplified Arabic" w:hint="cs"/>
          <w:sz w:val="26"/>
          <w:szCs w:val="26"/>
          <w:rtl/>
        </w:rPr>
        <w:t xml:space="preserve"> بصورة بشعة، وأشرارًا جدًّا، ولذا استحقّوا دينونة الله. وحين قال الله إنّ ذنبهم "ليس إلى الآن كاملًا،" قصد أنّه سيعطيهم مزيدًا من الوقت ليتوبوا ويتغيَّروا، ولكن</w:t>
      </w:r>
      <w:r w:rsidR="00B06F6A">
        <w:rPr>
          <w:rFonts w:ascii="Simplified Arabic" w:hAnsi="Simplified Arabic" w:cs="Simplified Arabic" w:hint="cs"/>
          <w:sz w:val="26"/>
          <w:szCs w:val="26"/>
          <w:rtl/>
        </w:rPr>
        <w:t>ْ</w:t>
      </w:r>
      <w:r w:rsidR="00B33719">
        <w:rPr>
          <w:rFonts w:ascii="Simplified Arabic" w:hAnsi="Simplified Arabic" w:cs="Simplified Arabic" w:hint="cs"/>
          <w:sz w:val="26"/>
          <w:szCs w:val="26"/>
          <w:rtl/>
        </w:rPr>
        <w:t xml:space="preserve"> في وقتٍ ما (حين يقرِّر الله أنّهم بلغوا درجةً لا تُحتمَل من الإثم) ستأتي الدينونة. ولذا، فقد كان شرّ</w:t>
      </w:r>
      <w:r w:rsidR="00B06F6A">
        <w:rPr>
          <w:rFonts w:ascii="Simplified Arabic" w:hAnsi="Simplified Arabic" w:cs="Simplified Arabic" w:hint="cs"/>
          <w:sz w:val="26"/>
          <w:szCs w:val="26"/>
          <w:rtl/>
        </w:rPr>
        <w:t>ُ</w:t>
      </w:r>
      <w:r w:rsidR="00B33719">
        <w:rPr>
          <w:rFonts w:ascii="Simplified Arabic" w:hAnsi="Simplified Arabic" w:cs="Simplified Arabic" w:hint="cs"/>
          <w:sz w:val="26"/>
          <w:szCs w:val="26"/>
          <w:rtl/>
        </w:rPr>
        <w:t xml:space="preserve"> الكنعانيّين سببًا عادلًا لدينونة الله. </w:t>
      </w:r>
      <w:r w:rsidR="00390F80">
        <w:rPr>
          <w:rFonts w:ascii="Simplified Arabic" w:hAnsi="Simplified Arabic" w:cs="Simplified Arabic" w:hint="cs"/>
          <w:sz w:val="26"/>
          <w:szCs w:val="26"/>
          <w:rtl/>
        </w:rPr>
        <w:t>أوضح موسى هذه النقطة للعبرانيّين في قوله: "</w:t>
      </w:r>
      <w:r w:rsidR="00724F98" w:rsidRPr="00F52E9D">
        <w:rPr>
          <w:rFonts w:ascii="Simplified Arabic" w:hAnsi="Simplified Arabic" w:cs="Simplified Arabic"/>
          <w:sz w:val="26"/>
          <w:szCs w:val="26"/>
          <w:rtl/>
        </w:rPr>
        <w:t>لَيْسَ لأَجْلِ بِرِّكَ وَعَدَالَةِ قَلْبِكَ تَدْخُلُ لِتَمْتَلِكَ أَرْضَهُمْ، بَلْ لأَجْلِ إِثْمِ أُولئِكَ الشُّعُوبِ يَطْرُدُهُمُ الرَّبُّ إِلهُكَ مِنْ أَمَامِكَ، وَلِكَيْ يَفِيَ بِالْكَلاَمِ الَّذِي أَقْسَمَ الرَّبُّ عَلَيْهِ لآبَائِكَ إِبْرَاهِيمَ وَإِسْحَاقَ وَيَعْقُوبَ</w:t>
      </w:r>
      <w:r w:rsidR="00724F98">
        <w:rPr>
          <w:rFonts w:ascii="Simplified Arabic" w:hAnsi="Simplified Arabic" w:cs="Simplified Arabic" w:hint="cs"/>
          <w:sz w:val="26"/>
          <w:szCs w:val="26"/>
          <w:rtl/>
        </w:rPr>
        <w:t xml:space="preserve">" (تثنية 9: 5). </w:t>
      </w:r>
    </w:p>
    <w:p w14:paraId="4F030DB5" w14:textId="0D127934" w:rsidR="00724F98" w:rsidRDefault="00724F98" w:rsidP="00724F98">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ولذا، يُثار السؤال هنا بشأن مقدار شرّ الكنعانيّين. يصف سفر اللاويّين 18 عددًا من الممارسات الفاسدة أخلاقيًّا التي كان على شعب إسرائيل ألا يتسامحوا بوجودها في وسطهم، وهي لا تقتصر على الاغتصاب والزنى، بل تتجاوزهما (انظر بصورة خاصّة لاويّين 18: 20، 22-23). يلخِّص غريغ كوكل الأمر بالكلمات التالية: </w:t>
      </w:r>
    </w:p>
    <w:p w14:paraId="75ACA2FD" w14:textId="56490C69" w:rsidR="00A50985" w:rsidRDefault="00D20F03" w:rsidP="00177884">
      <w:pPr>
        <w:bidi/>
        <w:spacing w:line="240" w:lineRule="auto"/>
        <w:ind w:left="1008" w:right="1008"/>
        <w:rPr>
          <w:rFonts w:ascii="Simplified Arabic" w:hAnsi="Simplified Arabic" w:cs="Simplified Arabic"/>
          <w:sz w:val="26"/>
          <w:szCs w:val="26"/>
          <w:rtl/>
          <w:lang w:bidi="ar-JO"/>
        </w:rPr>
      </w:pPr>
      <w:r>
        <w:rPr>
          <w:rFonts w:ascii="Simplified Arabic" w:hAnsi="Simplified Arabic" w:cs="Simplified Arabic" w:hint="cs"/>
          <w:sz w:val="26"/>
          <w:szCs w:val="26"/>
          <w:rtl/>
        </w:rPr>
        <w:t xml:space="preserve">حتّى بالمعايير القديمة، كان الكنعانيّون </w:t>
      </w:r>
      <w:r>
        <w:rPr>
          <w:rFonts w:ascii="Simplified Arabic" w:hAnsi="Simplified Arabic" w:cs="Simplified Arabic" w:hint="cs"/>
          <w:sz w:val="26"/>
          <w:szCs w:val="26"/>
          <w:rtl/>
          <w:lang w:bidi="ar-JO"/>
        </w:rPr>
        <w:t>مجموعةً مُقرِفة</w:t>
      </w:r>
      <w:r w:rsidR="00C67DC7">
        <w:rPr>
          <w:rFonts w:ascii="Simplified Arabic" w:hAnsi="Simplified Arabic" w:cs="Simplified Arabic" w:hint="cs"/>
          <w:sz w:val="26"/>
          <w:szCs w:val="26"/>
          <w:rtl/>
          <w:lang w:bidi="ar-JO"/>
        </w:rPr>
        <w:t xml:space="preserve"> بصورة بشعة. كانت ثقافتهم لاأخلاقيّة بصورة فاضحة، منحلة وعفِنة من جذورها. كان فسقهم مُشرَّعًا بصورةٍ أساسيّة بديانة الخصب التي كان</w:t>
      </w:r>
      <w:r w:rsidR="00B06F6A">
        <w:rPr>
          <w:rFonts w:ascii="Simplified Arabic" w:hAnsi="Simplified Arabic" w:cs="Simplified Arabic" w:hint="cs"/>
          <w:sz w:val="26"/>
          <w:szCs w:val="26"/>
          <w:rtl/>
          <w:lang w:bidi="ar-JO"/>
        </w:rPr>
        <w:t>وا</w:t>
      </w:r>
      <w:r w:rsidR="00C67DC7">
        <w:rPr>
          <w:rFonts w:ascii="Simplified Arabic" w:hAnsi="Simplified Arabic" w:cs="Simplified Arabic" w:hint="cs"/>
          <w:sz w:val="26"/>
          <w:szCs w:val="26"/>
          <w:rtl/>
          <w:lang w:bidi="ar-JO"/>
        </w:rPr>
        <w:t xml:space="preserve"> يعتنقونها، والتي كانت تربط الشهوانيّة بكل أنواعها بالدورات الزراعيّة الناجحة من الزرع والحصاد. وبالإضافة إلى العرافة والسحر </w:t>
      </w:r>
      <w:r w:rsidR="00177884">
        <w:rPr>
          <w:rFonts w:ascii="Simplified Arabic" w:hAnsi="Simplified Arabic" w:cs="Simplified Arabic" w:hint="cs"/>
          <w:sz w:val="26"/>
          <w:szCs w:val="26"/>
          <w:rtl/>
          <w:lang w:bidi="ar-JO"/>
        </w:rPr>
        <w:t>والممارسات الجنسيّة في المعابد للذكور والإناث، اشتملت الوثنية الكنعانيّة مجموعة كبيرة من الممارسات ا</w:t>
      </w:r>
      <w:r w:rsidR="00D06E49">
        <w:rPr>
          <w:rFonts w:ascii="Simplified Arabic" w:hAnsi="Simplified Arabic" w:cs="Simplified Arabic" w:hint="cs"/>
          <w:sz w:val="26"/>
          <w:szCs w:val="26"/>
          <w:rtl/>
          <w:lang w:bidi="ar-JO"/>
        </w:rPr>
        <w:t>للا</w:t>
      </w:r>
      <w:r w:rsidR="00177884">
        <w:rPr>
          <w:rFonts w:ascii="Simplified Arabic" w:hAnsi="Simplified Arabic" w:cs="Simplified Arabic" w:hint="cs"/>
          <w:sz w:val="26"/>
          <w:szCs w:val="26"/>
          <w:rtl/>
          <w:lang w:bidi="ar-JO"/>
        </w:rPr>
        <w:t>أخلاقيّة المُقرِفة التي قلّدت سلوك آلهة الخصب الكنعانيّين المُقرِف: الزنى، المثلي</w:t>
      </w:r>
      <w:r w:rsidR="00D06E49">
        <w:rPr>
          <w:rFonts w:ascii="Simplified Arabic" w:hAnsi="Simplified Arabic" w:cs="Simplified Arabic" w:hint="cs"/>
          <w:sz w:val="26"/>
          <w:szCs w:val="26"/>
          <w:rtl/>
          <w:lang w:bidi="ar-JO"/>
        </w:rPr>
        <w:t>ّ</w:t>
      </w:r>
      <w:r w:rsidR="00177884">
        <w:rPr>
          <w:rFonts w:ascii="Simplified Arabic" w:hAnsi="Simplified Arabic" w:cs="Simplified Arabic" w:hint="cs"/>
          <w:sz w:val="26"/>
          <w:szCs w:val="26"/>
          <w:rtl/>
          <w:lang w:bidi="ar-JO"/>
        </w:rPr>
        <w:t>ة الجنسي</w:t>
      </w:r>
      <w:r w:rsidR="00D06E49">
        <w:rPr>
          <w:rFonts w:ascii="Simplified Arabic" w:hAnsi="Simplified Arabic" w:cs="Simplified Arabic" w:hint="cs"/>
          <w:sz w:val="26"/>
          <w:szCs w:val="26"/>
          <w:rtl/>
          <w:lang w:bidi="ar-JO"/>
        </w:rPr>
        <w:t>ّ</w:t>
      </w:r>
      <w:r w:rsidR="00177884">
        <w:rPr>
          <w:rFonts w:ascii="Simplified Arabic" w:hAnsi="Simplified Arabic" w:cs="Simplified Arabic" w:hint="cs"/>
          <w:sz w:val="26"/>
          <w:szCs w:val="26"/>
          <w:rtl/>
          <w:lang w:bidi="ar-JO"/>
        </w:rPr>
        <w:t>ة، والتشبه بالجنس الآخر، والشذوذ الجنسي مع الأطفال، وممارسات الجنس مع شتّى أنواع الحيوانات، وزنى المحارم.</w:t>
      </w:r>
      <w:r w:rsidR="00177884">
        <w:rPr>
          <w:rStyle w:val="FootnoteReference"/>
          <w:rFonts w:ascii="Simplified Arabic" w:hAnsi="Simplified Arabic" w:cs="Simplified Arabic"/>
          <w:sz w:val="26"/>
          <w:szCs w:val="26"/>
          <w:rtl/>
          <w:lang w:bidi="ar-JO"/>
        </w:rPr>
        <w:footnoteReference w:id="140"/>
      </w:r>
    </w:p>
    <w:p w14:paraId="721372D9" w14:textId="7544191E" w:rsidR="00D20F03" w:rsidRDefault="00D20F03" w:rsidP="00D20F03">
      <w:pPr>
        <w:bidi/>
        <w:spacing w:line="240" w:lineRule="auto"/>
        <w:rPr>
          <w:rFonts w:ascii="Simplified Arabic" w:hAnsi="Simplified Arabic" w:cs="Simplified Arabic"/>
          <w:sz w:val="26"/>
          <w:szCs w:val="26"/>
          <w:rtl/>
          <w:lang w:bidi="ar-JO"/>
        </w:rPr>
      </w:pPr>
    </w:p>
    <w:p w14:paraId="5084827E" w14:textId="563387D6" w:rsidR="00177884" w:rsidRDefault="00177884" w:rsidP="00177884">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وبالطبع، كانت الوثني</w:t>
      </w:r>
      <w:r w:rsidR="00D06E49">
        <w:rPr>
          <w:rFonts w:ascii="Simplified Arabic" w:hAnsi="Simplified Arabic" w:cs="Simplified Arabic" w:hint="cs"/>
          <w:sz w:val="26"/>
          <w:szCs w:val="26"/>
          <w:rtl/>
        </w:rPr>
        <w:t>ّ</w:t>
      </w:r>
      <w:r>
        <w:rPr>
          <w:rFonts w:ascii="Simplified Arabic" w:hAnsi="Simplified Arabic" w:cs="Simplified Arabic" w:hint="cs"/>
          <w:sz w:val="26"/>
          <w:szCs w:val="26"/>
          <w:rtl/>
        </w:rPr>
        <w:t>ة ال</w:t>
      </w:r>
      <w:r w:rsidR="00E02A35">
        <w:rPr>
          <w:rFonts w:ascii="Simplified Arabic" w:hAnsi="Simplified Arabic" w:cs="Simplified Arabic" w:hint="cs"/>
          <w:sz w:val="26"/>
          <w:szCs w:val="26"/>
          <w:rtl/>
          <w:lang w:bidi="ar-JO"/>
        </w:rPr>
        <w:t xml:space="preserve">متفشّيّة </w:t>
      </w:r>
      <w:r w:rsidR="003D4BE9">
        <w:rPr>
          <w:rFonts w:ascii="Simplified Arabic" w:hAnsi="Simplified Arabic" w:cs="Simplified Arabic" w:hint="cs"/>
          <w:sz w:val="26"/>
          <w:szCs w:val="26"/>
          <w:rtl/>
          <w:lang w:bidi="ar-JO"/>
        </w:rPr>
        <w:t>السمة التي تميِّز الحضارة الكنعانيّة. وكانت إحدى أبشع الممارسات الكنعانيّة في العبادة تقديمهم الأطفال ذبائح. وتظهر هذه الممارسة في النهي عن ممارستها في آيات كتابيّة عديدة، مثل لاوي</w:t>
      </w:r>
      <w:r w:rsidR="00D06E49">
        <w:rPr>
          <w:rFonts w:ascii="Simplified Arabic" w:hAnsi="Simplified Arabic" w:cs="Simplified Arabic" w:hint="cs"/>
          <w:sz w:val="26"/>
          <w:szCs w:val="26"/>
          <w:rtl/>
          <w:lang w:bidi="ar-JO"/>
        </w:rPr>
        <w:t>ّ</w:t>
      </w:r>
      <w:r w:rsidR="003D4BE9">
        <w:rPr>
          <w:rFonts w:ascii="Simplified Arabic" w:hAnsi="Simplified Arabic" w:cs="Simplified Arabic" w:hint="cs"/>
          <w:sz w:val="26"/>
          <w:szCs w:val="26"/>
          <w:rtl/>
          <w:lang w:bidi="ar-JO"/>
        </w:rPr>
        <w:t>ين 18: 21: "</w:t>
      </w:r>
      <w:r w:rsidR="003D4BE9" w:rsidRPr="005364B1">
        <w:rPr>
          <w:rFonts w:ascii="Simplified Arabic" w:hAnsi="Simplified Arabic" w:cs="Simplified Arabic"/>
          <w:sz w:val="26"/>
          <w:szCs w:val="26"/>
          <w:rtl/>
        </w:rPr>
        <w:t>وَلاَ تُعْطِ مِنْ زَرْعِكَ لِلإِجَازَةِ لِمُولَكَ لِئَلاَّ تُدَنِّسَ اسْمَ إِلهِكَ. أَنَا الرَّبُّ</w:t>
      </w:r>
      <w:r w:rsidR="003D4BE9">
        <w:rPr>
          <w:rFonts w:ascii="Simplified Arabic" w:hAnsi="Simplified Arabic" w:cs="Simplified Arabic" w:hint="cs"/>
          <w:sz w:val="26"/>
          <w:szCs w:val="26"/>
          <w:rtl/>
        </w:rPr>
        <w:t xml:space="preserve">." ويُضيف سفر التثنية 12: 30-31: </w:t>
      </w:r>
    </w:p>
    <w:p w14:paraId="0FA475D9" w14:textId="2A64F499" w:rsidR="003D4BE9" w:rsidRDefault="007B3CE2" w:rsidP="007B3CE2">
      <w:pPr>
        <w:bidi/>
        <w:spacing w:line="240" w:lineRule="auto"/>
        <w:ind w:left="1008" w:right="1008"/>
        <w:rPr>
          <w:rFonts w:ascii="Simplified Arabic" w:hAnsi="Simplified Arabic" w:cs="Simplified Arabic"/>
          <w:sz w:val="26"/>
          <w:szCs w:val="26"/>
          <w:rtl/>
          <w:lang w:bidi="ar-JO"/>
        </w:rPr>
      </w:pPr>
      <w:r w:rsidRPr="00F52E9D">
        <w:rPr>
          <w:rFonts w:ascii="Simplified Arabic" w:hAnsi="Simplified Arabic" w:cs="Simplified Arabic"/>
          <w:sz w:val="26"/>
          <w:szCs w:val="26"/>
          <w:vertAlign w:val="superscript"/>
          <w:rtl/>
        </w:rPr>
        <w:lastRenderedPageBreak/>
        <w:t>30</w:t>
      </w:r>
      <w:r w:rsidRPr="00F52E9D">
        <w:rPr>
          <w:rFonts w:ascii="Simplified Arabic" w:hAnsi="Simplified Arabic" w:cs="Simplified Arabic"/>
          <w:sz w:val="26"/>
          <w:szCs w:val="26"/>
          <w:rtl/>
        </w:rPr>
        <w:t xml:space="preserve">فَاحْتَرِزْ مِنْ أَنْ تُصَادَ وَرَاءَهُمْ مِنْ بَعْدِ مَا بَادُوا مِنْ أَمَامِكَ، وَمِنْ أَنْ تَسْأَلَ عَنْ آلِهَتِهِمْ قَائِلاً: كَيْفَ عَبَدَ هؤُلاَءِ الأُمَمُ آلِهَتَهُمْ، فَأَنَا أَيْضًا أَفْعَلُ هكَذَا؟ </w:t>
      </w:r>
      <w:r w:rsidRPr="00F52E9D">
        <w:rPr>
          <w:rFonts w:ascii="Simplified Arabic" w:hAnsi="Simplified Arabic" w:cs="Simplified Arabic"/>
          <w:sz w:val="26"/>
          <w:szCs w:val="26"/>
          <w:vertAlign w:val="superscript"/>
          <w:rtl/>
        </w:rPr>
        <w:t>31</w:t>
      </w:r>
      <w:r w:rsidRPr="00F52E9D">
        <w:rPr>
          <w:rFonts w:ascii="Simplified Arabic" w:hAnsi="Simplified Arabic" w:cs="Simplified Arabic"/>
          <w:sz w:val="26"/>
          <w:szCs w:val="26"/>
          <w:rtl/>
        </w:rPr>
        <w:t>لاَ تَعْمَلْ هكَذَا لِلرَّبِّ إِلهِكَ، لأَنَّهُمْ قَدْ عَمِلُوا لآلِهَتِهِمْ كُلَّ رِجْسٍ لَدَى الرَّبِّ مِمَّا يَكْرَهُهُ، إِذْ أَحْرَقُوا حَتَّى بَنِيهِمْ وَبَنَاتِهِمْ بِالنَّارِ لآلِهَتِهِمْ.</w:t>
      </w:r>
    </w:p>
    <w:p w14:paraId="379014E9" w14:textId="77777777" w:rsidR="00D20F03" w:rsidRPr="000A24AD" w:rsidRDefault="00D20F03" w:rsidP="00D20F03">
      <w:pPr>
        <w:bidi/>
        <w:spacing w:line="240" w:lineRule="auto"/>
        <w:rPr>
          <w:rFonts w:ascii="Simplified Arabic" w:hAnsi="Simplified Arabic" w:cs="Simplified Arabic"/>
          <w:sz w:val="26"/>
          <w:szCs w:val="26"/>
          <w:rtl/>
        </w:rPr>
      </w:pPr>
    </w:p>
    <w:p w14:paraId="41477117" w14:textId="59FC8D7E" w:rsidR="007B3CE2" w:rsidRPr="007B3CE2" w:rsidRDefault="007B3CE2" w:rsidP="007B3CE2">
      <w:pPr>
        <w:keepNext/>
        <w:bidi/>
        <w:spacing w:line="240" w:lineRule="auto"/>
        <w:rPr>
          <w:rFonts w:ascii="Simplified Arabic" w:hAnsi="Simplified Arabic" w:cs="Simplified Arabic"/>
          <w:sz w:val="26"/>
          <w:szCs w:val="26"/>
          <w:rtl/>
        </w:rPr>
      </w:pPr>
      <w:r w:rsidRPr="007B3CE2">
        <w:rPr>
          <w:rFonts w:ascii="Simplified Arabic" w:hAnsi="Simplified Arabic" w:cs="Simplified Arabic"/>
          <w:sz w:val="26"/>
          <w:szCs w:val="26"/>
          <w:rtl/>
        </w:rPr>
        <w:t>لن أنسى زيارتي لتونس عام 2010، حين أخذني أحد المؤمنين التونسيّين خارج تونس الحديثة، لأرى آثار قرطاجة. فلأن الفينيقيّين (وهم مجموعة من الشعوب الكنعانيّة)</w:t>
      </w:r>
      <w:r>
        <w:rPr>
          <w:rFonts w:ascii="Simplified Arabic" w:hAnsi="Simplified Arabic" w:cs="Simplified Arabic" w:hint="cs"/>
          <w:sz w:val="26"/>
          <w:szCs w:val="26"/>
          <w:rtl/>
        </w:rPr>
        <w:t xml:space="preserve"> كانوا بحّارة، فقد أسّسوا مستوطنات كنعانّية حول البحر المتوسط، بما في ذلك قرطاجة. صحبني الأخ التونسي (وهو من أصلٍ ينتمي إلى</w:t>
      </w:r>
      <w:r w:rsidR="00D06E49">
        <w:rPr>
          <w:rFonts w:ascii="Simplified Arabic" w:hAnsi="Simplified Arabic" w:cs="Simplified Arabic" w:hint="cs"/>
          <w:sz w:val="26"/>
          <w:szCs w:val="26"/>
          <w:rtl/>
        </w:rPr>
        <w:t xml:space="preserve"> ديانة</w:t>
      </w:r>
      <w:r>
        <w:rPr>
          <w:rFonts w:ascii="Simplified Arabic" w:hAnsi="Simplified Arabic" w:cs="Simplified Arabic" w:hint="cs"/>
          <w:sz w:val="26"/>
          <w:szCs w:val="26"/>
          <w:rtl/>
        </w:rPr>
        <w:t xml:space="preserve"> الأغلبية في البلد)، وحدَّثني عن صراعه في الماضي مع قصص العهد القديم التي تُورِد إهلاك العبرانيّين للكنعانيين، إل</w:t>
      </w:r>
      <w:r w:rsidR="00D06E49">
        <w:rPr>
          <w:rFonts w:ascii="Simplified Arabic" w:hAnsi="Simplified Arabic" w:cs="Simplified Arabic" w:hint="cs"/>
          <w:sz w:val="26"/>
          <w:szCs w:val="26"/>
          <w:rtl/>
        </w:rPr>
        <w:t>ى</w:t>
      </w:r>
      <w:r>
        <w:rPr>
          <w:rFonts w:ascii="Simplified Arabic" w:hAnsi="Simplified Arabic" w:cs="Simplified Arabic" w:hint="cs"/>
          <w:sz w:val="26"/>
          <w:szCs w:val="26"/>
          <w:rtl/>
        </w:rPr>
        <w:t xml:space="preserve"> أنْ زار هذا المركز الديني الكنعاني في قرطاحة. فرأى هناك مذبحًا كانوا يعبدون عنده، ورأى نُصُبًا حجريّة لتدلّ على تقديم الكنعانيّين أولادهم ذبائح لآلهتهم الثنية. ثم قال لي إنه عندئذٍ أدرك مقدار فساد الكنعانيّين والسبب الذي لأجله رأى الرب</w:t>
      </w:r>
      <w:r w:rsidR="00D06E49">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أن يبيدهم. </w:t>
      </w:r>
    </w:p>
    <w:p w14:paraId="7CC67830" w14:textId="4F5E9395" w:rsidR="00745BA1" w:rsidRDefault="009477BE" w:rsidP="007B3CE2">
      <w:pPr>
        <w:keepNext/>
        <w:bidi/>
        <w:spacing w:line="240" w:lineRule="auto"/>
        <w:rPr>
          <w:rFonts w:ascii="Simplified Arabic" w:hAnsi="Simplified Arabic" w:cs="Simplified Arabic"/>
          <w:sz w:val="26"/>
          <w:szCs w:val="26"/>
          <w:rtl/>
          <w:lang w:bidi="ar-JO"/>
        </w:rPr>
      </w:pPr>
      <w:r w:rsidRPr="007B3CE2">
        <w:rPr>
          <w:rFonts w:ascii="Simplified Arabic" w:hAnsi="Simplified Arabic" w:cs="Simplified Arabic"/>
          <w:noProof/>
          <w:sz w:val="26"/>
          <w:szCs w:val="26"/>
        </w:rPr>
        <w:drawing>
          <wp:anchor distT="0" distB="0" distL="114300" distR="114300" simplePos="0" relativeHeight="251653120" behindDoc="0" locked="0" layoutInCell="1" allowOverlap="1" wp14:anchorId="10B33C94" wp14:editId="40DE95CF">
            <wp:simplePos x="0" y="0"/>
            <wp:positionH relativeFrom="column">
              <wp:posOffset>3489960</wp:posOffset>
            </wp:positionH>
            <wp:positionV relativeFrom="paragraph">
              <wp:posOffset>2701290</wp:posOffset>
            </wp:positionV>
            <wp:extent cx="2340610" cy="1912620"/>
            <wp:effectExtent l="0" t="0" r="2540" b="0"/>
            <wp:wrapSquare wrapText="bothSides"/>
            <wp:docPr id="823510012" name="Picture 3" descr="A group of stone statu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510012" name="Picture 3" descr="A group of stone statues&#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340610" cy="1912620"/>
                    </a:xfrm>
                    <a:prstGeom prst="rect">
                      <a:avLst/>
                    </a:prstGeom>
                  </pic:spPr>
                </pic:pic>
              </a:graphicData>
            </a:graphic>
            <wp14:sizeRelH relativeFrom="margin">
              <wp14:pctWidth>0</wp14:pctWidth>
            </wp14:sizeRelH>
            <wp14:sizeRelV relativeFrom="margin">
              <wp14:pctHeight>0</wp14:pctHeight>
            </wp14:sizeRelV>
          </wp:anchor>
        </w:drawing>
      </w:r>
      <w:r w:rsidRPr="007B3CE2">
        <w:rPr>
          <w:rFonts w:ascii="Simplified Arabic" w:hAnsi="Simplified Arabic" w:cs="Simplified Arabic"/>
          <w:noProof/>
          <w:sz w:val="26"/>
          <w:szCs w:val="26"/>
        </w:rPr>
        <w:drawing>
          <wp:anchor distT="0" distB="0" distL="114300" distR="114300" simplePos="0" relativeHeight="251649024" behindDoc="0" locked="0" layoutInCell="1" allowOverlap="1" wp14:anchorId="1BC981B6" wp14:editId="26C9F362">
            <wp:simplePos x="0" y="0"/>
            <wp:positionH relativeFrom="column">
              <wp:posOffset>2738120</wp:posOffset>
            </wp:positionH>
            <wp:positionV relativeFrom="paragraph">
              <wp:posOffset>65405</wp:posOffset>
            </wp:positionV>
            <wp:extent cx="3093720" cy="2109470"/>
            <wp:effectExtent l="0" t="0" r="0" b="5080"/>
            <wp:wrapSquare wrapText="bothSides"/>
            <wp:docPr id="1687282392" name="Picture 2" descr="A person standing in front of a ston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282392" name="Picture 2" descr="A person standing in front of a stone wall&#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093720" cy="2109470"/>
                    </a:xfrm>
                    <a:prstGeom prst="rect">
                      <a:avLst/>
                    </a:prstGeom>
                  </pic:spPr>
                </pic:pic>
              </a:graphicData>
            </a:graphic>
            <wp14:sizeRelH relativeFrom="margin">
              <wp14:pctWidth>0</wp14:pctWidth>
            </wp14:sizeRelH>
            <wp14:sizeRelV relativeFrom="margin">
              <wp14:pctHeight>0</wp14:pctHeight>
            </wp14:sizeRelV>
          </wp:anchor>
        </w:drawing>
      </w:r>
      <w:r w:rsidR="007B3CE2" w:rsidRPr="007B3CE2">
        <w:rPr>
          <w:rFonts w:ascii="Simplified Arabic" w:hAnsi="Simplified Arabic" w:cs="Simplified Arabic"/>
          <w:sz w:val="26"/>
          <w:szCs w:val="26"/>
          <w:rtl/>
        </w:rPr>
        <w:t>ومن ناحية أخرى، دخل العبرانيون في عهد مع الله في جبل سيناء (أي العهد الموسوي)</w:t>
      </w:r>
      <w:r w:rsidR="00C0114D">
        <w:rPr>
          <w:rFonts w:ascii="Simplified Arabic" w:hAnsi="Simplified Arabic" w:cs="Simplified Arabic" w:hint="cs"/>
          <w:sz w:val="26"/>
          <w:szCs w:val="26"/>
          <w:rtl/>
        </w:rPr>
        <w:t>. ولذا، كان ينبغي أن يكونوا شعبًا مُقدَّس</w:t>
      </w:r>
      <w:r w:rsidR="00D06E49">
        <w:rPr>
          <w:rFonts w:ascii="Simplified Arabic" w:hAnsi="Simplified Arabic" w:cs="Simplified Arabic" w:hint="cs"/>
          <w:sz w:val="26"/>
          <w:szCs w:val="26"/>
          <w:rtl/>
        </w:rPr>
        <w:t>ًا</w:t>
      </w:r>
      <w:r w:rsidR="00C0114D">
        <w:rPr>
          <w:rFonts w:ascii="Simplified Arabic" w:hAnsi="Simplified Arabic" w:cs="Simplified Arabic" w:hint="cs"/>
          <w:sz w:val="26"/>
          <w:szCs w:val="26"/>
          <w:rtl/>
        </w:rPr>
        <w:t xml:space="preserve">، وانبغى أن يكونوا أمّة تنهى بصورةٍ خاصّة عن عبادة الأوثان. </w:t>
      </w:r>
      <w:r w:rsidR="00745BA1">
        <w:rPr>
          <w:rFonts w:ascii="Simplified Arabic" w:hAnsi="Simplified Arabic" w:cs="Simplified Arabic" w:hint="cs"/>
          <w:sz w:val="26"/>
          <w:szCs w:val="26"/>
          <w:rtl/>
          <w:lang w:bidi="ar-JO"/>
        </w:rPr>
        <w:t>بالإضافة إلى إيقاع الله دينونته الإلهيّة على الكنعانيّين بسبب شرهم، فإنّ أمرَ الله بإ</w:t>
      </w:r>
      <w:r w:rsidR="00D06E49">
        <w:rPr>
          <w:rFonts w:ascii="Simplified Arabic" w:hAnsi="Simplified Arabic" w:cs="Simplified Arabic" w:hint="cs"/>
          <w:sz w:val="26"/>
          <w:szCs w:val="26"/>
          <w:rtl/>
          <w:lang w:bidi="ar-JO"/>
        </w:rPr>
        <w:t>ب</w:t>
      </w:r>
      <w:r w:rsidR="00745BA1">
        <w:rPr>
          <w:rFonts w:ascii="Simplified Arabic" w:hAnsi="Simplified Arabic" w:cs="Simplified Arabic" w:hint="cs"/>
          <w:sz w:val="26"/>
          <w:szCs w:val="26"/>
          <w:rtl/>
          <w:lang w:bidi="ar-JO"/>
        </w:rPr>
        <w:t xml:space="preserve">ادتهم كان يهدف إلى دعم دعوة شعب إسرائيل بأن يكون أمّة مُقدَّسة. </w:t>
      </w:r>
      <w:r w:rsidR="001F0875">
        <w:rPr>
          <w:rFonts w:ascii="Simplified Arabic" w:hAnsi="Simplified Arabic" w:cs="Simplified Arabic" w:hint="cs"/>
          <w:sz w:val="26"/>
          <w:szCs w:val="26"/>
          <w:rtl/>
          <w:lang w:bidi="ar-JO"/>
        </w:rPr>
        <w:t>أيْ أنّ الله عمل على إزالة التأثيرات الشريرة والوثنيّة من أجل إ</w:t>
      </w:r>
      <w:r w:rsidR="00D06E49">
        <w:rPr>
          <w:rFonts w:ascii="Simplified Arabic" w:hAnsi="Simplified Arabic" w:cs="Simplified Arabic" w:hint="cs"/>
          <w:sz w:val="26"/>
          <w:szCs w:val="26"/>
          <w:rtl/>
          <w:lang w:bidi="ar-JO"/>
        </w:rPr>
        <w:t>ع</w:t>
      </w:r>
      <w:r w:rsidR="001F0875">
        <w:rPr>
          <w:rFonts w:ascii="Simplified Arabic" w:hAnsi="Simplified Arabic" w:cs="Simplified Arabic" w:hint="cs"/>
          <w:sz w:val="26"/>
          <w:szCs w:val="26"/>
          <w:rtl/>
          <w:lang w:bidi="ar-JO"/>
        </w:rPr>
        <w:t>طاء شعبه أكبر فرصة ممكنة لعبادته وخدمته بأمانة. وقد سارت إقامة أرضٍ تتّصف بالنقاء الروحي والحقّ الديني يدًا بيد مع استراتيحيّة الله بأن يخلِّص كل الأمم ويأتي بها إلى بركته (تكوين 12: 3). وبالطبع، توثِّق بقية قصّة الكتاب المُقدَّس حقيقة أن</w:t>
      </w:r>
      <w:r w:rsidR="00D06E49">
        <w:rPr>
          <w:rFonts w:ascii="Simplified Arabic" w:hAnsi="Simplified Arabic" w:cs="Simplified Arabic" w:hint="cs"/>
          <w:sz w:val="26"/>
          <w:szCs w:val="26"/>
          <w:rtl/>
          <w:lang w:bidi="ar-JO"/>
        </w:rPr>
        <w:t>َّ</w:t>
      </w:r>
      <w:r w:rsidR="001F0875">
        <w:rPr>
          <w:rFonts w:ascii="Simplified Arabic" w:hAnsi="Simplified Arabic" w:cs="Simplified Arabic" w:hint="cs"/>
          <w:sz w:val="26"/>
          <w:szCs w:val="26"/>
          <w:rtl/>
          <w:lang w:bidi="ar-JO"/>
        </w:rPr>
        <w:t xml:space="preserve"> شعب إسرائيل لم يكن أمينًا للرب</w:t>
      </w:r>
      <w:r w:rsidR="00D06E49">
        <w:rPr>
          <w:rFonts w:ascii="Simplified Arabic" w:hAnsi="Simplified Arabic" w:cs="Simplified Arabic" w:hint="cs"/>
          <w:sz w:val="26"/>
          <w:szCs w:val="26"/>
          <w:rtl/>
          <w:lang w:bidi="ar-JO"/>
        </w:rPr>
        <w:t>ّ</w:t>
      </w:r>
      <w:r w:rsidR="001F0875">
        <w:rPr>
          <w:rFonts w:ascii="Simplified Arabic" w:hAnsi="Simplified Arabic" w:cs="Simplified Arabic" w:hint="cs"/>
          <w:sz w:val="26"/>
          <w:szCs w:val="26"/>
          <w:rtl/>
          <w:lang w:bidi="ar-JO"/>
        </w:rPr>
        <w:t xml:space="preserve">، بل انحرف بصورة متكرِّرة إلى عبادة الأوثان. وبعملهم هذا أعاقوا تحقيق مقاصد الله، لكن دون أن يعطّلوها تمامًا. ومع هذا، كان دافع الله أن يعطيهم أكبر فرصة يمكنه إعطاؤها لهم. وسيتعلَّم شعب إسرائيل في النهاية أنّ الله سيأتي بالدينونة عليهم أيضًا، بل وسيُخرجهم من </w:t>
      </w:r>
      <w:r w:rsidR="001F0875">
        <w:rPr>
          <w:rFonts w:ascii="Simplified Arabic" w:hAnsi="Simplified Arabic" w:cs="Simplified Arabic" w:hint="cs"/>
          <w:sz w:val="26"/>
          <w:szCs w:val="26"/>
          <w:rtl/>
          <w:lang w:bidi="ar-JO"/>
        </w:rPr>
        <w:lastRenderedPageBreak/>
        <w:t xml:space="preserve">الأرض التي وعد بها نسل إبراهيم. ففي أوقات تمرُّد شعب إسرائيل، هلك كثيرون منهم على يد الجيوش الأجنبيّة التي أرسلها الله لتأديبهم. </w:t>
      </w:r>
    </w:p>
    <w:p w14:paraId="30908E7A" w14:textId="34B69AA3" w:rsidR="001F0875" w:rsidRDefault="001F0875" w:rsidP="001F0875">
      <w:pPr>
        <w:keepNext/>
        <w:bidi/>
        <w:spacing w:line="240" w:lineRule="auto"/>
        <w:rPr>
          <w:rFonts w:ascii="Simplified Arabic" w:hAnsi="Simplified Arabic" w:cs="Simplified Arabic"/>
          <w:sz w:val="26"/>
          <w:szCs w:val="26"/>
          <w:rtl/>
          <w:lang w:bidi="ar-JO"/>
        </w:rPr>
      </w:pPr>
    </w:p>
    <w:p w14:paraId="5C574185" w14:textId="372BB315" w:rsidR="001F0875" w:rsidRPr="001F0875" w:rsidRDefault="001F0875" w:rsidP="001F0875">
      <w:pPr>
        <w:keepNext/>
        <w:bidi/>
        <w:spacing w:line="240" w:lineRule="auto"/>
        <w:rPr>
          <w:rFonts w:ascii="Simplified Arabic" w:hAnsi="Simplified Arabic" w:cs="Simplified Arabic"/>
          <w:b/>
          <w:bCs/>
          <w:sz w:val="26"/>
          <w:szCs w:val="26"/>
          <w:rtl/>
          <w:lang w:bidi="ar-JO"/>
        </w:rPr>
      </w:pPr>
      <w:r w:rsidRPr="001F0875">
        <w:rPr>
          <w:rFonts w:ascii="Simplified Arabic" w:hAnsi="Simplified Arabic" w:cs="Simplified Arabic" w:hint="cs"/>
          <w:b/>
          <w:bCs/>
          <w:sz w:val="26"/>
          <w:szCs w:val="26"/>
          <w:rtl/>
          <w:lang w:bidi="ar-JO"/>
        </w:rPr>
        <w:t>أفكار ختامية</w:t>
      </w:r>
    </w:p>
    <w:p w14:paraId="4F09A867" w14:textId="4AF92B0E" w:rsidR="001F0875" w:rsidRDefault="001F0875" w:rsidP="001F0875">
      <w:pPr>
        <w:keepNext/>
        <w:bidi/>
        <w:spacing w:line="240" w:lineRule="auto"/>
        <w:rPr>
          <w:rtl/>
        </w:rPr>
      </w:pPr>
      <w:r>
        <w:rPr>
          <w:rFonts w:ascii="Simplified Arabic" w:hAnsi="Simplified Arabic" w:cs="Simplified Arabic" w:hint="cs"/>
          <w:sz w:val="26"/>
          <w:szCs w:val="26"/>
          <w:rtl/>
        </w:rPr>
        <w:t xml:space="preserve">لم يكن الاستيلاء على أرض كنعان تطهيرًا عرقيًّا ولا إبادة جماعيّة، لأنّ سكّان الأرض لم يُقتَلوا بسبب كرههم، ولا كان بسبب لون بشرتهم أو أصلهم. فقد كانت المسألة الأساسيّة هي الخطيّة، الخطيّة التي رأى الله القدوس أنّه ينبغي إدانتها. وحقيقة أنّه </w:t>
      </w:r>
      <w:r w:rsidR="009E644A">
        <w:rPr>
          <w:rFonts w:ascii="Simplified Arabic" w:hAnsi="Simplified Arabic" w:cs="Simplified Arabic" w:hint="cs"/>
          <w:sz w:val="26"/>
          <w:szCs w:val="26"/>
          <w:rtl/>
          <w:lang w:bidi="ar-JO"/>
        </w:rPr>
        <w:t xml:space="preserve">أمر </w:t>
      </w:r>
      <w:r>
        <w:rPr>
          <w:rFonts w:ascii="Simplified Arabic" w:hAnsi="Simplified Arabic" w:cs="Simplified Arabic" w:hint="cs"/>
          <w:sz w:val="26"/>
          <w:szCs w:val="26"/>
          <w:rtl/>
        </w:rPr>
        <w:t>بالقتل على مستوى الأمّة تتوافق مع حقيقة أنّه الإله الذي يقاضي الشعوب والأمم بالإضافة إلى مقاضاته الأفراد. وفي النهاية، سيقاضي الله كل</w:t>
      </w:r>
      <w:r w:rsidR="00736F8C">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الذين لا يلجأون إلى ابنه. وقد عبَّر أحد</w:t>
      </w:r>
      <w:r w:rsidR="00736F8C">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الكتّاب عن هذه الحقيقة قائلًا: "كانت الحرب على الكنعانيّين ببساطة مرحلةً مبك</w:t>
      </w:r>
      <w:r w:rsidR="00736F8C">
        <w:rPr>
          <w:rFonts w:ascii="Simplified Arabic" w:hAnsi="Simplified Arabic" w:cs="Simplified Arabic" w:hint="cs"/>
          <w:sz w:val="26"/>
          <w:szCs w:val="26"/>
          <w:rtl/>
        </w:rPr>
        <w:t>ّ</w:t>
      </w:r>
      <w:r>
        <w:rPr>
          <w:rFonts w:ascii="Simplified Arabic" w:hAnsi="Simplified Arabic" w:cs="Simplified Arabic" w:hint="cs"/>
          <w:sz w:val="26"/>
          <w:szCs w:val="26"/>
          <w:rtl/>
        </w:rPr>
        <w:t>رة للمعركة التي ستصل ذروتها في الصليب، وستكتمل في الدينونة الأخيرة."</w:t>
      </w:r>
      <w:r w:rsidRPr="001F0875">
        <w:rPr>
          <w:rStyle w:val="FootnoteReference"/>
        </w:rPr>
        <w:t xml:space="preserve"> </w:t>
      </w:r>
      <w:r>
        <w:rPr>
          <w:rStyle w:val="FootnoteReference"/>
        </w:rPr>
        <w:footnoteReference w:id="141"/>
      </w:r>
    </w:p>
    <w:p w14:paraId="3865EF36" w14:textId="5817CFD4" w:rsidR="001F0875" w:rsidRPr="001F0875" w:rsidRDefault="001F0875" w:rsidP="001F0875">
      <w:pPr>
        <w:keepNext/>
        <w:bidi/>
        <w:spacing w:line="240" w:lineRule="auto"/>
        <w:rPr>
          <w:rFonts w:ascii="Simplified Arabic" w:hAnsi="Simplified Arabic" w:cs="Simplified Arabic"/>
          <w:sz w:val="26"/>
          <w:szCs w:val="26"/>
          <w:rtl/>
        </w:rPr>
      </w:pPr>
      <w:r w:rsidRPr="001F0875">
        <w:rPr>
          <w:rFonts w:ascii="Simplified Arabic" w:hAnsi="Simplified Arabic" w:cs="Simplified Arabic"/>
          <w:sz w:val="26"/>
          <w:szCs w:val="26"/>
          <w:rtl/>
        </w:rPr>
        <w:t xml:space="preserve">كما كان القصد من إبادة الكنعانيّين </w:t>
      </w:r>
      <w:r w:rsidR="00AE237A">
        <w:rPr>
          <w:rFonts w:ascii="Simplified Arabic" w:hAnsi="Simplified Arabic" w:cs="Simplified Arabic" w:hint="cs"/>
          <w:sz w:val="26"/>
          <w:szCs w:val="26"/>
          <w:rtl/>
        </w:rPr>
        <w:t>مساعدة شعب إسرائيل، بوصفه شعبَ الله، في أن ينطلق في بداية جديدة في الأرض التي وعد الله بها نسلَ إبراهيم، وذلك بإزالة كل تلوُّث من عبادة الأوثان والشر</w:t>
      </w:r>
      <w:r w:rsidR="00736F8C">
        <w:rPr>
          <w:rFonts w:ascii="Simplified Arabic" w:hAnsi="Simplified Arabic" w:cs="Simplified Arabic" w:hint="cs"/>
          <w:sz w:val="26"/>
          <w:szCs w:val="26"/>
          <w:rtl/>
        </w:rPr>
        <w:t>ّ</w:t>
      </w:r>
      <w:r w:rsidR="00AE237A">
        <w:rPr>
          <w:rFonts w:ascii="Simplified Arabic" w:hAnsi="Simplified Arabic" w:cs="Simplified Arabic" w:hint="cs"/>
          <w:sz w:val="26"/>
          <w:szCs w:val="26"/>
          <w:rtl/>
        </w:rPr>
        <w:t>. أي أنّه كان ينبغي إزالة التأثيرات الشر</w:t>
      </w:r>
      <w:r w:rsidR="00736F8C">
        <w:rPr>
          <w:rFonts w:ascii="Simplified Arabic" w:hAnsi="Simplified Arabic" w:cs="Simplified Arabic" w:hint="cs"/>
          <w:sz w:val="26"/>
          <w:szCs w:val="26"/>
          <w:rtl/>
        </w:rPr>
        <w:t>ّ</w:t>
      </w:r>
      <w:r w:rsidR="00AE237A">
        <w:rPr>
          <w:rFonts w:ascii="Simplified Arabic" w:hAnsi="Simplified Arabic" w:cs="Simplified Arabic" w:hint="cs"/>
          <w:sz w:val="26"/>
          <w:szCs w:val="26"/>
          <w:rtl/>
        </w:rPr>
        <w:t>يرة، فلا ي</w:t>
      </w:r>
      <w:r w:rsidR="00736F8C">
        <w:rPr>
          <w:rFonts w:ascii="Simplified Arabic" w:hAnsi="Simplified Arabic" w:cs="Simplified Arabic" w:hint="cs"/>
          <w:sz w:val="26"/>
          <w:szCs w:val="26"/>
          <w:rtl/>
        </w:rPr>
        <w:t>ُ</w:t>
      </w:r>
      <w:r w:rsidR="00AE237A">
        <w:rPr>
          <w:rFonts w:ascii="Simplified Arabic" w:hAnsi="Simplified Arabic" w:cs="Simplified Arabic" w:hint="cs"/>
          <w:sz w:val="26"/>
          <w:szCs w:val="26"/>
          <w:rtl/>
        </w:rPr>
        <w:t>خدَع شعب إسرائيل ويُغرى فيقبل ممارسات الكنعانيّين وطرقهم. وبعمل الله هذا، كان يعطي شعب إسرائيل فرصّةً بأن تنفّذ تعليم الله بصورةٍ كاملة، ونتيجة لهذا، بقيت جيوب من الكنعانيّين في وسطهم. وبعد فترة غير طويلة، وكما يشهد سفر القضاة، تسب</w:t>
      </w:r>
      <w:r w:rsidR="00736F8C">
        <w:rPr>
          <w:rFonts w:ascii="Simplified Arabic" w:hAnsi="Simplified Arabic" w:cs="Simplified Arabic" w:hint="cs"/>
          <w:sz w:val="26"/>
          <w:szCs w:val="26"/>
          <w:rtl/>
        </w:rPr>
        <w:t>ّ</w:t>
      </w:r>
      <w:r w:rsidR="00AE237A">
        <w:rPr>
          <w:rFonts w:ascii="Simplified Arabic" w:hAnsi="Simplified Arabic" w:cs="Simplified Arabic" w:hint="cs"/>
          <w:sz w:val="26"/>
          <w:szCs w:val="26"/>
          <w:rtl/>
        </w:rPr>
        <w:t xml:space="preserve">ب عدم إبادة شعب إسرائيل للكنعانيّين بصورة تامّة إلى جرّهم إلى عبادة الأوثان، وبالتالي جلبهم تأديب الله على أنفسهم. </w:t>
      </w:r>
    </w:p>
    <w:p w14:paraId="7B0D4F82" w14:textId="77777777" w:rsidR="005B1911" w:rsidRDefault="005B1911" w:rsidP="002D6C54">
      <w:pPr>
        <w:keepNext/>
        <w:spacing w:line="240" w:lineRule="auto"/>
      </w:pPr>
    </w:p>
    <w:p w14:paraId="07351707" w14:textId="6A8619E3" w:rsidR="007D50F1" w:rsidRPr="00915244" w:rsidRDefault="00915244" w:rsidP="00915244">
      <w:pPr>
        <w:pStyle w:val="Heading3"/>
        <w:bidi/>
        <w:spacing w:line="240" w:lineRule="auto"/>
        <w:rPr>
          <w:rFonts w:ascii="Simplified Arabic" w:hAnsi="Simplified Arabic" w:cs="Simplified Arabic"/>
        </w:rPr>
      </w:pPr>
      <w:bookmarkStart w:id="149" w:name="_Hlk157179661"/>
      <w:r w:rsidRPr="00915244">
        <w:rPr>
          <w:rFonts w:ascii="Simplified Arabic" w:hAnsi="Simplified Arabic" w:cs="Simplified Arabic"/>
          <w:rtl/>
        </w:rPr>
        <w:t xml:space="preserve">الموضوع 2: </w:t>
      </w:r>
      <w:r w:rsidRPr="00915244">
        <w:rPr>
          <w:rFonts w:ascii="Simplified Arabic" w:eastAsia="Calibri" w:hAnsi="Simplified Arabic" w:cs="Simplified Arabic"/>
          <w:rtl/>
          <w14:ligatures w14:val="none"/>
        </w:rPr>
        <w:t>الاستيلاء على أرض كنعان (يشوع 1: 1 – 12: 24)</w:t>
      </w:r>
    </w:p>
    <w:p w14:paraId="162EB5EC" w14:textId="3084021B" w:rsidR="00BE411E" w:rsidRDefault="00BE411E" w:rsidP="002D6C54">
      <w:pPr>
        <w:spacing w:line="240" w:lineRule="auto"/>
        <w:rPr>
          <w:rFonts w:ascii="Verdana" w:hAnsi="Verdana"/>
          <w:b/>
          <w:bCs/>
          <w:color w:val="0070C0"/>
          <w:sz w:val="21"/>
          <w:szCs w:val="21"/>
        </w:rPr>
      </w:pPr>
      <w:r w:rsidRPr="00BE411E">
        <w:rPr>
          <w:rFonts w:ascii="Verdana" w:hAnsi="Verdana"/>
          <w:b/>
          <w:bCs/>
          <w:caps/>
          <w:noProof/>
          <w:color w:val="0070C0"/>
          <w:sz w:val="21"/>
          <w:szCs w:val="21"/>
        </w:rPr>
        <w:drawing>
          <wp:anchor distT="0" distB="0" distL="114300" distR="114300" simplePos="0" relativeHeight="251654144" behindDoc="0" locked="0" layoutInCell="1" allowOverlap="1" wp14:anchorId="65C76769" wp14:editId="3625F1F4">
            <wp:simplePos x="0" y="0"/>
            <wp:positionH relativeFrom="column">
              <wp:posOffset>73742</wp:posOffset>
            </wp:positionH>
            <wp:positionV relativeFrom="paragraph">
              <wp:posOffset>92505</wp:posOffset>
            </wp:positionV>
            <wp:extent cx="687705" cy="607060"/>
            <wp:effectExtent l="0" t="0" r="0" b="2540"/>
            <wp:wrapSquare wrapText="bothSides"/>
            <wp:docPr id="1813199802" name="Picture 1813199802"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7705" cy="6070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3E94B7" w14:textId="63E819F4" w:rsidR="00BE411E" w:rsidRDefault="00BE411E" w:rsidP="002D6C54">
      <w:pPr>
        <w:spacing w:line="240" w:lineRule="auto"/>
        <w:rPr>
          <w:rFonts w:ascii="Verdana" w:hAnsi="Verdana"/>
          <w:b/>
          <w:bCs/>
          <w:color w:val="0070C0"/>
          <w:sz w:val="21"/>
          <w:szCs w:val="21"/>
        </w:rPr>
      </w:pPr>
    </w:p>
    <w:p w14:paraId="4CF05C93" w14:textId="536FED3D" w:rsidR="005B1911" w:rsidRPr="00AE237A" w:rsidRDefault="00AE237A" w:rsidP="00AE237A">
      <w:pPr>
        <w:bidi/>
        <w:spacing w:line="240" w:lineRule="auto"/>
        <w:rPr>
          <w:rFonts w:ascii="Verdana" w:hAnsi="Verdana"/>
          <w:b/>
          <w:bCs/>
          <w:sz w:val="21"/>
          <w:szCs w:val="21"/>
          <w:u w:val="single"/>
        </w:rPr>
      </w:pPr>
      <w:r w:rsidRPr="00AE237A">
        <w:rPr>
          <w:rFonts w:ascii="Verdana" w:hAnsi="Verdana" w:hint="cs"/>
          <w:b/>
          <w:bCs/>
          <w:color w:val="0070C0"/>
          <w:sz w:val="21"/>
          <w:szCs w:val="21"/>
          <w:u w:val="single"/>
          <w:rtl/>
        </w:rPr>
        <w:t>القراءة:</w:t>
      </w:r>
      <w:r w:rsidR="005B1911" w:rsidRPr="00AE237A">
        <w:rPr>
          <w:rFonts w:ascii="Verdana" w:hAnsi="Verdana"/>
          <w:b/>
          <w:bCs/>
          <w:sz w:val="21"/>
          <w:szCs w:val="21"/>
          <w:u w:val="single"/>
        </w:rPr>
        <w:t xml:space="preserve">  </w:t>
      </w:r>
    </w:p>
    <w:p w14:paraId="662648E5" w14:textId="34BAE844" w:rsidR="00942124" w:rsidRPr="005B1911" w:rsidRDefault="00AE237A" w:rsidP="00AE237A">
      <w:pPr>
        <w:bidi/>
        <w:spacing w:line="240" w:lineRule="auto"/>
        <w:ind w:firstLine="720"/>
        <w:rPr>
          <w:rFonts w:eastAsia="Calibri"/>
          <w:b/>
          <w:bCs/>
          <w:caps/>
          <w:color w:val="006699"/>
          <w:sz w:val="21"/>
          <w:szCs w:val="24"/>
        </w:rPr>
      </w:pPr>
      <w:r>
        <w:rPr>
          <w:rFonts w:hint="cs"/>
          <w:rtl/>
        </w:rPr>
        <w:t xml:space="preserve">اقرأ يشوع 1: 1 </w:t>
      </w:r>
      <w:r>
        <w:rPr>
          <w:rtl/>
        </w:rPr>
        <w:t>–</w:t>
      </w:r>
      <w:r>
        <w:rPr>
          <w:rFonts w:hint="cs"/>
          <w:rtl/>
        </w:rPr>
        <w:t xml:space="preserve"> 12: 24 في كتابك المُقدَّس. </w:t>
      </w:r>
    </w:p>
    <w:bookmarkEnd w:id="148"/>
    <w:bookmarkEnd w:id="149"/>
    <w:p w14:paraId="342F6138"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1.</w:t>
      </w:r>
      <w:r w:rsidRPr="006A7C83">
        <w:rPr>
          <w:rFonts w:eastAsia="Times New Roman" w:cs="DecoType Naskh" w:hint="cs"/>
          <w:bCs/>
          <w:color w:val="auto"/>
          <w:kern w:val="0"/>
          <w:szCs w:val="28"/>
          <w:rtl/>
          <w:lang w:bidi="ar-JO"/>
          <w14:ligatures w14:val="none"/>
        </w:rPr>
        <w:tab/>
        <w:t xml:space="preserve">مقدمة </w:t>
      </w:r>
    </w:p>
    <w:p w14:paraId="18B1653B" w14:textId="016D575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حسب الأسفار القانونية للكتاب المقدّس العبري، يترأس سفر يشوع القسم الثاني من العهد القديم المسمّى "الأنبياء</w:t>
      </w:r>
      <w:r w:rsidRPr="006A7C83">
        <w:rPr>
          <w:rFonts w:eastAsia="Times New Roman" w:cs="DecoType Naskh" w:hint="cs"/>
          <w:color w:val="auto"/>
          <w:kern w:val="0"/>
          <w:szCs w:val="26"/>
          <w:rtl/>
          <w14:ligatures w14:val="none"/>
        </w:rPr>
        <w:t>.</w:t>
      </w:r>
      <w:r w:rsidRPr="006A7C83">
        <w:rPr>
          <w:rFonts w:eastAsia="Times New Roman" w:cs="DecoType Naskh" w:hint="cs"/>
          <w:color w:val="auto"/>
          <w:kern w:val="0"/>
          <w:szCs w:val="26"/>
          <w:rtl/>
          <w:lang w:bidi="ar-JO"/>
          <w14:ligatures w14:val="none"/>
        </w:rPr>
        <w:t>" ويشمل هذا القسم بعض الأسفار التاريخية بالإضافة إلى الأنبياء الكتّاب.</w:t>
      </w:r>
      <w:r w:rsidRPr="006A7C83">
        <w:rPr>
          <w:rFonts w:eastAsia="Times New Roman" w:cs="DecoType Naskh"/>
          <w:color w:val="auto"/>
          <w:kern w:val="0"/>
          <w:sz w:val="32"/>
          <w:szCs w:val="32"/>
          <w:vertAlign w:val="superscript"/>
          <w:rtl/>
          <w:lang w:bidi="ar-JO"/>
          <w14:ligatures w14:val="none"/>
        </w:rPr>
        <w:t xml:space="preserve"> </w:t>
      </w:r>
      <w:r w:rsidRPr="006A7C83">
        <w:rPr>
          <w:rFonts w:eastAsia="Times New Roman" w:cs="DecoType Naskh"/>
          <w:color w:val="auto"/>
          <w:kern w:val="0"/>
          <w:sz w:val="32"/>
          <w:szCs w:val="32"/>
          <w:vertAlign w:val="superscript"/>
          <w:rtl/>
          <w:lang w:bidi="ar-JO"/>
          <w14:ligatures w14:val="none"/>
        </w:rPr>
        <w:footnoteReference w:customMarkFollows="1" w:id="142"/>
        <w:t>1</w:t>
      </w:r>
      <w:r w:rsidRPr="006A7C83">
        <w:rPr>
          <w:rFonts w:eastAsia="Times New Roman" w:cs="DecoType Naskh" w:hint="cs"/>
          <w:color w:val="auto"/>
          <w:kern w:val="0"/>
          <w:szCs w:val="26"/>
          <w:rtl/>
          <w:lang w:bidi="ar-JO"/>
          <w14:ligatures w14:val="none"/>
        </w:rPr>
        <w:t xml:space="preserve">  وهذا يميّز سفر يشوع عن الأسفار </w:t>
      </w:r>
      <w:r w:rsidRPr="006A7C83">
        <w:rPr>
          <w:rFonts w:eastAsia="Times New Roman" w:cs="DecoType Naskh" w:hint="cs"/>
          <w:color w:val="auto"/>
          <w:kern w:val="0"/>
          <w:szCs w:val="26"/>
          <w:rtl/>
          <w:lang w:bidi="ar-JO"/>
          <w14:ligatures w14:val="none"/>
        </w:rPr>
        <w:lastRenderedPageBreak/>
        <w:t>الخمسة السابقة التي تشكّل التوراة.  ويعكس عنوان السفر الطبيعة الرئيسية للمادة السردية، وليس بالضرورة الكاتب.  لا يُذكر مؤلّف هذا السفر في أي موضع من الكتاب المقدّس، على الرغم من أنه أمر ممكن جدّاً أن يكون يشوع هو كاتب هذه المادة (انظر 24: 26).  ويعترف معظم الباحثين المحافظين بوجود أدلة على بعض الأعمال التحريرية اللاحقة (مثلاً 24: 29-31).</w:t>
      </w:r>
    </w:p>
    <w:p w14:paraId="688551A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D99C5C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غير أنه توجد إشارات إلى أن بعض الزمن قد مرّ بين أحداث سفر يشوع وإكمال كتابة السفر.  إذ يمكن أن توحي إشارة الكاتب إلى "سفر ياشر" اعتماده على مصدر سابق لهذه المعلومات (على الرغم من أنه لا يمكننا أن نقرر تاريخ هذا المصدر).  وفضلاً عن ذلك، فإن تكرار تعبير "إلى هذا اليوم" قد يوحي بأن مدّة زمنية قد مضت قبل كتابة سفر يشوع (لاحظ 4: 9؛ 5: 9؛ 6: 25؛ 7: 26؛ 8: 28-29؛ 9: 27؛ 10: 27؛ 13: 13؛ 15: 63؛ 16: 10).  وبأخذ كل هذه الأمور بعين الاعتبار، فإنه يجب أن تبقى المسألة مفتوحة.</w:t>
      </w:r>
    </w:p>
    <w:p w14:paraId="6F46901B"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12"/>
          <w:szCs w:val="14"/>
          <w:rtl/>
          <w:lang w:bidi="ar-JO"/>
          <w14:ligatures w14:val="none"/>
        </w:rPr>
      </w:pPr>
    </w:p>
    <w:p w14:paraId="011349F5"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2.</w:t>
      </w:r>
      <w:r w:rsidRPr="006A7C83">
        <w:rPr>
          <w:rFonts w:eastAsia="Times New Roman" w:cs="DecoType Naskh" w:hint="cs"/>
          <w:bCs/>
          <w:color w:val="auto"/>
          <w:kern w:val="0"/>
          <w:szCs w:val="28"/>
          <w:rtl/>
          <w:lang w:bidi="ar-JO"/>
          <w14:ligatures w14:val="none"/>
        </w:rPr>
        <w:tab/>
        <w:t xml:space="preserve">علاقة السفر بالتوراة </w:t>
      </w:r>
    </w:p>
    <w:p w14:paraId="5C08F01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سفر يشوع تكملة مناسبة للأسفار الخمسة الأولى من العهد القديم.  ومرة أخرى أقول إن مفتاح فهمنا للعهد القديم هو العهد الإبراهيمي.  فقد كانت هذه خطّة يهوه لجلب البركة لكل قبائل الأرض.  ولعمل هذا اختار أمّة واحدة تكون وسيطاً لبركته.  ولكي تتحقق مقاصد الله مع هذه الأمّة، لزمت ثلاثة أمور: </w:t>
      </w:r>
      <w:r w:rsidRPr="006A7C83">
        <w:rPr>
          <w:rFonts w:eastAsia="Times New Roman" w:cs="DecoType Naskh" w:hint="cs"/>
          <w:color w:val="auto"/>
          <w:kern w:val="0"/>
          <w:szCs w:val="26"/>
          <w:u w:val="single"/>
          <w:rtl/>
          <w:lang w:bidi="ar-JO"/>
          <w14:ligatures w14:val="none"/>
        </w:rPr>
        <w:t>شعب</w:t>
      </w:r>
      <w:r w:rsidRPr="006A7C83">
        <w:rPr>
          <w:rFonts w:eastAsia="Times New Roman" w:cs="DecoType Naskh" w:hint="cs"/>
          <w:color w:val="auto"/>
          <w:kern w:val="0"/>
          <w:szCs w:val="26"/>
          <w:rtl/>
          <w:lang w:bidi="ar-JO"/>
          <w14:ligatures w14:val="none"/>
        </w:rPr>
        <w:t xml:space="preserve">، </w:t>
      </w:r>
      <w:r w:rsidRPr="006A7C83">
        <w:rPr>
          <w:rFonts w:eastAsia="Times New Roman" w:cs="DecoType Naskh" w:hint="cs"/>
          <w:color w:val="auto"/>
          <w:kern w:val="0"/>
          <w:szCs w:val="26"/>
          <w:u w:val="single"/>
          <w:rtl/>
          <w:lang w:bidi="ar-JO"/>
          <w14:ligatures w14:val="none"/>
        </w:rPr>
        <w:t>ودستور</w:t>
      </w:r>
      <w:r w:rsidRPr="006A7C83">
        <w:rPr>
          <w:rFonts w:eastAsia="Times New Roman" w:cs="DecoType Naskh" w:hint="cs"/>
          <w:color w:val="auto"/>
          <w:kern w:val="0"/>
          <w:szCs w:val="26"/>
          <w:rtl/>
          <w:lang w:bidi="ar-JO"/>
          <w14:ligatures w14:val="none"/>
        </w:rPr>
        <w:t xml:space="preserve"> يربط الشعب، </w:t>
      </w:r>
      <w:r w:rsidRPr="006A7C83">
        <w:rPr>
          <w:rFonts w:eastAsia="Times New Roman" w:cs="DecoType Naskh" w:hint="cs"/>
          <w:color w:val="auto"/>
          <w:kern w:val="0"/>
          <w:szCs w:val="26"/>
          <w:u w:val="single"/>
          <w:rtl/>
          <w:lang w:bidi="ar-JO"/>
          <w14:ligatures w14:val="none"/>
        </w:rPr>
        <w:t>وأرض</w:t>
      </w:r>
      <w:r w:rsidRPr="006A7C83">
        <w:rPr>
          <w:rFonts w:eastAsia="Times New Roman" w:cs="DecoType Naskh" w:hint="cs"/>
          <w:color w:val="auto"/>
          <w:kern w:val="0"/>
          <w:szCs w:val="26"/>
          <w:rtl/>
          <w:lang w:bidi="ar-JO"/>
          <w14:ligatures w14:val="none"/>
        </w:rPr>
        <w:t xml:space="preserve"> يسكن فيها الشعب.  نرى في خروج 1-18 تشكيل الشعب.</w:t>
      </w:r>
    </w:p>
    <w:p w14:paraId="5DEF125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وفي خروج 19- عدد 12، نتعرّف إلى دستور يربط يهوه بشعبه.  وتكمل مادة سفري اللاويين والتثنية الدستور الأساسي، مع وجود أنظمة تمكّن يهوه من أن يحكم كملك في وسط شعبه.  والعنصر الثالث هو الأرض.  وهذا هو ما يركّز عليه سفر يشوع.  سيبيّن سفر يشوع كيف أن الله فعَّل ونفَّذ قصده الإلهي بإعطاء إسرائيل أرض كنعان.  وكان هذا هو التوقع الذي طال انتظاره لامتلاك الأرض المرتبط بالأرض منذ بداية العهد الإبراهيمي.  وهكذا فإن الاهتمام الرئيسي لسفر يشوع هو بأمانة يهوه للعهد.  وتوجد بطبيعة الحال دروس كثيرة مصاحبة لهذا الأمر، لأن تحقيق العهد لا يأتي إلاّ بالطاعة.</w:t>
      </w:r>
    </w:p>
    <w:p w14:paraId="379EBE0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12"/>
          <w:szCs w:val="14"/>
          <w:rtl/>
          <w:lang w:bidi="ar-JO"/>
          <w14:ligatures w14:val="none"/>
        </w:rPr>
      </w:pPr>
    </w:p>
    <w:p w14:paraId="5FED4ED6"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3.</w:t>
      </w:r>
      <w:r w:rsidRPr="006A7C83">
        <w:rPr>
          <w:rFonts w:eastAsia="Times New Roman" w:cs="DecoType Naskh" w:hint="cs"/>
          <w:bCs/>
          <w:color w:val="auto"/>
          <w:kern w:val="0"/>
          <w:szCs w:val="28"/>
          <w:rtl/>
          <w:lang w:bidi="ar-JO"/>
          <w14:ligatures w14:val="none"/>
        </w:rPr>
        <w:tab/>
        <w:t xml:space="preserve">غرض السفر </w:t>
      </w:r>
    </w:p>
    <w:p w14:paraId="2DF6535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كُتب سفر يشوع بغرض تتبُّع التحقيق التاريخي لبركة يهوه الموعودة بوطن قومي، حيث أنَّ هذا كان متوقّعاً في الأسفار الخمسة.  ولأن هذا السفر يمثّل تحقيق يهوه لقصده، فإن النجاح هو نقطة التركيز المركزية.  والمبدأ العامل في احتلال الأرض هو أن يهوه يستخدم طاعة الشعب لكي يحقق وعده.  فالله يحقق كل وعد يصدَّق.  ونحن نرى عنصر النجاح والتحقيق في يشوع 11: 23 و21: 43.</w:t>
      </w:r>
    </w:p>
    <w:p w14:paraId="5DE80426"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10"/>
          <w:szCs w:val="12"/>
          <w:rtl/>
          <w:lang w:bidi="ar-JO"/>
          <w14:ligatures w14:val="none"/>
        </w:rPr>
      </w:pPr>
    </w:p>
    <w:p w14:paraId="28F413F3" w14:textId="7777777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2160" w:hanging="1706"/>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يشوع 11: 23-</w:t>
      </w:r>
      <w:r w:rsidRPr="006A7C83">
        <w:rPr>
          <w:rFonts w:eastAsia="Times New Roman" w:cs="DecoType Naskh" w:hint="cs"/>
          <w:color w:val="auto"/>
          <w:kern w:val="0"/>
          <w:szCs w:val="26"/>
          <w:rtl/>
          <w:lang w:bidi="ar-JO"/>
          <w14:ligatures w14:val="none"/>
        </w:rPr>
        <w:tab/>
      </w:r>
      <w:r w:rsidRPr="006A7C83">
        <w:rPr>
          <w:rFonts w:eastAsia="Times New Roman" w:cs="DecoType Naskh" w:hint="cs"/>
          <w:color w:val="auto"/>
          <w:kern w:val="0"/>
          <w:szCs w:val="26"/>
          <w:rtl/>
          <w14:ligatures w14:val="none"/>
        </w:rPr>
        <w:tab/>
      </w:r>
      <w:r w:rsidRPr="006A7C83">
        <w:rPr>
          <w:rFonts w:eastAsia="Times New Roman" w:cs="DecoType Naskh" w:hint="cs"/>
          <w:color w:val="auto"/>
          <w:kern w:val="0"/>
          <w:szCs w:val="26"/>
          <w:rtl/>
          <w:lang w:bidi="ar-JO"/>
          <w14:ligatures w14:val="none"/>
        </w:rPr>
        <w:t xml:space="preserve">" فأخذ يشوع كل الأرض حسب ما كلَّم به الرب موسى، وأعطاها يشوع مُلكاً لإسرائيل حسب فِرقهم وأسباطهم، واستراحت الأرض من الحرب."  </w:t>
      </w:r>
    </w:p>
    <w:p w14:paraId="36AE2B91" w14:textId="7777777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2160" w:hanging="1706"/>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يشوع 21: 43-45-</w:t>
      </w:r>
      <w:r w:rsidRPr="006A7C83">
        <w:rPr>
          <w:rFonts w:eastAsia="Times New Roman" w:cs="DecoType Naskh" w:hint="cs"/>
          <w:color w:val="auto"/>
          <w:kern w:val="0"/>
          <w:szCs w:val="26"/>
          <w:rtl/>
          <w:lang w:bidi="ar-JO"/>
          <w14:ligatures w14:val="none"/>
        </w:rPr>
        <w:tab/>
        <w:t>"فأعطى الرب إسرائيل جميع الأرض التي أقسم أن يعطيها لآبائهم، فامتلكوها وسكنوا بها، فأراحهم الرب حواليهم حسب كل ما أقسم لآبائهم، ولم يقف قدّامهم رجل من جميع أعدائهم بل دفع الرب جميع أعدائهم بأيديهم.  لم تسقط كلمة واحدة من جميع الكلام الصالح الذي كلّم به الرب بيت إسرائيل، بل الكل صار."</w:t>
      </w:r>
    </w:p>
    <w:p w14:paraId="52CA2ECB"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12"/>
          <w:szCs w:val="14"/>
          <w:rtl/>
          <w:lang w:bidi="ar-JO"/>
          <w14:ligatures w14:val="none"/>
        </w:rPr>
      </w:pPr>
    </w:p>
    <w:p w14:paraId="317208C6"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صاغ د. والتكي جملة تعبّر عن قصد سفر يشوع تعكس التعليقات السابقة:</w:t>
      </w:r>
    </w:p>
    <w:p w14:paraId="7EC76466"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2"/>
          <w:szCs w:val="32"/>
          <w:rtl/>
          <w:lang w:bidi="ar-JO"/>
          <w14:ligatures w14:val="none"/>
        </w:rPr>
      </w:pPr>
      <w:r w:rsidRPr="006A7C83">
        <w:rPr>
          <w:rFonts w:eastAsia="Times New Roman" w:cs="DecoType Naskh" w:hint="cs"/>
          <w:color w:val="auto"/>
          <w:kern w:val="0"/>
          <w:szCs w:val="26"/>
          <w:rtl/>
          <w:lang w:bidi="ar-JO"/>
          <w14:ligatures w14:val="none"/>
        </w:rPr>
        <w:t>يهدف سفر يشوع إلى إظهار التحقيق التاريخي للوعد الذي قطعه يهوه للآباء وموسى بأن يعطي إسرائيل أرض كنعان بحرب مقدّسة.</w:t>
      </w:r>
      <w:r w:rsidRPr="006A7C83">
        <w:rPr>
          <w:rFonts w:eastAsia="Times New Roman" w:cs="DecoType Naskh"/>
          <w:color w:val="auto"/>
          <w:kern w:val="0"/>
          <w:sz w:val="32"/>
          <w:szCs w:val="32"/>
          <w:vertAlign w:val="superscript"/>
          <w:rtl/>
          <w:lang w:bidi="ar-JO"/>
          <w14:ligatures w14:val="none"/>
        </w:rPr>
        <w:footnoteReference w:customMarkFollows="1" w:id="143"/>
        <w:t>2</w:t>
      </w:r>
    </w:p>
    <w:p w14:paraId="4263A06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2"/>
          <w:szCs w:val="32"/>
          <w:rtl/>
          <w:lang w:bidi="ar-JO"/>
          <w14:ligatures w14:val="none"/>
        </w:rPr>
      </w:pPr>
    </w:p>
    <w:p w14:paraId="030D794C"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4.</w:t>
      </w:r>
      <w:r w:rsidRPr="006A7C83">
        <w:rPr>
          <w:rFonts w:eastAsia="Times New Roman" w:cs="DecoType Naskh" w:hint="cs"/>
          <w:bCs/>
          <w:color w:val="auto"/>
          <w:kern w:val="0"/>
          <w:szCs w:val="28"/>
          <w:rtl/>
          <w:lang w:bidi="ar-JO"/>
          <w14:ligatures w14:val="none"/>
        </w:rPr>
        <w:tab/>
        <w:t>أحوال أرض كنعان</w:t>
      </w:r>
    </w:p>
    <w:p w14:paraId="36F2FEF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كانت الأرض في زمن يشوع (حوالي 1400ق م) مليئة بما يسمّى "المدن-الدول" (أي كل مدينة عبارة عن دولة)، والتي كان لكل واحدة منها ملِكها الخاص وحكومتها المستقلّة.  وهذا مشابه من وجوه عديدة للنظام الإقطاعي الذي اتسمت به أوروبا في العصور الوسطى.  غير أن هذه المدن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الدول لم تكن حرّ ة حرّية كاملة، لأنها كانت موجودة تحت سيطرة مصر.  وقد قسّمت مصر تلك الأرض إلى وحدات جغرافية وأسّست مراكز إدارية عبر المنطقة كلّها.  وقد واجه تحتموس الثالث، فرعون مصر (1504-1450 ق م)، ثورة منظمة من عدد من الولايات الفلسطينية والسورية  في مرحلة مبكّرة من حكمه، لكنه استطاع أن يحافظ على نفوذ مصر الذي استمر حتى بقية القرن الخامس عشر.  غير أن السيطرة المصرية كانت عند مجيء يشوع ضعيفة: "غير أنه جاءت في أوائل القرن الرابع عشر فترة عُرفت باسم فترة العمارنة أضعف فيها الضغط الحثّي وتمرُّد المدن الأمّورية في الشمال نفوذ مصر.  وتبع ذلك غزو لأرض فلسطين من عصابات شبه عسكرية معروفة باسم خابيرو."</w:t>
      </w:r>
      <w:r w:rsidRPr="006A7C83">
        <w:rPr>
          <w:rFonts w:eastAsia="Times New Roman" w:cs="DecoType Naskh"/>
          <w:color w:val="auto"/>
          <w:kern w:val="0"/>
          <w:sz w:val="32"/>
          <w:szCs w:val="32"/>
          <w:vertAlign w:val="superscript"/>
          <w:rtl/>
          <w:lang w:bidi="ar-JO"/>
          <w14:ligatures w14:val="none"/>
        </w:rPr>
        <w:footnoteReference w:customMarkFollows="1" w:id="144"/>
        <w:t>3</w:t>
      </w:r>
      <w:r w:rsidRPr="006A7C83">
        <w:rPr>
          <w:rFonts w:eastAsia="Times New Roman" w:cs="DecoType Naskh" w:hint="cs"/>
          <w:color w:val="auto"/>
          <w:kern w:val="0"/>
          <w:szCs w:val="26"/>
          <w:rtl/>
          <w:lang w:bidi="ar-JO"/>
          <w14:ligatures w14:val="none"/>
        </w:rPr>
        <w:t xml:space="preserve"> ولقد كان دخول إسرائيل واحتلالها أرض كنعان حسن التوقيت، حيث كان اهتمام مصر بكنعان يمر في حالة غفوة.  يقول ميريل:</w:t>
      </w:r>
    </w:p>
    <w:p w14:paraId="232C704D"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كان أمنحوتب الثالث (1417-1379) يحكم مصر أثناء غزو إسرائيل لأرض كنعان واحتلالها، لكن اهتمامه لم يكن منصبّاً على الدفاع عن مصالحه في كنعان، بل على الصيد والفنون.  وكانت نشاطاته العسكرية موجّهة نحو بلاد النوبة في الجنوب، وإن من الواضح أن هذا بفضل العناية الإلهية لإسرائيل.</w:t>
      </w:r>
      <w:r w:rsidRPr="006A7C83">
        <w:rPr>
          <w:rFonts w:eastAsia="Times New Roman" w:cs="DecoType Naskh"/>
          <w:color w:val="auto"/>
          <w:kern w:val="0"/>
          <w:sz w:val="32"/>
          <w:szCs w:val="32"/>
          <w:vertAlign w:val="superscript"/>
          <w:rtl/>
          <w:lang w:bidi="ar-JO"/>
          <w14:ligatures w14:val="none"/>
        </w:rPr>
        <w:footnoteReference w:customMarkFollows="1" w:id="145"/>
        <w:t>4</w:t>
      </w:r>
      <w:r w:rsidRPr="006A7C83">
        <w:rPr>
          <w:rFonts w:eastAsia="Times New Roman" w:cs="DecoType Naskh" w:hint="cs"/>
          <w:color w:val="auto"/>
          <w:kern w:val="0"/>
          <w:szCs w:val="26"/>
          <w:rtl/>
          <w:lang w:bidi="ar-JO"/>
          <w14:ligatures w14:val="none"/>
        </w:rPr>
        <w:t xml:space="preserve"> </w:t>
      </w:r>
    </w:p>
    <w:p w14:paraId="7ADCFC48"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0AC74CD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إن أقل ما يمكن أن يقال عن الوضع الديني في كنعان هو أنه كان بغيضاً، وإنه لمن المفيد جدّاً للدارس أن يدرس هذه الناحية.  كان الإله الأعلى عند الكنعانيين هو إيل، وكان هنالك إله أدنى منه هو بعل (ويعني "سيد").  غير أن الإله بعل كان من ناحية عملية أكثر أهمية، إذ كان إله الخصب </w:t>
      </w:r>
      <w:r w:rsidRPr="006A7C83">
        <w:rPr>
          <w:rFonts w:eastAsia="Times New Roman" w:cs="DecoType Naskh" w:hint="cs"/>
          <w:i/>
          <w:iCs/>
          <w:color w:val="auto"/>
          <w:kern w:val="0"/>
          <w:szCs w:val="26"/>
          <w:rtl/>
          <w:lang w:bidi="ar-JO"/>
          <w14:ligatures w14:val="none"/>
        </w:rPr>
        <w:t>بلا منازع</w:t>
      </w:r>
      <w:r w:rsidRPr="006A7C83">
        <w:rPr>
          <w:rFonts w:eastAsia="Times New Roman" w:cs="DecoType Naskh" w:hint="cs"/>
          <w:color w:val="auto"/>
          <w:kern w:val="0"/>
          <w:szCs w:val="26"/>
          <w:rtl/>
          <w:lang w:bidi="ar-JO"/>
          <w14:ligatures w14:val="none"/>
        </w:rPr>
        <w:t>.  وفضلاً عن ذلك يعتبر بعل معادلاً لهَدَد، إله العاصفة.  كان بعل مسؤولاً عن الخصب، لا للزوجات فحسب، ولكن للمحاصيل والمواشي أيضاً.  ولهذا السبب، كان هاماً جدّاً عند الكنعانيين.</w:t>
      </w:r>
    </w:p>
    <w:p w14:paraId="1ADBC985"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CCEBEFE" w14:textId="248CCFAF"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تضمنت الديانة الكنعانية آلهة كثيرين وإلاهات كثيرات من بينهم الإلهات عناث وأشيرة وعشتروت (إلاهات الجنس والحرب).  وقد كانت صلاة يشوع بأن تتوقف الشمس والقمر (10: 12-14) هامّة من ناحية لاهوتية، لأن الشمس والقمر كانا من الآلهة الكنعانية.  ومما يؤكد هذا وجود أماكن مثل بيت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شِمش ("هيكل الشمس") وأريحا ("هيكل القمر").</w:t>
      </w:r>
    </w:p>
    <w:p w14:paraId="228201A6"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تضمنت الديانة الكنعانية تقديم ذبائح للآلهة، وتضمنت أيضاً وجود موظفين دينيين مثل الكهنة وأشخاص مخصَّصين ومغنّين ونساء كن جزءاً من موظفي الهيكل المرتبطين بديانة الخصب.  ولقد كانت الديانة كلها منحطة جدّاً وبربرية وإباحية بشكل كامل، وكان يجب القضاء عليها لئلا يتلوّثوا بها.  وسرعان ما انحط بنو إسرائيل الذين تعثّروا وشاركوا في العبادة الوثنية إلى المستوى الأخلاقي للآلهة الدنيئة التي عبدوها.  وقد تضمن هذا ممارسة البغاء الديني، وتقديم الأطفال كذبائح وعبادة الأفاعي.</w:t>
      </w:r>
      <w:r w:rsidRPr="006A7C83">
        <w:rPr>
          <w:rFonts w:eastAsia="Times New Roman" w:cs="DecoType Naskh"/>
          <w:color w:val="auto"/>
          <w:kern w:val="0"/>
          <w:sz w:val="32"/>
          <w:szCs w:val="32"/>
          <w:vertAlign w:val="superscript"/>
          <w:rtl/>
          <w:lang w:bidi="ar-JO"/>
          <w14:ligatures w14:val="none"/>
        </w:rPr>
        <w:footnoteReference w:customMarkFollows="1" w:id="146"/>
        <w:t>5</w:t>
      </w:r>
      <w:r w:rsidRPr="006A7C83">
        <w:rPr>
          <w:rFonts w:eastAsia="Times New Roman" w:cs="DecoType Naskh" w:hint="cs"/>
          <w:color w:val="auto"/>
          <w:kern w:val="0"/>
          <w:szCs w:val="26"/>
          <w:rtl/>
          <w:lang w:bidi="ar-JO"/>
          <w14:ligatures w14:val="none"/>
        </w:rPr>
        <w:t xml:space="preserve"> وإن فهمنا لهذا الأمر أمر أساسي لفهمنا لحرب إسرائيل المقدّسة.</w:t>
      </w:r>
    </w:p>
    <w:p w14:paraId="7085FC0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12"/>
          <w:szCs w:val="14"/>
          <w:rtl/>
          <w14:ligatures w14:val="none"/>
        </w:rPr>
      </w:pPr>
    </w:p>
    <w:p w14:paraId="5F2226ED"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5.</w:t>
      </w:r>
      <w:r w:rsidRPr="006A7C83">
        <w:rPr>
          <w:rFonts w:eastAsia="Times New Roman" w:cs="DecoType Naskh" w:hint="cs"/>
          <w:bCs/>
          <w:color w:val="auto"/>
          <w:kern w:val="0"/>
          <w:szCs w:val="28"/>
          <w:rtl/>
          <w:lang w:bidi="ar-JO"/>
          <w14:ligatures w14:val="none"/>
        </w:rPr>
        <w:tab/>
        <w:t xml:space="preserve"> سياسة إسرائيل الخارجية </w:t>
      </w:r>
    </w:p>
    <w:p w14:paraId="3C3C4D8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أعطى الله تعليمات لإسرائيل حول كيفية التعامل مع الشؤون الخارجية.  والخطة معلنة في تثنية 20: 10-18، وتضمنت مرحلتين              (انظر 7: 1-26؛ 21: 10-14؛ 25: 17-19).</w:t>
      </w:r>
    </w:p>
    <w:p w14:paraId="70762DEB"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lastRenderedPageBreak/>
        <w:t>(1)</w:t>
      </w:r>
      <w:r w:rsidRPr="006A7C83">
        <w:rPr>
          <w:rFonts w:eastAsia="Times New Roman" w:cs="DecoType Naskh" w:hint="cs"/>
          <w:color w:val="auto"/>
          <w:kern w:val="0"/>
          <w:szCs w:val="26"/>
          <w:rtl/>
          <w:lang w:bidi="ar-JO"/>
          <w14:ligatures w14:val="none"/>
        </w:rPr>
        <w:tab/>
      </w:r>
      <w:r w:rsidRPr="006A7C83">
        <w:rPr>
          <w:rFonts w:eastAsia="Times New Roman" w:cs="DecoType Naskh" w:hint="cs"/>
          <w:color w:val="auto"/>
          <w:kern w:val="0"/>
          <w:szCs w:val="26"/>
          <w:u w:val="single"/>
          <w:rtl/>
          <w:lang w:bidi="ar-JO"/>
          <w14:ligatures w14:val="none"/>
        </w:rPr>
        <w:t>المدن البعيدة جداً</w:t>
      </w:r>
      <w:r w:rsidRPr="006A7C83">
        <w:rPr>
          <w:rFonts w:eastAsia="Times New Roman" w:cs="DecoType Naskh" w:hint="cs"/>
          <w:color w:val="auto"/>
          <w:kern w:val="0"/>
          <w:szCs w:val="26"/>
          <w:rtl/>
          <w:lang w:bidi="ar-JO"/>
          <w14:ligatures w14:val="none"/>
        </w:rPr>
        <w:t xml:space="preserve"> (أي المدن غير الكنعانية)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كانت السياسة هي عرض شروط سلام لجعل هذه المدن تخضع لحكم يهوه وإسرائيل (تثنية 20: 10-15).</w:t>
      </w:r>
    </w:p>
    <w:p w14:paraId="00CC8B55"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(2)</w:t>
      </w:r>
      <w:r w:rsidRPr="006A7C83">
        <w:rPr>
          <w:rFonts w:eastAsia="Times New Roman" w:cs="DecoType Naskh" w:hint="cs"/>
          <w:color w:val="auto"/>
          <w:kern w:val="0"/>
          <w:szCs w:val="26"/>
          <w:rtl/>
          <w:lang w:bidi="ar-JO"/>
          <w14:ligatures w14:val="none"/>
        </w:rPr>
        <w:tab/>
      </w:r>
      <w:r w:rsidRPr="006A7C83">
        <w:rPr>
          <w:rFonts w:eastAsia="Times New Roman" w:cs="DecoType Naskh" w:hint="cs"/>
          <w:color w:val="auto"/>
          <w:kern w:val="0"/>
          <w:szCs w:val="26"/>
          <w:u w:val="single"/>
          <w:rtl/>
          <w:lang w:bidi="ar-JO"/>
          <w14:ligatures w14:val="none"/>
        </w:rPr>
        <w:t>المدن- الدول الكنعانية</w:t>
      </w:r>
      <w:r w:rsidRPr="006A7C83">
        <w:rPr>
          <w:rFonts w:eastAsia="Times New Roman" w:cs="DecoType Naskh" w:hint="cs"/>
          <w:color w:val="auto"/>
          <w:kern w:val="0"/>
          <w:szCs w:val="26"/>
          <w:rtl/>
          <w:lang w:bidi="ar-JO"/>
          <w14:ligatures w14:val="none"/>
        </w:rPr>
        <w:t xml:space="preserve">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كانت السياسة هي إبادتها (تثنية 20: 16-18).</w:t>
      </w:r>
    </w:p>
    <w:p w14:paraId="4209F23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29D82D2" w14:textId="490833FB"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وربما يكون مناسباً هنا أن أقدّم بعض التعليقات حول فتح إسرائيل لأرض كنعان بصفته حرباً مقدَّسة.  لقد استهجن بعض الباحثين مثل هذه الممارسات وقالوا إنها لا تتفق مع إله الرحمة والمحبة المعلن في العهد الجديد (مثلاً هـ. هـ. راولي).  ويرى هؤلاء الباحثون أن إسرائيل تتصرف بشكل ظالم جداً في أخذها لأرض الكنعانيين.  أفليس أمراً قاسياً مناقضاً للمبادئ السامية تدمير بيوت شعب بريء وعائلاته ومدنه ومواشيه؟ يفترض مثل هذا السؤال مسبقاً أن الكنعانيين شعب بريء.  وفي الواقع كان الله يجلب دينونته على الكنعانيين.  كانت هذه الحروب أخلاقية في طبيعتها، وقد عمد الله في هذه الحرب المقدسة إلى القضاء على الديانة الكنعانية.  ولم يكن هذا أكثر ظلماً من دينونة الله الأخلاقية التي أنزلها بالعالم الشرير بالطوفان، أو الدينونة التي أتت على سدوم وعمورة، أو الدينونة أمام العرش الأبيض العظيم عندما سيُرسل الأشرار إلى الجحيم.  لقد سبق أن أعطى الله الكنعانيين فرصة للتوبة، وقد انتهت فترة النعمة لهم بمجيء يشوع.  لنتذكر أن إبراهيم كان قد نادى بيهوه في وسط مركز عبادة كنعاني عندما جاء إلى الأرض (تكوين 12: 4-9).  وعلى الرغم من مناداة إبراهيم بالحق، لكن يهوه أعطى الكنعانيين فترة للتوبة أيضاً.  لنلاحظ تكوين 15: 16:</w:t>
      </w:r>
    </w:p>
    <w:p w14:paraId="3FB06DA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وفي الجيل الرابع يرجعون إلى ههنا، لأن ذنب الأموريين ليس إلى الآن كاملاً.</w:t>
      </w:r>
    </w:p>
    <w:p w14:paraId="6E6AB44B"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 </w:t>
      </w:r>
    </w:p>
    <w:p w14:paraId="0E93964A"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6.</w:t>
      </w:r>
      <w:r w:rsidRPr="006A7C83">
        <w:rPr>
          <w:rFonts w:eastAsia="Times New Roman" w:cs="DecoType Naskh" w:hint="cs"/>
          <w:bCs/>
          <w:color w:val="auto"/>
          <w:kern w:val="0"/>
          <w:szCs w:val="28"/>
          <w:rtl/>
          <w:lang w:bidi="ar-JO"/>
          <w14:ligatures w14:val="none"/>
        </w:rPr>
        <w:tab/>
      </w:r>
      <w:r w:rsidRPr="006A7C83">
        <w:rPr>
          <w:rFonts w:eastAsia="Times New Roman" w:cs="DecoType Naskh" w:hint="cs"/>
          <w:bCs/>
          <w:color w:val="auto"/>
          <w:kern w:val="0"/>
          <w:szCs w:val="28"/>
          <w:rtl/>
          <w14:ligatures w14:val="none"/>
        </w:rPr>
        <w:t xml:space="preserve">شخص </w:t>
      </w:r>
      <w:r w:rsidRPr="006A7C83">
        <w:rPr>
          <w:rFonts w:eastAsia="Times New Roman" w:cs="DecoType Naskh" w:hint="cs"/>
          <w:bCs/>
          <w:color w:val="auto"/>
          <w:kern w:val="0"/>
          <w:szCs w:val="28"/>
          <w:rtl/>
          <w:lang w:bidi="ar-JO"/>
          <w14:ligatures w14:val="none"/>
        </w:rPr>
        <w:t xml:space="preserve">يشوع </w:t>
      </w:r>
    </w:p>
    <w:p w14:paraId="4EF93DD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كان اسم يشوع مناسباً جدّاً للدور الذي سيلعبه كقائد للفتح، وكان الشكل الأصلي للاسم العبري هو هَوشَع </w:t>
      </w:r>
      <w:proofErr w:type="spellStart"/>
      <w:r w:rsidRPr="006A7C83">
        <w:rPr>
          <w:rFonts w:ascii="Charis SIL" w:eastAsia="Times New Roman" w:hAnsi="Charis SIL" w:cs="Charis SIL"/>
          <w:bCs/>
          <w:i/>
          <w:iCs/>
          <w:color w:val="auto"/>
          <w:kern w:val="0"/>
          <w:sz w:val="22"/>
          <w:szCs w:val="24"/>
          <w14:ligatures w14:val="none"/>
        </w:rPr>
        <w:t>hôs̆ēaʿ</w:t>
      </w:r>
      <w:proofErr w:type="spellEnd"/>
      <w:r w:rsidRPr="006A7C83">
        <w:rPr>
          <w:rFonts w:eastAsia="Times New Roman" w:cs="DecoType Naskh" w:hint="cs"/>
          <w:color w:val="auto"/>
          <w:kern w:val="0"/>
          <w:szCs w:val="26"/>
          <w:rtl/>
          <w14:ligatures w14:val="none"/>
        </w:rPr>
        <w:t xml:space="preserve"> </w:t>
      </w:r>
      <w:r w:rsidRPr="006A7C83">
        <w:rPr>
          <w:rFonts w:eastAsia="Times New Roman" w:cs="DecoType Naskh" w:hint="cs"/>
          <w:color w:val="auto"/>
          <w:kern w:val="0"/>
          <w:szCs w:val="26"/>
          <w:rtl/>
          <w:lang w:bidi="ar-JO"/>
          <w14:ligatures w14:val="none"/>
        </w:rPr>
        <w:t>ويعني "الخلاص" (عدد 13: 8؛ الترجمة السبعينية أوسي</w:t>
      </w:r>
      <w:r w:rsidRPr="006A7C83">
        <w:rPr>
          <w:rFonts w:eastAsia="Times New Roman" w:cs="DecoType Naskh" w:hint="cs"/>
          <w:color w:val="auto"/>
          <w:kern w:val="0"/>
          <w:szCs w:val="26"/>
          <w:rtl/>
          <w14:ligatures w14:val="none"/>
        </w:rPr>
        <w:t xml:space="preserve"> </w:t>
      </w:r>
      <w:r w:rsidRPr="006A7C83">
        <w:rPr>
          <w:rFonts w:ascii="Charis SIL" w:eastAsia="Times New Roman" w:hAnsi="Charis SIL" w:cs="Charis SIL"/>
          <w:bCs/>
          <w:i/>
          <w:iCs/>
          <w:color w:val="auto"/>
          <w:kern w:val="0"/>
          <w:sz w:val="22"/>
          <w:szCs w:val="24"/>
          <w14:ligatures w14:val="none"/>
        </w:rPr>
        <w:t>Ausē</w:t>
      </w:r>
      <w:r w:rsidRPr="006A7C83">
        <w:rPr>
          <w:rFonts w:ascii="Hebrewtl" w:eastAsia="Times New Roman" w:hAnsi="Hebrewtl" w:cs="DecoType Naskh" w:hint="cs"/>
          <w:color w:val="auto"/>
          <w:kern w:val="0"/>
          <w:szCs w:val="26"/>
          <w:rtl/>
          <w14:ligatures w14:val="none"/>
        </w:rPr>
        <w:t>)</w:t>
      </w:r>
      <w:r w:rsidRPr="006A7C83">
        <w:rPr>
          <w:rFonts w:eastAsia="Times New Roman" w:cs="DecoType Naskh" w:hint="cs"/>
          <w:color w:val="auto"/>
          <w:kern w:val="0"/>
          <w:szCs w:val="26"/>
          <w:rtl/>
          <w:lang w:bidi="ar-JO"/>
          <w14:ligatures w14:val="none"/>
        </w:rPr>
        <w:t>، لكن موسى غيّره إلى "</w:t>
      </w:r>
      <w:r w:rsidRPr="006A7C83">
        <w:rPr>
          <w:rFonts w:eastAsia="Times New Roman" w:cs="DecoType Naskh" w:hint="cs"/>
          <w:i/>
          <w:iCs/>
          <w:color w:val="auto"/>
          <w:kern w:val="0"/>
          <w:szCs w:val="26"/>
          <w:rtl/>
          <w:lang w:bidi="ar-JO"/>
          <w14:ligatures w14:val="none"/>
        </w:rPr>
        <w:t>يشوع"</w:t>
      </w:r>
      <w:r w:rsidRPr="006A7C83">
        <w:rPr>
          <w:rFonts w:eastAsia="Times New Roman" w:cs="DecoType Naskh" w:hint="cs"/>
          <w:color w:val="auto"/>
          <w:kern w:val="0"/>
          <w:szCs w:val="26"/>
          <w:rtl/>
          <w:lang w:bidi="ar-JO"/>
          <w14:ligatures w14:val="none"/>
        </w:rPr>
        <w:t xml:space="preserve">، الذي يعني </w:t>
      </w:r>
      <w:r w:rsidRPr="006A7C83">
        <w:rPr>
          <w:rFonts w:eastAsia="Times New Roman" w:cs="DecoType Naskh"/>
          <w:color w:val="auto"/>
          <w:kern w:val="0"/>
          <w:szCs w:val="26"/>
          <w14:ligatures w14:val="none"/>
        </w:rPr>
        <w:t xml:space="preserve"> </w:t>
      </w:r>
      <w:proofErr w:type="spellStart"/>
      <w:r w:rsidRPr="006A7C83">
        <w:rPr>
          <w:rFonts w:ascii="Charis SIL" w:eastAsia="Times New Roman" w:hAnsi="Charis SIL" w:cs="Charis SIL"/>
          <w:bCs/>
          <w:i/>
          <w:iCs/>
          <w:color w:val="auto"/>
          <w:kern w:val="0"/>
          <w:sz w:val="22"/>
          <w:szCs w:val="24"/>
          <w14:ligatures w14:val="none"/>
        </w:rPr>
        <w:t>yᵊhôs̆uaʿ</w:t>
      </w:r>
      <w:proofErr w:type="spellEnd"/>
      <w:r w:rsidRPr="006A7C83">
        <w:rPr>
          <w:rFonts w:eastAsia="Times New Roman" w:cs="DecoType Naskh" w:hint="cs"/>
          <w:color w:val="auto"/>
          <w:kern w:val="0"/>
          <w:szCs w:val="26"/>
          <w:rtl/>
          <w:lang w:bidi="ar-JO"/>
          <w14:ligatures w14:val="none"/>
        </w:rPr>
        <w:t xml:space="preserve"> "يهوه يخلّص" (عدد 13: 16؛ الترجمة السبعينية إيسون</w:t>
      </w:r>
      <w:r w:rsidRPr="006A7C83">
        <w:rPr>
          <w:rFonts w:eastAsia="Times New Roman" w:cs="DecoType Naskh" w:hint="cs"/>
          <w:color w:val="auto"/>
          <w:kern w:val="0"/>
          <w:szCs w:val="26"/>
          <w:rtl/>
          <w14:ligatures w14:val="none"/>
        </w:rPr>
        <w:t xml:space="preserve"> </w:t>
      </w:r>
      <w:proofErr w:type="spellStart"/>
      <w:r w:rsidRPr="006A7C83">
        <w:rPr>
          <w:rFonts w:ascii="Charis SIL" w:eastAsia="Times New Roman" w:hAnsi="Charis SIL" w:cs="Charis SIL"/>
          <w:bCs/>
          <w:i/>
          <w:iCs/>
          <w:color w:val="auto"/>
          <w:kern w:val="0"/>
          <w:sz w:val="22"/>
          <w:szCs w:val="24"/>
          <w14:ligatures w14:val="none"/>
        </w:rPr>
        <w:t>Iēsoun</w:t>
      </w:r>
      <w:proofErr w:type="spellEnd"/>
      <w:r w:rsidRPr="006A7C83">
        <w:rPr>
          <w:rFonts w:eastAsia="Times New Roman" w:cs="DecoType Naskh" w:hint="cs"/>
          <w:color w:val="auto"/>
          <w:kern w:val="0"/>
          <w:szCs w:val="26"/>
          <w:rtl/>
          <w:lang w:bidi="ar-JO"/>
          <w14:ligatures w14:val="none"/>
        </w:rPr>
        <w:t xml:space="preserve">)... ولُفظ فيما بعد </w:t>
      </w:r>
      <w:r w:rsidRPr="006A7C83">
        <w:rPr>
          <w:rFonts w:eastAsia="Times New Roman" w:cs="DecoType Naskh" w:hint="cs"/>
          <w:i/>
          <w:iCs/>
          <w:color w:val="auto"/>
          <w:kern w:val="0"/>
          <w:szCs w:val="26"/>
          <w:rtl/>
          <w:lang w:bidi="ar-JO"/>
          <w14:ligatures w14:val="none"/>
        </w:rPr>
        <w:t>يشوع</w:t>
      </w:r>
      <w:r w:rsidRPr="006A7C83">
        <w:rPr>
          <w:rFonts w:eastAsia="Times New Roman" w:cs="DecoType Naskh" w:hint="cs"/>
          <w:color w:val="auto"/>
          <w:kern w:val="0"/>
          <w:szCs w:val="26"/>
          <w:rtl/>
          <w:lang w:bidi="ar-JO"/>
          <w14:ligatures w14:val="none"/>
        </w:rPr>
        <w:t xml:space="preserve"> </w:t>
      </w:r>
      <w:r w:rsidRPr="006A7C83">
        <w:rPr>
          <w:rFonts w:eastAsia="Times New Roman" w:cs="DecoType Naskh" w:hint="cs"/>
          <w:color w:val="auto"/>
          <w:kern w:val="0"/>
          <w:szCs w:val="26"/>
          <w:rtl/>
          <w14:ligatures w14:val="none"/>
        </w:rPr>
        <w:t xml:space="preserve"> </w:t>
      </w:r>
      <w:proofErr w:type="spellStart"/>
      <w:r w:rsidRPr="006A7C83">
        <w:rPr>
          <w:rFonts w:ascii="Charis SIL" w:eastAsia="Times New Roman" w:hAnsi="Charis SIL" w:cs="Charis SIL"/>
          <w:bCs/>
          <w:i/>
          <w:iCs/>
          <w:color w:val="auto"/>
          <w:kern w:val="0"/>
          <w:sz w:val="22"/>
          <w:szCs w:val="24"/>
          <w14:ligatures w14:val="none"/>
        </w:rPr>
        <w:t>yēs̆ūaʿ</w:t>
      </w:r>
      <w:proofErr w:type="spellEnd"/>
      <w:r w:rsidRPr="006A7C83">
        <w:rPr>
          <w:rFonts w:eastAsia="Times New Roman" w:cs="DecoType Naskh" w:hint="cs"/>
          <w:color w:val="auto"/>
          <w:kern w:val="0"/>
          <w:szCs w:val="26"/>
          <w:rtl/>
          <w:lang w:bidi="ar-JO"/>
          <w14:ligatures w14:val="none"/>
        </w:rPr>
        <w:t xml:space="preserve"> (نحميا 8: 17  الترجمة السبعينية إيسوس</w:t>
      </w:r>
      <w:r w:rsidRPr="006A7C83">
        <w:rPr>
          <w:rFonts w:eastAsia="Times New Roman" w:cs="DecoType Naskh" w:hint="cs"/>
          <w:color w:val="auto"/>
          <w:kern w:val="0"/>
          <w:szCs w:val="26"/>
          <w:rtl/>
          <w14:ligatures w14:val="none"/>
        </w:rPr>
        <w:t xml:space="preserve"> </w:t>
      </w:r>
      <w:proofErr w:type="spellStart"/>
      <w:r w:rsidRPr="006A7C83">
        <w:rPr>
          <w:rFonts w:ascii="Charis SIL" w:eastAsia="Times New Roman" w:hAnsi="Charis SIL" w:cs="Charis SIL"/>
          <w:bCs/>
          <w:i/>
          <w:iCs/>
          <w:color w:val="auto"/>
          <w:kern w:val="0"/>
          <w:sz w:val="22"/>
          <w:szCs w:val="24"/>
          <w14:ligatures w14:val="none"/>
        </w:rPr>
        <w:t>Iēsous</w:t>
      </w:r>
      <w:proofErr w:type="spellEnd"/>
      <w:r w:rsidRPr="006A7C83">
        <w:rPr>
          <w:rFonts w:ascii="Hebrewtl" w:eastAsia="Times New Roman" w:hAnsi="Hebrewtl" w:cs="DecoType Naskh" w:hint="cs"/>
          <w:color w:val="auto"/>
          <w:kern w:val="0"/>
          <w:szCs w:val="26"/>
          <w:rtl/>
          <w14:ligatures w14:val="none"/>
        </w:rPr>
        <w:t>)</w:t>
      </w:r>
      <w:r w:rsidRPr="006A7C83">
        <w:rPr>
          <w:rFonts w:eastAsia="Times New Roman" w:cs="DecoType Naskh" w:hint="cs"/>
          <w:color w:val="auto"/>
          <w:kern w:val="0"/>
          <w:szCs w:val="26"/>
          <w:rtl/>
          <w:lang w:bidi="ar-JO"/>
          <w14:ligatures w14:val="none"/>
        </w:rPr>
        <w:t>.</w:t>
      </w:r>
      <w:r w:rsidRPr="006A7C83">
        <w:rPr>
          <w:rFonts w:eastAsia="Times New Roman" w:cs="DecoType Naskh"/>
          <w:color w:val="auto"/>
          <w:kern w:val="0"/>
          <w:sz w:val="32"/>
          <w:szCs w:val="32"/>
          <w:vertAlign w:val="superscript"/>
          <w:rtl/>
          <w:lang w:bidi="ar-JO"/>
          <w14:ligatures w14:val="none"/>
        </w:rPr>
        <w:footnoteReference w:customMarkFollows="1" w:id="147"/>
        <w:t>6</w:t>
      </w:r>
      <w:r w:rsidRPr="006A7C83">
        <w:rPr>
          <w:rFonts w:eastAsia="Times New Roman" w:cs="DecoType Naskh" w:hint="cs"/>
          <w:color w:val="auto"/>
          <w:kern w:val="0"/>
          <w:szCs w:val="26"/>
          <w:rtl/>
          <w:lang w:bidi="ar-JO"/>
          <w14:ligatures w14:val="none"/>
        </w:rPr>
        <w:t xml:space="preserve"> وسيأخذ الرب يسوع المسيح نفس الاسم، لأنه بمعنى أكثر واقعية، قائد فتحٍ أعظم.</w:t>
      </w:r>
    </w:p>
    <w:p w14:paraId="4AC7553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C1C606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كان يشوع ذا شخصية متميّزة:</w:t>
      </w:r>
    </w:p>
    <w:p w14:paraId="47ABA90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(1)</w:t>
      </w:r>
      <w:r w:rsidRPr="006A7C83">
        <w:rPr>
          <w:rFonts w:eastAsia="Times New Roman" w:cs="DecoType Naskh" w:hint="cs"/>
          <w:color w:val="auto"/>
          <w:kern w:val="0"/>
          <w:szCs w:val="26"/>
          <w:rtl/>
          <w:lang w:bidi="ar-JO"/>
          <w14:ligatures w14:val="none"/>
        </w:rPr>
        <w:tab/>
        <w:t>شجاعة غير محدودة (لنتذكر أنه كان أحد الإثني عشر جاسوساً الذين أُرسلوا لاستكشاف الأرض).</w:t>
      </w:r>
    </w:p>
    <w:p w14:paraId="1F7F9E26"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(2)</w:t>
      </w:r>
      <w:r w:rsidRPr="006A7C83">
        <w:rPr>
          <w:rFonts w:eastAsia="Times New Roman" w:cs="DecoType Naskh" w:hint="cs"/>
          <w:color w:val="auto"/>
          <w:kern w:val="0"/>
          <w:szCs w:val="26"/>
          <w:rtl/>
          <w:lang w:bidi="ar-JO"/>
          <w14:ligatures w14:val="none"/>
        </w:rPr>
        <w:tab/>
        <w:t>إيمان عظيم (على الرغم من حجم العدو، كان مقتنعاً أن الرب سيعطيهم النصر).</w:t>
      </w:r>
    </w:p>
    <w:p w14:paraId="7DE2EB45"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(3)</w:t>
      </w:r>
      <w:r w:rsidRPr="006A7C83">
        <w:rPr>
          <w:rFonts w:eastAsia="Times New Roman" w:cs="DecoType Naskh" w:hint="cs"/>
          <w:color w:val="auto"/>
          <w:kern w:val="0"/>
          <w:szCs w:val="26"/>
          <w:rtl/>
          <w:lang w:bidi="ar-JO"/>
          <w14:ligatures w14:val="none"/>
        </w:rPr>
        <w:tab/>
        <w:t>طاعة غير محدودة (كان خاضعاً لرئيسه موسى وللرب في نفس الوقت؛ (انظر خروج 17: 8-10؛ 24: 13-18؛ 32: 15-18).</w:t>
      </w:r>
    </w:p>
    <w:p w14:paraId="0568C39C"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14:ligatures w14:val="none"/>
        </w:rPr>
      </w:pPr>
      <w:r w:rsidRPr="006A7C83">
        <w:rPr>
          <w:rFonts w:eastAsia="Times New Roman" w:cs="DecoType Naskh" w:hint="cs"/>
          <w:bCs/>
          <w:color w:val="auto"/>
          <w:kern w:val="0"/>
          <w:szCs w:val="28"/>
          <w:rtl/>
          <w:lang w:bidi="ar-JO"/>
          <w14:ligatures w14:val="none"/>
        </w:rPr>
        <w:t>7.</w:t>
      </w:r>
      <w:r w:rsidRPr="006A7C83">
        <w:rPr>
          <w:rFonts w:eastAsia="Times New Roman" w:cs="DecoType Naskh" w:hint="cs"/>
          <w:bCs/>
          <w:color w:val="auto"/>
          <w:kern w:val="0"/>
          <w:szCs w:val="28"/>
          <w:rtl/>
          <w:lang w:bidi="ar-JO"/>
          <w14:ligatures w14:val="none"/>
        </w:rPr>
        <w:tab/>
        <w:t xml:space="preserve">البنية </w:t>
      </w:r>
    </w:p>
    <w:p w14:paraId="1F24EFCC"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إن بنية السفر مباشِرة نوعاً ما (انظر ملحق 22-1).  يختص القسم الأول من السفر (1-12) بأخذ الأرض، بينما يختص القسم الثاني (13-21) بتوزيع الأرض على الإثني عشر سبطاً.  وتشكل الأصحاحات   22-24 خاتمة تتضمن إرشادات للشعب حول الكيفية التي يجب أن يعيشوا فيها في الأرض.  وقد يبدو هذا سرداً مملاً للأحداث بعض الشيء مع أهميّة روحية قليلة.  لكن هذا غير صحيح، إذ توجد مبادئ روحية كثيرة في هذه الصفحات.  وفضلاً عن ذلك، فإن سرد الغزو يعد المسرح للاهوت العهد الجديد المرتبط بمسألة نوال الميراث الذي يحصل عليه المؤمن بالمسيح، الذي يحتمل بأمانة في سيره مع الله وخدمة للمسيح.</w:t>
      </w:r>
    </w:p>
    <w:p w14:paraId="67101A75"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KW"/>
          <w14:ligatures w14:val="none"/>
        </w:rPr>
      </w:pPr>
    </w:p>
    <w:p w14:paraId="6FD3E0EE"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8.</w:t>
      </w:r>
      <w:r w:rsidRPr="006A7C83">
        <w:rPr>
          <w:rFonts w:eastAsia="Times New Roman" w:cs="DecoType Naskh" w:hint="cs"/>
          <w:bCs/>
          <w:color w:val="auto"/>
          <w:kern w:val="0"/>
          <w:szCs w:val="28"/>
          <w:rtl/>
          <w:lang w:bidi="ar-JO"/>
          <w14:ligatures w14:val="none"/>
        </w:rPr>
        <w:tab/>
        <w:t>كتاب الحرب: أخذ الأرض (يشوع 1-12)</w:t>
      </w:r>
    </w:p>
    <w:p w14:paraId="2E68EFEA" w14:textId="77777777" w:rsidR="006A7C83" w:rsidRPr="006A7C83" w:rsidRDefault="006A7C83" w:rsidP="002D6C54">
      <w:pPr>
        <w:tabs>
          <w:tab w:val="left" w:pos="454"/>
        </w:tabs>
        <w:bidi/>
        <w:spacing w:after="60" w:line="240" w:lineRule="auto"/>
        <w:ind w:left="550" w:hanging="550"/>
        <w:jc w:val="both"/>
        <w:rPr>
          <w:rFonts w:eastAsia="Times New Roman" w:cs="DecoType Naskh"/>
          <w:b/>
          <w:color w:val="auto"/>
          <w:kern w:val="0"/>
          <w:szCs w:val="26"/>
          <w:rtl/>
          <w14:ligatures w14:val="none"/>
        </w:rPr>
      </w:pPr>
      <w:r w:rsidRPr="006A7C83">
        <w:rPr>
          <w:rFonts w:eastAsia="Times New Roman" w:cs="DecoType Naskh" w:hint="cs"/>
          <w:b/>
          <w:color w:val="auto"/>
          <w:kern w:val="0"/>
          <w:szCs w:val="26"/>
          <w:rtl/>
          <w14:ligatures w14:val="none"/>
        </w:rPr>
        <w:t>أ.</w:t>
      </w:r>
      <w:r w:rsidRPr="006A7C83">
        <w:rPr>
          <w:rFonts w:eastAsia="Times New Roman" w:cs="DecoType Naskh" w:hint="cs"/>
          <w:b/>
          <w:color w:val="auto"/>
          <w:kern w:val="0"/>
          <w:szCs w:val="26"/>
          <w:rtl/>
          <w14:ligatures w14:val="none"/>
        </w:rPr>
        <w:tab/>
        <w:t>الإعداد للحرب (يشوع 1-5)</w:t>
      </w:r>
    </w:p>
    <w:p w14:paraId="0AC8BBC1" w14:textId="08EA7405" w:rsid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lastRenderedPageBreak/>
        <w:t xml:space="preserve">يتناول هذا القسم الإعداد الروحي للشعب وللقيادة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وهو أمر جوهري في أهميته قبل المعركة.  ويصوّر الجدول التالي تنظيم هذه الأصحاحات الخمس ومواضيعها وغرضها:</w:t>
      </w:r>
      <w:r w:rsidR="00AE237A">
        <w:rPr>
          <w:rFonts w:eastAsia="Times New Roman" w:cs="DecoType Naskh" w:hint="cs"/>
          <w:color w:val="auto"/>
          <w:kern w:val="0"/>
          <w:szCs w:val="26"/>
          <w:rtl/>
          <w:lang w:bidi="ar-JO"/>
          <w14:ligatures w14:val="none"/>
        </w:rPr>
        <w:t xml:space="preserve"> </w:t>
      </w:r>
    </w:p>
    <w:p w14:paraId="257188C2" w14:textId="0F984303" w:rsidR="00AE237A" w:rsidRDefault="00AE237A" w:rsidP="00AE237A">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F4F76F8" w14:textId="069400BB" w:rsidR="00AE237A" w:rsidRDefault="00AE237A" w:rsidP="00AE237A">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6ECCA57" w14:textId="751B6596" w:rsidR="00AE237A" w:rsidRDefault="00AE237A" w:rsidP="00AE237A">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715209B" w14:textId="77777777" w:rsidR="00AE237A" w:rsidRPr="006A7C83" w:rsidRDefault="00AE237A" w:rsidP="00AE237A">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1D78320"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3CE3C50" w14:textId="07B78B17" w:rsidR="006A7C83" w:rsidRPr="006A7C83" w:rsidRDefault="00E83954" w:rsidP="002D6C54">
      <w:pPr>
        <w:bidi/>
        <w:spacing w:after="0" w:line="240" w:lineRule="auto"/>
        <w:rPr>
          <w:rFonts w:eastAsia="Times New Roman" w:cs="DecoType Naskh"/>
          <w:color w:val="auto"/>
          <w:kern w:val="0"/>
          <w:sz w:val="32"/>
          <w:szCs w:val="32"/>
          <w:rtl/>
          <w14:ligatures w14:val="none"/>
        </w:rPr>
      </w:pPr>
      <w:r>
        <w:rPr>
          <w:rFonts w:eastAsia="Times New Roman" w:cs="DecoType Naskh"/>
          <w:noProof/>
          <w:color w:val="auto"/>
          <w:kern w:val="0"/>
          <w:sz w:val="20"/>
          <w:szCs w:val="18"/>
          <w:rtl/>
          <w:lang w:val="ar-SA" w:eastAsia="ar-SA"/>
          <w14:ligatures w14:val="none"/>
        </w:rPr>
        <mc:AlternateContent>
          <mc:Choice Requires="wpg">
            <w:drawing>
              <wp:anchor distT="0" distB="0" distL="114300" distR="114300" simplePos="0" relativeHeight="251666432" behindDoc="0" locked="0" layoutInCell="1" allowOverlap="1" wp14:anchorId="42341769" wp14:editId="73B87D9B">
                <wp:simplePos x="0" y="0"/>
                <wp:positionH relativeFrom="column">
                  <wp:posOffset>304800</wp:posOffset>
                </wp:positionH>
                <wp:positionV relativeFrom="paragraph">
                  <wp:posOffset>46355</wp:posOffset>
                </wp:positionV>
                <wp:extent cx="5334000" cy="3209925"/>
                <wp:effectExtent l="9525" t="8255" r="9525" b="1270"/>
                <wp:wrapNone/>
                <wp:docPr id="8"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00" cy="3209925"/>
                          <a:chOff x="1727" y="7352"/>
                          <a:chExt cx="8400" cy="5055"/>
                        </a:xfrm>
                      </wpg:grpSpPr>
                      <wps:wsp>
                        <wps:cNvPr id="9" name="Line 66"/>
                        <wps:cNvCnPr>
                          <a:cxnSpLocks noChangeShapeType="1"/>
                        </wps:cNvCnPr>
                        <wps:spPr bwMode="auto">
                          <a:xfrm>
                            <a:off x="9527" y="9167"/>
                            <a:ext cx="0" cy="3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 name="Line 67"/>
                        <wps:cNvCnPr>
                          <a:cxnSpLocks noChangeShapeType="1"/>
                        </wps:cNvCnPr>
                        <wps:spPr bwMode="auto">
                          <a:xfrm>
                            <a:off x="8447" y="9167"/>
                            <a:ext cx="0" cy="3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 name="Line 68"/>
                        <wps:cNvCnPr>
                          <a:cxnSpLocks noChangeShapeType="1"/>
                        </wps:cNvCnPr>
                        <wps:spPr bwMode="auto">
                          <a:xfrm>
                            <a:off x="7247" y="9167"/>
                            <a:ext cx="0" cy="3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2" name="Group 69"/>
                        <wpg:cNvGrpSpPr>
                          <a:grpSpLocks/>
                        </wpg:cNvGrpSpPr>
                        <wpg:grpSpPr bwMode="auto">
                          <a:xfrm>
                            <a:off x="1727" y="7352"/>
                            <a:ext cx="8400" cy="5055"/>
                            <a:chOff x="1727" y="7367"/>
                            <a:chExt cx="8400" cy="5055"/>
                          </a:xfrm>
                        </wpg:grpSpPr>
                        <wps:wsp>
                          <wps:cNvPr id="13" name="Line 70"/>
                          <wps:cNvCnPr>
                            <a:cxnSpLocks noChangeShapeType="1"/>
                          </wps:cNvCnPr>
                          <wps:spPr bwMode="auto">
                            <a:xfrm>
                              <a:off x="10127" y="9167"/>
                              <a:ext cx="0" cy="3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 name="Line 71"/>
                          <wps:cNvCnPr>
                            <a:cxnSpLocks noChangeShapeType="1"/>
                          </wps:cNvCnPr>
                          <wps:spPr bwMode="auto">
                            <a:xfrm>
                              <a:off x="5927" y="9167"/>
                              <a:ext cx="0" cy="3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 name="Line 72"/>
                          <wps:cNvCnPr>
                            <a:cxnSpLocks noChangeShapeType="1"/>
                          </wps:cNvCnPr>
                          <wps:spPr bwMode="auto">
                            <a:xfrm>
                              <a:off x="4607" y="9167"/>
                              <a:ext cx="0" cy="3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 name="Line 73"/>
                          <wps:cNvCnPr>
                            <a:cxnSpLocks noChangeShapeType="1"/>
                          </wps:cNvCnPr>
                          <wps:spPr bwMode="auto">
                            <a:xfrm>
                              <a:off x="3167" y="9167"/>
                              <a:ext cx="0" cy="3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 name="Line 74"/>
                          <wps:cNvCnPr>
                            <a:cxnSpLocks noChangeShapeType="1"/>
                          </wps:cNvCnPr>
                          <wps:spPr bwMode="auto">
                            <a:xfrm>
                              <a:off x="3167" y="12287"/>
                              <a:ext cx="69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 name="Line 75"/>
                          <wps:cNvCnPr>
                            <a:cxnSpLocks noChangeShapeType="1"/>
                          </wps:cNvCnPr>
                          <wps:spPr bwMode="auto">
                            <a:xfrm>
                              <a:off x="3167" y="9167"/>
                              <a:ext cx="69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 name="Line 76"/>
                          <wps:cNvCnPr>
                            <a:cxnSpLocks noChangeShapeType="1"/>
                          </wps:cNvCnPr>
                          <wps:spPr bwMode="auto">
                            <a:xfrm flipH="1" flipV="1">
                              <a:off x="8102" y="7367"/>
                              <a:ext cx="144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 name="Line 77"/>
                          <wps:cNvCnPr>
                            <a:cxnSpLocks noChangeShapeType="1"/>
                          </wps:cNvCnPr>
                          <wps:spPr bwMode="auto">
                            <a:xfrm flipH="1" flipV="1">
                              <a:off x="7007" y="7367"/>
                              <a:ext cx="144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 name="Line 78"/>
                          <wps:cNvCnPr>
                            <a:cxnSpLocks noChangeShapeType="1"/>
                          </wps:cNvCnPr>
                          <wps:spPr bwMode="auto">
                            <a:xfrm flipH="1" flipV="1">
                              <a:off x="5807" y="7367"/>
                              <a:ext cx="144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 name="Line 79"/>
                          <wps:cNvCnPr>
                            <a:cxnSpLocks noChangeShapeType="1"/>
                          </wps:cNvCnPr>
                          <wps:spPr bwMode="auto">
                            <a:xfrm flipH="1" flipV="1">
                              <a:off x="3167" y="7367"/>
                              <a:ext cx="144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 name="Line 80"/>
                          <wps:cNvCnPr>
                            <a:cxnSpLocks noChangeShapeType="1"/>
                          </wps:cNvCnPr>
                          <wps:spPr bwMode="auto">
                            <a:xfrm flipH="1" flipV="1">
                              <a:off x="1727" y="7367"/>
                              <a:ext cx="1440" cy="1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 name="Line 81"/>
                          <wps:cNvCnPr>
                            <a:cxnSpLocks noChangeShapeType="1"/>
                          </wps:cNvCnPr>
                          <wps:spPr bwMode="auto">
                            <a:xfrm>
                              <a:off x="1742" y="7367"/>
                              <a:ext cx="6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 name="Line 82"/>
                          <wps:cNvCnPr>
                            <a:cxnSpLocks noChangeShapeType="1"/>
                          </wps:cNvCnPr>
                          <wps:spPr bwMode="auto">
                            <a:xfrm>
                              <a:off x="2807" y="8687"/>
                              <a:ext cx="6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6" name="Text Box 83"/>
                          <wps:cNvSpPr txBox="1">
                            <a:spLocks noChangeArrowheads="1"/>
                          </wps:cNvSpPr>
                          <wps:spPr bwMode="auto">
                            <a:xfrm rot="-5400000">
                              <a:off x="9207" y="9427"/>
                              <a:ext cx="1080" cy="68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D07986" w14:textId="77777777" w:rsidR="006A7C83" w:rsidRDefault="006A7C83" w:rsidP="006A7C83">
                                <w:pPr>
                                  <w:autoSpaceDE w:val="0"/>
                                  <w:autoSpaceDN w:val="0"/>
                                  <w:bidi/>
                                  <w:adjustRightInd w:val="0"/>
                                  <w:rPr>
                                    <w:color w:val="000000"/>
                                    <w:rtl/>
                                  </w:rPr>
                                </w:pPr>
                                <w:r>
                                  <w:rPr>
                                    <w:color w:val="000000"/>
                                    <w:rtl/>
                                  </w:rPr>
                                  <w:t>الموضوع</w:t>
                                </w:r>
                              </w:p>
                            </w:txbxContent>
                          </wps:txbx>
                          <wps:bodyPr rot="0" vert="horz" wrap="square" lIns="91440" tIns="45720" rIns="91440" bIns="45720" anchor="t" anchorCtr="0" upright="1">
                            <a:noAutofit/>
                          </wps:bodyPr>
                        </wps:wsp>
                        <wps:wsp>
                          <wps:cNvPr id="27" name="Text Box 84"/>
                          <wps:cNvSpPr txBox="1">
                            <a:spLocks noChangeArrowheads="1"/>
                          </wps:cNvSpPr>
                          <wps:spPr bwMode="auto">
                            <a:xfrm rot="-5400000">
                              <a:off x="9114" y="11103"/>
                              <a:ext cx="1440" cy="557"/>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97A0AF" w14:textId="77777777" w:rsidR="006A7C83" w:rsidRDefault="006A7C83" w:rsidP="006A7C83">
                                <w:pPr>
                                  <w:autoSpaceDE w:val="0"/>
                                  <w:autoSpaceDN w:val="0"/>
                                  <w:bidi/>
                                  <w:adjustRightInd w:val="0"/>
                                  <w:jc w:val="center"/>
                                  <w:rPr>
                                    <w:color w:val="000000"/>
                                    <w:rtl/>
                                  </w:rPr>
                                </w:pPr>
                                <w:r>
                                  <w:rPr>
                                    <w:color w:val="000000"/>
                                    <w:rtl/>
                                  </w:rPr>
                                  <w:t>الغرض</w:t>
                                </w:r>
                              </w:p>
                            </w:txbxContent>
                          </wps:txbx>
                          <wps:bodyPr rot="0" vert="horz" wrap="square" lIns="91440" tIns="45720" rIns="91440" bIns="45720" anchor="t" anchorCtr="0" upright="1">
                            <a:noAutofit/>
                          </wps:bodyPr>
                        </wps:wsp>
                        <wps:wsp>
                          <wps:cNvPr id="28" name="Text Box 85"/>
                          <wps:cNvSpPr txBox="1">
                            <a:spLocks noChangeArrowheads="1"/>
                          </wps:cNvSpPr>
                          <wps:spPr bwMode="auto">
                            <a:xfrm>
                              <a:off x="7367" y="7532"/>
                              <a:ext cx="1080" cy="91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4F1624" w14:textId="77777777" w:rsidR="006A7C83" w:rsidRDefault="006A7C83" w:rsidP="006A7C83">
                                <w:pPr>
                                  <w:autoSpaceDE w:val="0"/>
                                  <w:autoSpaceDN w:val="0"/>
                                  <w:bidi/>
                                  <w:adjustRightInd w:val="0"/>
                                  <w:jc w:val="center"/>
                                  <w:rPr>
                                    <w:color w:val="000000"/>
                                    <w:rtl/>
                                  </w:rPr>
                                </w:pPr>
                                <w:r>
                                  <w:rPr>
                                    <w:color w:val="000000"/>
                                    <w:rtl/>
                                  </w:rPr>
                                  <w:t>الأمر بالحرب</w:t>
                                </w:r>
                                <w:r>
                                  <w:rPr>
                                    <w:color w:val="000000"/>
                                  </w:rPr>
                                  <w:t xml:space="preserve"> </w:t>
                                </w:r>
                              </w:p>
                            </w:txbxContent>
                          </wps:txbx>
                          <wps:bodyPr rot="0" vert="horz" wrap="square" lIns="91440" tIns="45720" rIns="91440" bIns="45720" anchor="t" anchorCtr="0" upright="1">
                            <a:noAutofit/>
                          </wps:bodyPr>
                        </wps:wsp>
                        <wps:wsp>
                          <wps:cNvPr id="29" name="Text Box 86"/>
                          <wps:cNvSpPr txBox="1">
                            <a:spLocks noChangeArrowheads="1"/>
                          </wps:cNvSpPr>
                          <wps:spPr bwMode="auto">
                            <a:xfrm>
                              <a:off x="8207" y="8567"/>
                              <a:ext cx="1080" cy="66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AB7CEF" w14:textId="77777777" w:rsidR="006A7C83" w:rsidRDefault="006A7C83" w:rsidP="006A7C83">
                                <w:pPr>
                                  <w:autoSpaceDE w:val="0"/>
                                  <w:autoSpaceDN w:val="0"/>
                                  <w:bidi/>
                                  <w:adjustRightInd w:val="0"/>
                                  <w:jc w:val="center"/>
                                  <w:rPr>
                                    <w:color w:val="000000"/>
                                    <w:rtl/>
                                  </w:rPr>
                                </w:pPr>
                                <w:r>
                                  <w:rPr>
                                    <w:color w:val="000000"/>
                                    <w:rtl/>
                                  </w:rPr>
                                  <w:t>إص 1</w:t>
                                </w:r>
                              </w:p>
                            </w:txbxContent>
                          </wps:txbx>
                          <wps:bodyPr rot="0" vert="horz" wrap="square" lIns="91440" tIns="45720" rIns="91440" bIns="45720" anchor="t" anchorCtr="0" upright="1">
                            <a:noAutofit/>
                          </wps:bodyPr>
                        </wps:wsp>
                        <wps:wsp>
                          <wps:cNvPr id="30" name="Text Box 87"/>
                          <wps:cNvSpPr txBox="1">
                            <a:spLocks noChangeArrowheads="1"/>
                          </wps:cNvSpPr>
                          <wps:spPr bwMode="auto">
                            <a:xfrm>
                              <a:off x="7007" y="8567"/>
                              <a:ext cx="1080" cy="66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9CE7D2" w14:textId="77777777" w:rsidR="006A7C83" w:rsidRDefault="006A7C83" w:rsidP="006A7C83">
                                <w:pPr>
                                  <w:autoSpaceDE w:val="0"/>
                                  <w:autoSpaceDN w:val="0"/>
                                  <w:bidi/>
                                  <w:adjustRightInd w:val="0"/>
                                  <w:jc w:val="center"/>
                                  <w:rPr>
                                    <w:color w:val="000000"/>
                                    <w:rtl/>
                                  </w:rPr>
                                </w:pPr>
                                <w:r>
                                  <w:rPr>
                                    <w:color w:val="000000"/>
                                    <w:rtl/>
                                  </w:rPr>
                                  <w:t>إص 2</w:t>
                                </w:r>
                              </w:p>
                            </w:txbxContent>
                          </wps:txbx>
                          <wps:bodyPr rot="0" vert="horz" wrap="square" lIns="91440" tIns="45720" rIns="91440" bIns="45720" anchor="t" anchorCtr="0" upright="1">
                            <a:noAutofit/>
                          </wps:bodyPr>
                        </wps:wsp>
                        <wps:wsp>
                          <wps:cNvPr id="31" name="Text Box 88"/>
                          <wps:cNvSpPr txBox="1">
                            <a:spLocks noChangeArrowheads="1"/>
                          </wps:cNvSpPr>
                          <wps:spPr bwMode="auto">
                            <a:xfrm>
                              <a:off x="4847" y="8582"/>
                              <a:ext cx="1680" cy="72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69FD46" w14:textId="77777777" w:rsidR="006A7C83" w:rsidRDefault="006A7C83" w:rsidP="006A7C83">
                                <w:pPr>
                                  <w:autoSpaceDE w:val="0"/>
                                  <w:autoSpaceDN w:val="0"/>
                                  <w:bidi/>
                                  <w:adjustRightInd w:val="0"/>
                                  <w:jc w:val="center"/>
                                  <w:rPr>
                                    <w:color w:val="000000"/>
                                    <w:rtl/>
                                  </w:rPr>
                                </w:pPr>
                                <w:r>
                                  <w:rPr>
                                    <w:color w:val="000000"/>
                                    <w:rtl/>
                                  </w:rPr>
                                  <w:t>إص 3: 1-5:1</w:t>
                                </w:r>
                              </w:p>
                            </w:txbxContent>
                          </wps:txbx>
                          <wps:bodyPr rot="0" vert="horz" wrap="square" lIns="91440" tIns="45720" rIns="91440" bIns="45720" anchor="t" anchorCtr="0" upright="1">
                            <a:noAutofit/>
                          </wps:bodyPr>
                        </wps:wsp>
                        <wps:wsp>
                          <wps:cNvPr id="32" name="Text Box 89"/>
                          <wps:cNvSpPr txBox="1">
                            <a:spLocks noChangeArrowheads="1"/>
                          </wps:cNvSpPr>
                          <wps:spPr bwMode="auto">
                            <a:xfrm>
                              <a:off x="2942" y="8567"/>
                              <a:ext cx="1440" cy="643"/>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EA88E0" w14:textId="77777777" w:rsidR="006A7C83" w:rsidRDefault="006A7C83" w:rsidP="006A7C83">
                                <w:pPr>
                                  <w:autoSpaceDE w:val="0"/>
                                  <w:autoSpaceDN w:val="0"/>
                                  <w:bidi/>
                                  <w:adjustRightInd w:val="0"/>
                                  <w:jc w:val="center"/>
                                  <w:rPr>
                                    <w:color w:val="000000"/>
                                    <w:rtl/>
                                  </w:rPr>
                                </w:pPr>
                                <w:r>
                                  <w:rPr>
                                    <w:color w:val="000000"/>
                                    <w:rtl/>
                                  </w:rPr>
                                  <w:t>إص 5: 2-15</w:t>
                                </w:r>
                              </w:p>
                            </w:txbxContent>
                          </wps:txbx>
                          <wps:bodyPr rot="0" vert="horz" wrap="square" lIns="91440" tIns="45720" rIns="91440" bIns="45720" anchor="t" anchorCtr="0" upright="1">
                            <a:noAutofit/>
                          </wps:bodyPr>
                        </wps:wsp>
                        <wps:wsp>
                          <wps:cNvPr id="33" name="Text Box 90"/>
                          <wps:cNvSpPr txBox="1">
                            <a:spLocks noChangeArrowheads="1"/>
                          </wps:cNvSpPr>
                          <wps:spPr bwMode="auto">
                            <a:xfrm>
                              <a:off x="6197" y="7532"/>
                              <a:ext cx="1200" cy="91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E7D093" w14:textId="77777777" w:rsidR="006A7C83" w:rsidRDefault="006A7C83" w:rsidP="006A7C83">
                                <w:pPr>
                                  <w:autoSpaceDE w:val="0"/>
                                  <w:autoSpaceDN w:val="0"/>
                                  <w:bidi/>
                                  <w:adjustRightInd w:val="0"/>
                                  <w:jc w:val="center"/>
                                  <w:rPr>
                                    <w:color w:val="000000"/>
                                    <w:rtl/>
                                  </w:rPr>
                                </w:pPr>
                                <w:r>
                                  <w:rPr>
                                    <w:color w:val="000000"/>
                                    <w:rtl/>
                                  </w:rPr>
                                  <w:t>استطلاع أريحا</w:t>
                                </w:r>
                                <w:r>
                                  <w:rPr>
                                    <w:color w:val="000000"/>
                                  </w:rPr>
                                  <w:t xml:space="preserve"> </w:t>
                                </w:r>
                              </w:p>
                            </w:txbxContent>
                          </wps:txbx>
                          <wps:bodyPr rot="0" vert="horz" wrap="square" lIns="91440" tIns="45720" rIns="91440" bIns="45720" anchor="t" anchorCtr="0" upright="1">
                            <a:noAutofit/>
                          </wps:bodyPr>
                        </wps:wsp>
                        <wps:wsp>
                          <wps:cNvPr id="34" name="Text Box 91"/>
                          <wps:cNvSpPr txBox="1">
                            <a:spLocks noChangeArrowheads="1"/>
                          </wps:cNvSpPr>
                          <wps:spPr bwMode="auto">
                            <a:xfrm>
                              <a:off x="3917" y="7487"/>
                              <a:ext cx="1680" cy="91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610D34" w14:textId="77777777" w:rsidR="006A7C83" w:rsidRDefault="006A7C83" w:rsidP="006A7C83">
                                <w:pPr>
                                  <w:autoSpaceDE w:val="0"/>
                                  <w:autoSpaceDN w:val="0"/>
                                  <w:bidi/>
                                  <w:adjustRightInd w:val="0"/>
                                  <w:jc w:val="center"/>
                                  <w:rPr>
                                    <w:color w:val="000000"/>
                                    <w:sz w:val="28"/>
                                    <w:szCs w:val="28"/>
                                    <w:rtl/>
                                  </w:rPr>
                                </w:pPr>
                                <w:r>
                                  <w:rPr>
                                    <w:color w:val="000000"/>
                                    <w:sz w:val="28"/>
                                    <w:szCs w:val="28"/>
                                    <w:rtl/>
                                  </w:rPr>
                                  <w:t>عبور نهر الأردن</w:t>
                                </w:r>
                                <w:r>
                                  <w:rPr>
                                    <w:color w:val="000000"/>
                                    <w:sz w:val="28"/>
                                    <w:szCs w:val="28"/>
                                  </w:rPr>
                                  <w:t xml:space="preserve"> </w:t>
                                </w:r>
                              </w:p>
                            </w:txbxContent>
                          </wps:txbx>
                          <wps:bodyPr rot="0" vert="horz" wrap="square" lIns="91440" tIns="45720" rIns="91440" bIns="45720" anchor="t" anchorCtr="0" upright="1">
                            <a:noAutofit/>
                          </wps:bodyPr>
                        </wps:wsp>
                        <wps:wsp>
                          <wps:cNvPr id="35" name="Text Box 92"/>
                          <wps:cNvSpPr txBox="1">
                            <a:spLocks noChangeArrowheads="1"/>
                          </wps:cNvSpPr>
                          <wps:spPr bwMode="auto">
                            <a:xfrm>
                              <a:off x="2072" y="7382"/>
                              <a:ext cx="1470" cy="106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A12BAE" w14:textId="77777777" w:rsidR="006A7C83" w:rsidRDefault="006A7C83" w:rsidP="006A7C83">
                                <w:pPr>
                                  <w:autoSpaceDE w:val="0"/>
                                  <w:autoSpaceDN w:val="0"/>
                                  <w:bidi/>
                                  <w:adjustRightInd w:val="0"/>
                                  <w:jc w:val="center"/>
                                  <w:rPr>
                                    <w:color w:val="000000"/>
                                    <w:rtl/>
                                  </w:rPr>
                                </w:pPr>
                                <w:r>
                                  <w:rPr>
                                    <w:rFonts w:hint="cs"/>
                                    <w:color w:val="000000"/>
                                    <w:rtl/>
                                  </w:rPr>
                                  <w:t xml:space="preserve">التحضيرات الروحية الأخيرة </w:t>
                                </w:r>
                                <w:r>
                                  <w:rPr>
                                    <w:color w:val="000000"/>
                                  </w:rPr>
                                  <w:t xml:space="preserve"> </w:t>
                                </w:r>
                              </w:p>
                            </w:txbxContent>
                          </wps:txbx>
                          <wps:bodyPr rot="0" vert="horz" wrap="square" lIns="91440" tIns="45720" rIns="91440" bIns="45720" anchor="t" anchorCtr="0" upright="1">
                            <a:noAutofit/>
                          </wps:bodyPr>
                        </wps:wsp>
                        <wps:wsp>
                          <wps:cNvPr id="36" name="Text Box 93"/>
                          <wps:cNvSpPr txBox="1">
                            <a:spLocks noChangeArrowheads="1"/>
                          </wps:cNvSpPr>
                          <wps:spPr bwMode="auto">
                            <a:xfrm>
                              <a:off x="8563" y="9310"/>
                              <a:ext cx="964" cy="1117"/>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020D16" w14:textId="77777777" w:rsidR="006A7C83" w:rsidRDefault="006A7C83" w:rsidP="006A7C83">
                                <w:pPr>
                                  <w:autoSpaceDE w:val="0"/>
                                  <w:autoSpaceDN w:val="0"/>
                                  <w:bidi/>
                                  <w:adjustRightInd w:val="0"/>
                                  <w:jc w:val="center"/>
                                  <w:rPr>
                                    <w:color w:val="000000"/>
                                    <w:rtl/>
                                  </w:rPr>
                                </w:pPr>
                                <w:r>
                                  <w:rPr>
                                    <w:color w:val="000000"/>
                                    <w:rtl/>
                                  </w:rPr>
                                  <w:t>الشريعة (الكلمة</w:t>
                                </w:r>
                                <w:r>
                                  <w:rPr>
                                    <w:rFonts w:hint="cs"/>
                                    <w:color w:val="000000"/>
                                    <w:rtl/>
                                  </w:rPr>
                                  <w:t>)</w:t>
                                </w:r>
                              </w:p>
                            </w:txbxContent>
                          </wps:txbx>
                          <wps:bodyPr rot="0" vert="horz" wrap="square" lIns="91440" tIns="45720" rIns="91440" bIns="45720" anchor="t" anchorCtr="0" upright="1">
                            <a:noAutofit/>
                          </wps:bodyPr>
                        </wps:wsp>
                        <wps:wsp>
                          <wps:cNvPr id="37" name="Text Box 94"/>
                          <wps:cNvSpPr txBox="1">
                            <a:spLocks noChangeArrowheads="1"/>
                          </wps:cNvSpPr>
                          <wps:spPr bwMode="auto">
                            <a:xfrm>
                              <a:off x="7247" y="9287"/>
                              <a:ext cx="1200" cy="1166"/>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4579E" w14:textId="77777777" w:rsidR="006A7C83" w:rsidRDefault="006A7C83" w:rsidP="006A7C83">
                                <w:pPr>
                                  <w:autoSpaceDE w:val="0"/>
                                  <w:autoSpaceDN w:val="0"/>
                                  <w:bidi/>
                                  <w:adjustRightInd w:val="0"/>
                                  <w:jc w:val="center"/>
                                  <w:rPr>
                                    <w:color w:val="000000"/>
                                    <w:rtl/>
                                  </w:rPr>
                                </w:pPr>
                                <w:r>
                                  <w:rPr>
                                    <w:color w:val="000000"/>
                                    <w:rtl/>
                                  </w:rPr>
                                  <w:t>تقرير الجواسيس</w:t>
                                </w:r>
                                <w:r>
                                  <w:rPr>
                                    <w:color w:val="000000"/>
                                  </w:rPr>
                                  <w:t xml:space="preserve"> </w:t>
                                </w:r>
                              </w:p>
                            </w:txbxContent>
                          </wps:txbx>
                          <wps:bodyPr rot="0" vert="horz" wrap="square" lIns="91440" tIns="45720" rIns="91440" bIns="45720" anchor="t" anchorCtr="0" upright="1">
                            <a:noAutofit/>
                          </wps:bodyPr>
                        </wps:wsp>
                        <wps:wsp>
                          <wps:cNvPr id="38" name="Text Box 95"/>
                          <wps:cNvSpPr txBox="1">
                            <a:spLocks noChangeArrowheads="1"/>
                          </wps:cNvSpPr>
                          <wps:spPr bwMode="auto">
                            <a:xfrm>
                              <a:off x="5837" y="9122"/>
                              <a:ext cx="1440" cy="130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D2D85" w14:textId="77777777" w:rsidR="006A7C83" w:rsidRDefault="006A7C83" w:rsidP="006A7C83">
                                <w:pPr>
                                  <w:autoSpaceDE w:val="0"/>
                                  <w:autoSpaceDN w:val="0"/>
                                  <w:bidi/>
                                  <w:adjustRightInd w:val="0"/>
                                  <w:jc w:val="center"/>
                                  <w:rPr>
                                    <w:color w:val="000000"/>
                                    <w:rtl/>
                                  </w:rPr>
                                </w:pPr>
                                <w:r>
                                  <w:rPr>
                                    <w:color w:val="000000"/>
                                    <w:rtl/>
                                  </w:rPr>
                                  <w:t xml:space="preserve">يشوع يقود الشعب عبر نهر الأردن </w:t>
                                </w:r>
                              </w:p>
                            </w:txbxContent>
                          </wps:txbx>
                          <wps:bodyPr rot="0" vert="horz" wrap="square" lIns="91440" tIns="45720" rIns="91440" bIns="45720" anchor="t" anchorCtr="0" upright="1">
                            <a:noAutofit/>
                          </wps:bodyPr>
                        </wps:wsp>
                        <wps:wsp>
                          <wps:cNvPr id="39" name="Text Box 96"/>
                          <wps:cNvSpPr txBox="1">
                            <a:spLocks noChangeArrowheads="1"/>
                          </wps:cNvSpPr>
                          <wps:spPr bwMode="auto">
                            <a:xfrm>
                              <a:off x="4772" y="9482"/>
                              <a:ext cx="960" cy="53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1D1E13" w14:textId="77777777" w:rsidR="006A7C83" w:rsidRDefault="006A7C83" w:rsidP="006A7C83">
                                <w:pPr>
                                  <w:autoSpaceDE w:val="0"/>
                                  <w:autoSpaceDN w:val="0"/>
                                  <w:bidi/>
                                  <w:adjustRightInd w:val="0"/>
                                  <w:jc w:val="center"/>
                                  <w:rPr>
                                    <w:color w:val="000000"/>
                                    <w:rtl/>
                                  </w:rPr>
                                </w:pPr>
                                <w:r>
                                  <w:rPr>
                                    <w:color w:val="000000"/>
                                    <w:rtl/>
                                  </w:rPr>
                                  <w:t>العمود</w:t>
                                </w:r>
                                <w:r>
                                  <w:rPr>
                                    <w:color w:val="000000"/>
                                  </w:rPr>
                                  <w:t xml:space="preserve"> </w:t>
                                </w:r>
                              </w:p>
                            </w:txbxContent>
                          </wps:txbx>
                          <wps:bodyPr rot="0" vert="horz" wrap="square" lIns="91440" tIns="45720" rIns="91440" bIns="45720" anchor="t" anchorCtr="0" upright="1">
                            <a:noAutofit/>
                          </wps:bodyPr>
                        </wps:wsp>
                        <wps:wsp>
                          <wps:cNvPr id="40" name="Text Box 97"/>
                          <wps:cNvSpPr txBox="1">
                            <a:spLocks noChangeArrowheads="1"/>
                          </wps:cNvSpPr>
                          <wps:spPr bwMode="auto">
                            <a:xfrm>
                              <a:off x="3287" y="9317"/>
                              <a:ext cx="1200" cy="1078"/>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F5C91A" w14:textId="77777777" w:rsidR="006A7C83" w:rsidRDefault="006A7C83" w:rsidP="006A7C83">
                                <w:pPr>
                                  <w:autoSpaceDE w:val="0"/>
                                  <w:autoSpaceDN w:val="0"/>
                                  <w:bidi/>
                                  <w:adjustRightInd w:val="0"/>
                                  <w:jc w:val="center"/>
                                  <w:rPr>
                                    <w:color w:val="000000"/>
                                    <w:rtl/>
                                  </w:rPr>
                                </w:pPr>
                                <w:r>
                                  <w:rPr>
                                    <w:rFonts w:hint="cs"/>
                                    <w:color w:val="000000"/>
                                    <w:rtl/>
                                  </w:rPr>
                                  <w:t>طقوس</w:t>
                                </w:r>
                                <w:r>
                                  <w:rPr>
                                    <w:color w:val="000000"/>
                                    <w:rtl/>
                                  </w:rPr>
                                  <w:t xml:space="preserve"> ومواجهة</w:t>
                                </w:r>
                                <w:r>
                                  <w:rPr>
                                    <w:color w:val="000000"/>
                                  </w:rPr>
                                  <w:t xml:space="preserve"> </w:t>
                                </w:r>
                              </w:p>
                            </w:txbxContent>
                          </wps:txbx>
                          <wps:bodyPr rot="0" vert="horz" wrap="square" lIns="91440" tIns="45720" rIns="91440" bIns="45720" anchor="t" anchorCtr="0" upright="1">
                            <a:noAutofit/>
                          </wps:bodyPr>
                        </wps:wsp>
                        <wps:wsp>
                          <wps:cNvPr id="41" name="Text Box 98"/>
                          <wps:cNvSpPr txBox="1">
                            <a:spLocks noChangeArrowheads="1"/>
                          </wps:cNvSpPr>
                          <wps:spPr bwMode="auto">
                            <a:xfrm>
                              <a:off x="8372" y="10352"/>
                              <a:ext cx="1215" cy="207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0B7B09" w14:textId="77777777" w:rsidR="006A7C83" w:rsidRDefault="006A7C83" w:rsidP="006A7C83">
                                <w:pPr>
                                  <w:autoSpaceDE w:val="0"/>
                                  <w:autoSpaceDN w:val="0"/>
                                  <w:bidi/>
                                  <w:adjustRightInd w:val="0"/>
                                  <w:jc w:val="center"/>
                                  <w:rPr>
                                    <w:color w:val="000000"/>
                                    <w:rtl/>
                                  </w:rPr>
                                </w:pPr>
                                <w:r>
                                  <w:rPr>
                                    <w:color w:val="000000"/>
                                    <w:rtl/>
                                  </w:rPr>
                                  <w:t>تعزيز القدرة القيادية ليشوع الذي يطيع كلمة الله</w:t>
                                </w:r>
                                <w:r>
                                  <w:rPr>
                                    <w:color w:val="000000"/>
                                  </w:rPr>
                                  <w:t xml:space="preserve"> </w:t>
                                </w:r>
                              </w:p>
                            </w:txbxContent>
                          </wps:txbx>
                          <wps:bodyPr rot="0" vert="horz" wrap="square" lIns="91440" tIns="45720" rIns="91440" bIns="45720" anchor="t" anchorCtr="0" upright="1">
                            <a:noAutofit/>
                          </wps:bodyPr>
                        </wps:wsp>
                        <wps:wsp>
                          <wps:cNvPr id="42" name="Text Box 99"/>
                          <wps:cNvSpPr txBox="1">
                            <a:spLocks noChangeArrowheads="1"/>
                          </wps:cNvSpPr>
                          <wps:spPr bwMode="auto">
                            <a:xfrm>
                              <a:off x="7292" y="10487"/>
                              <a:ext cx="1080" cy="1685"/>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2FFC8" w14:textId="77777777" w:rsidR="006A7C83" w:rsidRDefault="006A7C83" w:rsidP="006A7C83">
                                <w:pPr>
                                  <w:autoSpaceDE w:val="0"/>
                                  <w:autoSpaceDN w:val="0"/>
                                  <w:bidi/>
                                  <w:adjustRightInd w:val="0"/>
                                  <w:jc w:val="center"/>
                                  <w:rPr>
                                    <w:color w:val="000000"/>
                                    <w:rtl/>
                                  </w:rPr>
                                </w:pPr>
                                <w:r>
                                  <w:rPr>
                                    <w:color w:val="000000"/>
                                    <w:rtl/>
                                  </w:rPr>
                                  <w:t>رفع الروح المعنوية لدى إسرائيل</w:t>
                                </w:r>
                                <w:r>
                                  <w:rPr>
                                    <w:color w:val="000000"/>
                                  </w:rPr>
                                  <w:t xml:space="preserve"> </w:t>
                                </w:r>
                              </w:p>
                            </w:txbxContent>
                          </wps:txbx>
                          <wps:bodyPr rot="0" vert="horz" wrap="square" lIns="91440" tIns="45720" rIns="91440" bIns="45720" anchor="t" anchorCtr="0" upright="1">
                            <a:noAutofit/>
                          </wps:bodyPr>
                        </wps:wsp>
                        <wps:wsp>
                          <wps:cNvPr id="43" name="Text Box 100"/>
                          <wps:cNvSpPr txBox="1">
                            <a:spLocks noChangeArrowheads="1"/>
                          </wps:cNvSpPr>
                          <wps:spPr bwMode="auto">
                            <a:xfrm>
                              <a:off x="6107" y="10622"/>
                              <a:ext cx="960" cy="130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9D31A" w14:textId="77777777" w:rsidR="006A7C83" w:rsidRDefault="006A7C83" w:rsidP="006A7C83">
                                <w:pPr>
                                  <w:autoSpaceDE w:val="0"/>
                                  <w:autoSpaceDN w:val="0"/>
                                  <w:bidi/>
                                  <w:adjustRightInd w:val="0"/>
                                  <w:jc w:val="center"/>
                                  <w:rPr>
                                    <w:color w:val="000000"/>
                                    <w:rtl/>
                                  </w:rPr>
                                </w:pPr>
                                <w:r>
                                  <w:rPr>
                                    <w:color w:val="000000"/>
                                    <w:rtl/>
                                  </w:rPr>
                                  <w:t>ترسيخ قيادة يشوع</w:t>
                                </w:r>
                                <w:r>
                                  <w:rPr>
                                    <w:color w:val="000000"/>
                                  </w:rPr>
                                  <w:t xml:space="preserve"> </w:t>
                                </w:r>
                              </w:p>
                            </w:txbxContent>
                          </wps:txbx>
                          <wps:bodyPr rot="0" vert="horz" wrap="square" lIns="91440" tIns="45720" rIns="91440" bIns="45720" anchor="t" anchorCtr="0" upright="1">
                            <a:noAutofit/>
                          </wps:bodyPr>
                        </wps:wsp>
                        <wps:wsp>
                          <wps:cNvPr id="44" name="Text Box 101"/>
                          <wps:cNvSpPr txBox="1">
                            <a:spLocks noChangeArrowheads="1"/>
                          </wps:cNvSpPr>
                          <wps:spPr bwMode="auto">
                            <a:xfrm>
                              <a:off x="4727" y="10427"/>
                              <a:ext cx="1080" cy="1568"/>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22ED55" w14:textId="77777777" w:rsidR="006A7C83" w:rsidRDefault="006A7C83" w:rsidP="006A7C83">
                                <w:pPr>
                                  <w:autoSpaceDE w:val="0"/>
                                  <w:autoSpaceDN w:val="0"/>
                                  <w:bidi/>
                                  <w:adjustRightInd w:val="0"/>
                                  <w:jc w:val="center"/>
                                  <w:rPr>
                                    <w:color w:val="000000"/>
                                    <w:rtl/>
                                  </w:rPr>
                                </w:pPr>
                                <w:r>
                                  <w:rPr>
                                    <w:color w:val="000000"/>
                                    <w:rtl/>
                                  </w:rPr>
                                  <w:t>تذكير بما سبق أن فعله الله</w:t>
                                </w:r>
                                <w:r>
                                  <w:rPr>
                                    <w:color w:val="000000"/>
                                  </w:rPr>
                                  <w:t xml:space="preserve"> </w:t>
                                </w:r>
                              </w:p>
                            </w:txbxContent>
                          </wps:txbx>
                          <wps:bodyPr rot="0" vert="horz" wrap="square" lIns="91440" tIns="45720" rIns="91440" bIns="45720" anchor="t" anchorCtr="0" upright="1">
                            <a:noAutofit/>
                          </wps:bodyPr>
                        </wps:wsp>
                        <wps:wsp>
                          <wps:cNvPr id="45" name="Text Box 102"/>
                          <wps:cNvSpPr txBox="1">
                            <a:spLocks noChangeArrowheads="1"/>
                          </wps:cNvSpPr>
                          <wps:spPr bwMode="auto">
                            <a:xfrm>
                              <a:off x="3362" y="10622"/>
                              <a:ext cx="1080" cy="1300"/>
                            </a:xfrm>
                            <a:prstGeom prst="rect">
                              <a:avLst/>
                            </a:prstGeom>
                            <a:noFill/>
                            <a:ln>
                              <a:noFill/>
                            </a:ln>
                            <a:extLst>
                              <a:ext uri="{909E8E84-426E-40DD-AFC4-6F175D3DCCD1}">
                                <a14:hiddenFill xmlns:a14="http://schemas.microsoft.com/office/drawing/2010/main">
                                  <a:solidFill>
                                    <a:srgbClr val="00CC99"/>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F53BDC" w14:textId="77777777" w:rsidR="006A7C83" w:rsidRDefault="006A7C83" w:rsidP="006A7C83">
                                <w:pPr>
                                  <w:autoSpaceDE w:val="0"/>
                                  <w:autoSpaceDN w:val="0"/>
                                  <w:bidi/>
                                  <w:adjustRightInd w:val="0"/>
                                  <w:jc w:val="center"/>
                                  <w:rPr>
                                    <w:color w:val="000000"/>
                                    <w:rtl/>
                                  </w:rPr>
                                </w:pPr>
                                <w:r>
                                  <w:rPr>
                                    <w:color w:val="000000"/>
                                    <w:rtl/>
                                  </w:rPr>
                                  <w:t>تركيز إيمانهم على يهوه</w:t>
                                </w:r>
                                <w:r>
                                  <w:rPr>
                                    <w:color w:val="000000"/>
                                  </w:rPr>
                                  <w:t xml:space="preserve"> </w:t>
                                </w:r>
                              </w:p>
                            </w:txbxContent>
                          </wps:txbx>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2341769" id="Group 65" o:spid="_x0000_s1027" style="position:absolute;left:0;text-align:left;margin-left:24pt;margin-top:3.65pt;width:420pt;height:252.75pt;z-index:251666432" coordorigin="1727,7352" coordsize="8400,5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">
                <v:line id="Line 66" o:spid="_x0000_s1028" style="position:absolute;visibility:visible;mso-wrap-style:square" from="9527,9167" to="9527,12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"/>
                <v:line id="Line 67" o:spid="_x0000_s1029" style="position:absolute;visibility:visible;mso-wrap-style:square" from="8447,9167" to="8447,12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"/>
                <v:line id="Line 68" o:spid="_x0000_s1030" style="position:absolute;visibility:visible;mso-wrap-style:square" from="7247,9167" to="7247,12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"/>
                <v:group id="Group 69" o:spid="_x0000_s1031" style="position:absolute;left:1727;top:7352;width:8400;height:5055" coordorigin="1727,7367" coordsize="8400,5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line id="Line 70" o:spid="_x0000_s1032" style="position:absolute;visibility:visible;mso-wrap-style:square" from="10127,9167" to="10127,12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"/>
                  <v:line id="Line 71" o:spid="_x0000_s1033" style="position:absolute;visibility:visible;mso-wrap-style:square" from="5927,9167" to="5927,12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"/>
                  <v:line id="Line 72" o:spid="_x0000_s1034" style="position:absolute;visibility:visible;mso-wrap-style:square" from="4607,9167" to="4607,12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"/>
                  <v:line id="Line 73" o:spid="_x0000_s1035" style="position:absolute;visibility:visible;mso-wrap-style:square" from="3167,9167" to="3167,12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"/>
                  <v:line id="Line 74" o:spid="_x0000_s1036" style="position:absolute;visibility:visible;mso-wrap-style:square" from="3167,12287" to="10127,12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"/>
                  <v:line id="Line 75" o:spid="_x0000_s1037" style="position:absolute;visibility:visible;mso-wrap-style:square" from="3167,9167" to="10127,9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"/>
                  <v:line id="Line 76" o:spid="_x0000_s1038" style="position:absolute;flip:x y;visibility:visible;mso-wrap-style:square" from="8102,7367" to="9542,9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"/>
                  <v:line id="Line 77" o:spid="_x0000_s1039" style="position:absolute;flip:x y;visibility:visible;mso-wrap-style:square" from="7007,7367" to="8447,9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"/>
                  <v:line id="Line 78" o:spid="_x0000_s1040" style="position:absolute;flip:x y;visibility:visible;mso-wrap-style:square" from="5807,7367" to="7247,9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"/>
                  <v:line id="Line 79" o:spid="_x0000_s1041" style="position:absolute;flip:x y;visibility:visible;mso-wrap-style:square" from="3167,7367" to="4607,9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"/>
                  <v:line id="Line 80" o:spid="_x0000_s1042" style="position:absolute;flip:x y;visibility:visible;mso-wrap-style:square" from="1727,7367" to="3167,91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"/>
                  <v:line id="Line 81" o:spid="_x0000_s1043" style="position:absolute;visibility:visible;mso-wrap-style:square" from="1742,7367" to="8102,73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"/>
                  <v:line id="Line 82" o:spid="_x0000_s1044" style="position:absolute;visibility:visible;mso-wrap-style:square" from="2807,8687" to="9167,86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"/>
                  <v:shape id="Text Box 83" o:spid="_x0000_s1045" type="#_x0000_t202" style="position:absolute;left:9207;top:9427;width:1080;height:68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" filled="f" fillcolor="#0c9" stroked="f">
                    <v:textbox>
                      <w:txbxContent>
                        <w:p w14:paraId="49D07986" w14:textId="77777777" w:rsidR="006A7C83" w:rsidRDefault="006A7C83" w:rsidP="006A7C83">
                          <w:pPr>
                            <w:autoSpaceDE w:val="0"/>
                            <w:autoSpaceDN w:val="0"/>
                            <w:bidi/>
                            <w:adjustRightInd w:val="0"/>
                            <w:rPr>
                              <w:color w:val="000000"/>
                              <w:rtl/>
                            </w:rPr>
                          </w:pPr>
                          <w:r>
                            <w:rPr>
                              <w:color w:val="000000"/>
                              <w:rtl/>
                            </w:rPr>
                            <w:t>الموضوع</w:t>
                          </w:r>
                        </w:p>
                      </w:txbxContent>
                    </v:textbox>
                  </v:shape>
                  <v:shape id="Text Box 84" o:spid="_x0000_s1046" type="#_x0000_t202" style="position:absolute;left:9114;top:11103;width:1440;height:557;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" filled="f" fillcolor="#0c9" stroked="f">
                    <v:textbox>
                      <w:txbxContent>
                        <w:p w14:paraId="7D97A0AF" w14:textId="77777777" w:rsidR="006A7C83" w:rsidRDefault="006A7C83" w:rsidP="006A7C83">
                          <w:pPr>
                            <w:autoSpaceDE w:val="0"/>
                            <w:autoSpaceDN w:val="0"/>
                            <w:bidi/>
                            <w:adjustRightInd w:val="0"/>
                            <w:jc w:val="center"/>
                            <w:rPr>
                              <w:color w:val="000000"/>
                              <w:rtl/>
                            </w:rPr>
                          </w:pPr>
                          <w:r>
                            <w:rPr>
                              <w:color w:val="000000"/>
                              <w:rtl/>
                            </w:rPr>
                            <w:t>الغرض</w:t>
                          </w:r>
                        </w:p>
                      </w:txbxContent>
                    </v:textbox>
                  </v:shape>
                  <v:shape id="Text Box 85" o:spid="_x0000_s1047" type="#_x0000_t202" style="position:absolute;left:7367;top:7532;width:1080;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" filled="f" fillcolor="#0c9" stroked="f">
                    <v:textbox>
                      <w:txbxContent>
                        <w:p w14:paraId="384F1624" w14:textId="77777777" w:rsidR="006A7C83" w:rsidRDefault="006A7C83" w:rsidP="006A7C83">
                          <w:pPr>
                            <w:autoSpaceDE w:val="0"/>
                            <w:autoSpaceDN w:val="0"/>
                            <w:bidi/>
                            <w:adjustRightInd w:val="0"/>
                            <w:jc w:val="center"/>
                            <w:rPr>
                              <w:color w:val="000000"/>
                              <w:rtl/>
                            </w:rPr>
                          </w:pPr>
                          <w:r>
                            <w:rPr>
                              <w:color w:val="000000"/>
                              <w:rtl/>
                            </w:rPr>
                            <w:t>الأمر بالحرب</w:t>
                          </w:r>
                          <w:r>
                            <w:rPr>
                              <w:color w:val="000000"/>
                            </w:rPr>
                            <w:t xml:space="preserve"> </w:t>
                          </w:r>
                        </w:p>
                      </w:txbxContent>
                    </v:textbox>
                  </v:shape>
                  <v:shape id="Text Box 86" o:spid="_x0000_s1048" type="#_x0000_t202" style="position:absolute;left:8207;top:8567;width:108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" filled="f" fillcolor="#0c9" stroked="f">
                    <v:textbox>
                      <w:txbxContent>
                        <w:p w14:paraId="28AB7CEF" w14:textId="77777777" w:rsidR="006A7C83" w:rsidRDefault="006A7C83" w:rsidP="006A7C83">
                          <w:pPr>
                            <w:autoSpaceDE w:val="0"/>
                            <w:autoSpaceDN w:val="0"/>
                            <w:bidi/>
                            <w:adjustRightInd w:val="0"/>
                            <w:jc w:val="center"/>
                            <w:rPr>
                              <w:color w:val="000000"/>
                              <w:rtl/>
                            </w:rPr>
                          </w:pPr>
                          <w:r>
                            <w:rPr>
                              <w:color w:val="000000"/>
                              <w:rtl/>
                            </w:rPr>
                            <w:t>إص 1</w:t>
                          </w:r>
                        </w:p>
                      </w:txbxContent>
                    </v:textbox>
                  </v:shape>
                  <v:shape id="Text Box 87" o:spid="_x0000_s1049" type="#_x0000_t202" style="position:absolute;left:7007;top:8567;width:108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" filled="f" fillcolor="#0c9" stroked="f">
                    <v:textbox>
                      <w:txbxContent>
                        <w:p w14:paraId="3F9CE7D2" w14:textId="77777777" w:rsidR="006A7C83" w:rsidRDefault="006A7C83" w:rsidP="006A7C83">
                          <w:pPr>
                            <w:autoSpaceDE w:val="0"/>
                            <w:autoSpaceDN w:val="0"/>
                            <w:bidi/>
                            <w:adjustRightInd w:val="0"/>
                            <w:jc w:val="center"/>
                            <w:rPr>
                              <w:color w:val="000000"/>
                              <w:rtl/>
                            </w:rPr>
                          </w:pPr>
                          <w:r>
                            <w:rPr>
                              <w:color w:val="000000"/>
                              <w:rtl/>
                            </w:rPr>
                            <w:t>إص 2</w:t>
                          </w:r>
                        </w:p>
                      </w:txbxContent>
                    </v:textbox>
                  </v:shape>
                  <v:shape id="Text Box 88" o:spid="_x0000_s1050" type="#_x0000_t202" style="position:absolute;left:4847;top:8582;width:1680;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" filled="f" fillcolor="#0c9" stroked="f">
                    <v:textbox>
                      <w:txbxContent>
                        <w:p w14:paraId="3169FD46" w14:textId="77777777" w:rsidR="006A7C83" w:rsidRDefault="006A7C83" w:rsidP="006A7C83">
                          <w:pPr>
                            <w:autoSpaceDE w:val="0"/>
                            <w:autoSpaceDN w:val="0"/>
                            <w:bidi/>
                            <w:adjustRightInd w:val="0"/>
                            <w:jc w:val="center"/>
                            <w:rPr>
                              <w:color w:val="000000"/>
                              <w:rtl/>
                            </w:rPr>
                          </w:pPr>
                          <w:r>
                            <w:rPr>
                              <w:color w:val="000000"/>
                              <w:rtl/>
                            </w:rPr>
                            <w:t>إص 3: 1-5:1</w:t>
                          </w:r>
                        </w:p>
                      </w:txbxContent>
                    </v:textbox>
                  </v:shape>
                  <v:shape id="Text Box 89" o:spid="_x0000_s1051" type="#_x0000_t202" style="position:absolute;left:2942;top:8567;width:1440;height: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" filled="f" fillcolor="#0c9" stroked="f">
                    <v:textbox>
                      <w:txbxContent>
                        <w:p w14:paraId="33EA88E0" w14:textId="77777777" w:rsidR="006A7C83" w:rsidRDefault="006A7C83" w:rsidP="006A7C83">
                          <w:pPr>
                            <w:autoSpaceDE w:val="0"/>
                            <w:autoSpaceDN w:val="0"/>
                            <w:bidi/>
                            <w:adjustRightInd w:val="0"/>
                            <w:jc w:val="center"/>
                            <w:rPr>
                              <w:color w:val="000000"/>
                              <w:rtl/>
                            </w:rPr>
                          </w:pPr>
                          <w:r>
                            <w:rPr>
                              <w:color w:val="000000"/>
                              <w:rtl/>
                            </w:rPr>
                            <w:t>إص 5: 2-15</w:t>
                          </w:r>
                        </w:p>
                      </w:txbxContent>
                    </v:textbox>
                  </v:shape>
                  <v:shape id="Text Box 90" o:spid="_x0000_s1052" type="#_x0000_t202" style="position:absolute;left:6197;top:7532;width:1200;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" filled="f" fillcolor="#0c9" stroked="f">
                    <v:textbox>
                      <w:txbxContent>
                        <w:p w14:paraId="40E7D093" w14:textId="77777777" w:rsidR="006A7C83" w:rsidRDefault="006A7C83" w:rsidP="006A7C83">
                          <w:pPr>
                            <w:autoSpaceDE w:val="0"/>
                            <w:autoSpaceDN w:val="0"/>
                            <w:bidi/>
                            <w:adjustRightInd w:val="0"/>
                            <w:jc w:val="center"/>
                            <w:rPr>
                              <w:color w:val="000000"/>
                              <w:rtl/>
                            </w:rPr>
                          </w:pPr>
                          <w:r>
                            <w:rPr>
                              <w:color w:val="000000"/>
                              <w:rtl/>
                            </w:rPr>
                            <w:t>استطلاع أريحا</w:t>
                          </w:r>
                          <w:r>
                            <w:rPr>
                              <w:color w:val="000000"/>
                            </w:rPr>
                            <w:t xml:space="preserve"> </w:t>
                          </w:r>
                        </w:p>
                      </w:txbxContent>
                    </v:textbox>
                  </v:shape>
                  <v:shape id="Text Box 91" o:spid="_x0000_s1053" type="#_x0000_t202" style="position:absolute;left:3917;top:7487;width:1680;height: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" filled="f" fillcolor="#0c9" stroked="f">
                    <v:textbox>
                      <w:txbxContent>
                        <w:p w14:paraId="6E610D34" w14:textId="77777777" w:rsidR="006A7C83" w:rsidRDefault="006A7C83" w:rsidP="006A7C83">
                          <w:pPr>
                            <w:autoSpaceDE w:val="0"/>
                            <w:autoSpaceDN w:val="0"/>
                            <w:bidi/>
                            <w:adjustRightInd w:val="0"/>
                            <w:jc w:val="center"/>
                            <w:rPr>
                              <w:color w:val="000000"/>
                              <w:sz w:val="28"/>
                              <w:szCs w:val="28"/>
                              <w:rtl/>
                            </w:rPr>
                          </w:pPr>
                          <w:r>
                            <w:rPr>
                              <w:color w:val="000000"/>
                              <w:sz w:val="28"/>
                              <w:szCs w:val="28"/>
                              <w:rtl/>
                            </w:rPr>
                            <w:t>عبور نهر الأردن</w:t>
                          </w:r>
                          <w:r>
                            <w:rPr>
                              <w:color w:val="000000"/>
                              <w:sz w:val="28"/>
                              <w:szCs w:val="28"/>
                            </w:rPr>
                            <w:t xml:space="preserve"> </w:t>
                          </w:r>
                        </w:p>
                      </w:txbxContent>
                    </v:textbox>
                  </v:shape>
                  <v:shape id="Text Box 92" o:spid="_x0000_s1054" type="#_x0000_t202" style="position:absolute;left:2072;top:7382;width:1470;height:10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" filled="f" fillcolor="#0c9" stroked="f">
                    <v:textbox>
                      <w:txbxContent>
                        <w:p w14:paraId="07A12BAE" w14:textId="77777777" w:rsidR="006A7C83" w:rsidRDefault="006A7C83" w:rsidP="006A7C83">
                          <w:pPr>
                            <w:autoSpaceDE w:val="0"/>
                            <w:autoSpaceDN w:val="0"/>
                            <w:bidi/>
                            <w:adjustRightInd w:val="0"/>
                            <w:jc w:val="center"/>
                            <w:rPr>
                              <w:color w:val="000000"/>
                              <w:rtl/>
                            </w:rPr>
                          </w:pPr>
                          <w:r>
                            <w:rPr>
                              <w:rFonts w:hint="cs"/>
                              <w:color w:val="000000"/>
                              <w:rtl/>
                            </w:rPr>
                            <w:t xml:space="preserve">التحضيرات الروحية الأخيرة </w:t>
                          </w:r>
                          <w:r>
                            <w:rPr>
                              <w:color w:val="000000"/>
                            </w:rPr>
                            <w:t xml:space="preserve"> </w:t>
                          </w:r>
                        </w:p>
                      </w:txbxContent>
                    </v:textbox>
                  </v:shape>
                  <v:shape id="Text Box 93" o:spid="_x0000_s1055" type="#_x0000_t202" style="position:absolute;left:8563;top:9310;width:964;height:1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" filled="f" fillcolor="#0c9" stroked="f">
                    <v:textbox>
                      <w:txbxContent>
                        <w:p w14:paraId="48020D16" w14:textId="77777777" w:rsidR="006A7C83" w:rsidRDefault="006A7C83" w:rsidP="006A7C83">
                          <w:pPr>
                            <w:autoSpaceDE w:val="0"/>
                            <w:autoSpaceDN w:val="0"/>
                            <w:bidi/>
                            <w:adjustRightInd w:val="0"/>
                            <w:jc w:val="center"/>
                            <w:rPr>
                              <w:color w:val="000000"/>
                              <w:rtl/>
                            </w:rPr>
                          </w:pPr>
                          <w:r>
                            <w:rPr>
                              <w:color w:val="000000"/>
                              <w:rtl/>
                            </w:rPr>
                            <w:t>الشريعة (الكلمة</w:t>
                          </w:r>
                          <w:r>
                            <w:rPr>
                              <w:rFonts w:hint="cs"/>
                              <w:color w:val="000000"/>
                              <w:rtl/>
                            </w:rPr>
                            <w:t>)</w:t>
                          </w:r>
                        </w:p>
                      </w:txbxContent>
                    </v:textbox>
                  </v:shape>
                  <v:shape id="Text Box 94" o:spid="_x0000_s1056" type="#_x0000_t202" style="position:absolute;left:7247;top:9287;width:1200;height:1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" filled="f" fillcolor="#0c9" stroked="f">
                    <v:textbox>
                      <w:txbxContent>
                        <w:p w14:paraId="13F4579E" w14:textId="77777777" w:rsidR="006A7C83" w:rsidRDefault="006A7C83" w:rsidP="006A7C83">
                          <w:pPr>
                            <w:autoSpaceDE w:val="0"/>
                            <w:autoSpaceDN w:val="0"/>
                            <w:bidi/>
                            <w:adjustRightInd w:val="0"/>
                            <w:jc w:val="center"/>
                            <w:rPr>
                              <w:color w:val="000000"/>
                              <w:rtl/>
                            </w:rPr>
                          </w:pPr>
                          <w:r>
                            <w:rPr>
                              <w:color w:val="000000"/>
                              <w:rtl/>
                            </w:rPr>
                            <w:t>تقرير الجواسيس</w:t>
                          </w:r>
                          <w:r>
                            <w:rPr>
                              <w:color w:val="000000"/>
                            </w:rPr>
                            <w:t xml:space="preserve"> </w:t>
                          </w:r>
                        </w:p>
                      </w:txbxContent>
                    </v:textbox>
                  </v:shape>
                  <v:shape id="Text Box 95" o:spid="_x0000_s1057" type="#_x0000_t202" style="position:absolute;left:5837;top:9122;width:1440;height:1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" filled="f" fillcolor="#0c9" stroked="f">
                    <v:textbox>
                      <w:txbxContent>
                        <w:p w14:paraId="561D2D85" w14:textId="77777777" w:rsidR="006A7C83" w:rsidRDefault="006A7C83" w:rsidP="006A7C83">
                          <w:pPr>
                            <w:autoSpaceDE w:val="0"/>
                            <w:autoSpaceDN w:val="0"/>
                            <w:bidi/>
                            <w:adjustRightInd w:val="0"/>
                            <w:jc w:val="center"/>
                            <w:rPr>
                              <w:color w:val="000000"/>
                              <w:rtl/>
                            </w:rPr>
                          </w:pPr>
                          <w:r>
                            <w:rPr>
                              <w:color w:val="000000"/>
                              <w:rtl/>
                            </w:rPr>
                            <w:t xml:space="preserve">يشوع يقود الشعب عبر نهر الأردن </w:t>
                          </w:r>
                        </w:p>
                      </w:txbxContent>
                    </v:textbox>
                  </v:shape>
                  <v:shape id="Text Box 96" o:spid="_x0000_s1058" type="#_x0000_t202" style="position:absolute;left:4772;top:9482;width:960;height: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" filled="f" fillcolor="#0c9" stroked="f">
                    <v:textbox>
                      <w:txbxContent>
                        <w:p w14:paraId="0F1D1E13" w14:textId="77777777" w:rsidR="006A7C83" w:rsidRDefault="006A7C83" w:rsidP="006A7C83">
                          <w:pPr>
                            <w:autoSpaceDE w:val="0"/>
                            <w:autoSpaceDN w:val="0"/>
                            <w:bidi/>
                            <w:adjustRightInd w:val="0"/>
                            <w:jc w:val="center"/>
                            <w:rPr>
                              <w:color w:val="000000"/>
                              <w:rtl/>
                            </w:rPr>
                          </w:pPr>
                          <w:r>
                            <w:rPr>
                              <w:color w:val="000000"/>
                              <w:rtl/>
                            </w:rPr>
                            <w:t>العمود</w:t>
                          </w:r>
                          <w:r>
                            <w:rPr>
                              <w:color w:val="000000"/>
                            </w:rPr>
                            <w:t xml:space="preserve"> </w:t>
                          </w:r>
                        </w:p>
                      </w:txbxContent>
                    </v:textbox>
                  </v:shape>
                  <v:shape id="Text Box 97" o:spid="_x0000_s1059" type="#_x0000_t202" style="position:absolute;left:3287;top:9317;width:1200;height:10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" filled="f" fillcolor="#0c9" stroked="f">
                    <v:textbox>
                      <w:txbxContent>
                        <w:p w14:paraId="7FF5C91A" w14:textId="77777777" w:rsidR="006A7C83" w:rsidRDefault="006A7C83" w:rsidP="006A7C83">
                          <w:pPr>
                            <w:autoSpaceDE w:val="0"/>
                            <w:autoSpaceDN w:val="0"/>
                            <w:bidi/>
                            <w:adjustRightInd w:val="0"/>
                            <w:jc w:val="center"/>
                            <w:rPr>
                              <w:color w:val="000000"/>
                              <w:rtl/>
                            </w:rPr>
                          </w:pPr>
                          <w:r>
                            <w:rPr>
                              <w:rFonts w:hint="cs"/>
                              <w:color w:val="000000"/>
                              <w:rtl/>
                            </w:rPr>
                            <w:t>طقوس</w:t>
                          </w:r>
                          <w:r>
                            <w:rPr>
                              <w:color w:val="000000"/>
                              <w:rtl/>
                            </w:rPr>
                            <w:t xml:space="preserve"> ومواجهة</w:t>
                          </w:r>
                          <w:r>
                            <w:rPr>
                              <w:color w:val="000000"/>
                            </w:rPr>
                            <w:t xml:space="preserve"> </w:t>
                          </w:r>
                        </w:p>
                      </w:txbxContent>
                    </v:textbox>
                  </v:shape>
                  <v:shape id="Text Box 98" o:spid="_x0000_s1060" type="#_x0000_t202" style="position:absolute;left:8372;top:10352;width:1215;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" filled="f" fillcolor="#0c9" stroked="f">
                    <v:textbox>
                      <w:txbxContent>
                        <w:p w14:paraId="560B7B09" w14:textId="77777777" w:rsidR="006A7C83" w:rsidRDefault="006A7C83" w:rsidP="006A7C83">
                          <w:pPr>
                            <w:autoSpaceDE w:val="0"/>
                            <w:autoSpaceDN w:val="0"/>
                            <w:bidi/>
                            <w:adjustRightInd w:val="0"/>
                            <w:jc w:val="center"/>
                            <w:rPr>
                              <w:color w:val="000000"/>
                              <w:rtl/>
                            </w:rPr>
                          </w:pPr>
                          <w:r>
                            <w:rPr>
                              <w:color w:val="000000"/>
                              <w:rtl/>
                            </w:rPr>
                            <w:t>تعزيز القدرة القيادية ليشوع الذي يطيع كلمة الله</w:t>
                          </w:r>
                          <w:r>
                            <w:rPr>
                              <w:color w:val="000000"/>
                            </w:rPr>
                            <w:t xml:space="preserve"> </w:t>
                          </w:r>
                        </w:p>
                      </w:txbxContent>
                    </v:textbox>
                  </v:shape>
                  <v:shape id="Text Box 99" o:spid="_x0000_s1061" type="#_x0000_t202" style="position:absolute;left:7292;top:10487;width:1080;height:1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" filled="f" fillcolor="#0c9" stroked="f">
                    <v:textbox>
                      <w:txbxContent>
                        <w:p w14:paraId="5872FFC8" w14:textId="77777777" w:rsidR="006A7C83" w:rsidRDefault="006A7C83" w:rsidP="006A7C83">
                          <w:pPr>
                            <w:autoSpaceDE w:val="0"/>
                            <w:autoSpaceDN w:val="0"/>
                            <w:bidi/>
                            <w:adjustRightInd w:val="0"/>
                            <w:jc w:val="center"/>
                            <w:rPr>
                              <w:color w:val="000000"/>
                              <w:rtl/>
                            </w:rPr>
                          </w:pPr>
                          <w:r>
                            <w:rPr>
                              <w:color w:val="000000"/>
                              <w:rtl/>
                            </w:rPr>
                            <w:t>رفع الروح المعنوية لدى إسرائيل</w:t>
                          </w:r>
                          <w:r>
                            <w:rPr>
                              <w:color w:val="000000"/>
                            </w:rPr>
                            <w:t xml:space="preserve"> </w:t>
                          </w:r>
                        </w:p>
                      </w:txbxContent>
                    </v:textbox>
                  </v:shape>
                  <v:shape id="Text Box 100" o:spid="_x0000_s1062" type="#_x0000_t202" style="position:absolute;left:6107;top:10622;width:960;height:1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" filled="f" fillcolor="#0c9" stroked="f">
                    <v:textbox>
                      <w:txbxContent>
                        <w:p w14:paraId="71D9D31A" w14:textId="77777777" w:rsidR="006A7C83" w:rsidRDefault="006A7C83" w:rsidP="006A7C83">
                          <w:pPr>
                            <w:autoSpaceDE w:val="0"/>
                            <w:autoSpaceDN w:val="0"/>
                            <w:bidi/>
                            <w:adjustRightInd w:val="0"/>
                            <w:jc w:val="center"/>
                            <w:rPr>
                              <w:color w:val="000000"/>
                              <w:rtl/>
                            </w:rPr>
                          </w:pPr>
                          <w:r>
                            <w:rPr>
                              <w:color w:val="000000"/>
                              <w:rtl/>
                            </w:rPr>
                            <w:t>ترسيخ قيادة يشوع</w:t>
                          </w:r>
                          <w:r>
                            <w:rPr>
                              <w:color w:val="000000"/>
                            </w:rPr>
                            <w:t xml:space="preserve"> </w:t>
                          </w:r>
                        </w:p>
                      </w:txbxContent>
                    </v:textbox>
                  </v:shape>
                  <v:shape id="Text Box 101" o:spid="_x0000_s1063" type="#_x0000_t202" style="position:absolute;left:4727;top:10427;width:1080;height: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" filled="f" fillcolor="#0c9" stroked="f">
                    <v:textbox>
                      <w:txbxContent>
                        <w:p w14:paraId="1422ED55" w14:textId="77777777" w:rsidR="006A7C83" w:rsidRDefault="006A7C83" w:rsidP="006A7C83">
                          <w:pPr>
                            <w:autoSpaceDE w:val="0"/>
                            <w:autoSpaceDN w:val="0"/>
                            <w:bidi/>
                            <w:adjustRightInd w:val="0"/>
                            <w:jc w:val="center"/>
                            <w:rPr>
                              <w:color w:val="000000"/>
                              <w:rtl/>
                            </w:rPr>
                          </w:pPr>
                          <w:r>
                            <w:rPr>
                              <w:color w:val="000000"/>
                              <w:rtl/>
                            </w:rPr>
                            <w:t>تذكير بما سبق أن فعله الله</w:t>
                          </w:r>
                          <w:r>
                            <w:rPr>
                              <w:color w:val="000000"/>
                            </w:rPr>
                            <w:t xml:space="preserve"> </w:t>
                          </w:r>
                        </w:p>
                      </w:txbxContent>
                    </v:textbox>
                  </v:shape>
                  <v:shape id="Text Box 102" o:spid="_x0000_s1064" type="#_x0000_t202" style="position:absolute;left:3362;top:10622;width:1080;height:1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" filled="f" fillcolor="#0c9" stroked="f">
                    <v:textbox>
                      <w:txbxContent>
                        <w:p w14:paraId="27F53BDC" w14:textId="77777777" w:rsidR="006A7C83" w:rsidRDefault="006A7C83" w:rsidP="006A7C83">
                          <w:pPr>
                            <w:autoSpaceDE w:val="0"/>
                            <w:autoSpaceDN w:val="0"/>
                            <w:bidi/>
                            <w:adjustRightInd w:val="0"/>
                            <w:jc w:val="center"/>
                            <w:rPr>
                              <w:color w:val="000000"/>
                              <w:rtl/>
                            </w:rPr>
                          </w:pPr>
                          <w:r>
                            <w:rPr>
                              <w:color w:val="000000"/>
                              <w:rtl/>
                            </w:rPr>
                            <w:t>تركيز إيمانهم على يهوه</w:t>
                          </w:r>
                          <w:r>
                            <w:rPr>
                              <w:color w:val="000000"/>
                            </w:rPr>
                            <w:t xml:space="preserve"> </w:t>
                          </w:r>
                        </w:p>
                      </w:txbxContent>
                    </v:textbox>
                  </v:shape>
                </v:group>
              </v:group>
            </w:pict>
          </mc:Fallback>
        </mc:AlternateContent>
      </w:r>
    </w:p>
    <w:p w14:paraId="29ECB32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78A20D86"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7BEDC18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6B25DE4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26CC8D2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1050D34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07C66C7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623CD080"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5217973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6E10F53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1B9C2FD3" w14:textId="236F5129" w:rsidR="006A7C83" w:rsidRPr="006A7C83" w:rsidRDefault="00E83954"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r>
        <w:rPr>
          <w:rFonts w:eastAsia="Times New Roman" w:cs="DecoType Naskh"/>
          <w:noProof/>
          <w:color w:val="auto"/>
          <w:kern w:val="0"/>
          <w:sz w:val="18"/>
          <w:szCs w:val="20"/>
          <w:rtl/>
          <w:lang w:val="ar-SA" w:eastAsia="ar-SA"/>
          <w14:ligatures w14:val="none"/>
        </w:rPr>
        <mc:AlternateContent>
          <mc:Choice Requires="wps">
            <w:drawing>
              <wp:anchor distT="0" distB="0" distL="114300" distR="114300" simplePos="0" relativeHeight="251665408" behindDoc="0" locked="0" layoutInCell="1" allowOverlap="1" wp14:anchorId="6372E538" wp14:editId="1A3CA414">
                <wp:simplePos x="0" y="0"/>
                <wp:positionH relativeFrom="column">
                  <wp:posOffset>1219200</wp:posOffset>
                </wp:positionH>
                <wp:positionV relativeFrom="paragraph">
                  <wp:posOffset>120650</wp:posOffset>
                </wp:positionV>
                <wp:extent cx="4419600" cy="0"/>
                <wp:effectExtent l="9525" t="9525" r="9525" b="9525"/>
                <wp:wrapNone/>
                <wp:docPr id="7"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419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CF62E8" id="Line 64"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6pt,9.5pt" to="44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"/>
            </w:pict>
          </mc:Fallback>
        </mc:AlternateContent>
      </w:r>
    </w:p>
    <w:p w14:paraId="51E37A68"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14:ligatures w14:val="none"/>
        </w:rPr>
      </w:pPr>
    </w:p>
    <w:p w14:paraId="1EDBCFEF" w14:textId="7777777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1</w:t>
      </w:r>
    </w:p>
    <w:p w14:paraId="79E924C2" w14:textId="7777777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w:t>
      </w:r>
      <w:r w:rsidRPr="006A7C83">
        <w:rPr>
          <w:rFonts w:eastAsia="Times New Roman" w:cs="DecoType Naskh" w:hint="cs"/>
          <w:color w:val="auto"/>
          <w:kern w:val="0"/>
          <w:szCs w:val="26"/>
          <w:rtl/>
          <w:lang w:bidi="ar-JO"/>
          <w14:ligatures w14:val="none"/>
        </w:rPr>
        <w:tab/>
        <w:t xml:space="preserve">الأمر بالحرب (الإصحاح 1) </w:t>
      </w:r>
    </w:p>
    <w:p w14:paraId="003424C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أ.</w:t>
      </w:r>
      <w:r w:rsidRPr="006A7C83">
        <w:rPr>
          <w:rFonts w:eastAsia="Times New Roman" w:cs="DecoType Naskh" w:hint="cs"/>
          <w:color w:val="auto"/>
          <w:kern w:val="0"/>
          <w:szCs w:val="26"/>
          <w:rtl/>
          <w:lang w:bidi="ar-JO"/>
          <w14:ligatures w14:val="none"/>
        </w:rPr>
        <w:tab/>
        <w:t xml:space="preserve">إعطاء يهوه الأمر ليشوع (1: 1-9) </w:t>
      </w:r>
    </w:p>
    <w:p w14:paraId="6B74D64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اختير يشوع وأعطي مسؤولية مزدوجة: (1) أن يكون القائد، ذاك الذي سيأخذ المبادرة بقيادة الشعب في الفتح، و(2) بالخدمة كموزّع للأرض (وهو يبدأ بعمل هذا في 13: 7).</w:t>
      </w:r>
    </w:p>
    <w:p w14:paraId="7C4CC9F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سبق أن حدّد يهوه أبعاد الأرض المخوَّلة للشعب (انظر تكوين 15: 18؛ خروج 23: 27؛ تثنية 1: 7-8)، غير أن هنالك مبدأ مرسَّخاً في يشوع 1: 3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w:t>
      </w:r>
      <w:r w:rsidRPr="006A7C83">
        <w:rPr>
          <w:rFonts w:eastAsia="Times New Roman" w:cs="DecoType Naskh" w:hint="cs"/>
          <w:i/>
          <w:iCs/>
          <w:color w:val="auto"/>
          <w:kern w:val="0"/>
          <w:szCs w:val="26"/>
          <w:rtl/>
          <w:lang w:bidi="ar-JO"/>
          <w14:ligatures w14:val="none"/>
        </w:rPr>
        <w:t>كل موضع تدوسه بطون أقدامكم أعطيته لكم.</w:t>
      </w:r>
      <w:r w:rsidRPr="006A7C83">
        <w:rPr>
          <w:rFonts w:eastAsia="Times New Roman" w:cs="DecoType Naskh" w:hint="cs"/>
          <w:color w:val="auto"/>
          <w:kern w:val="0"/>
          <w:szCs w:val="26"/>
          <w:rtl/>
          <w:lang w:bidi="ar-JO"/>
          <w14:ligatures w14:val="none"/>
        </w:rPr>
        <w:t xml:space="preserve">" وهكذا فإنه يوجد شرط، ألا وهو </w:t>
      </w:r>
      <w:r w:rsidRPr="006A7C83">
        <w:rPr>
          <w:rFonts w:eastAsia="Times New Roman" w:cs="DecoType Naskh" w:hint="cs"/>
          <w:color w:val="auto"/>
          <w:kern w:val="0"/>
          <w:szCs w:val="26"/>
          <w:u w:val="single"/>
          <w:rtl/>
          <w:lang w:bidi="ar-JO"/>
          <w14:ligatures w14:val="none"/>
        </w:rPr>
        <w:t>السير</w:t>
      </w:r>
      <w:r w:rsidRPr="006A7C83">
        <w:rPr>
          <w:rFonts w:eastAsia="Times New Roman" w:cs="DecoType Naskh" w:hint="cs"/>
          <w:color w:val="auto"/>
          <w:kern w:val="0"/>
          <w:szCs w:val="26"/>
          <w:rtl/>
          <w:lang w:bidi="ar-JO"/>
          <w14:ligatures w14:val="none"/>
        </w:rPr>
        <w:t>.  وعلاقة الوعد بالشرط هي أن الله يستخدم طاعة الشعب لكي يحقق وعده.  وينطبق نفس الأمر على المؤمنين بالمسيح اليوم، مُعظم المؤمنين يقصِّرون كثيراً عن الوصول إلى النصر الروحي الذي جعله الله ممكناً الآن في المسيح.  نحن لا نتملك إلاّ ما نحصل عليه بالإيمان.</w:t>
      </w:r>
    </w:p>
    <w:p w14:paraId="28ECFA1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تشتهر هذه الفقرة (خاصّة الآيتان 7-8) بتركيزهما على طاعة كلمة الله.  فلن يكون أي غياب للنجاح بسبب خذلان الله ليشوع، لكن يمكن أن يفوّت يشوع النجاح إذ لم يكن حريصاً على فعل كل شيء حسب كلمة الله (وتقدّم خطية عخان في الأصحاح السابع إثباتاً على صحّة هذا المبدأ).  وسيتضح هذا الحصن بأسمى طريقة في حياة يسوع (على الرغم من أنها تظل مثالاً لنا).  ولا يمكننا أن نحقق أهدافاً في الحياة المسيحية إلاّ إذا كنّا مكرّسين لعمل إرادة الله ولكلمة الله.  يقول آلان رالف:</w:t>
      </w:r>
    </w:p>
    <w:p w14:paraId="2643642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 w:val="30"/>
          <w:szCs w:val="28"/>
          <w:rtl/>
          <w:lang w:bidi="ar-KW"/>
          <w14:ligatures w14:val="none"/>
        </w:rPr>
      </w:pPr>
      <w:r w:rsidRPr="006A7C83">
        <w:rPr>
          <w:rFonts w:eastAsia="Times New Roman" w:cs="DecoType Naskh" w:hint="cs"/>
          <w:color w:val="auto"/>
          <w:kern w:val="0"/>
          <w:szCs w:val="26"/>
          <w:rtl/>
          <w:lang w:bidi="ar-JO"/>
          <w14:ligatures w14:val="none"/>
        </w:rPr>
        <w:t>ليست لدي وصفة سحرية للقداسة؛ لا يوجد لدي علاج خارق مشعوذ أقدّمه لكم؛ لا توجد طريق مختصرة للقوة الروحية أقدّمها لأي منكم.  فكل ما يمكنني أن أقوله لكم هو: ارجعوا إلى كتابكم المقدّس؛ إلهجوا به وتأملوه نهاراً وليلاً، وانطرحوا على وجوهكم أمام الله في الصلاة.  فأعظم التحوّلات التي يمكن أن يختبرها إنسان موجودة، لا داخل كنيسة، بل خلف أبواب مغلقة.</w:t>
      </w:r>
      <w:r w:rsidRPr="006A7C83">
        <w:rPr>
          <w:rFonts w:eastAsia="Times New Roman" w:cs="DecoType Naskh"/>
          <w:color w:val="auto"/>
          <w:kern w:val="0"/>
          <w:sz w:val="30"/>
          <w:szCs w:val="28"/>
          <w:vertAlign w:val="superscript"/>
          <w:rtl/>
          <w:lang w:bidi="ar-JO"/>
          <w14:ligatures w14:val="none"/>
        </w:rPr>
        <w:footnoteReference w:customMarkFollows="1" w:id="148"/>
        <w:t>7</w:t>
      </w:r>
    </w:p>
    <w:p w14:paraId="0266FD0D"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p>
    <w:p w14:paraId="4406820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lastRenderedPageBreak/>
        <w:t>ب.</w:t>
      </w:r>
      <w:r w:rsidRPr="006A7C83">
        <w:rPr>
          <w:rFonts w:eastAsia="Times New Roman" w:cs="DecoType Naskh" w:hint="cs"/>
          <w:color w:val="auto"/>
          <w:kern w:val="0"/>
          <w:szCs w:val="26"/>
          <w:rtl/>
          <w:lang w:bidi="ar-JO"/>
          <w14:ligatures w14:val="none"/>
        </w:rPr>
        <w:tab/>
        <w:t>توجيه يشوع أمره للشعب (1: 10-18)</w:t>
      </w:r>
    </w:p>
    <w:p w14:paraId="48B67FF6"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في هذا القسم حُشد الشعب الذي يتجاوز عدده مليوني شخص وجُعلوا في حالة تأهّب.  لنلاحظ العناصر المتضمنة في روح التكريس والتعاون لديهم (1: 16- 18): (1) الطاعة، (2) الإيمان والرجاء ، (3) عدم التسامح مع الخطية، (4) الدعم بالتشجيع.  يجب أن يقضي شعب الله وقتاً في الاستعداد، ويجب أن يتجاوبوا بروح مطيعة، ويجب أن يكونوا واثقين بقائدهم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الرب يسوع المسيح.</w:t>
      </w:r>
    </w:p>
    <w:p w14:paraId="1C57ED2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 w:val="12"/>
          <w:szCs w:val="14"/>
          <w:rtl/>
          <w:lang w:bidi="ar-JO"/>
          <w14:ligatures w14:val="none"/>
        </w:rPr>
      </w:pPr>
    </w:p>
    <w:p w14:paraId="74323434" w14:textId="7777777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2.</w:t>
      </w:r>
      <w:r w:rsidRPr="006A7C83">
        <w:rPr>
          <w:rFonts w:eastAsia="Times New Roman" w:cs="DecoType Naskh" w:hint="cs"/>
          <w:color w:val="auto"/>
          <w:kern w:val="0"/>
          <w:szCs w:val="26"/>
          <w:rtl/>
          <w:lang w:bidi="ar-JO"/>
          <w14:ligatures w14:val="none"/>
        </w:rPr>
        <w:tab/>
        <w:t>استطلاع أريحا (الأصحاح 2)</w:t>
      </w:r>
    </w:p>
    <w:p w14:paraId="4509A7D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يتركّز هذا الأصحاح حول راحاب الزانية.  فعلى الرغم من أن هذه المرأة لا تستحق عطف الله وكرمه (كما هو حالنا جميعاً)، فإنها تصبح صورة متميّزة للإيمان (انظر يعقوب 2).  وفضلاً عن ذلك، فإنها مذكورة في النسل المسيّاني (انظر راعوث 4؛               متى 1).  ويكشف هذا الأصحاح أيضاً الموقف الحقيقي لسكان الأرض: إنهم خائفون من بني إسرائيل لأن الله يهوه معهم                (2: 9-11).  وترتفع الروح المعنوية لدى بني إسرائيل حين يدركون هذا.  يجب أن يدرك المؤمنون الشباب بالمسيح اليوم نعمة الله الرائعة المتاحة لأشرّ الخطاة؛ ومن الواضح أننا نخلص بالإيمان وحده! ولا يتوجب علينا أن نخشى أعداءنا الروحيين، لأننا الآن نقف في صف المسيح، ومن شأن هذا أن يوقع الرعب في قلب كل الأرواح الشريرة (انظر يوحنا 4: 4).</w:t>
      </w:r>
    </w:p>
    <w:p w14:paraId="1E782A16"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لنلاحظ تقرير الجاسوسين في 2: 24: "إن الرب قد دفع بيدنا الأرض كلها، وقد ذاب كل سكّان الأرض بسببنا..." ويتوجب علينا أن نقابل هذا مع تقرير معظم الجواسيس في قادش برنيع (عدد 13: 31).</w:t>
      </w:r>
    </w:p>
    <w:p w14:paraId="02F35F1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12"/>
          <w:szCs w:val="14"/>
          <w:rtl/>
          <w:lang w:bidi="ar-JO"/>
          <w14:ligatures w14:val="none"/>
        </w:rPr>
      </w:pPr>
    </w:p>
    <w:p w14:paraId="4D92D72E" w14:textId="7777777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3.</w:t>
      </w:r>
      <w:r w:rsidRPr="006A7C83">
        <w:rPr>
          <w:rFonts w:eastAsia="Times New Roman" w:cs="DecoType Naskh" w:hint="cs"/>
          <w:color w:val="auto"/>
          <w:kern w:val="0"/>
          <w:szCs w:val="26"/>
          <w:rtl/>
          <w:lang w:bidi="ar-JO"/>
          <w14:ligatures w14:val="none"/>
        </w:rPr>
        <w:tab/>
        <w:t>عبور معجزي لنهر الأردن (3: 1-5: 1)</w:t>
      </w:r>
    </w:p>
    <w:p w14:paraId="1555EEE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يتحدّث الأصحاح الثالث عن قيادة يشوع الواثقة للشعب إلى نهر الأردن حيث يفلق الله الماء (وهذا حدث موازٍ للخروج من مصر).  ويبدو أن الفكرة تتركز حول ترسيخ قيادة يشوع أمام شعب الله (انظر 3: 7).  وعلى الرغم من أن الله وعد بأنه سيعظم يشوع، إلاّ أن يشوع يوصل الفكرة التالية للشعب في 3: 10، "بهذا تعلمون الله حي في وسطكم..." ولم يذكر يشوع للشعب شيئاً عن وعد الله بتعظيمه؛ فلم يكن ذلك ضرورياً؛ وهو لا يكون ضرورياً أبداً عند رجل متواضع.  فدورنا أن نركّز على إعطاء المجد لله، ودوره هو أن يعظّم من يريد.  وعندما نسعى إلى تعظيم أنفسنا، فإن مجازاتنا لا تكون أبداً مفرحة بنفس القدر!</w:t>
      </w:r>
    </w:p>
    <w:p w14:paraId="1CBB1A0B"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12"/>
          <w:szCs w:val="14"/>
          <w:rtl/>
          <w:lang w:bidi="ar-JO"/>
          <w14:ligatures w14:val="none"/>
        </w:rPr>
      </w:pPr>
    </w:p>
    <w:p w14:paraId="50E2D0B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تضمن الجانب الثاني من عبور نهر الأردن وضع حجارة تذكارية (الأصحاح 4) نُصبت من أجل إحياء ذكرى العبور المعجزي.  لم يساعد هذا الأمر بني إسرائيل على تذكّر ما فعله الله من أجلهم فحسب، لكنه سيكون أيضاً وسيلة للشهادة لأبنائهم من أجل إدامة إيمانهم (4: 21)، ولشعوب الأرض الأخرى أيضاً (4: 24).</w:t>
      </w:r>
    </w:p>
    <w:p w14:paraId="286DE99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12"/>
          <w:szCs w:val="14"/>
          <w:rtl/>
          <w:lang w:bidi="ar-JO"/>
          <w14:ligatures w14:val="none"/>
        </w:rPr>
      </w:pPr>
    </w:p>
    <w:p w14:paraId="1BA6983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لا شك أن عبور نهر الأردن كان معجزة.  تخبرنا يشوع 4: 19 أن هذا تم في "الشهر الأول"، أي في آذار-نيسان.  فكان هذا في الربيع عندما وصل منسوب المياه إلى ذروته.  وقد كانت هنالك حاجة حقيقية إلى معجزة لعبور النهر في ذلك الوقت من السنة.  وقد شق الله بالفعل مياه نهر الأردن لكي يعبروا.  لكن لنلاحظ أنه لم يدبّر لهم وسيلة للرجوع.  فالله مستعد دائماً أن يقودنا إلى الأمام   وأن يدبّر حلاًّ لكل عائق نواجهه.  يوضح د. دون كامبل:</w:t>
      </w:r>
    </w:p>
    <w:p w14:paraId="612AAB28"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 w:val="30"/>
          <w:szCs w:val="28"/>
          <w:rtl/>
          <w:lang w:bidi="ar-JO"/>
          <w14:ligatures w14:val="none"/>
        </w:rPr>
      </w:pPr>
      <w:r w:rsidRPr="006A7C83">
        <w:rPr>
          <w:rFonts w:eastAsia="Times New Roman" w:cs="DecoType Naskh" w:hint="cs"/>
          <w:color w:val="auto"/>
          <w:kern w:val="0"/>
          <w:szCs w:val="26"/>
          <w:rtl/>
          <w:lang w:bidi="ar-JO"/>
          <w14:ligatures w14:val="none"/>
        </w:rPr>
        <w:t>يوجد معنى رمزي لعبور نهر الأردن للمؤمنين بالمسيح اليوم، ألا وهو العبور من مستوى إلى مستوى آخر من الحياة المسيحية.  إنه صورة للدخول في حرب روحية للحصول على ما وعد به الله.  ويجب أن يعني أيضاً نهاية الحياة التي عاشها المؤمن حسب مبدأ الجهد البشري وبداية لحياة يعيشها وفق مبدأي الإيمان والطاعة.</w:t>
      </w:r>
      <w:r w:rsidRPr="006A7C83">
        <w:rPr>
          <w:rFonts w:eastAsia="Times New Roman" w:cs="DecoType Naskh"/>
          <w:color w:val="auto"/>
          <w:kern w:val="0"/>
          <w:sz w:val="30"/>
          <w:szCs w:val="28"/>
          <w:vertAlign w:val="superscript"/>
          <w:rtl/>
          <w:lang w:bidi="ar-JO"/>
          <w14:ligatures w14:val="none"/>
        </w:rPr>
        <w:footnoteReference w:customMarkFollows="1" w:id="149"/>
        <w:t>8</w:t>
      </w:r>
    </w:p>
    <w:p w14:paraId="3CF4FF50" w14:textId="7777777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4.</w:t>
      </w:r>
      <w:r w:rsidRPr="006A7C83">
        <w:rPr>
          <w:rFonts w:eastAsia="Times New Roman" w:cs="DecoType Naskh" w:hint="cs"/>
          <w:color w:val="auto"/>
          <w:kern w:val="0"/>
          <w:szCs w:val="26"/>
          <w:rtl/>
          <w:lang w:bidi="ar-JO"/>
          <w14:ligatures w14:val="none"/>
        </w:rPr>
        <w:tab/>
        <w:t>تحضيرات روحية أخيرة (5: 2-12)</w:t>
      </w:r>
    </w:p>
    <w:p w14:paraId="1DF37B7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lastRenderedPageBreak/>
        <w:t>مع عبور نهر الأردن، كان بنو إسرائيل على الأرجح متلهّفين على بدء الفتح فوراً.  لكن لم تكن هذه هي خطة الله.  فهو ليس في عجلة من أمره أبداً، على الرغم من أن أبناءه المؤمنين هم كذلك أحياناً.  لم تكن إسرائيل، من وجهة نظر الله مستعدة للقتال بعد.  فكان الإعداد الروحي هاماً جدّاً، أكثر بكثير من كل الجوانب المادية؛ إذ يجب أن يسبق التكريسُ الفتح!</w:t>
      </w:r>
    </w:p>
    <w:p w14:paraId="20D4C1E0"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1D1E7DF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ساعدت أحداث هذا الفصل الشعب (بمن فيهم يشوع) على تركيز إيمانهم على يهوه.  وكان بنو إسرائيل قد تركوا ممارسة الختان أثناء سنوات البريّة.  لكن كان على الشعب الآن أن يشهدوا لإيمانهم للعهد مع يهوه بممارسة الختان.  وفضلاً عن ذلك، كانت هنالك معانٍ روحية ذكّرهم بها طقس الختان.  كان عليهم، بصفتهم حملة العهد، أن يحيوا حياة قداسة وخضوع للرب (تثنية 10: 16) يقول ميريل:</w:t>
      </w:r>
    </w:p>
    <w:p w14:paraId="35D2A95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 w:val="28"/>
          <w:szCs w:val="28"/>
          <w:rtl/>
          <w:lang w:bidi="ar-JO"/>
          <w14:ligatures w14:val="none"/>
        </w:rPr>
      </w:pPr>
      <w:r w:rsidRPr="006A7C83">
        <w:rPr>
          <w:rFonts w:eastAsia="Times New Roman" w:cs="DecoType Naskh" w:hint="cs"/>
          <w:color w:val="auto"/>
          <w:kern w:val="0"/>
          <w:szCs w:val="26"/>
          <w:rtl/>
          <w:lang w:bidi="ar-JO"/>
          <w14:ligatures w14:val="none"/>
        </w:rPr>
        <w:t xml:space="preserve">صرّحت كل هذه الأمور- الختان، الفصح، وظهور الله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بشكل مؤكِّد أن إسرائيل الفتح هي نفسها إسرائيل الخروج.  فالله الذي سبق أن أنقذ شعبه من مصر سينقذهم الآن في كنعان.</w:t>
      </w:r>
      <w:r w:rsidRPr="006A7C83">
        <w:rPr>
          <w:rFonts w:eastAsia="Times New Roman" w:cs="DecoType Naskh"/>
          <w:color w:val="auto"/>
          <w:kern w:val="0"/>
          <w:sz w:val="28"/>
          <w:szCs w:val="28"/>
          <w:vertAlign w:val="superscript"/>
          <w:rtl/>
          <w:lang w:bidi="ar-JO"/>
          <w14:ligatures w14:val="none"/>
        </w:rPr>
        <w:footnoteReference w:customMarkFollows="1" w:id="150"/>
        <w:t>9</w:t>
      </w:r>
    </w:p>
    <w:p w14:paraId="6DB8700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12"/>
          <w:szCs w:val="14"/>
          <w:rtl/>
          <w:lang w:bidi="ar-JO"/>
          <w14:ligatures w14:val="none"/>
        </w:rPr>
      </w:pPr>
    </w:p>
    <w:p w14:paraId="57AEF0E5"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9.</w:t>
      </w:r>
      <w:r w:rsidRPr="006A7C83">
        <w:rPr>
          <w:rFonts w:eastAsia="Times New Roman" w:cs="DecoType Naskh" w:hint="cs"/>
          <w:bCs/>
          <w:color w:val="auto"/>
          <w:kern w:val="0"/>
          <w:szCs w:val="28"/>
          <w:rtl/>
          <w:lang w:bidi="ar-JO"/>
          <w14:ligatures w14:val="none"/>
        </w:rPr>
        <w:tab/>
        <w:t>الحملات الحربية (يشوع 5: 13-12: 24)</w:t>
      </w:r>
    </w:p>
    <w:p w14:paraId="6D5C631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28"/>
          <w:szCs w:val="28"/>
          <w:rtl/>
          <w:lang w:bidi="ar-JO"/>
          <w14:ligatures w14:val="none"/>
        </w:rPr>
      </w:pPr>
      <w:r w:rsidRPr="006A7C83">
        <w:rPr>
          <w:rFonts w:eastAsia="Times New Roman" w:cs="DecoType Naskh" w:hint="cs"/>
          <w:color w:val="auto"/>
          <w:kern w:val="0"/>
          <w:szCs w:val="26"/>
          <w:rtl/>
          <w:lang w:bidi="ar-JO"/>
          <w14:ligatures w14:val="none"/>
        </w:rPr>
        <w:t>الفكرة الرئيسية في هذه الأصحاحات هي النجاح.  ويُقطع مشهد الفتح مرّتين بشكل كبير: (1) حيث تتعلم إسرائيل من عصيانها في عاي، و(2) حيث يُسمح للعبرانيين بأن يؤخذوا بخديعة الجبعونيين نتيجة لإهمالهم مشورة يهوه.  تنقسم عمليات الفتح على هذا الجانب من نهر الأردن إلى ثلاث حملات كبيرة: الحملة الوسطى، والحملة الجنوبية والحملة الشمالية.</w:t>
      </w:r>
      <w:r w:rsidRPr="006A7C83">
        <w:rPr>
          <w:rFonts w:eastAsia="Times New Roman" w:cs="DecoType Naskh"/>
          <w:color w:val="auto"/>
          <w:kern w:val="0"/>
          <w:sz w:val="28"/>
          <w:szCs w:val="28"/>
          <w:vertAlign w:val="superscript"/>
          <w:rtl/>
          <w:lang w:bidi="ar-JO"/>
          <w14:ligatures w14:val="none"/>
        </w:rPr>
        <w:footnoteReference w:customMarkFollows="1" w:id="151"/>
        <w:t>10</w:t>
      </w:r>
    </w:p>
    <w:p w14:paraId="0C53859D"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12"/>
          <w:szCs w:val="14"/>
          <w:rtl/>
          <w:lang w:bidi="ar-JO"/>
          <w14:ligatures w14:val="none"/>
        </w:rPr>
      </w:pPr>
    </w:p>
    <w:p w14:paraId="7B399A7E" w14:textId="77777777" w:rsidR="006A7C83" w:rsidRPr="006A7C83" w:rsidRDefault="006A7C83" w:rsidP="002D6C54">
      <w:pPr>
        <w:tabs>
          <w:tab w:val="left" w:pos="454"/>
        </w:tabs>
        <w:bidi/>
        <w:spacing w:after="60" w:line="240" w:lineRule="auto"/>
        <w:ind w:left="550" w:hanging="550"/>
        <w:jc w:val="both"/>
        <w:rPr>
          <w:rFonts w:eastAsia="Times New Roman" w:cs="DecoType Naskh"/>
          <w:b/>
          <w:color w:val="auto"/>
          <w:kern w:val="0"/>
          <w:szCs w:val="26"/>
          <w:rtl/>
          <w14:ligatures w14:val="none"/>
        </w:rPr>
      </w:pPr>
      <w:r w:rsidRPr="006A7C83">
        <w:rPr>
          <w:rFonts w:eastAsia="Times New Roman" w:cs="DecoType Naskh" w:hint="cs"/>
          <w:b/>
          <w:color w:val="auto"/>
          <w:kern w:val="0"/>
          <w:szCs w:val="26"/>
          <w:rtl/>
          <w14:ligatures w14:val="none"/>
        </w:rPr>
        <w:t>أ.</w:t>
      </w:r>
      <w:r w:rsidRPr="006A7C83">
        <w:rPr>
          <w:rFonts w:eastAsia="Times New Roman" w:cs="DecoType Naskh" w:hint="cs"/>
          <w:b/>
          <w:color w:val="auto"/>
          <w:kern w:val="0"/>
          <w:szCs w:val="26"/>
          <w:rtl/>
          <w14:ligatures w14:val="none"/>
        </w:rPr>
        <w:tab/>
        <w:t>لقاء رئيس جند الرب (يشوع 5: 13-15)</w:t>
      </w:r>
    </w:p>
    <w:p w14:paraId="6BE8D865"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b/>
          <w:color w:val="auto"/>
          <w:kern w:val="0"/>
          <w:szCs w:val="26"/>
          <w:rtl/>
          <w:lang w:bidi="ar-JO"/>
          <w14:ligatures w14:val="none"/>
        </w:rPr>
      </w:pPr>
      <w:r w:rsidRPr="006A7C83">
        <w:rPr>
          <w:rFonts w:eastAsia="Times New Roman" w:cs="DecoType Naskh" w:hint="cs"/>
          <w:color w:val="auto"/>
          <w:kern w:val="0"/>
          <w:szCs w:val="26"/>
          <w:rtl/>
          <w:lang w:bidi="ar-JO"/>
          <w14:ligatures w14:val="none"/>
        </w:rPr>
        <w:t>عندما</w:t>
      </w:r>
      <w:r w:rsidRPr="006A7C83">
        <w:rPr>
          <w:rFonts w:eastAsia="Times New Roman" w:cs="DecoType Naskh" w:hint="cs"/>
          <w:b/>
          <w:color w:val="auto"/>
          <w:kern w:val="0"/>
          <w:szCs w:val="26"/>
          <w:rtl/>
          <w:lang w:bidi="ar-JO"/>
          <w14:ligatures w14:val="none"/>
        </w:rPr>
        <w:t xml:space="preserve"> رأى يشوع رئيس جند الرب، ذُكِّر أيضاً بضرورة تركيز إيمانه على يهوه.  (فلن تكون الثقة بالنفس أو بوسائل الحرب البشرية كافية لمواجهة الحرب القادمة).  ولا نستطيع نحن أيضاً أن نخدم الله دون أن ننظر إليه على أنه قدوس ومنفصل (نظرة خشوع واحترام).  وإن من شأن إدراكنا لحضوره الإلهي المقدّس معنا لكي يحارب معاركنا أن يحدث فرقاً هائلاً في طريقة مواجهتنا </w:t>
      </w:r>
      <w:r w:rsidRPr="006A7C83">
        <w:rPr>
          <w:rFonts w:eastAsia="Times New Roman" w:cs="DecoType Naskh" w:hint="cs"/>
          <w:color w:val="auto"/>
          <w:kern w:val="0"/>
          <w:szCs w:val="26"/>
          <w:rtl/>
          <w:lang w:bidi="ar-JO"/>
          <w14:ligatures w14:val="none"/>
        </w:rPr>
        <w:t>للمشاكل</w:t>
      </w:r>
      <w:r w:rsidRPr="006A7C83">
        <w:rPr>
          <w:rFonts w:eastAsia="Times New Roman" w:cs="DecoType Naskh" w:hint="cs"/>
          <w:b/>
          <w:color w:val="auto"/>
          <w:kern w:val="0"/>
          <w:szCs w:val="26"/>
          <w:rtl/>
          <w:lang w:bidi="ar-JO"/>
          <w14:ligatures w14:val="none"/>
        </w:rPr>
        <w:t>.</w:t>
      </w:r>
    </w:p>
    <w:p w14:paraId="5EC2880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b/>
          <w:color w:val="auto"/>
          <w:kern w:val="0"/>
          <w:szCs w:val="26"/>
          <w:rtl/>
          <w:lang w:bidi="ar-JO"/>
          <w14:ligatures w14:val="none"/>
        </w:rPr>
      </w:pPr>
    </w:p>
    <w:p w14:paraId="67E8B587" w14:textId="77777777" w:rsidR="006A7C83" w:rsidRPr="006A7C83" w:rsidRDefault="006A7C83" w:rsidP="002D6C54">
      <w:pPr>
        <w:tabs>
          <w:tab w:val="left" w:pos="454"/>
        </w:tabs>
        <w:bidi/>
        <w:spacing w:after="60" w:line="240" w:lineRule="auto"/>
        <w:ind w:left="550" w:hanging="550"/>
        <w:jc w:val="both"/>
        <w:rPr>
          <w:rFonts w:eastAsia="Times New Roman" w:cs="DecoType Naskh"/>
          <w:b/>
          <w:color w:val="auto"/>
          <w:kern w:val="0"/>
          <w:szCs w:val="26"/>
          <w:rtl/>
          <w14:ligatures w14:val="none"/>
        </w:rPr>
      </w:pPr>
      <w:r w:rsidRPr="006A7C83">
        <w:rPr>
          <w:rFonts w:eastAsia="Times New Roman" w:cs="DecoType Naskh" w:hint="cs"/>
          <w:b/>
          <w:color w:val="auto"/>
          <w:kern w:val="0"/>
          <w:szCs w:val="26"/>
          <w:rtl/>
          <w14:ligatures w14:val="none"/>
        </w:rPr>
        <w:t>ب.</w:t>
      </w:r>
      <w:r w:rsidRPr="006A7C83">
        <w:rPr>
          <w:rFonts w:eastAsia="Times New Roman" w:cs="DecoType Naskh" w:hint="cs"/>
          <w:b/>
          <w:color w:val="auto"/>
          <w:kern w:val="0"/>
          <w:szCs w:val="26"/>
          <w:rtl/>
          <w14:ligatures w14:val="none"/>
        </w:rPr>
        <w:tab/>
        <w:t>الحملة الوسطى (يشوع 6-9)</w:t>
      </w:r>
    </w:p>
    <w:p w14:paraId="6588DF1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شملت الحملة الوسطى أريحا (تل السلطان) وعاي (موقعها غير مؤكد).  والمقابلة بين هاتين المدينتين أمر مثير للاهتمام: فقد بدت أريحا مستحيلة الفتح، بينما بدت مهمة فتح عاي سهلة.  ولم يكن في مقدور حتّى أريحا القوية أن تقاوم بني العبرانيين وهم في حالة طاعة الرب والاتكال عليه.  أمّا في تعاملهم مع عاي، فقد كانوا متجرّئين بعض الشيء، معتبرين الأمر مفروغاً منه.  وقد حالت خطية عخان بينهم وبين ما بدا أنه نصر سهل.  فقد قيل للعبرانيين أن يمتنعوا عن المحرَّمات (6: 18).</w:t>
      </w:r>
      <w:r w:rsidRPr="006A7C83">
        <w:rPr>
          <w:rFonts w:eastAsia="Times New Roman" w:cs="DecoType Naskh"/>
          <w:color w:val="auto"/>
          <w:kern w:val="0"/>
          <w:sz w:val="28"/>
          <w:szCs w:val="28"/>
          <w:vertAlign w:val="superscript"/>
          <w:rtl/>
          <w:lang w:bidi="ar-JO"/>
          <w14:ligatures w14:val="none"/>
        </w:rPr>
        <w:footnoteReference w:customMarkFollows="1" w:id="152"/>
        <w:t>11</w:t>
      </w:r>
      <w:r w:rsidRPr="006A7C83">
        <w:rPr>
          <w:rFonts w:eastAsia="Times New Roman" w:cs="DecoType Naskh" w:hint="cs"/>
          <w:color w:val="auto"/>
          <w:kern w:val="0"/>
          <w:szCs w:val="26"/>
          <w:rtl/>
          <w:lang w:bidi="ar-JO"/>
          <w14:ligatures w14:val="none"/>
        </w:rPr>
        <w:t xml:space="preserve"> لن يتسامح يهوه مع خطية عخان، لأن العصيان لم يكن طريق النصر: "</w:t>
      </w:r>
      <w:r w:rsidRPr="006A7C83">
        <w:rPr>
          <w:rFonts w:eastAsia="Times New Roman" w:cs="DecoType Naskh" w:hint="cs"/>
          <w:i/>
          <w:iCs/>
          <w:color w:val="auto"/>
          <w:kern w:val="0"/>
          <w:szCs w:val="26"/>
          <w:rtl/>
          <w:lang w:bidi="ar-JO"/>
          <w14:ligatures w14:val="none"/>
        </w:rPr>
        <w:t>فلا تتمكن من الثبوت أمام أعدائك حتى تنزعوا الحرام من وسطكم</w:t>
      </w:r>
      <w:r w:rsidRPr="006A7C83">
        <w:rPr>
          <w:rFonts w:eastAsia="Times New Roman" w:cs="DecoType Naskh" w:hint="cs"/>
          <w:color w:val="auto"/>
          <w:kern w:val="0"/>
          <w:szCs w:val="26"/>
          <w:rtl/>
          <w:lang w:bidi="ar-JO"/>
          <w14:ligatures w14:val="none"/>
        </w:rPr>
        <w:t>" (7: 13).  فهذه أمور تنتمي إلى العالم يجب أن يتركها أبناء الله وشأنها.  يجب أن يتجنبوا طريق عخان: "رأيتُ... اشتهيتُ...وأخذت" (7: 21).  كان لا بد أن يتعامل الله مع الخطية ويزيلها قبل السماح للشعب بأن يكملوا العمل.  انتصروا على أريحا من خلال الإيمان، لكنهم ذاقوا الهزيمة في عاي من خلال الخطية.  غير أنه يمكن تحول الهزيمة إلى انتصار ورَد بعد التعامل مع الخطية بشكل صحيح.</w:t>
      </w:r>
    </w:p>
    <w:p w14:paraId="4EE3A0D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30"/>
          <w:szCs w:val="28"/>
          <w:rtl/>
          <w:lang w:bidi="ar-KW"/>
          <w14:ligatures w14:val="none"/>
        </w:rPr>
      </w:pPr>
      <w:r w:rsidRPr="006A7C83">
        <w:rPr>
          <w:rFonts w:eastAsia="Times New Roman" w:cs="DecoType Naskh" w:hint="cs"/>
          <w:color w:val="auto"/>
          <w:kern w:val="0"/>
          <w:szCs w:val="26"/>
          <w:rtl/>
          <w:lang w:bidi="ar-JO"/>
          <w14:ligatures w14:val="none"/>
        </w:rPr>
        <w:lastRenderedPageBreak/>
        <w:t>بعد هزيمة عاي، قاد يشوع الشعب إلى شكيم حيث بنوا مذبحاً ليهوه على جبل عيبال طاعة للتعليمات التي تلقّوها في تثنية 27: 2-8.  وإنه لأمر مثير للاهتمام أن المرء يستطيع أن يلمح كل أرض كنعان تقريباً من جبل عيبال.  فما داموا يعبدون يهوه ويتأملون الشريعة (كلمته)، كان يباركهم برؤية كل ما يمكن أن يكون لهم إذا استمروا في طاعتهم له.  وعلى ما يبدو، فإنهم لم يواجهوا مقاومة كبيرة في شكيم التي سبق أن دُمّرت في منتصف القرن السادس عشر ق م أثناء الغزو المصري لفلسطين ولم تتم إعادة بنائها حتى أوائل القرن الخامس عشر ق م.</w:t>
      </w:r>
      <w:r w:rsidRPr="006A7C83">
        <w:rPr>
          <w:rFonts w:eastAsia="Times New Roman" w:cs="DecoType Naskh"/>
          <w:color w:val="auto"/>
          <w:kern w:val="0"/>
          <w:sz w:val="30"/>
          <w:szCs w:val="28"/>
          <w:vertAlign w:val="superscript"/>
          <w:rtl/>
          <w:lang w:bidi="ar-JO"/>
          <w14:ligatures w14:val="none"/>
        </w:rPr>
        <w:footnoteReference w:customMarkFollows="1" w:id="153"/>
        <w:t>12</w:t>
      </w:r>
    </w:p>
    <w:p w14:paraId="0D9F35E0"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12"/>
          <w:szCs w:val="14"/>
          <w:rtl/>
          <w:lang w:bidi="ar-KW"/>
          <w14:ligatures w14:val="none"/>
        </w:rPr>
      </w:pPr>
    </w:p>
    <w:p w14:paraId="2FE281F5" w14:textId="418871E5"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أمّا المقاطعة الثانية للاقتحام فحصلت مع خديعة الجبعونيين.  وعلى الرغم من أن رجال إسرائيل أُخِذوا على حين غرّة، إلاّ أن خطيتهم واضحة من يشوع 9: 14 :"</w:t>
      </w:r>
      <w:r w:rsidRPr="006A7C83">
        <w:rPr>
          <w:rFonts w:eastAsia="Times New Roman" w:cs="DecoType Naskh" w:hint="cs"/>
          <w:i/>
          <w:iCs/>
          <w:color w:val="auto"/>
          <w:kern w:val="0"/>
          <w:szCs w:val="26"/>
          <w:rtl/>
          <w:lang w:bidi="ar-JO"/>
          <w14:ligatures w14:val="none"/>
        </w:rPr>
        <w:t>فأخذ الرجال من زادهم، ومن فم الرب لم يسألوا</w:t>
      </w:r>
      <w:r w:rsidRPr="006A7C83">
        <w:rPr>
          <w:rFonts w:eastAsia="Times New Roman" w:cs="DecoType Naskh" w:hint="cs"/>
          <w:color w:val="auto"/>
          <w:kern w:val="0"/>
          <w:szCs w:val="26"/>
          <w:rtl/>
          <w:lang w:bidi="ar-JO"/>
          <w14:ligatures w14:val="none"/>
        </w:rPr>
        <w:t>." كانت هذه غلطة فادحة سيُجبَرون على أن يواجهوا نتائجها.</w:t>
      </w:r>
    </w:p>
    <w:p w14:paraId="1FA05498"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12"/>
          <w:szCs w:val="14"/>
          <w:rtl/>
          <w:lang w:bidi="ar-JO"/>
          <w14:ligatures w14:val="none"/>
        </w:rPr>
      </w:pPr>
    </w:p>
    <w:p w14:paraId="64DA14B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12"/>
          <w:szCs w:val="14"/>
          <w:rtl/>
          <w:lang w:bidi="ar-JO"/>
          <w14:ligatures w14:val="none"/>
        </w:rPr>
      </w:pPr>
    </w:p>
    <w:p w14:paraId="1D59DE5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12"/>
          <w:szCs w:val="14"/>
          <w:rtl/>
          <w:lang w:bidi="ar-JO"/>
          <w14:ligatures w14:val="none"/>
        </w:rPr>
      </w:pPr>
    </w:p>
    <w:p w14:paraId="1BB28C7D" w14:textId="77777777" w:rsidR="006A7C83" w:rsidRPr="006A7C83" w:rsidRDefault="006A7C83" w:rsidP="002D6C54">
      <w:pPr>
        <w:tabs>
          <w:tab w:val="left" w:pos="454"/>
        </w:tabs>
        <w:bidi/>
        <w:spacing w:after="60" w:line="240" w:lineRule="auto"/>
        <w:ind w:left="550" w:hanging="550"/>
        <w:jc w:val="both"/>
        <w:rPr>
          <w:rFonts w:eastAsia="Times New Roman" w:cs="DecoType Naskh"/>
          <w:b/>
          <w:color w:val="auto"/>
          <w:kern w:val="0"/>
          <w:szCs w:val="26"/>
          <w:rtl/>
          <w14:ligatures w14:val="none"/>
        </w:rPr>
      </w:pPr>
      <w:r w:rsidRPr="006A7C83">
        <w:rPr>
          <w:rFonts w:eastAsia="Times New Roman" w:cs="DecoType Naskh" w:hint="cs"/>
          <w:b/>
          <w:color w:val="auto"/>
          <w:kern w:val="0"/>
          <w:szCs w:val="26"/>
          <w:rtl/>
          <w14:ligatures w14:val="none"/>
        </w:rPr>
        <w:t>جـ.</w:t>
      </w:r>
      <w:r w:rsidRPr="006A7C83">
        <w:rPr>
          <w:rFonts w:eastAsia="Times New Roman" w:cs="DecoType Naskh" w:hint="cs"/>
          <w:b/>
          <w:color w:val="auto"/>
          <w:kern w:val="0"/>
          <w:szCs w:val="26"/>
          <w:rtl/>
          <w14:ligatures w14:val="none"/>
        </w:rPr>
        <w:tab/>
        <w:t>الحملة الجنوبية (يشوع 10)</w:t>
      </w:r>
    </w:p>
    <w:p w14:paraId="2BC460B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بدأت الحملة الجنوبية (يشوع 10) في العراء بين مدينتي جبعون وعجلون.  وكان الخصوم هنا هم الملوك الخمسة للمراكز الإدارية الاستراتيجية الواقعة تحت السيادة المصرية: يبوس (أي أورشليم) وحبرون وعجلون ولاخيش ويرموث.</w:t>
      </w:r>
    </w:p>
    <w:p w14:paraId="27BE328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6A44E4A" w14:textId="77777777" w:rsidR="006A7C83" w:rsidRPr="006A7C83" w:rsidRDefault="006A7C83" w:rsidP="002D6C54">
      <w:pPr>
        <w:tabs>
          <w:tab w:val="left" w:pos="454"/>
        </w:tabs>
        <w:bidi/>
        <w:spacing w:after="60" w:line="240" w:lineRule="auto"/>
        <w:ind w:left="550" w:hanging="550"/>
        <w:jc w:val="both"/>
        <w:rPr>
          <w:rFonts w:eastAsia="Times New Roman" w:cs="DecoType Naskh"/>
          <w:b/>
          <w:color w:val="auto"/>
          <w:kern w:val="0"/>
          <w:szCs w:val="26"/>
          <w:rtl/>
          <w14:ligatures w14:val="none"/>
        </w:rPr>
      </w:pPr>
      <w:r w:rsidRPr="006A7C83">
        <w:rPr>
          <w:rFonts w:eastAsia="Times New Roman" w:cs="DecoType Naskh" w:hint="cs"/>
          <w:b/>
          <w:color w:val="auto"/>
          <w:kern w:val="0"/>
          <w:szCs w:val="26"/>
          <w:rtl/>
          <w14:ligatures w14:val="none"/>
        </w:rPr>
        <w:t>د.</w:t>
      </w:r>
      <w:r w:rsidRPr="006A7C83">
        <w:rPr>
          <w:rFonts w:eastAsia="Times New Roman" w:cs="DecoType Naskh" w:hint="cs"/>
          <w:b/>
          <w:color w:val="auto"/>
          <w:kern w:val="0"/>
          <w:szCs w:val="26"/>
          <w:rtl/>
          <w14:ligatures w14:val="none"/>
        </w:rPr>
        <w:tab/>
        <w:t>الحملة الشمالية (يشوع 11)</w:t>
      </w:r>
    </w:p>
    <w:p w14:paraId="285C350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تركّزت الحملة الشمالية (يشوع 11) في حاصور (</w:t>
      </w:r>
      <w:r w:rsidRPr="006A7C83">
        <w:rPr>
          <w:rFonts w:eastAsia="Times New Roman" w:cs="DecoType Naskh"/>
          <w:color w:val="auto"/>
          <w:kern w:val="0"/>
          <w:szCs w:val="26"/>
          <w:lang w:bidi="ar-JO"/>
          <w14:ligatures w14:val="none"/>
        </w:rPr>
        <w:t xml:space="preserve"> = </w:t>
      </w:r>
      <w:r w:rsidRPr="006A7C83">
        <w:rPr>
          <w:rFonts w:eastAsia="Times New Roman" w:cs="DecoType Naskh"/>
          <w:bCs/>
          <w:color w:val="auto"/>
          <w:kern w:val="0"/>
          <w:szCs w:val="26"/>
          <w:lang w:bidi="ar-JO"/>
          <w14:ligatures w14:val="none"/>
        </w:rPr>
        <w:t xml:space="preserve">Tell </w:t>
      </w:r>
      <w:proofErr w:type="spellStart"/>
      <w:r w:rsidRPr="006A7C83">
        <w:rPr>
          <w:rFonts w:eastAsia="Times New Roman" w:cs="DecoType Naskh"/>
          <w:bCs/>
          <w:i/>
          <w:iCs/>
          <w:color w:val="auto"/>
          <w:kern w:val="0"/>
          <w:szCs w:val="26"/>
          <w:lang w:bidi="ar-JO"/>
          <w14:ligatures w14:val="none"/>
        </w:rPr>
        <w:t>el</w:t>
      </w:r>
      <w:proofErr w:type="spellEnd"/>
      <w:r w:rsidRPr="006A7C83">
        <w:rPr>
          <w:rFonts w:eastAsia="Times New Roman" w:cs="DecoType Naskh"/>
          <w:bCs/>
          <w:i/>
          <w:iCs/>
          <w:color w:val="auto"/>
          <w:kern w:val="0"/>
          <w:szCs w:val="26"/>
          <w:lang w:bidi="ar-JO"/>
          <w14:ligatures w14:val="none"/>
        </w:rPr>
        <w:t>-Qeda</w:t>
      </w:r>
      <w:r w:rsidRPr="006A7C83">
        <w:rPr>
          <w:rFonts w:ascii="Charis SIL" w:eastAsia="Times New Roman" w:hAnsi="Charis SIL" w:cs="Charis SIL"/>
          <w:bCs/>
          <w:i/>
          <w:iCs/>
          <w:color w:val="auto"/>
          <w:kern w:val="0"/>
          <w:szCs w:val="26"/>
          <w:lang w:bidi="ar-JO"/>
          <w14:ligatures w14:val="none"/>
        </w:rPr>
        <w:t>ḥ</w:t>
      </w:r>
      <w:r w:rsidRPr="006A7C83">
        <w:rPr>
          <w:rFonts w:eastAsia="Times New Roman" w:cs="DecoType Naskh"/>
          <w:color w:val="auto"/>
          <w:kern w:val="0"/>
          <w:szCs w:val="26"/>
          <w:lang w:bidi="ar-JO"/>
          <w14:ligatures w14:val="none"/>
        </w:rPr>
        <w:t xml:space="preserve"> </w:t>
      </w:r>
      <w:r w:rsidRPr="006A7C83">
        <w:rPr>
          <w:rFonts w:eastAsia="Times New Roman" w:cs="DecoType Naskh" w:hint="cs"/>
          <w:color w:val="auto"/>
          <w:kern w:val="0"/>
          <w:szCs w:val="26"/>
          <w:rtl/>
          <w:lang w:bidi="ar-JO"/>
          <w14:ligatures w14:val="none"/>
        </w:rPr>
        <w:t>تل القِداح) إلى الشمال من بحر الجليل.  لم تكن حاصور أكبر مدينة في الشمال فحسب (تغطّي ما يزيد على 110 أكر (يساوي الأكر نحو أربعة آلاف متر مربّع] ويسكنها حوالي 40.000 شخص)، لكنها كانت تحتل أيضاً موقعاً استراتيجياً في ضوء سيطرتها على إحدى الطرق الرئيسية الممتدة من الساحل باتجاه دمشق.  وقد استخدم بنو إسرائيل في هذه الحملات الجلجال (</w:t>
      </w:r>
      <w:r w:rsidRPr="006A7C83">
        <w:rPr>
          <w:rFonts w:eastAsia="Times New Roman" w:cs="DecoType Naskh"/>
          <w:bCs/>
          <w:color w:val="auto"/>
          <w:kern w:val="0"/>
          <w:szCs w:val="26"/>
          <w:lang w:bidi="ar-JO"/>
          <w14:ligatures w14:val="none"/>
        </w:rPr>
        <w:t xml:space="preserve">Khirbet </w:t>
      </w:r>
      <w:proofErr w:type="spellStart"/>
      <w:r w:rsidRPr="006A7C83">
        <w:rPr>
          <w:rFonts w:eastAsia="Times New Roman" w:cs="DecoType Naskh"/>
          <w:bCs/>
          <w:color w:val="auto"/>
          <w:kern w:val="0"/>
          <w:szCs w:val="26"/>
          <w:lang w:bidi="ar-JO"/>
          <w14:ligatures w14:val="none"/>
        </w:rPr>
        <w:t>el-Mefjer</w:t>
      </w:r>
      <w:proofErr w:type="spellEnd"/>
      <w:r w:rsidRPr="006A7C83">
        <w:rPr>
          <w:rFonts w:eastAsia="Times New Roman" w:cs="DecoType Naskh" w:hint="cs"/>
          <w:color w:val="auto"/>
          <w:kern w:val="0"/>
          <w:szCs w:val="26"/>
          <w:rtl/>
          <w:lang w:bidi="ar-JO"/>
          <w14:ligatures w14:val="none"/>
        </w:rPr>
        <w:t xml:space="preserve"> </w:t>
      </w:r>
      <w:r w:rsidRPr="006A7C83">
        <w:rPr>
          <w:rFonts w:eastAsia="Times New Roman" w:cs="DecoType Naskh"/>
          <w:color w:val="auto"/>
          <w:kern w:val="0"/>
          <w:szCs w:val="26"/>
          <w:lang w:bidi="ar-JO"/>
          <w14:ligatures w14:val="none"/>
        </w:rPr>
        <w:t xml:space="preserve"> =</w:t>
      </w:r>
      <w:r w:rsidRPr="006A7C83">
        <w:rPr>
          <w:rFonts w:eastAsia="Times New Roman" w:cs="DecoType Naskh" w:hint="cs"/>
          <w:color w:val="auto"/>
          <w:kern w:val="0"/>
          <w:szCs w:val="26"/>
          <w:rtl/>
          <w:lang w:bidi="ar-JO"/>
          <w14:ligatures w14:val="none"/>
        </w:rPr>
        <w:t>خربة المفجر) قاعدة لهم يقيمون فيها بدلاً من التحرّك الدائم.  وبما أن الجلجال واقعة قرب الأردن، فقد شكّل لهم هذا الأمر حماية من هجوم خلفي عليهم من قبل الكنعانيين، ومدّهم بمصدر من المؤن، حيث كانت هذه المنطقة خصيبة.</w:t>
      </w:r>
    </w:p>
    <w:p w14:paraId="746B9766"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12"/>
          <w:szCs w:val="14"/>
          <w:rtl/>
          <w:lang w:bidi="ar-JO"/>
          <w14:ligatures w14:val="none"/>
        </w:rPr>
      </w:pPr>
    </w:p>
    <w:p w14:paraId="5E9C0AE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إن الآية الرئيسية في الأصحاحات 1-12 هي 11: 23 : "فأخذ يشوع كل الأرض حسب ما كلَّم به الرب موسى.  وأعطاها يشوع ملكاً لإسرائيل حسب فرقهم وأسباطهم.  واستراحت الأرض من الحرب."  لنلاحظ أن الراحة في ذهن الكاتب تتزامن مع نوال الميراث. </w:t>
      </w:r>
    </w:p>
    <w:p w14:paraId="6F31FA30" w14:textId="3429C9EB" w:rsidR="006668C0" w:rsidRPr="006668C0" w:rsidRDefault="006668C0" w:rsidP="002D6C54">
      <w:pPr>
        <w:tabs>
          <w:tab w:val="left" w:pos="547"/>
          <w:tab w:val="left" w:pos="1094"/>
          <w:tab w:val="left" w:pos="1642"/>
          <w:tab w:val="left" w:pos="2189"/>
          <w:tab w:val="left" w:pos="2736"/>
          <w:tab w:val="left" w:pos="3283"/>
          <w:tab w:val="left" w:pos="3830"/>
          <w:tab w:val="left" w:pos="4378"/>
        </w:tabs>
        <w:spacing w:after="120" w:line="240" w:lineRule="auto"/>
        <w:ind w:left="547"/>
        <w:jc w:val="both"/>
        <w:rPr>
          <w:rFonts w:eastAsia="Times New Roman" w:cs="Times New Roman"/>
          <w:bCs/>
          <w:color w:val="auto"/>
          <w:kern w:val="0"/>
          <w:sz w:val="22"/>
          <w:szCs w:val="24"/>
          <w:lang w:bidi="ar-JO"/>
          <w14:ligatures w14:val="none"/>
        </w:rPr>
      </w:pPr>
    </w:p>
    <w:p w14:paraId="4F5C2658" w14:textId="77777777" w:rsidR="006311FA" w:rsidRDefault="006311FA"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strike/>
          <w:kern w:val="0"/>
          <w:szCs w:val="24"/>
          <w14:ligatures w14:val="none"/>
        </w:rPr>
      </w:pPr>
    </w:p>
    <w:p w14:paraId="1D37D56A" w14:textId="3389E717" w:rsidR="006311FA" w:rsidRPr="00915244" w:rsidRDefault="00915244" w:rsidP="00915244">
      <w:pPr>
        <w:pStyle w:val="Heading3"/>
        <w:bidi/>
        <w:spacing w:line="240" w:lineRule="auto"/>
        <w:rPr>
          <w:rFonts w:ascii="Simplified Arabic" w:hAnsi="Simplified Arabic" w:cs="Simplified Arabic"/>
        </w:rPr>
      </w:pPr>
      <w:bookmarkStart w:id="150" w:name="_Hlk178779262"/>
      <w:r w:rsidRPr="00915244">
        <w:rPr>
          <w:rFonts w:ascii="Simplified Arabic" w:hAnsi="Simplified Arabic" w:cs="Simplified Arabic"/>
          <w:rtl/>
        </w:rPr>
        <w:t xml:space="preserve">الموضوع 3: </w:t>
      </w:r>
      <w:r w:rsidRPr="00915244">
        <w:rPr>
          <w:rFonts w:ascii="Simplified Arabic" w:eastAsia="Calibri" w:hAnsi="Simplified Arabic" w:cs="Simplified Arabic"/>
          <w:rtl/>
          <w14:ligatures w14:val="none"/>
        </w:rPr>
        <w:t>توزيع الأرض حصصًا (يشوع 13: 1 – 24: 33)</w:t>
      </w:r>
    </w:p>
    <w:p w14:paraId="567097B4" w14:textId="2766BDAE" w:rsidR="00942124" w:rsidRPr="007A4B15" w:rsidRDefault="00942124" w:rsidP="00AE237A">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bookmarkStart w:id="151" w:name="_Hlk157179795"/>
      <w:r w:rsidRPr="007A4B15">
        <w:rPr>
          <w:rFonts w:ascii="Verdana" w:eastAsia="Calibri" w:hAnsi="Verdana" w:cs="Times New Roman"/>
          <w:b/>
          <w:caps/>
          <w:noProof/>
          <w:color w:val="006699"/>
          <w:kern w:val="0"/>
          <w:sz w:val="21"/>
          <w:szCs w:val="24"/>
          <w14:ligatures w14:val="none"/>
        </w:rPr>
        <w:drawing>
          <wp:inline distT="0" distB="0" distL="0" distR="0" wp14:anchorId="09229AB6" wp14:editId="0F95F87C">
            <wp:extent cx="613692" cy="541464"/>
            <wp:effectExtent l="0" t="0" r="0" b="0"/>
            <wp:docPr id="100526576" name="Picture 100526576"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AE237A">
        <w:rPr>
          <w:rFonts w:ascii="Verdana" w:eastAsia="Calibri" w:hAnsi="Verdana" w:cs="Times New Roman" w:hint="cs"/>
          <w:b/>
          <w:caps/>
          <w:color w:val="006699"/>
          <w:kern w:val="0"/>
          <w:sz w:val="21"/>
          <w:szCs w:val="24"/>
          <w:u w:val="single"/>
          <w:rtl/>
          <w14:ligatures w14:val="none"/>
        </w:rPr>
        <w:t>القراءة:</w:t>
      </w:r>
    </w:p>
    <w:p w14:paraId="3878B0C7" w14:textId="2925F3EE" w:rsidR="00942124" w:rsidRPr="002B24E1" w:rsidRDefault="00942124" w:rsidP="00AE237A">
      <w:pPr>
        <w:bidi/>
        <w:spacing w:line="240" w:lineRule="auto"/>
        <w:rPr>
          <w:b/>
          <w:bCs/>
        </w:rPr>
      </w:pPr>
      <w:r>
        <w:tab/>
      </w:r>
      <w:r>
        <w:tab/>
      </w:r>
      <w:r w:rsidR="00AE237A">
        <w:rPr>
          <w:rFonts w:hint="cs"/>
          <w:rtl/>
        </w:rPr>
        <w:t xml:space="preserve">اقرأ يشوع 13: 1 </w:t>
      </w:r>
      <w:r w:rsidR="00AE237A">
        <w:rPr>
          <w:rtl/>
        </w:rPr>
        <w:t>–</w:t>
      </w:r>
      <w:r w:rsidR="00AE237A">
        <w:rPr>
          <w:rFonts w:hint="cs"/>
          <w:rtl/>
        </w:rPr>
        <w:t xml:space="preserve"> 24: 33 في كتابك المُقدَّس.</w:t>
      </w:r>
    </w:p>
    <w:bookmarkEnd w:id="150"/>
    <w:bookmarkEnd w:id="151"/>
    <w:p w14:paraId="0BF26677"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1.</w:t>
      </w:r>
      <w:r w:rsidRPr="006A7C83">
        <w:rPr>
          <w:rFonts w:eastAsia="Times New Roman" w:cs="DecoType Naskh" w:hint="cs"/>
          <w:bCs/>
          <w:color w:val="auto"/>
          <w:kern w:val="0"/>
          <w:szCs w:val="28"/>
          <w:rtl/>
          <w:lang w:bidi="ar-JO"/>
          <w14:ligatures w14:val="none"/>
        </w:rPr>
        <w:tab/>
        <w:t>مقدمة</w:t>
      </w:r>
    </w:p>
    <w:p w14:paraId="6D51992D"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في حين تناول معظم السفر موضوع أخذ الأرض الموعودة بحرب مقدّسة، فإن معظم القسم الثاني يتناول توزيع الأرض على الأسباط المختلفة.  ويختتم السفر بتجمّع الأسباط في شكيم من أجل إعطاء صبغة رسمية لعهد مع </w:t>
      </w:r>
      <w:r w:rsidRPr="006A7C83">
        <w:rPr>
          <w:rFonts w:eastAsia="Times New Roman" w:cs="DecoType Naskh" w:hint="cs"/>
          <w:color w:val="auto"/>
          <w:kern w:val="0"/>
          <w:szCs w:val="26"/>
          <w:rtl/>
          <w:lang w:bidi="ar-JO"/>
          <w14:ligatures w14:val="none"/>
        </w:rPr>
        <w:lastRenderedPageBreak/>
        <w:t>يهوه يلزمون فيه أنفسهم بخدمة الرب وإطاعة صوته (إصحاح 24).  والفكرة الرئيسية للإصحاحات 13-21 هي اكتساب الميراث.</w:t>
      </w:r>
    </w:p>
    <w:p w14:paraId="6E6E4B28"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8462875"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2.</w:t>
      </w:r>
      <w:r w:rsidRPr="006A7C83">
        <w:rPr>
          <w:rFonts w:eastAsia="Times New Roman" w:cs="DecoType Naskh" w:hint="cs"/>
          <w:bCs/>
          <w:color w:val="auto"/>
          <w:kern w:val="0"/>
          <w:szCs w:val="28"/>
          <w:rtl/>
          <w:lang w:bidi="ar-JO"/>
          <w14:ligatures w14:val="none"/>
        </w:rPr>
        <w:tab/>
        <w:t>امتلاك الأرض</w:t>
      </w:r>
    </w:p>
    <w:p w14:paraId="568ACBC5" w14:textId="77777777" w:rsidR="006A7C83" w:rsidRPr="006A7C83" w:rsidRDefault="006A7C83"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6A7C83">
        <w:rPr>
          <w:rFonts w:eastAsia="Times New Roman" w:cs="DecoType Naskh" w:hint="cs"/>
          <w:bCs/>
          <w:color w:val="auto"/>
          <w:kern w:val="0"/>
          <w:szCs w:val="26"/>
          <w:rtl/>
          <w14:ligatures w14:val="none"/>
        </w:rPr>
        <w:t>أ.</w:t>
      </w:r>
      <w:r w:rsidRPr="006A7C83">
        <w:rPr>
          <w:rFonts w:eastAsia="Times New Roman" w:cs="DecoType Naskh" w:hint="cs"/>
          <w:bCs/>
          <w:color w:val="auto"/>
          <w:kern w:val="0"/>
          <w:szCs w:val="26"/>
          <w:rtl/>
          <w14:ligatures w14:val="none"/>
        </w:rPr>
        <w:tab/>
        <w:t>توفيق التصريحات</w:t>
      </w:r>
    </w:p>
    <w:p w14:paraId="25B83868"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من الضروري إعداد بعض التعليقات حول مدى امتلاك إسرائيل للأرض، إذ بقيت هذه المهمة في واقع الأمر غير مكتملة.  وسأقتبس هنا بشكل مطوّل ما يقوله د. والكي في هذا الشأن:</w:t>
      </w:r>
    </w:p>
    <w:p w14:paraId="2758C09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في حين يؤكد السفر أن الوعود المقطوعة للآباء تحققت في فتح يشوع (11: 23؛ انظر 21: 43)، فإن الواقع التاريخي يقول إن الأرض لم تُعطَ إلاّ بشكل جزئي.  وقد لاحظ ي. كوفمان أن العلاقة بين الوعد المتعلق بأبعاد الأرض وبين التحقيق التاريخي يمكن أن ينقسم إلى ثلاث فئات: (1) تمّ فتح قسم من الأرض وتوزيعه؛ (2) وزِّع قسم آخر دون أن يتم فتحه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كل الشريط الساحلي (13: 2-4) كل منطقة العامِق (الوادي) (17: 11 فصاعداً)، وكل نصيب دان تقريباً (19: 47)، وأورشليم وجازر ومدن أخرى (15: 63؛ 16: 10)؛ (3) قسم لم يوزَّع ولم يتم فتحه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من بعل جاد في وادي لبنان إلى مدخل حماة (عدد 34: 7 فصاعداً؛ يشوع 1: 4) (</w:t>
      </w:r>
      <w:r w:rsidRPr="006A7C83">
        <w:rPr>
          <w:rFonts w:eastAsia="Times New Roman" w:cs="DecoType Naskh"/>
          <w:i/>
          <w:iCs/>
          <w:color w:val="auto"/>
          <w:kern w:val="0"/>
          <w:szCs w:val="26"/>
          <w14:ligatures w14:val="none"/>
        </w:rPr>
        <w:t>Biblical Account</w:t>
      </w:r>
      <w:r w:rsidRPr="006A7C83">
        <w:rPr>
          <w:rFonts w:eastAsia="Times New Roman" w:cs="DecoType Naskh"/>
          <w:color w:val="auto"/>
          <w:kern w:val="0"/>
          <w:szCs w:val="26"/>
          <w14:ligatures w14:val="none"/>
        </w:rPr>
        <w:t xml:space="preserve"> p.52</w:t>
      </w:r>
      <w:r w:rsidRPr="006A7C83">
        <w:rPr>
          <w:rFonts w:eastAsia="Times New Roman" w:cs="DecoType Naskh" w:hint="cs"/>
          <w:color w:val="auto"/>
          <w:kern w:val="0"/>
          <w:szCs w:val="26"/>
          <w:rtl/>
          <w:lang w:bidi="ar-JO"/>
          <w14:ligatures w14:val="none"/>
        </w:rPr>
        <w:t>).</w:t>
      </w:r>
    </w:p>
    <w:p w14:paraId="12E0BC98"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52AFC9F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يكمن التوفيق بين هذه التصريحات المتناقضة ظاهرياً في فهم صحيح لفهم معنى "فأخذ (</w:t>
      </w:r>
      <w:r w:rsidRPr="006A7C83">
        <w:rPr>
          <w:rFonts w:eastAsia="Times New Roman" w:cs="DecoType Naskh" w:hint="cs"/>
          <w:i/>
          <w:iCs/>
          <w:color w:val="auto"/>
          <w:kern w:val="0"/>
          <w:szCs w:val="26"/>
          <w:rtl/>
          <w:lang w:bidi="ar-JO"/>
          <w14:ligatures w14:val="none"/>
        </w:rPr>
        <w:t>لاق</w:t>
      </w:r>
      <w:r w:rsidRPr="006A7C83">
        <w:rPr>
          <w:rFonts w:eastAsia="Times New Roman" w:cs="DecoType Naskh" w:hint="cs"/>
          <w:i/>
          <w:iCs/>
          <w:color w:val="auto"/>
          <w:kern w:val="0"/>
          <w:szCs w:val="26"/>
          <w:rtl/>
          <w14:ligatures w14:val="none"/>
        </w:rPr>
        <w:t xml:space="preserve">خ </w:t>
      </w:r>
      <w:proofErr w:type="spellStart"/>
      <w:r w:rsidRPr="006A7C83">
        <w:rPr>
          <w:rFonts w:ascii="Charis SIL" w:eastAsia="Times New Roman" w:hAnsi="Charis SIL" w:cs="Charis SIL"/>
          <w:i/>
          <w:iCs/>
          <w:color w:val="auto"/>
          <w:kern w:val="0"/>
          <w:szCs w:val="26"/>
          <w:lang w:bidi="ar-JO"/>
          <w14:ligatures w14:val="none"/>
        </w:rPr>
        <w:t>lāqah</w:t>
      </w:r>
      <w:proofErr w:type="spellEnd"/>
      <w:r w:rsidRPr="006A7C83">
        <w:rPr>
          <w:rFonts w:ascii="Charis SIL" w:eastAsia="Times New Roman" w:hAnsi="Charis SIL" w:cs="Charis SIL"/>
          <w:i/>
          <w:iCs/>
          <w:color w:val="auto"/>
          <w:kern w:val="0"/>
          <w:szCs w:val="26"/>
          <w:lang w:bidi="ar-JO"/>
          <w14:ligatures w14:val="none"/>
        </w:rPr>
        <w:t>̣</w:t>
      </w:r>
      <w:r w:rsidRPr="006A7C83">
        <w:rPr>
          <w:rFonts w:eastAsia="Times New Roman" w:cs="DecoType Naskh" w:hint="cs"/>
          <w:color w:val="auto"/>
          <w:kern w:val="0"/>
          <w:szCs w:val="26"/>
          <w:rtl/>
          <w:lang w:bidi="ar-JO"/>
          <w14:ligatures w14:val="none"/>
        </w:rPr>
        <w:t>) يشوع كل الأرض".  لقد فهم الكاتب على الأرجح أن أخْذ الأرض يعني كسب السيطرة عليها دون إبادة المعارضة...</w:t>
      </w:r>
    </w:p>
    <w:p w14:paraId="3CE4E6A5"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74AAF5F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5DAC284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0"/>
          <w:szCs w:val="28"/>
          <w:rtl/>
          <w:lang w:bidi="ar-JO"/>
          <w14:ligatures w14:val="none"/>
        </w:rPr>
      </w:pPr>
      <w:r w:rsidRPr="006A7C83">
        <w:rPr>
          <w:rFonts w:eastAsia="Times New Roman" w:cs="DecoType Naskh" w:hint="cs"/>
          <w:color w:val="auto"/>
          <w:kern w:val="0"/>
          <w:szCs w:val="26"/>
          <w:rtl/>
          <w:lang w:bidi="ar-JO"/>
          <w14:ligatures w14:val="none"/>
        </w:rPr>
        <w:t>ويعترف كتاب الحرب (الأصحاحات 10-11) كتاب التوزيع (الأصحاحات 13-21) بأن مهمة طرد الكنعانيين لم تكتمل ... لكن ظهر الكنعانيين قُصم بعد أن مات ملك بعد ملك (الإصحاح 12).  وبصرف النظر عن ثورة الكنعانيين المسجلة في قضاة 4-5 ومقاومة اليبوسيين (2صموئيل 5: 6-10)، فلن يكون الكنعانيون فيما بعد أعداء إسرائيل، بل الفلسطينيون وشعوب أخرى من خارج الأرض (انظر سفر القضاة)"</w:t>
      </w:r>
      <w:r w:rsidRPr="006A7C83">
        <w:rPr>
          <w:rFonts w:eastAsia="Times New Roman" w:cs="DecoType Naskh" w:hint="cs"/>
          <w:color w:val="auto"/>
          <w:kern w:val="0"/>
          <w:szCs w:val="26"/>
          <w:rtl/>
          <w14:ligatures w14:val="none"/>
        </w:rPr>
        <w:t>.</w:t>
      </w:r>
      <w:r w:rsidRPr="006A7C83">
        <w:rPr>
          <w:rFonts w:eastAsia="Times New Roman" w:cs="DecoType Naskh"/>
          <w:color w:val="auto"/>
          <w:kern w:val="0"/>
          <w:sz w:val="30"/>
          <w:szCs w:val="28"/>
          <w:vertAlign w:val="superscript"/>
          <w:rtl/>
          <w:lang w:bidi="ar-JO"/>
          <w14:ligatures w14:val="none"/>
        </w:rPr>
        <w:footnoteReference w:customMarkFollows="1" w:id="154"/>
        <w:t>1</w:t>
      </w:r>
    </w:p>
    <w:p w14:paraId="30911FC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0"/>
          <w:szCs w:val="28"/>
          <w:rtl/>
          <w:lang w:bidi="ar-JO"/>
          <w14:ligatures w14:val="none"/>
        </w:rPr>
      </w:pPr>
    </w:p>
    <w:p w14:paraId="4A7BF64B" w14:textId="77777777" w:rsidR="006A7C83" w:rsidRPr="006A7C83" w:rsidRDefault="006A7C83"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6A7C83">
        <w:rPr>
          <w:rFonts w:eastAsia="Times New Roman" w:cs="DecoType Naskh" w:hint="cs"/>
          <w:bCs/>
          <w:color w:val="auto"/>
          <w:kern w:val="0"/>
          <w:szCs w:val="26"/>
          <w:rtl/>
          <w14:ligatures w14:val="none"/>
        </w:rPr>
        <w:t>ب.</w:t>
      </w:r>
      <w:r w:rsidRPr="006A7C83">
        <w:rPr>
          <w:rFonts w:eastAsia="Times New Roman" w:cs="DecoType Naskh" w:hint="cs"/>
          <w:bCs/>
          <w:color w:val="auto"/>
          <w:kern w:val="0"/>
          <w:szCs w:val="26"/>
          <w:rtl/>
          <w14:ligatures w14:val="none"/>
        </w:rPr>
        <w:tab/>
        <w:t xml:space="preserve">ذروة السفر </w:t>
      </w:r>
    </w:p>
    <w:p w14:paraId="10A48A85"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تشكّل يشوع 21: 43-45 ذروة السفر حيث تتحدث عمّا أعطاه يهوه للأمة: </w:t>
      </w:r>
    </w:p>
    <w:p w14:paraId="1362B9A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(1)</w:t>
      </w:r>
      <w:r w:rsidRPr="006A7C83">
        <w:rPr>
          <w:rFonts w:eastAsia="Times New Roman" w:cs="DecoType Naskh" w:hint="cs"/>
          <w:color w:val="auto"/>
          <w:kern w:val="0"/>
          <w:szCs w:val="26"/>
          <w:rtl/>
          <w:lang w:bidi="ar-JO"/>
          <w14:ligatures w14:val="none"/>
        </w:rPr>
        <w:tab/>
        <w:t>"</w:t>
      </w:r>
      <w:r w:rsidRPr="006A7C83">
        <w:rPr>
          <w:rFonts w:eastAsia="Times New Roman" w:cs="DecoType Naskh" w:hint="cs"/>
          <w:i/>
          <w:iCs/>
          <w:color w:val="auto"/>
          <w:kern w:val="0"/>
          <w:szCs w:val="26"/>
          <w:rtl/>
          <w:lang w:bidi="ar-JO"/>
          <w14:ligatures w14:val="none"/>
        </w:rPr>
        <w:t xml:space="preserve">جميع الأرض التي أقسم أن يعطيها </w:t>
      </w:r>
      <w:r w:rsidRPr="006A7C83">
        <w:rPr>
          <w:rFonts w:eastAsia="Times New Roman" w:cs="DecoType Naskh" w:hint="cs"/>
          <w:color w:val="auto"/>
          <w:kern w:val="0"/>
          <w:szCs w:val="26"/>
          <w:rtl/>
          <w:lang w:bidi="ar-JO"/>
          <w14:ligatures w14:val="none"/>
        </w:rPr>
        <w:t>لآبائهم" -انظر الملاحظات السابقة حول التناقض الظاهري.</w:t>
      </w:r>
    </w:p>
    <w:p w14:paraId="4D7A05E0"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(2)</w:t>
      </w:r>
      <w:r w:rsidRPr="006A7C83">
        <w:rPr>
          <w:rFonts w:eastAsia="Times New Roman" w:cs="DecoType Naskh" w:hint="cs"/>
          <w:color w:val="auto"/>
          <w:kern w:val="0"/>
          <w:szCs w:val="26"/>
          <w:rtl/>
          <w:lang w:bidi="ar-JO"/>
          <w14:ligatures w14:val="none"/>
        </w:rPr>
        <w:tab/>
        <w:t xml:space="preserve">" </w:t>
      </w:r>
      <w:r w:rsidRPr="006A7C83">
        <w:rPr>
          <w:rFonts w:eastAsia="Times New Roman" w:cs="DecoType Naskh" w:hint="cs"/>
          <w:i/>
          <w:iCs/>
          <w:color w:val="auto"/>
          <w:kern w:val="0"/>
          <w:szCs w:val="26"/>
          <w:rtl/>
          <w:lang w:bidi="ar-JO"/>
          <w14:ligatures w14:val="none"/>
        </w:rPr>
        <w:t xml:space="preserve">أراحهم الرب حواليهم </w:t>
      </w:r>
      <w:r w:rsidRPr="006A7C83">
        <w:rPr>
          <w:rFonts w:eastAsia="Times New Roman" w:cs="DecoType Naskh" w:hint="cs"/>
          <w:color w:val="auto"/>
          <w:kern w:val="0"/>
          <w:szCs w:val="26"/>
          <w:rtl/>
          <w:lang w:bidi="ar-JO"/>
          <w14:ligatures w14:val="none"/>
        </w:rPr>
        <w:t xml:space="preserve"> (من كل جهة) ... </w:t>
      </w:r>
      <w:r w:rsidRPr="006A7C83">
        <w:rPr>
          <w:rFonts w:eastAsia="Times New Roman" w:cs="DecoType Naskh" w:hint="cs"/>
          <w:color w:val="auto"/>
          <w:kern w:val="0"/>
          <w:szCs w:val="26"/>
          <w:u w:val="single"/>
          <w:rtl/>
          <w:lang w:bidi="ar-JO"/>
          <w14:ligatures w14:val="none"/>
        </w:rPr>
        <w:t>من جميع أعدائهم</w:t>
      </w:r>
      <w:r w:rsidRPr="006A7C83">
        <w:rPr>
          <w:rFonts w:eastAsia="Times New Roman" w:cs="DecoType Naskh" w:hint="cs"/>
          <w:color w:val="auto"/>
          <w:kern w:val="0"/>
          <w:szCs w:val="26"/>
          <w:rtl/>
          <w:lang w:bidi="ar-JO"/>
          <w14:ligatures w14:val="none"/>
        </w:rPr>
        <w:t>."  لقد قصمت إسرائيل ظهر كنعان من ناحية عملية.  إذ قتلوا 31 من ملوكها (يشوع 21).</w:t>
      </w:r>
    </w:p>
    <w:p w14:paraId="5D404F05"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(3)</w:t>
      </w:r>
      <w:r w:rsidRPr="006A7C83">
        <w:rPr>
          <w:rFonts w:eastAsia="Times New Roman" w:cs="DecoType Naskh" w:hint="cs"/>
          <w:color w:val="auto"/>
          <w:kern w:val="0"/>
          <w:szCs w:val="26"/>
          <w:rtl/>
          <w:lang w:bidi="ar-JO"/>
          <w14:ligatures w14:val="none"/>
        </w:rPr>
        <w:tab/>
        <w:t>"</w:t>
      </w:r>
      <w:r w:rsidRPr="006A7C83">
        <w:rPr>
          <w:rFonts w:eastAsia="Times New Roman" w:cs="DecoType Naskh" w:hint="cs"/>
          <w:i/>
          <w:iCs/>
          <w:color w:val="auto"/>
          <w:kern w:val="0"/>
          <w:szCs w:val="26"/>
          <w:rtl/>
          <w:lang w:bidi="ar-JO"/>
          <w14:ligatures w14:val="none"/>
        </w:rPr>
        <w:t>لم تسقط كلمة من جميع الكلام الصالح الذي كلّم به الرب بيت إسرائيل.  بل الكل صار</w:t>
      </w:r>
      <w:r w:rsidRPr="006A7C83">
        <w:rPr>
          <w:rFonts w:eastAsia="Times New Roman" w:cs="DecoType Naskh" w:hint="cs"/>
          <w:color w:val="auto"/>
          <w:kern w:val="0"/>
          <w:szCs w:val="26"/>
          <w:rtl/>
          <w:lang w:bidi="ar-JO"/>
          <w14:ligatures w14:val="none"/>
        </w:rPr>
        <w:t>."</w:t>
      </w:r>
    </w:p>
    <w:p w14:paraId="07245B3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8CB419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ليست الفكرة هنا أن الله استطاع أخيراً أن يحقق وعوده؛ بل إن إسرائيل هي التي أطاعت أخيراً الرب، مما سمح له بأن يباركهم بالوعود.  متى يفشل الوعد؟ يسقط الوعد عندما لا نؤمن به ونعمل على أساسه، ولا يحفظ الله الدور الذي عليه (وهو أمر مستحيل).</w:t>
      </w:r>
    </w:p>
    <w:p w14:paraId="48A1039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412C237" w14:textId="77777777" w:rsidR="006A7C83" w:rsidRPr="006A7C83" w:rsidRDefault="006A7C83"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6A7C83">
        <w:rPr>
          <w:rFonts w:eastAsia="Times New Roman" w:cs="DecoType Naskh" w:hint="cs"/>
          <w:bCs/>
          <w:color w:val="auto"/>
          <w:kern w:val="0"/>
          <w:szCs w:val="26"/>
          <w:rtl/>
          <w14:ligatures w14:val="none"/>
        </w:rPr>
        <w:t>جـ.</w:t>
      </w:r>
      <w:r w:rsidRPr="006A7C83">
        <w:rPr>
          <w:rFonts w:eastAsia="Times New Roman" w:cs="DecoType Naskh" w:hint="cs"/>
          <w:bCs/>
          <w:color w:val="auto"/>
          <w:kern w:val="0"/>
          <w:szCs w:val="26"/>
          <w:rtl/>
          <w14:ligatures w14:val="none"/>
        </w:rPr>
        <w:tab/>
        <w:t>الحدود في الأرض الممتلكة</w:t>
      </w:r>
    </w:p>
    <w:p w14:paraId="3EB1B171" w14:textId="300BB173"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lastRenderedPageBreak/>
        <w:t>من الواضح أن الأرض التي قصد الله أن يعطيها لإسرائيل لم تُمتلك</w:t>
      </w:r>
      <w:r w:rsidRPr="006A7C83">
        <w:rPr>
          <w:rFonts w:eastAsia="Times New Roman" w:cs="DecoType Naskh"/>
          <w:color w:val="auto"/>
          <w:kern w:val="0"/>
          <w:szCs w:val="26"/>
          <w14:ligatures w14:val="none"/>
        </w:rPr>
        <w:t xml:space="preserve"> </w:t>
      </w:r>
      <w:r w:rsidRPr="006A7C83">
        <w:rPr>
          <w:rFonts w:eastAsia="Times New Roman" w:cs="DecoType Naskh" w:hint="cs"/>
          <w:color w:val="auto"/>
          <w:kern w:val="0"/>
          <w:szCs w:val="26"/>
          <w:rtl/>
          <w:lang w:bidi="ar-JO"/>
          <w14:ligatures w14:val="none"/>
        </w:rPr>
        <w:t>كاملةً، أمّا القسم الذي تم امتلاكه، فلم يُمتلك بسرعة.  قاموا أولاً بالهيمنة على الأرض؛ ثم كان عليهم أن ينفّذوا خطّة احتلال الأرض بشكل تدرجي.  غير أن هذا كان خطّة الله منذ البداية: "</w:t>
      </w:r>
      <w:r w:rsidRPr="006A7C83">
        <w:rPr>
          <w:rFonts w:eastAsia="Times New Roman" w:cs="DecoType Naskh" w:hint="cs"/>
          <w:i/>
          <w:iCs/>
          <w:color w:val="auto"/>
          <w:kern w:val="0"/>
          <w:szCs w:val="26"/>
          <w:rtl/>
          <w:lang w:bidi="ar-JO"/>
          <w14:ligatures w14:val="none"/>
        </w:rPr>
        <w:t>ولكن الرب إلهك يطرد هؤلاء الشعوب من أمامك قليلاً قليلاً.  لا تستطيع أن تُفنيهم سريعاً، لئلا تكثر عليك وحوش البرّية</w:t>
      </w:r>
      <w:r w:rsidRPr="006A7C83">
        <w:rPr>
          <w:rFonts w:eastAsia="Times New Roman" w:cs="DecoType Naskh" w:hint="cs"/>
          <w:color w:val="auto"/>
          <w:kern w:val="0"/>
          <w:szCs w:val="26"/>
          <w:rtl/>
          <w:lang w:bidi="ar-JO"/>
          <w14:ligatures w14:val="none"/>
        </w:rPr>
        <w:t>" (تثنية 7: 22؛ انظر 7: 1-5).  كل ما كانوا يعرفونه هو أن ينفّذوا خطّة القضاء على العدو، وأن الله سيسلم أعداءهم إليهم.  أمّا مسألة "التوقيت" فتبقى غامضة، مجبرةً إياهم على الاستمرار في الاعتماد على يهوه.  وهكذا لم تكن محدودية الأرض التي امتلكوها راجعة إلى عدم إيمانهم (يشوع 15: 63؛ 6: 10؛ 17: 12-13)، بل كانت قصد يهوه.  فهو يريدهم أن يمتلكوا كل صكوك ملكية الأرض، لكن ليس قبل أن يكونوا مستعدّين لامتلاكها.  وهذا هو المبدأ: يعطينا الله بقدر ما نحن مستعدون لأخذه!</w:t>
      </w:r>
    </w:p>
    <w:p w14:paraId="41F1006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5A8A29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1735A45"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شرح الله في يشوع 13: 1-7 عقيدة امتلاك الأرض المتبقية.  وقد تحكم عاملان في هذه المحدودية:</w:t>
      </w:r>
    </w:p>
    <w:p w14:paraId="015ADEDD"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(1)</w:t>
      </w:r>
      <w:r w:rsidRPr="006A7C83">
        <w:rPr>
          <w:rFonts w:eastAsia="Times New Roman" w:cs="DecoType Naskh" w:hint="cs"/>
          <w:color w:val="auto"/>
          <w:kern w:val="0"/>
          <w:szCs w:val="26"/>
          <w:rtl/>
          <w:lang w:bidi="ar-JO"/>
          <w14:ligatures w14:val="none"/>
        </w:rPr>
        <w:tab/>
        <w:t>كانت المحدودية وفق حاجاتهم الراهنة.</w:t>
      </w:r>
    </w:p>
    <w:p w14:paraId="162476F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(2)</w:t>
      </w:r>
      <w:r w:rsidRPr="006A7C83">
        <w:rPr>
          <w:rFonts w:eastAsia="Times New Roman" w:cs="DecoType Naskh" w:hint="cs"/>
          <w:color w:val="auto"/>
          <w:kern w:val="0"/>
          <w:szCs w:val="26"/>
          <w:rtl/>
          <w:lang w:bidi="ar-JO"/>
          <w14:ligatures w14:val="none"/>
        </w:rPr>
        <w:tab/>
        <w:t xml:space="preserve">قدّم يهوه </w:t>
      </w:r>
      <w:r w:rsidRPr="006A7C83">
        <w:rPr>
          <w:rFonts w:eastAsia="Times New Roman" w:cs="DecoType Naskh" w:hint="cs"/>
          <w:color w:val="auto"/>
          <w:kern w:val="0"/>
          <w:szCs w:val="26"/>
          <w:u w:val="single"/>
          <w:rtl/>
          <w:lang w:bidi="ar-JO"/>
          <w14:ligatures w14:val="none"/>
        </w:rPr>
        <w:t>الوعد</w:t>
      </w:r>
      <w:r w:rsidRPr="006A7C83">
        <w:rPr>
          <w:rFonts w:eastAsia="Times New Roman" w:cs="DecoType Naskh" w:hint="cs"/>
          <w:color w:val="auto"/>
          <w:kern w:val="0"/>
          <w:szCs w:val="26"/>
          <w:rtl/>
          <w:lang w:bidi="ar-JO"/>
          <w14:ligatures w14:val="none"/>
        </w:rPr>
        <w:t xml:space="preserve"> بأنه سيقوم بنفسه بطرد الأعداء المتبقّين (يشوع 13: 6).</w:t>
      </w:r>
    </w:p>
    <w:p w14:paraId="0FF3A6F0"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يجب أخذ طبيعة العهد في الاعتبار.  فمتى يتحقق وعد ما؟ من أجل شرح توضيحي، لندرس الوعد التالي: "أنا أعد بأن أدفع كل رسوم دراستك في كلية اللاهوت!" عندما يأتي الفصل التالي، تأتي إلي فأدفع لك رسوم ذلك الفصل.  فهل تحقق الوعد؟ نعم، لكن يظل هنالك توقُّع مستقبلي... إذ لم يُستنفذ مدى الوعد.  وينطبق وعد الله لإسرائيل بالأرض بطريقة مماثلة: لقد كان مدى الوعد كبيراً بما يكفي لإعطائهم رجاء في امتلاك مستقبلي.</w:t>
      </w:r>
    </w:p>
    <w:p w14:paraId="11580AB0"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30"/>
          <w:szCs w:val="28"/>
          <w:rtl/>
          <w:lang w:bidi="ar-JO"/>
          <w14:ligatures w14:val="none"/>
        </w:rPr>
      </w:pPr>
      <w:r w:rsidRPr="006A7C83">
        <w:rPr>
          <w:rFonts w:eastAsia="Times New Roman" w:cs="DecoType Naskh" w:hint="cs"/>
          <w:color w:val="auto"/>
          <w:kern w:val="0"/>
          <w:szCs w:val="26"/>
          <w:rtl/>
          <w:lang w:bidi="ar-JO"/>
          <w14:ligatures w14:val="none"/>
        </w:rPr>
        <w:t>تُخصَّص لكل سبط مساحة من الأرض كميراث له، لكن يتوجب عليهم أن يقوموا باحتلال الأرض.  ولا تصبح الأرض المتبقية جزءاً من ميراث كل سبط إلاّ بمدى استعداده.</w:t>
      </w:r>
      <w:r w:rsidRPr="006A7C83">
        <w:rPr>
          <w:rFonts w:eastAsia="Times New Roman" w:cs="DecoType Naskh"/>
          <w:color w:val="auto"/>
          <w:kern w:val="0"/>
          <w:sz w:val="30"/>
          <w:szCs w:val="28"/>
          <w:vertAlign w:val="superscript"/>
          <w:rtl/>
          <w:lang w:bidi="ar-JO"/>
          <w14:ligatures w14:val="none"/>
        </w:rPr>
        <w:footnoteReference w:customMarkFollows="1" w:id="155"/>
        <w:t>2</w:t>
      </w:r>
    </w:p>
    <w:p w14:paraId="799EB45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p>
    <w:p w14:paraId="5878C70E"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3.</w:t>
      </w:r>
      <w:r w:rsidRPr="006A7C83">
        <w:rPr>
          <w:rFonts w:eastAsia="Times New Roman" w:cs="DecoType Naskh" w:hint="cs"/>
          <w:bCs/>
          <w:color w:val="auto"/>
          <w:kern w:val="0"/>
          <w:szCs w:val="28"/>
          <w:rtl/>
          <w:lang w:bidi="ar-JO"/>
          <w14:ligatures w14:val="none"/>
        </w:rPr>
        <w:tab/>
        <w:t>العهد في شكيم</w:t>
      </w:r>
    </w:p>
    <w:p w14:paraId="2C793FB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أثناء مرحلة فتح أرض كنعان، استخدم بنو إسرائيل الجلجال (قرب نهر الأردن) كمخيم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قاعدة لهم.  وعلى ما يبدو، كان فتح كنعان (من زمن عبورهم نهر الأردن إلى زمن توزيع الأرض) حوالي ست سنوات ونصف (بناء على عمر كالب؛ يشوع 4: 7، 10).  وحالما بدأ الأسباط بفتح الأرض، وضع بنو إسرائيل خيمة الاجتماع والمذبح في شيلوه، على بعد 21 ميلاً إلى الشمال من أورشليم في منطقة أفرايم الجبلية.  واستمرّت شيلوه تلعب وظيفة المركز الديني على مدى فترة القضاة وحتى زمن صموئيل (1صموئيل 1: 3).</w:t>
      </w:r>
    </w:p>
    <w:p w14:paraId="428E7BA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وقبل وقت قصير من موت يشوع، دعا كل أسباط إسرائيل إلى الاجتماع مرّة أخرى في شكيم (بين جبلي عيبال وجرزيم).  وكان الهدف من ذلك هو إعادة تكريس العهد، أو إعادة التوكيد على سلطة العهد بين يهوه والأمة.</w:t>
      </w:r>
      <w:r w:rsidRPr="006A7C83">
        <w:rPr>
          <w:rFonts w:eastAsia="Times New Roman" w:cs="DecoType Naskh"/>
          <w:color w:val="auto"/>
          <w:kern w:val="0"/>
          <w:szCs w:val="26"/>
          <w:vertAlign w:val="superscript"/>
          <w:rtl/>
          <w:lang w:bidi="ar-JO"/>
          <w14:ligatures w14:val="none"/>
        </w:rPr>
        <w:footnoteReference w:customMarkFollows="1" w:id="156"/>
        <w:t>3</w:t>
      </w:r>
      <w:r w:rsidRPr="006A7C83">
        <w:rPr>
          <w:rFonts w:eastAsia="Times New Roman" w:cs="DecoType Naskh" w:hint="cs"/>
          <w:color w:val="auto"/>
          <w:kern w:val="0"/>
          <w:szCs w:val="26"/>
          <w:rtl/>
          <w:lang w:bidi="ar-JO"/>
          <w14:ligatures w14:val="none"/>
        </w:rPr>
        <w:t xml:space="preserve"> وقد أكّد هذا على حقيقة أن العهد لم يكن ملائماً للحصول على الأرض فحسب، لكنه كان ملائماً أيضاً للمحافظة على الأرض.  فكان عليهم أن يتّخذوا قراراً بأن يطيعوا يهوه على مدى أجيالهم.  وكانت شكيم هي الموقع الملائم لكي تقوم فيه الأمة بالتوكيد على هذا القرار.  يقول إيرفنغ جنسن:</w:t>
      </w:r>
    </w:p>
    <w:p w14:paraId="6F2B125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هنا وعد الله أولاً إبراهيم بالأرض (تكوين 12: 6-7)؛ وهنا بنى يعقوب مذبحاً (تكوين 33: 20)؛ وهنا بنى يشوع مذبحاً وجدَّد علاقة عهد إسرائيل مع الله (يشوع 8: 30-35).  وقد ناشد يشوع إسرائيل أن تضع مصيرها بين يدي يهوه على أساس العهد.</w:t>
      </w:r>
      <w:r w:rsidRPr="006A7C83">
        <w:rPr>
          <w:rFonts w:eastAsia="Times New Roman" w:cs="DecoType Naskh"/>
          <w:color w:val="auto"/>
          <w:kern w:val="0"/>
          <w:sz w:val="30"/>
          <w:szCs w:val="28"/>
          <w:vertAlign w:val="superscript"/>
          <w:rtl/>
          <w:lang w:bidi="ar-JO"/>
          <w14:ligatures w14:val="none"/>
        </w:rPr>
        <w:footnoteReference w:customMarkFollows="1" w:id="157"/>
        <w:t>4</w:t>
      </w:r>
    </w:p>
    <w:p w14:paraId="626B1E18"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تنقسم رسالة يشوع إلى قسمين رئيسيين: (1) مراجعة لتاريخ إسرائيل السابق، و(2) تشجيع لهم على اتخاذ قرار في ما يتعلق بمستقبلهم.  تركِّز مراجعة تاريخ إسرائيل على وفاء يهوه أكثر مما تركّز على تمرّد إسرائيل.  والهدف واضح: كان يهوه وفياً لهم، لكن هل سيكونون أوفياء ليهوه؟ لا يجب عليهم أن يستخفّوا بالتحدي (24: 14 فصاعداً)، إذ كان الخيار واضحاً: "</w:t>
      </w:r>
      <w:r w:rsidRPr="006A7C83">
        <w:rPr>
          <w:rFonts w:eastAsia="Times New Roman" w:cs="DecoType Naskh" w:hint="cs"/>
          <w:i/>
          <w:iCs/>
          <w:color w:val="auto"/>
          <w:kern w:val="0"/>
          <w:szCs w:val="26"/>
          <w:rtl/>
          <w:lang w:bidi="ar-JO"/>
          <w14:ligatures w14:val="none"/>
        </w:rPr>
        <w:t>اختاروا لأنفسكم اليوم  من تعبدون</w:t>
      </w:r>
      <w:r w:rsidRPr="006A7C83">
        <w:rPr>
          <w:rFonts w:eastAsia="Times New Roman" w:cs="DecoType Naskh" w:hint="cs"/>
          <w:color w:val="auto"/>
          <w:kern w:val="0"/>
          <w:szCs w:val="26"/>
          <w:rtl/>
          <w:lang w:bidi="ar-JO"/>
          <w14:ligatures w14:val="none"/>
        </w:rPr>
        <w:t xml:space="preserve">" ... فإمّا يهوه وإمّا الآلهة الأخرى.  </w:t>
      </w:r>
      <w:r w:rsidRPr="006A7C83">
        <w:rPr>
          <w:rFonts w:eastAsia="Times New Roman" w:cs="DecoType Naskh" w:hint="cs"/>
          <w:color w:val="auto"/>
          <w:kern w:val="0"/>
          <w:szCs w:val="26"/>
          <w:rtl/>
          <w:lang w:bidi="ar-JO"/>
          <w14:ligatures w14:val="none"/>
        </w:rPr>
        <w:lastRenderedPageBreak/>
        <w:t>وقد قدّم يشوع نفسه، بصفته قائداً أميناً، كمثال للشعب (الآية 15).  وعندما استجابت الأمة بشكل إيجابي، حثّهم يشوع على أن يتأكّدوا من أن قرارهم أصيل ومروّى فيه ومخْلِصاً (الآيتان 19-20).  أصرَّ الشعب على أنهم مخلِصون، "</w:t>
      </w:r>
      <w:r w:rsidRPr="006A7C83">
        <w:rPr>
          <w:rFonts w:eastAsia="Times New Roman" w:cs="DecoType Naskh" w:hint="cs"/>
          <w:i/>
          <w:iCs/>
          <w:color w:val="auto"/>
          <w:kern w:val="0"/>
          <w:szCs w:val="26"/>
          <w:rtl/>
          <w:lang w:bidi="ar-JO"/>
          <w14:ligatures w14:val="none"/>
        </w:rPr>
        <w:t>لا. بل الرب نعبد</w:t>
      </w:r>
      <w:r w:rsidRPr="006A7C83">
        <w:rPr>
          <w:rFonts w:eastAsia="Times New Roman" w:cs="DecoType Naskh" w:hint="cs"/>
          <w:color w:val="auto"/>
          <w:kern w:val="0"/>
          <w:szCs w:val="26"/>
          <w:rtl/>
          <w:lang w:bidi="ar-JO"/>
          <w14:ligatures w14:val="none"/>
        </w:rPr>
        <w:t>؟" وخُتم القرار بعهد (الآية 25).  وهذا مشهد هام، لأنه يشكّل تحذيراً وتمهيداً للأحداث المدونة في سفر القضاة.  ومع اختتام سفر يشوع، نرى الشعب مصرّين على أن يخدموا ويطيعوا يهوه؛ لكن مع مجيء فترة القضاة، نرى الأمة تفشل في تكريسها هذا!</w:t>
      </w:r>
    </w:p>
    <w:p w14:paraId="426E690B"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KW"/>
          <w14:ligatures w14:val="none"/>
        </w:rPr>
      </w:pPr>
    </w:p>
    <w:p w14:paraId="20C09B2C"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4.</w:t>
      </w:r>
      <w:r w:rsidRPr="006A7C83">
        <w:rPr>
          <w:rFonts w:eastAsia="Times New Roman" w:cs="DecoType Naskh" w:hint="cs"/>
          <w:bCs/>
          <w:color w:val="auto"/>
          <w:kern w:val="0"/>
          <w:szCs w:val="28"/>
          <w:rtl/>
          <w:lang w:bidi="ar-JO"/>
          <w14:ligatures w14:val="none"/>
        </w:rPr>
        <w:tab/>
        <w:t>الدلالة الروحية للفتح</w:t>
      </w:r>
    </w:p>
    <w:p w14:paraId="180DA81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حاول رعاة كثيرون أن يميطوا اللثام عن الأهمية الروحية لسفر يشوع لمؤمني العهد الجديد.  فما علاقتنا نحن بفتح الأرض وتقسيمها إلى حصص؟ أعتقد أنه يتوجب علينا أن ندرك أن الدور الأساسي للسفر يكمن في تقرير أمانة يهوه ووفائه في تنفيذ وعود البرنامج الإلهي المرسّخة في العهد الإبراهيمي.</w:t>
      </w:r>
    </w:p>
    <w:p w14:paraId="5EF69B00"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5A539A0"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غير أنه يبدو أن هنالك استخداماً مشروعاً للأفكار الموجودة في سفري العدد ويشوع في تشكيل لاهوت العهد الجديد.  فمثلاً تبنى على هذين السفرين مادّة عبرانيين 3: 1-4: 16 وموضوع "الراحة".</w:t>
      </w:r>
    </w:p>
    <w:p w14:paraId="1EA074D0"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0CAE0032" w14:textId="2A863662"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وأنا أعتقد أن كثيراً من التشويش قد اختلط بالصورة في تفكيرنا.  وتمثّل الآراء التالية طرقاً مختلفة لفهم تطبيق هذه المادة:</w:t>
      </w:r>
    </w:p>
    <w:p w14:paraId="0A4A2D3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(1)</w:t>
      </w:r>
      <w:r w:rsidRPr="006A7C83">
        <w:rPr>
          <w:rFonts w:eastAsia="Times New Roman" w:cs="DecoType Naskh" w:hint="cs"/>
          <w:color w:val="auto"/>
          <w:kern w:val="0"/>
          <w:szCs w:val="26"/>
          <w:rtl/>
          <w:lang w:bidi="ar-JO"/>
          <w14:ligatures w14:val="none"/>
        </w:rPr>
        <w:tab/>
        <w:t>يصوّر قدر كبير من الترانيم المسيحية والأدب التأمّلي العِبادي أرض كنعان نموذجاً لمجدنا السماوي.  لاحظ الأبيات التالية من إحدى الترانيم:</w:t>
      </w:r>
    </w:p>
    <w:p w14:paraId="5AB599E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عندما أطأ ضفّة نهر الأردن،</w:t>
      </w:r>
    </w:p>
    <w:p w14:paraId="03DD3318"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تتراجع مخاوفي القلِقة؛</w:t>
      </w:r>
    </w:p>
    <w:p w14:paraId="57FDD7D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يموت الموت، ويدمَّر الجحيم،</w:t>
      </w:r>
    </w:p>
    <w:p w14:paraId="404E2ED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2155"/>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وأهبط سالماً على جانب كنعان.</w:t>
      </w:r>
    </w:p>
    <w:p w14:paraId="1266EE5B"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2)</w:t>
      </w:r>
      <w:r w:rsidRPr="006A7C83">
        <w:rPr>
          <w:rFonts w:eastAsia="Times New Roman" w:cs="DecoType Naskh" w:hint="cs"/>
          <w:color w:val="auto"/>
          <w:kern w:val="0"/>
          <w:szCs w:val="26"/>
          <w:rtl/>
          <w:lang w:bidi="ar-JO"/>
          <w14:ligatures w14:val="none"/>
        </w:rPr>
        <w:tab/>
        <w:t>يرى آخرون في فتح كنعان ("</w:t>
      </w:r>
      <w:r w:rsidRPr="006A7C83">
        <w:rPr>
          <w:rFonts w:eastAsia="Times New Roman" w:cs="DecoType Naskh" w:hint="cs"/>
          <w:i/>
          <w:iCs/>
          <w:color w:val="auto"/>
          <w:kern w:val="0"/>
          <w:szCs w:val="26"/>
          <w:rtl/>
          <w:lang w:bidi="ar-JO"/>
          <w14:ligatures w14:val="none"/>
        </w:rPr>
        <w:t>كل موضع تدوسه بطون أقدامكم لكم أعطيه</w:t>
      </w:r>
      <w:r w:rsidRPr="006A7C83">
        <w:rPr>
          <w:rFonts w:eastAsia="Times New Roman" w:cs="DecoType Naskh" w:hint="cs"/>
          <w:color w:val="auto"/>
          <w:kern w:val="0"/>
          <w:szCs w:val="26"/>
          <w:rtl/>
          <w:lang w:bidi="ar-JO"/>
          <w14:ligatures w14:val="none"/>
        </w:rPr>
        <w:t>" يشوع 1: 3) صورة لتحقيق الكنيسة للمأمورية العظمى وأخذ كل الأرض.</w:t>
      </w:r>
      <w:r w:rsidRPr="006A7C83">
        <w:rPr>
          <w:rFonts w:eastAsia="Times New Roman" w:cs="DecoType Naskh"/>
          <w:color w:val="auto"/>
          <w:kern w:val="0"/>
          <w:sz w:val="30"/>
          <w:szCs w:val="28"/>
          <w:vertAlign w:val="superscript"/>
          <w:rtl/>
          <w:lang w:bidi="ar-JO"/>
          <w14:ligatures w14:val="none"/>
        </w:rPr>
        <w:footnoteReference w:customMarkFollows="1" w:id="158"/>
        <w:t>5</w:t>
      </w:r>
    </w:p>
    <w:p w14:paraId="11D2D82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3)</w:t>
      </w:r>
      <w:r w:rsidRPr="006A7C83">
        <w:rPr>
          <w:rFonts w:eastAsia="Times New Roman" w:cs="DecoType Naskh" w:hint="cs"/>
          <w:color w:val="auto"/>
          <w:kern w:val="0"/>
          <w:szCs w:val="26"/>
          <w:rtl/>
          <w:lang w:bidi="ar-JO"/>
          <w14:ligatures w14:val="none"/>
        </w:rPr>
        <w:tab/>
        <w:t>ونرى، مرّة أخرى، أولئك الذين يحاولون أن يدمجوا مادة عبرانيين 3-4 ليروا في يشوع صورة للمؤمن الذي يدخل حياة راحة الإيمان.  وهم يقولون إن بني إسرائيل تحت قيادة يشوع يصوّرون المؤمنين الذين دخلوا "الحياة المنتصرة" و"المرتاحين" من أعمالهم وهمومهم، مكتشفين سر "ترك الرب يعمل عنهم".</w:t>
      </w:r>
    </w:p>
    <w:p w14:paraId="60BB0165"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4)</w:t>
      </w:r>
      <w:r w:rsidRPr="006A7C83">
        <w:rPr>
          <w:rFonts w:eastAsia="Times New Roman" w:cs="DecoType Naskh" w:hint="cs"/>
          <w:color w:val="auto"/>
          <w:kern w:val="0"/>
          <w:szCs w:val="26"/>
          <w:rtl/>
          <w:lang w:bidi="ar-JO"/>
          <w14:ligatures w14:val="none"/>
        </w:rPr>
        <w:tab/>
        <w:t>ويوجد رأي متفرع من الرأي السابق يقول إن البرية وكنعان تصوّران المقابلة بين المؤمن الذي هو خارج نطاق الشركة مع الله والمؤمن الذي يحيا حياة عبادة لله، أو المقابلة بين المؤمن الجسدي والمؤمن الممتلئ بالروح.</w:t>
      </w:r>
    </w:p>
    <w:p w14:paraId="0131667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F35D1B4" w14:textId="79E11F6C"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يجب علينا مقاومة هذا النوع من التفسير المجازي! فمثل هذه الرموز الروحية يظلم المعطيات المتوفرة لنا من الرسالة إلى العبرانيين وتوكيدها على الاحتمال والتأديب والأمانة والميراث والتوقّعات الأخروية.  وعلى الرغم من أن تناولاً شاملاً لتفسير عبرانيين 3-4 أمر يتجاوز مدى هذا الدرس، إلاّ أنه يتوجّب إبداء بعض الملاحظات.  يُظهر الكاتب اهتماماً </w:t>
      </w:r>
      <w:r w:rsidRPr="006A7C83">
        <w:rPr>
          <w:rFonts w:eastAsia="Times New Roman" w:cs="DecoType Naskh" w:hint="cs"/>
          <w:color w:val="auto"/>
          <w:kern w:val="0"/>
          <w:szCs w:val="26"/>
          <w:u w:val="single"/>
          <w:rtl/>
          <w:lang w:bidi="ar-JO"/>
          <w14:ligatures w14:val="none"/>
        </w:rPr>
        <w:t>بشعب الله</w:t>
      </w:r>
      <w:r w:rsidRPr="006A7C83">
        <w:rPr>
          <w:rFonts w:eastAsia="Times New Roman" w:cs="DecoType Naskh" w:hint="cs"/>
          <w:color w:val="auto"/>
          <w:kern w:val="0"/>
          <w:szCs w:val="26"/>
          <w:rtl/>
          <w:lang w:bidi="ar-JO"/>
          <w14:ligatures w14:val="none"/>
        </w:rPr>
        <w:t xml:space="preserve"> القدماء، الذين قسّى بعضهم قلوبهم وابتعدوا عن الرب في عدم إيمان (أي جيل البرية).  ويبدو أن الفكرة كلّها تؤكد على حقيقة أنهم فوّتوا </w:t>
      </w:r>
      <w:r w:rsidRPr="006A7C83">
        <w:rPr>
          <w:rFonts w:eastAsia="Times New Roman" w:cs="DecoType Naskh" w:hint="cs"/>
          <w:color w:val="auto"/>
          <w:kern w:val="0"/>
          <w:szCs w:val="26"/>
          <w:u w:val="single"/>
          <w:rtl/>
          <w:lang w:bidi="ar-JO"/>
          <w14:ligatures w14:val="none"/>
        </w:rPr>
        <w:t>الميراث</w:t>
      </w:r>
      <w:r w:rsidRPr="006A7C83">
        <w:rPr>
          <w:rFonts w:eastAsia="Times New Roman" w:cs="DecoType Naskh" w:hint="cs"/>
          <w:color w:val="auto"/>
          <w:kern w:val="0"/>
          <w:szCs w:val="26"/>
          <w:rtl/>
          <w:lang w:bidi="ar-JO"/>
          <w14:ligatures w14:val="none"/>
        </w:rPr>
        <w:t xml:space="preserve"> الذي كان في مقدورهم أن يحصلوا عليه (لا على حقيقة أنهم فقدوا الخلاص).  يوجد وعد براحة يمكن دخولها (عبرانيين 4: 1)، والإيمان هو طريق الدخول </w:t>
      </w:r>
      <w:r w:rsidRPr="006A7C83">
        <w:rPr>
          <w:rFonts w:eastAsia="Times New Roman" w:cs="DecoType Naskh" w:hint="cs"/>
          <w:color w:val="auto"/>
          <w:kern w:val="0"/>
          <w:szCs w:val="26"/>
          <w:rtl/>
          <w:lang w:bidi="ar-JO"/>
          <w14:ligatures w14:val="none"/>
        </w:rPr>
        <w:lastRenderedPageBreak/>
        <w:t>(4: 3).  لكن "الراحة" ليست الخلاص، حيث يتابع الكاتب حجّته فيقول: "</w:t>
      </w:r>
      <w:r w:rsidRPr="006A7C83">
        <w:rPr>
          <w:rFonts w:eastAsia="Times New Roman" w:cs="DecoType Naskh" w:hint="cs"/>
          <w:i/>
          <w:iCs/>
          <w:color w:val="auto"/>
          <w:kern w:val="0"/>
          <w:szCs w:val="26"/>
          <w:rtl/>
          <w:lang w:bidi="ar-JO"/>
          <w14:ligatures w14:val="none"/>
        </w:rPr>
        <w:t>إذاً بقيت راحة (راحة سبت) لشعب الله.</w:t>
      </w:r>
      <w:r w:rsidRPr="006A7C83">
        <w:rPr>
          <w:rFonts w:eastAsia="Times New Roman" w:cs="DecoType Naskh" w:hint="cs"/>
          <w:color w:val="auto"/>
          <w:kern w:val="0"/>
          <w:szCs w:val="26"/>
          <w:rtl/>
          <w:lang w:bidi="ar-JO"/>
          <w14:ligatures w14:val="none"/>
        </w:rPr>
        <w:t>"  ومن الواضح أن الأعمال التي تتحدث عنها عبرانيين 4: 10 ليست "أعمالاً سيئة " أو "أعمال الجسد" (أي الجهود الذاتية)، لأنها تشبّه بأعمال الله، ومن المؤكد أن أعمال الله ليست شرّيرة أو جسدية.  ويتطلّع توقّفنا من أعمال (4: 10) إلى الوقت الذي سندخُل فيه "راحتنا" ولا نضطر فيما بعد إلى العمل.  وفي هذه الأثناء، يجب أن نجتهد في الدخول إلى تلك "الراحة"، أي يجب أن نعمل الآن لكي نستريح لاحقاً.  فهنالك الأعمال الصالحة التي يجب أن يعملها المؤمن في هذه الحياة (انظر أفسس 2: 10؛ كولوسي 1: 29؛ تيطس 3: 8).  ويجب علينا، انسجاماً مع لاهوت الرسالة إلى العبرانيين، أن نحتمل ونصبر مع المسيح، وأن نبقى أوفياء له، وأن ننشغل بأعمال الخدمة والعبادة الصالحة! هذه هي الرسالة، ونحن نراها ملخَّصة في 10: 36: "</w:t>
      </w:r>
      <w:r w:rsidRPr="006A7C83">
        <w:rPr>
          <w:rFonts w:eastAsia="Times New Roman" w:cs="DecoType Naskh" w:hint="cs"/>
          <w:i/>
          <w:iCs/>
          <w:color w:val="auto"/>
          <w:kern w:val="0"/>
          <w:szCs w:val="26"/>
          <w:rtl/>
          <w:lang w:bidi="ar-JO"/>
          <w14:ligatures w14:val="none"/>
        </w:rPr>
        <w:t>لأنكم تحتاجون إلى الصبر، حتى إذا صنعتم مشيئة الله تنالون الموعد</w:t>
      </w:r>
      <w:r w:rsidRPr="006A7C83">
        <w:rPr>
          <w:rFonts w:eastAsia="Times New Roman" w:cs="DecoType Naskh" w:hint="cs"/>
          <w:color w:val="auto"/>
          <w:kern w:val="0"/>
          <w:szCs w:val="26"/>
          <w:rtl/>
          <w:lang w:bidi="ar-JO"/>
          <w14:ligatures w14:val="none"/>
        </w:rPr>
        <w:t>." يجب أن نصنع مشيئة الله (أعمالنا الصالحة)، وإلاّ ربما لا نحصل على ما وُعدنا به.  يمكن أن يجعلنا العصيان نفشل في الدخول إلى "الراحة" التي نرث فيها المواعيد (4: 6)!</w:t>
      </w:r>
    </w:p>
    <w:p w14:paraId="2EBACFB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كل هذا مرتبط بمفهوم الميراث المتاح لنا في "خلاصنا الأُخروي" (انظر عبرانيين 1: 14).  عندما أنظر إلى كيفية تطوّر مفهوم "الراحة" في الكتاب المقدّس، فإني أعتبر أنه يتطلع إلى تلك الفترة التي سيؤسس فيها المسيّا يسوع حُكم مملكته على الأرض لدى عودته.  ويعتمد ميراثنا ومستقبلنا في ذلك الحكم على ما نفعله في هذه الحياة.  وإن الأفكار التي تتضمن هذا التوقع موجودة في رواية سفر يشوع.  إذ يتطلع السفر بشكل أساسي إلى الحصول على الميراث! لكن الميراث ليس مضموناً.  فلا يمكن أن يتم الحصول عليه إلاّ بالإيمان وطاعة الرب (بالمقابلة مع جيل البريّة الذي تمرّد في عدم إيمان).  إن طاعة الكلمة أمر جوهري (يشوع 1: 7-8)؛ والميراث أمر جوهري أيضاً... يجب أن ننهي عملنا... ، نُكمل مهمّتنا... لا أن نتراجع.  وفضلاً عن ذلك، يجب علينا أن نكون مستعدّين لمواجهة مقاومة الأعداء.  لكن أعداءنا مختلفون عن أعداء يشوع حيث أن أعداءنا روحيون ("ليست مصارعتنا مع لحم ودم"، أفسس 6: 10 فصاعداً).  ليست كنعان "حياة منتصرة" حيث لا يوجد قلق أو هم؛ بل هي أرض معركة! غير أني لا أقترح هنا أن نحارب بطاقة الجسد.  لقد حارب بنو إسرائيل، لكن الله هو الذي حارب عنهم (يشوع 23: 3).  ويُقدِّم لنا الرسول بولس نفسه مثلاً (كولوسي 1: 29).  وأنا أربط سفر يشوع بالمؤمنين بالمسيح بالطريقة التالية:</w:t>
      </w:r>
    </w:p>
    <w:p w14:paraId="4FC079CC"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يصوّر سفر يشوع انشغالنا وحربنا التي لا هوادة فيها مع الأعداء الروحيين في الحياة الحاضرة ونحن نتبع المسيح، يشوعنا، مطيعين كلمته وخادمين إيّاه بأمانة لكي نحصل على ميراثنا الأبدي عندما يأتي الرب بـ "عصر الراحة" الحقيقي.</w:t>
      </w:r>
    </w:p>
    <w:p w14:paraId="260D75C8"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نرى هذا التحدي في الأمر المعطى للأسباط (22: 5)، وكالب مثال عظيم يجدر بنا أن نقتدي به. (14: 9).</w:t>
      </w:r>
    </w:p>
    <w:p w14:paraId="6D6C37F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14:ligatures w14:val="none"/>
        </w:rPr>
      </w:pPr>
    </w:p>
    <w:p w14:paraId="6BAD1045" w14:textId="77777777" w:rsidR="006A7C83" w:rsidRPr="006A7C83" w:rsidRDefault="006A7C83" w:rsidP="002D6C54">
      <w:pPr>
        <w:bidi/>
        <w:spacing w:after="0" w:line="240" w:lineRule="auto"/>
        <w:jc w:val="center"/>
        <w:rPr>
          <w:rFonts w:eastAsia="Times New Roman" w:cs="DecoType Naskh"/>
          <w:color w:val="A50021"/>
          <w:kern w:val="0"/>
          <w:szCs w:val="32"/>
          <w:rtl/>
          <w:lang w:bidi="ar-JO"/>
          <w14:ligatures w14:val="none"/>
        </w:rPr>
      </w:pPr>
    </w:p>
    <w:p w14:paraId="695610CA" w14:textId="77777777" w:rsidR="006A7C83" w:rsidRPr="006A7C83" w:rsidRDefault="006A7C83" w:rsidP="002D6C54">
      <w:pPr>
        <w:bidi/>
        <w:spacing w:after="0" w:line="240" w:lineRule="auto"/>
        <w:jc w:val="center"/>
        <w:rPr>
          <w:rFonts w:eastAsia="Times New Roman" w:cs="DecoType Naskh"/>
          <w:color w:val="A50021"/>
          <w:kern w:val="0"/>
          <w:szCs w:val="32"/>
          <w:rtl/>
          <w:lang w:bidi="ar-JO"/>
          <w14:ligatures w14:val="none"/>
        </w:rPr>
      </w:pPr>
    </w:p>
    <w:p w14:paraId="25CEFA9D" w14:textId="77777777" w:rsidR="006A7C83" w:rsidRPr="006A7C83" w:rsidRDefault="006A7C83" w:rsidP="002D6C54">
      <w:pPr>
        <w:bidi/>
        <w:spacing w:after="0" w:line="240" w:lineRule="auto"/>
        <w:jc w:val="center"/>
        <w:rPr>
          <w:rFonts w:eastAsia="Times New Roman" w:cs="DecoType Naskh"/>
          <w:color w:val="A50021"/>
          <w:kern w:val="0"/>
          <w:szCs w:val="32"/>
          <w:rtl/>
          <w:lang w:bidi="ar-JO"/>
          <w14:ligatures w14:val="none"/>
        </w:rPr>
      </w:pPr>
    </w:p>
    <w:p w14:paraId="25B6EC45" w14:textId="77777777" w:rsidR="005B452F" w:rsidRPr="007A4B15" w:rsidRDefault="005B452F"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strike/>
          <w:kern w:val="0"/>
          <w:szCs w:val="24"/>
          <w14:ligatures w14:val="none"/>
        </w:rPr>
      </w:pPr>
    </w:p>
    <w:p w14:paraId="4C9BAF5F" w14:textId="77777777" w:rsidR="00736F8C" w:rsidRDefault="00736F8C">
      <w:pPr>
        <w:rPr>
          <w:rFonts w:ascii="Simplified Arabic" w:hAnsi="Simplified Arabic" w:cs="Simplified Arabic"/>
          <w:b/>
          <w:bCs/>
          <w:kern w:val="0"/>
          <w:sz w:val="40"/>
          <w:szCs w:val="40"/>
          <w:rtl/>
        </w:rPr>
      </w:pPr>
      <w:bookmarkStart w:id="152" w:name="_Toc164420069"/>
      <w:bookmarkStart w:id="153" w:name="_Hlk178779285"/>
      <w:r>
        <w:rPr>
          <w:rFonts w:ascii="Simplified Arabic" w:hAnsi="Simplified Arabic" w:cs="Simplified Arabic"/>
          <w:rtl/>
        </w:rPr>
        <w:br w:type="page"/>
      </w:r>
    </w:p>
    <w:p w14:paraId="6F60BC22" w14:textId="4C7F598F" w:rsidR="00311C51" w:rsidRPr="00915244" w:rsidRDefault="00915244" w:rsidP="00915244">
      <w:pPr>
        <w:pStyle w:val="Heading2"/>
        <w:bidi/>
        <w:rPr>
          <w:rFonts w:ascii="Simplified Arabic" w:eastAsia="Calibri" w:hAnsi="Simplified Arabic" w:cs="Simplified Arabic"/>
          <w14:ligatures w14:val="none"/>
        </w:rPr>
      </w:pPr>
      <w:r w:rsidRPr="00915244">
        <w:rPr>
          <w:rFonts w:ascii="Simplified Arabic" w:hAnsi="Simplified Arabic" w:cs="Simplified Arabic"/>
          <w:rtl/>
        </w:rPr>
        <w:lastRenderedPageBreak/>
        <w:t xml:space="preserve">الدرس 11: </w:t>
      </w:r>
      <w:r w:rsidRPr="00915244">
        <w:rPr>
          <w:rFonts w:ascii="Simplified Arabic" w:hAnsi="Simplified Arabic" w:cs="Simplified Arabic"/>
          <w:rtl/>
          <w14:ligatures w14:val="none"/>
        </w:rPr>
        <w:t>ضلال إسرائيل في فترة القضاة (قضاة 1-21)</w:t>
      </w:r>
      <w:r w:rsidR="009810D1" w:rsidRPr="00915244">
        <w:rPr>
          <w:rFonts w:ascii="Simplified Arabic" w:hAnsi="Simplified Arabic" w:cs="Simplified Arabic"/>
        </w:rPr>
        <w:br/>
      </w:r>
      <w:bookmarkEnd w:id="152"/>
    </w:p>
    <w:p w14:paraId="5FC992AA" w14:textId="3832CC98" w:rsidR="008B149F" w:rsidRPr="006904BD" w:rsidRDefault="006904BD" w:rsidP="006904BD">
      <w:pPr>
        <w:pStyle w:val="Heading3"/>
        <w:bidi/>
        <w:spacing w:line="240" w:lineRule="auto"/>
        <w:rPr>
          <w:rFonts w:ascii="Simplified Arabic" w:hAnsi="Simplified Arabic" w:cs="Simplified Arabic"/>
          <w:lang w:val="fr-FR"/>
        </w:rPr>
      </w:pPr>
      <w:r w:rsidRPr="006904BD">
        <w:rPr>
          <w:rFonts w:ascii="Simplified Arabic" w:hAnsi="Simplified Arabic" w:cs="Simplified Arabic"/>
          <w:rtl/>
          <w:lang w:val="fr-FR"/>
        </w:rPr>
        <w:t>مُقدِّمة الدرس</w:t>
      </w:r>
    </w:p>
    <w:p w14:paraId="530C5BB9" w14:textId="4CC400FF" w:rsidR="008B149F" w:rsidRPr="006904BD" w:rsidRDefault="006904BD" w:rsidP="006904BD">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lang w:bidi="ar-JO"/>
          <w14:ligatures w14:val="none"/>
        </w:rPr>
      </w:pPr>
      <w:r w:rsidRPr="006904BD">
        <w:rPr>
          <w:rFonts w:ascii="Simplified Arabic" w:eastAsia="Calibri" w:hAnsi="Simplified Arabic" w:cs="Simplified Arabic"/>
          <w:kern w:val="0"/>
          <w:sz w:val="26"/>
          <w:szCs w:val="26"/>
          <w:rtl/>
          <w14:ligatures w14:val="none"/>
        </w:rPr>
        <w:t xml:space="preserve">أبلى الجيل الذي دخل الأرض وهزم الكنعانيّين بقيادة يشوع بلاءً حسنًا. </w:t>
      </w:r>
      <w:r w:rsidR="00736F8C">
        <w:rPr>
          <w:rFonts w:ascii="Simplified Arabic" w:eastAsia="Calibri" w:hAnsi="Simplified Arabic" w:cs="Simplified Arabic" w:hint="cs"/>
          <w:kern w:val="0"/>
          <w:sz w:val="26"/>
          <w:szCs w:val="26"/>
          <w:rtl/>
          <w14:ligatures w14:val="none"/>
        </w:rPr>
        <w:t>ف</w:t>
      </w:r>
      <w:r w:rsidRPr="006904BD">
        <w:rPr>
          <w:rFonts w:ascii="Simplified Arabic" w:eastAsia="Calibri" w:hAnsi="Simplified Arabic" w:cs="Simplified Arabic"/>
          <w:kern w:val="0"/>
          <w:sz w:val="26"/>
          <w:szCs w:val="26"/>
          <w:rtl/>
          <w14:ligatures w14:val="none"/>
        </w:rPr>
        <w:t>قد عبدوا الرب</w:t>
      </w:r>
      <w:r w:rsidR="00736F8C">
        <w:rPr>
          <w:rFonts w:ascii="Simplified Arabic" w:eastAsia="Calibri" w:hAnsi="Simplified Arabic" w:cs="Simplified Arabic" w:hint="cs"/>
          <w:kern w:val="0"/>
          <w:sz w:val="26"/>
          <w:szCs w:val="26"/>
          <w:rtl/>
          <w14:ligatures w14:val="none"/>
        </w:rPr>
        <w:t>ّ</w:t>
      </w:r>
      <w:r w:rsidRPr="006904BD">
        <w:rPr>
          <w:rFonts w:ascii="Simplified Arabic" w:eastAsia="Calibri" w:hAnsi="Simplified Arabic" w:cs="Simplified Arabic"/>
          <w:kern w:val="0"/>
          <w:sz w:val="26"/>
          <w:szCs w:val="26"/>
          <w:rtl/>
          <w14:ligatures w14:val="none"/>
        </w:rPr>
        <w:t xml:space="preserve"> وخدموه وكانوا أمناء بصورة </w:t>
      </w:r>
      <w:r w:rsidR="00736F8C">
        <w:rPr>
          <w:rFonts w:ascii="Simplified Arabic" w:eastAsia="Calibri" w:hAnsi="Simplified Arabic" w:cs="Simplified Arabic" w:hint="cs"/>
          <w:kern w:val="0"/>
          <w:sz w:val="26"/>
          <w:szCs w:val="26"/>
          <w:rtl/>
          <w14:ligatures w14:val="none"/>
        </w:rPr>
        <w:t>أ</w:t>
      </w:r>
      <w:r w:rsidRPr="006904BD">
        <w:rPr>
          <w:rFonts w:ascii="Simplified Arabic" w:eastAsia="Calibri" w:hAnsi="Simplified Arabic" w:cs="Simplified Arabic"/>
          <w:kern w:val="0"/>
          <w:sz w:val="26"/>
          <w:szCs w:val="26"/>
          <w:rtl/>
          <w14:ligatures w14:val="none"/>
        </w:rPr>
        <w:t xml:space="preserve">ساسيّة للعهد الموسوي. </w:t>
      </w:r>
      <w:r>
        <w:rPr>
          <w:rFonts w:ascii="Simplified Arabic" w:eastAsia="Calibri" w:hAnsi="Simplified Arabic" w:cs="Simplified Arabic" w:hint="cs"/>
          <w:kern w:val="0"/>
          <w:sz w:val="26"/>
          <w:szCs w:val="26"/>
          <w:rtl/>
          <w14:ligatures w14:val="none"/>
        </w:rPr>
        <w:t>الحال في سفر القضاة على النقيض من ذلك، كما يُرى مم</w:t>
      </w:r>
      <w:r w:rsidR="00736F8C">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ا يسجِّله لنا عمّا فعلته الأجيال التالية. امتدّت هذه الفترة ما بين العامين 1360 و1060 ق.م. تقريبًا. [تُوِّج شاول ملكًا أوَّل عام 1051 ق.م.] </w:t>
      </w:r>
      <w:r w:rsidR="009E5AB3">
        <w:rPr>
          <w:rFonts w:ascii="Simplified Arabic" w:eastAsia="Calibri" w:hAnsi="Simplified Arabic" w:cs="Simplified Arabic" w:hint="cs"/>
          <w:kern w:val="0"/>
          <w:sz w:val="26"/>
          <w:szCs w:val="26"/>
          <w:rtl/>
          <w:lang w:bidi="ar-JO"/>
          <w14:ligatures w14:val="none"/>
        </w:rPr>
        <w:t>هذا هو الوقت الذي كان شعب إسرائيل يُدار بوصفه "ثيوقراطيّة"، أي تحتَ حكمٍ مباشر من الله، من دون وجود ملكٍ بشري</w:t>
      </w:r>
      <w:r w:rsidR="00736F8C">
        <w:rPr>
          <w:rFonts w:ascii="Simplified Arabic" w:eastAsia="Calibri" w:hAnsi="Simplified Arabic" w:cs="Simplified Arabic" w:hint="cs"/>
          <w:kern w:val="0"/>
          <w:sz w:val="26"/>
          <w:szCs w:val="26"/>
          <w:rtl/>
          <w:lang w:bidi="ar-JO"/>
          <w14:ligatures w14:val="none"/>
        </w:rPr>
        <w:t>ّ</w:t>
      </w:r>
      <w:r w:rsidR="009E5AB3">
        <w:rPr>
          <w:rFonts w:ascii="Simplified Arabic" w:eastAsia="Calibri" w:hAnsi="Simplified Arabic" w:cs="Simplified Arabic" w:hint="cs"/>
          <w:kern w:val="0"/>
          <w:sz w:val="26"/>
          <w:szCs w:val="26"/>
          <w:rtl/>
          <w:lang w:bidi="ar-JO"/>
          <w14:ligatures w14:val="none"/>
        </w:rPr>
        <w:t>. وباختصار، كانت فترة</w:t>
      </w:r>
      <w:r w:rsidR="00736F8C">
        <w:rPr>
          <w:rFonts w:ascii="Simplified Arabic" w:eastAsia="Calibri" w:hAnsi="Simplified Arabic" w:cs="Simplified Arabic" w:hint="cs"/>
          <w:kern w:val="0"/>
          <w:sz w:val="26"/>
          <w:szCs w:val="26"/>
          <w:rtl/>
          <w:lang w:bidi="ar-JO"/>
          <w14:ligatures w14:val="none"/>
        </w:rPr>
        <w:t>َ</w:t>
      </w:r>
      <w:r w:rsidR="009E5AB3">
        <w:rPr>
          <w:rFonts w:ascii="Simplified Arabic" w:eastAsia="Calibri" w:hAnsi="Simplified Arabic" w:cs="Simplified Arabic" w:hint="cs"/>
          <w:kern w:val="0"/>
          <w:sz w:val="26"/>
          <w:szCs w:val="26"/>
          <w:rtl/>
          <w:lang w:bidi="ar-JO"/>
          <w14:ligatures w14:val="none"/>
        </w:rPr>
        <w:t xml:space="preserve"> فشل</w:t>
      </w:r>
      <w:r w:rsidR="00736F8C">
        <w:rPr>
          <w:rFonts w:ascii="Simplified Arabic" w:eastAsia="Calibri" w:hAnsi="Simplified Arabic" w:cs="Simplified Arabic" w:hint="cs"/>
          <w:kern w:val="0"/>
          <w:sz w:val="26"/>
          <w:szCs w:val="26"/>
          <w:rtl/>
          <w:lang w:bidi="ar-JO"/>
          <w14:ligatures w14:val="none"/>
        </w:rPr>
        <w:t>ٍ</w:t>
      </w:r>
      <w:r w:rsidR="009E5AB3">
        <w:rPr>
          <w:rFonts w:ascii="Simplified Arabic" w:eastAsia="Calibri" w:hAnsi="Simplified Arabic" w:cs="Simplified Arabic" w:hint="cs"/>
          <w:kern w:val="0"/>
          <w:sz w:val="26"/>
          <w:szCs w:val="26"/>
          <w:rtl/>
          <w:lang w:bidi="ar-JO"/>
          <w14:ligatures w14:val="none"/>
        </w:rPr>
        <w:t xml:space="preserve"> ذريع</w:t>
      </w:r>
      <w:r w:rsidR="009E5AB3">
        <w:rPr>
          <w:rFonts w:ascii="Simplified Arabic" w:eastAsia="Calibri" w:hAnsi="Simplified Arabic" w:cs="Simplified Arabic"/>
          <w:kern w:val="0"/>
          <w:sz w:val="26"/>
          <w:szCs w:val="26"/>
          <w:lang w:bidi="ar-JO"/>
          <w14:ligatures w14:val="none"/>
        </w:rPr>
        <w:t xml:space="preserve"> </w:t>
      </w:r>
      <w:r w:rsidR="009E5AB3">
        <w:rPr>
          <w:rFonts w:ascii="Simplified Arabic" w:eastAsia="Calibri" w:hAnsi="Simplified Arabic" w:cs="Simplified Arabic" w:hint="cs"/>
          <w:kern w:val="0"/>
          <w:sz w:val="26"/>
          <w:szCs w:val="26"/>
          <w:rtl/>
          <w:lang w:bidi="ar-JO"/>
          <w14:ligatures w14:val="none"/>
        </w:rPr>
        <w:t>وحزين. فقد تكرّر ابتعاد الأمة عن الربّ وشريعته لصالح اعتناق عبادةٍ وثنيّة صريحة. بعد مُقدَّمةٍ أوّليّة توض</w:t>
      </w:r>
      <w:r w:rsidR="00736F8C">
        <w:rPr>
          <w:rFonts w:ascii="Simplified Arabic" w:eastAsia="Calibri" w:hAnsi="Simplified Arabic" w:cs="Simplified Arabic" w:hint="cs"/>
          <w:kern w:val="0"/>
          <w:sz w:val="26"/>
          <w:szCs w:val="26"/>
          <w:rtl/>
          <w:lang w:bidi="ar-JO"/>
          <w14:ligatures w14:val="none"/>
        </w:rPr>
        <w:t>ِّ</w:t>
      </w:r>
      <w:r w:rsidR="009E5AB3">
        <w:rPr>
          <w:rFonts w:ascii="Simplified Arabic" w:eastAsia="Calibri" w:hAnsi="Simplified Arabic" w:cs="Simplified Arabic" w:hint="cs"/>
          <w:kern w:val="0"/>
          <w:sz w:val="26"/>
          <w:szCs w:val="26"/>
          <w:rtl/>
          <w:lang w:bidi="ar-JO"/>
          <w14:ligatures w14:val="none"/>
        </w:rPr>
        <w:t>ح سبب ترك الرب</w:t>
      </w:r>
      <w:r w:rsidR="00736F8C">
        <w:rPr>
          <w:rFonts w:ascii="Simplified Arabic" w:eastAsia="Calibri" w:hAnsi="Simplified Arabic" w:cs="Simplified Arabic" w:hint="cs"/>
          <w:kern w:val="0"/>
          <w:sz w:val="26"/>
          <w:szCs w:val="26"/>
          <w:rtl/>
          <w:lang w:bidi="ar-JO"/>
          <w14:ligatures w14:val="none"/>
        </w:rPr>
        <w:t>ّ</w:t>
      </w:r>
      <w:r w:rsidR="009E5AB3">
        <w:rPr>
          <w:rFonts w:ascii="Simplified Arabic" w:eastAsia="Calibri" w:hAnsi="Simplified Arabic" w:cs="Simplified Arabic" w:hint="cs"/>
          <w:kern w:val="0"/>
          <w:sz w:val="26"/>
          <w:szCs w:val="26"/>
          <w:rtl/>
          <w:lang w:bidi="ar-JO"/>
          <w14:ligatures w14:val="none"/>
        </w:rPr>
        <w:t xml:space="preserve"> لجيوبٍ من الكنعانيّين في الأرض (لامتحان شعب إسرائيل)، يروي كاتب سفر القضاة سلسلة</w:t>
      </w:r>
      <w:r w:rsidR="00736F8C">
        <w:rPr>
          <w:rFonts w:ascii="Simplified Arabic" w:eastAsia="Calibri" w:hAnsi="Simplified Arabic" w:cs="Simplified Arabic" w:hint="cs"/>
          <w:kern w:val="0"/>
          <w:sz w:val="26"/>
          <w:szCs w:val="26"/>
          <w:rtl/>
          <w:lang w:bidi="ar-JO"/>
          <w14:ligatures w14:val="none"/>
        </w:rPr>
        <w:t>ً</w:t>
      </w:r>
      <w:r w:rsidR="009E5AB3">
        <w:rPr>
          <w:rFonts w:ascii="Simplified Arabic" w:eastAsia="Calibri" w:hAnsi="Simplified Arabic" w:cs="Simplified Arabic" w:hint="cs"/>
          <w:kern w:val="0"/>
          <w:sz w:val="26"/>
          <w:szCs w:val="26"/>
          <w:rtl/>
          <w:lang w:bidi="ar-JO"/>
          <w14:ligatures w14:val="none"/>
        </w:rPr>
        <w:t xml:space="preserve"> من سبع دوائر أدَّب الرب</w:t>
      </w:r>
      <w:r w:rsidR="00736F8C">
        <w:rPr>
          <w:rFonts w:ascii="Simplified Arabic" w:eastAsia="Calibri" w:hAnsi="Simplified Arabic" w:cs="Simplified Arabic" w:hint="cs"/>
          <w:kern w:val="0"/>
          <w:sz w:val="26"/>
          <w:szCs w:val="26"/>
          <w:rtl/>
          <w:lang w:bidi="ar-JO"/>
          <w14:ligatures w14:val="none"/>
        </w:rPr>
        <w:t>ّ</w:t>
      </w:r>
      <w:r w:rsidR="009E5AB3">
        <w:rPr>
          <w:rFonts w:ascii="Simplified Arabic" w:eastAsia="Calibri" w:hAnsi="Simplified Arabic" w:cs="Simplified Arabic" w:hint="cs"/>
          <w:kern w:val="0"/>
          <w:sz w:val="26"/>
          <w:szCs w:val="26"/>
          <w:rtl/>
          <w:lang w:bidi="ar-JO"/>
          <w14:ligatures w14:val="none"/>
        </w:rPr>
        <w:t xml:space="preserve"> فيها الشعبَ. يتّخذ التأديب شكل</w:t>
      </w:r>
      <w:r w:rsidR="00736F8C">
        <w:rPr>
          <w:rFonts w:ascii="Simplified Arabic" w:eastAsia="Calibri" w:hAnsi="Simplified Arabic" w:cs="Simplified Arabic" w:hint="cs"/>
          <w:kern w:val="0"/>
          <w:sz w:val="26"/>
          <w:szCs w:val="26"/>
          <w:rtl/>
          <w:lang w:bidi="ar-JO"/>
          <w14:ligatures w14:val="none"/>
        </w:rPr>
        <w:t>َ</w:t>
      </w:r>
      <w:r w:rsidR="009E5AB3">
        <w:rPr>
          <w:rFonts w:ascii="Simplified Arabic" w:eastAsia="Calibri" w:hAnsi="Simplified Arabic" w:cs="Simplified Arabic" w:hint="cs"/>
          <w:kern w:val="0"/>
          <w:sz w:val="26"/>
          <w:szCs w:val="26"/>
          <w:rtl/>
          <w:lang w:bidi="ar-JO"/>
          <w14:ligatures w14:val="none"/>
        </w:rPr>
        <w:t xml:space="preserve"> غزوٍ أجنبيّ</w:t>
      </w:r>
      <w:r w:rsidR="00736F8C">
        <w:rPr>
          <w:rFonts w:ascii="Simplified Arabic" w:eastAsia="Calibri" w:hAnsi="Simplified Arabic" w:cs="Simplified Arabic" w:hint="cs"/>
          <w:kern w:val="0"/>
          <w:sz w:val="26"/>
          <w:szCs w:val="26"/>
          <w:rtl/>
          <w:lang w:bidi="ar-JO"/>
          <w14:ligatures w14:val="none"/>
        </w:rPr>
        <w:t>ٍ</w:t>
      </w:r>
      <w:r w:rsidR="009E5AB3">
        <w:rPr>
          <w:rFonts w:ascii="Simplified Arabic" w:eastAsia="Calibri" w:hAnsi="Simplified Arabic" w:cs="Simplified Arabic" w:hint="cs"/>
          <w:kern w:val="0"/>
          <w:sz w:val="26"/>
          <w:szCs w:val="26"/>
          <w:rtl/>
          <w:lang w:bidi="ar-JO"/>
          <w14:ligatures w14:val="none"/>
        </w:rPr>
        <w:t xml:space="preserve"> مُخرِب يدفع شعب إسرائيل إلى التوبة، </w:t>
      </w:r>
      <w:r w:rsidR="00736F8C">
        <w:rPr>
          <w:rFonts w:ascii="Simplified Arabic" w:eastAsia="Calibri" w:hAnsi="Simplified Arabic" w:cs="Simplified Arabic" w:hint="cs"/>
          <w:kern w:val="0"/>
          <w:sz w:val="26"/>
          <w:szCs w:val="26"/>
          <w:rtl/>
          <w:lang w:bidi="ar-JO"/>
          <w14:ligatures w14:val="none"/>
        </w:rPr>
        <w:t xml:space="preserve">ثم </w:t>
      </w:r>
      <w:r w:rsidR="009E5AB3">
        <w:rPr>
          <w:rFonts w:ascii="Simplified Arabic" w:eastAsia="Calibri" w:hAnsi="Simplified Arabic" w:cs="Simplified Arabic" w:hint="cs"/>
          <w:kern w:val="0"/>
          <w:sz w:val="26"/>
          <w:szCs w:val="26"/>
          <w:rtl/>
          <w:lang w:bidi="ar-JO"/>
          <w14:ligatures w14:val="none"/>
        </w:rPr>
        <w:t>يقيم الرب</w:t>
      </w:r>
      <w:r w:rsidR="00736F8C">
        <w:rPr>
          <w:rFonts w:ascii="Simplified Arabic" w:eastAsia="Calibri" w:hAnsi="Simplified Arabic" w:cs="Simplified Arabic" w:hint="cs"/>
          <w:kern w:val="0"/>
          <w:sz w:val="26"/>
          <w:szCs w:val="26"/>
          <w:rtl/>
          <w:lang w:bidi="ar-JO"/>
          <w14:ligatures w14:val="none"/>
        </w:rPr>
        <w:t>ّ</w:t>
      </w:r>
      <w:r w:rsidR="009E5AB3">
        <w:rPr>
          <w:rFonts w:ascii="Simplified Arabic" w:eastAsia="Calibri" w:hAnsi="Simplified Arabic" w:cs="Simplified Arabic" w:hint="cs"/>
          <w:kern w:val="0"/>
          <w:sz w:val="26"/>
          <w:szCs w:val="26"/>
          <w:rtl/>
          <w:lang w:bidi="ar-JO"/>
          <w14:ligatures w14:val="none"/>
        </w:rPr>
        <w:t xml:space="preserve"> بعد ذلك "قاضيًا" (قائدًا كاريزماتيًّا) ليخلِّصهم. وتدوِّن لنا الفصول الأخيرة من السفر (الأصحاحات 17-21) حدثين في تاريخ الأمة يكشِفان عن مقدار ما وصلت إليه الأمة في عدم أمانتها وشرّها المُطلَق. </w:t>
      </w:r>
    </w:p>
    <w:p w14:paraId="1C27AB7D" w14:textId="2F64DD23" w:rsidR="008B149F" w:rsidRPr="007A4B15" w:rsidRDefault="009E5AB3" w:rsidP="009E5AB3">
      <w:pPr>
        <w:pStyle w:val="Heading3"/>
        <w:bidi/>
        <w:spacing w:line="240" w:lineRule="auto"/>
      </w:pPr>
      <w:r>
        <w:rPr>
          <w:rFonts w:hint="cs"/>
          <w:rtl/>
        </w:rPr>
        <w:t>مُخطّط الدرس</w:t>
      </w:r>
    </w:p>
    <w:p w14:paraId="36AB6BF9" w14:textId="77777777" w:rsidR="007A5D4C" w:rsidRPr="007A5D4C" w:rsidRDefault="007A5D4C" w:rsidP="007518AA">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bookmarkStart w:id="154" w:name="_Hlk190845432"/>
      <w:r w:rsidRPr="007A5D4C">
        <w:rPr>
          <w:rFonts w:ascii="Simplified Arabic" w:eastAsia="Calibri" w:hAnsi="Simplified Arabic" w:cs="Simplified Arabic"/>
          <w:kern w:val="0"/>
          <w:sz w:val="26"/>
          <w:szCs w:val="26"/>
          <w:rtl/>
          <w14:ligatures w14:val="none"/>
        </w:rPr>
        <w:t xml:space="preserve">الموضوع 1: </w:t>
      </w:r>
      <w:r w:rsidRPr="007A5D4C">
        <w:rPr>
          <w:rFonts w:ascii="Simplified Arabic" w:eastAsia="Calibri" w:hAnsi="Simplified Arabic" w:cs="Simplified Arabic"/>
          <w:kern w:val="0"/>
          <w:sz w:val="26"/>
          <w:szCs w:val="26"/>
          <w:rtl/>
          <w14:ligatures w14:val="none"/>
        </w:rPr>
        <w:tab/>
        <w:t xml:space="preserve">تقييم لنظرية التاريخ التثنوي </w:t>
      </w:r>
    </w:p>
    <w:p w14:paraId="50E9F035" w14:textId="77777777" w:rsidR="007A5D4C" w:rsidRPr="007A5D4C" w:rsidRDefault="007A5D4C" w:rsidP="007518AA">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r w:rsidRPr="007A5D4C">
        <w:rPr>
          <w:rFonts w:ascii="Simplified Arabic" w:eastAsia="Calibri" w:hAnsi="Simplified Arabic" w:cs="Simplified Arabic"/>
          <w:kern w:val="0"/>
          <w:sz w:val="26"/>
          <w:szCs w:val="26"/>
          <w:rtl/>
          <w14:ligatures w14:val="none"/>
        </w:rPr>
        <w:t xml:space="preserve">الموضوع 2: </w:t>
      </w:r>
      <w:r w:rsidRPr="007A5D4C">
        <w:rPr>
          <w:rFonts w:ascii="Simplified Arabic" w:eastAsia="Calibri" w:hAnsi="Simplified Arabic" w:cs="Simplified Arabic"/>
          <w:kern w:val="0"/>
          <w:sz w:val="26"/>
          <w:szCs w:val="26"/>
          <w:rtl/>
          <w14:ligatures w14:val="none"/>
        </w:rPr>
        <w:tab/>
        <w:t xml:space="preserve">نظرة عامّة إلى سفر القضاة </w:t>
      </w:r>
    </w:p>
    <w:p w14:paraId="03685F21" w14:textId="77777777" w:rsidR="007A5D4C" w:rsidRPr="007A5D4C" w:rsidRDefault="007A5D4C" w:rsidP="007518AA">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r w:rsidRPr="007A5D4C">
        <w:rPr>
          <w:rFonts w:ascii="Simplified Arabic" w:eastAsia="Calibri" w:hAnsi="Simplified Arabic" w:cs="Simplified Arabic"/>
          <w:kern w:val="0"/>
          <w:sz w:val="26"/>
          <w:szCs w:val="26"/>
          <w:rtl/>
          <w14:ligatures w14:val="none"/>
        </w:rPr>
        <w:t xml:space="preserve">الموضوع 3: </w:t>
      </w:r>
      <w:r w:rsidRPr="007A5D4C">
        <w:rPr>
          <w:rFonts w:ascii="Simplified Arabic" w:eastAsia="Calibri" w:hAnsi="Simplified Arabic" w:cs="Simplified Arabic"/>
          <w:kern w:val="0"/>
          <w:sz w:val="26"/>
          <w:szCs w:val="26"/>
          <w:rtl/>
          <w14:ligatures w14:val="none"/>
        </w:rPr>
        <w:tab/>
        <w:t xml:space="preserve">مُقدِّمة إلى سفر القضاة (قضاة 1: 1 – 3: 31) </w:t>
      </w:r>
    </w:p>
    <w:p w14:paraId="38EAA7BD" w14:textId="36040B21" w:rsidR="008B149F" w:rsidRPr="00A8569F" w:rsidRDefault="007A5D4C" w:rsidP="007518AA">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eastAsia="Calibri"/>
          <w:b/>
          <w:bCs/>
          <w:szCs w:val="24"/>
        </w:rPr>
      </w:pPr>
      <w:r w:rsidRPr="007A5D4C">
        <w:rPr>
          <w:rFonts w:ascii="Simplified Arabic" w:eastAsia="Calibri" w:hAnsi="Simplified Arabic" w:cs="Simplified Arabic"/>
          <w:kern w:val="0"/>
          <w:sz w:val="26"/>
          <w:szCs w:val="26"/>
          <w:rtl/>
          <w14:ligatures w14:val="none"/>
        </w:rPr>
        <w:t xml:space="preserve">الموضوع 4: </w:t>
      </w:r>
      <w:r w:rsidRPr="007A5D4C">
        <w:rPr>
          <w:rFonts w:ascii="Simplified Arabic" w:eastAsia="Calibri" w:hAnsi="Simplified Arabic" w:cs="Simplified Arabic"/>
          <w:kern w:val="0"/>
          <w:sz w:val="26"/>
          <w:szCs w:val="26"/>
          <w:rtl/>
          <w14:ligatures w14:val="none"/>
        </w:rPr>
        <w:tab/>
        <w:t xml:space="preserve">قصّة جدعون بوصفها النقطة المركزيّة في سفر القضاة (قضاة 3: 7 – 16: 31) </w:t>
      </w:r>
      <w:r w:rsidR="008B149F" w:rsidRPr="007A4B15">
        <w:rPr>
          <w:rFonts w:eastAsia="Calibri" w:cs="Times New Roman"/>
          <w:kern w:val="0"/>
          <w:szCs w:val="24"/>
          <w14:ligatures w14:val="none"/>
        </w:rPr>
        <w:br/>
      </w:r>
    </w:p>
    <w:bookmarkEnd w:id="154"/>
    <w:p w14:paraId="1D31C286" w14:textId="79E4C4D1" w:rsidR="008B149F" w:rsidRPr="007A5D4C" w:rsidRDefault="007A5D4C" w:rsidP="007A5D4C">
      <w:pPr>
        <w:pStyle w:val="Heading3"/>
        <w:bidi/>
        <w:spacing w:line="240" w:lineRule="auto"/>
        <w:rPr>
          <w:rFonts w:ascii="Simplified Arabic" w:hAnsi="Simplified Arabic" w:cs="Simplified Arabic"/>
          <w:lang w:val="fr-FR"/>
        </w:rPr>
      </w:pPr>
      <w:r w:rsidRPr="007A5D4C">
        <w:rPr>
          <w:rFonts w:ascii="Simplified Arabic" w:hAnsi="Simplified Arabic" w:cs="Simplified Arabic"/>
          <w:rtl/>
          <w:lang w:val="fr-FR"/>
        </w:rPr>
        <w:t>أهداف الدرس</w:t>
      </w:r>
    </w:p>
    <w:p w14:paraId="19003F63" w14:textId="64072551" w:rsidR="008B149F" w:rsidRPr="007A5D4C" w:rsidRDefault="007A5D4C" w:rsidP="007A5D4C">
      <w:pPr>
        <w:bidi/>
        <w:spacing w:before="120" w:after="80" w:line="240" w:lineRule="auto"/>
        <w:rPr>
          <w:rFonts w:ascii="Simplified Arabic" w:eastAsia="Calibri" w:hAnsi="Simplified Arabic" w:cs="Simplified Arabic"/>
          <w:kern w:val="0"/>
          <w:sz w:val="26"/>
          <w:szCs w:val="26"/>
          <w14:ligatures w14:val="none"/>
        </w:rPr>
      </w:pPr>
      <w:r w:rsidRPr="007A5D4C">
        <w:rPr>
          <w:rFonts w:ascii="Simplified Arabic" w:eastAsia="Calibri" w:hAnsi="Simplified Arabic" w:cs="Simplified Arabic"/>
          <w:kern w:val="0"/>
          <w:sz w:val="26"/>
          <w:szCs w:val="26"/>
          <w:rtl/>
          <w14:ligatures w14:val="none"/>
        </w:rPr>
        <w:t xml:space="preserve">بانتهائك من دراسة هذا الدرس ستكون قادرًا على ما يلي: </w:t>
      </w:r>
    </w:p>
    <w:p w14:paraId="23E4A7F8" w14:textId="4A7F0FF5" w:rsidR="0098171B" w:rsidRPr="007A5D4C" w:rsidRDefault="007A5D4C" w:rsidP="007A5D4C">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hAnsi="Simplified Arabic" w:cs="Simplified Arabic"/>
          <w:sz w:val="26"/>
          <w:szCs w:val="26"/>
        </w:rPr>
      </w:pPr>
      <w:r w:rsidRPr="007A5D4C">
        <w:rPr>
          <w:rFonts w:ascii="Simplified Arabic" w:eastAsia="Calibri" w:hAnsi="Simplified Arabic" w:cs="Simplified Arabic"/>
          <w:kern w:val="0"/>
          <w:sz w:val="26"/>
          <w:szCs w:val="26"/>
          <w:rtl/>
          <w14:ligatures w14:val="none"/>
        </w:rPr>
        <w:t>أن تشرح ما يُقصَد بـ"المؤرِّخ التثنوي،" وأن تكون</w:t>
      </w:r>
      <w:r w:rsidR="00736F8C">
        <w:rPr>
          <w:rFonts w:ascii="Simplified Arabic" w:eastAsia="Calibri" w:hAnsi="Simplified Arabic" w:cs="Simplified Arabic" w:hint="cs"/>
          <w:kern w:val="0"/>
          <w:sz w:val="26"/>
          <w:szCs w:val="26"/>
          <w:rtl/>
          <w14:ligatures w14:val="none"/>
        </w:rPr>
        <w:t xml:space="preserve"> قادرًا</w:t>
      </w:r>
      <w:r w:rsidRPr="007A5D4C">
        <w:rPr>
          <w:rFonts w:ascii="Simplified Arabic" w:eastAsia="Calibri" w:hAnsi="Simplified Arabic" w:cs="Simplified Arabic"/>
          <w:kern w:val="0"/>
          <w:sz w:val="26"/>
          <w:szCs w:val="26"/>
          <w:rtl/>
          <w14:ligatures w14:val="none"/>
        </w:rPr>
        <w:t xml:space="preserve"> على </w:t>
      </w:r>
      <w:r w:rsidR="00736F8C">
        <w:rPr>
          <w:rFonts w:ascii="Simplified Arabic" w:eastAsia="Calibri" w:hAnsi="Simplified Arabic" w:cs="Simplified Arabic" w:hint="cs"/>
          <w:kern w:val="0"/>
          <w:sz w:val="26"/>
          <w:szCs w:val="26"/>
          <w:rtl/>
          <w14:ligatures w14:val="none"/>
        </w:rPr>
        <w:t>شرح</w:t>
      </w:r>
      <w:r w:rsidRPr="007A5D4C">
        <w:rPr>
          <w:rFonts w:ascii="Simplified Arabic" w:eastAsia="Calibri" w:hAnsi="Simplified Arabic" w:cs="Simplified Arabic"/>
          <w:kern w:val="0"/>
          <w:sz w:val="26"/>
          <w:szCs w:val="26"/>
          <w:rtl/>
          <w14:ligatures w14:val="none"/>
        </w:rPr>
        <w:t xml:space="preserve"> هجوم هذه النظريّة على صحّة الكتاب المُقدَّس، وأن تقدِّم إجاباتٍ عديدة لدحض هذه النظري</w:t>
      </w:r>
      <w:r w:rsidR="00736F8C">
        <w:rPr>
          <w:rFonts w:ascii="Simplified Arabic" w:eastAsia="Calibri" w:hAnsi="Simplified Arabic" w:cs="Simplified Arabic" w:hint="cs"/>
          <w:kern w:val="0"/>
          <w:sz w:val="26"/>
          <w:szCs w:val="26"/>
          <w:rtl/>
          <w14:ligatures w14:val="none"/>
        </w:rPr>
        <w:t>ّ</w:t>
      </w:r>
      <w:r w:rsidRPr="007A5D4C">
        <w:rPr>
          <w:rFonts w:ascii="Simplified Arabic" w:eastAsia="Calibri" w:hAnsi="Simplified Arabic" w:cs="Simplified Arabic"/>
          <w:kern w:val="0"/>
          <w:sz w:val="26"/>
          <w:szCs w:val="26"/>
          <w:rtl/>
          <w14:ligatures w14:val="none"/>
        </w:rPr>
        <w:t xml:space="preserve">ة. </w:t>
      </w:r>
    </w:p>
    <w:p w14:paraId="34337343" w14:textId="07941395" w:rsidR="007A5D4C" w:rsidRPr="007A5D4C" w:rsidRDefault="007A5D4C" w:rsidP="007A5D4C">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hAnsi="Simplified Arabic" w:cs="Simplified Arabic"/>
          <w:sz w:val="26"/>
          <w:szCs w:val="26"/>
        </w:rPr>
      </w:pPr>
      <w:r>
        <w:rPr>
          <w:rFonts w:ascii="Simplified Arabic" w:eastAsia="Calibri" w:hAnsi="Simplified Arabic" w:cs="Simplified Arabic" w:hint="cs"/>
          <w:kern w:val="0"/>
          <w:sz w:val="26"/>
          <w:szCs w:val="26"/>
          <w:rtl/>
          <w14:ligatures w14:val="none"/>
        </w:rPr>
        <w:t>أن تصف التصميم الأدبي العام لسفر القضاة، الذي يُعلِن الفساد التدريجي للأم</w:t>
      </w:r>
      <w:r w:rsidR="00736F8C">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ة في عدم حفظها الشريعة. </w:t>
      </w:r>
    </w:p>
    <w:p w14:paraId="5E26E054" w14:textId="45E98A6A" w:rsidR="007A5D4C" w:rsidRPr="007A5D4C" w:rsidRDefault="007A5D4C" w:rsidP="007A5D4C">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hAnsi="Simplified Arabic" w:cs="Simplified Arabic"/>
          <w:sz w:val="26"/>
          <w:szCs w:val="26"/>
        </w:rPr>
      </w:pPr>
      <w:r>
        <w:rPr>
          <w:rFonts w:ascii="Simplified Arabic" w:eastAsia="Calibri" w:hAnsi="Simplified Arabic" w:cs="Simplified Arabic" w:hint="cs"/>
          <w:kern w:val="0"/>
          <w:sz w:val="26"/>
          <w:szCs w:val="26"/>
          <w:rtl/>
          <w14:ligatures w14:val="none"/>
        </w:rPr>
        <w:t xml:space="preserve">أن تبيّن أهمّيّة جدعون بوصفه "قاضيًا" في تطوُّر حبكة السفر بصورة عامّة. </w:t>
      </w:r>
    </w:p>
    <w:p w14:paraId="2B6FE0D2" w14:textId="1EB3D967" w:rsidR="007A5D4C" w:rsidRPr="007A5D4C" w:rsidRDefault="007A5D4C" w:rsidP="007A5D4C">
      <w:pPr>
        <w:numPr>
          <w:ilvl w:val="0"/>
          <w:numId w:val="2"/>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hAnsi="Simplified Arabic" w:cs="Simplified Arabic"/>
          <w:sz w:val="26"/>
          <w:szCs w:val="26"/>
        </w:rPr>
      </w:pPr>
      <w:r>
        <w:rPr>
          <w:rFonts w:ascii="Simplified Arabic" w:eastAsia="Calibri" w:hAnsi="Simplified Arabic" w:cs="Simplified Arabic" w:hint="cs"/>
          <w:kern w:val="0"/>
          <w:sz w:val="26"/>
          <w:szCs w:val="26"/>
          <w:rtl/>
          <w14:ligatures w14:val="none"/>
        </w:rPr>
        <w:lastRenderedPageBreak/>
        <w:t>أن تشرح الدور الذي لعبت</w:t>
      </w:r>
      <w:r w:rsidR="00736F8C">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ه</w:t>
      </w:r>
      <w:r w:rsidR="00736F8C">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فترة</w:t>
      </w:r>
      <w:r w:rsidR="00736F8C">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القضاة في انتقال الأمة من الثيوقراطيّة إلى الملكيّة. </w:t>
      </w:r>
    </w:p>
    <w:p w14:paraId="5B8AB853" w14:textId="506B963A" w:rsidR="008B149F" w:rsidRDefault="008B149F" w:rsidP="007A5D4C">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ind w:left="360"/>
        <w:contextualSpacing/>
        <w:rPr>
          <w:rFonts w:eastAsia="Calibri" w:cs="Times New Roman"/>
          <w:kern w:val="0"/>
          <w:szCs w:val="24"/>
          <w14:ligatures w14:val="none"/>
        </w:rPr>
      </w:pPr>
    </w:p>
    <w:p w14:paraId="73CE2EE0" w14:textId="77777777" w:rsidR="008B149F" w:rsidRDefault="008B149F"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ind w:left="720"/>
        <w:contextualSpacing/>
        <w:rPr>
          <w:rFonts w:eastAsia="Calibri" w:cs="Times New Roman"/>
          <w:kern w:val="0"/>
          <w:szCs w:val="24"/>
          <w14:ligatures w14:val="none"/>
        </w:rPr>
      </w:pPr>
      <w:r>
        <w:rPr>
          <w:rFonts w:eastAsia="Calibri" w:cs="Times New Roman"/>
          <w:kern w:val="0"/>
          <w:szCs w:val="24"/>
          <w14:ligatures w14:val="none"/>
        </w:rPr>
        <w:br w:type="page"/>
      </w:r>
    </w:p>
    <w:bookmarkEnd w:id="153"/>
    <w:p w14:paraId="4F10328F" w14:textId="68FA0D7F" w:rsidR="007518AA" w:rsidRPr="007518AA" w:rsidRDefault="007518AA" w:rsidP="007518AA">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b/>
          <w:bCs/>
          <w:kern w:val="0"/>
          <w:sz w:val="28"/>
          <w:szCs w:val="28"/>
          <w:rtl/>
          <w14:ligatures w14:val="none"/>
        </w:rPr>
      </w:pPr>
      <w:r w:rsidRPr="007518AA">
        <w:rPr>
          <w:rFonts w:ascii="Simplified Arabic" w:eastAsia="Calibri" w:hAnsi="Simplified Arabic" w:cs="Simplified Arabic"/>
          <w:b/>
          <w:bCs/>
          <w:kern w:val="0"/>
          <w:sz w:val="28"/>
          <w:szCs w:val="28"/>
          <w:rtl/>
          <w14:ligatures w14:val="none"/>
        </w:rPr>
        <w:lastRenderedPageBreak/>
        <w:t xml:space="preserve">الموضوع 1: تقييم لنظرية التاريخ التثنوي </w:t>
      </w:r>
    </w:p>
    <w:p w14:paraId="78D1994D"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1.</w:t>
      </w:r>
      <w:r w:rsidRPr="006A7C83">
        <w:rPr>
          <w:rFonts w:eastAsia="Times New Roman" w:cs="DecoType Naskh" w:hint="cs"/>
          <w:bCs/>
          <w:color w:val="auto"/>
          <w:kern w:val="0"/>
          <w:szCs w:val="28"/>
          <w:rtl/>
          <w:lang w:bidi="ar-JO"/>
          <w14:ligatures w14:val="none"/>
        </w:rPr>
        <w:tab/>
        <w:t>مقدمة</w:t>
      </w:r>
    </w:p>
    <w:p w14:paraId="1BF31E6E" w14:textId="5BE4C143"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 xml:space="preserve">ينقسم الكتاب المقدّس العبري إلى ثلاثة أقسام رئيسية: الشريعة، والأنبياء، والكتابات.  وينقسم "الأنبياء" إلى قسمين: الأنبياء السابقين والأنبياء اللاحقين.  ويشمل الأنبياء السابقون أسفار يشوع، وقضاة، وصموئيل الأول والثاني، وملوك </w:t>
      </w:r>
      <w:r w:rsidRPr="006A7C83">
        <w:rPr>
          <w:rFonts w:eastAsia="Times New Roman" w:cs="DecoType Naskh" w:hint="cs"/>
          <w:color w:val="auto"/>
          <w:kern w:val="0"/>
          <w:szCs w:val="26"/>
          <w:rtl/>
          <w14:ligatures w14:val="none"/>
        </w:rPr>
        <w:t xml:space="preserve">الأول والثاني </w:t>
      </w:r>
      <w:r w:rsidRPr="006A7C83">
        <w:rPr>
          <w:rFonts w:eastAsia="Times New Roman" w:cs="DecoType Naskh" w:hint="cs"/>
          <w:color w:val="auto"/>
          <w:kern w:val="0"/>
          <w:szCs w:val="26"/>
          <w:rtl/>
          <w:lang w:bidi="ar-JO"/>
          <w14:ligatures w14:val="none"/>
        </w:rPr>
        <w:t xml:space="preserve">(على الرغم من أن سفري صموئيل كانا في الأصل سفراً واحداً في الكتاب المقدّس العبري، كما هو الحال في سفري </w:t>
      </w:r>
      <w:r w:rsidRPr="006A7C83">
        <w:rPr>
          <w:rFonts w:eastAsia="Times New Roman" w:cs="DecoType Naskh" w:hint="cs"/>
          <w:color w:val="auto"/>
          <w:kern w:val="0"/>
          <w:szCs w:val="26"/>
          <w:rtl/>
          <w14:ligatures w14:val="none"/>
        </w:rPr>
        <w:t>ال</w:t>
      </w:r>
      <w:r w:rsidRPr="006A7C83">
        <w:rPr>
          <w:rFonts w:eastAsia="Times New Roman" w:cs="DecoType Naskh" w:hint="cs"/>
          <w:color w:val="auto"/>
          <w:kern w:val="0"/>
          <w:szCs w:val="26"/>
          <w:rtl/>
          <w:lang w:bidi="ar-JO"/>
          <w14:ligatures w14:val="none"/>
        </w:rPr>
        <w:t>ملوك).</w:t>
      </w:r>
    </w:p>
    <w:p w14:paraId="58E3146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1A91FD2C" w14:textId="77777777" w:rsidR="006A7C83" w:rsidRPr="006A7C83" w:rsidRDefault="006A7C83" w:rsidP="002D6C54">
      <w:pPr>
        <w:bidi/>
        <w:spacing w:after="0" w:line="240" w:lineRule="auto"/>
        <w:rPr>
          <w:rFonts w:eastAsia="Times New Roman" w:cs="DecoType Naskh"/>
          <w:color w:val="auto"/>
          <w:kern w:val="0"/>
          <w:szCs w:val="18"/>
          <w:rtl/>
          <w14:ligatures w14:val="none"/>
        </w:rPr>
      </w:pPr>
    </w:p>
    <w:p w14:paraId="6DAA4757" w14:textId="77777777" w:rsidR="006A7C83" w:rsidRPr="006A7C83" w:rsidRDefault="006A7C83" w:rsidP="002D6C54">
      <w:pPr>
        <w:bidi/>
        <w:spacing w:after="0" w:line="240" w:lineRule="auto"/>
        <w:jc w:val="center"/>
        <w:rPr>
          <w:rFonts w:eastAsia="Times New Roman" w:cs="DecoType Naskh"/>
          <w:color w:val="auto"/>
          <w:kern w:val="0"/>
          <w:szCs w:val="18"/>
          <w:rtl/>
          <w14:ligatures w14:val="none"/>
        </w:rPr>
      </w:pPr>
      <w:r w:rsidRPr="006A7C83">
        <w:rPr>
          <w:rFonts w:eastAsia="Times New Roman" w:cs="DecoType Naskh"/>
          <w:color w:val="auto"/>
          <w:kern w:val="0"/>
          <w14:ligatures w14:val="none"/>
        </w:rPr>
        <w:object w:dxaOrig="3960" w:dyaOrig="1800" w14:anchorId="669F67F6">
          <v:shape id="_x0000_i1040" type="#_x0000_t75" style="width:396pt;height:180pt" o:ole="">
            <v:imagedata r:id="rId78" o:title=""/>
          </v:shape>
          <o:OLEObject Type="Embed" ProgID="PowerPoint.Show.8" ShapeID="_x0000_i1040" DrawAspect="Content" ObjectID="_1802157135" r:id="rId79"/>
        </w:object>
      </w:r>
    </w:p>
    <w:p w14:paraId="387FC3F3" w14:textId="77777777" w:rsidR="006A7C83" w:rsidRPr="006A7C83" w:rsidRDefault="006A7C83" w:rsidP="002D6C54">
      <w:pPr>
        <w:bidi/>
        <w:spacing w:after="0" w:line="240" w:lineRule="auto"/>
        <w:rPr>
          <w:rFonts w:eastAsia="Times New Roman" w:cs="DecoType Naskh"/>
          <w:color w:val="auto"/>
          <w:kern w:val="0"/>
          <w:szCs w:val="18"/>
          <w:rtl/>
          <w:lang w:bidi="ar-JO"/>
          <w14:ligatures w14:val="none"/>
        </w:rPr>
      </w:pPr>
    </w:p>
    <w:p w14:paraId="188D181F" w14:textId="77777777" w:rsidR="006A7C83" w:rsidRPr="006A7C83" w:rsidRDefault="006A7C83" w:rsidP="002D6C54">
      <w:pPr>
        <w:bidi/>
        <w:spacing w:after="0" w:line="240" w:lineRule="auto"/>
        <w:rPr>
          <w:rFonts w:eastAsia="Times New Roman" w:cs="DecoType Naskh"/>
          <w:color w:val="auto"/>
          <w:kern w:val="0"/>
          <w:szCs w:val="18"/>
          <w:rtl/>
          <w14:ligatures w14:val="none"/>
        </w:rPr>
      </w:pPr>
    </w:p>
    <w:p w14:paraId="77E324BD"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 xml:space="preserve">على الرغم من أن هذه الأسفار الستّة تدعى "الأنبياء"، فإننا غالباً ما نفكّر فيها باعتبارها </w:t>
      </w:r>
      <w:r w:rsidRPr="006A7C83">
        <w:rPr>
          <w:rFonts w:eastAsia="Times New Roman" w:cs="DecoType Naskh" w:hint="cs"/>
          <w:color w:val="auto"/>
          <w:kern w:val="0"/>
          <w:szCs w:val="26"/>
          <w:u w:val="single"/>
          <w:rtl/>
          <w:lang w:bidi="ar-JO"/>
          <w14:ligatures w14:val="none"/>
        </w:rPr>
        <w:t>أسفاراً تاريخية</w:t>
      </w:r>
      <w:r w:rsidRPr="006A7C83">
        <w:rPr>
          <w:rFonts w:eastAsia="Times New Roman" w:cs="DecoType Naskh" w:hint="cs"/>
          <w:color w:val="auto"/>
          <w:kern w:val="0"/>
          <w:szCs w:val="26"/>
          <w:rtl/>
          <w:lang w:bidi="ar-JO"/>
          <w14:ligatures w14:val="none"/>
        </w:rPr>
        <w:t>.  غير أن الاسم "الأنبياء" يذكّرنا بأنها كانت لاهوتية في طبيعتها أكثر منها تحليلية.  وفي حقيقة الأمر، لاحظ باحثو العهد القديم أن هذه الأسفار الستّة، مع سفر التثنية، تعكس نظرة ثابتة موحَّدة لتاريخ إسرائيل.  وعلى الرغم من أنها كُتبت على يد عدّة كتّاب، إلاّ أنها تبدو في الظاهر رواية تاريخية كتبها كاتب واحد.  أي أن مواضيع كثيرة تطرح في سفر التثنية تُطوَّر وتُوسَّع عبر المادة الموجودة في يشوع وحتى سفر الملوك.  ويشمل هذا من بين أمور كثيرة اللعنات التدرّجية على إسرائيل بسبب عدم وفائها للعهد الذي يؤدي إلى غزو أجنبي ونفي من أرض الموعد.</w:t>
      </w:r>
    </w:p>
    <w:p w14:paraId="600571CD"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4BEBAB26"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يمكن أن يقال إن أسفار يشوع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ملوك تعكس جانباً تحقيقياً لسفر التثنية.  ويصف سفر التثنية مستقبل إسرائيل في الأرض بشكل دقيق جدّاً (يظهر بعد ذلك في أسفار يشوع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ملوك) حتى أن الباحثين استنتجوا أن سفر التثنية ليس نبوياً (كُتب قبل دخول الأرض الموعودة)، بل إن كل مادة تثنية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ملوك سجل لما سبق أن حدث. </w:t>
      </w:r>
    </w:p>
    <w:p w14:paraId="2B11BD4D"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 xml:space="preserve">أمّا الباحثون المحافظون فيتبنّون فكرة أن موسى هو كاتب سفر الشريعة من خلال الوحي الإلهي (تثنية 1: 1، 5؛ 31: 9، 24-26؛ 32: 44)، وأن يشوع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ملوك سجل أمين لتطبيق هذه التوقّعات.  غير أن الباحثين الانتقاديين يتبنّون فكرة أن كل هذه المادة كُتبت (أو أُعيدت كتابتها) قبل وقت قصير من السبي البابلي أو أثناءه على يد محرِّرين.</w:t>
      </w:r>
      <w:r w:rsidRPr="006A7C83">
        <w:rPr>
          <w:rFonts w:eastAsia="Times New Roman" w:cs="DecoType Naskh"/>
          <w:color w:val="auto"/>
          <w:kern w:val="0"/>
          <w:sz w:val="30"/>
          <w:szCs w:val="28"/>
          <w:vertAlign w:val="superscript"/>
          <w:rtl/>
          <w:lang w:bidi="ar-JO"/>
          <w14:ligatures w14:val="none"/>
        </w:rPr>
        <w:footnoteReference w:customMarkFollows="1" w:id="159"/>
        <w:t>1</w:t>
      </w:r>
      <w:r w:rsidRPr="006A7C83">
        <w:rPr>
          <w:rFonts w:eastAsia="Times New Roman" w:cs="DecoType Naskh" w:hint="cs"/>
          <w:color w:val="auto"/>
          <w:kern w:val="0"/>
          <w:szCs w:val="26"/>
          <w:rtl/>
          <w:lang w:bidi="ar-JO"/>
          <w14:ligatures w14:val="none"/>
        </w:rPr>
        <w:t xml:space="preserve"> وهم يشيرون بشكل عام إلى هذا المحرِّر المفترض باسم "المؤرّخ التثنوي" (</w:t>
      </w:r>
      <w:r w:rsidRPr="006A7C83">
        <w:rPr>
          <w:rFonts w:eastAsia="Times New Roman" w:cs="DecoType Naskh"/>
          <w:color w:val="auto"/>
          <w:kern w:val="0"/>
          <w:szCs w:val="26"/>
          <w14:ligatures w14:val="none"/>
        </w:rPr>
        <w:t>Deuteronomic Historian</w:t>
      </w:r>
      <w:r w:rsidRPr="006A7C83">
        <w:rPr>
          <w:rFonts w:eastAsia="Times New Roman" w:cs="DecoType Naskh" w:hint="cs"/>
          <w:color w:val="auto"/>
          <w:kern w:val="0"/>
          <w:szCs w:val="26"/>
          <w:rtl/>
          <w:lang w:bidi="ar-JO"/>
          <w14:ligatures w14:val="none"/>
        </w:rPr>
        <w:t xml:space="preserve">).  وقد شاعت هذه النظرية كثيراً في الأبحاث الحالية بحيث يتوجّب على الدارس الإنجيلي للكتاب المقدّس (الذي يؤمن بوحي الكتاب المقدّس وعصمته) أن يدرك وجود هذا المنحى والافتراضات المسبقة الخطرة التي يرتكز عليها.  "فالنظرية التثنوية" لا تنكر كتابة موسى للسفر فحسب، لكنها مبنية أيضاً على نهج معارض </w:t>
      </w:r>
      <w:r w:rsidRPr="006A7C83">
        <w:rPr>
          <w:rFonts w:eastAsia="Times New Roman" w:cs="DecoType Naskh" w:hint="cs"/>
          <w:color w:val="auto"/>
          <w:kern w:val="0"/>
          <w:szCs w:val="26"/>
          <w:rtl/>
          <w:lang w:bidi="ar-JO"/>
          <w14:ligatures w14:val="none"/>
        </w:rPr>
        <w:lastRenderedPageBreak/>
        <w:t>للطبيعة الخارقة لكتابة الأسفار (أي أنها تنكر أن الله يمكن أن ينبئ بمستقبل إسرائيل وعدم وفائها للعهد، وأن يخبر به سلفاً).</w:t>
      </w:r>
    </w:p>
    <w:p w14:paraId="62980D6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7E475832"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14:ligatures w14:val="none"/>
        </w:rPr>
      </w:pPr>
      <w:r w:rsidRPr="006A7C83">
        <w:rPr>
          <w:rFonts w:eastAsia="Times New Roman" w:cs="DecoType Naskh" w:hint="cs"/>
          <w:bCs/>
          <w:color w:val="auto"/>
          <w:kern w:val="0"/>
          <w:szCs w:val="28"/>
          <w:rtl/>
          <w:lang w:bidi="ar-JO"/>
          <w14:ligatures w14:val="none"/>
        </w:rPr>
        <w:t>2.</w:t>
      </w:r>
      <w:r w:rsidRPr="006A7C83">
        <w:rPr>
          <w:rFonts w:eastAsia="Times New Roman" w:cs="DecoType Naskh" w:hint="cs"/>
          <w:bCs/>
          <w:color w:val="auto"/>
          <w:kern w:val="0"/>
          <w:szCs w:val="28"/>
          <w:rtl/>
          <w:lang w:bidi="ar-JO"/>
          <w14:ligatures w14:val="none"/>
        </w:rPr>
        <w:tab/>
        <w:t>العلاقة مع تحليل مصادر العهد القديم</w:t>
      </w:r>
    </w:p>
    <w:p w14:paraId="120F7B5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نسب شارحو الفرضية الوثيقية (انظر الملاحظات حول "تحليل مصادر العهد القديم") سفر التثنية إلى تاريخ متأخر، عادةً إلى عهد يوشيا (حكم 640-609ق م).  وغالباً ما يرتبط هذا باكتشاف "الشريعة" في زمن يوشيّا.  إذ حدث أثناء عملية إصلاح للهيكل أمر بها يوشيّا أن عُثر على نسخة من "الشريعة".  تقول لنا 2 ملوك 22: 8: "</w:t>
      </w:r>
      <w:r w:rsidRPr="006A7C83">
        <w:rPr>
          <w:rFonts w:eastAsia="Times New Roman" w:cs="DecoType Naskh" w:hint="cs"/>
          <w:i/>
          <w:iCs/>
          <w:color w:val="auto"/>
          <w:kern w:val="0"/>
          <w:szCs w:val="26"/>
          <w:rtl/>
          <w:lang w:bidi="ar-JO"/>
          <w14:ligatures w14:val="none"/>
        </w:rPr>
        <w:t>فقال حَلْقِيّا الكاهن العظيم لشافان الكاتب: ’قد وجدتُ سفر الشريعة في بيت الرب‘</w:t>
      </w:r>
      <w:r w:rsidRPr="006A7C83">
        <w:rPr>
          <w:rFonts w:eastAsia="Times New Roman" w:cs="DecoType Naskh" w:hint="cs"/>
          <w:color w:val="auto"/>
          <w:kern w:val="0"/>
          <w:szCs w:val="26"/>
          <w:rtl/>
          <w:lang w:bidi="ar-JO"/>
          <w14:ligatures w14:val="none"/>
        </w:rPr>
        <w:t>".  وتتابع الآية العاشرة: "</w:t>
      </w:r>
      <w:r w:rsidRPr="006A7C83">
        <w:rPr>
          <w:rFonts w:eastAsia="Times New Roman" w:cs="DecoType Naskh" w:hint="cs"/>
          <w:i/>
          <w:iCs/>
          <w:color w:val="auto"/>
          <w:kern w:val="0"/>
          <w:szCs w:val="26"/>
          <w:rtl/>
          <w:lang w:bidi="ar-JO"/>
          <w14:ligatures w14:val="none"/>
        </w:rPr>
        <w:t>وأخبر شافان الكاتب الملك قائلاً: ’قد أعطاني الكاتب حلْقيّا سفراً.‘  وقرأه شافان أمام الملك.</w:t>
      </w:r>
      <w:r w:rsidRPr="006A7C83">
        <w:rPr>
          <w:rFonts w:eastAsia="Times New Roman" w:cs="DecoType Naskh" w:hint="cs"/>
          <w:color w:val="auto"/>
          <w:kern w:val="0"/>
          <w:szCs w:val="26"/>
          <w:rtl/>
          <w:lang w:bidi="ar-JO"/>
          <w14:ligatures w14:val="none"/>
        </w:rPr>
        <w:t>"  وقد أدّى هذا الاكتشاف إلى تسريع جهود الإصلاح التي سبق أن بدأها الملك.</w:t>
      </w:r>
    </w:p>
    <w:p w14:paraId="76FA7D5B"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02A80F56" w14:textId="74A8058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يقول الباحثون النقديون إن السفر الذي وجد في زمن يوشيا كان سفر التثنية (على الرغم من أنهم ينكرون أن موسى هو الذي كتبه أو حتى أنه كُتب في وقتٍ مبكرٍ من تاريخ إسرائيل).</w:t>
      </w:r>
      <w:r w:rsidRPr="006A7C83">
        <w:rPr>
          <w:rFonts w:eastAsia="Times New Roman" w:cs="DecoType Naskh"/>
          <w:color w:val="auto"/>
          <w:kern w:val="0"/>
          <w:sz w:val="30"/>
          <w:szCs w:val="28"/>
          <w:vertAlign w:val="superscript"/>
          <w:rtl/>
          <w:lang w:bidi="ar-JO"/>
          <w14:ligatures w14:val="none"/>
        </w:rPr>
        <w:footnoteReference w:customMarkFollows="1" w:id="160"/>
        <w:t>2</w:t>
      </w:r>
      <w:r w:rsidRPr="006A7C83">
        <w:rPr>
          <w:rFonts w:eastAsia="Times New Roman" w:cs="DecoType Naskh" w:hint="cs"/>
          <w:color w:val="auto"/>
          <w:kern w:val="0"/>
          <w:sz w:val="30"/>
          <w:szCs w:val="28"/>
          <w:rtl/>
          <w:lang w:bidi="ar-JO"/>
          <w14:ligatures w14:val="none"/>
        </w:rPr>
        <w:t xml:space="preserve"> </w:t>
      </w:r>
      <w:r w:rsidRPr="006A7C83">
        <w:rPr>
          <w:rFonts w:eastAsia="Times New Roman" w:cs="DecoType Naskh" w:hint="cs"/>
          <w:color w:val="auto"/>
          <w:kern w:val="0"/>
          <w:szCs w:val="26"/>
          <w:rtl/>
          <w:lang w:bidi="ar-JO"/>
          <w14:ligatures w14:val="none"/>
        </w:rPr>
        <w:t>فعلى سبيل المثال كان ولهاوسن:</w:t>
      </w:r>
    </w:p>
    <w:p w14:paraId="046112B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0"/>
          <w:szCs w:val="28"/>
          <w:rtl/>
          <w:lang w:bidi="ar-JO"/>
          <w14:ligatures w14:val="none"/>
        </w:rPr>
      </w:pPr>
      <w:r w:rsidRPr="006A7C83">
        <w:rPr>
          <w:rFonts w:eastAsia="Times New Roman" w:cs="DecoType Naskh" w:hint="cs"/>
          <w:color w:val="auto"/>
          <w:kern w:val="0"/>
          <w:szCs w:val="26"/>
          <w:rtl/>
          <w:lang w:bidi="ar-JO"/>
          <w14:ligatures w14:val="none"/>
        </w:rPr>
        <w:t>مقتنعاً أن إصلاحات يوشيا أطلقها قادة دينيون معاصرون قاموا بتأليف "سفر الشريعة" ودفنه في الهيكل من أجل تعزيز إصلاحاتهم.  ويُفترض أن السفر "اكتُشفَ".  وبما أنه انتُحل للسفر تاريخ من زمن موسى، فقد أعطى تأييداً قويّاً للإصلاحات.</w:t>
      </w:r>
      <w:r w:rsidRPr="006A7C83">
        <w:rPr>
          <w:rFonts w:eastAsia="Times New Roman" w:cs="DecoType Naskh"/>
          <w:color w:val="auto"/>
          <w:kern w:val="0"/>
          <w:sz w:val="30"/>
          <w:szCs w:val="28"/>
          <w:vertAlign w:val="superscript"/>
          <w:rtl/>
          <w:lang w:bidi="ar-JO"/>
          <w14:ligatures w14:val="none"/>
        </w:rPr>
        <w:footnoteReference w:customMarkFollows="1" w:id="161"/>
        <w:t>3</w:t>
      </w:r>
    </w:p>
    <w:p w14:paraId="1B179A00"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p>
    <w:p w14:paraId="737BC03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حسب هذه النظرية، كُتب سفر التثنية في زمن يوشيا، لكنه جُعل يبدو وكأن موسى هو كاتبه من أجل إعطائه سلطة.</w:t>
      </w:r>
      <w:r w:rsidRPr="006A7C83">
        <w:rPr>
          <w:rFonts w:eastAsia="Times New Roman" w:cs="DecoType Naskh"/>
          <w:color w:val="auto"/>
          <w:kern w:val="0"/>
          <w:sz w:val="30"/>
          <w:szCs w:val="28"/>
          <w:vertAlign w:val="superscript"/>
          <w:rtl/>
          <w:lang w:bidi="ar-JO"/>
          <w14:ligatures w14:val="none"/>
        </w:rPr>
        <w:footnoteReference w:customMarkFollows="1" w:id="162"/>
        <w:t>4</w:t>
      </w:r>
      <w:r w:rsidRPr="006A7C83">
        <w:rPr>
          <w:rFonts w:eastAsia="Times New Roman" w:cs="DecoType Naskh" w:hint="cs"/>
          <w:color w:val="auto"/>
          <w:kern w:val="0"/>
          <w:szCs w:val="26"/>
          <w:rtl/>
          <w:lang w:bidi="ar-JO"/>
          <w14:ligatures w14:val="none"/>
        </w:rPr>
        <w:t xml:space="preserve"> وهكذا فإن سفر التثنية والكتابات التاريخية المرتبطة به هي في واقع الأمر نتاج أدبي تم تأليفه من أجل تعزيز حركة الإصلاح في زمن يوشيّا.  وتفترض هذه النظرية أن كتابة هذا السفر مدفوعة بأسباب سياسية ولاهوتية، ألا وهي إعطاء مزيد من السلطة والتأييد للكهنة ولمركزية العبادة الدينية في أورشليم.  يقول آندرسون، ممثل هذا الرأي:</w:t>
      </w:r>
    </w:p>
    <w:p w14:paraId="6D89E0D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على الرغم من أن كاتب هذا السفر مجهول الهوية، كما هو الحال مع معظم كتابات العهد القديم، فإن نسبته للخطاب لموسى ليست خرافة أدبية كاملة.  فسفر التثنية في جوهره إحياء للتعليم الموسوي كما فُهم في القرن السابع ق م.  ومن المؤكد أنه لم يحتوِ على الكلمات الفعلية الحرفية التي نطق بها موسى؛ لكن الجو هو جو الإيمان الموسوي، على الرغم من أنه مشحون بالأفكار الدينية والأخلاقية للحركة النبوية.  والتوراة التثنوية، مثلها في ذلك مثل الأنبياء أنفسهم، لا تدّعي أنها تقود إسرائيل إلى الأمام إلى مرتفعات جديدة من التطور الديني، لكنها تذكّر الشعب بالإيمان الأصلي للفترة الموسوية.  فهذا برنامج إصلاح، لا ابتداع.  ومن هنا كان أمراً لائقاً أن ينسب الخطاب إلى موسى.</w:t>
      </w:r>
      <w:r w:rsidRPr="006A7C83">
        <w:rPr>
          <w:rFonts w:eastAsia="Times New Roman" w:cs="DecoType Naskh"/>
          <w:color w:val="auto"/>
          <w:kern w:val="0"/>
          <w:sz w:val="30"/>
          <w:szCs w:val="28"/>
          <w:vertAlign w:val="superscript"/>
          <w:rtl/>
          <w:lang w:bidi="ar-JO"/>
          <w14:ligatures w14:val="none"/>
        </w:rPr>
        <w:footnoteReference w:customMarkFollows="1" w:id="163"/>
        <w:t>5</w:t>
      </w:r>
      <w:r w:rsidRPr="006A7C83">
        <w:rPr>
          <w:rFonts w:eastAsia="Times New Roman" w:cs="DecoType Naskh" w:hint="cs"/>
          <w:color w:val="auto"/>
          <w:kern w:val="0"/>
          <w:szCs w:val="26"/>
          <w:rtl/>
          <w:lang w:bidi="ar-JO"/>
          <w14:ligatures w14:val="none"/>
        </w:rPr>
        <w:t xml:space="preserve"> </w:t>
      </w:r>
    </w:p>
    <w:p w14:paraId="5D83C56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p>
    <w:p w14:paraId="23395298"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30"/>
          <w:szCs w:val="28"/>
          <w:rtl/>
          <w:lang w:bidi="ar-JO"/>
          <w14:ligatures w14:val="none"/>
        </w:rPr>
      </w:pPr>
      <w:r w:rsidRPr="006A7C83">
        <w:rPr>
          <w:rFonts w:eastAsia="Times New Roman" w:cs="DecoType Naskh" w:hint="cs"/>
          <w:color w:val="auto"/>
          <w:kern w:val="0"/>
          <w:szCs w:val="26"/>
          <w:rtl/>
          <w:lang w:bidi="ar-JO"/>
          <w14:ligatures w14:val="none"/>
        </w:rPr>
        <w:t xml:space="preserve">بعد أن صار سفر التثنية منفصلاً عن الأسفار الخمسة، بدأ الباحثون يلاحظون أوجه الشبه بينه وبين يشوع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الملوك، وبدأوا يتكلّمون عن "التاريخ التثنوي".  وربما يجدر بنا أن نطلق تسميتين مختلفتين هنا: "التاريخ التثنوي" (</w:t>
      </w:r>
      <w:r w:rsidRPr="006A7C83">
        <w:rPr>
          <w:rFonts w:eastAsia="Times New Roman" w:cs="DecoType Naskh"/>
          <w:color w:val="auto"/>
          <w:kern w:val="0"/>
          <w:szCs w:val="26"/>
          <w14:ligatures w14:val="none"/>
        </w:rPr>
        <w:t>Deuteronomic</w:t>
      </w:r>
      <w:r w:rsidRPr="006A7C83">
        <w:rPr>
          <w:rFonts w:eastAsia="Times New Roman" w:cs="DecoType Naskh" w:hint="cs"/>
          <w:color w:val="auto"/>
          <w:kern w:val="0"/>
          <w:szCs w:val="26"/>
          <w:rtl/>
          <w:lang w:bidi="ar-JO"/>
          <w14:ligatures w14:val="none"/>
        </w:rPr>
        <w:t>) و"التاريخ التثنوي التأثُّر"            (</w:t>
      </w:r>
      <w:r w:rsidRPr="006A7C83">
        <w:rPr>
          <w:rFonts w:eastAsia="Times New Roman" w:cs="DecoType Naskh"/>
          <w:color w:val="auto"/>
          <w:kern w:val="0"/>
          <w:szCs w:val="26"/>
          <w14:ligatures w14:val="none"/>
        </w:rPr>
        <w:t>Deuteronomistic</w:t>
      </w:r>
      <w:r w:rsidRPr="006A7C83">
        <w:rPr>
          <w:rFonts w:eastAsia="Times New Roman" w:cs="DecoType Naskh" w:hint="cs"/>
          <w:color w:val="auto"/>
          <w:kern w:val="0"/>
          <w:szCs w:val="26"/>
          <w:rtl/>
          <w:lang w:bidi="ar-JO"/>
          <w14:ligatures w14:val="none"/>
        </w:rPr>
        <w:t>).</w:t>
      </w:r>
      <w:r w:rsidRPr="006A7C83">
        <w:rPr>
          <w:rFonts w:eastAsia="Times New Roman" w:cs="DecoType Naskh"/>
          <w:color w:val="auto"/>
          <w:kern w:val="0"/>
          <w:sz w:val="30"/>
          <w:szCs w:val="28"/>
          <w:vertAlign w:val="superscript"/>
          <w:rtl/>
          <w:lang w:bidi="ar-JO"/>
          <w14:ligatures w14:val="none"/>
        </w:rPr>
        <w:footnoteReference w:customMarkFollows="1" w:id="164"/>
        <w:t>6</w:t>
      </w:r>
    </w:p>
    <w:p w14:paraId="692257F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6594F11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تثنوي- تشير هذه الصفة إلى المادة الموجودة في قلب سفر التثنية (تثنية 5-28).</w:t>
      </w:r>
    </w:p>
    <w:p w14:paraId="1DF2348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تثنوي التأثُّر- تشير إلى الكتابات التي يُفترض أنها تأثرت بالتوراة التثنوية، والتي تشكّل التاريخ التثنوي التأثُّر الممتد من سفر يشوع إلى ملوك الثاني.</w:t>
      </w:r>
    </w:p>
    <w:p w14:paraId="6FD6272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p>
    <w:p w14:paraId="604B455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2AF5765"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ركّز الباحثون الانتقاديون حتى الجزء الأول من القرن العشرين على مهمة محاولة تحليل المصادر المختلفة خلف النص (كما فعلوا مع بقية الأسفار الخمسة).</w:t>
      </w:r>
      <w:r w:rsidRPr="006A7C83">
        <w:rPr>
          <w:rFonts w:eastAsia="Times New Roman" w:cs="DecoType Naskh"/>
          <w:color w:val="auto"/>
          <w:kern w:val="0"/>
          <w:sz w:val="30"/>
          <w:szCs w:val="28"/>
          <w:vertAlign w:val="superscript"/>
          <w:rtl/>
          <w:lang w:bidi="ar-JO"/>
          <w14:ligatures w14:val="none"/>
        </w:rPr>
        <w:footnoteReference w:customMarkFollows="1" w:id="165"/>
        <w:t>7</w:t>
      </w:r>
      <w:r w:rsidRPr="006A7C83">
        <w:rPr>
          <w:rFonts w:eastAsia="Times New Roman" w:cs="DecoType Naskh" w:hint="cs"/>
          <w:color w:val="auto"/>
          <w:kern w:val="0"/>
          <w:szCs w:val="26"/>
          <w:rtl/>
          <w:lang w:bidi="ar-JO"/>
          <w14:ligatures w14:val="none"/>
        </w:rPr>
        <w:t xml:space="preserve"> غير أن الدراسات النقدية شهدت نقلة في التركيز في ما يتعلق بسفر التثنية والأسفار التاريخية.  وبدون التخلّي عن فكرة المصادر، بدأ الباحثون الانتقاديون ينظرون إلى هذه المادة من منظور مختلف، أي كوحدات أدبية مستقلّة نسجها معاً محرر أو عدّة محررين كانت في أذهانهم أجندة (خطة) لاهوتية مقررة سلفاً.  ففي عام 1943 دافع الباحث الألماني مارتن نوث عن هذه النظرية بشكل مفصّل.</w:t>
      </w:r>
      <w:r w:rsidRPr="006A7C83">
        <w:rPr>
          <w:rFonts w:eastAsia="Times New Roman" w:cs="DecoType Naskh"/>
          <w:color w:val="auto"/>
          <w:kern w:val="0"/>
          <w:sz w:val="30"/>
          <w:szCs w:val="28"/>
          <w:vertAlign w:val="superscript"/>
          <w:rtl/>
          <w:lang w:bidi="ar-JO"/>
          <w14:ligatures w14:val="none"/>
        </w:rPr>
        <w:footnoteReference w:customMarkFollows="1" w:id="166"/>
        <w:t>8</w:t>
      </w:r>
      <w:r w:rsidRPr="006A7C83">
        <w:rPr>
          <w:rFonts w:eastAsia="Times New Roman" w:cs="DecoType Naskh" w:hint="cs"/>
          <w:color w:val="auto"/>
          <w:kern w:val="0"/>
          <w:szCs w:val="26"/>
          <w:rtl/>
          <w:lang w:bidi="ar-JO"/>
          <w14:ligatures w14:val="none"/>
        </w:rPr>
        <w:t xml:space="preserve"> وقال إن تثنية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ملوك كُتبت كعمل موحَّد أثناء فترة السبي، وسمّاها "التاريخ التثنوي التأثُّر".  وقد رأى نوث أن هدف تلك المادة هو أن تبين كيف ظهر لاهوت التثنية في تاريخ إسرائيل، وعلى نحو خاص كيف لعبت هذه المادة دور بيان دفاعٍ عن الله كُتب ليقدّم عرضاً لأسباب لاهوتية لسقوط محرِّر المملكة الشمالية وأورشليم ويهوذا. </w:t>
      </w:r>
    </w:p>
    <w:p w14:paraId="5BB89A2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53FEA98D"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وليس مفاجئاً أن تكون هنالك نظريات متنوعة حول زمن كتابة التاريخ التثنوي التأثر وكيفية ذلك، وما إذا كان هنالك منقّح واحد أو عدّة محرِّرين.  غير أنه تمَّ التخلّي عن رأي نوث في أن مؤرّخاً واحداً هو الذي كتب كل هذا العمل الأدبي.  لكن يوجد اتفاق عام بين الباحثين النقديين أن دستور سفر التثنية (خاصة توكيده على مقدس مركزي) كان أساس إصلاحات يوشيا.  ويشرح هيتر سبب هذه الإصلاحات:</w:t>
      </w:r>
    </w:p>
    <w:p w14:paraId="6BBB68D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0"/>
          <w:szCs w:val="28"/>
          <w:rtl/>
          <w:lang w:bidi="ar-JO"/>
          <w14:ligatures w14:val="none"/>
        </w:rPr>
      </w:pPr>
      <w:r w:rsidRPr="006A7C83">
        <w:rPr>
          <w:rFonts w:eastAsia="Times New Roman" w:cs="DecoType Naskh" w:hint="cs"/>
          <w:color w:val="auto"/>
          <w:kern w:val="0"/>
          <w:szCs w:val="26"/>
          <w:rtl/>
          <w:lang w:bidi="ar-JO"/>
          <w14:ligatures w14:val="none"/>
        </w:rPr>
        <w:t>بما أنه يبدو أن سفر التثنية (خاصةً الأصحاحات 12، 14، 16) يحدد كل العبادة في مكان واحد، وبما أن الممارسة الفعلية منذ زمن القضاة إلى يوشيا كانت موزعة في أماكن عدّة، فلا بدّ أن سفر التثنية كُتب في زمن يوشيا من أجل المصادقة على تقليد جديد وإعطاء سلطة لإصلاحات يوشيا.</w:t>
      </w:r>
      <w:r w:rsidRPr="006A7C83">
        <w:rPr>
          <w:rFonts w:eastAsia="Times New Roman" w:cs="DecoType Naskh"/>
          <w:color w:val="auto"/>
          <w:kern w:val="0"/>
          <w:szCs w:val="26"/>
          <w:vertAlign w:val="superscript"/>
          <w:rtl/>
          <w:lang w:bidi="ar-JO"/>
          <w14:ligatures w14:val="none"/>
        </w:rPr>
        <w:t xml:space="preserve"> </w:t>
      </w:r>
      <w:r w:rsidRPr="006A7C83">
        <w:rPr>
          <w:rFonts w:eastAsia="Times New Roman" w:cs="DecoType Naskh"/>
          <w:color w:val="auto"/>
          <w:kern w:val="0"/>
          <w:sz w:val="30"/>
          <w:szCs w:val="28"/>
          <w:vertAlign w:val="superscript"/>
          <w:rtl/>
          <w:lang w:bidi="ar-JO"/>
          <w14:ligatures w14:val="none"/>
        </w:rPr>
        <w:footnoteReference w:customMarkFollows="1" w:id="167"/>
        <w:t>9</w:t>
      </w:r>
    </w:p>
    <w:p w14:paraId="0FB1685B"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23FD2EB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ومن هنا يتحدثون عن الإصلاحات التثنوية.  ثم يقولون بناء على ذلك إن مؤرخين (كانوا مقتنعين بالأسباب اللاهوتية للإصلاح التثنوي بشكل جاد) ألّفوا تاريخاً لإسرائيل تثنوي التأثر "شاملاً من زمن موسى إلى سقوط الأمّة الأخير (أي تثنية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ملوك).</w:t>
      </w:r>
      <w:r w:rsidRPr="006A7C83">
        <w:rPr>
          <w:rFonts w:eastAsia="Times New Roman" w:cs="DecoType Naskh"/>
          <w:color w:val="auto"/>
          <w:kern w:val="0"/>
          <w:szCs w:val="26"/>
          <w:vertAlign w:val="superscript"/>
          <w:rtl/>
          <w:lang w:bidi="ar-JO"/>
          <w14:ligatures w14:val="none"/>
        </w:rPr>
        <w:t xml:space="preserve"> </w:t>
      </w:r>
      <w:r w:rsidRPr="006A7C83">
        <w:rPr>
          <w:rFonts w:eastAsia="Times New Roman" w:cs="DecoType Naskh"/>
          <w:color w:val="auto"/>
          <w:kern w:val="0"/>
          <w:sz w:val="30"/>
          <w:szCs w:val="28"/>
          <w:vertAlign w:val="superscript"/>
          <w:rtl/>
          <w:lang w:bidi="ar-JO"/>
          <w14:ligatures w14:val="none"/>
        </w:rPr>
        <w:footnoteReference w:customMarkFollows="1" w:id="168"/>
        <w:t>10</w:t>
      </w:r>
      <w:r w:rsidRPr="006A7C83">
        <w:rPr>
          <w:rFonts w:eastAsia="Times New Roman" w:cs="DecoType Naskh" w:hint="cs"/>
          <w:color w:val="auto"/>
          <w:kern w:val="0"/>
          <w:szCs w:val="26"/>
          <w:rtl/>
          <w:lang w:bidi="ar-JO"/>
          <w14:ligatures w14:val="none"/>
        </w:rPr>
        <w:t xml:space="preserve"> وهم يقولون بشكل عام إن التحرير الأخير تم في حوالي 550ق م.</w:t>
      </w:r>
    </w:p>
    <w:p w14:paraId="42F6238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وفي هذه الطبعة النهائية، تم توسيع "</w:t>
      </w:r>
      <w:r w:rsidRPr="006A7C83">
        <w:rPr>
          <w:rFonts w:eastAsia="Times New Roman" w:cs="DecoType Naskh" w:hint="cs"/>
          <w:i/>
          <w:iCs/>
          <w:color w:val="auto"/>
          <w:kern w:val="0"/>
          <w:szCs w:val="26"/>
          <w:rtl/>
          <w:lang w:bidi="ar-JO"/>
          <w14:ligatures w14:val="none"/>
        </w:rPr>
        <w:t>التاريخ التثنوي التأثُّر</w:t>
      </w:r>
      <w:r w:rsidRPr="006A7C83">
        <w:rPr>
          <w:rFonts w:eastAsia="Times New Roman" w:cs="DecoType Naskh" w:hint="cs"/>
          <w:color w:val="auto"/>
          <w:kern w:val="0"/>
          <w:szCs w:val="26"/>
          <w:rtl/>
          <w:lang w:bidi="ar-JO"/>
          <w14:ligatures w14:val="none"/>
        </w:rPr>
        <w:t>" وتحديثه ليشمل الدمار والترحيل، على الرغم من أنه ينتهي بنغمة ذات رجاء بملاحظة إطلاق سراح الملك الداودي يهوياكين من سجنه في بابل.  ويُعزى زوال ملك يهوذا بشكل رئيسي إلى حكم الملك منسّى الشرير من النصف الأول للقرن السابع ق م.  وفيما يلي نظرية آندرسون (ص 435):</w:t>
      </w:r>
    </w:p>
    <w:p w14:paraId="77BD03D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2948881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bookmarkStart w:id="155" w:name="_MON_1166691499"/>
    <w:bookmarkEnd w:id="155"/>
    <w:p w14:paraId="5E99133F" w14:textId="77777777" w:rsidR="006A7C83" w:rsidRPr="006A7C83" w:rsidRDefault="006A7C83" w:rsidP="002D6C54">
      <w:pPr>
        <w:bidi/>
        <w:spacing w:after="0" w:line="240" w:lineRule="auto"/>
        <w:rPr>
          <w:rFonts w:eastAsia="Times New Roman" w:cs="DecoType Naskh"/>
          <w:color w:val="auto"/>
          <w:kern w:val="0"/>
          <w:sz w:val="28"/>
          <w:szCs w:val="28"/>
          <w:rtl/>
          <w14:ligatures w14:val="none"/>
        </w:rPr>
      </w:pPr>
      <w:r w:rsidRPr="006A7C83">
        <w:rPr>
          <w:rFonts w:eastAsia="Times New Roman" w:cs="DecoType Naskh"/>
          <w:color w:val="auto"/>
          <w:kern w:val="0"/>
          <w:szCs w:val="18"/>
          <w:rtl/>
          <w:lang w:bidi="ar-JO"/>
          <w14:ligatures w14:val="none"/>
        </w:rPr>
        <w:object w:dxaOrig="4800" w:dyaOrig="4800" w14:anchorId="0C64244F">
          <v:shape id="_x0000_i1041" type="#_x0000_t75" style="width:460.8pt;height:352.8pt" o:ole="">
            <v:imagedata r:id="rId80" o:title=""/>
          </v:shape>
          <o:OLEObject Type="Embed" ProgID="PowerPoint.Show.8" ShapeID="_x0000_i1041" DrawAspect="Content" ObjectID="_1802157136" r:id="rId81"/>
        </w:object>
      </w:r>
    </w:p>
    <w:p w14:paraId="318449A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B0974FD"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تمثل الخطوط المنقّطة في الجدول السابق التقليد الشفوي، بينما تمثّل الخطوط المتّصلة انتقال التقليد بشكلٍ مكتوبٍ.  لنلاحظ أن كل التقاليد تشكّل تطورات متوازية من الفترة القديمة، على الرغم من أن كل واحد منها كان موضوعاً لتطور خاص في الدائرة الذي حفظته.  وقد كانت هذه التقاليد، مثلها في ذلك مثل عدة جداول تصب في نهر واحد، مرتبطة وموحّدة معاً في تقليد كهنوتي، مشكِّلة بذلك الأسفار الخمسة.</w:t>
      </w:r>
    </w:p>
    <w:p w14:paraId="74D9DD08"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4E6DE9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67F57256"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3</w:t>
      </w:r>
      <w:r w:rsidRPr="006A7C83">
        <w:rPr>
          <w:rFonts w:eastAsia="Times New Roman" w:cs="DecoType Naskh" w:hint="cs"/>
          <w:bCs/>
          <w:color w:val="auto"/>
          <w:kern w:val="0"/>
          <w:szCs w:val="24"/>
          <w:rtl/>
          <w:lang w:bidi="ar-JO"/>
          <w14:ligatures w14:val="none"/>
        </w:rPr>
        <w:t>.</w:t>
      </w:r>
      <w:r w:rsidRPr="006A7C83">
        <w:rPr>
          <w:rFonts w:eastAsia="Times New Roman" w:cs="DecoType Naskh" w:hint="cs"/>
          <w:bCs/>
          <w:color w:val="auto"/>
          <w:kern w:val="0"/>
          <w:szCs w:val="28"/>
          <w:rtl/>
          <w:lang w:bidi="ar-JO"/>
          <w14:ligatures w14:val="none"/>
        </w:rPr>
        <w:tab/>
        <w:t>سمات نظرية "التاريخ التثنوي التأثُّر"</w:t>
      </w:r>
    </w:p>
    <w:p w14:paraId="4E302B4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إن أكثر سمات هذه الأسفار شيوعاً هي النظرة النبوية للتاريخ التي يرتبط فيها السبب والمسبَّب ببركات العهد ولعناته.  يقدّم والتون هنا ملخَّصاً مفيداً:</w:t>
      </w:r>
    </w:p>
    <w:p w14:paraId="28F91B0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0"/>
          <w:szCs w:val="28"/>
          <w:rtl/>
          <w:lang w:bidi="ar-KW"/>
          <w14:ligatures w14:val="none"/>
        </w:rPr>
      </w:pPr>
      <w:r w:rsidRPr="006A7C83">
        <w:rPr>
          <w:rFonts w:eastAsia="Times New Roman" w:cs="DecoType Naskh" w:hint="cs"/>
          <w:color w:val="auto"/>
          <w:kern w:val="0"/>
          <w:szCs w:val="26"/>
          <w:rtl/>
          <w:lang w:bidi="ar-JO"/>
          <w14:ligatures w14:val="none"/>
        </w:rPr>
        <w:t>يشترك التاريخ التثنوي التأثُّر مع سفر التثنية في منظور واحد للتاريخ واللاهوت إذ يُنظر إلى تاريخ إسرائيل من حيث ولائها للعهد.  فطاعة الشريعة والإيمان بالرب يجلبان البركات وازدهار العهد (تثنية 28)، بينما يجلب العصيان والارتداد اللعنات المذكورة هنالك.  ومن بين أوجه الشبه في الأسلوب الاعتماد على صيغ وتعابير معيّنة (مثل "عمل بنو إسرائيل الشر في عيني الرب" في سفر القضاة؛ و"ساروا في طرق يربعام" بصفتها التهمة المشتركة لملوك الشمال في سفر الملوك) والاستخدام البلاغي للخطابة من أجل تلخيص نقاط اتصالٍ هامة (انظر تثنية 4؛ يشوع 23؛ قضاة 2: 11-23؛ 1صموئيل 2؛ 2صموئيل 7؛ 1ملوك 8؛                     2ملوك 17: 7-23).</w:t>
      </w:r>
      <w:r w:rsidRPr="006A7C83">
        <w:rPr>
          <w:rFonts w:eastAsia="Times New Roman" w:cs="DecoType Naskh"/>
          <w:color w:val="auto"/>
          <w:kern w:val="0"/>
          <w:sz w:val="30"/>
          <w:szCs w:val="28"/>
          <w:vertAlign w:val="superscript"/>
          <w:rtl/>
          <w:lang w:bidi="ar-JO"/>
          <w14:ligatures w14:val="none"/>
        </w:rPr>
        <w:footnoteReference w:customMarkFollows="1" w:id="169"/>
        <w:t>11</w:t>
      </w:r>
    </w:p>
    <w:p w14:paraId="778FE73C"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KW"/>
          <w14:ligatures w14:val="none"/>
        </w:rPr>
      </w:pPr>
    </w:p>
    <w:p w14:paraId="66A6F25D"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وبالإضافة إلى عقيدة عدم وفاء إسرائيل للعهد، توجد مواضيع أخرى في سفر التثنية لها أهميتها في هذه النظرية وتشمل:</w:t>
      </w:r>
    </w:p>
    <w:p w14:paraId="2DACC68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1)</w:t>
      </w:r>
      <w:r w:rsidRPr="006A7C83">
        <w:rPr>
          <w:rFonts w:eastAsia="Times New Roman" w:cs="DecoType Naskh" w:hint="cs"/>
          <w:color w:val="auto"/>
          <w:kern w:val="0"/>
          <w:szCs w:val="26"/>
          <w:rtl/>
          <w:lang w:bidi="ar-JO"/>
          <w14:ligatures w14:val="none"/>
        </w:rPr>
        <w:tab/>
        <w:t>مركزية نظام العبادة (تثنية 12: 5، 10-11؛ انظر 16: 16-17)</w:t>
      </w:r>
    </w:p>
    <w:p w14:paraId="58483235"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2"/>
          <w:szCs w:val="26"/>
          <w:rtl/>
          <w:lang w:bidi="ar-JO"/>
          <w14:ligatures w14:val="none"/>
        </w:rPr>
      </w:pPr>
      <w:r w:rsidRPr="006A7C83">
        <w:rPr>
          <w:rFonts w:eastAsia="Times New Roman" w:cs="DecoType Naskh" w:hint="cs"/>
          <w:color w:val="auto"/>
          <w:kern w:val="0"/>
          <w:sz w:val="32"/>
          <w:szCs w:val="26"/>
          <w:rtl/>
          <w:lang w:bidi="ar-JO"/>
          <w14:ligatures w14:val="none"/>
        </w:rPr>
        <w:t>2)</w:t>
      </w:r>
      <w:r w:rsidRPr="006A7C83">
        <w:rPr>
          <w:rFonts w:eastAsia="Times New Roman" w:cs="DecoType Naskh" w:hint="cs"/>
          <w:color w:val="auto"/>
          <w:kern w:val="0"/>
          <w:sz w:val="32"/>
          <w:szCs w:val="26"/>
          <w:rtl/>
          <w:lang w:bidi="ar-JO"/>
          <w14:ligatures w14:val="none"/>
        </w:rPr>
        <w:tab/>
        <w:t>تعيين ملك من الله (تثنية 17: 14-15)</w:t>
      </w:r>
    </w:p>
    <w:p w14:paraId="64BAF1F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2"/>
          <w:szCs w:val="26"/>
          <w:rtl/>
          <w:lang w:bidi="ar-JO"/>
          <w14:ligatures w14:val="none"/>
        </w:rPr>
      </w:pPr>
      <w:r w:rsidRPr="006A7C83">
        <w:rPr>
          <w:rFonts w:eastAsia="Times New Roman" w:cs="DecoType Naskh" w:hint="cs"/>
          <w:color w:val="auto"/>
          <w:kern w:val="0"/>
          <w:sz w:val="32"/>
          <w:szCs w:val="26"/>
          <w:rtl/>
          <w:lang w:bidi="ar-JO"/>
          <w14:ligatures w14:val="none"/>
        </w:rPr>
        <w:t>3)</w:t>
      </w:r>
      <w:r w:rsidRPr="006A7C83">
        <w:rPr>
          <w:rFonts w:eastAsia="Times New Roman" w:cs="DecoType Naskh" w:hint="cs"/>
          <w:color w:val="auto"/>
          <w:kern w:val="0"/>
          <w:sz w:val="32"/>
          <w:szCs w:val="26"/>
          <w:rtl/>
          <w:lang w:bidi="ar-JO"/>
          <w14:ligatures w14:val="none"/>
        </w:rPr>
        <w:tab/>
        <w:t>إزالة الأنبياء الكذبة (تثنية 13: 3، 5؛ انظر تثنية 18)</w:t>
      </w:r>
    </w:p>
    <w:p w14:paraId="72E0B0D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2"/>
          <w:szCs w:val="26"/>
          <w:rtl/>
          <w:lang w:bidi="ar-JO"/>
          <w14:ligatures w14:val="none"/>
        </w:rPr>
      </w:pPr>
      <w:r w:rsidRPr="006A7C83">
        <w:rPr>
          <w:rFonts w:eastAsia="Times New Roman" w:cs="DecoType Naskh" w:hint="cs"/>
          <w:color w:val="auto"/>
          <w:kern w:val="0"/>
          <w:sz w:val="32"/>
          <w:szCs w:val="26"/>
          <w:rtl/>
          <w:lang w:bidi="ar-JO"/>
          <w14:ligatures w14:val="none"/>
        </w:rPr>
        <w:t>4)</w:t>
      </w:r>
      <w:r w:rsidRPr="006A7C83">
        <w:rPr>
          <w:rFonts w:eastAsia="Times New Roman" w:cs="DecoType Naskh" w:hint="cs"/>
          <w:color w:val="auto"/>
          <w:kern w:val="0"/>
          <w:sz w:val="32"/>
          <w:szCs w:val="26"/>
          <w:rtl/>
          <w:lang w:bidi="ar-JO"/>
          <w14:ligatures w14:val="none"/>
        </w:rPr>
        <w:tab/>
        <w:t>رفع الكهنة اللاويين (تثنية 18: 1-2)</w:t>
      </w:r>
    </w:p>
    <w:p w14:paraId="30EC5550"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2"/>
          <w:szCs w:val="26"/>
          <w:rtl/>
          <w:lang w:bidi="ar-JO"/>
          <w14:ligatures w14:val="none"/>
        </w:rPr>
      </w:pPr>
      <w:r w:rsidRPr="006A7C83">
        <w:rPr>
          <w:rFonts w:eastAsia="Times New Roman" w:cs="DecoType Naskh" w:hint="cs"/>
          <w:color w:val="auto"/>
          <w:kern w:val="0"/>
          <w:sz w:val="32"/>
          <w:szCs w:val="26"/>
          <w:rtl/>
          <w:lang w:bidi="ar-JO"/>
          <w14:ligatures w14:val="none"/>
        </w:rPr>
        <w:t>5)</w:t>
      </w:r>
      <w:r w:rsidRPr="006A7C83">
        <w:rPr>
          <w:rFonts w:eastAsia="Times New Roman" w:cs="DecoType Naskh" w:hint="cs"/>
          <w:color w:val="auto"/>
          <w:kern w:val="0"/>
          <w:sz w:val="32"/>
          <w:szCs w:val="26"/>
          <w:rtl/>
          <w:lang w:bidi="ar-JO"/>
          <w14:ligatures w14:val="none"/>
        </w:rPr>
        <w:tab/>
        <w:t>الإنباء بأنبياء يتكلمون عن الله (تثنية 18: 15، 18-19)</w:t>
      </w:r>
    </w:p>
    <w:p w14:paraId="75919CA0"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2"/>
          <w:szCs w:val="26"/>
          <w:rtl/>
          <w:lang w:bidi="ar-JO"/>
          <w14:ligatures w14:val="none"/>
        </w:rPr>
      </w:pPr>
    </w:p>
    <w:p w14:paraId="6E3299A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إن ميل التاريخ التثنوي التأثُّر ضمن ملوك الأول والثاني هو تقويم كل ملك من حيث وفائه للعهد.  ويجري تقويم الملوك الشماليون بمقارنتهم ب</w:t>
      </w:r>
      <w:r w:rsidRPr="006A7C83">
        <w:rPr>
          <w:rFonts w:eastAsia="Times New Roman" w:cs="DecoType Naskh" w:hint="cs"/>
          <w:color w:val="auto"/>
          <w:kern w:val="0"/>
          <w:szCs w:val="26"/>
          <w:u w:val="single"/>
          <w:rtl/>
          <w:lang w:bidi="ar-JO"/>
          <w14:ligatures w14:val="none"/>
        </w:rPr>
        <w:t>يربعام</w:t>
      </w:r>
      <w:r w:rsidRPr="006A7C83">
        <w:rPr>
          <w:rFonts w:eastAsia="Times New Roman" w:cs="DecoType Naskh" w:hint="cs"/>
          <w:color w:val="auto"/>
          <w:kern w:val="0"/>
          <w:szCs w:val="26"/>
          <w:rtl/>
          <w:lang w:bidi="ar-JO"/>
          <w14:ligatures w14:val="none"/>
        </w:rPr>
        <w:t xml:space="preserve">  (أول ملك شمالي).  أمّا بالنسبة للملوك الجنوبيين، فيجري تقويمهم بمقارنتهم </w:t>
      </w:r>
      <w:r w:rsidRPr="006A7C83">
        <w:rPr>
          <w:rFonts w:eastAsia="Times New Roman" w:cs="DecoType Naskh" w:hint="cs"/>
          <w:color w:val="auto"/>
          <w:kern w:val="0"/>
          <w:szCs w:val="26"/>
          <w:u w:val="single"/>
          <w:rtl/>
          <w:lang w:bidi="ar-JO"/>
          <w14:ligatures w14:val="none"/>
        </w:rPr>
        <w:t xml:space="preserve">بداود </w:t>
      </w:r>
      <w:r w:rsidRPr="006A7C83">
        <w:rPr>
          <w:rFonts w:eastAsia="Times New Roman" w:cs="DecoType Naskh" w:hint="cs"/>
          <w:color w:val="auto"/>
          <w:kern w:val="0"/>
          <w:szCs w:val="26"/>
          <w:rtl/>
          <w:lang w:bidi="ar-JO"/>
          <w14:ligatures w14:val="none"/>
        </w:rPr>
        <w:t>(الذي قطع الله معه العهد الداودي).  وعند كل نقطة يحاول الكاتب / المحرر أن يرسم خريطة مسار إسرائيل مستقبلاً.  يقول والتون:</w:t>
      </w:r>
    </w:p>
    <w:p w14:paraId="263DEC3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يعتقد أن طبعة السبي المزعومة أكثر اهتماماً بتطوير موضوع الخطية والعقاب.  وسعياً لجواب عن السؤال الذي وجَّهه المسبيّون "أين أخطأنا؟" فإنه يقال لهم إن الأمور سارت سيراً خاطئاً منذ البداية، وقد استمر هذا النمط عبر التاريخ الطويل للحكم الملكي.</w:t>
      </w:r>
    </w:p>
    <w:p w14:paraId="309B011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0"/>
          <w:szCs w:val="28"/>
          <w:rtl/>
          <w:lang w:bidi="ar-JO"/>
          <w14:ligatures w14:val="none"/>
        </w:rPr>
      </w:pPr>
      <w:r w:rsidRPr="006A7C83">
        <w:rPr>
          <w:rFonts w:eastAsia="Times New Roman" w:cs="DecoType Naskh" w:hint="cs"/>
          <w:color w:val="auto"/>
          <w:kern w:val="0"/>
          <w:szCs w:val="26"/>
          <w:rtl/>
          <w:lang w:bidi="ar-JO"/>
          <w14:ligatures w14:val="none"/>
        </w:rPr>
        <w:t>وقد أكَّد الوجود الدائم للكلمة النبوية للملوك أثناء هذه الفترة أن الرب أعطى تنبيهات وإنذارات كافية، وأنهُ أتيحت لهم فرصة كافية للاستجابة.  وتم إثبات صبر الله وأمانته للعهد بشكل كامل.  يمكننا أن نرى إذاً أن رسالة هذه الأسفار ارتبط بشكل وثيق بالعهد."</w:t>
      </w:r>
      <w:r w:rsidRPr="006A7C83">
        <w:rPr>
          <w:rFonts w:eastAsia="Times New Roman" w:cs="DecoType Naskh"/>
          <w:color w:val="auto"/>
          <w:kern w:val="0"/>
          <w:szCs w:val="26"/>
          <w:vertAlign w:val="superscript"/>
          <w:rtl/>
          <w:lang w:bidi="ar-JO"/>
          <w14:ligatures w14:val="none"/>
        </w:rPr>
        <w:t xml:space="preserve"> </w:t>
      </w:r>
      <w:r w:rsidRPr="006A7C83">
        <w:rPr>
          <w:rFonts w:eastAsia="Times New Roman" w:cs="DecoType Naskh"/>
          <w:color w:val="auto"/>
          <w:kern w:val="0"/>
          <w:sz w:val="30"/>
          <w:szCs w:val="28"/>
          <w:vertAlign w:val="superscript"/>
          <w:rtl/>
          <w:lang w:bidi="ar-JO"/>
          <w14:ligatures w14:val="none"/>
        </w:rPr>
        <w:footnoteReference w:customMarkFollows="1" w:id="170"/>
        <w:t>12</w:t>
      </w:r>
    </w:p>
    <w:p w14:paraId="4586DCA0"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p>
    <w:p w14:paraId="61CAC236"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4.</w:t>
      </w:r>
      <w:r w:rsidRPr="006A7C83">
        <w:rPr>
          <w:rFonts w:eastAsia="Times New Roman" w:cs="DecoType Naskh" w:hint="cs"/>
          <w:bCs/>
          <w:color w:val="auto"/>
          <w:kern w:val="0"/>
          <w:szCs w:val="28"/>
          <w:rtl/>
          <w:lang w:bidi="ar-JO"/>
          <w14:ligatures w14:val="none"/>
        </w:rPr>
        <w:tab/>
        <w:t>تقويم</w:t>
      </w:r>
    </w:p>
    <w:p w14:paraId="3A897486"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توجد صلة حيوية بين سفر التثنية والرواية التاريخية ليشوع-ملوك، وقد حاول الباحثون الانتقاديون بطرق ما بنظرية "المؤرّخ التثنوي التأثُّر" أن يروا هذا الأمر بوضوح أكبر.  وينطبق هذا بشكل خاص على تطبيقات تثنية 28-29، التي تُعلَن فيها لعنات استجابةً لعدم الوفاء للعهد.  وإن ذروة اللعنات التي يمكن أن تصيب الأمة هي السبي من الأرض.</w:t>
      </w:r>
    </w:p>
    <w:p w14:paraId="4648098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4A2598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لا شك أن كاتب سفر التثنية يكتب عن ذهاب الأمة إلى </w:t>
      </w:r>
      <w:r w:rsidRPr="006A7C83">
        <w:rPr>
          <w:rFonts w:eastAsia="Times New Roman" w:cs="DecoType Naskh" w:hint="cs"/>
          <w:color w:val="auto"/>
          <w:kern w:val="0"/>
          <w:szCs w:val="26"/>
          <w:u w:val="single"/>
          <w:rtl/>
          <w:lang w:bidi="ar-JO"/>
          <w14:ligatures w14:val="none"/>
        </w:rPr>
        <w:t>السبي</w:t>
      </w:r>
      <w:r w:rsidRPr="006A7C83">
        <w:rPr>
          <w:rFonts w:eastAsia="Times New Roman" w:cs="DecoType Naskh" w:hint="cs"/>
          <w:color w:val="auto"/>
          <w:kern w:val="0"/>
          <w:szCs w:val="26"/>
          <w:rtl/>
          <w:lang w:bidi="ar-JO"/>
          <w14:ligatures w14:val="none"/>
        </w:rPr>
        <w:t>، لكن كيف كان له أن يعرف ذلك؟ يجيب الباحثون الانتقاديون بأن شخصاً يعيش في زمن السبي هو فقط القادر على معرفة أن هذا هو مصير الأمة، وبالتالي أن يكتب عنه.  غير أن الباحثين الإنجيليين المُحافظين يؤمنون بأن الكتاب المقدّس هو كلمة الله الموحى بها.  ولهذا كان في مقدور الله (الذي يستطيع أن يرى مستقبل الأمة) ن يكتب من خلال موسى في عام 1406ق م أن الأمة ستذهب إلى السبي في نهاية المطاف.  ومن هنا فقد سبق أن أُخبر عن هذا الأمر بشكل نبوي! غير أن الباحثين الانتقاديين ينكرون ذلك، ويؤكّدون أن هذه المادة (بما فيها سفر التثنية) كُتبت بعد حدوثها، في التحرير النهائي على الأقل.  ويجب علينا أن نجري عملية تقويم حذرة لهذه النظرية.</w:t>
      </w:r>
    </w:p>
    <w:p w14:paraId="7350A56B"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7E6E7DD" w14:textId="71D7186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 w:val="32"/>
          <w:szCs w:val="26"/>
          <w:rtl/>
          <w:lang w:bidi="ar-JO"/>
          <w14:ligatures w14:val="none"/>
        </w:rPr>
        <w:t>1.</w:t>
      </w:r>
      <w:r w:rsidRPr="006A7C83">
        <w:rPr>
          <w:rFonts w:eastAsia="Times New Roman" w:cs="DecoType Naskh" w:hint="cs"/>
          <w:color w:val="auto"/>
          <w:kern w:val="0"/>
          <w:sz w:val="32"/>
          <w:szCs w:val="26"/>
          <w:rtl/>
          <w:lang w:bidi="ar-JO"/>
          <w14:ligatures w14:val="none"/>
        </w:rPr>
        <w:tab/>
        <w:t xml:space="preserve">تعاني نظرية </w:t>
      </w:r>
      <w:r w:rsidRPr="006A7C83">
        <w:rPr>
          <w:rFonts w:eastAsia="Times New Roman" w:cs="DecoType Naskh" w:hint="cs"/>
          <w:i/>
          <w:iCs/>
          <w:color w:val="auto"/>
          <w:kern w:val="0"/>
          <w:sz w:val="32"/>
          <w:szCs w:val="26"/>
          <w:rtl/>
          <w:lang w:bidi="ar-JO"/>
          <w14:ligatures w14:val="none"/>
        </w:rPr>
        <w:t xml:space="preserve">المؤرّخ التثنوي التأثُّر </w:t>
      </w:r>
      <w:r w:rsidRPr="006A7C83">
        <w:rPr>
          <w:rFonts w:eastAsia="Times New Roman" w:cs="DecoType Naskh" w:hint="cs"/>
          <w:color w:val="auto"/>
          <w:kern w:val="0"/>
          <w:sz w:val="32"/>
          <w:szCs w:val="26"/>
          <w:rtl/>
          <w:lang w:bidi="ar-JO"/>
          <w14:ligatures w14:val="none"/>
        </w:rPr>
        <w:t xml:space="preserve">من مشكلة الافتراض المسبق الأولي، </w:t>
      </w:r>
      <w:r w:rsidRPr="006A7C83">
        <w:rPr>
          <w:rFonts w:eastAsia="Times New Roman" w:cs="DecoType Naskh" w:hint="cs"/>
          <w:color w:val="auto"/>
          <w:kern w:val="0"/>
          <w:szCs w:val="26"/>
          <w:rtl/>
          <w:lang w:bidi="ar-JO"/>
          <w14:ligatures w14:val="none"/>
        </w:rPr>
        <w:t>فهي تتناول الكتاب المقدّس من وجهة نظر نابعة من الفلسفة الإنسانية، التي تنكر مشروعية النبوءة الخارقة للطبيعة.  وهي تفترض أن الله (الذي لا يحدّه النظام الطبيعي لهذا الكون) لم يكشف بشكل خارق جوانب عن المستقبل لكتّاب الكتاب المقدّس من البشر.  ومن هنا فإن هذه النظرية معادية للعنصر الخارق في كتابة الأسفار.</w:t>
      </w:r>
    </w:p>
    <w:p w14:paraId="7059FBFF" w14:textId="7777777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p>
    <w:p w14:paraId="4725696F" w14:textId="7777777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lastRenderedPageBreak/>
        <w:t>2.</w:t>
      </w:r>
      <w:r w:rsidRPr="006A7C83">
        <w:rPr>
          <w:rFonts w:eastAsia="Times New Roman" w:cs="DecoType Naskh" w:hint="cs"/>
          <w:color w:val="auto"/>
          <w:kern w:val="0"/>
          <w:szCs w:val="26"/>
          <w:rtl/>
          <w:lang w:bidi="ar-JO"/>
          <w14:ligatures w14:val="none"/>
        </w:rPr>
        <w:tab/>
        <w:t>تنكر هذه النظرية أن موسى هو كاتب سفر التثنية، على الرغم من التصريحات المباشرة التي تنسبه إلى موسى (تثنية 1: 1، 5؛ 31، 9، 24-26؛ 32: 44).</w:t>
      </w:r>
    </w:p>
    <w:p w14:paraId="014AB4A6" w14:textId="7777777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p>
    <w:p w14:paraId="2A00F84E" w14:textId="7777777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 w:val="30"/>
          <w:szCs w:val="28"/>
          <w:rtl/>
          <w:lang w:bidi="ar-JO"/>
          <w14:ligatures w14:val="none"/>
        </w:rPr>
      </w:pPr>
      <w:r w:rsidRPr="006A7C83">
        <w:rPr>
          <w:rFonts w:eastAsia="Times New Roman" w:cs="DecoType Naskh" w:hint="cs"/>
          <w:color w:val="auto"/>
          <w:kern w:val="0"/>
          <w:szCs w:val="26"/>
          <w:rtl/>
          <w:lang w:bidi="ar-JO"/>
          <w14:ligatures w14:val="none"/>
        </w:rPr>
        <w:t>3.</w:t>
      </w:r>
      <w:r w:rsidRPr="006A7C83">
        <w:rPr>
          <w:rFonts w:eastAsia="Times New Roman" w:cs="DecoType Naskh" w:hint="cs"/>
          <w:color w:val="auto"/>
          <w:kern w:val="0"/>
          <w:szCs w:val="26"/>
          <w:rtl/>
          <w:lang w:bidi="ar-JO"/>
          <w14:ligatures w14:val="none"/>
        </w:rPr>
        <w:tab/>
        <w:t>تُغفل هذه النظرية النظر إلى الأدلة الجوهرية على أن سفر التثنية مشابه من حيث سماته بصيغ المعاهدات الحثّية في الألفية الثانية قبل الميلاد، وهي ملاحظة تجعل من غير المحتمل جداً أن سفر التثنية تطوّر من خلال التحرير في القرون 6-8ق م.</w:t>
      </w:r>
      <w:r w:rsidRPr="006A7C83">
        <w:rPr>
          <w:rFonts w:eastAsia="Times New Roman" w:cs="DecoType Naskh"/>
          <w:color w:val="auto"/>
          <w:kern w:val="0"/>
          <w:sz w:val="30"/>
          <w:szCs w:val="28"/>
          <w:vertAlign w:val="superscript"/>
          <w:rtl/>
          <w:lang w:bidi="ar-JO"/>
          <w14:ligatures w14:val="none"/>
        </w:rPr>
        <w:footnoteReference w:customMarkFollows="1" w:id="171"/>
        <w:t>13</w:t>
      </w:r>
    </w:p>
    <w:p w14:paraId="0242A46E" w14:textId="7777777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lang w:bidi="ar-JO"/>
          <w14:ligatures w14:val="none"/>
        </w:rPr>
      </w:pPr>
    </w:p>
    <w:p w14:paraId="51AAB1A4" w14:textId="7777777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4.</w:t>
      </w:r>
      <w:r w:rsidRPr="006A7C83">
        <w:rPr>
          <w:rFonts w:eastAsia="Times New Roman" w:cs="DecoType Naskh" w:hint="cs"/>
          <w:color w:val="auto"/>
          <w:kern w:val="0"/>
          <w:szCs w:val="26"/>
          <w:rtl/>
          <w:lang w:bidi="ar-JO"/>
          <w14:ligatures w14:val="none"/>
        </w:rPr>
        <w:tab/>
        <w:t>تؤدي هذه النظرية إلى التشكيك في اللاهوت الذي يحتويه سفر التثنية.  يقول آندرسون مثلاً:</w:t>
      </w:r>
    </w:p>
    <w:p w14:paraId="1C6DC01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إن إحدى أكبر عيوب لاهوت المادة التثنوية التأثّر هو أنها بالغت في تبسيط طرق الله في التاريخ.  فالعقيدة المتضمنة في هذه الأسفار عن العدالة الإلهية تجعل الأمور واضحة ومحددة أكثر مما يجب: أطيعوا وستسير كل الأمور سيراً حسناً؛ اعصوا، وستأتي المشقّات.  وربما فهمت النسخة الأصلية من سفر التثنية هذه الحقيقة على نحو أعمق، لكن حين عالجها الكاتب الذي ترك لنا المادّة التثنوية التأثر، فإنها صارت تبدو، بشكل يدعو إلى الشك، مثل "فلسفة النجاح" التي صارت حتى في يومنا هذا أساساً لكثير من التديّن الشائع.</w:t>
      </w:r>
      <w:r w:rsidRPr="006A7C83">
        <w:rPr>
          <w:rFonts w:eastAsia="Times New Roman" w:cs="DecoType Naskh"/>
          <w:color w:val="auto"/>
          <w:kern w:val="0"/>
          <w:sz w:val="30"/>
          <w:szCs w:val="28"/>
          <w:vertAlign w:val="superscript"/>
          <w:rtl/>
          <w:lang w:bidi="ar-JO"/>
          <w14:ligatures w14:val="none"/>
        </w:rPr>
        <w:footnoteReference w:customMarkFollows="1" w:id="172"/>
        <w:t>14</w:t>
      </w:r>
    </w:p>
    <w:p w14:paraId="396E89B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لكن من هو الإنسان لكي يشكك في كلمة الله ولاهوتها؟</w:t>
      </w:r>
    </w:p>
    <w:p w14:paraId="60A72CF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0875E67E" w14:textId="7777777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5.</w:t>
      </w:r>
      <w:r w:rsidRPr="006A7C83">
        <w:rPr>
          <w:rFonts w:eastAsia="Times New Roman" w:cs="DecoType Naskh" w:hint="cs"/>
          <w:color w:val="auto"/>
          <w:kern w:val="0"/>
          <w:szCs w:val="26"/>
          <w:rtl/>
          <w:lang w:bidi="ar-JO"/>
          <w14:ligatures w14:val="none"/>
        </w:rPr>
        <w:tab/>
        <w:t>يدَّعي معتنقو هذه النظرية أنه حتى سفر القضاة تعرّض للتحرير النهائي في فترة السبي، لكن هذا أمر مستبعد في ضوء الأدلة الداخلية للسفر.  فعلى سبيل المثال، نقرأ في قضاة 1: 21 "فسكن اليبوسيون مع بني بنيامين في أورشليم إلى هذا اليوم."  ولا بدّ أن يعكس هذا زمناً سابقاً لغزو داود لأورشليم (حوالي 1004ق م).  انظر 2صموئيل 5: 6-7.  وتوحي أيضاً الإشارة إلى الكنعانيين في جازر إلى تاريخ سابق للزمن الذي أعطى فيه المصريون تلك المدينة إلى زوجة سليمان المصرية كهدية زواج                 (انظر 1ملوك 9: 16).</w:t>
      </w:r>
    </w:p>
    <w:p w14:paraId="2E181790" w14:textId="7777777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p>
    <w:p w14:paraId="3DE228E4" w14:textId="7777777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p>
    <w:p w14:paraId="28479403" w14:textId="7777777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 w:val="30"/>
          <w:szCs w:val="28"/>
          <w:rtl/>
          <w:lang w:bidi="ar-JO"/>
          <w14:ligatures w14:val="none"/>
        </w:rPr>
      </w:pPr>
      <w:r w:rsidRPr="006A7C83">
        <w:rPr>
          <w:rFonts w:eastAsia="Times New Roman" w:cs="DecoType Naskh" w:hint="cs"/>
          <w:color w:val="auto"/>
          <w:kern w:val="0"/>
          <w:szCs w:val="26"/>
          <w:rtl/>
          <w:lang w:bidi="ar-JO"/>
          <w14:ligatures w14:val="none"/>
        </w:rPr>
        <w:t>6.</w:t>
      </w:r>
      <w:r w:rsidRPr="006A7C83">
        <w:rPr>
          <w:rFonts w:eastAsia="Times New Roman" w:cs="DecoType Naskh" w:hint="cs"/>
          <w:color w:val="auto"/>
          <w:kern w:val="0"/>
          <w:szCs w:val="26"/>
          <w:rtl/>
          <w:lang w:bidi="ar-JO"/>
          <w14:ligatures w14:val="none"/>
        </w:rPr>
        <w:tab/>
        <w:t xml:space="preserve">حسب نظرية </w:t>
      </w:r>
      <w:r w:rsidRPr="006A7C83">
        <w:rPr>
          <w:rFonts w:eastAsia="Times New Roman" w:cs="DecoType Naskh" w:hint="cs"/>
          <w:i/>
          <w:iCs/>
          <w:color w:val="auto"/>
          <w:kern w:val="0"/>
          <w:szCs w:val="26"/>
          <w:rtl/>
          <w:lang w:bidi="ar-JO"/>
          <w14:ligatures w14:val="none"/>
        </w:rPr>
        <w:t>المؤرخ التثنوي التأثّر</w:t>
      </w:r>
      <w:r w:rsidRPr="006A7C83">
        <w:rPr>
          <w:rFonts w:eastAsia="Times New Roman" w:cs="DecoType Naskh" w:hint="cs"/>
          <w:color w:val="auto"/>
          <w:kern w:val="0"/>
          <w:szCs w:val="26"/>
          <w:rtl/>
          <w:lang w:bidi="ar-JO"/>
          <w14:ligatures w14:val="none"/>
        </w:rPr>
        <w:t xml:space="preserve">، كان الإصلاح التثنوي التأثّر الذي حصل في زمن يوشيا وبعده مرتبطاً جداً بمركزية العبادة الدينية في أورشليم.  ولهذا فإننا نتوقع أن يحافظ على هذه النظرة عبر أسفار يشوع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ملوك.  غير أنه لا يوجد في سفر القضاة أي تلميح إلى استنكار وجود المذابح المحلّية، على الرغم من وجود مجال كبير لذلك.  ويوضح سيجال أن سفر التثنية لا يصرّ على أن العبادة يمكن أن تقام في مكان واحد فقط، لكنه يصر على أن المكان يجب أن يكون قد أجازه الله كمكان مقدس لعبادة يهوه.</w:t>
      </w:r>
      <w:r w:rsidRPr="006A7C83">
        <w:rPr>
          <w:rFonts w:eastAsia="Times New Roman" w:cs="DecoType Naskh"/>
          <w:color w:val="auto"/>
          <w:kern w:val="0"/>
          <w:sz w:val="30"/>
          <w:szCs w:val="28"/>
          <w:vertAlign w:val="superscript"/>
          <w:rtl/>
          <w:lang w:bidi="ar-JO"/>
          <w14:ligatures w14:val="none"/>
        </w:rPr>
        <w:footnoteReference w:customMarkFollows="1" w:id="173"/>
        <w:t>15</w:t>
      </w:r>
    </w:p>
    <w:p w14:paraId="5D06011E" w14:textId="7777777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 w:val="30"/>
          <w:szCs w:val="28"/>
          <w:rtl/>
          <w:lang w:bidi="ar-JO"/>
          <w14:ligatures w14:val="none"/>
        </w:rPr>
      </w:pPr>
    </w:p>
    <w:p w14:paraId="4A65C76C" w14:textId="7777777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14:ligatures w14:val="none"/>
        </w:rPr>
      </w:pPr>
    </w:p>
    <w:p w14:paraId="3DA046D0"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5.</w:t>
      </w:r>
      <w:r w:rsidRPr="006A7C83">
        <w:rPr>
          <w:rFonts w:eastAsia="Times New Roman" w:cs="DecoType Naskh" w:hint="cs"/>
          <w:bCs/>
          <w:color w:val="auto"/>
          <w:kern w:val="0"/>
          <w:szCs w:val="28"/>
          <w:rtl/>
          <w:lang w:bidi="ar-JO"/>
          <w14:ligatures w14:val="none"/>
        </w:rPr>
        <w:tab/>
        <w:t xml:space="preserve">خلاصة </w:t>
      </w:r>
    </w:p>
    <w:p w14:paraId="48C9657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إن نظرية </w:t>
      </w:r>
      <w:r w:rsidRPr="006A7C83">
        <w:rPr>
          <w:rFonts w:eastAsia="Times New Roman" w:cs="DecoType Naskh" w:hint="cs"/>
          <w:i/>
          <w:iCs/>
          <w:color w:val="auto"/>
          <w:kern w:val="0"/>
          <w:szCs w:val="26"/>
          <w:rtl/>
          <w:lang w:bidi="ar-JO"/>
          <w14:ligatures w14:val="none"/>
        </w:rPr>
        <w:t xml:space="preserve">المؤرّخ التثنوي التأثر </w:t>
      </w:r>
      <w:r w:rsidRPr="006A7C83">
        <w:rPr>
          <w:rFonts w:eastAsia="Times New Roman" w:cs="DecoType Naskh" w:hint="cs"/>
          <w:color w:val="auto"/>
          <w:kern w:val="0"/>
          <w:szCs w:val="26"/>
          <w:rtl/>
          <w:lang w:bidi="ar-JO"/>
          <w14:ligatures w14:val="none"/>
        </w:rPr>
        <w:t xml:space="preserve">نظريّة يروّج لها أشخاص لا يؤمنون بأن الكتاب المقدّس هو كلمة الله الموحى بها.  وهي تنكر التنبؤ بأحداث مستقبلية، وهي لهذا تسلب الله مجده.  يقدّم لنا الكتاب المقدّس حقيقة أن الله يعرف المستقبل، وأنه كان قادراً على أن يكشفه مقدَّماً للكُتّاب البشريين للأسفار المقدّسة (بما في ذلك سبي الأمة قبل </w:t>
      </w:r>
      <w:r w:rsidRPr="006A7C83">
        <w:rPr>
          <w:rFonts w:eastAsia="Times New Roman" w:cs="DecoType Naskh" w:hint="cs"/>
          <w:color w:val="auto"/>
          <w:kern w:val="0"/>
          <w:szCs w:val="26"/>
          <w:rtl/>
          <w:lang w:bidi="ar-JO"/>
          <w14:ligatures w14:val="none"/>
        </w:rPr>
        <w:lastRenderedPageBreak/>
        <w:t>مئات السنوات من حدوثه).  يجب أن يكون المرء على إطلاع على هذا التعليم حيث إن كثيراً من الأبحاث المتعلقة بالعهد القديم تفترض هذه النظرية.  ويجب أن يحذر المرء من التصديق الساذج لهذه النظرية الزائفة.</w:t>
      </w:r>
    </w:p>
    <w:p w14:paraId="7146602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14:ligatures w14:val="none"/>
        </w:rPr>
      </w:pPr>
    </w:p>
    <w:p w14:paraId="33E34415" w14:textId="77777777" w:rsidR="006A7C83" w:rsidRPr="006A7C83" w:rsidRDefault="006A7C83" w:rsidP="002D6C54">
      <w:pPr>
        <w:bidi/>
        <w:spacing w:after="0" w:line="240" w:lineRule="auto"/>
        <w:jc w:val="center"/>
        <w:rPr>
          <w:rFonts w:eastAsia="Times New Roman" w:cs="DecoType Naskh"/>
          <w:color w:val="A50021"/>
          <w:kern w:val="0"/>
          <w:szCs w:val="32"/>
          <w:rtl/>
          <w:lang w:bidi="ar-JO"/>
          <w14:ligatures w14:val="none"/>
        </w:rPr>
      </w:pPr>
    </w:p>
    <w:p w14:paraId="30B7AEF9" w14:textId="77777777" w:rsidR="006A7C83" w:rsidRPr="006A7C83" w:rsidRDefault="006A7C83" w:rsidP="002D6C54">
      <w:pPr>
        <w:bidi/>
        <w:spacing w:after="0" w:line="240" w:lineRule="auto"/>
        <w:jc w:val="center"/>
        <w:rPr>
          <w:rFonts w:eastAsia="Times New Roman" w:cs="DecoType Naskh"/>
          <w:color w:val="A50021"/>
          <w:kern w:val="0"/>
          <w:szCs w:val="32"/>
          <w:rtl/>
          <w:lang w:bidi="ar-JO"/>
          <w14:ligatures w14:val="none"/>
        </w:rPr>
      </w:pPr>
    </w:p>
    <w:p w14:paraId="11C05C07" w14:textId="77777777" w:rsidR="006A7C83" w:rsidRPr="006A7C83" w:rsidRDefault="006A7C83" w:rsidP="002D6C54">
      <w:pPr>
        <w:bidi/>
        <w:spacing w:after="0" w:line="240" w:lineRule="auto"/>
        <w:jc w:val="center"/>
        <w:rPr>
          <w:rFonts w:eastAsia="Times New Roman" w:cs="DecoType Naskh"/>
          <w:color w:val="A50021"/>
          <w:kern w:val="0"/>
          <w:szCs w:val="32"/>
          <w:rtl/>
          <w:lang w:bidi="ar-JO"/>
          <w14:ligatures w14:val="none"/>
        </w:rPr>
      </w:pPr>
    </w:p>
    <w:p w14:paraId="1B973CA8" w14:textId="77777777" w:rsidR="006A7C83" w:rsidRPr="006A7C83" w:rsidRDefault="006A7C83" w:rsidP="002D6C54">
      <w:pPr>
        <w:bidi/>
        <w:spacing w:after="0" w:line="240" w:lineRule="auto"/>
        <w:jc w:val="center"/>
        <w:rPr>
          <w:rFonts w:eastAsia="Times New Roman" w:cs="DecoType Naskh"/>
          <w:color w:val="A50021"/>
          <w:kern w:val="0"/>
          <w:szCs w:val="32"/>
          <w:rtl/>
          <w:lang w:bidi="ar-JO"/>
          <w14:ligatures w14:val="none"/>
        </w:rPr>
      </w:pPr>
    </w:p>
    <w:p w14:paraId="13FEB0C8" w14:textId="77777777" w:rsidR="006A7C83" w:rsidRPr="006A7C83" w:rsidRDefault="006A7C83" w:rsidP="002D6C54">
      <w:pPr>
        <w:bidi/>
        <w:spacing w:after="0" w:line="240" w:lineRule="auto"/>
        <w:jc w:val="center"/>
        <w:rPr>
          <w:rFonts w:eastAsia="Times New Roman" w:cs="DecoType Naskh"/>
          <w:color w:val="A50021"/>
          <w:kern w:val="0"/>
          <w:szCs w:val="32"/>
          <w:rtl/>
          <w:lang w:bidi="ar-JO"/>
          <w14:ligatures w14:val="none"/>
        </w:rPr>
      </w:pPr>
    </w:p>
    <w:p w14:paraId="537B6BD3" w14:textId="77777777" w:rsidR="00F57108" w:rsidRPr="00F57108" w:rsidRDefault="00F57108" w:rsidP="002D6C54">
      <w:pPr>
        <w:tabs>
          <w:tab w:val="left" w:pos="547"/>
          <w:tab w:val="left" w:pos="1094"/>
          <w:tab w:val="left" w:pos="1642"/>
          <w:tab w:val="left" w:pos="2189"/>
          <w:tab w:val="left" w:pos="2736"/>
          <w:tab w:val="left" w:pos="3283"/>
          <w:tab w:val="left" w:pos="3830"/>
          <w:tab w:val="left" w:pos="4378"/>
        </w:tabs>
        <w:spacing w:after="120" w:line="240" w:lineRule="auto"/>
        <w:jc w:val="both"/>
        <w:rPr>
          <w:rFonts w:eastAsia="Times New Roman" w:cs="Times New Roman"/>
          <w:bCs/>
          <w:color w:val="auto"/>
          <w:kern w:val="0"/>
          <w:sz w:val="22"/>
          <w:szCs w:val="24"/>
          <w:lang w:bidi="ar-JO"/>
          <w14:ligatures w14:val="none"/>
        </w:rPr>
      </w:pPr>
    </w:p>
    <w:p w14:paraId="73DF2C07" w14:textId="77777777" w:rsidR="006E476E" w:rsidRDefault="006E476E" w:rsidP="002D6C54">
      <w:pPr>
        <w:pStyle w:val="Heading3"/>
        <w:spacing w:line="240" w:lineRule="auto"/>
      </w:pPr>
      <w:r>
        <w:br w:type="page"/>
      </w:r>
    </w:p>
    <w:p w14:paraId="4419AA19" w14:textId="4D5ED996" w:rsidR="007518AA" w:rsidRPr="007518AA" w:rsidRDefault="007518AA" w:rsidP="007518AA">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b/>
          <w:bCs/>
          <w:kern w:val="0"/>
          <w:sz w:val="28"/>
          <w:szCs w:val="28"/>
          <w:rtl/>
          <w14:ligatures w14:val="none"/>
        </w:rPr>
      </w:pPr>
      <w:bookmarkStart w:id="156" w:name="_Hlk178779307"/>
      <w:r w:rsidRPr="007518AA">
        <w:rPr>
          <w:rFonts w:ascii="Simplified Arabic" w:eastAsia="Calibri" w:hAnsi="Simplified Arabic" w:cs="Simplified Arabic"/>
          <w:b/>
          <w:bCs/>
          <w:kern w:val="0"/>
          <w:sz w:val="28"/>
          <w:szCs w:val="28"/>
          <w:rtl/>
          <w14:ligatures w14:val="none"/>
        </w:rPr>
        <w:lastRenderedPageBreak/>
        <w:t xml:space="preserve">الموضوع 2: نظرة عامّة إلى سفر القضاة </w:t>
      </w:r>
    </w:p>
    <w:p w14:paraId="172314BD" w14:textId="77777777" w:rsidR="006E476E" w:rsidRDefault="006E476E" w:rsidP="002D6C54">
      <w:pPr>
        <w:pStyle w:val="Heading4RED"/>
      </w:pPr>
    </w:p>
    <w:p w14:paraId="5C728159" w14:textId="090E7051" w:rsidR="006311FA" w:rsidRDefault="007518AA" w:rsidP="007518AA">
      <w:pPr>
        <w:pStyle w:val="Heading4RED"/>
        <w:bidi/>
      </w:pPr>
      <w:r>
        <w:rPr>
          <w:rFonts w:hint="cs"/>
          <w:rtl/>
        </w:rPr>
        <w:t>لوحة سفر القضاة</w:t>
      </w:r>
    </w:p>
    <w:bookmarkEnd w:id="156"/>
    <w:p w14:paraId="0F25B01E" w14:textId="77777777" w:rsidR="006E476E" w:rsidRDefault="006E476E" w:rsidP="002D6C54">
      <w:pPr>
        <w:pStyle w:val="Heading4RED"/>
      </w:pPr>
    </w:p>
    <w:p w14:paraId="2FD91D95" w14:textId="3D45AF5C" w:rsidR="006311FA" w:rsidRDefault="006A7C83"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strike/>
          <w:kern w:val="0"/>
          <w:szCs w:val="24"/>
          <w14:ligatures w14:val="none"/>
        </w:rPr>
      </w:pPr>
      <w:r>
        <w:rPr>
          <w:rFonts w:eastAsia="Calibri" w:cs="Times New Roman"/>
          <w:strike/>
          <w:noProof/>
          <w:kern w:val="0"/>
          <w:szCs w:val="24"/>
          <w14:ligatures w14:val="none"/>
        </w:rPr>
        <w:drawing>
          <wp:inline distT="0" distB="0" distL="0" distR="0" wp14:anchorId="14808AD4" wp14:editId="12901A17">
            <wp:extent cx="5935980" cy="4297680"/>
            <wp:effectExtent l="0" t="0" r="0" b="0"/>
            <wp:docPr id="160312536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5980" cy="4297680"/>
                    </a:xfrm>
                    <a:prstGeom prst="rect">
                      <a:avLst/>
                    </a:prstGeom>
                    <a:noFill/>
                    <a:ln>
                      <a:noFill/>
                    </a:ln>
                  </pic:spPr>
                </pic:pic>
              </a:graphicData>
            </a:graphic>
          </wp:inline>
        </w:drawing>
      </w:r>
    </w:p>
    <w:p w14:paraId="56848D02" w14:textId="77777777" w:rsidR="00AF5AC6" w:rsidRDefault="00AF5AC6" w:rsidP="002D6C54">
      <w:pPr>
        <w:pStyle w:val="Heading4RED"/>
      </w:pPr>
      <w:r>
        <w:br w:type="page"/>
      </w:r>
    </w:p>
    <w:p w14:paraId="0E38510E" w14:textId="039C41E4" w:rsidR="00CF5CE5" w:rsidRPr="00CF5CE5" w:rsidRDefault="007518AA" w:rsidP="007518AA">
      <w:pPr>
        <w:pStyle w:val="Heading4RED"/>
        <w:bidi/>
      </w:pPr>
      <w:r>
        <w:rPr>
          <w:rFonts w:hint="cs"/>
          <w:rtl/>
        </w:rPr>
        <w:lastRenderedPageBreak/>
        <w:t xml:space="preserve">التقابل بين </w:t>
      </w:r>
      <w:r w:rsidR="00CF5CE5" w:rsidRPr="00CF5CE5">
        <w:rPr>
          <w:rFonts w:hint="cs"/>
          <w:rtl/>
        </w:rPr>
        <w:t>مقد</w:t>
      </w:r>
      <w:r>
        <w:rPr>
          <w:rFonts w:hint="cs"/>
          <w:rtl/>
        </w:rPr>
        <w:t>ِّمة</w:t>
      </w:r>
      <w:r w:rsidR="00CF5CE5" w:rsidRPr="00CF5CE5">
        <w:rPr>
          <w:rFonts w:hint="cs"/>
          <w:rtl/>
        </w:rPr>
        <w:t xml:space="preserve"> </w:t>
      </w:r>
      <w:r>
        <w:rPr>
          <w:rFonts w:hint="cs"/>
          <w:rtl/>
        </w:rPr>
        <w:t xml:space="preserve">سفر </w:t>
      </w:r>
      <w:r w:rsidR="00CF5CE5" w:rsidRPr="00CF5CE5">
        <w:rPr>
          <w:rFonts w:hint="cs"/>
          <w:rtl/>
        </w:rPr>
        <w:t>القضاة وخاتم</w:t>
      </w:r>
      <w:r>
        <w:rPr>
          <w:rFonts w:hint="cs"/>
          <w:rtl/>
        </w:rPr>
        <w:t>ته</w:t>
      </w:r>
    </w:p>
    <w:p w14:paraId="6CDCC2B2" w14:textId="078190DD" w:rsidR="00F57108" w:rsidRDefault="00F57108" w:rsidP="002D6C54">
      <w:pPr>
        <w:pStyle w:val="Heading4RED"/>
      </w:pPr>
    </w:p>
    <w:p w14:paraId="40FD7159" w14:textId="765FF31C" w:rsidR="00AF5AC6" w:rsidRDefault="004A2D91" w:rsidP="002D6C54">
      <w:pPr>
        <w:spacing w:line="240" w:lineRule="auto"/>
        <w:jc w:val="center"/>
      </w:pPr>
      <w:r w:rsidRPr="004A2D91">
        <w:rPr>
          <w:noProof/>
        </w:rPr>
        <w:drawing>
          <wp:inline distT="0" distB="0" distL="0" distR="0" wp14:anchorId="59FE7627" wp14:editId="1AAE9BFB">
            <wp:extent cx="5943600" cy="2698750"/>
            <wp:effectExtent l="0" t="0" r="0" b="0"/>
            <wp:docPr id="893795159" name="Picture 1" descr="A close-up of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795159" name="Picture 1" descr="A close-up of a white background&#10;&#10;Description automatically generated"/>
                    <pic:cNvPicPr/>
                  </pic:nvPicPr>
                  <pic:blipFill>
                    <a:blip r:embed="rId83"/>
                    <a:stretch>
                      <a:fillRect/>
                    </a:stretch>
                  </pic:blipFill>
                  <pic:spPr>
                    <a:xfrm>
                      <a:off x="0" y="0"/>
                      <a:ext cx="5943600" cy="2698750"/>
                    </a:xfrm>
                    <a:prstGeom prst="rect">
                      <a:avLst/>
                    </a:prstGeom>
                  </pic:spPr>
                </pic:pic>
              </a:graphicData>
            </a:graphic>
          </wp:inline>
        </w:drawing>
      </w:r>
    </w:p>
    <w:p w14:paraId="7843807D" w14:textId="77777777" w:rsidR="004A2D91" w:rsidRDefault="004A2D91" w:rsidP="002D6C54">
      <w:pPr>
        <w:pStyle w:val="Heading3"/>
        <w:spacing w:line="240" w:lineRule="auto"/>
      </w:pPr>
      <w:bookmarkStart w:id="157" w:name="_Toc164420075"/>
    </w:p>
    <w:p w14:paraId="3750A656" w14:textId="48E030CC" w:rsidR="006311FA" w:rsidRPr="00F15553" w:rsidRDefault="00F15553" w:rsidP="00F15553">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b/>
          <w:bCs/>
          <w:kern w:val="0"/>
          <w:sz w:val="28"/>
          <w:szCs w:val="28"/>
          <w14:ligatures w14:val="none"/>
        </w:rPr>
      </w:pPr>
      <w:bookmarkStart w:id="158" w:name="_Hlk156574170"/>
      <w:bookmarkStart w:id="159" w:name="_Hlk178779321"/>
      <w:bookmarkEnd w:id="157"/>
      <w:r w:rsidRPr="00F15553">
        <w:rPr>
          <w:rFonts w:ascii="Simplified Arabic" w:eastAsia="Calibri" w:hAnsi="Simplified Arabic" w:cs="Simplified Arabic"/>
          <w:b/>
          <w:bCs/>
          <w:kern w:val="0"/>
          <w:sz w:val="28"/>
          <w:szCs w:val="28"/>
          <w:rtl/>
          <w14:ligatures w14:val="none"/>
        </w:rPr>
        <w:t xml:space="preserve">الموضوع 3: مُقدِّمة إلى سفر القضاة (قضاة 1: 1 – 3: 31) </w:t>
      </w:r>
    </w:p>
    <w:p w14:paraId="2AA12B1E" w14:textId="3B1722A7" w:rsidR="00942124" w:rsidRPr="007A4B15" w:rsidRDefault="00942124" w:rsidP="000410CD">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bookmarkStart w:id="160" w:name="_Hlk157180022"/>
      <w:bookmarkEnd w:id="158"/>
      <w:r w:rsidRPr="007A4B15">
        <w:rPr>
          <w:rFonts w:ascii="Verdana" w:eastAsia="Calibri" w:hAnsi="Verdana" w:cs="Times New Roman"/>
          <w:b/>
          <w:caps/>
          <w:noProof/>
          <w:color w:val="006699"/>
          <w:kern w:val="0"/>
          <w:sz w:val="21"/>
          <w:szCs w:val="24"/>
          <w14:ligatures w14:val="none"/>
        </w:rPr>
        <w:drawing>
          <wp:inline distT="0" distB="0" distL="0" distR="0" wp14:anchorId="0E2BDB32" wp14:editId="4384D5C5">
            <wp:extent cx="613692" cy="541464"/>
            <wp:effectExtent l="0" t="0" r="0" b="0"/>
            <wp:docPr id="1371037692" name="Picture 1371037692"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0410CD" w:rsidRPr="000410CD">
        <w:rPr>
          <w:rFonts w:ascii="Verdana" w:eastAsia="Calibri" w:hAnsi="Verdana" w:cs="Times New Roman" w:hint="cs"/>
          <w:bCs/>
          <w:caps/>
          <w:color w:val="006699"/>
          <w:kern w:val="0"/>
          <w:sz w:val="21"/>
          <w:szCs w:val="24"/>
          <w:u w:val="single"/>
          <w:rtl/>
          <w14:ligatures w14:val="none"/>
        </w:rPr>
        <w:t>القراءة:</w:t>
      </w:r>
    </w:p>
    <w:p w14:paraId="03FFFA24" w14:textId="40BF9305" w:rsidR="00942124" w:rsidRPr="002B24E1" w:rsidRDefault="00942124" w:rsidP="000410CD">
      <w:pPr>
        <w:bidi/>
        <w:spacing w:line="240" w:lineRule="auto"/>
        <w:rPr>
          <w:b/>
          <w:bCs/>
        </w:rPr>
      </w:pPr>
      <w:r>
        <w:tab/>
      </w:r>
      <w:r>
        <w:tab/>
      </w:r>
      <w:r w:rsidR="000410CD">
        <w:rPr>
          <w:rFonts w:hint="cs"/>
          <w:rtl/>
        </w:rPr>
        <w:t xml:space="preserve">اقرأ قضاة 1: 1 </w:t>
      </w:r>
      <w:r w:rsidR="000410CD">
        <w:rPr>
          <w:rtl/>
        </w:rPr>
        <w:t>–</w:t>
      </w:r>
      <w:r w:rsidR="000410CD">
        <w:rPr>
          <w:rFonts w:hint="cs"/>
          <w:rtl/>
        </w:rPr>
        <w:t xml:space="preserve"> 3: 6، وقضاة 17: 1 </w:t>
      </w:r>
      <w:r w:rsidR="000410CD">
        <w:rPr>
          <w:rtl/>
        </w:rPr>
        <w:t>–</w:t>
      </w:r>
      <w:r w:rsidR="000410CD">
        <w:rPr>
          <w:rFonts w:hint="cs"/>
          <w:rtl/>
        </w:rPr>
        <w:t xml:space="preserve"> 21: 25 في كتابك المُقدَّس. </w:t>
      </w:r>
    </w:p>
    <w:bookmarkEnd w:id="159"/>
    <w:bookmarkEnd w:id="160"/>
    <w:p w14:paraId="546643D4"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1.</w:t>
      </w:r>
      <w:r w:rsidRPr="006A7C83">
        <w:rPr>
          <w:rFonts w:eastAsia="Times New Roman" w:cs="DecoType Naskh" w:hint="cs"/>
          <w:bCs/>
          <w:color w:val="auto"/>
          <w:kern w:val="0"/>
          <w:szCs w:val="28"/>
          <w:rtl/>
          <w:lang w:bidi="ar-JO"/>
          <w14:ligatures w14:val="none"/>
        </w:rPr>
        <w:tab/>
        <w:t>مقدمة</w:t>
      </w:r>
    </w:p>
    <w:p w14:paraId="7245000B"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يعكس سفر القضاة تلك الفترة من تاريخ إسرائيل التي استخدم فيه الله "قضاة" لكي يكونوا قادة للأمة في لحظة حاسمة.  قبل زمن الملوك لم يكن القضاة حكّاماً سياسيين (بالمعنى الحرفي للكلمة)، أو مرشدين أخلاقيين.  وهم يختلفون عن الملوك الذين جاءوا بعدهم في أنه لم يكن في مقدورهم فرض ضرائب على الشعب أو الاحتفاظ بجيش قائم جاهز.  وفضلاً عن ذلك، لم يكن في مقدورهم توريث سلطتهم إلى أولادهم وأحفادهم.</w:t>
      </w:r>
      <w:r w:rsidRPr="006A7C83">
        <w:rPr>
          <w:rFonts w:eastAsia="Times New Roman" w:cs="DecoType Naskh"/>
          <w:color w:val="auto"/>
          <w:kern w:val="0"/>
          <w:sz w:val="30"/>
          <w:szCs w:val="28"/>
          <w:vertAlign w:val="superscript"/>
          <w:rtl/>
          <w:lang w:bidi="ar-JO"/>
          <w14:ligatures w14:val="none"/>
        </w:rPr>
        <w:footnoteReference w:customMarkFollows="1" w:id="174"/>
        <w:t>1</w:t>
      </w:r>
      <w:r w:rsidRPr="006A7C83">
        <w:rPr>
          <w:rFonts w:eastAsia="Times New Roman" w:cs="DecoType Naskh" w:hint="cs"/>
          <w:color w:val="auto"/>
          <w:kern w:val="0"/>
          <w:szCs w:val="26"/>
          <w:rtl/>
          <w:lang w:bidi="ar-JO"/>
          <w14:ligatures w14:val="none"/>
        </w:rPr>
        <w:t xml:space="preserve"> ولم يكن الغرض الرئيسي من وجودهم حتى تسوية الخلافات المدنية، على الرغم من أنهم ربما قاموا بهذه المهمة أحياناً.  بل كان هؤلاء رجالاً (وحتى نساء!) أقامهم الله في أوقات فريدة من أجل إنقاذ لبعض الأسباط أو كلّهم.  ويجب أن يكون هنالك أمر واضح لنا: </w:t>
      </w:r>
      <w:r w:rsidRPr="006A7C83">
        <w:rPr>
          <w:rFonts w:eastAsia="Times New Roman" w:cs="DecoType Naskh" w:hint="cs"/>
          <w:color w:val="auto"/>
          <w:kern w:val="0"/>
          <w:szCs w:val="26"/>
          <w:u w:val="single"/>
          <w:rtl/>
          <w:lang w:bidi="ar-JO"/>
          <w14:ligatures w14:val="none"/>
        </w:rPr>
        <w:t>لم</w:t>
      </w:r>
      <w:r w:rsidRPr="006A7C83">
        <w:rPr>
          <w:rFonts w:eastAsia="Times New Roman" w:cs="DecoType Naskh" w:hint="cs"/>
          <w:color w:val="auto"/>
          <w:kern w:val="0"/>
          <w:szCs w:val="26"/>
          <w:rtl/>
          <w:lang w:bidi="ar-JO"/>
          <w14:ligatures w14:val="none"/>
        </w:rPr>
        <w:t xml:space="preserve"> يكن دورهم مرتبطاً بمؤهلهم الأخلاقي أو الروحي، بل كانوا مجرّد أداة يستخدمها الله في سيادته في إشرافه على الأمّة.  ولا يمكننا حتى التأكد أنه كان هنالك استمرار "للقضاة" في الأمة، إذ كان الله يقيمهم في أوقات تعرّضت فيها الأمة لاضطهاد الأعداء الغرباء. </w:t>
      </w:r>
    </w:p>
    <w:p w14:paraId="5C1F92A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 </w:t>
      </w:r>
    </w:p>
    <w:p w14:paraId="4249861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تتجاوز فترة القضاة سفر القضاة نفسه.  إذ يوصف صموئيل بأنه "قاضٍ" للأمة (1صموئيل 7: 15).  وعلى الرغم من أن صموئيل حاول أن يعيّن أبناءه قضاة (1صموئيل 8: 1)، فإنه كان من ناحية عملية آخر القضاة، </w:t>
      </w:r>
      <w:r w:rsidRPr="006A7C83">
        <w:rPr>
          <w:rFonts w:eastAsia="Times New Roman" w:cs="DecoType Naskh" w:hint="cs"/>
          <w:color w:val="auto"/>
          <w:kern w:val="0"/>
          <w:szCs w:val="26"/>
          <w:rtl/>
          <w:lang w:bidi="ar-JO"/>
          <w14:ligatures w14:val="none"/>
        </w:rPr>
        <w:lastRenderedPageBreak/>
        <w:t>حيث إن ابنيه كانا فاسدين، ولهذا رفضهما شيوخ الأمّة.  وتقع أحداث سفر راعوث أيضاً في فترة القضاة.  وتشهد شواهد كتابية أخرى على أن هذه كانت فترة متميّزة في تاريخ إسرائيل (انظر قضاة 2: 16-19؛ راعوث 1: 1؛ 2صموئيل 7: 11؛ 1أخبار 7: 10؛ 2ملوك 23: 22).</w:t>
      </w:r>
    </w:p>
    <w:p w14:paraId="19AA7C3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C6B6175"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 xml:space="preserve">ربما عند قراءة سفر القضاة أول مرة تكون هناك تجربة أن يُرى السفر كمجموعة من القصص أو سرد لتاريخ الأمّة أثناء تلك الفترة.  لكن كلتا هاتين النظريتين خاطئة.  فالسفر أبعد ما يكون عن قصص فردية لا يربط بينها رابط قوي، فهي روايات مكتوبة بكل حرص، ومعتمدة إحداها على الأخرى، ومرتبطة بها ارتباطاً وثيقاً.  وفضلاً عن ذلك، فإن السفر ليس مجرّد تدوين تاريخي لتلك الفترة، لكنه </w:t>
      </w:r>
      <w:r w:rsidRPr="006A7C83">
        <w:rPr>
          <w:rFonts w:eastAsia="Times New Roman" w:cs="DecoType Naskh" w:hint="cs"/>
          <w:i/>
          <w:iCs/>
          <w:color w:val="auto"/>
          <w:kern w:val="0"/>
          <w:szCs w:val="26"/>
          <w:rtl/>
          <w:lang w:bidi="ar-JO"/>
          <w14:ligatures w14:val="none"/>
        </w:rPr>
        <w:t xml:space="preserve">تاريخ لاهوتي </w:t>
      </w:r>
      <w:r w:rsidRPr="006A7C83">
        <w:rPr>
          <w:rFonts w:eastAsia="Times New Roman" w:cs="DecoType Naskh" w:hint="cs"/>
          <w:color w:val="auto"/>
          <w:kern w:val="0"/>
          <w:szCs w:val="26"/>
          <w:rtl/>
          <w:lang w:bidi="ar-JO"/>
          <w14:ligatures w14:val="none"/>
        </w:rPr>
        <w:t>للفترة مبني على روايات اختيرت بكل عناية.  وهذه الروايات مجمَّعة لكي تطرح فكرة لاهوتية جديرة بالاعتبار.  وسأتحدث عن هذا الأمر في مقالتي حول رواية جدعون.</w:t>
      </w:r>
    </w:p>
    <w:p w14:paraId="7E86906E"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2.</w:t>
      </w:r>
      <w:r w:rsidRPr="006A7C83">
        <w:rPr>
          <w:rFonts w:eastAsia="Times New Roman" w:cs="DecoType Naskh" w:hint="cs"/>
          <w:bCs/>
          <w:color w:val="auto"/>
          <w:kern w:val="0"/>
          <w:szCs w:val="28"/>
          <w:rtl/>
          <w:lang w:bidi="ar-JO"/>
          <w14:ligatures w14:val="none"/>
        </w:rPr>
        <w:tab/>
        <w:t>الإطار التاريخي والترتيب الزمني</w:t>
      </w:r>
    </w:p>
    <w:p w14:paraId="0B5FBE6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30"/>
          <w:szCs w:val="28"/>
          <w:rtl/>
          <w:lang w:bidi="ar-JO"/>
          <w14:ligatures w14:val="none"/>
        </w:rPr>
      </w:pPr>
      <w:r w:rsidRPr="006A7C83">
        <w:rPr>
          <w:rFonts w:eastAsia="Times New Roman" w:cs="DecoType Naskh" w:hint="cs"/>
          <w:color w:val="auto"/>
          <w:kern w:val="0"/>
          <w:szCs w:val="26"/>
          <w:rtl/>
          <w:lang w:bidi="ar-JO"/>
          <w14:ligatures w14:val="none"/>
        </w:rPr>
        <w:t>يعتمد تاريخ سفر القضاة على الخلاصة التي يتوصل إليها المرء حول تاريخ الخروج.  يُرجع بعض الباحثين الخروج إلى فترة متأخرة (حوالي 1270ق م)، ويرون بذلك مدة قصيراً لفترة القضاة، في حين يفضّل آخرون تاريخاً مبكراً (1446ق م).</w:t>
      </w:r>
      <w:r w:rsidRPr="006A7C83">
        <w:rPr>
          <w:rFonts w:eastAsia="Times New Roman" w:cs="DecoType Naskh"/>
          <w:color w:val="auto"/>
          <w:kern w:val="0"/>
          <w:sz w:val="30"/>
          <w:szCs w:val="28"/>
          <w:vertAlign w:val="superscript"/>
          <w:rtl/>
          <w:lang w:bidi="ar-JO"/>
          <w14:ligatures w14:val="none"/>
        </w:rPr>
        <w:footnoteReference w:customMarkFollows="1" w:id="175"/>
        <w:t>2</w:t>
      </w:r>
      <w:r w:rsidRPr="006A7C83">
        <w:rPr>
          <w:rFonts w:eastAsia="Times New Roman" w:cs="DecoType Naskh" w:hint="cs"/>
          <w:color w:val="auto"/>
          <w:kern w:val="0"/>
          <w:szCs w:val="26"/>
          <w:rtl/>
          <w:lang w:bidi="ar-JO"/>
          <w14:ligatures w14:val="none"/>
        </w:rPr>
        <w:t xml:space="preserve"> وفي ضوء دراستي الشخصية (متّفقاً مع معظم الباحثين المحافظين)، فإني أُرجع سفر الخروج إلى 1446ق م.</w:t>
      </w:r>
      <w:r w:rsidRPr="006A7C83">
        <w:rPr>
          <w:rFonts w:eastAsia="Times New Roman" w:cs="DecoType Naskh"/>
          <w:color w:val="auto"/>
          <w:kern w:val="0"/>
          <w:szCs w:val="26"/>
          <w:vertAlign w:val="superscript"/>
          <w:rtl/>
          <w:lang w:bidi="ar-JO"/>
          <w14:ligatures w14:val="none"/>
        </w:rPr>
        <w:footnoteReference w:customMarkFollows="1" w:id="176"/>
        <w:t>3</w:t>
      </w:r>
      <w:r w:rsidRPr="006A7C83">
        <w:rPr>
          <w:rFonts w:eastAsia="Times New Roman" w:cs="DecoType Naskh" w:hint="cs"/>
          <w:color w:val="auto"/>
          <w:kern w:val="0"/>
          <w:szCs w:val="26"/>
          <w:rtl/>
          <w:lang w:bidi="ar-JO"/>
          <w14:ligatures w14:val="none"/>
        </w:rPr>
        <w:t xml:space="preserve"> ويعتمد هذا الرأي على فهم حرفي لـ 1ملوك 6: 1.  وإذا كان تاريخ 1446 صحيحاً، يكون فتح الأرض قد حدث بين 1406-1399ق م.</w:t>
      </w:r>
      <w:r w:rsidRPr="006A7C83">
        <w:rPr>
          <w:rFonts w:eastAsia="Times New Roman" w:cs="DecoType Naskh"/>
          <w:color w:val="auto"/>
          <w:kern w:val="0"/>
          <w:sz w:val="30"/>
          <w:szCs w:val="28"/>
          <w:vertAlign w:val="superscript"/>
          <w:rtl/>
          <w:lang w:bidi="ar-JO"/>
          <w14:ligatures w14:val="none"/>
        </w:rPr>
        <w:footnoteReference w:customMarkFollows="1" w:id="177"/>
        <w:t>4</w:t>
      </w:r>
      <w:r w:rsidRPr="006A7C83">
        <w:rPr>
          <w:rFonts w:eastAsia="Times New Roman" w:cs="DecoType Naskh" w:hint="cs"/>
          <w:color w:val="auto"/>
          <w:kern w:val="0"/>
          <w:szCs w:val="26"/>
          <w:rtl/>
          <w:lang w:bidi="ar-JO"/>
          <w14:ligatures w14:val="none"/>
        </w:rPr>
        <w:t xml:space="preserve"> وإذا سمحنا بوقت لزوال "جيل يشوع"، فإنه يمكننا أن نًرجع السفر إلى بداية ارتداد إسرائيل وعبادتها للبعل في 1350ق م.</w:t>
      </w:r>
      <w:r w:rsidRPr="006A7C83">
        <w:rPr>
          <w:rFonts w:eastAsia="Times New Roman" w:cs="DecoType Naskh"/>
          <w:color w:val="auto"/>
          <w:kern w:val="0"/>
          <w:sz w:val="30"/>
          <w:szCs w:val="28"/>
          <w:vertAlign w:val="superscript"/>
          <w:rtl/>
          <w:lang w:bidi="ar-JO"/>
          <w14:ligatures w14:val="none"/>
        </w:rPr>
        <w:footnoteReference w:customMarkFollows="1" w:id="178"/>
        <w:t>5</w:t>
      </w:r>
    </w:p>
    <w:p w14:paraId="731750CC"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60839FD6"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يقدّم سفر القضاة إشارات ترتيبية زمنية هامة أخرى.  غير أن هنالك عاملاً رئيسياً يتمثل في ذكر قضاة 11: 26 أن احتلال إسرائيل لمنطقة عبر الأردن دام مدة 300 سنة.  فإذا حدث الفتح الأولي لمنطقة عبر الأردن في عام 1406ق م، فإن من شأن هذا أن يجعل يفتاح يشير إلى سنة 1106ق م في حديثه عن السنوات الثلاث مئة.  ونحن نعرف أيضاً أن اضطهاد العمونيين كان قد استمر مدة 18 سنة قبل سنة 1106 (انظر قضاة 10: 8).  ومن هنا فقد بدأ الاضطهاد العمّوني في عام 1124 ف م، واستمر حتى 1106 م.</w:t>
      </w:r>
    </w:p>
    <w:p w14:paraId="3497CD2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EA62709" w14:textId="2B82AA35"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إذ كانت قضاة 10: 7-8 توحي بأن اضطهاد العمونيين والفلسطينيين بدأ في نفس الوقت (كما يقول ميريل)، يكون الاضطهاد الفلسطيني قد بدأ أيضاً في عام 1124ق م.  وتقول قضاة 13: 1 إن هذا الاضطهاد استمر 40 عاماً.  ومن هنا يؤرّخ الاضطهاد الفلسطيني ما بين 1124-1084ق م.  ونحن نعلم أن شمشون "قضى" لإسرائيل مدة 20 سنة ضمن هذه الفترة (قضاة 15: 20؛ في الجزء الأخير منها على ما يُفترض).</w:t>
      </w:r>
      <w:r w:rsidRPr="006A7C83">
        <w:rPr>
          <w:rFonts w:eastAsia="Times New Roman" w:cs="DecoType Naskh"/>
          <w:color w:val="auto"/>
          <w:kern w:val="0"/>
          <w:sz w:val="30"/>
          <w:szCs w:val="28"/>
          <w:vertAlign w:val="superscript"/>
          <w:rtl/>
          <w:lang w:bidi="ar-JO"/>
          <w14:ligatures w14:val="none"/>
        </w:rPr>
        <w:footnoteReference w:customMarkFollows="1" w:id="179"/>
        <w:t>6</w:t>
      </w:r>
      <w:r w:rsidRPr="006A7C83">
        <w:rPr>
          <w:rFonts w:eastAsia="Times New Roman" w:cs="DecoType Naskh" w:hint="cs"/>
          <w:color w:val="auto"/>
          <w:kern w:val="0"/>
          <w:szCs w:val="26"/>
          <w:rtl/>
          <w:lang w:bidi="ar-JO"/>
          <w14:ligatures w14:val="none"/>
        </w:rPr>
        <w:t xml:space="preserve"> ومعنى هذا أيضاً أن عام 1084ق م كان تاريخ معركة المصفاة التي قاد فيها صموئيل الأمة إلى النصر على الفلسطينيين               (1صموئيل 7: 11-14).</w:t>
      </w:r>
    </w:p>
    <w:p w14:paraId="0734644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30"/>
          <w:szCs w:val="28"/>
          <w:rtl/>
          <w:lang w:bidi="ar-KW"/>
          <w14:ligatures w14:val="none"/>
        </w:rPr>
      </w:pPr>
      <w:r w:rsidRPr="006A7C83">
        <w:rPr>
          <w:rFonts w:eastAsia="Times New Roman" w:cs="DecoType Naskh" w:hint="cs"/>
          <w:color w:val="auto"/>
          <w:kern w:val="0"/>
          <w:szCs w:val="26"/>
          <w:rtl/>
          <w:lang w:bidi="ar-JO"/>
          <w14:ligatures w14:val="none"/>
        </w:rPr>
        <w:t xml:space="preserve">ويمكننا لاعتبارات ترتيبية زمنية أُخرى، أن نرجع تقسيم المملكة إلى سنة 931ق م.  وقد حكم كل من شاول وداود وسليمان 40 سنة.  ومن هنا، إذا أضفنا 120 سنة إلى عام 931، يكون لدينا عام 1051ق م تاريخاً </w:t>
      </w:r>
      <w:r w:rsidRPr="006A7C83">
        <w:rPr>
          <w:rFonts w:eastAsia="Times New Roman" w:cs="DecoType Naskh" w:hint="cs"/>
          <w:color w:val="auto"/>
          <w:kern w:val="0"/>
          <w:szCs w:val="26"/>
          <w:rtl/>
          <w:lang w:bidi="ar-JO"/>
          <w14:ligatures w14:val="none"/>
        </w:rPr>
        <w:lastRenderedPageBreak/>
        <w:t>لتتويج شاول بصفته الملك الأول.  ومن هنا تمتد فترة القضاة بشكل تقريبي من 1360-1051ق م، أي فترة تقارب 310 سنوات.</w:t>
      </w:r>
      <w:r w:rsidRPr="006A7C83">
        <w:rPr>
          <w:rFonts w:eastAsia="Times New Roman" w:cs="DecoType Naskh"/>
          <w:color w:val="auto"/>
          <w:kern w:val="0"/>
          <w:sz w:val="30"/>
          <w:szCs w:val="28"/>
          <w:vertAlign w:val="superscript"/>
          <w:rtl/>
          <w:lang w:bidi="ar-JO"/>
          <w14:ligatures w14:val="none"/>
        </w:rPr>
        <w:footnoteReference w:customMarkFollows="1" w:id="180"/>
        <w:t>7</w:t>
      </w:r>
    </w:p>
    <w:p w14:paraId="7FF6DF3C"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KW"/>
          <w14:ligatures w14:val="none"/>
        </w:rPr>
      </w:pPr>
    </w:p>
    <w:p w14:paraId="3CDF07E5"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3</w:t>
      </w:r>
      <w:r w:rsidRPr="006A7C83">
        <w:rPr>
          <w:rFonts w:eastAsia="Times New Roman" w:cs="DecoType Naskh"/>
          <w:bCs/>
          <w:color w:val="auto"/>
          <w:kern w:val="0"/>
          <w:szCs w:val="28"/>
          <w14:ligatures w14:val="none"/>
        </w:rPr>
        <w:t xml:space="preserve"> </w:t>
      </w:r>
      <w:r w:rsidRPr="006A7C83">
        <w:rPr>
          <w:rFonts w:eastAsia="Times New Roman" w:cs="DecoType Naskh" w:hint="cs"/>
          <w:bCs/>
          <w:color w:val="auto"/>
          <w:kern w:val="0"/>
          <w:szCs w:val="28"/>
          <w:rtl/>
          <w:lang w:bidi="ar-JO"/>
          <w14:ligatures w14:val="none"/>
        </w:rPr>
        <w:t>.</w:t>
      </w:r>
      <w:r w:rsidRPr="006A7C83">
        <w:rPr>
          <w:rFonts w:eastAsia="Times New Roman" w:cs="DecoType Naskh" w:hint="cs"/>
          <w:bCs/>
          <w:color w:val="auto"/>
          <w:kern w:val="0"/>
          <w:szCs w:val="28"/>
          <w:rtl/>
          <w:lang w:bidi="ar-JO"/>
          <w14:ligatures w14:val="none"/>
        </w:rPr>
        <w:tab/>
        <w:t xml:space="preserve">الأصحاحات الافتتاحية </w:t>
      </w:r>
    </w:p>
    <w:p w14:paraId="533EA2D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برز جدل كثير من الأصحاحات الأولى لهذا السفر.  إذ يوجد تكرار محيّر لخبر موت يشوع في قضاة 1: 1و2: 8، يتبع كل  خبر منهما روايات عن فتحٍ وارتداد.  ولقد كان المنهج النقدي المعتاد هو اقتباس هاتين الآيتين كدليل على تقليدين متناقضين لم يتم تنقيحهما بطريقة ناجحة.  وردّاً على ذلك، أقول إن استنتاجهم هذا ينبع من عدم فهمهم لنيّة الكاتب من كتابة السفر.  فمع أن السفر قد يحتوي على إشارتين إلى موت يشوع، فإنه ليس من الضروري إن يؤدي هذا إلى الاستنتاج أنه تم تنقيح روايتين متعارضتين.  إذ يوجد حل أفضل هو إدراك وجود مقدّمة مزدوجة متوافقة مع خاتمة السفر المزدوجة.  وتخدم كل مقدّمة منها غرضاً مختلفاً. </w:t>
      </w:r>
    </w:p>
    <w:p w14:paraId="24FA43B0"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0037D26"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نجد المقدمة الأولى في قضاة 1: 1-2: 5.  كان سفر يشوع قد انتهى مع بقاء قسم كبير من الأرض دون أن يمتلكه بنو إسرائيل، وبقاء قسم كبير من السكان دون طرد.  ونجد في 1: 1-7 عمليات تطهير لجيوب المقاومة الكنعانية قام بها سبطا يهوذا وشمعون (اللذان سيشكّلان في نهاية الأمر المملكة الجنوبية).  وتؤدي هذه العملية إلى أَسْر أدوني بازق الذي يُساق إلى أورشليم.  ومن هنا يعطي القسم التالي (1: 8-15) رواية سابقة لغزو أورشليم (تحتاج إلى شرح)، ثمّ يوضح الاستيلاء على المنطقة الجبلية الذي يصل ذروته في تخصيص حبرون ودَبِير لكالب.  غير أن من الضروري أن ندرك أن 1: 8-15 </w:t>
      </w:r>
      <w:r w:rsidRPr="006A7C83">
        <w:rPr>
          <w:rFonts w:eastAsia="Times New Roman" w:cs="DecoType Naskh" w:hint="cs"/>
          <w:i/>
          <w:iCs/>
          <w:color w:val="auto"/>
          <w:kern w:val="0"/>
          <w:szCs w:val="26"/>
          <w:rtl/>
          <w:lang w:bidi="ar-JO"/>
          <w14:ligatures w14:val="none"/>
        </w:rPr>
        <w:t xml:space="preserve">ارتجاع فنّي </w:t>
      </w:r>
      <w:r w:rsidRPr="006A7C83">
        <w:rPr>
          <w:rFonts w:eastAsia="Times New Roman" w:cs="DecoType Naskh" w:hint="cs"/>
          <w:color w:val="auto"/>
          <w:kern w:val="0"/>
          <w:szCs w:val="26"/>
          <w:rtl/>
          <w:lang w:bidi="ar-JO"/>
          <w14:ligatures w14:val="none"/>
        </w:rPr>
        <w:t>(فلاشباك) يعكس أحداثاً قبل موت يشوع! ثم تستمر الرواية في 1: 16، مبيّنة الفتوحات المستمرّة ليهوذا وشمعون (مع ذكر لبنيامين) في 1: 16-21.</w:t>
      </w:r>
    </w:p>
    <w:p w14:paraId="10E4D5D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5ECC4C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وتبيّن قضاة 1: 22-36 باختصار محاولات الغزو لما سيصبح </w:t>
      </w:r>
      <w:r w:rsidRPr="006A7C83">
        <w:rPr>
          <w:rFonts w:eastAsia="Times New Roman" w:cs="DecoType Naskh" w:hint="cs"/>
          <w:i/>
          <w:iCs/>
          <w:color w:val="auto"/>
          <w:kern w:val="0"/>
          <w:szCs w:val="26"/>
          <w:rtl/>
          <w:lang w:bidi="ar-JO"/>
          <w14:ligatures w14:val="none"/>
        </w:rPr>
        <w:t>الأسباط الشماليين</w:t>
      </w:r>
      <w:r w:rsidRPr="006A7C83">
        <w:rPr>
          <w:rFonts w:eastAsia="Times New Roman" w:cs="DecoType Naskh" w:hint="cs"/>
          <w:color w:val="auto"/>
          <w:kern w:val="0"/>
          <w:szCs w:val="26"/>
          <w:rtl/>
          <w:lang w:bidi="ar-JO"/>
          <w14:ligatures w14:val="none"/>
        </w:rPr>
        <w:t>، وكانت في معظمها غير ناجحة.  والملاحظة الهامة حول هذا القسم كلّه هي ما يلي: لماذا لا ينجح بنو إسرائيل إلاّ بشكل جزئي في محاولات الفتح؟ قد يكون من قبيل الاستنتاج المتعجّل القول إن سكان الأرض تفوّقوا عليهم وكأنهم من طبقة أعلى، فنحن نقرأ في قضاة 1: 19، "</w:t>
      </w:r>
      <w:r w:rsidRPr="006A7C83">
        <w:rPr>
          <w:rFonts w:eastAsia="Times New Roman" w:cs="DecoType Naskh" w:hint="cs"/>
          <w:i/>
          <w:iCs/>
          <w:color w:val="auto"/>
          <w:kern w:val="0"/>
          <w:szCs w:val="26"/>
          <w:rtl/>
          <w:lang w:bidi="ar-JO"/>
          <w14:ligatures w14:val="none"/>
        </w:rPr>
        <w:t>وكان الرب مع يهوذا، فملك الجبل، ولكن لم يطرد سكان الوادي لأن لهم مركبات من حديد.</w:t>
      </w:r>
      <w:r w:rsidRPr="006A7C83">
        <w:rPr>
          <w:rFonts w:eastAsia="Times New Roman" w:cs="DecoType Naskh" w:hint="cs"/>
          <w:color w:val="auto"/>
          <w:kern w:val="0"/>
          <w:szCs w:val="26"/>
          <w:rtl/>
          <w:lang w:bidi="ar-JO"/>
          <w14:ligatures w14:val="none"/>
        </w:rPr>
        <w:t xml:space="preserve">"  لاشك أن تلك كانت عقبة كبيرة، لكن ما هذه إلاّ نظرة من المنظور البشري. </w:t>
      </w:r>
    </w:p>
    <w:p w14:paraId="5745725C"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فلا شك أن المركبات الحديدية كانت ميّزة للعدو، لكن الحالات العديدة للتدخل الإلهي من قبل يهوه يجب أن تدفعنا إلى النظر بعمق أكبر.  وفي حقيقة الأمر، لسنا مضطرين إلى البحث بعيداً، لأن المشاهد الأخيرة في "المقدمة الأولى" تقدّم لنا الحل الحقيقي (من المنظور الإلهي).  ففي المشهد الأخير (قضاة 2: 1-5) يُجمع الشعب في بوكيم ويوبّخون على عدم تطهير الأرض من عبادة الأوثان.</w:t>
      </w:r>
    </w:p>
    <w:p w14:paraId="1E41277D" w14:textId="424F9519"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وقلتُ: لا أنكثُ عهدي معكم إلى الأبد.  وأنتم فلا تقطعوا عهداً مع سكّان هذه الأرض.  اهدموا مذابحهم.  ولم تسمعوا لصوتي.  فماذا عملتم؟ فقلتُ أيضاً: لا أطردُهم من أمامكم، بل يكونون لكم مضايقين، وتكون آلهتهم لكم شركاً‘ (قضاة 2: 1-3).</w:t>
      </w:r>
    </w:p>
    <w:p w14:paraId="4494A7B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5F4333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ومن هنا يصبح الغرض من المقدّمة الأولى واضحاً: فهي تشرح سبب النجاح الجزئي فقط للاحتلال بعد الفتح.</w:t>
      </w:r>
    </w:p>
    <w:p w14:paraId="545D7CE0" w14:textId="7460DBBE"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والآن، وبعد أن ذكر السفر</w:t>
      </w:r>
      <w:r w:rsidR="000410CD">
        <w:rPr>
          <w:rFonts w:eastAsia="Times New Roman" w:cs="DecoType Naskh" w:hint="cs"/>
          <w:color w:val="auto"/>
          <w:kern w:val="0"/>
          <w:szCs w:val="26"/>
          <w:rtl/>
          <w:lang w:bidi="ar-JO"/>
          <w14:ligatures w14:val="none"/>
        </w:rPr>
        <w:t xml:space="preserve"> </w:t>
      </w:r>
      <w:r w:rsidRPr="006A7C83">
        <w:rPr>
          <w:rFonts w:eastAsia="Times New Roman" w:cs="DecoType Naskh" w:hint="cs"/>
          <w:color w:val="auto"/>
          <w:kern w:val="0"/>
          <w:szCs w:val="26"/>
          <w:rtl/>
          <w:lang w:bidi="ar-JO"/>
          <w14:ligatures w14:val="none"/>
        </w:rPr>
        <w:t>سبب عدم نجاح الاحتلال بعد الغزو إلاّ بشكل جزئي،  فإنه يقدِّم "مقدّمة ثانية" في قضاة 2: 6-3: 6.  وبما أنَّ لهذا القسم غرضاً مختلفاً بعض الشيء، فسيرجع الكاتب مرّة أخرى إلى يشوع.  ومن هنا نقرأ في 2: 6: "</w:t>
      </w:r>
      <w:r w:rsidRPr="006A7C83">
        <w:rPr>
          <w:rFonts w:eastAsia="Times New Roman" w:cs="DecoType Naskh" w:hint="cs"/>
          <w:i/>
          <w:iCs/>
          <w:color w:val="auto"/>
          <w:kern w:val="0"/>
          <w:szCs w:val="26"/>
          <w:u w:val="single"/>
          <w:rtl/>
          <w:lang w:bidi="ar-JO"/>
          <w14:ligatures w14:val="none"/>
        </w:rPr>
        <w:t>وصرف</w:t>
      </w:r>
      <w:r w:rsidRPr="006A7C83">
        <w:rPr>
          <w:rFonts w:eastAsia="Times New Roman" w:cs="DecoType Naskh" w:hint="cs"/>
          <w:i/>
          <w:iCs/>
          <w:color w:val="auto"/>
          <w:kern w:val="0"/>
          <w:szCs w:val="26"/>
          <w:rtl/>
          <w:lang w:bidi="ar-JO"/>
          <w14:ligatures w14:val="none"/>
        </w:rPr>
        <w:t xml:space="preserve"> يشوع </w:t>
      </w:r>
      <w:r w:rsidRPr="006A7C83">
        <w:rPr>
          <w:rFonts w:eastAsia="Times New Roman" w:cs="DecoType Naskh" w:hint="cs"/>
          <w:i/>
          <w:iCs/>
          <w:color w:val="auto"/>
          <w:kern w:val="0"/>
          <w:szCs w:val="26"/>
          <w:u w:val="single"/>
          <w:rtl/>
          <w:lang w:bidi="ar-JO"/>
          <w14:ligatures w14:val="none"/>
        </w:rPr>
        <w:t>الشعب</w:t>
      </w:r>
      <w:r w:rsidRPr="006A7C83">
        <w:rPr>
          <w:rFonts w:eastAsia="Times New Roman" w:cs="DecoType Naskh" w:hint="cs"/>
          <w:i/>
          <w:iCs/>
          <w:color w:val="auto"/>
          <w:kern w:val="0"/>
          <w:szCs w:val="26"/>
          <w:rtl/>
          <w:lang w:bidi="ar-JO"/>
          <w14:ligatures w14:val="none"/>
        </w:rPr>
        <w:t xml:space="preserve">، فذهب بنو إسرائيل </w:t>
      </w:r>
      <w:r w:rsidRPr="006A7C83">
        <w:rPr>
          <w:rFonts w:eastAsia="Times New Roman" w:cs="DecoType Naskh" w:hint="cs"/>
          <w:i/>
          <w:iCs/>
          <w:color w:val="auto"/>
          <w:kern w:val="0"/>
          <w:szCs w:val="26"/>
          <w:u w:val="single"/>
          <w:rtl/>
          <w:lang w:bidi="ar-JO"/>
          <w14:ligatures w14:val="none"/>
        </w:rPr>
        <w:t>كل واحد إلى مُلكه</w:t>
      </w:r>
      <w:r w:rsidRPr="006A7C83">
        <w:rPr>
          <w:rFonts w:eastAsia="Times New Roman" w:cs="DecoType Naskh" w:hint="cs"/>
          <w:i/>
          <w:iCs/>
          <w:color w:val="auto"/>
          <w:kern w:val="0"/>
          <w:szCs w:val="26"/>
          <w:rtl/>
          <w:lang w:bidi="ar-JO"/>
          <w14:ligatures w14:val="none"/>
        </w:rPr>
        <w:t xml:space="preserve"> من اجل امتلاك الأرض.</w:t>
      </w:r>
      <w:r w:rsidRPr="006A7C83">
        <w:rPr>
          <w:rFonts w:eastAsia="Times New Roman" w:cs="DecoType Naskh" w:hint="cs"/>
          <w:color w:val="auto"/>
          <w:kern w:val="0"/>
          <w:szCs w:val="26"/>
          <w:rtl/>
          <w:lang w:bidi="ar-JO"/>
          <w14:ligatures w14:val="none"/>
        </w:rPr>
        <w:t>"  يذكرنا هذا التصريح بقوّة بيشوع 24: 28: "</w:t>
      </w:r>
      <w:r w:rsidRPr="006A7C83">
        <w:rPr>
          <w:rFonts w:eastAsia="Times New Roman" w:cs="DecoType Naskh" w:hint="cs"/>
          <w:i/>
          <w:iCs/>
          <w:color w:val="auto"/>
          <w:kern w:val="0"/>
          <w:szCs w:val="26"/>
          <w:rtl/>
          <w:lang w:bidi="ar-JO"/>
          <w14:ligatures w14:val="none"/>
        </w:rPr>
        <w:t xml:space="preserve">ثم صرف يشوع الشعب كل واحد إلى مُلكه </w:t>
      </w:r>
      <w:r w:rsidRPr="006A7C83">
        <w:rPr>
          <w:rFonts w:eastAsia="Times New Roman" w:cs="DecoType Naskh" w:hint="cs"/>
          <w:color w:val="auto"/>
          <w:kern w:val="0"/>
          <w:szCs w:val="26"/>
          <w:rtl/>
          <w:lang w:bidi="ar-JO"/>
          <w14:ligatures w14:val="none"/>
        </w:rPr>
        <w:t xml:space="preserve">(ميراثه)."  وهكذا فإن القصد من قضاة 2: 6 فصاعداً هو أن يعيدنا إلى تجديد العهد في شكيم والمسجل في يشوع 24.  كان هذا الحدث </w:t>
      </w:r>
      <w:r w:rsidRPr="006A7C83">
        <w:rPr>
          <w:rFonts w:eastAsia="Times New Roman" w:cs="DecoType Naskh" w:hint="cs"/>
          <w:color w:val="auto"/>
          <w:kern w:val="0"/>
          <w:szCs w:val="26"/>
          <w:rtl/>
          <w:lang w:bidi="ar-JO"/>
          <w14:ligatures w14:val="none"/>
        </w:rPr>
        <w:lastRenderedPageBreak/>
        <w:t>نقطة هامة في تاريخ الأمة، ووقتاً لتوكيد ولائهم ليهوه.  ومن هنا نقرأ في يشوع 24: 31: "</w:t>
      </w:r>
      <w:r w:rsidRPr="006A7C83">
        <w:rPr>
          <w:rFonts w:eastAsia="Times New Roman" w:cs="DecoType Naskh" w:hint="cs"/>
          <w:i/>
          <w:iCs/>
          <w:color w:val="auto"/>
          <w:kern w:val="0"/>
          <w:szCs w:val="26"/>
          <w:rtl/>
          <w:lang w:bidi="ar-JO"/>
          <w14:ligatures w14:val="none"/>
        </w:rPr>
        <w:t>وعبَدَ إسرائيل الرب كل أيّام يشوع، وكل أيّام الشيوخ الذين طالت أيّامهم بعد يشوع والذين عرفوا كل عمل الرب الذي عمله لإسرائيل.</w:t>
      </w:r>
      <w:r w:rsidRPr="006A7C83">
        <w:rPr>
          <w:rFonts w:eastAsia="Times New Roman" w:cs="DecoType Naskh" w:hint="cs"/>
          <w:color w:val="auto"/>
          <w:kern w:val="0"/>
          <w:szCs w:val="26"/>
          <w:rtl/>
          <w:lang w:bidi="ar-JO"/>
          <w14:ligatures w14:val="none"/>
        </w:rPr>
        <w:t>" يريد كاتب سفر القضاة أن يذكّرنا بأن توكيد هذا الولاء قد تم مؤخّراً في شكيم، لأنه يوجد تباعُد مُتزايد عنه بعد زمن يشوع: "</w:t>
      </w:r>
      <w:r w:rsidRPr="006A7C83">
        <w:rPr>
          <w:rFonts w:eastAsia="Times New Roman" w:cs="DecoType Naskh" w:hint="cs"/>
          <w:i/>
          <w:iCs/>
          <w:color w:val="auto"/>
          <w:kern w:val="0"/>
          <w:szCs w:val="26"/>
          <w:rtl/>
          <w:lang w:bidi="ar-JO"/>
          <w14:ligatures w14:val="none"/>
        </w:rPr>
        <w:t>وكل ذلك الجيل أيضاً انضم إلى آبائه، وقام بعدهم جيل آخر لم يعرف الرب، ولا العمل الذي عمل لإسرائيل</w:t>
      </w:r>
      <w:r w:rsidRPr="006A7C83">
        <w:rPr>
          <w:rFonts w:eastAsia="Times New Roman" w:cs="DecoType Naskh" w:hint="cs"/>
          <w:color w:val="auto"/>
          <w:kern w:val="0"/>
          <w:szCs w:val="26"/>
          <w:rtl/>
          <w:lang w:bidi="ar-JO"/>
          <w14:ligatures w14:val="none"/>
        </w:rPr>
        <w:t xml:space="preserve">"  (قضاة 2: 10).  وبالمناسبة، هذا يفسّر سبب قيام الرب </w:t>
      </w:r>
      <w:r w:rsidR="000410CD">
        <w:rPr>
          <w:rFonts w:eastAsia="Times New Roman" w:cs="DecoType Naskh" w:hint="cs"/>
          <w:color w:val="auto"/>
          <w:kern w:val="0"/>
          <w:szCs w:val="26"/>
          <w:rtl/>
          <w:lang w:bidi="ar-JO"/>
          <w14:ligatures w14:val="none"/>
        </w:rPr>
        <w:t>بالتشديد</w:t>
      </w:r>
      <w:r w:rsidRPr="006A7C83">
        <w:rPr>
          <w:rFonts w:eastAsia="Times New Roman" w:cs="DecoType Naskh" w:hint="cs"/>
          <w:color w:val="auto"/>
          <w:kern w:val="0"/>
          <w:szCs w:val="26"/>
          <w:rtl/>
          <w:lang w:bidi="ar-JO"/>
          <w14:ligatures w14:val="none"/>
        </w:rPr>
        <w:t xml:space="preserve"> كثيراً على الإرشاد ونقل الإيمان من الأب إلى الابن (انظر خروج 13 وتثنية 6).</w:t>
      </w:r>
    </w:p>
    <w:p w14:paraId="218C8A8C"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27ABE94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بعد أن بيّن الكاتب نقص الجيل التالي، لن يلجأ في بقية القسم (2: 11-3: 6) إلى تفصيل الانتصارات والهزائم (كما رأينا في المقدّمة الأولى).  لكنه يضع المبادئ التي سيتعامل الرب بموجبها مع شعبه الذين رفضوا أن يتخلّصوا من عبادة الأوثان.  عصى بنو إسرائيل وذلك بتسامحهم مع المذابح الكنعانية الوثنية (الإبقاء عليها) وبقطع عهود مع سكّان الأرض.  وهكذا استجاب الله بأن جعل من المستحيل على بني إسرائيل أن يطردوا الكنعانيين. ومع أن الله كان في الأصل يريد إبادة الكنعانيين تماماً، إلاّ أنه عدل عن مشيئته هذه بسبب عصيان الشعب.  وبدلاً من إبادة الكنعانيين، فإنه سيجعلهم يبقون، وسيستخدمهم لتأديب شعبه.  يُعِد هذا الأمر المسرح للسفر كلّه: سيتأثر بنو إسرائيل بالكنعانيين المتبقّين، وسينسون يهوه، وسينجرفون في الارتداد.  وعلى الرغم من "البدايات الجديدة" العديدة، إلاّ أن نفس الشيء سيحدث مرّة تلو الأخرى.</w:t>
      </w:r>
    </w:p>
    <w:p w14:paraId="092179D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وستقع أثناء هذه الفترة أحداث يقوم فيها غزاة أجنبيّون بغزو الأرض، وسيقيم الله "قضاة" لكي يواجهوا هذه التهديدات.  وسيسجل لنا معظم السفر (3: 7-15: 20) سلسلة من الغزوات وإقامة قضاة.  لكن "المقدمة الثانية" ستتوسع في الحديث عن هذه المبادئ التي ستعمل أثناء هذه الفترة.  وتكشف الآيات 2: 11-19 النمط العام الذي سيحدث مرة بعد مرة عبر هذه المشاهد:</w:t>
      </w:r>
    </w:p>
    <w:p w14:paraId="644C5BFC"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1)</w:t>
      </w:r>
      <w:r w:rsidRPr="006A7C83">
        <w:rPr>
          <w:rFonts w:eastAsia="Times New Roman" w:cs="DecoType Naskh" w:hint="cs"/>
          <w:color w:val="auto"/>
          <w:kern w:val="0"/>
          <w:szCs w:val="26"/>
          <w:rtl/>
          <w:lang w:bidi="ar-JO"/>
          <w14:ligatures w14:val="none"/>
        </w:rPr>
        <w:tab/>
        <w:t>تفعل الأمة الشر وتترك يهوه،</w:t>
      </w:r>
    </w:p>
    <w:p w14:paraId="6071D0CD"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2)</w:t>
      </w:r>
      <w:r w:rsidRPr="006A7C83">
        <w:rPr>
          <w:rFonts w:eastAsia="Times New Roman" w:cs="DecoType Naskh" w:hint="cs"/>
          <w:color w:val="auto"/>
          <w:kern w:val="0"/>
          <w:szCs w:val="26"/>
          <w:rtl/>
          <w:lang w:bidi="ar-JO"/>
          <w14:ligatures w14:val="none"/>
        </w:rPr>
        <w:tab/>
        <w:t>يرسل يهوه "ناهِبين" لكي يغزوا الأرض ويخرّبوها؛</w:t>
      </w:r>
    </w:p>
    <w:p w14:paraId="096424C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3)</w:t>
      </w:r>
      <w:r w:rsidRPr="006A7C83">
        <w:rPr>
          <w:rFonts w:eastAsia="Times New Roman" w:cs="DecoType Naskh" w:hint="cs"/>
          <w:color w:val="auto"/>
          <w:kern w:val="0"/>
          <w:szCs w:val="26"/>
          <w:rtl/>
          <w:lang w:bidi="ar-JO"/>
          <w14:ligatures w14:val="none"/>
        </w:rPr>
        <w:tab/>
        <w:t>يصل الشعب إلى مرحلة يأس ويصرخون طالبين الإنقاذ،</w:t>
      </w:r>
    </w:p>
    <w:p w14:paraId="61E4047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4)</w:t>
      </w:r>
      <w:r w:rsidRPr="006A7C83">
        <w:rPr>
          <w:rFonts w:eastAsia="Times New Roman" w:cs="DecoType Naskh" w:hint="cs"/>
          <w:color w:val="auto"/>
          <w:kern w:val="0"/>
          <w:szCs w:val="26"/>
          <w:rtl/>
          <w:lang w:bidi="ar-JO"/>
          <w14:ligatures w14:val="none"/>
        </w:rPr>
        <w:tab/>
        <w:t>يتحنن يهوه ويقيم قاضياً لتخليص الأمة (يحافظ هذا القاضي أحياناً على عدالة الحكم مدة حياته)؛</w:t>
      </w:r>
    </w:p>
    <w:p w14:paraId="038C3415"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5)</w:t>
      </w:r>
      <w:r w:rsidRPr="006A7C83">
        <w:rPr>
          <w:rFonts w:eastAsia="Times New Roman" w:cs="DecoType Naskh" w:hint="cs"/>
          <w:color w:val="auto"/>
          <w:kern w:val="0"/>
          <w:szCs w:val="26"/>
          <w:rtl/>
          <w:lang w:bidi="ar-JO"/>
          <w14:ligatures w14:val="none"/>
        </w:rPr>
        <w:tab/>
        <w:t>ستعود الأمة إلى الارتداد وستتصرف بشكل فاسد أكثر من ذي قبل.</w:t>
      </w:r>
    </w:p>
    <w:p w14:paraId="34B6BDDB"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يمكننا القول في ضوء هذا النمط إن القسم الأوسط من السفر </w:t>
      </w:r>
      <w:r w:rsidRPr="006A7C83">
        <w:rPr>
          <w:rFonts w:eastAsia="Times New Roman" w:cs="DecoType Naskh" w:hint="cs"/>
          <w:i/>
          <w:iCs/>
          <w:color w:val="auto"/>
          <w:kern w:val="0"/>
          <w:szCs w:val="26"/>
          <w:rtl/>
          <w:lang w:bidi="ar-JO"/>
          <w14:ligatures w14:val="none"/>
        </w:rPr>
        <w:t>دائري</w:t>
      </w:r>
      <w:r w:rsidRPr="006A7C83">
        <w:rPr>
          <w:rFonts w:eastAsia="Times New Roman" w:cs="DecoType Naskh" w:hint="cs"/>
          <w:color w:val="auto"/>
          <w:kern w:val="0"/>
          <w:szCs w:val="26"/>
          <w:rtl/>
          <w:lang w:bidi="ar-JO"/>
          <w14:ligatures w14:val="none"/>
        </w:rPr>
        <w:t xml:space="preserve">، لأن هذا النمط يتكرر مرّة بعد أخرى.  ويبدو أن هذا يخدم غرضاً، ألا وهو تبيان أن الأمة لا تتعلّم أبداً... فهم يستمرّون في فشلهم ولا يصبحون مع الزمن إلا أكثر إصراراً على عصيانهم.  لكن علينا أن نكون حذرين في استخدمنا كلمة "دائري" أو "دورة"، إذْ لسنا أمام مجرّد تكرار للدورة بنفس الطريقة كل مرّة.  فهنالك انحطاط مع تقدّم الزمن، ويوجد </w:t>
      </w:r>
      <w:r w:rsidRPr="006A7C83">
        <w:rPr>
          <w:rFonts w:eastAsia="Times New Roman" w:cs="DecoType Naskh" w:hint="cs"/>
          <w:i/>
          <w:iCs/>
          <w:color w:val="auto"/>
          <w:kern w:val="0"/>
          <w:szCs w:val="26"/>
          <w:rtl/>
          <w:lang w:bidi="ar-JO"/>
          <w14:ligatures w14:val="none"/>
        </w:rPr>
        <w:t>قدْر متناسب من القسوة</w:t>
      </w:r>
      <w:r w:rsidRPr="006A7C83">
        <w:rPr>
          <w:rFonts w:eastAsia="Times New Roman" w:cs="DecoType Naskh" w:hint="cs"/>
          <w:color w:val="auto"/>
          <w:kern w:val="0"/>
          <w:szCs w:val="26"/>
          <w:rtl/>
          <w:lang w:bidi="ar-JO"/>
          <w14:ligatures w14:val="none"/>
        </w:rPr>
        <w:t xml:space="preserve"> في طريقة تعامل الله مع كل دورة.  نقرأ في قضاة 2: 19:</w:t>
      </w:r>
    </w:p>
    <w:p w14:paraId="619E452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وعند موت القاضي كانوا يرجعون ويفسدون أكثر من آبائهم، بالذهاب وراء أخرى ليعبدوها ويسجدوا لها.  لم يكفّوا عن أفعالهم وطريقهم القاسية.</w:t>
      </w:r>
    </w:p>
    <w:p w14:paraId="0FD118FC"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من هنا فإن </w:t>
      </w:r>
      <w:r w:rsidRPr="006A7C83">
        <w:rPr>
          <w:rFonts w:eastAsia="Times New Roman" w:cs="DecoType Naskh" w:hint="cs"/>
          <w:i/>
          <w:iCs/>
          <w:color w:val="auto"/>
          <w:kern w:val="0"/>
          <w:szCs w:val="26"/>
          <w:rtl/>
          <w:lang w:bidi="ar-JO"/>
          <w14:ligatures w14:val="none"/>
        </w:rPr>
        <w:t>للمقدمة الثانية</w:t>
      </w:r>
      <w:r w:rsidRPr="006A7C83">
        <w:rPr>
          <w:rFonts w:eastAsia="Times New Roman" w:cs="DecoType Naskh" w:hint="cs"/>
          <w:color w:val="auto"/>
          <w:kern w:val="0"/>
          <w:szCs w:val="26"/>
          <w:rtl/>
          <w:lang w:bidi="ar-JO"/>
          <w14:ligatures w14:val="none"/>
        </w:rPr>
        <w:t xml:space="preserve"> غرضاً متميّزاً بالمقارنة مع المقدّمة الأولى: ستوضح هذه المقدّمة النمط الذي سيتعامل الله بموجبه مع الأمّة مستقبلاً.</w:t>
      </w:r>
    </w:p>
    <w:p w14:paraId="63B82727" w14:textId="6F3434C6"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وتُعطى أسباب أخرى لعدم استطاعة إسرائيل طرد أعدائها: (1) بقي الأعداء في الأرض لكي يكونوا امتحاناً لولاء إسرائيل (قضاة 2: 21-23؛ 3: 4)؛ (2) بقي الأعداء كأدوات تأديب للأمة بيد يهوه (2: 14-15).  </w:t>
      </w:r>
    </w:p>
    <w:p w14:paraId="2AC2F86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نخلُص إذاً إلى أن سفر القضاة ليس رواية أو طبعة سيّئة التنقيح، مبنية على روايتين تاريخيتين متناقضتين، تتضمن إعلانين لخبر موت يشوع.  بل توجد لدينا مقدّمتان متميّزتان لكل واحدة منهما غرضها الخاص:</w:t>
      </w:r>
    </w:p>
    <w:p w14:paraId="14C1781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 xml:space="preserve">المقدّمة الأولى (1: 1-2: 5)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تشرح سبب نجاح الاحتلال التالي للفتح بشكل جزئي فقط (رفض الشعب أن يطهّروا الأرض من عبادة الأوثان).</w:t>
      </w:r>
    </w:p>
    <w:p w14:paraId="5D27F16D"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المقدّمة الثانية (2: 6-3: 6) تشرح كيف سيتعامل الرب مع الأمّة مستقبلاً (باستخدام قوّة أجنبية من أجل امتحان ولائهم ومن أجل تأديبهم)</w:t>
      </w:r>
    </w:p>
    <w:p w14:paraId="6065C6DA"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4.</w:t>
      </w:r>
      <w:r w:rsidRPr="006A7C83">
        <w:rPr>
          <w:rFonts w:eastAsia="Times New Roman" w:cs="DecoType Naskh" w:hint="cs"/>
          <w:bCs/>
          <w:color w:val="auto"/>
          <w:kern w:val="0"/>
          <w:szCs w:val="28"/>
          <w:rtl/>
          <w:lang w:bidi="ar-JO"/>
          <w14:ligatures w14:val="none"/>
        </w:rPr>
        <w:tab/>
        <w:t>المنظور الواسع</w:t>
      </w:r>
    </w:p>
    <w:p w14:paraId="3B8A746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lastRenderedPageBreak/>
        <w:t xml:space="preserve">ليس سفر القضاة، كما سبق أن ذكرت، مجرّد رواية لتاريخ إسرائيل في هذه الفترة.  ويتضح هذا من ملاحظة الإطار الكتابي للسفر: </w:t>
      </w:r>
    </w:p>
    <w:p w14:paraId="499FAF9D"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0E20F5F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2189266E" w14:textId="77777777" w:rsidR="006A7C83" w:rsidRPr="006A7C83" w:rsidRDefault="006A7C83" w:rsidP="002D6C54">
      <w:pPr>
        <w:bidi/>
        <w:spacing w:after="0" w:line="240" w:lineRule="auto"/>
        <w:rPr>
          <w:rFonts w:eastAsia="Times New Roman" w:cs="DecoType Naskh"/>
          <w:color w:val="auto"/>
          <w:kern w:val="0"/>
          <w:szCs w:val="18"/>
          <w:rtl/>
          <w14:ligatures w14:val="none"/>
        </w:rPr>
      </w:pPr>
    </w:p>
    <w:p w14:paraId="2593FCB0" w14:textId="77777777" w:rsidR="006A7C83" w:rsidRPr="006A7C83" w:rsidRDefault="006A7C83" w:rsidP="002D6C54">
      <w:pPr>
        <w:bidi/>
        <w:spacing w:after="0" w:line="240" w:lineRule="auto"/>
        <w:jc w:val="center"/>
        <w:rPr>
          <w:rFonts w:eastAsia="Times New Roman" w:cs="DecoType Naskh"/>
          <w:color w:val="auto"/>
          <w:kern w:val="0"/>
          <w:szCs w:val="18"/>
          <w:rtl/>
          <w14:ligatures w14:val="none"/>
        </w:rPr>
      </w:pPr>
      <w:r w:rsidRPr="006A7C83">
        <w:rPr>
          <w:rFonts w:eastAsia="Times New Roman" w:cs="DecoType Naskh"/>
          <w:color w:val="auto"/>
          <w:kern w:val="0"/>
          <w:szCs w:val="18"/>
          <w14:ligatures w14:val="none"/>
        </w:rPr>
        <w:object w:dxaOrig="3600" w:dyaOrig="1260" w14:anchorId="68926CD6">
          <v:shape id="_x0000_i1042" type="#_x0000_t75" style="width:396pt;height:136.8pt" o:ole="">
            <v:imagedata r:id="rId84" o:title=""/>
          </v:shape>
          <o:OLEObject Type="Embed" ProgID="PowerPoint.Show.8" ShapeID="_x0000_i1042" DrawAspect="Content" ObjectID="_1802157137" r:id="rId85"/>
        </w:object>
      </w:r>
    </w:p>
    <w:p w14:paraId="3951C4A7" w14:textId="77777777" w:rsidR="006A7C83" w:rsidRPr="006A7C83" w:rsidRDefault="006A7C83" w:rsidP="002D6C54">
      <w:pPr>
        <w:bidi/>
        <w:spacing w:after="0" w:line="240" w:lineRule="auto"/>
        <w:rPr>
          <w:rFonts w:eastAsia="Times New Roman" w:cs="DecoType Naskh"/>
          <w:color w:val="auto"/>
          <w:kern w:val="0"/>
          <w:szCs w:val="18"/>
          <w:rtl/>
          <w:lang w:bidi="ar-KW"/>
          <w14:ligatures w14:val="none"/>
        </w:rPr>
      </w:pPr>
    </w:p>
    <w:p w14:paraId="10F216E8" w14:textId="77777777" w:rsidR="006A7C83" w:rsidRPr="006A7C83" w:rsidRDefault="006A7C83" w:rsidP="002D6C54">
      <w:pPr>
        <w:bidi/>
        <w:spacing w:after="0" w:line="240" w:lineRule="auto"/>
        <w:rPr>
          <w:rFonts w:eastAsia="Times New Roman" w:cs="DecoType Naskh"/>
          <w:color w:val="auto"/>
          <w:kern w:val="0"/>
          <w:szCs w:val="18"/>
          <w:rtl/>
          <w:lang w:bidi="ar-KW"/>
          <w14:ligatures w14:val="none"/>
        </w:rPr>
      </w:pPr>
    </w:p>
    <w:p w14:paraId="32658CC3" w14:textId="77777777" w:rsidR="006A7C83" w:rsidRPr="006A7C83" w:rsidRDefault="006A7C83" w:rsidP="002D6C54">
      <w:pPr>
        <w:bidi/>
        <w:spacing w:after="0" w:line="240" w:lineRule="auto"/>
        <w:rPr>
          <w:rFonts w:eastAsia="Times New Roman" w:cs="DecoType Naskh"/>
          <w:color w:val="auto"/>
          <w:kern w:val="0"/>
          <w:szCs w:val="18"/>
          <w:rtl/>
          <w:lang w:bidi="ar-KW"/>
          <w14:ligatures w14:val="none"/>
        </w:rPr>
      </w:pPr>
    </w:p>
    <w:p w14:paraId="7CD5DD7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عندما نلاحظ سفر القضاة من منظور أوسع، فإننا مجبرون على أن نسأل: ما الخطأ الذي حدث؟ هل كان الرب عاجزاً عن تأمين حماية لشعبه؟ من الواضح أن العيب لم يكن في الرب.  لقد قصد لسفر القضاة أن يشكّل جسراً من سفر التثنية إلى تتويج ملك في 1صموئيل.  قدّم لنا سفر التثنية المبادئ التي سيتعامل الرب بموجبها مع أمّة العهد التي هي </w:t>
      </w:r>
      <w:r w:rsidRPr="006A7C83">
        <w:rPr>
          <w:rFonts w:eastAsia="Times New Roman" w:cs="DecoType Naskh" w:hint="cs"/>
          <w:i/>
          <w:iCs/>
          <w:color w:val="auto"/>
          <w:kern w:val="0"/>
          <w:szCs w:val="26"/>
          <w:rtl/>
          <w:lang w:bidi="ar-JO"/>
          <w14:ligatures w14:val="none"/>
        </w:rPr>
        <w:t xml:space="preserve">تحت الشريعة الموسوية </w:t>
      </w:r>
      <w:r w:rsidRPr="006A7C83">
        <w:rPr>
          <w:rFonts w:eastAsia="Times New Roman" w:cs="DecoType Naskh" w:hint="cs"/>
          <w:color w:val="auto"/>
          <w:kern w:val="0"/>
          <w:szCs w:val="26"/>
          <w:rtl/>
          <w:lang w:bidi="ar-JO"/>
          <w14:ligatures w14:val="none"/>
        </w:rPr>
        <w:t xml:space="preserve"> (انظر تثنية 28-30)، فهو سيباركهم عندما يطيعون، وسيلعنهم (يؤدّبهم) عندما يعصون.  وسيكون استخدامه للقوة الأجنبية التي تغزو الأرض جزءاً من تأديبه.  ويقدّم سفر القضاة الدليل على فشل إسرائيل في أن ترتفع إلى مستوى بنود العهد لمدة 300 سنة.  فالأمور لا تتحسن؛ بل تسوء.</w:t>
      </w:r>
    </w:p>
    <w:p w14:paraId="339D38A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19246A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وفشلهم أمر لا عذر له مطلقاً، خاصة في ضوء طقس شكيم الاحتفالي في ختام سفر يشوع؛  إذ كان الشعب قد أعلنوا: "نعبد الرب لأنه هو إلهنا." (يشوع 24: 18).  وقد نبّههم يشوع حتى في ذلك الحين:</w:t>
      </w:r>
    </w:p>
    <w:p w14:paraId="53ACC65D"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إله غيور هو؛ لا يغفر ذنوبكم وخطاياكم.  وإذا تركتم الرب وعبدتم آلهة غريبة، يرجع فيسيء إليكم بعد أن أحسن إليكم.           (يشوع 24: 19-20)</w:t>
      </w:r>
    </w:p>
    <w:p w14:paraId="2642ADE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715979B"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10F175D"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B003A5B"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2CB7A4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031F62CC"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61DCD9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20656E35"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كان تحذير يشوع نبوياً بالفعل، لأن الشعب فشلوا بشكل ذريع على مدى فترة القضاة.  وعند وصولنا إلى نهاية السفر، ندرك أن هنالك حاجة إلى تغيير جذري، وأن التغيير سيكون بداية إدخال "الحكم الملكي".  وعلى الرغم من أن إسرائيل ستطلب "ملِكاً" (1صموئيل 8)، وهو طلب مبني على دوافع غير نقية، فإنَّ القصد من سفر القضاة هو أن يمهّد الطريق لمجيء الملوك.  ومن هنا نسمع التعليقات المتكررة في خاتمة الكتاب: "</w:t>
      </w:r>
      <w:r w:rsidRPr="006A7C83">
        <w:rPr>
          <w:rFonts w:eastAsia="Times New Roman" w:cs="DecoType Naskh" w:hint="cs"/>
          <w:i/>
          <w:iCs/>
          <w:color w:val="auto"/>
          <w:kern w:val="0"/>
          <w:szCs w:val="26"/>
          <w:rtl/>
          <w:lang w:bidi="ar-JO"/>
          <w14:ligatures w14:val="none"/>
        </w:rPr>
        <w:t>وفي تلك الأيام لم يكن ملك في إسرائيل.</w:t>
      </w:r>
      <w:r w:rsidRPr="006A7C83">
        <w:rPr>
          <w:rFonts w:eastAsia="Times New Roman" w:cs="DecoType Naskh" w:hint="cs"/>
          <w:color w:val="auto"/>
          <w:kern w:val="0"/>
          <w:szCs w:val="26"/>
          <w:rtl/>
          <w:lang w:bidi="ar-JO"/>
          <w14:ligatures w14:val="none"/>
        </w:rPr>
        <w:t xml:space="preserve">" (17: 6؛ 18: 1؛ 19: 1؛ 21؛ 25).  يهدف سفر القضاة إلى أن يكون شاهداً على فشل إسرائيل في أن ترتفع إلى مستوى بنود العهد التي كان يمكن لله أن يباركهم بموجبها تحت الحكم الثيوقراطي (الديني / الإلهي)، ومن هنا فإنه يعدّ المسرح لمحاولة إقامة حكم ملكي.  </w:t>
      </w:r>
    </w:p>
    <w:p w14:paraId="6E41A8E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7F9112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lastRenderedPageBreak/>
        <w:t xml:space="preserve">ولسوء الحظ، فإنه لا يمكن لملك بشري (هو نفسه خاطئ) أن يكون العلاج لمشكلة الشعب الحقيقية.  فحاجتهم الحقيقية هي إلى "قلب جديد" (وهو ما سيقدّمه </w:t>
      </w:r>
      <w:r w:rsidRPr="006A7C83">
        <w:rPr>
          <w:rFonts w:eastAsia="Times New Roman" w:cs="DecoType Naskh" w:hint="cs"/>
          <w:i/>
          <w:iCs/>
          <w:color w:val="auto"/>
          <w:kern w:val="0"/>
          <w:szCs w:val="26"/>
          <w:rtl/>
          <w:lang w:bidi="ar-JO"/>
          <w14:ligatures w14:val="none"/>
        </w:rPr>
        <w:t>العهد الجديد</w:t>
      </w:r>
      <w:r w:rsidRPr="006A7C83">
        <w:rPr>
          <w:rFonts w:eastAsia="Times New Roman" w:cs="DecoType Naskh" w:hint="cs"/>
          <w:color w:val="auto"/>
          <w:kern w:val="0"/>
          <w:szCs w:val="26"/>
          <w:rtl/>
          <w:lang w:bidi="ar-JO"/>
          <w14:ligatures w14:val="none"/>
        </w:rPr>
        <w:t xml:space="preserve">).  لكن الله سيأتي في خطّته الرائعة بـ "ملك مثالي" (انظر 2 صموئيل 7) سيعطي الشعب قلباً جديداً عن طريق عهد جديد.  ومن هنا كان من المحتّم أن تتجه </w:t>
      </w:r>
      <w:r w:rsidRPr="006A7C83">
        <w:rPr>
          <w:rFonts w:eastAsia="Times New Roman" w:cs="DecoType Naskh" w:hint="cs"/>
          <w:i/>
          <w:iCs/>
          <w:color w:val="auto"/>
          <w:kern w:val="0"/>
          <w:szCs w:val="26"/>
          <w:rtl/>
          <w:lang w:bidi="ar-JO"/>
          <w14:ligatures w14:val="none"/>
        </w:rPr>
        <w:t>القصّة</w:t>
      </w:r>
      <w:r w:rsidRPr="006A7C83">
        <w:rPr>
          <w:rFonts w:eastAsia="Times New Roman" w:cs="DecoType Naskh" w:hint="cs"/>
          <w:color w:val="auto"/>
          <w:kern w:val="0"/>
          <w:szCs w:val="26"/>
          <w:rtl/>
          <w:lang w:bidi="ar-JO"/>
          <w14:ligatures w14:val="none"/>
        </w:rPr>
        <w:t xml:space="preserve"> في اتجاه إيجاد ملك، لأنه سيكون في نهاية الأمر الوسيلة التي سينجز الله من خلالها مقاصده لأمة إسرائيل ويحقق وعده باستخدام إسرائيل لمباركة جميع قبائل الأرض (تكوين 12: 1-3).  ولأن بني إسرائيل يفشلون تحت حكم القضاة، فإنهم يتوجّهون بطلب ملك، لكي يكون لهم في يوم ما الملك النهائي الأسمى... الرب يسوع المسيح.</w:t>
      </w:r>
    </w:p>
    <w:p w14:paraId="5914461B"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14:ligatures w14:val="none"/>
        </w:rPr>
      </w:pPr>
    </w:p>
    <w:p w14:paraId="79D26F71" w14:textId="77777777" w:rsidR="006A7C83" w:rsidRPr="006A7C83" w:rsidRDefault="006A7C83" w:rsidP="002D6C54">
      <w:pPr>
        <w:bidi/>
        <w:spacing w:after="0" w:line="240" w:lineRule="auto"/>
        <w:jc w:val="center"/>
        <w:rPr>
          <w:rFonts w:eastAsia="Times New Roman" w:cs="DecoType Naskh"/>
          <w:color w:val="A50021"/>
          <w:kern w:val="0"/>
          <w:szCs w:val="32"/>
          <w:rtl/>
          <w:lang w:bidi="ar-JO"/>
          <w14:ligatures w14:val="none"/>
        </w:rPr>
      </w:pPr>
    </w:p>
    <w:p w14:paraId="3D5F609B" w14:textId="68BBD780" w:rsidR="00942124" w:rsidRPr="007A4B15" w:rsidRDefault="000410CD" w:rsidP="000410CD">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bookmarkStart w:id="161" w:name="_Hlk178779340"/>
      <w:r w:rsidRPr="0030794F">
        <w:rPr>
          <w:rFonts w:ascii="Simplified Arabic" w:eastAsia="Calibri" w:hAnsi="Simplified Arabic" w:cs="Simplified Arabic"/>
          <w:b/>
          <w:bCs/>
          <w:kern w:val="0"/>
          <w:sz w:val="26"/>
          <w:szCs w:val="28"/>
          <w:rtl/>
          <w14:ligatures w14:val="none"/>
        </w:rPr>
        <w:t>الموضوع 4: قصّة جدعون بوصفها النقطة المركزيّة في سفر القضاة (قضاة 3: 7 – 16: 31)</w:t>
      </w:r>
      <w:r w:rsidR="00942124" w:rsidRPr="007A4B15">
        <w:rPr>
          <w:rFonts w:ascii="Verdana" w:eastAsia="Calibri" w:hAnsi="Verdana" w:cs="Times New Roman"/>
          <w:b/>
          <w:caps/>
          <w:noProof/>
          <w:color w:val="006699"/>
          <w:kern w:val="0"/>
          <w:sz w:val="21"/>
          <w:szCs w:val="24"/>
          <w14:ligatures w14:val="none"/>
        </w:rPr>
        <w:drawing>
          <wp:inline distT="0" distB="0" distL="0" distR="0" wp14:anchorId="0D0D5A4A" wp14:editId="544D7D8E">
            <wp:extent cx="613692" cy="541464"/>
            <wp:effectExtent l="0" t="0" r="0" b="0"/>
            <wp:docPr id="568136169" name="Picture 568136169"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00942124" w:rsidRPr="007A4B15">
        <w:rPr>
          <w:rFonts w:ascii="Verdana" w:eastAsia="Calibri" w:hAnsi="Verdana" w:cs="Times New Roman"/>
          <w:b/>
          <w:caps/>
          <w:color w:val="006699"/>
          <w:kern w:val="0"/>
          <w:sz w:val="21"/>
          <w:szCs w:val="24"/>
          <w14:ligatures w14:val="none"/>
        </w:rPr>
        <w:t xml:space="preserve"> </w:t>
      </w:r>
      <w:r w:rsidRPr="000410CD">
        <w:rPr>
          <w:rFonts w:ascii="Verdana" w:eastAsia="Calibri" w:hAnsi="Verdana" w:cs="Times New Roman" w:hint="cs"/>
          <w:bCs/>
          <w:caps/>
          <w:color w:val="006699"/>
          <w:kern w:val="0"/>
          <w:sz w:val="21"/>
          <w:szCs w:val="24"/>
          <w:u w:val="single"/>
          <w:rtl/>
          <w14:ligatures w14:val="none"/>
        </w:rPr>
        <w:t>القراءة:</w:t>
      </w:r>
    </w:p>
    <w:p w14:paraId="0F09FBCB" w14:textId="14C27FD0" w:rsidR="00942124" w:rsidRPr="002B24E1" w:rsidRDefault="00942124" w:rsidP="000410CD">
      <w:pPr>
        <w:bidi/>
        <w:spacing w:line="240" w:lineRule="auto"/>
        <w:rPr>
          <w:b/>
          <w:bCs/>
        </w:rPr>
      </w:pPr>
      <w:r>
        <w:tab/>
      </w:r>
      <w:r>
        <w:tab/>
      </w:r>
      <w:r w:rsidR="000410CD">
        <w:rPr>
          <w:rFonts w:hint="cs"/>
          <w:rtl/>
        </w:rPr>
        <w:t xml:space="preserve">اقرأ قضاة 3: 7 </w:t>
      </w:r>
      <w:r w:rsidR="000410CD">
        <w:rPr>
          <w:rtl/>
        </w:rPr>
        <w:t>–</w:t>
      </w:r>
      <w:r w:rsidR="000410CD">
        <w:rPr>
          <w:rFonts w:hint="cs"/>
          <w:rtl/>
        </w:rPr>
        <w:t xml:space="preserve"> 16: 31 في كتابك المُقدَّس. </w:t>
      </w:r>
    </w:p>
    <w:bookmarkEnd w:id="161"/>
    <w:p w14:paraId="6F93ECDD" w14:textId="77777777" w:rsidR="001426DA" w:rsidRDefault="001426DA"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contextualSpacing/>
        <w:rPr>
          <w:rFonts w:eastAsia="Calibri" w:cs="Times New Roman"/>
          <w:kern w:val="0"/>
          <w:szCs w:val="24"/>
          <w14:ligatures w14:val="none"/>
        </w:rPr>
      </w:pPr>
    </w:p>
    <w:p w14:paraId="7A74399D"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lang w:bidi="ar-JO"/>
          <w14:ligatures w14:val="none"/>
        </w:rPr>
      </w:pPr>
    </w:p>
    <w:p w14:paraId="57D339FD"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ملاحظة: نشرت هذه المقالة تحت نفس العنوان في </w:t>
      </w:r>
      <w:r w:rsidRPr="006A7C83">
        <w:rPr>
          <w:rFonts w:eastAsia="Times New Roman" w:cs="DecoType Naskh"/>
          <w:i/>
          <w:iCs/>
          <w:color w:val="auto"/>
          <w:kern w:val="0"/>
          <w:szCs w:val="26"/>
          <w14:ligatures w14:val="none"/>
        </w:rPr>
        <w:t>BibSac</w:t>
      </w:r>
      <w:r w:rsidRPr="006A7C83">
        <w:rPr>
          <w:rFonts w:eastAsia="Times New Roman" w:cs="DecoType Naskh" w:hint="cs"/>
          <w:color w:val="auto"/>
          <w:kern w:val="0"/>
          <w:szCs w:val="26"/>
          <w:rtl/>
          <w:lang w:bidi="ar-JO"/>
          <w14:ligatures w14:val="none"/>
        </w:rPr>
        <w:t xml:space="preserve"> في عام 1992 [انظر </w:t>
      </w:r>
      <w:r w:rsidRPr="006A7C83">
        <w:rPr>
          <w:rFonts w:eastAsia="Times New Roman" w:cs="DecoType Naskh"/>
          <w:color w:val="auto"/>
          <w:kern w:val="0"/>
          <w:szCs w:val="26"/>
          <w14:ligatures w14:val="none"/>
        </w:rPr>
        <w:t>J. Paul Tanner, “The Gideon Narrative as the Focal Point of Judges,” Bibliotheca Sacra 149: 594 (Apr-Jun 1992): 146-61].</w:t>
      </w:r>
      <w:r w:rsidRPr="006A7C83">
        <w:rPr>
          <w:rFonts w:eastAsia="Times New Roman" w:cs="DecoType Naskh" w:hint="cs"/>
          <w:color w:val="auto"/>
          <w:kern w:val="0"/>
          <w:szCs w:val="26"/>
          <w:rtl/>
          <w14:ligatures w14:val="none"/>
        </w:rPr>
        <w:t xml:space="preserve"> </w:t>
      </w:r>
      <w:r w:rsidRPr="006A7C83">
        <w:rPr>
          <w:rFonts w:eastAsia="Times New Roman" w:cs="DecoType Naskh" w:hint="cs"/>
          <w:color w:val="auto"/>
          <w:kern w:val="0"/>
          <w:szCs w:val="26"/>
          <w:rtl/>
          <w:lang w:bidi="ar-JO"/>
          <w14:ligatures w14:val="none"/>
        </w:rPr>
        <w:t>والمادة المقدّمة هنا هي نفس المادة الواردة في المقالة الأصلية، مع بعض التغييرات الطفيفة في التنسيق لكي تتناسب مع أسلوب هذه الملاحظات.</w:t>
      </w:r>
    </w:p>
    <w:p w14:paraId="5D6485C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746D58EB"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14:ligatures w14:val="none"/>
        </w:rPr>
      </w:pPr>
      <w:r w:rsidRPr="006A7C83">
        <w:rPr>
          <w:rFonts w:eastAsia="Times New Roman" w:cs="DecoType Naskh" w:hint="cs"/>
          <w:bCs/>
          <w:color w:val="auto"/>
          <w:kern w:val="0"/>
          <w:szCs w:val="28"/>
          <w:rtl/>
          <w:lang w:bidi="ar-JO"/>
          <w14:ligatures w14:val="none"/>
        </w:rPr>
        <w:t>1.</w:t>
      </w:r>
      <w:r w:rsidRPr="006A7C83">
        <w:rPr>
          <w:rFonts w:eastAsia="Times New Roman" w:cs="DecoType Naskh" w:hint="cs"/>
          <w:bCs/>
          <w:color w:val="auto"/>
          <w:kern w:val="0"/>
          <w:szCs w:val="28"/>
          <w:rtl/>
          <w:lang w:bidi="ar-JO"/>
          <w14:ligatures w14:val="none"/>
        </w:rPr>
        <w:tab/>
        <w:t xml:space="preserve">مقدمة </w:t>
      </w:r>
    </w:p>
    <w:p w14:paraId="21F9149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30"/>
          <w:szCs w:val="28"/>
          <w:rtl/>
          <w:lang w:bidi="ar-KW"/>
          <w14:ligatures w14:val="none"/>
        </w:rPr>
      </w:pPr>
      <w:r w:rsidRPr="006A7C83">
        <w:rPr>
          <w:rFonts w:eastAsia="Times New Roman" w:cs="DecoType Naskh" w:hint="cs"/>
          <w:color w:val="auto"/>
          <w:kern w:val="0"/>
          <w:szCs w:val="26"/>
          <w:rtl/>
          <w:lang w:bidi="ar-JO"/>
          <w14:ligatures w14:val="none"/>
        </w:rPr>
        <w:t>على الرغم من الاعتراف بفخامة الشعر العبري منذ زمن بعيد، إلاّ أنه لم ُيعطَ اهتمام كافٍ للرواية الأدبية العبرية.  غير أن العقود الثلاثة الأخيرة شهدت نقلة كبيرة في الاهتمام بجانبي بنية الرواية العبرية وأسلوبها.  وقد أثبتت الدراسات أن الروايات السردية العبرية القديمة أُلِّفت بعناية، واستُخدمت فيها تقنيات أدبية متطورة راقية.</w:t>
      </w:r>
      <w:r w:rsidRPr="006A7C83">
        <w:rPr>
          <w:rFonts w:eastAsia="Times New Roman" w:cs="DecoType Naskh"/>
          <w:color w:val="auto"/>
          <w:kern w:val="0"/>
          <w:sz w:val="30"/>
          <w:szCs w:val="28"/>
          <w:vertAlign w:val="superscript"/>
          <w:rtl/>
          <w:lang w:bidi="ar-JO"/>
          <w14:ligatures w14:val="none"/>
        </w:rPr>
        <w:footnoteReference w:customMarkFollows="1" w:id="181"/>
        <w:t>1</w:t>
      </w:r>
      <w:r w:rsidRPr="006A7C83">
        <w:rPr>
          <w:rFonts w:eastAsia="Times New Roman" w:cs="DecoType Naskh" w:hint="cs"/>
          <w:color w:val="auto"/>
          <w:kern w:val="0"/>
          <w:szCs w:val="26"/>
          <w:rtl/>
          <w:lang w:bidi="ar-JO"/>
          <w14:ligatures w14:val="none"/>
        </w:rPr>
        <w:t xml:space="preserve"> وإن أحد الوجوه المثيرة للاهتمام لهذا الفن الروائي هو ترتيب بنية العمل الأدبي بواسطة استخدام الأنماط النصّية.</w:t>
      </w:r>
      <w:r w:rsidRPr="006A7C83">
        <w:rPr>
          <w:rFonts w:eastAsia="Times New Roman" w:cs="DecoType Naskh"/>
          <w:color w:val="auto"/>
          <w:kern w:val="0"/>
          <w:sz w:val="30"/>
          <w:szCs w:val="28"/>
          <w:vertAlign w:val="superscript"/>
          <w:rtl/>
          <w:lang w:bidi="ar-JO"/>
          <w14:ligatures w14:val="none"/>
        </w:rPr>
        <w:footnoteReference w:customMarkFollows="1" w:id="182"/>
        <w:t>2</w:t>
      </w:r>
    </w:p>
    <w:p w14:paraId="6B981AB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KW"/>
          <w14:ligatures w14:val="none"/>
        </w:rPr>
      </w:pPr>
    </w:p>
    <w:p w14:paraId="45456586"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تقدّم هذه المقالة دراسة بلاغية للبنية في الرواية العبرية، التي يمكن أن نطلق عليها تسمية "التنميط النصّي" (</w:t>
      </w:r>
      <w:r w:rsidRPr="006A7C83">
        <w:rPr>
          <w:rFonts w:eastAsia="Times New Roman" w:cs="DecoType Naskh"/>
          <w:color w:val="auto"/>
          <w:kern w:val="0"/>
          <w:szCs w:val="26"/>
          <w14:ligatures w14:val="none"/>
        </w:rPr>
        <w:t>Textual Patterning</w:t>
      </w:r>
      <w:r w:rsidRPr="006A7C83">
        <w:rPr>
          <w:rFonts w:eastAsia="Times New Roman" w:cs="DecoType Naskh" w:hint="cs"/>
          <w:color w:val="auto"/>
          <w:kern w:val="0"/>
          <w:szCs w:val="26"/>
          <w:rtl/>
          <w:lang w:bidi="ar-JO"/>
          <w14:ligatures w14:val="none"/>
        </w:rPr>
        <w:t>)، أي استخدام الأنماط في النص.  ثم سأقوم بتطبيقها على سفر القضاة، خاصة على رواية جدعون في قضاة 6-8، حيث إن هذا القسم يشكّل النقطة المحوريّة للسفر.  وتسعى هذه المقالة أيضاً إلى إيضاح أهمية هذا البحث بالقول إن التنميط النصّي (استخدام الأنماط في النص) في رواية جدعون يسهم في الرسالة اللاهوتية للسفر.</w:t>
      </w:r>
    </w:p>
    <w:p w14:paraId="1254A285"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2.</w:t>
      </w:r>
      <w:r w:rsidRPr="006A7C83">
        <w:rPr>
          <w:rFonts w:eastAsia="Times New Roman" w:cs="DecoType Naskh" w:hint="cs"/>
          <w:bCs/>
          <w:color w:val="auto"/>
          <w:kern w:val="0"/>
          <w:szCs w:val="28"/>
          <w:rtl/>
          <w:lang w:bidi="ar-JO"/>
          <w14:ligatures w14:val="none"/>
        </w:rPr>
        <w:tab/>
        <w:t xml:space="preserve">التنميط النصّي في الرواية العبرية </w:t>
      </w:r>
    </w:p>
    <w:p w14:paraId="53EB7DD0"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بسبب خلفية المناهج النقدية التقليدية للكتاب المقدس العبري، شهدت العقود الثلاثة الأخيرة بروز الحاجة إلى نهج توفيقي للنص، على خلفية المناهج الانتقادية التقليدية للأسفار العبرية.  فقد أدّى الاهتمام بالشكل القانوني للنص </w:t>
      </w:r>
      <w:r w:rsidRPr="006A7C83">
        <w:rPr>
          <w:rFonts w:eastAsia="Times New Roman" w:cs="DecoType Naskh" w:hint="cs"/>
          <w:color w:val="auto"/>
          <w:kern w:val="0"/>
          <w:szCs w:val="26"/>
          <w:rtl/>
          <w:lang w:bidi="ar-JO"/>
          <w14:ligatures w14:val="none"/>
        </w:rPr>
        <w:lastRenderedPageBreak/>
        <w:t>إلى اكتشاف حالات متكررة تمّ فيها تشكيل النص العبري وتنميطه من حيث البُنية.  وقد أسفرت نتائج مثل تلك المناهج عن بعض التوازن في الأساليب الانتقادية التاريخية المتطرفة، وبيّنت أيضاً أن التنميط البُنْيَوي للنص يمكن أن يكون مفتاحاً هاماً في فهم التوكيد اللاهوتي للرواية.</w:t>
      </w:r>
    </w:p>
    <w:p w14:paraId="0C4688E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08FFC950"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32"/>
          <w:szCs w:val="26"/>
          <w:rtl/>
          <w:lang w:bidi="ar-JO"/>
          <w14:ligatures w14:val="none"/>
        </w:rPr>
      </w:pPr>
      <w:r w:rsidRPr="006A7C83">
        <w:rPr>
          <w:rFonts w:eastAsia="Times New Roman" w:cs="DecoType Naskh" w:hint="cs"/>
          <w:color w:val="auto"/>
          <w:kern w:val="0"/>
          <w:szCs w:val="26"/>
          <w:rtl/>
          <w:lang w:bidi="ar-JO"/>
          <w14:ligatures w14:val="none"/>
        </w:rPr>
        <w:t>وظّف بعض الباحثين، في نهجهم التوفيقي في تناول الرواية السردية العبرية، الأسلوب المعروف باسم "التركيبية" أو "البنيوية".</w:t>
      </w:r>
      <w:r w:rsidRPr="006A7C83">
        <w:rPr>
          <w:rFonts w:eastAsia="Times New Roman" w:cs="DecoType Naskh"/>
          <w:color w:val="auto"/>
          <w:kern w:val="0"/>
          <w:sz w:val="30"/>
          <w:szCs w:val="28"/>
          <w:vertAlign w:val="superscript"/>
          <w:rtl/>
          <w:lang w:bidi="ar-JO"/>
          <w14:ligatures w14:val="none"/>
        </w:rPr>
        <w:footnoteReference w:customMarkFollows="1" w:id="183"/>
        <w:t>3</w:t>
      </w:r>
      <w:r w:rsidRPr="006A7C83">
        <w:rPr>
          <w:rFonts w:eastAsia="Times New Roman" w:cs="DecoType Naskh" w:hint="cs"/>
          <w:color w:val="auto"/>
          <w:kern w:val="0"/>
          <w:szCs w:val="26"/>
          <w:rtl/>
          <w:lang w:bidi="ar-JO"/>
          <w14:ligatures w14:val="none"/>
        </w:rPr>
        <w:t xml:space="preserve"> ويجب أن يميَّز هذا النهج الذي برز من ميدان النقد الأدبي الدنيوي عن النهج المتناول هنا، لأن </w:t>
      </w:r>
      <w:r w:rsidRPr="006A7C83">
        <w:rPr>
          <w:rFonts w:eastAsia="Times New Roman" w:cs="DecoType Naskh" w:hint="cs"/>
          <w:color w:val="auto"/>
          <w:kern w:val="0"/>
          <w:sz w:val="32"/>
          <w:szCs w:val="26"/>
          <w:rtl/>
          <w:lang w:bidi="ar-JO"/>
          <w14:ligatures w14:val="none"/>
        </w:rPr>
        <w:t>"التركيبية" أو "البنيوية" لا تركّز على الجوانب السطحية الرسمية التي تحدد بنية النص.  وفضلاً عن ذلك، فإنها لا تهدف إلى تفسير النص، مُنقصةً بذلك من فائدته كما عند معظم الباحثين النقديين.  وبشكل عام فإن "التركيبية" أو "البنيوية" تعاني من العبثية الكامنة وراء محاولة فرض أسلوب أدبي غربي محض على نصوص شرقية قديمة بدلاً من استنباط الأساليب المتّبعة بطريقة موضوعية.</w:t>
      </w:r>
    </w:p>
    <w:p w14:paraId="57DAB40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32"/>
          <w:szCs w:val="26"/>
          <w:rtl/>
          <w:lang w:bidi="ar-JO"/>
          <w14:ligatures w14:val="none"/>
        </w:rPr>
      </w:pPr>
    </w:p>
    <w:p w14:paraId="7C39C36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30"/>
          <w:szCs w:val="28"/>
          <w:rtl/>
          <w:lang w:bidi="ar-JO"/>
          <w14:ligatures w14:val="none"/>
        </w:rPr>
      </w:pPr>
      <w:r w:rsidRPr="006A7C83">
        <w:rPr>
          <w:rFonts w:eastAsia="Times New Roman" w:cs="DecoType Naskh" w:hint="cs"/>
          <w:color w:val="auto"/>
          <w:kern w:val="0"/>
          <w:szCs w:val="26"/>
          <w:rtl/>
          <w:lang w:bidi="ar-JO"/>
          <w14:ligatures w14:val="none"/>
        </w:rPr>
        <w:t>غير أن دراسة النقد البلاغي ترتبط بملاحظة التركيب الشكلي الظاهر للنصوص الروائية.  وعلى الرغم من أن النقد البلاغي ليس مقصوراً على هذا الأمر، إلاّ أنه يشمله على الأقل.  وكما يتصوّر جيمس مولنبرغ، الباحث الرائد في هذا المجال من الدراسة، فإن النقد البلاغي مهتم بمسائل أسلوبية كثيرة جدّاً، خاصة السمات الفريدة لأية رواية (وقد اعتبر مولنبرغ أن عدم الالتفات إلى السمات الفريدة عيب من عيوب "النقد الشكلي").</w:t>
      </w:r>
      <w:r w:rsidRPr="006A7C83">
        <w:rPr>
          <w:rFonts w:eastAsia="Times New Roman" w:cs="DecoType Naskh"/>
          <w:color w:val="auto"/>
          <w:kern w:val="0"/>
          <w:sz w:val="30"/>
          <w:szCs w:val="28"/>
          <w:vertAlign w:val="superscript"/>
          <w:rtl/>
          <w:lang w:bidi="ar-JO"/>
          <w14:ligatures w14:val="none"/>
        </w:rPr>
        <w:footnoteReference w:customMarkFollows="1" w:id="184"/>
        <w:t>4</w:t>
      </w:r>
    </w:p>
    <w:p w14:paraId="4F09B26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يشير النقد البلاغي إلى مجموعة كبيرة من السمات الأدبية، بما فيها تكرار المفردات (وأشباه الجمل والجمل والأفكار)، والتماثل في العبارات الافتتاحية والختامية والتصالب (</w:t>
      </w:r>
      <w:r w:rsidRPr="006A7C83">
        <w:rPr>
          <w:rFonts w:eastAsia="Times New Roman" w:cs="DecoType Naskh"/>
          <w:color w:val="auto"/>
          <w:kern w:val="0"/>
          <w:szCs w:val="26"/>
          <w14:ligatures w14:val="none"/>
        </w:rPr>
        <w:t>Chiasm</w:t>
      </w:r>
      <w:r w:rsidRPr="006A7C83">
        <w:rPr>
          <w:rFonts w:eastAsia="Times New Roman" w:cs="DecoType Naskh" w:hint="cs"/>
          <w:color w:val="auto"/>
          <w:kern w:val="0"/>
          <w:szCs w:val="26"/>
          <w:rtl/>
          <w:lang w:bidi="ar-JO"/>
          <w14:ligatures w14:val="none"/>
        </w:rPr>
        <w:t>)، والتركيب الأدبي، والمواضع الاستراتيجية للحروف والأدوات (أل التعريف مثلاً)، واستخدام التوازي، والتلاعب بالكلمات، والجِناس، ومن هنا فإن النقد البلاغي نهج توفيقي مختص بأمور الأسلوب والتركيب والنسيج.  إن "التنميط البلاغي" مصطلح يشير إلى استخدام الأنماط "التركيبية" أو "البنيوية"  في النص الكتابي.</w:t>
      </w:r>
    </w:p>
    <w:p w14:paraId="420E535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لاحظ الباحثون عدداً من الأنواع الشائعة من الأنماط النصّية: التناوب، التركيب الحَلَقي أو الدائري، التماثل في العبارات الافتتاحية والختامية، والتصالُبات، والتوازي، والميل إلى الانكفاء الذاتي، ووحدة المراكز.</w:t>
      </w:r>
      <w:r w:rsidRPr="006A7C83">
        <w:rPr>
          <w:rFonts w:eastAsia="Times New Roman" w:cs="DecoType Naskh"/>
          <w:color w:val="auto"/>
          <w:kern w:val="0"/>
          <w:sz w:val="30"/>
          <w:szCs w:val="28"/>
          <w:vertAlign w:val="superscript"/>
          <w:rtl/>
          <w:lang w:bidi="ar-JO"/>
          <w14:ligatures w14:val="none"/>
        </w:rPr>
        <w:footnoteReference w:customMarkFollows="1" w:id="185"/>
        <w:t>5</w:t>
      </w:r>
      <w:r w:rsidRPr="006A7C83">
        <w:rPr>
          <w:rFonts w:eastAsia="Times New Roman" w:cs="DecoType Naskh" w:hint="cs"/>
          <w:color w:val="auto"/>
          <w:kern w:val="0"/>
          <w:szCs w:val="26"/>
          <w:rtl/>
          <w:lang w:bidi="ar-JO"/>
          <w14:ligatures w14:val="none"/>
        </w:rPr>
        <w:t xml:space="preserve"> هذه الأنماط هامّة من نواحٍ كثيرة.  أولاً، إنها مفيدة في توكيد روابط الوحدة الأدبية.  ثانياً، يمكن لنمطي الانكفاء الذاتي ووحدة المراكز أن يشير إلى النقاط الهامّة في الوحدة الأدبية أو أن يحدّدا نقطة التحوّل في تطوّر الحبكة.  ويمكن لاستخدام نمط التمثال في العبارات الافتتاحية والختامية لا أن يعطي توكيداً على أمر معيّن فحسب، لكن يمكن أن يكون استخدامه كإطار لوحدة أدبية مفيداً أيضاً في تمييز الأنماط النصّية ضمن الوحدة.</w:t>
      </w:r>
    </w:p>
    <w:p w14:paraId="3A9F16D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043C8D8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يمكن أن يكون التنميط النصّي بسيطاً أو معقّداً.  فعلى سبيل المثال، قد تكون عناصر التوازي تكرارات لفظية (لكلمة أو لشبه جملة أو جملة)، لكنها غالباً ما لا يُتحقق منها إلاّ بتجريد تطوّر الحبكة أو تلخيصها.</w:t>
      </w:r>
      <w:r w:rsidRPr="006A7C83">
        <w:rPr>
          <w:rFonts w:eastAsia="Times New Roman" w:cs="DecoType Naskh"/>
          <w:color w:val="auto"/>
          <w:kern w:val="0"/>
          <w:sz w:val="30"/>
          <w:szCs w:val="28"/>
          <w:vertAlign w:val="superscript"/>
          <w:rtl/>
          <w:lang w:bidi="ar-JO"/>
          <w14:ligatures w14:val="none"/>
        </w:rPr>
        <w:footnoteReference w:customMarkFollows="1" w:id="186"/>
        <w:t>6</w:t>
      </w:r>
      <w:r w:rsidRPr="006A7C83">
        <w:rPr>
          <w:rFonts w:eastAsia="Times New Roman" w:cs="DecoType Naskh" w:hint="cs"/>
          <w:color w:val="auto"/>
          <w:kern w:val="0"/>
          <w:sz w:val="30"/>
          <w:szCs w:val="28"/>
          <w:rtl/>
          <w:lang w:bidi="ar-KW"/>
          <w14:ligatures w14:val="none"/>
        </w:rPr>
        <w:t xml:space="preserve">  </w:t>
      </w:r>
      <w:r w:rsidRPr="006A7C83">
        <w:rPr>
          <w:rFonts w:eastAsia="Times New Roman" w:cs="DecoType Naskh" w:hint="cs"/>
          <w:color w:val="auto"/>
          <w:kern w:val="0"/>
          <w:szCs w:val="26"/>
          <w:rtl/>
          <w:lang w:bidi="ar-JO"/>
          <w14:ligatures w14:val="none"/>
        </w:rPr>
        <w:t xml:space="preserve">غير أنه </w:t>
      </w:r>
      <w:r w:rsidRPr="006A7C83">
        <w:rPr>
          <w:rFonts w:eastAsia="Times New Roman" w:cs="DecoType Naskh" w:hint="cs"/>
          <w:color w:val="auto"/>
          <w:kern w:val="0"/>
          <w:szCs w:val="26"/>
          <w:rtl/>
          <w:lang w:bidi="ar-JO"/>
          <w14:ligatures w14:val="none"/>
        </w:rPr>
        <w:lastRenderedPageBreak/>
        <w:t>حتى تلخيصها قد يتضمن تكرارات للكلمة أو شبه جملة أيضاً.  وبالإضافة إلى هذا التنوع في طريقة تشكُّل التوازيات، فإنه يمكن أن ترد في النص تراكيب معقّدة ومتعددة.  وقد يتضمن هذا أنماطاً غير متماثلة حيث يكون هنالك كسر للتماثل بغرض إبراز شيء لتوكيده.</w:t>
      </w:r>
    </w:p>
    <w:p w14:paraId="220E2FD7" w14:textId="1B7F678E"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30"/>
          <w:szCs w:val="28"/>
          <w:rtl/>
          <w:lang w:bidi="ar-JO"/>
          <w14:ligatures w14:val="none"/>
        </w:rPr>
      </w:pPr>
      <w:r w:rsidRPr="006A7C83">
        <w:rPr>
          <w:rFonts w:eastAsia="Times New Roman" w:cs="DecoType Naskh" w:hint="cs"/>
          <w:color w:val="auto"/>
          <w:kern w:val="0"/>
          <w:szCs w:val="26"/>
          <w:rtl/>
          <w:lang w:bidi="ar-JO"/>
          <w14:ligatures w14:val="none"/>
        </w:rPr>
        <w:t>وعلى الرغم من الوجود الواضح لحالات من التنميط النصّي (استخدام الأنماط الأدبية) في الأسفار العبرية، إلاّ أن التحدّي يكمن في التعرف إليها في النص.</w:t>
      </w:r>
      <w:r w:rsidRPr="006A7C83">
        <w:rPr>
          <w:rFonts w:eastAsia="Times New Roman" w:cs="DecoType Naskh"/>
          <w:color w:val="auto"/>
          <w:kern w:val="0"/>
          <w:sz w:val="30"/>
          <w:szCs w:val="28"/>
          <w:vertAlign w:val="superscript"/>
          <w:rtl/>
          <w:lang w:bidi="ar-JO"/>
          <w14:ligatures w14:val="none"/>
        </w:rPr>
        <w:footnoteReference w:customMarkFollows="1" w:id="187"/>
        <w:t>7</w:t>
      </w:r>
      <w:r w:rsidRPr="006A7C83">
        <w:rPr>
          <w:rFonts w:eastAsia="Times New Roman" w:cs="DecoType Naskh" w:hint="cs"/>
          <w:color w:val="auto"/>
          <w:kern w:val="0"/>
          <w:szCs w:val="26"/>
          <w:rtl/>
          <w:lang w:bidi="ar-JO"/>
          <w14:ligatures w14:val="none"/>
        </w:rPr>
        <w:t xml:space="preserve"> وقد يكمن المفتاح الرئيسي لهذا الأمر في طريقة إثبات وجود "حدود" للأنماط النصّية.</w:t>
      </w:r>
      <w:r w:rsidRPr="006A7C83">
        <w:rPr>
          <w:rFonts w:eastAsia="Times New Roman" w:cs="DecoType Naskh"/>
          <w:color w:val="auto"/>
          <w:kern w:val="0"/>
          <w:sz w:val="30"/>
          <w:szCs w:val="28"/>
          <w:vertAlign w:val="superscript"/>
          <w:rtl/>
          <w:lang w:bidi="ar-JO"/>
          <w14:ligatures w14:val="none"/>
        </w:rPr>
        <w:footnoteReference w:customMarkFollows="1" w:id="188"/>
        <w:t>8</w:t>
      </w:r>
      <w:r w:rsidRPr="006A7C83">
        <w:rPr>
          <w:rFonts w:eastAsia="Times New Roman" w:cs="DecoType Naskh" w:hint="cs"/>
          <w:color w:val="auto"/>
          <w:kern w:val="0"/>
          <w:szCs w:val="26"/>
          <w:rtl/>
          <w:lang w:bidi="ar-JO"/>
          <w14:ligatures w14:val="none"/>
        </w:rPr>
        <w:t xml:space="preserve">  وإنه لأمر جوهري في سياق هذا الأمر أن نفهم الوحدة الأدبية التي تطلق عليها تسمية "المشهد".</w:t>
      </w:r>
      <w:r w:rsidRPr="006A7C83">
        <w:rPr>
          <w:rFonts w:eastAsia="Times New Roman" w:cs="DecoType Naskh"/>
          <w:color w:val="auto"/>
          <w:kern w:val="0"/>
          <w:sz w:val="30"/>
          <w:szCs w:val="28"/>
          <w:vertAlign w:val="superscript"/>
          <w:rtl/>
          <w:lang w:bidi="ar-JO"/>
          <w14:ligatures w14:val="none"/>
        </w:rPr>
        <w:footnoteReference w:customMarkFollows="1" w:id="189"/>
        <w:t>9</w:t>
      </w:r>
    </w:p>
    <w:p w14:paraId="154DFCA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يمكن في العادة تحديد المشاهد بواسطة الأساليب الانتقالية المستخدمة بينها.  وقد تتضمن هذه الأساليب الانتقالية عبارات زمن</w:t>
      </w:r>
      <w:r w:rsidRPr="006A7C83">
        <w:rPr>
          <w:rFonts w:eastAsia="Times New Roman" w:cs="DecoType Naskh" w:hint="cs"/>
          <w:color w:val="auto"/>
          <w:kern w:val="0"/>
          <w:szCs w:val="26"/>
          <w:rtl/>
          <w14:ligatures w14:val="none"/>
        </w:rPr>
        <w:t>ية</w:t>
      </w:r>
      <w:r w:rsidRPr="006A7C83">
        <w:rPr>
          <w:rFonts w:eastAsia="Times New Roman" w:cs="DecoType Naskh" w:hint="cs"/>
          <w:color w:val="auto"/>
          <w:kern w:val="0"/>
          <w:szCs w:val="26"/>
          <w:rtl/>
          <w:lang w:bidi="ar-JO"/>
          <w14:ligatures w14:val="none"/>
        </w:rPr>
        <w:t xml:space="preserve"> (خاصة مع استخدام </w:t>
      </w:r>
      <w:r w:rsidRPr="006A7C83">
        <w:rPr>
          <w:rFonts w:ascii="Ezra SIL" w:eastAsia="Times New Roman" w:hAnsi="Ezra SIL" w:cs="Ezra SIL" w:hint="cs"/>
          <w:b/>
          <w:color w:val="auto"/>
          <w:kern w:val="0"/>
          <w:rtl/>
          <w:lang w:bidi="he-IL"/>
          <w14:ligatures w14:val="none"/>
        </w:rPr>
        <w:t>ויהי</w:t>
      </w:r>
      <w:r w:rsidRPr="006A7C83">
        <w:rPr>
          <w:rFonts w:eastAsia="Times New Roman" w:cs="DecoType Naskh" w:hint="cs"/>
          <w:color w:val="auto"/>
          <w:kern w:val="0"/>
          <w:szCs w:val="26"/>
          <w:rtl/>
          <w:lang w:bidi="ar-JO"/>
          <w14:ligatures w14:val="none"/>
        </w:rPr>
        <w:t xml:space="preserve">)، أو عبارات ظرفية، وعبارات </w:t>
      </w:r>
      <w:r w:rsidRPr="006A7C83">
        <w:rPr>
          <w:rFonts w:ascii="Ezra SIL" w:eastAsia="Times New Roman" w:hAnsi="Ezra SIL" w:cs="Ezra SIL" w:hint="cs"/>
          <w:b/>
          <w:color w:val="auto"/>
          <w:kern w:val="0"/>
          <w:rtl/>
          <w:lang w:bidi="he-IL"/>
          <w14:ligatures w14:val="none"/>
        </w:rPr>
        <w:t>הנה</w:t>
      </w:r>
      <w:r w:rsidRPr="006A7C83">
        <w:rPr>
          <w:rFonts w:eastAsia="Times New Roman" w:cs="DecoType Naskh" w:hint="cs"/>
          <w:color w:val="auto"/>
          <w:kern w:val="0"/>
          <w:szCs w:val="26"/>
          <w:rtl/>
          <w:lang w:bidi="ar-JO"/>
          <w14:ligatures w14:val="none"/>
        </w:rPr>
        <w:t xml:space="preserve"> ، وتكراراً (للكلمات</w:t>
      </w:r>
      <w:r w:rsidRPr="006A7C83">
        <w:rPr>
          <w:rFonts w:eastAsia="Times New Roman" w:cs="DecoType Naskh" w:hint="cs"/>
          <w:color w:val="auto"/>
          <w:kern w:val="0"/>
          <w:szCs w:val="26"/>
          <w:rtl/>
          <w14:ligatures w14:val="none"/>
        </w:rPr>
        <w:t xml:space="preserve"> المفتاحية</w:t>
      </w:r>
      <w:r w:rsidRPr="006A7C83">
        <w:rPr>
          <w:rFonts w:eastAsia="Times New Roman" w:cs="DecoType Naskh" w:hint="cs"/>
          <w:color w:val="auto"/>
          <w:kern w:val="0"/>
          <w:szCs w:val="26"/>
          <w:rtl/>
          <w:lang w:bidi="ar-JO"/>
          <w14:ligatures w14:val="none"/>
        </w:rPr>
        <w:t xml:space="preserve"> أو أشباه جمل، أو أفكار هامّة)، أو انتقالاً في المشهد (غالباً ما يكون مصحوباً بأفعال حركة دالة على الانتقال مثل </w:t>
      </w:r>
      <w:r w:rsidRPr="006A7C83">
        <w:rPr>
          <w:rFonts w:ascii="Ezra SIL" w:eastAsia="Times New Roman" w:hAnsi="Ezra SIL" w:cs="Ezra SIL" w:hint="cs"/>
          <w:b/>
          <w:color w:val="auto"/>
          <w:kern w:val="0"/>
          <w:rtl/>
          <w:lang w:bidi="he-IL"/>
          <w14:ligatures w14:val="none"/>
        </w:rPr>
        <w:t>בא</w:t>
      </w:r>
      <w:r w:rsidRPr="006A7C83">
        <w:rPr>
          <w:rFonts w:eastAsia="Times New Roman" w:cs="DecoType Naskh"/>
          <w:bCs/>
          <w:color w:val="auto"/>
          <w:kern w:val="0"/>
          <w:szCs w:val="26"/>
          <w:lang w:bidi="ar-JO"/>
          <w14:ligatures w14:val="none"/>
        </w:rPr>
        <w:t>,</w:t>
      </w:r>
      <w:r w:rsidRPr="006A7C83">
        <w:rPr>
          <w:rFonts w:ascii="Hebrew" w:eastAsia="Times New Roman" w:hAnsi="Hebrew" w:cs="DecoType Naskh"/>
          <w:bCs/>
          <w:color w:val="auto"/>
          <w:kern w:val="0"/>
          <w:szCs w:val="26"/>
          <w:lang w:bidi="ar-JO"/>
          <w14:ligatures w14:val="none"/>
        </w:rPr>
        <w:t xml:space="preserve"> </w:t>
      </w:r>
      <w:r w:rsidRPr="006A7C83">
        <w:rPr>
          <w:rFonts w:ascii="Ezra SIL" w:eastAsia="Times New Roman" w:hAnsi="Ezra SIL" w:cs="Ezra SIL"/>
          <w:color w:val="auto"/>
          <w:kern w:val="0"/>
          <w:rtl/>
          <w:lang w:bidi="he-IL"/>
          <w14:ligatures w14:val="none"/>
        </w:rPr>
        <w:t>הלך</w:t>
      </w:r>
      <w:r w:rsidRPr="006A7C83">
        <w:rPr>
          <w:rFonts w:eastAsia="Times New Roman" w:cs="DecoType Naskh"/>
          <w:bCs/>
          <w:color w:val="auto"/>
          <w:kern w:val="0"/>
          <w:szCs w:val="26"/>
          <w:lang w:bidi="ar-JO"/>
          <w14:ligatures w14:val="none"/>
        </w:rPr>
        <w:t xml:space="preserve">, </w:t>
      </w:r>
      <w:r w:rsidRPr="006A7C83">
        <w:rPr>
          <w:rFonts w:ascii="Ezra SIL" w:eastAsia="Times New Roman" w:hAnsi="Ezra SIL" w:cs="Ezra SIL" w:hint="cs"/>
          <w:b/>
          <w:color w:val="auto"/>
          <w:kern w:val="0"/>
          <w:rtl/>
          <w:lang w:bidi="he-IL"/>
          <w14:ligatures w14:val="none"/>
        </w:rPr>
        <w:t>עלה</w:t>
      </w:r>
      <w:r w:rsidRPr="006A7C83">
        <w:rPr>
          <w:rFonts w:eastAsia="Times New Roman" w:cs="DecoType Naskh"/>
          <w:bCs/>
          <w:color w:val="auto"/>
          <w:kern w:val="0"/>
          <w:szCs w:val="26"/>
          <w:lang w:bidi="ar-JO"/>
          <w14:ligatures w14:val="none"/>
        </w:rPr>
        <w:t xml:space="preserve">, </w:t>
      </w:r>
      <w:r w:rsidRPr="006A7C83">
        <w:rPr>
          <w:rFonts w:ascii="Ezra SIL" w:eastAsia="Times New Roman" w:hAnsi="Ezra SIL" w:cs="Ezra SIL" w:hint="cs"/>
          <w:b/>
          <w:color w:val="auto"/>
          <w:kern w:val="0"/>
          <w:rtl/>
          <w:lang w:bidi="he-IL"/>
          <w14:ligatures w14:val="none"/>
        </w:rPr>
        <w:t>ירד</w:t>
      </w:r>
      <w:r w:rsidRPr="006A7C83">
        <w:rPr>
          <w:rFonts w:ascii="Hebrew" w:eastAsia="Times New Roman" w:hAnsi="Hebrew" w:cs="DecoType Naskh" w:hint="cs"/>
          <w:color w:val="auto"/>
          <w:kern w:val="0"/>
          <w:szCs w:val="26"/>
          <w:rtl/>
          <w:lang w:bidi="ar-JO"/>
          <w14:ligatures w14:val="none"/>
        </w:rPr>
        <w:t xml:space="preserve"> و فعل </w:t>
      </w:r>
      <w:r w:rsidRPr="006A7C83">
        <w:rPr>
          <w:rFonts w:ascii="Ezra SIL" w:eastAsia="Times New Roman" w:hAnsi="Ezra SIL" w:cs="Ezra SIL" w:hint="cs"/>
          <w:b/>
          <w:color w:val="auto"/>
          <w:kern w:val="0"/>
          <w:rtl/>
          <w:lang w:bidi="he-IL"/>
          <w14:ligatures w14:val="none"/>
        </w:rPr>
        <w:t>יצא</w:t>
      </w:r>
      <w:r w:rsidRPr="006A7C83">
        <w:rPr>
          <w:rFonts w:eastAsia="Times New Roman" w:cs="DecoType Naskh" w:hint="cs"/>
          <w:color w:val="auto"/>
          <w:kern w:val="0"/>
          <w:szCs w:val="26"/>
          <w:rtl/>
          <w:lang w:bidi="ar-JO"/>
          <w14:ligatures w14:val="none"/>
        </w:rPr>
        <w:t xml:space="preserve"> أو حتى بفعل دال على الإدراك مثل </w:t>
      </w:r>
      <w:r w:rsidRPr="006A7C83">
        <w:rPr>
          <w:rFonts w:ascii="Ezra SIL" w:eastAsia="Times New Roman" w:hAnsi="Ezra SIL" w:cs="Ezra SIL" w:hint="cs"/>
          <w:b/>
          <w:color w:val="auto"/>
          <w:kern w:val="0"/>
          <w:rtl/>
          <w:lang w:bidi="he-IL"/>
          <w14:ligatures w14:val="none"/>
        </w:rPr>
        <w:t>ראה</w:t>
      </w:r>
      <w:r w:rsidRPr="006A7C83">
        <w:rPr>
          <w:rFonts w:eastAsia="Times New Roman" w:cs="DecoType Naskh" w:hint="cs"/>
          <w:color w:val="auto"/>
          <w:kern w:val="0"/>
          <w:szCs w:val="26"/>
          <w:rtl/>
          <w:lang w:bidi="ar-JO"/>
          <w14:ligatures w14:val="none"/>
        </w:rPr>
        <w:t>).  وإنه لأمر مفهوم أن وجود مثل هذه الأدوات في النص لا يشير بشكل آلي إلى آية تشكّل بداية أو نهاية لمشهد؛ فالفكرة هي أن النقلات من مشهد إلى آخر غالباً ما ترِد مرتبطة بهذه العوامل.  وإن من شأن إدراك وجودها في النص أن يساعد المفسّر على تطوير حساسية للانتقال من مشهد إلى آخر.  وإن القدرة على تمييز هذه المشاهد أمر أساسي في تمييز الأنماط النصيّة المختلفة.</w:t>
      </w:r>
    </w:p>
    <w:p w14:paraId="6BE1AF2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C09AFB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شهدت الدراسات السابقة التي أبرزت الأنماط النصّية على حقيقة وجود </w:t>
      </w:r>
      <w:r w:rsidRPr="006A7C83">
        <w:rPr>
          <w:rFonts w:eastAsia="Times New Roman" w:cs="DecoType Naskh" w:hint="cs"/>
          <w:i/>
          <w:iCs/>
          <w:color w:val="auto"/>
          <w:kern w:val="0"/>
          <w:szCs w:val="26"/>
          <w:rtl/>
          <w:lang w:bidi="ar-JO"/>
          <w14:ligatures w14:val="none"/>
        </w:rPr>
        <w:t>سمات مشتركة</w:t>
      </w:r>
      <w:r w:rsidRPr="006A7C83">
        <w:rPr>
          <w:rFonts w:eastAsia="Times New Roman" w:cs="DecoType Naskh" w:hint="cs"/>
          <w:color w:val="auto"/>
          <w:kern w:val="0"/>
          <w:szCs w:val="26"/>
          <w:rtl/>
          <w:lang w:bidi="ar-JO"/>
          <w14:ligatures w14:val="none"/>
        </w:rPr>
        <w:t xml:space="preserve"> في الغالب بين الأنماط النصّية المختلفة (أي أنماط موجودة في روايات سردية مختلفة).  ومن هنا فإن هنالك أنماطاً شاملة، وإن من شأن هذا الواقع أن يمكننا من صياغة أسلوب للبحث عنها ودراستها.  وأنا أقترح الخطوات التالية للوصول إلى ذلك:</w:t>
      </w:r>
    </w:p>
    <w:p w14:paraId="2AA6775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1.</w:t>
      </w:r>
      <w:r w:rsidRPr="006A7C83">
        <w:rPr>
          <w:rFonts w:eastAsia="Times New Roman" w:cs="DecoType Naskh" w:hint="cs"/>
          <w:color w:val="auto"/>
          <w:kern w:val="0"/>
          <w:szCs w:val="26"/>
          <w:rtl/>
          <w:lang w:bidi="ar-JO"/>
          <w14:ligatures w14:val="none"/>
        </w:rPr>
        <w:tab/>
        <w:t>تعرّف إلى الملامح التركيبية الكلية للسفر أو الوحدة الرئيسية التي يوجد فيها النص السردي.</w:t>
      </w:r>
    </w:p>
    <w:p w14:paraId="4F3C199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2.</w:t>
      </w:r>
      <w:r w:rsidRPr="006A7C83">
        <w:rPr>
          <w:rFonts w:eastAsia="Times New Roman" w:cs="DecoType Naskh" w:hint="cs"/>
          <w:color w:val="auto"/>
          <w:kern w:val="0"/>
          <w:szCs w:val="26"/>
          <w:rtl/>
          <w:lang w:bidi="ar-JO"/>
          <w14:ligatures w14:val="none"/>
        </w:rPr>
        <w:tab/>
        <w:t xml:space="preserve">قرر حدود المشهد/المشاهد.  يجب أن تحدد الأساليب الانتقالية (إشارات محتملة لحدود المشهد) وتقويمها.  وإن وجود التشابه في بداية النص وخاتمته أمر ذو أهمية خاصة هنا.  </w:t>
      </w:r>
    </w:p>
    <w:p w14:paraId="4FAFAF45"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3.</w:t>
      </w:r>
      <w:r w:rsidRPr="006A7C83">
        <w:rPr>
          <w:rFonts w:eastAsia="Times New Roman" w:cs="DecoType Naskh" w:hint="cs"/>
          <w:color w:val="auto"/>
          <w:kern w:val="0"/>
          <w:szCs w:val="26"/>
          <w:rtl/>
          <w:lang w:bidi="ar-JO"/>
          <w14:ligatures w14:val="none"/>
        </w:rPr>
        <w:tab/>
        <w:t xml:space="preserve">ابحث عن التنميط النصّي </w:t>
      </w:r>
      <w:r w:rsidRPr="006A7C83">
        <w:rPr>
          <w:rFonts w:eastAsia="Times New Roman" w:cs="DecoType Naskh" w:hint="cs"/>
          <w:i/>
          <w:iCs/>
          <w:color w:val="auto"/>
          <w:kern w:val="0"/>
          <w:szCs w:val="26"/>
          <w:rtl/>
          <w:lang w:bidi="ar-JO"/>
          <w14:ligatures w14:val="none"/>
        </w:rPr>
        <w:t>ضمن</w:t>
      </w:r>
      <w:r w:rsidRPr="006A7C83">
        <w:rPr>
          <w:rFonts w:eastAsia="Times New Roman" w:cs="DecoType Naskh" w:hint="cs"/>
          <w:color w:val="auto"/>
          <w:kern w:val="0"/>
          <w:szCs w:val="26"/>
          <w:rtl/>
          <w:lang w:bidi="ar-JO"/>
          <w14:ligatures w14:val="none"/>
        </w:rPr>
        <w:t xml:space="preserve"> المشهد الواحد (على أصغر مستوى).  وإن وجود التوازي بين التعابير أو أشباه الجمل أو الأفكار ذو أهمّية خاصة هنا.</w:t>
      </w:r>
    </w:p>
    <w:p w14:paraId="21E3C0FC"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4.</w:t>
      </w:r>
      <w:r w:rsidRPr="006A7C83">
        <w:rPr>
          <w:rFonts w:eastAsia="Times New Roman" w:cs="DecoType Naskh" w:hint="cs"/>
          <w:color w:val="auto"/>
          <w:kern w:val="0"/>
          <w:szCs w:val="26"/>
          <w:rtl/>
          <w:lang w:bidi="ar-JO"/>
          <w14:ligatures w14:val="none"/>
        </w:rPr>
        <w:tab/>
        <w:t>ابحث عن خطوط التوازي والصلات بين المشاهد لترى إن كان هنالك نمط على أكبر مستوى.</w:t>
      </w:r>
    </w:p>
    <w:p w14:paraId="396F51F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5.</w:t>
      </w:r>
      <w:r w:rsidRPr="006A7C83">
        <w:rPr>
          <w:rFonts w:eastAsia="Times New Roman" w:cs="DecoType Naskh" w:hint="cs"/>
          <w:color w:val="auto"/>
          <w:kern w:val="0"/>
          <w:szCs w:val="26"/>
          <w:rtl/>
          <w:lang w:bidi="ar-JO"/>
          <w14:ligatures w14:val="none"/>
        </w:rPr>
        <w:tab/>
        <w:t>تفحَّص الأنماط لمعرفة دلالتها وأهميتها.  فسواء كان التنميط النصي موجوداً على المستوى الكبير أم المستوى الصغير، يجب أن تقوّم المعطيات بعناية لكي تفهم كيف ولماذا استخدم الكاتب الأنماط.</w:t>
      </w:r>
    </w:p>
    <w:p w14:paraId="7EA9844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p>
    <w:p w14:paraId="48451739"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3.</w:t>
      </w:r>
      <w:r w:rsidRPr="006A7C83">
        <w:rPr>
          <w:rFonts w:eastAsia="Times New Roman" w:cs="DecoType Naskh" w:hint="cs"/>
          <w:bCs/>
          <w:color w:val="auto"/>
          <w:kern w:val="0"/>
          <w:szCs w:val="28"/>
          <w:rtl/>
          <w:lang w:bidi="ar-JO"/>
          <w14:ligatures w14:val="none"/>
        </w:rPr>
        <w:tab/>
        <w:t>البنية الكلية لسفر القضاة</w:t>
      </w:r>
    </w:p>
    <w:p w14:paraId="1D98C7C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يمكن النظر إلى سفر القضاة على أنه يحمل مقدّمة من جزئين (1: 1-2: 5 و2: 6-3: 6) وخاتمة من جزئين (7: 1-18: 31 و19: 1-21: 25).  وتربط أفكار متوازية المقدّمة الأولى (1: 1-2: 5) بالخاتمة الثانية (19: 1-21: 25)، وبنفس الطريقة ترتبط المقدّمة الثانية (2: 6-3: 6) مع الخاتمة الأولى (17: 1-18: 31).</w:t>
      </w:r>
    </w:p>
    <w:p w14:paraId="0935614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ويشهد الجزء الرئيسي الأكبر من السفر (3: 7-16: 31) على وجود تركيب بنيوي، عن طريق استخدام متكرر للكلمات وأشباه الجمل أُعطيت اسم "صيغ نمطية".  وأشهرها هي: "وفعل بنو إسرائيل الشر في عيني الرب"، </w:t>
      </w:r>
      <w:r w:rsidRPr="006A7C83">
        <w:rPr>
          <w:rFonts w:eastAsia="Times New Roman" w:cs="DecoType Naskh" w:hint="cs"/>
          <w:color w:val="auto"/>
          <w:kern w:val="0"/>
          <w:szCs w:val="26"/>
          <w:rtl/>
          <w:lang w:bidi="ar-JO"/>
          <w14:ligatures w14:val="none"/>
        </w:rPr>
        <w:lastRenderedPageBreak/>
        <w:t>التي تترأس كل رواية تقريباً ضمن الجزء الرئيسي من الكتاب.  توحي هذه الصيغ النمطية بأن الراوي نسج الأحداث المروية معاً بمهارة بغرض تقديم مسألة لاهوتية.</w:t>
      </w:r>
    </w:p>
    <w:p w14:paraId="5FE2CDC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يمكن ملاحظة سبع مجموعات سردية رئيسية ضمن الجزء الرئيسي الكبير للسفر.  وتوجد أيضاً سمات توازي معيّنة بين هذه الروايات بحيث يعكس السفر كلّه نمطاً متناسقاً صيغ بكل عناية.</w:t>
      </w:r>
      <w:r w:rsidRPr="006A7C83">
        <w:rPr>
          <w:rFonts w:eastAsia="Times New Roman" w:cs="DecoType Naskh"/>
          <w:color w:val="auto"/>
          <w:kern w:val="0"/>
          <w:sz w:val="30"/>
          <w:szCs w:val="28"/>
          <w:vertAlign w:val="superscript"/>
          <w:rtl/>
          <w:lang w:bidi="ar-JO"/>
          <w14:ligatures w14:val="none"/>
        </w:rPr>
        <w:footnoteReference w:customMarkFollows="1" w:id="190"/>
        <w:t>10</w:t>
      </w:r>
      <w:r w:rsidRPr="006A7C83">
        <w:rPr>
          <w:rFonts w:eastAsia="Times New Roman" w:cs="DecoType Naskh" w:hint="cs"/>
          <w:color w:val="auto"/>
          <w:kern w:val="0"/>
          <w:szCs w:val="26"/>
          <w:rtl/>
          <w:lang w:bidi="ar-JO"/>
          <w14:ligatures w14:val="none"/>
        </w:rPr>
        <w:t xml:space="preserve"> وفضلاً عن ذلك فإن النقطة المركزية لهذا النمط هي رواية جدعون في 6: 1-8: 32</w:t>
      </w:r>
      <w:r w:rsidRPr="006A7C83">
        <w:rPr>
          <w:rFonts w:eastAsia="Times New Roman" w:cs="DecoType Naskh"/>
          <w:color w:val="auto"/>
          <w:kern w:val="0"/>
          <w:szCs w:val="26"/>
          <w14:ligatures w14:val="none"/>
        </w:rPr>
        <w:t xml:space="preserve"> </w:t>
      </w:r>
      <w:r w:rsidRPr="006A7C83">
        <w:rPr>
          <w:rFonts w:eastAsia="Times New Roman" w:cs="DecoType Naskh" w:hint="cs"/>
          <w:color w:val="auto"/>
          <w:kern w:val="0"/>
          <w:szCs w:val="26"/>
          <w:rtl/>
          <w:lang w:bidi="ar-JO"/>
          <w14:ligatures w14:val="none"/>
        </w:rPr>
        <w:t>.</w:t>
      </w:r>
      <w:r w:rsidRPr="006A7C83">
        <w:rPr>
          <w:rFonts w:eastAsia="Times New Roman" w:cs="DecoType Naskh"/>
          <w:color w:val="auto"/>
          <w:kern w:val="0"/>
          <w:sz w:val="30"/>
          <w:szCs w:val="28"/>
          <w:vertAlign w:val="superscript"/>
          <w:rtl/>
          <w:lang w:bidi="ar-JO"/>
          <w14:ligatures w14:val="none"/>
        </w:rPr>
        <w:footnoteReference w:customMarkFollows="1" w:id="191"/>
        <w:t>11</w:t>
      </w:r>
    </w:p>
    <w:p w14:paraId="1AFCCFA4" w14:textId="77777777" w:rsidR="006A7C83" w:rsidRPr="006A7C83" w:rsidRDefault="006A7C83" w:rsidP="002D6C54">
      <w:pPr>
        <w:bidi/>
        <w:spacing w:after="0" w:line="240" w:lineRule="auto"/>
        <w:rPr>
          <w:rFonts w:eastAsia="Times New Roman" w:cs="DecoType Naskh"/>
          <w:color w:val="auto"/>
          <w:kern w:val="0"/>
          <w:szCs w:val="18"/>
          <w:rtl/>
          <w:lang w:bidi="ar-JO"/>
          <w14:ligatures w14:val="none"/>
        </w:rPr>
      </w:pPr>
    </w:p>
    <w:p w14:paraId="6FB68E95" w14:textId="7777777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47"/>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أ.</w:t>
      </w:r>
      <w:r w:rsidRPr="006A7C83">
        <w:rPr>
          <w:rFonts w:eastAsia="Times New Roman" w:cs="DecoType Naskh" w:hint="cs"/>
          <w:color w:val="auto"/>
          <w:kern w:val="0"/>
          <w:szCs w:val="26"/>
          <w:rtl/>
          <w:lang w:bidi="ar-JO"/>
          <w14:ligatures w14:val="none"/>
        </w:rPr>
        <w:tab/>
        <w:t>مقدمة،  الجزء الأول (1: 1-2: 25)</w:t>
      </w:r>
    </w:p>
    <w:p w14:paraId="4988D95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47"/>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14:ligatures w14:val="none"/>
        </w:rPr>
        <w:t>ب.</w:t>
      </w:r>
      <w:r w:rsidRPr="006A7C83">
        <w:rPr>
          <w:rFonts w:eastAsia="Times New Roman" w:cs="DecoType Naskh" w:hint="cs"/>
          <w:color w:val="auto"/>
          <w:kern w:val="0"/>
          <w:szCs w:val="26"/>
          <w:rtl/>
          <w14:ligatures w14:val="none"/>
        </w:rPr>
        <w:tab/>
      </w:r>
      <w:r w:rsidRPr="006A7C83">
        <w:rPr>
          <w:rFonts w:eastAsia="Times New Roman" w:cs="DecoType Naskh" w:hint="cs"/>
          <w:color w:val="auto"/>
          <w:kern w:val="0"/>
          <w:szCs w:val="26"/>
          <w:rtl/>
          <w:lang w:bidi="ar-JO"/>
          <w14:ligatures w14:val="none"/>
        </w:rPr>
        <w:t>مقدمة، الجزء الثاني (2: 6-3: 6)</w:t>
      </w:r>
    </w:p>
    <w:p w14:paraId="22060DE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47"/>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جـ.</w:t>
      </w:r>
      <w:r w:rsidRPr="006A7C83">
        <w:rPr>
          <w:rFonts w:eastAsia="Times New Roman" w:cs="DecoType Naskh" w:hint="cs"/>
          <w:color w:val="auto"/>
          <w:kern w:val="0"/>
          <w:szCs w:val="26"/>
          <w:rtl/>
          <w:lang w:bidi="ar-JO"/>
          <w14:ligatures w14:val="none"/>
        </w:rPr>
        <w:tab/>
        <w:t>رواية عثنيئيل (3: 7-11)</w:t>
      </w:r>
    </w:p>
    <w:p w14:paraId="5D50656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2705" w:hanging="547"/>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د.</w:t>
      </w:r>
      <w:r w:rsidRPr="006A7C83">
        <w:rPr>
          <w:rFonts w:eastAsia="Times New Roman" w:cs="DecoType Naskh" w:hint="cs"/>
          <w:color w:val="auto"/>
          <w:kern w:val="0"/>
          <w:szCs w:val="26"/>
          <w:rtl/>
          <w:lang w:bidi="ar-JO"/>
          <w14:ligatures w14:val="none"/>
        </w:rPr>
        <w:tab/>
        <w:t>رواية إهود(3: 12-31)</w:t>
      </w:r>
    </w:p>
    <w:p w14:paraId="7050193B"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3272" w:hanging="547"/>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هـ.</w:t>
      </w:r>
      <w:r w:rsidRPr="006A7C83">
        <w:rPr>
          <w:rFonts w:eastAsia="Times New Roman" w:cs="DecoType Naskh" w:hint="cs"/>
          <w:color w:val="auto"/>
          <w:kern w:val="0"/>
          <w:szCs w:val="26"/>
          <w:rtl/>
          <w:lang w:bidi="ar-JO"/>
          <w14:ligatures w14:val="none"/>
        </w:rPr>
        <w:tab/>
        <w:t>رواية دبّورة وباراق (4: 1-5: 31)</w:t>
      </w:r>
    </w:p>
    <w:p w14:paraId="4BE4D85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3839" w:hanging="547"/>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ab/>
        <w:t>و.</w:t>
      </w:r>
      <w:r w:rsidRPr="006A7C83">
        <w:rPr>
          <w:rFonts w:eastAsia="Times New Roman" w:cs="DecoType Naskh" w:hint="cs"/>
          <w:color w:val="auto"/>
          <w:kern w:val="0"/>
          <w:szCs w:val="26"/>
          <w:rtl/>
          <w:lang w:bidi="ar-JO"/>
          <w14:ligatures w14:val="none"/>
        </w:rPr>
        <w:tab/>
        <w:t>رواية جدعون (رواية جدعون)</w:t>
      </w:r>
    </w:p>
    <w:p w14:paraId="254BFDF0"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3272" w:hanging="547"/>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هـ َ.</w:t>
      </w:r>
      <w:r w:rsidRPr="006A7C83">
        <w:rPr>
          <w:rFonts w:eastAsia="Times New Roman" w:cs="DecoType Naskh" w:hint="cs"/>
          <w:color w:val="auto"/>
          <w:kern w:val="0"/>
          <w:szCs w:val="26"/>
          <w:rtl/>
          <w:lang w:bidi="ar-JO"/>
          <w14:ligatures w14:val="none"/>
        </w:rPr>
        <w:tab/>
        <w:t>رواية أبيمالك (8: 33-10: 5)</w:t>
      </w:r>
    </w:p>
    <w:p w14:paraId="6F59977B"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2705" w:hanging="547"/>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دَ.</w:t>
      </w:r>
      <w:r w:rsidRPr="006A7C83">
        <w:rPr>
          <w:rFonts w:eastAsia="Times New Roman" w:cs="DecoType Naskh" w:hint="cs"/>
          <w:color w:val="auto"/>
          <w:kern w:val="0"/>
          <w:szCs w:val="26"/>
          <w:rtl/>
          <w:lang w:bidi="ar-JO"/>
          <w14:ligatures w14:val="none"/>
        </w:rPr>
        <w:tab/>
        <w:t>رواية يفتاح (10: 6- 12: 15)</w:t>
      </w:r>
    </w:p>
    <w:p w14:paraId="5B154BD5"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47"/>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جـَ.</w:t>
      </w:r>
      <w:r w:rsidRPr="006A7C83">
        <w:rPr>
          <w:rFonts w:eastAsia="Times New Roman" w:cs="DecoType Naskh" w:hint="cs"/>
          <w:color w:val="auto"/>
          <w:kern w:val="0"/>
          <w:szCs w:val="26"/>
          <w:rtl/>
          <w:lang w:bidi="ar-JO"/>
          <w14:ligatures w14:val="none"/>
        </w:rPr>
        <w:tab/>
        <w:t>رواية شمسون (13: 1-16: 31)</w:t>
      </w:r>
    </w:p>
    <w:p w14:paraId="5B0B17D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47"/>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بَ.</w:t>
      </w:r>
      <w:r w:rsidRPr="006A7C83">
        <w:rPr>
          <w:rFonts w:eastAsia="Times New Roman" w:cs="DecoType Naskh" w:hint="cs"/>
          <w:color w:val="auto"/>
          <w:kern w:val="0"/>
          <w:szCs w:val="26"/>
          <w:rtl/>
          <w:lang w:bidi="ar-JO"/>
          <w14:ligatures w14:val="none"/>
        </w:rPr>
        <w:tab/>
        <w:t>خاتمة، الجزء الأول (17: 1-18: 31)</w:t>
      </w:r>
    </w:p>
    <w:p w14:paraId="539EC822" w14:textId="7777777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47"/>
        <w:jc w:val="both"/>
        <w:rPr>
          <w:rFonts w:eastAsia="Times New Roman" w:cs="DecoType Naskh"/>
          <w:color w:val="auto"/>
          <w:kern w:val="0"/>
          <w:szCs w:val="26"/>
          <w14:ligatures w14:val="none"/>
        </w:rPr>
      </w:pPr>
      <w:r w:rsidRPr="006A7C83">
        <w:rPr>
          <w:rFonts w:eastAsia="Times New Roman" w:cs="DecoType Naskh" w:hint="cs"/>
          <w:color w:val="auto"/>
          <w:kern w:val="0"/>
          <w:szCs w:val="26"/>
          <w:rtl/>
          <w:lang w:bidi="ar-JO"/>
          <w14:ligatures w14:val="none"/>
        </w:rPr>
        <w:t>أَ.</w:t>
      </w:r>
      <w:r w:rsidRPr="006A7C83">
        <w:rPr>
          <w:rFonts w:eastAsia="Times New Roman" w:cs="DecoType Naskh" w:hint="cs"/>
          <w:color w:val="auto"/>
          <w:kern w:val="0"/>
          <w:szCs w:val="26"/>
          <w:rtl/>
          <w:lang w:bidi="ar-JO"/>
          <w14:ligatures w14:val="none"/>
        </w:rPr>
        <w:tab/>
        <w:t>خاتمة، الجزء الثاني (19: 1-21: 25)</w:t>
      </w:r>
    </w:p>
    <w:p w14:paraId="0D70943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2F225D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يوحي هذا الترتيب بأن رواية جدعون أسهمت بشكل فريد في التطور اللاهوتي للسفر.  فمع انتقال الأمة من دورة تأديب إلى أخرى، كان هنالك انحطاط مستمر، وكانت توجد أيضاً نقلة في "نوعية" القضاة أنفسهم مع تقدّم السفر.  ويبدو أن رواية جدعون تشكّل نقطة تحوّل ملحوظة.</w:t>
      </w:r>
    </w:p>
    <w:p w14:paraId="0EA1B31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6C607655"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4.</w:t>
      </w:r>
      <w:r w:rsidRPr="006A7C83">
        <w:rPr>
          <w:rFonts w:eastAsia="Times New Roman" w:cs="DecoType Naskh" w:hint="cs"/>
          <w:bCs/>
          <w:color w:val="auto"/>
          <w:kern w:val="0"/>
          <w:szCs w:val="28"/>
          <w:rtl/>
          <w:lang w:bidi="ar-JO"/>
          <w14:ligatures w14:val="none"/>
        </w:rPr>
        <w:tab/>
        <w:t xml:space="preserve">بُنية رواية جدعون </w:t>
      </w:r>
    </w:p>
    <w:p w14:paraId="4BA89A2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تكشف دراسة رواية جدعون وجود عشرين مشهداً.  وهي مشاهد لا تقدّم دلائل هامّة على تنميط نصّي متداخل المشاهد.  لكن توجد أدلّة كافية على وجود تنميط نصّي متداخل المشاهد، أي تنميط مبني على العلاقات بين المشاهد.</w:t>
      </w:r>
      <w:r w:rsidRPr="006A7C83">
        <w:rPr>
          <w:rFonts w:eastAsia="Times New Roman" w:cs="DecoType Naskh"/>
          <w:color w:val="auto"/>
          <w:kern w:val="0"/>
          <w:sz w:val="30"/>
          <w:szCs w:val="28"/>
          <w:vertAlign w:val="superscript"/>
          <w:rtl/>
          <w:lang w:bidi="ar-JO"/>
          <w14:ligatures w14:val="none"/>
        </w:rPr>
        <w:footnoteReference w:customMarkFollows="1" w:id="192"/>
        <w:t>12</w:t>
      </w:r>
      <w:r w:rsidRPr="006A7C83">
        <w:rPr>
          <w:rFonts w:eastAsia="Times New Roman" w:cs="DecoType Naskh" w:hint="cs"/>
          <w:color w:val="auto"/>
          <w:kern w:val="0"/>
          <w:szCs w:val="26"/>
          <w:rtl/>
          <w:lang w:bidi="ar-JO"/>
          <w14:ligatures w14:val="none"/>
        </w:rPr>
        <w:t xml:space="preserve"> وتميل المشاهد إلى التجمّع في مجموعات يشترك فيها مشهدان أو ثلاثة في رباط على أساس وجود فكرة مشتركة، أو عبارة مكررة، أو تشابه في البداية والنهاية، أو سمة أخرى متصلة بقواعد اللغة أو بناء الجملة تفصلها عن مشاهد أخرى.  ونحن نجد أسلوب ربط المشاهد في كل الرواية، وينتج عن ذلك ثماني مجموعات من المشاهد.  وفضلاً عن ذلك، عندما تُدرس هذه المجموعات من منظور أكثر اتساعاً عمّا سبق، يمكن اكتشاف تزاوج بين مجموعات المشاهد.  ونتيجة لذلك نجد نمطاً تبادلياً أو تناوبياً من نوع أ ب أ َ ب َ للمشاهد الأربعة في 6: 11-32.  أمّا بالنسبة للمشاهد الستة في 6: 33-7: 18، فنجد نمطاً موحّد المراكز من نوع أ ب جـ جـ َ ب َ  أ َ.  وأمّا بالنسبة للمشاهد الستة في 7: 19-8: 21، فإننا نلاحظ أن هنالك نمطاً تبادلياً أو تناوبياً من نوع أ ب جـ أ َ ب َ جـ َ.</w:t>
      </w:r>
    </w:p>
    <w:p w14:paraId="1E2FC7E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2A15BA8C"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30"/>
          <w:szCs w:val="28"/>
          <w:rtl/>
          <w:lang w:bidi="ar-KW"/>
          <w14:ligatures w14:val="none"/>
        </w:rPr>
      </w:pPr>
      <w:r w:rsidRPr="006A7C83">
        <w:rPr>
          <w:rFonts w:eastAsia="Times New Roman" w:cs="DecoType Naskh" w:hint="cs"/>
          <w:color w:val="auto"/>
          <w:kern w:val="0"/>
          <w:szCs w:val="26"/>
          <w:rtl/>
          <w:lang w:bidi="ar-JO"/>
          <w14:ligatures w14:val="none"/>
        </w:rPr>
        <w:t xml:space="preserve">إن النتيجة هي تقسيم كلّي لرواية جدعون إلى خمسة أقسام رئيسية.  وفضلاً عن ذلك، وعلى الرغم من أن هذه الأقسام تُوصِّل إليها على أساس التنميط النصّي، فإنها تنسجم تماماً مع مضامين الرواية.  يقدّم لنا القسم الأول </w:t>
      </w:r>
      <w:r w:rsidRPr="006A7C83">
        <w:rPr>
          <w:rFonts w:eastAsia="Times New Roman" w:cs="DecoType Naskh" w:hint="cs"/>
          <w:color w:val="auto"/>
          <w:kern w:val="0"/>
          <w:szCs w:val="26"/>
          <w:rtl/>
          <w:lang w:bidi="ar-JO"/>
          <w14:ligatures w14:val="none"/>
        </w:rPr>
        <w:lastRenderedPageBreak/>
        <w:t>(6: 1-10) المقدّمة والإطار العام قبل ظهور جدعون لأول مرّة، ويعطينا القسم الثاني (6: 11-32) تفويض جدعون بأن يكون منقذاً لإسرائيل؛ ويقدّم القسم الثالث (6: 33-7: 8) الاستعداد للمعركة؛ ويروي لنا القسم الرابع (7: 19-8: 21) هزيمة الجيش المدياني؛ ويسجّل القسم الخامس (8: 22-32) نهاية حياة جدعون بعد النصر على مديان.  غير أن هنالك خطوط توازٍ في الأفكار بين القسمين الأول والخامس، وبين القسمين الثاني والرابع، معطية بهذا الرواية كلها نمطاً متناسقاً متماثلاً.</w:t>
      </w:r>
      <w:r w:rsidRPr="006A7C83">
        <w:rPr>
          <w:rFonts w:eastAsia="Times New Roman" w:cs="DecoType Naskh"/>
          <w:color w:val="auto"/>
          <w:kern w:val="0"/>
          <w:sz w:val="30"/>
          <w:szCs w:val="28"/>
          <w:vertAlign w:val="superscript"/>
          <w:rtl/>
          <w:lang w:bidi="ar-JO"/>
          <w14:ligatures w14:val="none"/>
        </w:rPr>
        <w:footnoteReference w:customMarkFollows="1" w:id="193"/>
        <w:t>13</w:t>
      </w:r>
    </w:p>
    <w:p w14:paraId="1EA25278"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KW"/>
          <w14:ligatures w14:val="none"/>
        </w:rPr>
      </w:pPr>
    </w:p>
    <w:p w14:paraId="5442959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أ</w:t>
      </w:r>
      <w:r w:rsidRPr="006A7C83">
        <w:rPr>
          <w:rFonts w:eastAsia="Times New Roman" w:cs="DecoType Naskh" w:hint="cs"/>
          <w:color w:val="auto"/>
          <w:kern w:val="0"/>
          <w:szCs w:val="26"/>
          <w:rtl/>
          <w:lang w:bidi="ar-JO"/>
          <w14:ligatures w14:val="none"/>
        </w:rPr>
        <w:tab/>
      </w:r>
      <w:r w:rsidRPr="006A7C83">
        <w:rPr>
          <w:rFonts w:eastAsia="Times New Roman" w:cs="DecoType Naskh" w:hint="cs"/>
          <w:color w:val="auto"/>
          <w:kern w:val="0"/>
          <w:szCs w:val="26"/>
          <w:rtl/>
          <w:lang w:bidi="ar-JO"/>
          <w14:ligatures w14:val="none"/>
        </w:rPr>
        <w:tab/>
        <w:t>6: 1-10</w:t>
      </w:r>
    </w:p>
    <w:p w14:paraId="1972A7F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ab/>
        <w:t>ب</w:t>
      </w:r>
      <w:r w:rsidRPr="006A7C83">
        <w:rPr>
          <w:rFonts w:eastAsia="Times New Roman" w:cs="DecoType Naskh" w:hint="cs"/>
          <w:color w:val="auto"/>
          <w:kern w:val="0"/>
          <w:szCs w:val="26"/>
          <w:rtl/>
          <w:lang w:bidi="ar-JO"/>
          <w14:ligatures w14:val="none"/>
        </w:rPr>
        <w:tab/>
        <w:t>6: 11-32</w:t>
      </w:r>
    </w:p>
    <w:p w14:paraId="5EA17E5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2705"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ab/>
      </w:r>
      <w:r w:rsidRPr="006A7C83">
        <w:rPr>
          <w:rFonts w:eastAsia="Times New Roman" w:cs="DecoType Naskh" w:hint="cs"/>
          <w:color w:val="auto"/>
          <w:kern w:val="0"/>
          <w:szCs w:val="26"/>
          <w:rtl/>
          <w:lang w:bidi="ar-JO"/>
          <w14:ligatures w14:val="none"/>
        </w:rPr>
        <w:tab/>
        <w:t>جـ</w:t>
      </w:r>
      <w:r w:rsidRPr="006A7C83">
        <w:rPr>
          <w:rFonts w:eastAsia="Times New Roman" w:cs="DecoType Naskh" w:hint="cs"/>
          <w:color w:val="auto"/>
          <w:kern w:val="0"/>
          <w:szCs w:val="26"/>
          <w:rtl/>
          <w:lang w:bidi="ar-JO"/>
          <w14:ligatures w14:val="none"/>
        </w:rPr>
        <w:tab/>
        <w:t>6: 33-7: 18</w:t>
      </w:r>
    </w:p>
    <w:p w14:paraId="7479063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ab/>
        <w:t>ب َ</w:t>
      </w:r>
      <w:r w:rsidRPr="006A7C83">
        <w:rPr>
          <w:rFonts w:eastAsia="Times New Roman" w:cs="DecoType Naskh" w:hint="cs"/>
          <w:color w:val="auto"/>
          <w:kern w:val="0"/>
          <w:szCs w:val="26"/>
          <w:rtl/>
          <w:lang w:bidi="ar-JO"/>
          <w14:ligatures w14:val="none"/>
        </w:rPr>
        <w:tab/>
        <w:t>7: 19-8: 21</w:t>
      </w:r>
    </w:p>
    <w:p w14:paraId="61EFEBFB"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أ َ</w:t>
      </w:r>
      <w:r w:rsidRPr="006A7C83">
        <w:rPr>
          <w:rFonts w:eastAsia="Times New Roman" w:cs="DecoType Naskh" w:hint="cs"/>
          <w:color w:val="auto"/>
          <w:kern w:val="0"/>
          <w:szCs w:val="26"/>
          <w:rtl/>
          <w:lang w:bidi="ar-JO"/>
          <w14:ligatures w14:val="none"/>
        </w:rPr>
        <w:tab/>
        <w:t>8: 22-32</w:t>
      </w:r>
    </w:p>
    <w:p w14:paraId="4C3CD606" w14:textId="77777777" w:rsidR="006A7C83" w:rsidRPr="006A7C83" w:rsidRDefault="006A7C83" w:rsidP="002D6C54">
      <w:pPr>
        <w:bidi/>
        <w:spacing w:after="0" w:line="240" w:lineRule="auto"/>
        <w:rPr>
          <w:rFonts w:eastAsia="Times New Roman" w:cs="DecoType Naskh"/>
          <w:color w:val="auto"/>
          <w:kern w:val="0"/>
          <w:szCs w:val="18"/>
          <w:rtl/>
          <w14:ligatures w14:val="none"/>
        </w:rPr>
      </w:pPr>
    </w:p>
    <w:p w14:paraId="54EB75DA" w14:textId="0AD7553F"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توجد صلات من حيث الأفكار والمضامين بين القسمين أ و</w:t>
      </w:r>
      <w:r w:rsidR="00915244">
        <w:rPr>
          <w:rFonts w:eastAsia="Times New Roman" w:cs="DecoType Naskh" w:hint="cs"/>
          <w:color w:val="auto"/>
          <w:kern w:val="0"/>
          <w:szCs w:val="26"/>
          <w:rtl/>
          <w:lang w:bidi="ar-JO"/>
          <w14:ligatures w14:val="none"/>
        </w:rPr>
        <w:t xml:space="preserve"> </w:t>
      </w:r>
      <w:r w:rsidRPr="006A7C83">
        <w:rPr>
          <w:rFonts w:eastAsia="Times New Roman" w:cs="DecoType Naskh" w:hint="cs"/>
          <w:color w:val="auto"/>
          <w:kern w:val="0"/>
          <w:szCs w:val="26"/>
          <w:rtl/>
          <w:lang w:bidi="ar-JO"/>
          <w14:ligatures w14:val="none"/>
        </w:rPr>
        <w:t xml:space="preserve">أ َ، ويتّبع كلاهما نمط أ ب.  وتوجد صلات من حيث الأفكار والمضامين بين ب و بَ، ويتبع كلاهما نمطاً تناوبياً.  أمّا القسم المتبقّي جـ فله تركيب فريد خاص به يتضمن ترتيباً موحّد المراكز.  وهكذا يقوم النمط البنيوي الكلي لرواية جدعون بإبراز القسم الأوسط 6: 33-7: 18 والتركيز عليه. </w:t>
      </w:r>
    </w:p>
    <w:p w14:paraId="68150595" w14:textId="77777777" w:rsidR="006A7C83" w:rsidRPr="006A7C83" w:rsidRDefault="006A7C83" w:rsidP="002D6C54">
      <w:pPr>
        <w:bidi/>
        <w:spacing w:after="0" w:line="240" w:lineRule="auto"/>
        <w:rPr>
          <w:rFonts w:eastAsia="Times New Roman" w:cs="DecoType Naskh"/>
          <w:color w:val="auto"/>
          <w:kern w:val="0"/>
          <w:szCs w:val="18"/>
          <w:rtl/>
          <w:lang w:bidi="ar-KW"/>
          <w14:ligatures w14:val="none"/>
        </w:rPr>
      </w:pPr>
    </w:p>
    <w:p w14:paraId="098419B9" w14:textId="77777777" w:rsidR="006A7C83" w:rsidRPr="006A7C83" w:rsidRDefault="006A7C83" w:rsidP="002D6C54">
      <w:pPr>
        <w:bidi/>
        <w:spacing w:after="0" w:line="240" w:lineRule="auto"/>
        <w:rPr>
          <w:rFonts w:eastAsia="Times New Roman" w:cs="DecoType Naskh"/>
          <w:color w:val="auto"/>
          <w:kern w:val="0"/>
          <w:szCs w:val="18"/>
          <w:rtl/>
          <w14:ligatures w14:val="none"/>
        </w:rPr>
      </w:pPr>
    </w:p>
    <w:p w14:paraId="2BDB7399"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5.</w:t>
      </w:r>
      <w:r w:rsidRPr="006A7C83">
        <w:rPr>
          <w:rFonts w:eastAsia="Times New Roman" w:cs="DecoType Naskh" w:hint="cs"/>
          <w:bCs/>
          <w:color w:val="auto"/>
          <w:kern w:val="0"/>
          <w:szCs w:val="28"/>
          <w:rtl/>
          <w:lang w:bidi="ar-JO"/>
          <w14:ligatures w14:val="none"/>
        </w:rPr>
        <w:tab/>
        <w:t xml:space="preserve">تضمينات النمط البنيوي لسفر القضاة </w:t>
      </w:r>
    </w:p>
    <w:p w14:paraId="1CEE8090" w14:textId="77777777" w:rsidR="006A7C83" w:rsidRPr="006A7C83" w:rsidRDefault="006A7C83"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6A7C83">
        <w:rPr>
          <w:rFonts w:eastAsia="Times New Roman" w:cs="DecoType Naskh" w:hint="cs"/>
          <w:bCs/>
          <w:color w:val="auto"/>
          <w:kern w:val="0"/>
          <w:szCs w:val="26"/>
          <w:rtl/>
          <w14:ligatures w14:val="none"/>
        </w:rPr>
        <w:t>أ.</w:t>
      </w:r>
      <w:r w:rsidRPr="006A7C83">
        <w:rPr>
          <w:rFonts w:eastAsia="Times New Roman" w:cs="DecoType Naskh" w:hint="cs"/>
          <w:bCs/>
          <w:color w:val="auto"/>
          <w:kern w:val="0"/>
          <w:szCs w:val="26"/>
          <w:rtl/>
          <w14:ligatures w14:val="none"/>
        </w:rPr>
        <w:tab/>
        <w:t>مبدأ التناسق المنظِّم</w:t>
      </w:r>
    </w:p>
    <w:p w14:paraId="04C6CED6"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تقودنا دراسة سفر القضاة من خلال النهج التركيـبـي أو البنيوي للتنميط النصّي إلى ملاحظتين: الملاحظة الأولى هي أن سفر القضاة ككل مبني على نمط قلب (عكس) متناسق تحتل فيه رواية جدعون في الأصحاحات 6-8 النقطة المركزية؛ والملاحظة الثانية هي أن رواية جدعون هي نفسها مركَّبة أيضاً على أساس نمط قلب (عكس) متناسق، ونقطتها المركزية هي 6: 33-7: 18.  وإنه لأمر ذو دلالة أن نفس أسلوب البناء أو التركيب الذي يميّز السفر ككل يميّز رواية جدعون نفسها.  وتشكّل الارتباطات بين الأقسام المبنية على خطوط توازٍ في الأفكار والمضامين المبدأ المنظِّم للترتيب المتناسق.  ويمكن تصوير الأنماط التي تشكّل أساس هاتين الملاحظتين كما يلي:</w:t>
      </w:r>
    </w:p>
    <w:p w14:paraId="59F995E6"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bookmarkStart w:id="162" w:name="_MON_1166854519"/>
    <w:bookmarkEnd w:id="162"/>
    <w:p w14:paraId="56F86E32" w14:textId="77777777" w:rsidR="006A7C83" w:rsidRPr="006A7C83" w:rsidRDefault="006A7C83" w:rsidP="002D6C54">
      <w:pPr>
        <w:bidi/>
        <w:spacing w:after="0" w:line="240" w:lineRule="auto"/>
        <w:jc w:val="center"/>
        <w:rPr>
          <w:rFonts w:eastAsia="Times New Roman" w:cs="DecoType Naskh"/>
          <w:color w:val="auto"/>
          <w:kern w:val="0"/>
          <w:sz w:val="32"/>
          <w:szCs w:val="18"/>
          <w:rtl/>
          <w:lang w:bidi="ar-JO"/>
          <w14:ligatures w14:val="none"/>
        </w:rPr>
      </w:pPr>
      <w:r w:rsidRPr="006A7C83">
        <w:rPr>
          <w:rFonts w:eastAsia="Times New Roman" w:cs="DecoType Naskh"/>
          <w:color w:val="auto"/>
          <w:kern w:val="0"/>
          <w:szCs w:val="18"/>
          <w:rtl/>
          <w14:ligatures w14:val="none"/>
        </w:rPr>
        <w:object w:dxaOrig="5400" w:dyaOrig="4200" w14:anchorId="1875CE33">
          <v:shape id="_x0000_i1043" type="#_x0000_t75" style="width:453.6pt;height:331.2pt" o:ole="">
            <v:imagedata r:id="rId86" o:title=""/>
          </v:shape>
          <o:OLEObject Type="Embed" ProgID="PowerPoint.Show.8" ShapeID="_x0000_i1043" DrawAspect="Content" ObjectID="_1802157138" r:id="rId87"/>
        </w:object>
      </w:r>
    </w:p>
    <w:p w14:paraId="6EF3D437" w14:textId="77777777" w:rsidR="006A7C83" w:rsidRPr="006A7C83" w:rsidRDefault="006A7C83"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6A7C83">
        <w:rPr>
          <w:rFonts w:eastAsia="Times New Roman" w:cs="DecoType Naskh" w:hint="cs"/>
          <w:bCs/>
          <w:color w:val="auto"/>
          <w:kern w:val="0"/>
          <w:szCs w:val="26"/>
          <w:rtl/>
          <w14:ligatures w14:val="none"/>
        </w:rPr>
        <w:t>ب.</w:t>
      </w:r>
      <w:r w:rsidRPr="006A7C83">
        <w:rPr>
          <w:rFonts w:eastAsia="Times New Roman" w:cs="DecoType Naskh" w:hint="cs"/>
          <w:bCs/>
          <w:color w:val="auto"/>
          <w:kern w:val="0"/>
          <w:szCs w:val="26"/>
          <w:rtl/>
          <w14:ligatures w14:val="none"/>
        </w:rPr>
        <w:tab/>
        <w:t xml:space="preserve">رواية جدعون بصفتها نقطة التحوّل في سفر القضاة </w:t>
      </w:r>
    </w:p>
    <w:p w14:paraId="1B21397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32"/>
          <w:szCs w:val="26"/>
          <w:rtl/>
          <w:lang w:bidi="ar-JO"/>
          <w14:ligatures w14:val="none"/>
        </w:rPr>
      </w:pPr>
      <w:r w:rsidRPr="006A7C83">
        <w:rPr>
          <w:rFonts w:eastAsia="Times New Roman" w:cs="DecoType Naskh" w:hint="cs"/>
          <w:color w:val="auto"/>
          <w:kern w:val="0"/>
          <w:szCs w:val="26"/>
          <w:rtl/>
          <w:lang w:bidi="ar-JO"/>
          <w14:ligatures w14:val="none"/>
        </w:rPr>
        <w:t>تلعب رواية جدعون دور النقطة المركزية للسفر كلّه، لأنها تمثّل نقلة هامّة في "نوعية" القضاة الذين خدموا إسرائيل.  إذ يبدأ انحطاط تدرّجي بعثنيئيل ويستمر حتى شمشون.</w:t>
      </w:r>
      <w:r w:rsidRPr="006A7C83">
        <w:rPr>
          <w:rFonts w:eastAsia="Times New Roman" w:cs="DecoType Naskh"/>
          <w:color w:val="auto"/>
          <w:kern w:val="0"/>
          <w:sz w:val="30"/>
          <w:szCs w:val="28"/>
          <w:vertAlign w:val="superscript"/>
          <w:rtl/>
          <w:lang w:bidi="ar-JO"/>
          <w14:ligatures w14:val="none"/>
        </w:rPr>
        <w:footnoteReference w:customMarkFollows="1" w:id="194"/>
        <w:t>14</w:t>
      </w:r>
      <w:r w:rsidRPr="006A7C83">
        <w:rPr>
          <w:rFonts w:eastAsia="Times New Roman" w:cs="DecoType Naskh" w:hint="cs"/>
          <w:color w:val="auto"/>
          <w:kern w:val="0"/>
          <w:szCs w:val="26"/>
          <w:rtl/>
          <w:lang w:bidi="ar-JO"/>
          <w14:ligatures w14:val="none"/>
        </w:rPr>
        <w:t xml:space="preserve"> كان عثنيئيل قاضياً مثالياً تقريباً، أمّا شمشون فكان فرداً متمحوراً حول نفسه وخليعاً.  وقد استخدم الله كل قاضٍ، سواء كان قويّاً أم ضعيفاً لكي ينجز إرادته السيادية ويحقّق الإنقاذ للأمة الثيوقراطية.</w:t>
      </w:r>
      <w:r w:rsidRPr="006A7C83">
        <w:rPr>
          <w:rFonts w:eastAsia="Times New Roman" w:cs="DecoType Naskh"/>
          <w:color w:val="auto"/>
          <w:kern w:val="0"/>
          <w:sz w:val="30"/>
          <w:szCs w:val="28"/>
          <w:vertAlign w:val="superscript"/>
          <w:rtl/>
          <w:lang w:bidi="ar-JO"/>
          <w14:ligatures w14:val="none"/>
        </w:rPr>
        <w:footnoteReference w:customMarkFollows="1" w:id="195"/>
        <w:t>15</w:t>
      </w:r>
      <w:r w:rsidRPr="006A7C83">
        <w:rPr>
          <w:rFonts w:eastAsia="Times New Roman" w:cs="DecoType Naskh" w:hint="cs"/>
          <w:color w:val="auto"/>
          <w:kern w:val="0"/>
          <w:szCs w:val="26"/>
          <w:rtl/>
          <w:lang w:bidi="ar-JO"/>
          <w14:ligatures w14:val="none"/>
        </w:rPr>
        <w:t xml:space="preserve"> أمّا جدعون فيقف بين طرفي النقيض هذين ويمثّل نقطة التحوّل الرئيسية من القضاة "الأفضل نوعاً ما" إلى القضاة "الأضعف".</w:t>
      </w:r>
      <w:r w:rsidRPr="006A7C83">
        <w:rPr>
          <w:rFonts w:eastAsia="Times New Roman" w:cs="DecoType Naskh"/>
          <w:color w:val="auto"/>
          <w:kern w:val="0"/>
          <w:sz w:val="30"/>
          <w:szCs w:val="28"/>
          <w:vertAlign w:val="superscript"/>
          <w:rtl/>
          <w:lang w:bidi="ar-JO"/>
          <w14:ligatures w14:val="none"/>
        </w:rPr>
        <w:footnoteReference w:customMarkFollows="1" w:id="196"/>
        <w:t>16</w:t>
      </w:r>
      <w:r w:rsidRPr="006A7C83">
        <w:rPr>
          <w:rFonts w:eastAsia="Times New Roman" w:cs="DecoType Naskh" w:hint="cs"/>
          <w:color w:val="auto"/>
          <w:kern w:val="0"/>
          <w:sz w:val="32"/>
          <w:szCs w:val="26"/>
          <w:rtl/>
          <w:lang w:bidi="ar-JO"/>
          <w14:ligatures w14:val="none"/>
        </w:rPr>
        <w:t xml:space="preserve"> </w:t>
      </w:r>
    </w:p>
    <w:p w14:paraId="64A765D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32"/>
          <w:szCs w:val="26"/>
          <w:rtl/>
          <w:lang w:bidi="ar-JO"/>
          <w14:ligatures w14:val="none"/>
        </w:rPr>
      </w:pPr>
    </w:p>
    <w:p w14:paraId="04FA1B55"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6A7C83">
        <w:rPr>
          <w:rFonts w:eastAsia="Times New Roman" w:cs="DecoType Naskh" w:hint="cs"/>
          <w:i/>
          <w:iCs/>
          <w:color w:val="auto"/>
          <w:kern w:val="0"/>
          <w:szCs w:val="26"/>
          <w:rtl/>
          <w:lang w:bidi="ar-JO"/>
          <w14:ligatures w14:val="none"/>
        </w:rPr>
        <w:lastRenderedPageBreak/>
        <w:t>روايات عثنيئيل وإهود ودبّورة-باراق.</w:t>
      </w:r>
      <w:r w:rsidRPr="006A7C83">
        <w:rPr>
          <w:rFonts w:eastAsia="Times New Roman" w:cs="DecoType Naskh" w:hint="cs"/>
          <w:color w:val="auto"/>
          <w:kern w:val="0"/>
          <w:szCs w:val="26"/>
          <w:rtl/>
          <w14:ligatures w14:val="none"/>
        </w:rPr>
        <w:t xml:space="preserve"> </w:t>
      </w:r>
      <w:r w:rsidRPr="006A7C83">
        <w:rPr>
          <w:rFonts w:eastAsia="Times New Roman" w:cs="DecoType Naskh" w:hint="cs"/>
          <w:color w:val="auto"/>
          <w:kern w:val="0"/>
          <w:szCs w:val="26"/>
          <w:rtl/>
          <w:lang w:bidi="ar-JO"/>
          <w14:ligatures w14:val="none"/>
        </w:rPr>
        <w:t>قام عثنيئيل، أول القضاة، بتخليص إسرائيل من كوشان ملك رشعتايم في بلاد ما بين النهرين.  وهذا مسجّل بطريقة موجزة مباشرة في 3: 7-11.  ولا يذكر النص تصريحاً أو تلميحاً أية عيوب في طبيعته الأخلاقية.  ويبدو أن النص يوضّح تماماً المبدأ الإلهي للتعامل مع الأمة الذي تم الحديث عنه في المقدّمة الثانية في 2: 11-23.  ولهذا ظهر عثنيئيل على المسرح أصلاً كشخصية بطولية، إذ كان قد تم تقديمه لنا في 1: 11-15 بصفته قريباً للبطل كالب الذي استولى على دبير (المعروفة أيضاً باسم قريات سِفر).  وربما تكون هنالك دلالة لبروز عثنيئيل من سبط يهوذا.  كان القاضي الثاني إهود أعسر من سبط بنيامين، وهو ُيقدَّم لنا من منظور إيجابي.  وكان باراق محارباً شجاعاً قاد إسرائيل إلى نصر كبير على قوّات يابين، ملك كنعان.  لكن ما يشوب سجّله نوعاً ما تردّده في اتباع أوامر الله المعطاة له من خلال دبّورة، وهذه غلطة كلّفته حرمانه من أسر قائد العدو في المعركة (4: 8-9).</w:t>
      </w:r>
    </w:p>
    <w:p w14:paraId="09F750E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6FE6F97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i/>
          <w:iCs/>
          <w:color w:val="auto"/>
          <w:kern w:val="0"/>
          <w:szCs w:val="26"/>
          <w:rtl/>
          <w:lang w:bidi="ar-JO"/>
          <w14:ligatures w14:val="none"/>
        </w:rPr>
        <w:t xml:space="preserve">رواية جدعون. </w:t>
      </w:r>
      <w:r w:rsidRPr="006A7C83">
        <w:rPr>
          <w:rFonts w:eastAsia="Times New Roman" w:cs="DecoType Naskh" w:hint="cs"/>
          <w:color w:val="auto"/>
          <w:kern w:val="0"/>
          <w:szCs w:val="26"/>
          <w:rtl/>
          <w:lang w:bidi="ar-JO"/>
          <w14:ligatures w14:val="none"/>
        </w:rPr>
        <w:t xml:space="preserve">وبمجيء جدعون، تصبح روايات القضاة أكثر تعقيداً.  ففي حين أن رواية عثنيئيل قصيرة جدّاً، فإن الروايتين التاليتين (إهود ودبّورة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باراق) أطول فأطول: وبالمقارنة فإن رواية جدعون أطول بكثير، ويظل هذا هو المبدأ الحاكم بالنسبة لبقية سفر القضاة.</w:t>
      </w:r>
      <w:r w:rsidRPr="006A7C83">
        <w:rPr>
          <w:rFonts w:eastAsia="Times New Roman" w:cs="DecoType Naskh"/>
          <w:color w:val="auto"/>
          <w:kern w:val="0"/>
          <w:szCs w:val="26"/>
          <w:vertAlign w:val="superscript"/>
          <w:rtl/>
          <w:lang w:bidi="ar-JO"/>
          <w14:ligatures w14:val="none"/>
        </w:rPr>
        <w:footnoteReference w:customMarkFollows="1" w:id="197"/>
        <w:t>17</w:t>
      </w:r>
      <w:r w:rsidRPr="006A7C83">
        <w:rPr>
          <w:rFonts w:eastAsia="Times New Roman" w:cs="DecoType Naskh" w:hint="cs"/>
          <w:color w:val="auto"/>
          <w:kern w:val="0"/>
          <w:szCs w:val="26"/>
          <w:rtl/>
          <w:lang w:bidi="ar-JO"/>
          <w14:ligatures w14:val="none"/>
        </w:rPr>
        <w:t xml:space="preserve"> وتعكس أيضاً رواية جدعون تعقيداً أكبر يتمثّل في وجود توسّع أكبر في الحديث عن جدعون كشخص ووجود ملاحظات أكثر سلبية في الرواية.  وفي نفس الوقت تشكّل رواية جدعون نقلة في حالة الأمة المتدهورة في علاقتها بيهوه تنعكس في تعامل الله بصرامة أكبر مع الأمّة.  وعلى الرغم من وجود العبارة المتكررة المألوفة "وعمل بنو إسرائيل الشر في عيني الرب" في 6: 1، إلاّ أن رواية جدعون ليست مجرّد دورة ارتداد أخرى بنفس درجة الدورات السابقة.  فقد وصلت حالة ارتداد الأمة إلى نقطة أحط وأدنى، وممّا يؤكد هذا أن الرب أرسل نبيّاً غير مسمّى ليوبّخهم (4: 7-10) قبل أن يُقيم "قاضياً" ليعالج الأزمة المديانية.</w:t>
      </w:r>
    </w:p>
    <w:p w14:paraId="0AFD44B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142DFE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ويتم ابراز هذا الارتداد والتركيز عليه بواسطة النقلة في الطبيعة الأخلاقية للشخص الذي اختاره الله </w:t>
      </w:r>
      <w:r w:rsidRPr="006A7C83">
        <w:rPr>
          <w:rFonts w:eastAsia="Times New Roman" w:cs="DecoType Naskh" w:hint="cs"/>
          <w:i/>
          <w:iCs/>
          <w:color w:val="auto"/>
          <w:kern w:val="0"/>
          <w:szCs w:val="26"/>
          <w:rtl/>
          <w:lang w:bidi="ar-JO"/>
          <w14:ligatures w14:val="none"/>
        </w:rPr>
        <w:t>منقذاً</w:t>
      </w:r>
      <w:r w:rsidRPr="006A7C83">
        <w:rPr>
          <w:rFonts w:eastAsia="Times New Roman" w:cs="DecoType Naskh" w:hint="cs"/>
          <w:color w:val="auto"/>
          <w:kern w:val="0"/>
          <w:szCs w:val="26"/>
          <w:rtl/>
          <w:lang w:bidi="ar-JO"/>
          <w14:ligatures w14:val="none"/>
        </w:rPr>
        <w:t>.  لم يكن جدعون مثالاً نبيلاً بنفس درجة عثنيئيل سابقاً.  ومن المؤكد أن ظهور جدعون كان خبراً سارّاً لبني إسرائيل لأنه حقق لهم الخلاص من المديانيين (وقد تصرّف ببسالة ونبل في عدّة مواضع من القصّة)، لكنه جاهد لكي يصدّق الله، وكانت هناك عيوب في طبيعته الأخلاقية كما نرى من المواقف التالية:</w:t>
      </w:r>
    </w:p>
    <w:p w14:paraId="6D94613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عبّر بشكل متشكك عن خيبة أمله في تعامل الله الحالي مع الأمّة (6: 13).</w:t>
      </w:r>
    </w:p>
    <w:p w14:paraId="7062023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 تردّد في قبول دعوة الله له ليكون منقذاً (6: 15).</w:t>
      </w:r>
    </w:p>
    <w:p w14:paraId="7AFD1C8D" w14:textId="11806579"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احتاج إلى علامة تؤكد أن الدعوة كانت من الله فعلاً (6: 17). </w:t>
      </w:r>
    </w:p>
    <w:p w14:paraId="5B3D3C3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على الرغم من أنه أطاع الرب بهدمه لمذبح البعل، إلاّ أنه فعل ذلك ليلاً لأنه خاف من رجال القرية (6: 27).</w:t>
      </w:r>
    </w:p>
    <w:p w14:paraId="573AFE1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تكشف حادثة الجزّة عدم إيمانه، لأنها لم تكن إلاّ محاولة للحصول على تثبيت لما سبق أن عرفه فعلاً عن إرادة الله (6: 36-37)</w:t>
      </w:r>
    </w:p>
    <w:p w14:paraId="0D328D7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 xml:space="preserve"> اتّخذ إجراءات انتقامية متطرفة ضد أبناء جنسه من بني إسرائيل في سكوث وفنوئيل (8: 16-17).</w:t>
      </w:r>
      <w:r w:rsidRPr="006A7C83">
        <w:rPr>
          <w:rFonts w:eastAsia="Times New Roman" w:cs="DecoType Naskh"/>
          <w:color w:val="auto"/>
          <w:kern w:val="0"/>
          <w:sz w:val="30"/>
          <w:szCs w:val="28"/>
          <w:vertAlign w:val="superscript"/>
          <w:rtl/>
          <w:lang w:bidi="ar-JO"/>
          <w14:ligatures w14:val="none"/>
        </w:rPr>
        <w:footnoteReference w:customMarkFollows="1" w:id="198"/>
        <w:t>18</w:t>
      </w:r>
    </w:p>
    <w:p w14:paraId="676A41FB"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 لقد أسفر صنعه للأفود عن قيام الأمة بلعب دور العاهرة، مستخدمين إياها لعبادة الأصنام (8: 27).</w:t>
      </w:r>
    </w:p>
    <w:p w14:paraId="7272310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 xml:space="preserve"> على الرغم من أنه رفض أن يقيم حكماً ملكياً، إلاّ أن أعماله تبيّن أنه كان يشتهي هذا المجد لنفسه (8: 23-31).</w:t>
      </w:r>
      <w:r w:rsidRPr="006A7C83">
        <w:rPr>
          <w:rFonts w:eastAsia="Times New Roman" w:cs="DecoType Naskh"/>
          <w:color w:val="auto"/>
          <w:kern w:val="0"/>
          <w:sz w:val="30"/>
          <w:szCs w:val="28"/>
          <w:vertAlign w:val="superscript"/>
          <w:rtl/>
          <w:lang w:bidi="ar-JO"/>
          <w14:ligatures w14:val="none"/>
        </w:rPr>
        <w:footnoteReference w:customMarkFollows="1" w:id="199"/>
        <w:t>19</w:t>
      </w:r>
    </w:p>
    <w:p w14:paraId="21CF69C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lastRenderedPageBreak/>
        <w:t xml:space="preserve"> سعى إلى أن يكون له "حريم"، بالإضافة إلى اتخاذه سريّة من شكيم (8: 30-31).</w:t>
      </w:r>
    </w:p>
    <w:p w14:paraId="2D1AC75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يمكننا أن نضيف إلى كل ذلك أن أباه كان قائد جماعة في ديانة البعل (6: 25-27).  ومن الواضح أن هنالك ظلاًّ من الشك يخيم فوق جدعون، وأن القضاة الذين خلفوه كانوا أسوأ منه بطريقة لا يرقى إليها الشك.</w:t>
      </w:r>
    </w:p>
    <w:p w14:paraId="775E6E0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CB10F4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30"/>
          <w:szCs w:val="28"/>
          <w:rtl/>
          <w:lang w:bidi="ar-JO"/>
          <w14:ligatures w14:val="none"/>
        </w:rPr>
      </w:pPr>
      <w:r w:rsidRPr="006A7C83">
        <w:rPr>
          <w:rFonts w:eastAsia="Times New Roman" w:cs="DecoType Naskh" w:hint="cs"/>
          <w:i/>
          <w:iCs/>
          <w:color w:val="auto"/>
          <w:kern w:val="0"/>
          <w:szCs w:val="26"/>
          <w:rtl/>
          <w:lang w:bidi="ar-JO"/>
          <w14:ligatures w14:val="none"/>
        </w:rPr>
        <w:t>رواية أبيمالك.</w:t>
      </w:r>
      <w:r w:rsidRPr="006A7C83">
        <w:rPr>
          <w:rFonts w:eastAsia="Times New Roman" w:cs="DecoType Naskh" w:hint="cs"/>
          <w:color w:val="auto"/>
          <w:kern w:val="0"/>
          <w:szCs w:val="26"/>
          <w:rtl/>
          <w14:ligatures w14:val="none"/>
        </w:rPr>
        <w:t xml:space="preserve"> </w:t>
      </w:r>
      <w:r w:rsidRPr="006A7C83">
        <w:rPr>
          <w:rFonts w:eastAsia="Times New Roman" w:cs="DecoType Naskh" w:hint="cs"/>
          <w:color w:val="auto"/>
          <w:kern w:val="0"/>
          <w:szCs w:val="26"/>
          <w:rtl/>
          <w:lang w:bidi="ar-JO"/>
          <w14:ligatures w14:val="none"/>
        </w:rPr>
        <w:t>من الواضح أن رواية أبيمالك تختلف عن الروايات الأخرى في السلسلة.  وليس الهدف منها إظهاره "قاضياً"، بل إكمال مسألة هامّة جدّاً طُرحت في رواية جدعون.  فقد سبق أن طرحت رواية جدعون مسألة السلالة الملكية (8: 22-23).</w:t>
      </w:r>
      <w:r w:rsidRPr="006A7C83">
        <w:rPr>
          <w:rFonts w:eastAsia="Times New Roman" w:cs="DecoType Naskh"/>
          <w:color w:val="auto"/>
          <w:kern w:val="0"/>
          <w:sz w:val="30"/>
          <w:szCs w:val="28"/>
          <w:vertAlign w:val="superscript"/>
          <w:rtl/>
          <w:lang w:bidi="ar-JO"/>
          <w14:ligatures w14:val="none"/>
        </w:rPr>
        <w:footnoteReference w:customMarkFollows="1" w:id="200"/>
        <w:t>20</w:t>
      </w:r>
      <w:r w:rsidRPr="006A7C83">
        <w:rPr>
          <w:rFonts w:eastAsia="Times New Roman" w:cs="DecoType Naskh" w:hint="cs"/>
          <w:color w:val="auto"/>
          <w:kern w:val="0"/>
          <w:szCs w:val="26"/>
          <w:rtl/>
          <w:lang w:bidi="ar-JO"/>
          <w14:ligatures w14:val="none"/>
        </w:rPr>
        <w:t xml:space="preserve"> وهاهي رواية أبيمالك تُظهر إمكانية الشر التي يمكن أن يحملها مثل هذا الترتيب السياسي بين يدي فرد منحل يفتقر إلى الكفاءة.</w:t>
      </w:r>
      <w:r w:rsidRPr="006A7C83">
        <w:rPr>
          <w:rFonts w:eastAsia="Times New Roman" w:cs="DecoType Naskh"/>
          <w:color w:val="auto"/>
          <w:kern w:val="0"/>
          <w:sz w:val="30"/>
          <w:szCs w:val="28"/>
          <w:vertAlign w:val="superscript"/>
          <w:rtl/>
          <w:lang w:bidi="ar-JO"/>
          <w14:ligatures w14:val="none"/>
        </w:rPr>
        <w:footnoteReference w:customMarkFollows="1" w:id="201"/>
        <w:t>21</w:t>
      </w:r>
    </w:p>
    <w:p w14:paraId="2FA45BA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4F5C0FEC"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i/>
          <w:iCs/>
          <w:color w:val="auto"/>
          <w:kern w:val="0"/>
          <w:szCs w:val="26"/>
          <w:rtl/>
          <w:lang w:bidi="ar-JO"/>
          <w14:ligatures w14:val="none"/>
        </w:rPr>
        <w:t>رواية يفتاح</w:t>
      </w:r>
      <w:r w:rsidRPr="006A7C83">
        <w:rPr>
          <w:rFonts w:eastAsia="Times New Roman" w:cs="DecoType Naskh" w:hint="cs"/>
          <w:i/>
          <w:iCs/>
          <w:color w:val="auto"/>
          <w:kern w:val="0"/>
          <w:szCs w:val="26"/>
          <w:rtl/>
          <w14:ligatures w14:val="none"/>
        </w:rPr>
        <w:t>.</w:t>
      </w:r>
      <w:r w:rsidRPr="006A7C83">
        <w:rPr>
          <w:rFonts w:eastAsia="Times New Roman" w:cs="DecoType Naskh" w:hint="cs"/>
          <w:color w:val="auto"/>
          <w:kern w:val="0"/>
          <w:szCs w:val="26"/>
          <w:rtl/>
          <w14:ligatures w14:val="none"/>
        </w:rPr>
        <w:t xml:space="preserve"> </w:t>
      </w:r>
      <w:r w:rsidRPr="006A7C83">
        <w:rPr>
          <w:rFonts w:eastAsia="Times New Roman" w:cs="DecoType Naskh" w:hint="cs"/>
          <w:color w:val="auto"/>
          <w:kern w:val="0"/>
          <w:szCs w:val="26"/>
          <w:rtl/>
          <w:lang w:bidi="ar-JO"/>
          <w14:ligatures w14:val="none"/>
        </w:rPr>
        <w:t>يبدو أن السرد يعود بنا مع رواية يفتاح إلى موضوع القاضي الفعلي، لكن تشخيصه كقاضٍ جدير ذي كرامة أمر مشكوك فيه.  يقول بلوك:</w:t>
      </w:r>
    </w:p>
    <w:p w14:paraId="19DBA1C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0"/>
          <w:szCs w:val="28"/>
          <w:rtl/>
          <w:lang w:bidi="ar-KW"/>
          <w14:ligatures w14:val="none"/>
        </w:rPr>
      </w:pPr>
      <w:r w:rsidRPr="006A7C83">
        <w:rPr>
          <w:rFonts w:eastAsia="Times New Roman" w:cs="DecoType Naskh" w:hint="cs"/>
          <w:color w:val="auto"/>
          <w:kern w:val="0"/>
          <w:szCs w:val="26"/>
          <w:rtl/>
          <w:lang w:bidi="ar-JO"/>
          <w14:ligatures w14:val="none"/>
        </w:rPr>
        <w:t>"لا يجعل وصف الراوي يفتاح "جبّار بأس" (</w:t>
      </w:r>
      <w:r w:rsidRPr="006A7C83">
        <w:rPr>
          <w:rFonts w:eastAsia="Times New Roman" w:cs="DecoType Naskh" w:hint="cs"/>
          <w:i/>
          <w:iCs/>
          <w:color w:val="auto"/>
          <w:kern w:val="0"/>
          <w:szCs w:val="26"/>
          <w:rtl/>
          <w:lang w:bidi="ar-JO"/>
          <w14:ligatures w14:val="none"/>
        </w:rPr>
        <w:t>جبُّور خايِل</w:t>
      </w:r>
      <w:r w:rsidRPr="006A7C83">
        <w:rPr>
          <w:rFonts w:eastAsia="Times New Roman" w:cs="DecoType Naskh" w:hint="cs"/>
          <w:i/>
          <w:iCs/>
          <w:color w:val="auto"/>
          <w:kern w:val="0"/>
          <w:szCs w:val="26"/>
          <w:rtl/>
          <w14:ligatures w14:val="none"/>
        </w:rPr>
        <w:t xml:space="preserve"> </w:t>
      </w:r>
      <w:proofErr w:type="spellStart"/>
      <w:r w:rsidRPr="006A7C83">
        <w:rPr>
          <w:rFonts w:ascii="Charis SIL" w:eastAsia="Times New Roman" w:hAnsi="Charis SIL" w:cs="Charis SIL"/>
          <w:bCs/>
          <w:i/>
          <w:iCs/>
          <w:color w:val="auto"/>
          <w:kern w:val="0"/>
          <w:szCs w:val="26"/>
          <w:lang w:bidi="he-IL"/>
          <w14:ligatures w14:val="none"/>
        </w:rPr>
        <w:t>gibbôr</w:t>
      </w:r>
      <w:proofErr w:type="spellEnd"/>
      <w:r w:rsidRPr="006A7C83">
        <w:rPr>
          <w:rFonts w:ascii="Charis SIL" w:eastAsia="Times New Roman" w:hAnsi="Charis SIL" w:cs="Charis SIL"/>
          <w:bCs/>
          <w:i/>
          <w:iCs/>
          <w:color w:val="auto"/>
          <w:kern w:val="0"/>
          <w:szCs w:val="26"/>
          <w:lang w:bidi="he-IL"/>
          <w14:ligatures w14:val="none"/>
        </w:rPr>
        <w:t xml:space="preserve"> </w:t>
      </w:r>
      <w:proofErr w:type="spellStart"/>
      <w:r w:rsidRPr="006A7C83">
        <w:rPr>
          <w:rFonts w:ascii="Charis SIL" w:eastAsia="Times New Roman" w:hAnsi="Charis SIL" w:cs="Charis SIL"/>
          <w:bCs/>
          <w:i/>
          <w:iCs/>
          <w:color w:val="auto"/>
          <w:kern w:val="0"/>
          <w:szCs w:val="26"/>
          <w:lang w:bidi="he-IL"/>
          <w14:ligatures w14:val="none"/>
        </w:rPr>
        <w:t>ḥayil</w:t>
      </w:r>
      <w:proofErr w:type="spellEnd"/>
      <w:r w:rsidRPr="006A7C83">
        <w:rPr>
          <w:rFonts w:eastAsia="Times New Roman" w:cs="DecoType Naskh" w:hint="cs"/>
          <w:color w:val="auto"/>
          <w:kern w:val="0"/>
          <w:szCs w:val="26"/>
          <w:rtl/>
          <w:lang w:bidi="ar-JO"/>
          <w14:ligatures w14:val="none"/>
        </w:rPr>
        <w:t xml:space="preserve"> ، 11: 1) مؤهّلاً روحياً لدور منقذ في إسرائيل.  ولقد كان مرشّحاً بعيد الاحتمال للقيادة، لكونه ابناً منبوذاً لعاهرة وقائداً لعصابة من قطّاع الطرق في جبال جلعاد (11: 1-3).  وعلى الرغم من أن حواره مع العمّونيين يعكس دهاء سياسياً ووعياً بأعمال يهوه في تاريخ إسرائيل (11: 12-28)، إلاّ أن مفاوضاته مع قادة جلعاد كانت مدفوعة بالطموح الانتهازي (11: 9-11).  ويبدو نذره المتسرع الأهوج قبل معركته مع العمّونيين، مثل صفقة من تلك الصفقات التي يجريها الغرباء مع آلهتهم الوثنية (11: 30-31).</w:t>
      </w:r>
      <w:r w:rsidRPr="006A7C83">
        <w:rPr>
          <w:rFonts w:eastAsia="Times New Roman" w:cs="DecoType Naskh"/>
          <w:color w:val="auto"/>
          <w:kern w:val="0"/>
          <w:sz w:val="30"/>
          <w:szCs w:val="28"/>
          <w:vertAlign w:val="superscript"/>
          <w:rtl/>
          <w:lang w:bidi="ar-JO"/>
          <w14:ligatures w14:val="none"/>
        </w:rPr>
        <w:footnoteReference w:customMarkFollows="1" w:id="202"/>
        <w:t>22</w:t>
      </w:r>
    </w:p>
    <w:p w14:paraId="19DB4A35"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KW"/>
          <w14:ligatures w14:val="none"/>
        </w:rPr>
      </w:pPr>
    </w:p>
    <w:p w14:paraId="0CBA9C16"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وفضلاً عن أن طبيعة يفتاح الأخلاقية هي موضع شك، يؤكد التوبيخ الذي وجّهه الله على تدهور الأمّة، كتمهيد لتقديم يفتاح في الرواية (10: 10-16).  وهذا موازٍ لرواية جدعون، مما يشير إلى أن ارتداد الأمة لم يكن مجرّد شيء دوري متكرِّر.  غير أن الوضع كان قد تدهور أكثر من الوضع في رواية جدعون، لأن الرب خطا خطوة أخرى معهم: "وأنتم قد تركتموني وعبدتم آلهة أخرى؛ لذلك لا أعود أخلّصكم.  امضوا واصرخوا للآلهة التي اخترتموها، لتخلّصكم هي في زمان ضيقكم" (10: 13-14).</w:t>
      </w:r>
    </w:p>
    <w:p w14:paraId="6E02C0B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AA9478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لم يكن يفتاح، في ظل قيم التوراة، قاضياً ملائماً للأمة، غير أن هذه هي الفكرة التي يريد الكاتب إثباتها.  فمع كل جولة ارتداد، بدا أن الأمّة تنحط أكثر، وصارت استجابة الله أكثر خطورة، وكان "قاضي" الأمة أقل فأقل تأهيلاً لهذا الدور.  يوجد إذاً انسجام بين عدم وفاء الأمة ليهوه وتوراته و"نوعية" القاضي الذي يقيمه الله لكي ينقذهم.</w:t>
      </w:r>
    </w:p>
    <w:p w14:paraId="4B2A3F3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lang w:bidi="ar-JO"/>
          <w14:ligatures w14:val="none"/>
        </w:rPr>
      </w:pPr>
    </w:p>
    <w:p w14:paraId="2EC70E5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6A7C83">
        <w:rPr>
          <w:rFonts w:eastAsia="Times New Roman" w:cs="DecoType Naskh" w:hint="cs"/>
          <w:i/>
          <w:iCs/>
          <w:color w:val="auto"/>
          <w:kern w:val="0"/>
          <w:szCs w:val="26"/>
          <w:rtl/>
          <w:lang w:bidi="ar-JO"/>
          <w14:ligatures w14:val="none"/>
        </w:rPr>
        <w:t>رواية شمشون</w:t>
      </w:r>
      <w:r w:rsidRPr="006A7C83">
        <w:rPr>
          <w:rFonts w:eastAsia="Times New Roman" w:cs="DecoType Naskh" w:hint="cs"/>
          <w:i/>
          <w:iCs/>
          <w:color w:val="auto"/>
          <w:kern w:val="0"/>
          <w:szCs w:val="26"/>
          <w:rtl/>
          <w14:ligatures w14:val="none"/>
        </w:rPr>
        <w:t>.</w:t>
      </w:r>
      <w:r w:rsidRPr="006A7C83">
        <w:rPr>
          <w:rFonts w:eastAsia="Times New Roman" w:cs="DecoType Naskh" w:hint="cs"/>
          <w:color w:val="auto"/>
          <w:kern w:val="0"/>
          <w:szCs w:val="26"/>
          <w:rtl/>
          <w14:ligatures w14:val="none"/>
        </w:rPr>
        <w:t xml:space="preserve"> </w:t>
      </w:r>
      <w:r w:rsidRPr="006A7C83">
        <w:rPr>
          <w:rFonts w:eastAsia="Times New Roman" w:cs="DecoType Naskh" w:hint="cs"/>
          <w:color w:val="auto"/>
          <w:kern w:val="0"/>
          <w:szCs w:val="26"/>
          <w:rtl/>
          <w:lang w:bidi="ar-JO"/>
          <w14:ligatures w14:val="none"/>
        </w:rPr>
        <w:t xml:space="preserve">يبدو أن قيادة شمشون تجسّد هذا المنحى.  فقد تزوّج من امرأة فلسطينية، وكان على علاقة غير شرعية مع عاهرة فلسطينية، وأحب امرأة فلسطينية أخرى هي دليلة.  وقد كانت أعماله هذه كلّها على نقيض دعوته كنذير.  وبالرغم من أنه أحدث إصابات في صفوف الفلسطينيين، إلاّ أنه لم ينقذ الأمة من القوة الأجنبية، وفي الحقيقة لم تتبعه الأمة الثيوقراطية إلى المعركة.  أمّا القاضي صموئيل الأكثر تقوى (من خلال الصلاة التشفّعية وقيادة الأمة إلى التوبة) فسيكون له امتياز رؤية هزيمة الفلسطينيين في المصفاة (1صموئيل 7).  يعلّق بلوك على مؤهلات شمشون كقاضٍ فيقول: "كان شمشون، مثله في ذلك مثل معظم القضاة الآخرين، مرشحاً بعيد الاحتمال للقيادة في إسرائيل.  ويبدو أن الراوي يؤكد على أن أية إنجازات تمّت كانت جميعاً بفضل </w:t>
      </w:r>
      <w:r w:rsidRPr="006A7C83">
        <w:rPr>
          <w:rFonts w:eastAsia="Times New Roman" w:cs="DecoType Naskh" w:hint="cs"/>
          <w:i/>
          <w:iCs/>
          <w:color w:val="auto"/>
          <w:kern w:val="0"/>
          <w:szCs w:val="26"/>
          <w:rtl/>
          <w:lang w:bidi="ar-JO"/>
          <w14:ligatures w14:val="none"/>
        </w:rPr>
        <w:t>يهوه.  وقد تحققت برغم نقص الإنسان لا بفضله</w:t>
      </w:r>
      <w:r w:rsidRPr="006A7C83">
        <w:rPr>
          <w:rFonts w:eastAsia="Times New Roman" w:cs="DecoType Naskh" w:hint="cs"/>
          <w:color w:val="auto"/>
          <w:kern w:val="0"/>
          <w:szCs w:val="26"/>
          <w:rtl/>
          <w:lang w:bidi="ar-JO"/>
          <w14:ligatures w14:val="none"/>
        </w:rPr>
        <w:t>."</w:t>
      </w:r>
      <w:r w:rsidRPr="006A7C83">
        <w:rPr>
          <w:rFonts w:eastAsia="Times New Roman" w:cs="DecoType Naskh"/>
          <w:color w:val="auto"/>
          <w:kern w:val="0"/>
          <w:sz w:val="30"/>
          <w:szCs w:val="28"/>
          <w:vertAlign w:val="superscript"/>
          <w:rtl/>
          <w:lang w:bidi="ar-JO"/>
          <w14:ligatures w14:val="none"/>
        </w:rPr>
        <w:footnoteReference w:customMarkFollows="1" w:id="203"/>
        <w:t>23</w:t>
      </w:r>
    </w:p>
    <w:p w14:paraId="257E341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30"/>
          <w:szCs w:val="28"/>
          <w:rtl/>
          <w:lang w:bidi="ar-KW"/>
          <w14:ligatures w14:val="none"/>
        </w:rPr>
      </w:pPr>
      <w:r w:rsidRPr="006A7C83">
        <w:rPr>
          <w:rFonts w:eastAsia="Times New Roman" w:cs="DecoType Naskh" w:hint="cs"/>
          <w:color w:val="auto"/>
          <w:kern w:val="0"/>
          <w:szCs w:val="26"/>
          <w:rtl/>
          <w:lang w:bidi="ar-JO"/>
          <w14:ligatures w14:val="none"/>
        </w:rPr>
        <w:t>يرى وِب أن قضاة 3: 7-16: 31 تمثّل تحركاً سردياً معقّداً واحداً تصل ذروة أفكاره ومواضيعة في رواية شمشون.  يقول: "تصبح هذه المواضيع والأفكار موضع تركيز خاص في رواية شمشون الذي يلخّص تاريخه الشخصي تاريخ إسرائيل في فترة حكم القضاة، خاصة في وضعه كنذير (</w:t>
      </w:r>
      <w:r w:rsidRPr="006A7C83">
        <w:rPr>
          <w:rFonts w:eastAsia="Times New Roman" w:cs="DecoType Naskh" w:hint="cs"/>
          <w:i/>
          <w:iCs/>
          <w:color w:val="auto"/>
          <w:kern w:val="0"/>
          <w:szCs w:val="26"/>
          <w:rtl/>
          <w:lang w:bidi="ar-JO"/>
          <w14:ligatures w14:val="none"/>
        </w:rPr>
        <w:t xml:space="preserve">نزير </w:t>
      </w:r>
      <w:r w:rsidRPr="006A7C83">
        <w:rPr>
          <w:rFonts w:eastAsia="Times New Roman" w:cs="DecoType Naskh"/>
          <w:i/>
          <w:iCs/>
          <w:color w:val="auto"/>
          <w:kern w:val="0"/>
          <w:szCs w:val="26"/>
          <w14:ligatures w14:val="none"/>
        </w:rPr>
        <w:t>nazir</w:t>
      </w:r>
      <w:r w:rsidRPr="006A7C83">
        <w:rPr>
          <w:rFonts w:eastAsia="Times New Roman" w:cs="DecoType Naskh" w:hint="cs"/>
          <w:color w:val="auto"/>
          <w:kern w:val="0"/>
          <w:szCs w:val="26"/>
          <w:rtl/>
          <w:lang w:bidi="ar-JO"/>
          <w14:ligatures w14:val="none"/>
        </w:rPr>
        <w:t>) مفترض أن يكون منفصلاً مخصصاً لله، في ضوء تهافته على نساء أجنبيات، ودعوته باسم يهوه.</w:t>
      </w:r>
      <w:r w:rsidRPr="006A7C83">
        <w:rPr>
          <w:rFonts w:eastAsia="Times New Roman" w:cs="DecoType Naskh"/>
          <w:color w:val="auto"/>
          <w:kern w:val="0"/>
          <w:sz w:val="30"/>
          <w:szCs w:val="28"/>
          <w:vertAlign w:val="superscript"/>
          <w:rtl/>
          <w:lang w:bidi="ar-JO"/>
          <w14:ligatures w14:val="none"/>
        </w:rPr>
        <w:footnoteReference w:customMarkFollows="1" w:id="204"/>
        <w:t>24</w:t>
      </w:r>
    </w:p>
    <w:p w14:paraId="75A216D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KW"/>
          <w14:ligatures w14:val="none"/>
        </w:rPr>
      </w:pPr>
    </w:p>
    <w:p w14:paraId="665271C5"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وهكذا فإن الرواية المتعلقة بالقضاة في الجزء الرئيسي من السفر تعكس تدهوراً أكيداً، وتمثّل رواية جدعون نقطة التحوّل في هذه السلسلة.  وتوجد حقيقتان تُبرزان هذه الملاحظات: (أ) الرتيب التركيبي للنص (نمط قلب متناسق) حيث يشكّل جدعون نقطة المركز، و(ب) مع بدء رواية جدعون تصبح الروايات السردية أطول بكثير وأكثر تعقيداً بالمقارنة مع روايات القضاة الثلاث الأولى.</w:t>
      </w:r>
    </w:p>
    <w:p w14:paraId="03E3799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p>
    <w:p w14:paraId="48BC8CB1" w14:textId="77777777" w:rsidR="006A7C83" w:rsidRPr="006A7C83" w:rsidRDefault="006A7C83"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6A7C83">
        <w:rPr>
          <w:rFonts w:eastAsia="Times New Roman" w:cs="DecoType Naskh" w:hint="cs"/>
          <w:bCs/>
          <w:color w:val="auto"/>
          <w:kern w:val="0"/>
          <w:szCs w:val="26"/>
          <w:rtl/>
          <w14:ligatures w14:val="none"/>
        </w:rPr>
        <w:t>جـ.</w:t>
      </w:r>
      <w:r w:rsidRPr="006A7C83">
        <w:rPr>
          <w:rFonts w:eastAsia="Times New Roman" w:cs="DecoType Naskh" w:hint="cs"/>
          <w:bCs/>
          <w:color w:val="auto"/>
          <w:kern w:val="0"/>
          <w:szCs w:val="26"/>
          <w:rtl/>
          <w14:ligatures w14:val="none"/>
        </w:rPr>
        <w:tab/>
        <w:t>النقطة المركزية لرواية جدعون</w:t>
      </w:r>
    </w:p>
    <w:p w14:paraId="046E3F4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واجه كل القضاة ماعدا أبيمالك تهديداً أجنبياً، لكن لا يوجد تفاعل شخصي قوي بين القاضي والرب إلاّ في حالة جدعون.  وتوحي هذه الملاحظة أن الرواية تقدّم ما هو أكثر من مجرّد قصّة نصر لإسرائيل على المديانيين للأجيال المستقبلة.  ومع أنه أمر صحيح أن شمشون رفع عدة صلوات سريعة، فلا يوجد إلا في حالة جدعون تركيز على إيمان القاضي وفهم دعوة الرب لحياته.  "لا تتلقى أية شخصية في السفر تأكيداً إلهيّاً أكثر ممّا تلقّى جدعون، ولا تظهر إحداها شكاً أكبر ممّا أظهر.  وإنه لأمر ذو دلالة أن جدعون هو القاضي الوحيد الذي يتحدث إليه الله مباشرة، على الرغم من أن هذا الامتياز لا يخفف من جبنه.</w:t>
      </w:r>
      <w:r w:rsidRPr="006A7C83">
        <w:rPr>
          <w:rFonts w:eastAsia="Times New Roman" w:cs="DecoType Naskh"/>
          <w:color w:val="auto"/>
          <w:kern w:val="0"/>
          <w:sz w:val="30"/>
          <w:szCs w:val="28"/>
          <w:vertAlign w:val="superscript"/>
          <w:rtl/>
          <w:lang w:bidi="ar-JO"/>
          <w14:ligatures w14:val="none"/>
        </w:rPr>
        <w:footnoteReference w:id="205"/>
      </w:r>
    </w:p>
    <w:p w14:paraId="147EBD5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D31B88C"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تنعكس دلالة هذه الملاحظات حتى في تركيب رواية جدعون.  ليست مسألة كون جدعون قاضياً (أي منقذاً) من المديانيين هي العنصر المركزي للرواية.  صحيح أن الله استخدمه فعلاً لهذا الغرض، لكن تركيز الرواية يرد في 6: 33-7: 18، حيث يعلَّق موضوع الإنقاذ بشكل مؤقت لإفساح مجال لتطوُّر آخر.  إن المسألة الرئيسية في رواية جدعون شيء آخر غير الإنقاذ ذاته.  إنه شيء يأخذ الطابع الشخصي، أي جهاد جدعون لكي يصدّق وعد الله.</w:t>
      </w:r>
    </w:p>
    <w:p w14:paraId="5781B0D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25693997" w14:textId="77777777" w:rsidR="006A7C83" w:rsidRPr="006A7C83" w:rsidRDefault="006A7C83"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6A7C83">
        <w:rPr>
          <w:rFonts w:eastAsia="Times New Roman" w:cs="DecoType Naskh" w:hint="cs"/>
          <w:bCs/>
          <w:color w:val="auto"/>
          <w:kern w:val="0"/>
          <w:szCs w:val="26"/>
          <w:rtl/>
          <w14:ligatures w14:val="none"/>
        </w:rPr>
        <w:t>د.</w:t>
      </w:r>
      <w:r w:rsidRPr="006A7C83">
        <w:rPr>
          <w:rFonts w:eastAsia="Times New Roman" w:cs="DecoType Naskh" w:hint="cs"/>
          <w:bCs/>
          <w:color w:val="auto"/>
          <w:kern w:val="0"/>
          <w:szCs w:val="26"/>
          <w:rtl/>
          <w14:ligatures w14:val="none"/>
        </w:rPr>
        <w:tab/>
        <w:t>جهاد جدعون لكي يؤمن بوعد الله</w:t>
      </w:r>
    </w:p>
    <w:p w14:paraId="50D30C6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إن قضاة 6: 33-7: 18 مرتّبة حسب النمط الموحّد المركز التالي:</w:t>
      </w:r>
    </w:p>
    <w:p w14:paraId="4B8FAE3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21C9721" w14:textId="7777777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أ</w:t>
      </w:r>
      <w:r w:rsidRPr="006A7C83">
        <w:rPr>
          <w:rFonts w:eastAsia="Times New Roman" w:cs="DecoType Naskh" w:hint="cs"/>
          <w:color w:val="auto"/>
          <w:kern w:val="0"/>
          <w:szCs w:val="26"/>
          <w:rtl/>
          <w:lang w:bidi="ar-JO"/>
          <w14:ligatures w14:val="none"/>
        </w:rPr>
        <w:tab/>
      </w:r>
      <w:r w:rsidRPr="006A7C83">
        <w:rPr>
          <w:rFonts w:eastAsia="Times New Roman" w:cs="DecoType Naskh" w:hint="cs"/>
          <w:color w:val="auto"/>
          <w:kern w:val="0"/>
          <w:szCs w:val="26"/>
          <w:rtl/>
          <w:lang w:bidi="ar-JO"/>
          <w14:ligatures w14:val="none"/>
        </w:rPr>
        <w:tab/>
        <w:t xml:space="preserve">قام جدعون الذي منحه الله قوّة الروح </w:t>
      </w:r>
      <w:r w:rsidRPr="006A7C83">
        <w:rPr>
          <w:rFonts w:eastAsia="Times New Roman" w:cs="DecoType Naskh" w:hint="cs"/>
          <w:i/>
          <w:iCs/>
          <w:color w:val="auto"/>
          <w:kern w:val="0"/>
          <w:szCs w:val="26"/>
          <w:rtl/>
          <w:lang w:bidi="ar-JO"/>
          <w14:ligatures w14:val="none"/>
        </w:rPr>
        <w:t>بحشد</w:t>
      </w:r>
      <w:r w:rsidRPr="006A7C83">
        <w:rPr>
          <w:rFonts w:eastAsia="Times New Roman" w:cs="DecoType Naskh" w:hint="cs"/>
          <w:color w:val="auto"/>
          <w:kern w:val="0"/>
          <w:szCs w:val="26"/>
          <w:rtl/>
          <w:lang w:bidi="ar-JO"/>
          <w14:ligatures w14:val="none"/>
        </w:rPr>
        <w:t xml:space="preserve"> أربعة أسباط ضد المديانيين، على الرغم من </w:t>
      </w:r>
      <w:r w:rsidRPr="006A7C83">
        <w:rPr>
          <w:rFonts w:eastAsia="Times New Roman" w:cs="DecoType Naskh" w:hint="cs"/>
          <w:i/>
          <w:iCs/>
          <w:color w:val="auto"/>
          <w:kern w:val="0"/>
          <w:szCs w:val="26"/>
          <w:rtl/>
          <w:lang w:bidi="ar-JO"/>
          <w14:ligatures w14:val="none"/>
        </w:rPr>
        <w:t>قلة إيمانه</w:t>
      </w:r>
      <w:r w:rsidRPr="006A7C83">
        <w:rPr>
          <w:rFonts w:eastAsia="Times New Roman" w:cs="DecoType Naskh" w:hint="cs"/>
          <w:color w:val="auto"/>
          <w:kern w:val="0"/>
          <w:szCs w:val="26"/>
          <w:rtl/>
          <w:lang w:bidi="ar-JO"/>
          <w14:ligatures w14:val="none"/>
        </w:rPr>
        <w:t xml:space="preserve"> بوعد الله (6: 33-35).</w:t>
      </w:r>
    </w:p>
    <w:p w14:paraId="7DDEAA9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lastRenderedPageBreak/>
        <w:t>ب</w:t>
      </w:r>
      <w:r w:rsidRPr="006A7C83">
        <w:rPr>
          <w:rFonts w:eastAsia="Times New Roman" w:cs="DecoType Naskh" w:hint="cs"/>
          <w:color w:val="auto"/>
          <w:kern w:val="0"/>
          <w:szCs w:val="26"/>
          <w:rtl/>
          <w:lang w:bidi="ar-JO"/>
          <w14:ligatures w14:val="none"/>
        </w:rPr>
        <w:tab/>
        <w:t>طلب جدعون علامة من الله على الجزّة من أجل</w:t>
      </w:r>
      <w:r w:rsidRPr="006A7C83">
        <w:rPr>
          <w:rFonts w:eastAsia="Times New Roman" w:cs="DecoType Naskh" w:hint="cs"/>
          <w:i/>
          <w:iCs/>
          <w:color w:val="auto"/>
          <w:kern w:val="0"/>
          <w:szCs w:val="26"/>
          <w:rtl/>
          <w:lang w:bidi="ar-JO"/>
          <w14:ligatures w14:val="none"/>
        </w:rPr>
        <w:t xml:space="preserve"> تثبيت الوعد</w:t>
      </w:r>
      <w:r w:rsidRPr="006A7C83">
        <w:rPr>
          <w:rFonts w:eastAsia="Times New Roman" w:cs="DecoType Naskh" w:hint="cs"/>
          <w:color w:val="auto"/>
          <w:kern w:val="0"/>
          <w:szCs w:val="26"/>
          <w:rtl/>
          <w:lang w:bidi="ar-JO"/>
          <w14:ligatures w14:val="none"/>
        </w:rPr>
        <w:t xml:space="preserve"> بأن الرب سينصره على المديانيين (6: 36-40).</w:t>
      </w:r>
    </w:p>
    <w:p w14:paraId="62429E38"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جـ</w:t>
      </w:r>
      <w:r w:rsidRPr="006A7C83">
        <w:rPr>
          <w:rFonts w:eastAsia="Times New Roman" w:cs="DecoType Naskh" w:hint="cs"/>
          <w:color w:val="auto"/>
          <w:kern w:val="0"/>
          <w:szCs w:val="26"/>
          <w:rtl/>
          <w:lang w:bidi="ar-JO"/>
          <w14:ligatures w14:val="none"/>
        </w:rPr>
        <w:tab/>
        <w:t>مع رحيل الجبناء من بني إسرائيل، أوعز الله إلى جدعون بالذهاب إلى الماء من أجل مزيد من التقليص لقوّاته            (7: 1-8).</w:t>
      </w:r>
    </w:p>
    <w:p w14:paraId="30BCBBDD"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جـ َ</w:t>
      </w:r>
      <w:r w:rsidRPr="006A7C83">
        <w:rPr>
          <w:rFonts w:eastAsia="Times New Roman" w:cs="DecoType Naskh" w:hint="cs"/>
          <w:color w:val="auto"/>
          <w:kern w:val="0"/>
          <w:szCs w:val="26"/>
          <w:rtl/>
          <w:lang w:bidi="ar-JO"/>
          <w14:ligatures w14:val="none"/>
        </w:rPr>
        <w:tab/>
        <w:t>أوعز الله إلى جدعون الذي كان الخوف ما يزال يتملكه بالنزول إلى مخيّم العدو لاستراق السمع (7: 9-11).</w:t>
      </w:r>
    </w:p>
    <w:p w14:paraId="537FC7E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ب َ</w:t>
      </w:r>
      <w:r w:rsidRPr="006A7C83">
        <w:rPr>
          <w:rFonts w:eastAsia="Times New Roman" w:cs="DecoType Naskh" w:hint="cs"/>
          <w:color w:val="auto"/>
          <w:kern w:val="0"/>
          <w:szCs w:val="26"/>
          <w:rtl/>
          <w:lang w:bidi="ar-JO"/>
          <w14:ligatures w14:val="none"/>
        </w:rPr>
        <w:tab/>
        <w:t>أعطى الله علامة لجدعون من حلم المدياني من أجل تثبيت الوعد بأن الرب سينصره على المديانيين (7: 12-14).</w:t>
      </w:r>
    </w:p>
    <w:p w14:paraId="6823DE39" w14:textId="7777777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أ َ</w:t>
      </w:r>
      <w:r w:rsidRPr="006A7C83">
        <w:rPr>
          <w:rFonts w:eastAsia="Times New Roman" w:cs="DecoType Naskh" w:hint="cs"/>
          <w:color w:val="auto"/>
          <w:kern w:val="0"/>
          <w:szCs w:val="26"/>
          <w:rtl/>
          <w:lang w:bidi="ar-JO"/>
          <w14:ligatures w14:val="none"/>
        </w:rPr>
        <w:tab/>
        <w:t xml:space="preserve">سجد جدعون وعبد الله، ثم حشد قوّة من 300 رجل للقيام بهجوم مفاجئ على المديانيين، </w:t>
      </w:r>
      <w:r w:rsidRPr="006A7C83">
        <w:rPr>
          <w:rFonts w:eastAsia="Times New Roman" w:cs="DecoType Naskh" w:hint="cs"/>
          <w:i/>
          <w:iCs/>
          <w:color w:val="auto"/>
          <w:kern w:val="0"/>
          <w:szCs w:val="26"/>
          <w:rtl/>
          <w:lang w:bidi="ar-JO"/>
          <w14:ligatures w14:val="none"/>
        </w:rPr>
        <w:t>واثقاً كلّياً</w:t>
      </w:r>
      <w:r w:rsidRPr="006A7C83">
        <w:rPr>
          <w:rFonts w:eastAsia="Times New Roman" w:cs="DecoType Naskh" w:hint="cs"/>
          <w:color w:val="auto"/>
          <w:kern w:val="0"/>
          <w:szCs w:val="26"/>
          <w:rtl/>
          <w:lang w:bidi="ar-JO"/>
          <w14:ligatures w14:val="none"/>
        </w:rPr>
        <w:t xml:space="preserve"> بوعد الله (7: 15-18).</w:t>
      </w:r>
    </w:p>
    <w:p w14:paraId="43112898" w14:textId="77777777" w:rsidR="006A7C83" w:rsidRPr="006A7C83" w:rsidRDefault="006A7C83"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p>
    <w:p w14:paraId="044F1AAD"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إن تقليص جيش جدعون قصّة مألوفة، غالباً ما تروى من منظور التوكيد على قدرة الله في الإنقاذ بكثيرين أو بقليلين.  ومع أن هذا أمر صحيح، إلاّ أن هذا التفسير يظلم السياق.  فالسياق يتناول صراعاً داخل جدعون نفسه.</w:t>
      </w:r>
    </w:p>
    <w:p w14:paraId="69BF0EF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يبدو أن المشهد الأول من هذا القسم (6: 33-35) يبدأ بنغمة بسالة، إذ يقال في هذه الآيات إن روح الرب "لبِس" </w:t>
      </w:r>
      <w:r w:rsidRPr="006A7C83">
        <w:rPr>
          <w:rFonts w:ascii="Ezra SIL" w:eastAsia="Times New Roman" w:hAnsi="Ezra SIL" w:cs="Ezra SIL" w:hint="cs"/>
          <w:b/>
          <w:color w:val="auto"/>
          <w:kern w:val="0"/>
          <w:rtl/>
          <w:lang w:bidi="he-IL"/>
          <w14:ligatures w14:val="none"/>
        </w:rPr>
        <w:t>לבשׁ</w:t>
      </w:r>
      <w:r w:rsidRPr="006A7C83">
        <w:rPr>
          <w:rFonts w:eastAsia="Times New Roman" w:cs="DecoType Naskh" w:hint="cs"/>
          <w:color w:val="auto"/>
          <w:kern w:val="0"/>
          <w:szCs w:val="26"/>
          <w:rtl/>
          <w:lang w:bidi="ar-JO"/>
          <w14:ligatures w14:val="none"/>
        </w:rPr>
        <w:t xml:space="preserve"> جدعون واستخدمه في حشد أسباط بني إسرائيل للمعركة.  غير أنه يتوجب علينا الحذر هنا فلا نقرأ في هذا الحدث أكثر مما يقوله النص.  يقول بلوك في تفسيره:</w:t>
      </w:r>
    </w:p>
    <w:p w14:paraId="61AD71A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 w:val="30"/>
          <w:szCs w:val="28"/>
          <w:rtl/>
          <w:lang w:bidi="ar-KW"/>
          <w14:ligatures w14:val="none"/>
        </w:rPr>
      </w:pPr>
      <w:r w:rsidRPr="006A7C83">
        <w:rPr>
          <w:rFonts w:eastAsia="Times New Roman" w:cs="DecoType Naskh" w:hint="cs"/>
          <w:color w:val="auto"/>
          <w:kern w:val="0"/>
          <w:szCs w:val="26"/>
          <w:rtl/>
          <w:lang w:bidi="ar-JO"/>
          <w14:ligatures w14:val="none"/>
        </w:rPr>
        <w:t>"يقال عن جدعون إن الروح "لبسه" (6: 34)، لكن لا يجب أن يفسَّر هذا بشكل مختلف عن أية حالة أخرى يقال فيها إن الروح حلّ على شخص.  ولا يفترض مسبقاً أن هذا التعبير الذي يذكّرنا بعدد 24: 3 (حيث يمر بلعام، النبي من بلاد ما بين النهرين، بنفس الخبرة) أي مستوى معين من الروحانية في متلقّي هذه الخبرة.  بل على العكس من ذلك، يبدو أن التدخل الإلهي في الخبرة البشرية يصوّر بشكل حي سيطرة يهوه على أشخاص غير ميّالين إلى حلّ مشاكل إسرائيل، وتأهيلهم للقيام بالمهمة التخليصية."</w:t>
      </w:r>
      <w:r w:rsidRPr="006A7C83">
        <w:rPr>
          <w:rFonts w:eastAsia="Times New Roman" w:cs="DecoType Naskh"/>
          <w:color w:val="auto"/>
          <w:kern w:val="0"/>
          <w:sz w:val="30"/>
          <w:szCs w:val="28"/>
          <w:vertAlign w:val="superscript"/>
          <w:rtl/>
          <w:lang w:bidi="ar-JO"/>
          <w14:ligatures w14:val="none"/>
        </w:rPr>
        <w:footnoteReference w:customMarkFollows="1" w:id="206"/>
        <w:t>26</w:t>
      </w:r>
    </w:p>
    <w:p w14:paraId="55ED99F6"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تعكس خدمة الروح في هذه الحالة مشيئة الله السيادية في تحريك الأشياء للإنقاذ أو التحرير الذي خطط له، ولا تعكس حالة جدعون الإيمانية أو الروحية.  ولا شك أن جدعون تصرّف بطاعة عندما نفخ البوق واستدعى أسباط إسرائيل إلى القتال.  لكن المشهد التالي          (6: 36-40) الذي طلب فيه علامة مرتبطة بالجزة يكشف عيوبه.</w:t>
      </w:r>
    </w:p>
    <w:p w14:paraId="1738561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74BCDDA" w14:textId="11FB42D5"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لم يكن طلب جدعون علامة مرتبطة بالخبرة طريقة لمعرفة مشيئة الرب، بل كان تعبيراً عن الشك وقلة الإيمان: "وقال جدعون لله، ’إن كنتَ تخلّص بيدي إسرائيل كما تكلّمت، فها إني واضع جزّة الصوف في البيدر.  فإن كان طل على الجزّة وحدها، وجفاف على الأرض كلها، علمت بأنك تُخلّص بيدي إسرائيل كما تكلّمت" (6: 36-37).  اعترف جدعون نفسه بأنه قد عرف إرادة الله ووعده، حيث إن ملاك الرب نفسه أوضح له هذا جيداً (6: 14-16)؛ تمثّلت مشكلته في قدرته على أخذ كلام الله مأخذ الجد.</w:t>
      </w:r>
    </w:p>
    <w:p w14:paraId="62251D0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4D87B67" w14:textId="0AA8002C"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نجد في 6: 33-7: 18 توتّراً بين وعد الله ومشكلة جدعون في الإيمان، وهذه العناصر تؤكدها حتى العناصر البنيوية.  فعلى سبيل المثال، تتحدث خمسة من المشاهد الستة عن موضوع الوعد في الفكرة المهيمنة، ألا وهي أن الرب سيسلّم </w:t>
      </w:r>
      <w:r w:rsidRPr="006A7C83">
        <w:rPr>
          <w:rFonts w:ascii="Ezra SIL" w:eastAsia="Times New Roman" w:hAnsi="Ezra SIL" w:cs="Ezra SIL" w:hint="cs"/>
          <w:b/>
          <w:color w:val="auto"/>
          <w:kern w:val="0"/>
          <w:rtl/>
          <w:lang w:bidi="he-IL"/>
          <w14:ligatures w14:val="none"/>
        </w:rPr>
        <w:t>נתן</w:t>
      </w:r>
      <w:r w:rsidRPr="006A7C83">
        <w:rPr>
          <w:rFonts w:eastAsia="Times New Roman" w:cs="DecoType Naskh" w:hint="cs"/>
          <w:color w:val="auto"/>
          <w:kern w:val="0"/>
          <w:szCs w:val="26"/>
          <w:rtl/>
          <w:lang w:bidi="ar-JO"/>
          <w14:ligatures w14:val="none"/>
        </w:rPr>
        <w:t xml:space="preserve"> المديانيين إلى يد إسرائيل       (6: 36؛ 7: 2، 7، 9، 14-15). وبالإضافة إلى هذا، فإن تكرار كلمة "خوف" </w:t>
      </w:r>
      <w:r w:rsidRPr="006A7C83">
        <w:rPr>
          <w:rFonts w:ascii="Ezra SIL" w:eastAsia="Times New Roman" w:hAnsi="Ezra SIL" w:cs="Ezra SIL" w:hint="cs"/>
          <w:b/>
          <w:color w:val="auto"/>
          <w:kern w:val="0"/>
          <w:rtl/>
          <w:lang w:bidi="he-IL"/>
          <w14:ligatures w14:val="none"/>
        </w:rPr>
        <w:t>ירא</w:t>
      </w:r>
      <w:r w:rsidRPr="006A7C83">
        <w:rPr>
          <w:rFonts w:eastAsia="Times New Roman" w:cs="DecoType Naskh" w:hint="cs"/>
          <w:color w:val="auto"/>
          <w:kern w:val="0"/>
          <w:szCs w:val="26"/>
          <w:rtl/>
          <w:lang w:bidi="ar-JO"/>
          <w14:ligatures w14:val="none"/>
        </w:rPr>
        <w:t xml:space="preserve"> في أعمق مشهدين في بنية الرواية (7: 3، 10) يجعل منهما هدفاً خاصاً للاهتمام والتركيز.</w:t>
      </w:r>
      <w:r w:rsidRPr="006A7C83">
        <w:rPr>
          <w:rFonts w:eastAsia="Times New Roman" w:cs="DecoType Naskh"/>
          <w:color w:val="auto"/>
          <w:kern w:val="0"/>
          <w:sz w:val="30"/>
          <w:szCs w:val="28"/>
          <w:vertAlign w:val="superscript"/>
          <w:rtl/>
          <w:lang w:bidi="ar-JO"/>
          <w14:ligatures w14:val="none"/>
        </w:rPr>
        <w:footnoteReference w:customMarkFollows="1" w:id="207"/>
        <w:t>27</w:t>
      </w:r>
      <w:r w:rsidRPr="006A7C83">
        <w:rPr>
          <w:rFonts w:eastAsia="Times New Roman" w:cs="DecoType Naskh" w:hint="cs"/>
          <w:color w:val="auto"/>
          <w:kern w:val="0"/>
          <w:szCs w:val="26"/>
          <w:rtl/>
          <w:lang w:bidi="ar-JO"/>
          <w14:ligatures w14:val="none"/>
        </w:rPr>
        <w:t xml:space="preserve">  </w:t>
      </w:r>
    </w:p>
    <w:p w14:paraId="4002E5AD" w14:textId="33DC295E"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lastRenderedPageBreak/>
        <w:t>إن لتقليص جيش جدعون على أساس "الخوف" خلفيته في تثنية 20: 8، "ثم يعود العرفاء يخاطبون الشعب ويقولون، ’من هو الرجل الخائف (</w:t>
      </w:r>
      <w:r w:rsidRPr="006A7C83">
        <w:rPr>
          <w:rFonts w:ascii="Ezra SIL" w:eastAsia="Times New Roman" w:hAnsi="Ezra SIL" w:cs="Ezra SIL" w:hint="cs"/>
          <w:b/>
          <w:color w:val="auto"/>
          <w:kern w:val="0"/>
          <w:rtl/>
          <w:lang w:bidi="he-IL"/>
          <w14:ligatures w14:val="none"/>
        </w:rPr>
        <w:t>הַיָּרֵא</w:t>
      </w:r>
      <w:r w:rsidRPr="006A7C83">
        <w:rPr>
          <w:rFonts w:eastAsia="Times New Roman" w:cs="DecoType Naskh" w:hint="cs"/>
          <w:color w:val="auto"/>
          <w:kern w:val="0"/>
          <w:szCs w:val="26"/>
          <w:rtl/>
          <w:lang w:bidi="ar-JO"/>
          <w14:ligatures w14:val="none"/>
        </w:rPr>
        <w:t>) والضعيف القلب (</w:t>
      </w:r>
      <w:r w:rsidRPr="006A7C83">
        <w:rPr>
          <w:rFonts w:ascii="Ezra SIL" w:eastAsia="Times New Roman" w:hAnsi="Ezra SIL" w:cs="Ezra SIL" w:hint="cs"/>
          <w:b/>
          <w:color w:val="auto"/>
          <w:kern w:val="0"/>
          <w:rtl/>
          <w:lang w:bidi="he-IL"/>
          <w14:ligatures w14:val="none"/>
        </w:rPr>
        <w:t>וְרַךְ הַלֵּבָב</w:t>
      </w:r>
      <w:r w:rsidRPr="006A7C83">
        <w:rPr>
          <w:rFonts w:eastAsia="Times New Roman" w:cs="DecoType Naskh" w:hint="cs"/>
          <w:color w:val="auto"/>
          <w:kern w:val="0"/>
          <w:szCs w:val="26"/>
          <w:rtl/>
          <w:lang w:bidi="ar-JO"/>
          <w14:ligatures w14:val="none"/>
        </w:rPr>
        <w:t xml:space="preserve"> ؟) ليذهب ويرجع إلى بيته لئلاّ تذوب قلوب اخوته مثل قلبه.," تتمثَّل السخرية الأدبية في هذه الوحدة من سفر القضاة في أن أحد الامتحانات التي يتقرر على أساسها استبعاد محاربي بني إسرائيل (أي الخوف، انظر قضاة 7: 3) هو نفس المشكلة التي يعاني منها القائد نفسه.  وإن الصلة مع الآية 7: 10 التي تحدث فيها الرب إلى جدعون مثيرة: "إذا كنت خائفاً من النزول، فانزل أنت وفورة غلامك إلى المحلّة."  كانت المسألة إذاً هي إن كان جدعون نفسه يقدر أن يتغلب على خوفه الشخصي ليؤمن أن الرب سينصر إسرائيل على المديانيين.  وفي هذه الحالة تبيّن أن التركيب مفيد حيث خدم المقاصد الرئيسية </w:t>
      </w:r>
      <w:r w:rsidRPr="006A7C83">
        <w:rPr>
          <w:rFonts w:eastAsia="Times New Roman" w:cs="DecoType Naskh" w:hint="cs"/>
          <w:color w:val="auto"/>
          <w:kern w:val="0"/>
          <w:szCs w:val="26"/>
          <w:u w:val="single"/>
          <w:rtl/>
          <w:lang w:bidi="ar-JO"/>
          <w14:ligatures w14:val="none"/>
        </w:rPr>
        <w:t>للراوي</w:t>
      </w:r>
      <w:r w:rsidRPr="006A7C83">
        <w:rPr>
          <w:rFonts w:eastAsia="Times New Roman" w:cs="DecoType Naskh" w:hint="cs"/>
          <w:color w:val="auto"/>
          <w:kern w:val="0"/>
          <w:szCs w:val="26"/>
          <w:rtl/>
          <w:lang w:bidi="ar-JO"/>
          <w14:ligatures w14:val="none"/>
        </w:rPr>
        <w:t>: مخلّصا</w:t>
      </w:r>
      <w:r w:rsidR="00DA64A0">
        <w:rPr>
          <w:rFonts w:eastAsia="Times New Roman" w:cs="DecoType Naskh" w:hint="cs"/>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جدعون من خوفه وعدم إيمانه ومقنعاً إيّاه بأن الله سيفعل تماماً كما سبق أن وعد.</w:t>
      </w:r>
    </w:p>
    <w:p w14:paraId="4A31EDB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8799DC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كشف طلب جدعون علامة من الله وجود حرب في قلبه: كان خائفاً ومفتقراً إلى الإيمان.  وإنه لأمر مثير للاهتمام أن تقليص جيش جدعون في سياق النص يقع بين طلبه الذي لا موجب له وبين كشف الله لخوفه.  ولهذا فإنه لم يُقصد بتقليص الجيش أن يمجّد الله (بإظهار قدرته على إنقاذ إسرائيل بـ 300 رجل) بقدر ما قُصِد به أن يضع جدعون في موقف ينكشف فيه خوفه.  وإن ذات الشيء الذي كان يأمل جدعون أن يحققه بعلامة الجزّة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أي نوعاً من الاطمئنان الذاتي أن الأمور ستسير سيراً حسناً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كان هو ذاته السجّادة التي سحبها الله من تحته.  لقد سعى جدعون إلى الحصول على نوع من الأمان بالعلامة المرتبطة بالجزّة.  وعلى الرغم من أن الله استجاب لطلبه، فقد بادر فوراً إلى وضع جدعون في وضع يكون فيه أقل حصانة.  إن وجد جدعون صعوبة في الثقة بأن الله سينصره باثنين وثلاثين ألف رجل على 135.000 مدياني، (انظر 8: 10)، فكيف سيكون رد فعله حين لا يكون معه إلاّ 300 رجل؟ في ضوء هذا الأمر يأخذ كلام الله في 7: 10 دلالة كبيرة.</w:t>
      </w:r>
    </w:p>
    <w:p w14:paraId="6CA7F29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0212E713" w14:textId="77777777" w:rsidR="006A7C83" w:rsidRPr="006A7C83" w:rsidRDefault="006A7C83"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6A7C83">
        <w:rPr>
          <w:rFonts w:eastAsia="Times New Roman" w:cs="DecoType Naskh" w:hint="cs"/>
          <w:bCs/>
          <w:color w:val="auto"/>
          <w:kern w:val="0"/>
          <w:szCs w:val="26"/>
          <w:rtl/>
          <w14:ligatures w14:val="none"/>
        </w:rPr>
        <w:t>هـ.</w:t>
      </w:r>
      <w:r w:rsidRPr="006A7C83">
        <w:rPr>
          <w:rFonts w:eastAsia="Times New Roman" w:cs="DecoType Naskh" w:hint="cs"/>
          <w:bCs/>
          <w:color w:val="auto"/>
          <w:kern w:val="0"/>
          <w:szCs w:val="26"/>
          <w:rtl/>
          <w14:ligatures w14:val="none"/>
        </w:rPr>
        <w:tab/>
        <w:t>حل مشكلة خوف جدعون</w:t>
      </w:r>
    </w:p>
    <w:p w14:paraId="2A37716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لقد أسفر ما سعى جدعون إلى الحصول عليه بوساطة علامة الجزّة عن لا شيء.  فاضطر إلى الرجوع إلى خيار تصديق وعد الله لمجرد أن الله تكلّم.  ولكي يساعد الله جدعون على رؤية هذا الأمر، أعد له علامة.  ففي المشهد الخامس (7: 12-14)، أكّد الله إرادته من خلال حلم شخص مدياني استرق جدعون إليه السمع، وسماعه مديانياً آخر يفسّر له الحلم. </w:t>
      </w:r>
    </w:p>
    <w:p w14:paraId="2C05A04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ونجد في قول المدياني "قد دفع الله إلى يده (جدعون) المديانيين وكل الجيش" تكراراً للوعد الذي قطعه الرب لجدعون مراراً، لكن الله سمح له الآن بأن يسمعه من شفتي جندي مدياني.  والسخرية الأدبية هنا مذهلة: إذ لم يُقنع جدعون سماع الوعد من شفتي الرب مباشرة، لكنه اقتنع عندما سمع الوعد من الجندي المدياني.</w:t>
      </w:r>
    </w:p>
    <w:p w14:paraId="6EE1E4C8"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 xml:space="preserve">يُظهر المشهد الأخير من هذا القسم (7: 15-18) أن استراق السمع إلى الحلم حقق التأثير المطلوب في جدعون: "وكان لما سمع جدعون خبر الحلم وتفسيره، أنه سجد" (الآية 15).  ومن تلك النقطة فصاعداً كان جدعون شخصاً مختلفاً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كان رجل إيمان وشجاعة.  وفي القسم الأخير من الآية 15 حثّ جدعون رجاله القليلين بقوله: "قوموا لأن الرب دفع إلى يدكم جيش المديانيين." خرج وعد الإنقاذ من فمه هذه المرّة بثقة كاملة في الله.  انتقل جدعون من الخوف إلى الإيمان، وهذا هو بالضبط الغرض من القسم 6: 33-7: 18.</w:t>
      </w:r>
    </w:p>
    <w:p w14:paraId="6B12C091" w14:textId="77777777" w:rsidR="006A7C83" w:rsidRPr="006A7C83" w:rsidRDefault="006A7C83"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6A7C83">
        <w:rPr>
          <w:rFonts w:eastAsia="Times New Roman" w:cs="DecoType Naskh" w:hint="cs"/>
          <w:bCs/>
          <w:color w:val="auto"/>
          <w:kern w:val="0"/>
          <w:szCs w:val="26"/>
          <w:rtl/>
          <w14:ligatures w14:val="none"/>
        </w:rPr>
        <w:t>و.</w:t>
      </w:r>
      <w:r w:rsidRPr="006A7C83">
        <w:rPr>
          <w:rFonts w:eastAsia="Times New Roman" w:cs="DecoType Naskh" w:hint="cs"/>
          <w:bCs/>
          <w:color w:val="auto"/>
          <w:kern w:val="0"/>
          <w:szCs w:val="26"/>
          <w:rtl/>
          <w14:ligatures w14:val="none"/>
        </w:rPr>
        <w:tab/>
        <w:t>علاقة التركيب أو البنية باللاهوت</w:t>
      </w:r>
    </w:p>
    <w:p w14:paraId="49727AE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لقد صيغ التنميط النصّي في رواية جدعون بعناية، لا لإبراز عملية الإنقاذ من المديانيين، بل لإبراز التغيير الذي حدث في قلب جدعون، وهنا يكمن أعظم درس لاهوتي في هذه الأصحاحات.  لقد منعه الخوف الكامن في قلبه </w:t>
      </w:r>
      <w:r w:rsidRPr="006A7C83">
        <w:rPr>
          <w:rFonts w:eastAsia="Times New Roman" w:cs="DecoType Naskh" w:hint="cs"/>
          <w:color w:val="auto"/>
          <w:kern w:val="0"/>
          <w:szCs w:val="26"/>
          <w:rtl/>
          <w:lang w:bidi="ar-JO"/>
          <w14:ligatures w14:val="none"/>
        </w:rPr>
        <w:lastRenderedPageBreak/>
        <w:t xml:space="preserve">من القدرة على الثقة بالوعد الذي أعطاه الله بتخليصه إسرائيل من المديانيين.  ومن أجل التغلّب على هذا العيب في حياة جدعون، عمل الله بشكل فريد لكي يكشف مشكلة الخوف في حياته ويأتي به إلى مرحلة العبادة والإيمان.  وعندئذٍ فقط صار جدعون مستعداً لقيادة إسرائيل في المعركة.  وتوجد ضمن هذا القسم المركزي من الرواية ستة مشاهد مؤلَّفة بكل عناية في ترتيب موحَّد المركز (أ ب جـ جـ َ ب َ أ َ) وكأن نفس البنية تعكس </w:t>
      </w:r>
      <w:r w:rsidRPr="006A7C83">
        <w:rPr>
          <w:rFonts w:eastAsia="Times New Roman" w:cs="DecoType Naskh" w:hint="cs"/>
          <w:i/>
          <w:iCs/>
          <w:color w:val="auto"/>
          <w:kern w:val="0"/>
          <w:szCs w:val="26"/>
          <w:rtl/>
          <w:lang w:bidi="ar-JO"/>
          <w14:ligatures w14:val="none"/>
        </w:rPr>
        <w:t>الانقلاب</w:t>
      </w:r>
      <w:r w:rsidRPr="006A7C83">
        <w:rPr>
          <w:rFonts w:eastAsia="Times New Roman" w:cs="DecoType Naskh" w:hint="cs"/>
          <w:color w:val="auto"/>
          <w:kern w:val="0"/>
          <w:szCs w:val="26"/>
          <w:rtl/>
          <w:lang w:bidi="ar-JO"/>
          <w14:ligatures w14:val="none"/>
        </w:rPr>
        <w:t>الذي حصل في داخله.  وفضلاً عن ذلك، فإن كل الصراعات في السفر تنتج عن نقص الإيمان.  ونحن نرى تعبيراً واضحاً عن هذا الصراع في رواية جدعون، وهو ما ينسجم مع هذا الحدث (صراعه الديني) الموضوع في منتصف السفر.</w:t>
      </w:r>
    </w:p>
    <w:p w14:paraId="47E0DB7C"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 xml:space="preserve">ومع أن حياة جدعون صارت مخيّبة للآمال في نهاية الأمر (مثل حياة معظم القضاة والملوك الآخرين في تاريخ إسرائيل)، إلاّ أن نقطة التركيز في رواية جدعون من المنظور البنيوي يقدّم نموذجاً لما يبحث عنه الله في قائد الأمّة: فالله يريد قائداً يعبده ويأخذ كلمته على محمل الجد.  لم يتعلّم جدعون هذا الدرس بسهولة.  إذ قام </w:t>
      </w:r>
      <w:r w:rsidRPr="006A7C83">
        <w:rPr>
          <w:rFonts w:eastAsia="Times New Roman" w:cs="DecoType Naskh" w:hint="cs"/>
          <w:color w:val="auto"/>
          <w:kern w:val="0"/>
          <w:szCs w:val="26"/>
          <w:u w:val="single"/>
          <w:rtl/>
          <w:lang w:bidi="ar-JO"/>
          <w14:ligatures w14:val="none"/>
        </w:rPr>
        <w:t xml:space="preserve">الراوي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الذي أعطى نكهة للتأثير اللاهوتي الذي أحدثته الرواية التاريخية لقصة جدعون لقرّائه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بتعليق رواية الإنقاذ مؤقتاً لكي يسمح بإبطاء حركة تصوير المشهد والتركيز على جدعون كقائد.  ويعمل التنميط الموحّد المركز للنص مع وضع "فكرة الخوف" في مركز السفر</w:t>
      </w:r>
      <w:r w:rsidRPr="006A7C83">
        <w:rPr>
          <w:rFonts w:eastAsia="Times New Roman" w:cs="DecoType Naskh"/>
          <w:color w:val="auto"/>
          <w:kern w:val="0"/>
          <w:sz w:val="30"/>
          <w:szCs w:val="28"/>
          <w:vertAlign w:val="superscript"/>
          <w:rtl/>
          <w:lang w:bidi="ar-JO"/>
          <w14:ligatures w14:val="none"/>
        </w:rPr>
        <w:footnoteReference w:customMarkFollows="1" w:id="208"/>
        <w:t>28</w:t>
      </w:r>
      <w:r w:rsidRPr="006A7C83">
        <w:rPr>
          <w:rFonts w:eastAsia="Times New Roman" w:cs="DecoType Naskh" w:hint="cs"/>
          <w:color w:val="auto"/>
          <w:kern w:val="0"/>
          <w:szCs w:val="26"/>
          <w:rtl/>
          <w:lang w:bidi="ar-JO"/>
          <w14:ligatures w14:val="none"/>
        </w:rPr>
        <w:t xml:space="preserve"> على إبراز استخدام الله لجدعون الإنسان كأداة لكي يبيّن رغبته في قائد شعبه عهده.  وبهذا يترك </w:t>
      </w:r>
      <w:r w:rsidRPr="006A7C83">
        <w:rPr>
          <w:rFonts w:eastAsia="Times New Roman" w:cs="DecoType Naskh" w:hint="cs"/>
          <w:color w:val="auto"/>
          <w:kern w:val="0"/>
          <w:szCs w:val="26"/>
          <w:u w:val="single"/>
          <w:rtl/>
          <w:lang w:bidi="ar-JO"/>
          <w14:ligatures w14:val="none"/>
        </w:rPr>
        <w:t>الراوي</w:t>
      </w:r>
      <w:r w:rsidRPr="006A7C83">
        <w:rPr>
          <w:rFonts w:eastAsia="Times New Roman" w:cs="DecoType Naskh" w:hint="cs"/>
          <w:color w:val="auto"/>
          <w:kern w:val="0"/>
          <w:szCs w:val="26"/>
          <w:rtl/>
          <w:lang w:bidi="ar-JO"/>
          <w14:ligatures w14:val="none"/>
        </w:rPr>
        <w:t xml:space="preserve"> للقارئ رسالة قوية: يجب أن يوصل الله خادمه إلى نقطة ينزع عندها منه كل ثقة بنفسه، حيث يجلس بصمت عابداً الله بخضوع بصفته القادر تماماً في كل الظروف المعاكسة على تحقيق مشيئته الإلهية.  عندئذٍ فقط، يكون خادمه مستعداً للتحرك إلى الأمام لتذوّق نصر الله، مع أن النصر ليس أكثر ضماناً ويقينية من ذي قبل.</w:t>
      </w:r>
    </w:p>
    <w:p w14:paraId="18510468"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14:ligatures w14:val="none"/>
        </w:rPr>
      </w:pPr>
      <w:r w:rsidRPr="006A7C83">
        <w:rPr>
          <w:rFonts w:eastAsia="Times New Roman" w:cs="DecoType Naskh" w:hint="cs"/>
          <w:bCs/>
          <w:color w:val="auto"/>
          <w:kern w:val="0"/>
          <w:szCs w:val="28"/>
          <w:rtl/>
          <w:lang w:bidi="ar-JO"/>
          <w14:ligatures w14:val="none"/>
        </w:rPr>
        <w:t>6.</w:t>
      </w:r>
      <w:r w:rsidRPr="006A7C83">
        <w:rPr>
          <w:rFonts w:eastAsia="Times New Roman" w:cs="DecoType Naskh" w:hint="cs"/>
          <w:bCs/>
          <w:color w:val="auto"/>
          <w:kern w:val="0"/>
          <w:szCs w:val="28"/>
          <w:rtl/>
          <w:lang w:bidi="ar-JO"/>
          <w14:ligatures w14:val="none"/>
        </w:rPr>
        <w:tab/>
        <w:t>الاستنتاج</w:t>
      </w:r>
    </w:p>
    <w:p w14:paraId="7722D3E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برهن قضاة إسرائيل (في ضعفهم وعجزهم المتكرر عن إنقاذ إسرائيل) أنهم لم يكونوا أداة كافية يمكن لإسرائيل أن تتغلّب بواسطتها على المعتدين الأجانب.  ولم يكن العيب بطبيعة الحال في عجز الرب عن حماية شعب، بل كان العيب هو ميلهم الدائم، بل والمتدهور، إلى الابتعاد عنه.  وعلى الرغم من أن الله أقام منقذين كانت لهم حاجة في وقت إقامتهم، فإنه كان يتحكم بشكل سيادي "بنوعية" القضاة الذين يقيمهم.  فليس غريباً إذاً أن القسم الرئيسي الكبير لسفر القضاة لا يقدّم لنا دورة منظّمة أو متماثلة من الخطية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التأديب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التوبة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الإنقاذ.  تعكس هذه الدورات بشكل عام تدهوراً تدرُّجياً، حتى أن القارئ قد يسأل نفسه قبل مجيء جدعون إن كانت هنالك أيّة قيمة أصلاً لوجود قاضٍ.  وهذا هو تماماً الانطباع الذي أراد </w:t>
      </w:r>
      <w:r w:rsidRPr="006A7C83">
        <w:rPr>
          <w:rFonts w:eastAsia="Times New Roman" w:cs="DecoType Naskh" w:hint="cs"/>
          <w:color w:val="auto"/>
          <w:kern w:val="0"/>
          <w:szCs w:val="26"/>
          <w:u w:val="single"/>
          <w:rtl/>
          <w:lang w:bidi="ar-JO"/>
          <w14:ligatures w14:val="none"/>
        </w:rPr>
        <w:t>الراوي</w:t>
      </w:r>
      <w:r w:rsidRPr="006A7C83">
        <w:rPr>
          <w:rFonts w:eastAsia="Times New Roman" w:cs="DecoType Naskh" w:hint="cs"/>
          <w:color w:val="auto"/>
          <w:kern w:val="0"/>
          <w:szCs w:val="26"/>
          <w:rtl/>
          <w:lang w:bidi="ar-JO"/>
          <w14:ligatures w14:val="none"/>
        </w:rPr>
        <w:t xml:space="preserve"> أن يتركه، وهذا هو ما يجعل خاتمة السفر ملائمة جدّاً.  وقبل أن يصل القارئ إلى نهاية رواية شمشون، يتوجب عليه أن يدرك أن "قاضياً" آخر لن يكون حلاً لمشكلة الأمة.  لقد كان </w:t>
      </w:r>
      <w:r w:rsidRPr="006A7C83">
        <w:rPr>
          <w:rFonts w:eastAsia="Times New Roman" w:cs="DecoType Naskh" w:hint="cs"/>
          <w:color w:val="auto"/>
          <w:kern w:val="0"/>
          <w:szCs w:val="26"/>
          <w:u w:val="single"/>
          <w:rtl/>
          <w:lang w:bidi="ar-JO"/>
          <w14:ligatures w14:val="none"/>
        </w:rPr>
        <w:t>الراوي</w:t>
      </w:r>
      <w:r w:rsidRPr="006A7C83">
        <w:rPr>
          <w:rFonts w:eastAsia="Times New Roman" w:cs="DecoType Naskh" w:hint="cs"/>
          <w:color w:val="auto"/>
          <w:kern w:val="0"/>
          <w:szCs w:val="26"/>
          <w:rtl/>
          <w:lang w:bidi="ar-JO"/>
          <w14:ligatures w14:val="none"/>
        </w:rPr>
        <w:t xml:space="preserve">، في توقُّعه لما سيأتي في 1صموئيل بتتويج الملك، يستخدم بشكل صريح خاتمة مزدوجة لسفر القضاة (7-21) لكي يعزز هذه النقلة من حكم ثيوقراطي (يستخدم قضاة) إلى حكم ملكي.  وكما هو مذكور أربع مرّات في سفر القضاة: "وفي تلك الأيام لم يكن ملك في إسرائيل" (17: 6؛ 18: 1؛ 19: 1؛ 21: 25).  كان القضاة مخيبين للأمل (كما كان حال جدعون نفسه أيضاً في نهاية الأمر).  لكن توجد في قلب دورات القضاة حقيقة لاهوتية للصفات التي يسعى إليها الله في القادة: إنه يرغب في قادة يعبدونه ويأخذون كلمته على محمل الجد، وملتزمين بفعل مشيئته كلها.  ومع أخذ الملوك لمركزهم كحكام على الأمّة، سنتوقع منهم نفس الأمر أيضاً.  فكم هو أمر ملائم أن يوضع هذا الدرس الدائم بشكل استراتيجي (من خلال التنميط النصّي) في قلب سفر القضاة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ليس في رواية جدعون فحسب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لكن في النقطة المركزية في الرواية أيضاً.</w:t>
      </w:r>
    </w:p>
    <w:p w14:paraId="0E277798" w14:textId="77777777" w:rsidR="006A7C83" w:rsidRPr="006A7C83" w:rsidRDefault="006A7C83" w:rsidP="002D6C54">
      <w:pPr>
        <w:bidi/>
        <w:spacing w:after="0" w:line="240" w:lineRule="auto"/>
        <w:rPr>
          <w:rFonts w:eastAsia="Times New Roman" w:cs="DecoType Naskh"/>
          <w:color w:val="auto"/>
          <w:kern w:val="0"/>
          <w:szCs w:val="18"/>
          <w:rtl/>
          <w:lang w:bidi="ar-JO"/>
          <w14:ligatures w14:val="none"/>
        </w:rPr>
      </w:pPr>
    </w:p>
    <w:p w14:paraId="1B23CAAD" w14:textId="77777777" w:rsidR="006A7C83" w:rsidRPr="006A7C83" w:rsidRDefault="006A7C83" w:rsidP="002D6C54">
      <w:pPr>
        <w:bidi/>
        <w:spacing w:after="0" w:line="240" w:lineRule="auto"/>
        <w:rPr>
          <w:rFonts w:eastAsia="Times New Roman" w:cs="DecoType Naskh"/>
          <w:color w:val="auto"/>
          <w:kern w:val="0"/>
          <w:szCs w:val="18"/>
          <w:rtl/>
          <w:lang w:bidi="ar-JO"/>
          <w14:ligatures w14:val="none"/>
        </w:rPr>
      </w:pPr>
    </w:p>
    <w:p w14:paraId="723E58FA" w14:textId="77777777" w:rsidR="001426DA" w:rsidRPr="001426DA" w:rsidRDefault="001426DA" w:rsidP="002D6C54">
      <w:pPr>
        <w:tabs>
          <w:tab w:val="left" w:pos="547"/>
          <w:tab w:val="left" w:pos="1094"/>
          <w:tab w:val="left" w:pos="1642"/>
          <w:tab w:val="left" w:pos="2189"/>
          <w:tab w:val="left" w:pos="2736"/>
          <w:tab w:val="left" w:pos="3283"/>
          <w:tab w:val="left" w:pos="3830"/>
          <w:tab w:val="left" w:pos="4378"/>
        </w:tabs>
        <w:spacing w:after="120" w:line="240" w:lineRule="auto"/>
        <w:jc w:val="both"/>
        <w:rPr>
          <w:rFonts w:eastAsia="Times New Roman" w:cs="Times New Roman"/>
          <w:bCs/>
          <w:color w:val="auto"/>
          <w:kern w:val="0"/>
          <w:sz w:val="22"/>
          <w:szCs w:val="24"/>
          <w:lang w:bidi="ar-JO"/>
          <w14:ligatures w14:val="none"/>
        </w:rPr>
      </w:pPr>
    </w:p>
    <w:p w14:paraId="5CE85D30" w14:textId="77777777" w:rsidR="001426DA" w:rsidRPr="001426DA" w:rsidRDefault="001426DA" w:rsidP="002D6C54">
      <w:pPr>
        <w:tabs>
          <w:tab w:val="left" w:pos="547"/>
          <w:tab w:val="left" w:pos="1094"/>
          <w:tab w:val="left" w:pos="1642"/>
          <w:tab w:val="left" w:pos="2189"/>
          <w:tab w:val="left" w:pos="2736"/>
          <w:tab w:val="left" w:pos="3283"/>
          <w:tab w:val="left" w:pos="3830"/>
          <w:tab w:val="left" w:pos="4378"/>
        </w:tabs>
        <w:spacing w:after="120" w:line="240" w:lineRule="auto"/>
        <w:jc w:val="both"/>
        <w:rPr>
          <w:rFonts w:eastAsia="Times New Roman" w:cs="Times New Roman"/>
          <w:color w:val="auto"/>
          <w:kern w:val="0"/>
          <w:sz w:val="22"/>
          <w:szCs w:val="24"/>
          <w14:ligatures w14:val="none"/>
        </w:rPr>
      </w:pPr>
    </w:p>
    <w:p w14:paraId="140CC1DF" w14:textId="18F2CDD4" w:rsidR="008B149F" w:rsidRDefault="008B149F"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contextualSpacing/>
        <w:rPr>
          <w:rFonts w:eastAsia="Calibri" w:cs="Times New Roman"/>
          <w:kern w:val="0"/>
          <w:szCs w:val="24"/>
          <w14:ligatures w14:val="none"/>
        </w:rPr>
      </w:pPr>
      <w:r>
        <w:rPr>
          <w:rFonts w:eastAsia="Calibri" w:cs="Times New Roman"/>
          <w:kern w:val="0"/>
          <w:szCs w:val="24"/>
          <w14:ligatures w14:val="none"/>
        </w:rPr>
        <w:br w:type="page"/>
      </w:r>
    </w:p>
    <w:p w14:paraId="06271281" w14:textId="028869D1" w:rsidR="008B149F" w:rsidRPr="00915244" w:rsidRDefault="00915244" w:rsidP="00915244">
      <w:pPr>
        <w:pStyle w:val="Heading2"/>
        <w:bidi/>
        <w:rPr>
          <w:rFonts w:ascii="Simplified Arabic" w:hAnsi="Simplified Arabic" w:cs="Simplified Arabic"/>
        </w:rPr>
      </w:pPr>
      <w:bookmarkStart w:id="163" w:name="_Hlk178779368"/>
      <w:r w:rsidRPr="00915244">
        <w:rPr>
          <w:rFonts w:ascii="Simplified Arabic" w:hAnsi="Simplified Arabic" w:cs="Simplified Arabic"/>
          <w:rtl/>
        </w:rPr>
        <w:lastRenderedPageBreak/>
        <w:t xml:space="preserve">الدرس 12: </w:t>
      </w:r>
      <w:r w:rsidRPr="00915244">
        <w:rPr>
          <w:rFonts w:ascii="Simplified Arabic" w:hAnsi="Simplified Arabic" w:cs="Simplified Arabic"/>
          <w:rtl/>
          <w14:ligatures w14:val="none"/>
        </w:rPr>
        <w:t>سفر راعوث، نظرة عامّة والتوقُّعات المسيانيّة</w:t>
      </w:r>
    </w:p>
    <w:p w14:paraId="6CD1BFB4" w14:textId="77777777" w:rsidR="00311C51" w:rsidRPr="007A4B15" w:rsidRDefault="00311C51"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kern w:val="0"/>
          <w:szCs w:val="24"/>
          <w14:ligatures w14:val="none"/>
        </w:rPr>
      </w:pPr>
    </w:p>
    <w:p w14:paraId="23FDA273" w14:textId="031D2DE8" w:rsidR="008B149F" w:rsidRPr="001E4AE6" w:rsidRDefault="001E4AE6" w:rsidP="001E4AE6">
      <w:pPr>
        <w:pStyle w:val="Heading3"/>
        <w:bidi/>
        <w:spacing w:line="240" w:lineRule="auto"/>
        <w:rPr>
          <w:rFonts w:ascii="Simplified Arabic" w:hAnsi="Simplified Arabic" w:cs="Simplified Arabic"/>
          <w:lang w:val="fr-FR"/>
        </w:rPr>
      </w:pPr>
      <w:r w:rsidRPr="001E4AE6">
        <w:rPr>
          <w:rFonts w:ascii="Simplified Arabic" w:hAnsi="Simplified Arabic" w:cs="Simplified Arabic"/>
          <w:rtl/>
          <w:lang w:val="fr-FR"/>
        </w:rPr>
        <w:t>مُقدِّمة الدرس</w:t>
      </w:r>
    </w:p>
    <w:p w14:paraId="405E4F99" w14:textId="0E55B642" w:rsidR="001E4AE6" w:rsidRPr="001E4AE6" w:rsidRDefault="001E4AE6" w:rsidP="001E4AE6">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يشك</w:t>
      </w:r>
      <w:r w:rsidR="00DA64A0">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ل هذا الدرس، بالإضافة إلى عمل مسحٍ لسفر راعوث، خاتمة ملائمة لكامل المساق. بدءًا بسفر راعوث نُعطى بعضًا من النور م</w:t>
      </w:r>
      <w:r w:rsidR="00DA64A0">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سلّ</w:t>
      </w:r>
      <w:r w:rsidR="00DA64A0">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طًا على نعمة الله العاملة في فترة القضاة الكئيبة والمُحزِنة (لا شكّ أن</w:t>
      </w:r>
      <w:r w:rsidR="00DA64A0">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روح الله كان يعمل خلال ذلك الوقت الذي </w:t>
      </w:r>
      <w:r w:rsidR="00DA64A0">
        <w:rPr>
          <w:rFonts w:ascii="Simplified Arabic" w:eastAsia="Calibri" w:hAnsi="Simplified Arabic" w:cs="Simplified Arabic" w:hint="cs"/>
          <w:kern w:val="0"/>
          <w:sz w:val="26"/>
          <w:szCs w:val="26"/>
          <w:rtl/>
          <w14:ligatures w14:val="none"/>
        </w:rPr>
        <w:t xml:space="preserve">كان </w:t>
      </w:r>
      <w:r>
        <w:rPr>
          <w:rFonts w:ascii="Simplified Arabic" w:eastAsia="Calibri" w:hAnsi="Simplified Arabic" w:cs="Simplified Arabic" w:hint="cs"/>
          <w:kern w:val="0"/>
          <w:sz w:val="26"/>
          <w:szCs w:val="26"/>
          <w:rtl/>
          <w14:ligatures w14:val="none"/>
        </w:rPr>
        <w:t>فيه صراع في الأمة في حفظ الشريعة والتحوُّل المتكرِّر إلى عبادة الأوثان). وبعد ذلك، يقدِّم الموضوع الثالث في هذا الدرس نظرةً عامّة إلى الثمانية أسفار التي تؤلِّف فترة ما قبل الملكيّة في تاريخ شعب إسرائيل، مع الإشارة إلى الإسهامات العظيمة والرئيسية لكلّ قسمٍ رئيسي</w:t>
      </w:r>
      <w:r w:rsidR="00DA64A0">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ويعرِّفنا الموضوع الأخير بالإسهامات العديدة في هذا القسم من الكتاب المُقدَّس، الذي يعطي شيئًا من النور، إمّا من خلال النبوّة أو الرموز، عن شخصٍ المسيا المستقبلي وخدمته (الذي أُعلِن في النهاية بأنّه الرب</w:t>
      </w:r>
      <w:r w:rsidR="00DA64A0">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يسوع المسيح).</w:t>
      </w:r>
    </w:p>
    <w:p w14:paraId="62CE89DA" w14:textId="77777777" w:rsidR="001E4AE6" w:rsidRPr="001E4AE6" w:rsidRDefault="001E4AE6" w:rsidP="001E4AE6">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p>
    <w:p w14:paraId="4C029CAD" w14:textId="07C44A86" w:rsidR="008B149F" w:rsidRPr="007A4B15" w:rsidRDefault="003441DC" w:rsidP="003441DC">
      <w:pPr>
        <w:pStyle w:val="Heading3"/>
        <w:bidi/>
        <w:spacing w:line="240" w:lineRule="auto"/>
      </w:pPr>
      <w:r>
        <w:rPr>
          <w:rFonts w:hint="cs"/>
          <w:rtl/>
        </w:rPr>
        <w:t>مخطَّط الدرس</w:t>
      </w:r>
    </w:p>
    <w:p w14:paraId="5D63FF04" w14:textId="77777777" w:rsidR="003441DC" w:rsidRPr="003441DC" w:rsidRDefault="003441DC" w:rsidP="003441DC">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r w:rsidRPr="003441DC">
        <w:rPr>
          <w:rFonts w:ascii="Simplified Arabic" w:eastAsia="Calibri" w:hAnsi="Simplified Arabic" w:cs="Simplified Arabic"/>
          <w:kern w:val="0"/>
          <w:sz w:val="26"/>
          <w:szCs w:val="26"/>
          <w:rtl/>
          <w14:ligatures w14:val="none"/>
        </w:rPr>
        <w:t xml:space="preserve">الموضوع 1: </w:t>
      </w:r>
      <w:r w:rsidRPr="003441DC">
        <w:rPr>
          <w:rFonts w:ascii="Simplified Arabic" w:eastAsia="Calibri" w:hAnsi="Simplified Arabic" w:cs="Simplified Arabic"/>
          <w:kern w:val="0"/>
          <w:sz w:val="26"/>
          <w:szCs w:val="26"/>
          <w:rtl/>
          <w14:ligatures w14:val="none"/>
        </w:rPr>
        <w:tab/>
        <w:t xml:space="preserve">لوحة سفر راعوث </w:t>
      </w:r>
    </w:p>
    <w:p w14:paraId="2920B121" w14:textId="77777777" w:rsidR="003441DC" w:rsidRPr="003441DC" w:rsidRDefault="003441DC" w:rsidP="003441DC">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r w:rsidRPr="003441DC">
        <w:rPr>
          <w:rFonts w:ascii="Simplified Arabic" w:eastAsia="Calibri" w:hAnsi="Simplified Arabic" w:cs="Simplified Arabic"/>
          <w:kern w:val="0"/>
          <w:sz w:val="26"/>
          <w:szCs w:val="26"/>
          <w:rtl/>
          <w14:ligatures w14:val="none"/>
        </w:rPr>
        <w:t xml:space="preserve">الموضوع 2: </w:t>
      </w:r>
      <w:r w:rsidRPr="003441DC">
        <w:rPr>
          <w:rFonts w:ascii="Simplified Arabic" w:eastAsia="Calibri" w:hAnsi="Simplified Arabic" w:cs="Simplified Arabic"/>
          <w:kern w:val="0"/>
          <w:sz w:val="26"/>
          <w:szCs w:val="26"/>
          <w:rtl/>
          <w14:ligatures w14:val="none"/>
        </w:rPr>
        <w:tab/>
        <w:t xml:space="preserve">راعوث – بصيص من نور النعمة (راعوث 1-4) </w:t>
      </w:r>
    </w:p>
    <w:p w14:paraId="4A9C0806" w14:textId="77777777" w:rsidR="003441DC" w:rsidRPr="003441DC" w:rsidRDefault="003441DC" w:rsidP="003441DC">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kern w:val="0"/>
          <w:sz w:val="26"/>
          <w:szCs w:val="26"/>
          <w:rtl/>
          <w14:ligatures w14:val="none"/>
        </w:rPr>
      </w:pPr>
      <w:r w:rsidRPr="003441DC">
        <w:rPr>
          <w:rFonts w:ascii="Simplified Arabic" w:eastAsia="Calibri" w:hAnsi="Simplified Arabic" w:cs="Simplified Arabic"/>
          <w:kern w:val="0"/>
          <w:sz w:val="26"/>
          <w:szCs w:val="26"/>
          <w:rtl/>
          <w14:ligatures w14:val="none"/>
        </w:rPr>
        <w:t xml:space="preserve">الموضوع 3: </w:t>
      </w:r>
      <w:r w:rsidRPr="003441DC">
        <w:rPr>
          <w:rFonts w:ascii="Simplified Arabic" w:eastAsia="Calibri" w:hAnsi="Simplified Arabic" w:cs="Simplified Arabic"/>
          <w:kern w:val="0"/>
          <w:sz w:val="26"/>
          <w:szCs w:val="26"/>
          <w:rtl/>
          <w14:ligatures w14:val="none"/>
        </w:rPr>
        <w:tab/>
        <w:t xml:space="preserve">نظرة عامّة إلى أسفار التكوين – راعوث </w:t>
      </w:r>
    </w:p>
    <w:p w14:paraId="1B416AE6" w14:textId="17228FCE" w:rsidR="008B149F" w:rsidRPr="007A4B15" w:rsidRDefault="003441DC" w:rsidP="003441DC">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eastAsia="Calibri" w:cs="Times New Roman"/>
          <w:kern w:val="0"/>
          <w:szCs w:val="24"/>
          <w14:ligatures w14:val="none"/>
        </w:rPr>
      </w:pPr>
      <w:r w:rsidRPr="003441DC">
        <w:rPr>
          <w:rFonts w:ascii="Simplified Arabic" w:eastAsia="Calibri" w:hAnsi="Simplified Arabic" w:cs="Simplified Arabic"/>
          <w:kern w:val="0"/>
          <w:sz w:val="26"/>
          <w:szCs w:val="26"/>
          <w:rtl/>
          <w14:ligatures w14:val="none"/>
        </w:rPr>
        <w:t xml:space="preserve">الموضوع 4: </w:t>
      </w:r>
      <w:r w:rsidRPr="003441DC">
        <w:rPr>
          <w:rFonts w:ascii="Simplified Arabic" w:eastAsia="Calibri" w:hAnsi="Simplified Arabic" w:cs="Simplified Arabic"/>
          <w:kern w:val="0"/>
          <w:sz w:val="26"/>
          <w:szCs w:val="26"/>
          <w:rtl/>
          <w14:ligatures w14:val="none"/>
        </w:rPr>
        <w:tab/>
        <w:t xml:space="preserve">النبوّات المسيانيّة والرموز </w:t>
      </w:r>
      <w:r w:rsidR="008B149F" w:rsidRPr="007A4B15">
        <w:rPr>
          <w:rFonts w:eastAsia="Calibri" w:cs="Times New Roman"/>
          <w:kern w:val="0"/>
          <w:szCs w:val="24"/>
          <w14:ligatures w14:val="none"/>
        </w:rPr>
        <w:br/>
      </w:r>
    </w:p>
    <w:p w14:paraId="37AEA90F" w14:textId="54AEC518" w:rsidR="008B149F" w:rsidRPr="007A4B15" w:rsidRDefault="00EC06D5" w:rsidP="00EC06D5">
      <w:pPr>
        <w:pStyle w:val="Heading3"/>
        <w:bidi/>
        <w:spacing w:line="240" w:lineRule="auto"/>
        <w:rPr>
          <w:lang w:val="fr-FR"/>
        </w:rPr>
      </w:pPr>
      <w:r>
        <w:rPr>
          <w:rFonts w:hint="cs"/>
          <w:rtl/>
          <w:lang w:val="fr-FR"/>
        </w:rPr>
        <w:t>أهداف الدرس</w:t>
      </w:r>
    </w:p>
    <w:p w14:paraId="4298846F" w14:textId="61FE2EFA" w:rsidR="008B149F" w:rsidRPr="009530DE" w:rsidRDefault="00EC06D5" w:rsidP="00EC06D5">
      <w:pPr>
        <w:bidi/>
        <w:spacing w:before="120" w:after="80" w:line="240" w:lineRule="auto"/>
        <w:rPr>
          <w:rFonts w:ascii="Simplified Arabic" w:eastAsia="Calibri" w:hAnsi="Simplified Arabic" w:cs="Simplified Arabic"/>
          <w:kern w:val="0"/>
          <w:sz w:val="26"/>
          <w:szCs w:val="26"/>
          <w14:ligatures w14:val="none"/>
        </w:rPr>
      </w:pPr>
      <w:r w:rsidRPr="009530DE">
        <w:rPr>
          <w:rFonts w:ascii="Simplified Arabic" w:eastAsia="Calibri" w:hAnsi="Simplified Arabic" w:cs="Simplified Arabic"/>
          <w:kern w:val="0"/>
          <w:sz w:val="26"/>
          <w:szCs w:val="26"/>
          <w:rtl/>
          <w14:ligatures w14:val="none"/>
        </w:rPr>
        <w:t xml:space="preserve">بانتهائك من دراسة هذا الدرس، ستكون قادرًا على ما يلي: </w:t>
      </w:r>
    </w:p>
    <w:p w14:paraId="16FAF414" w14:textId="093DC93D" w:rsidR="00EE2435" w:rsidRPr="009530DE" w:rsidRDefault="00BD2E1C" w:rsidP="00BD2E1C">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9530DE">
        <w:rPr>
          <w:rFonts w:ascii="Simplified Arabic" w:eastAsia="Calibri" w:hAnsi="Simplified Arabic" w:cs="Simplified Arabic"/>
          <w:kern w:val="0"/>
          <w:sz w:val="26"/>
          <w:szCs w:val="26"/>
          <w:rtl/>
          <w14:ligatures w14:val="none"/>
        </w:rPr>
        <w:t>أن تشرح مغزى وأهمّيّة هوي</w:t>
      </w:r>
      <w:r w:rsidR="00DA64A0">
        <w:rPr>
          <w:rFonts w:ascii="Simplified Arabic" w:eastAsia="Calibri" w:hAnsi="Simplified Arabic" w:cs="Simplified Arabic" w:hint="cs"/>
          <w:kern w:val="0"/>
          <w:sz w:val="26"/>
          <w:szCs w:val="26"/>
          <w:rtl/>
          <w14:ligatures w14:val="none"/>
        </w:rPr>
        <w:t>ّ</w:t>
      </w:r>
      <w:r w:rsidRPr="009530DE">
        <w:rPr>
          <w:rFonts w:ascii="Simplified Arabic" w:eastAsia="Calibri" w:hAnsi="Simplified Arabic" w:cs="Simplified Arabic"/>
          <w:kern w:val="0"/>
          <w:sz w:val="26"/>
          <w:szCs w:val="26"/>
          <w:rtl/>
          <w14:ligatures w14:val="none"/>
        </w:rPr>
        <w:t xml:space="preserve">ة راعوث وصفاتها وأعمالها في ضوء السياق التاريخي للسفر. </w:t>
      </w:r>
    </w:p>
    <w:p w14:paraId="407BF0B9" w14:textId="0208B816" w:rsidR="00BD2E1C" w:rsidRPr="009530DE" w:rsidRDefault="009530DE" w:rsidP="00BD2E1C">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9530DE">
        <w:rPr>
          <w:rFonts w:ascii="Simplified Arabic" w:eastAsia="Calibri" w:hAnsi="Simplified Arabic" w:cs="Simplified Arabic"/>
          <w:kern w:val="0"/>
          <w:sz w:val="26"/>
          <w:szCs w:val="26"/>
          <w:rtl/>
          <w14:ligatures w14:val="none"/>
        </w:rPr>
        <w:t xml:space="preserve">أن تعرض التطوُّرات الرئيسيّة في الأسفار الثمانية الأولى من الكتاب المُقدَّس (التكوين – راعوث) </w:t>
      </w:r>
    </w:p>
    <w:p w14:paraId="238ACEE4" w14:textId="0467DC17" w:rsidR="009530DE" w:rsidRPr="009530DE" w:rsidRDefault="009530DE" w:rsidP="009530DE">
      <w:pPr>
        <w:numPr>
          <w:ilvl w:val="0"/>
          <w:numId w:val="4"/>
        </w:num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contextualSpacing/>
        <w:rPr>
          <w:rFonts w:ascii="Simplified Arabic" w:eastAsia="Calibri" w:hAnsi="Simplified Arabic" w:cs="Simplified Arabic"/>
          <w:kern w:val="0"/>
          <w:sz w:val="26"/>
          <w:szCs w:val="26"/>
          <w14:ligatures w14:val="none"/>
        </w:rPr>
      </w:pPr>
      <w:r w:rsidRPr="009530DE">
        <w:rPr>
          <w:rFonts w:ascii="Simplified Arabic" w:eastAsia="Calibri" w:hAnsi="Simplified Arabic" w:cs="Simplified Arabic"/>
          <w:kern w:val="0"/>
          <w:sz w:val="26"/>
          <w:szCs w:val="26"/>
          <w:rtl/>
          <w14:ligatures w14:val="none"/>
        </w:rPr>
        <w:t>أن تعرِّف بالإسهامات الرئيسيّة الموجودة في أسفار التكوين – راعوث بش</w:t>
      </w:r>
      <w:r w:rsidR="00DA64A0">
        <w:rPr>
          <w:rFonts w:ascii="Simplified Arabic" w:eastAsia="Calibri" w:hAnsi="Simplified Arabic" w:cs="Simplified Arabic" w:hint="cs"/>
          <w:kern w:val="0"/>
          <w:sz w:val="26"/>
          <w:szCs w:val="26"/>
          <w:rtl/>
          <w14:ligatures w14:val="none"/>
        </w:rPr>
        <w:t>أ</w:t>
      </w:r>
      <w:r w:rsidRPr="009530DE">
        <w:rPr>
          <w:rFonts w:ascii="Simplified Arabic" w:eastAsia="Calibri" w:hAnsi="Simplified Arabic" w:cs="Simplified Arabic"/>
          <w:kern w:val="0"/>
          <w:sz w:val="26"/>
          <w:szCs w:val="26"/>
          <w:rtl/>
          <w14:ligatures w14:val="none"/>
        </w:rPr>
        <w:t xml:space="preserve">ن التوقُّعات المسيانيّة. </w:t>
      </w:r>
    </w:p>
    <w:p w14:paraId="634133BF" w14:textId="77777777" w:rsidR="008B149F" w:rsidRDefault="008B149F"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ind w:left="720"/>
        <w:contextualSpacing/>
        <w:rPr>
          <w:rFonts w:eastAsia="Calibri" w:cs="Times New Roman"/>
          <w:kern w:val="0"/>
          <w:szCs w:val="24"/>
          <w14:ligatures w14:val="none"/>
        </w:rPr>
      </w:pPr>
      <w:r>
        <w:rPr>
          <w:rFonts w:eastAsia="Calibri" w:cs="Times New Roman"/>
          <w:kern w:val="0"/>
          <w:szCs w:val="24"/>
          <w14:ligatures w14:val="none"/>
        </w:rPr>
        <w:br w:type="page"/>
      </w:r>
    </w:p>
    <w:bookmarkEnd w:id="163"/>
    <w:p w14:paraId="3EC25E8B" w14:textId="6DCADF6B" w:rsidR="006311FA" w:rsidRDefault="009530DE" w:rsidP="009530DE">
      <w:pPr>
        <w:pStyle w:val="Heading3"/>
        <w:bidi/>
        <w:spacing w:line="240" w:lineRule="auto"/>
      </w:pPr>
      <w:r>
        <w:rPr>
          <w:rFonts w:hint="cs"/>
          <w:rtl/>
        </w:rPr>
        <w:lastRenderedPageBreak/>
        <w:t xml:space="preserve">الموضوع 1: لوحة سفر راعوث </w:t>
      </w:r>
    </w:p>
    <w:p w14:paraId="46DBBEC1" w14:textId="77777777" w:rsidR="00F67267" w:rsidRPr="00F67267" w:rsidRDefault="00F67267" w:rsidP="002D6C54">
      <w:pPr>
        <w:spacing w:line="240" w:lineRule="auto"/>
      </w:pPr>
    </w:p>
    <w:p w14:paraId="41E8B975" w14:textId="3D0707D9" w:rsidR="006311FA" w:rsidRDefault="006A7C83"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strike/>
          <w:kern w:val="0"/>
          <w:szCs w:val="24"/>
          <w14:ligatures w14:val="none"/>
        </w:rPr>
      </w:pPr>
      <w:r>
        <w:rPr>
          <w:rFonts w:eastAsia="Calibri" w:cs="Times New Roman"/>
          <w:strike/>
          <w:noProof/>
          <w:kern w:val="0"/>
          <w:szCs w:val="24"/>
          <w14:ligatures w14:val="none"/>
        </w:rPr>
        <w:drawing>
          <wp:inline distT="0" distB="0" distL="0" distR="0" wp14:anchorId="34954104" wp14:editId="39DF0D1E">
            <wp:extent cx="5943600" cy="4343400"/>
            <wp:effectExtent l="0" t="0" r="0" b="0"/>
            <wp:docPr id="16123086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4343400"/>
                    </a:xfrm>
                    <a:prstGeom prst="rect">
                      <a:avLst/>
                    </a:prstGeom>
                    <a:noFill/>
                    <a:ln>
                      <a:noFill/>
                    </a:ln>
                  </pic:spPr>
                </pic:pic>
              </a:graphicData>
            </a:graphic>
          </wp:inline>
        </w:drawing>
      </w:r>
    </w:p>
    <w:p w14:paraId="2479A9EC" w14:textId="77777777" w:rsidR="00EE2435" w:rsidRDefault="00EE2435" w:rsidP="002D6C54">
      <w:pPr>
        <w:pStyle w:val="Heading3"/>
        <w:spacing w:line="240" w:lineRule="auto"/>
      </w:pPr>
    </w:p>
    <w:p w14:paraId="631EB3D2" w14:textId="00FD1A44" w:rsidR="009530DE" w:rsidRPr="009530DE" w:rsidRDefault="009530DE" w:rsidP="009530DE">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b/>
          <w:bCs/>
          <w:kern w:val="0"/>
          <w:sz w:val="28"/>
          <w:szCs w:val="28"/>
          <w:rtl/>
          <w14:ligatures w14:val="none"/>
        </w:rPr>
      </w:pPr>
      <w:bookmarkStart w:id="164" w:name="_Hlk178779412"/>
      <w:r w:rsidRPr="009530DE">
        <w:rPr>
          <w:rFonts w:ascii="Simplified Arabic" w:eastAsia="Calibri" w:hAnsi="Simplified Arabic" w:cs="Simplified Arabic"/>
          <w:b/>
          <w:bCs/>
          <w:kern w:val="0"/>
          <w:sz w:val="28"/>
          <w:szCs w:val="28"/>
          <w:rtl/>
          <w14:ligatures w14:val="none"/>
        </w:rPr>
        <w:t xml:space="preserve">الموضوع 2: راعوث – بصيص من نور النعمة (راعوث 1-4) </w:t>
      </w:r>
    </w:p>
    <w:p w14:paraId="24261FD6" w14:textId="0CF36DF1" w:rsidR="00F67267" w:rsidRPr="007A4B15" w:rsidRDefault="00F67267" w:rsidP="009530DE">
      <w:pPr>
        <w:keepNext/>
        <w:tabs>
          <w:tab w:val="left" w:pos="0"/>
          <w:tab w:val="left" w:pos="540"/>
          <w:tab w:val="left" w:pos="1080"/>
          <w:tab w:val="left" w:pos="1620"/>
          <w:tab w:val="left" w:pos="2160"/>
          <w:tab w:val="left" w:pos="2700"/>
          <w:tab w:val="left" w:pos="3240"/>
          <w:tab w:val="left" w:pos="3780"/>
          <w:tab w:val="left" w:pos="4320"/>
          <w:tab w:val="left" w:pos="4860"/>
        </w:tabs>
        <w:bidi/>
        <w:spacing w:before="240" w:after="0" w:line="240" w:lineRule="auto"/>
        <w:rPr>
          <w:rFonts w:ascii="Verdana" w:eastAsia="Calibri" w:hAnsi="Verdana" w:cs="Times New Roman"/>
          <w:b/>
          <w:caps/>
          <w:color w:val="006699"/>
          <w:kern w:val="0"/>
          <w:sz w:val="21"/>
          <w:szCs w:val="24"/>
          <w14:ligatures w14:val="none"/>
        </w:rPr>
      </w:pPr>
      <w:r w:rsidRPr="007A4B15">
        <w:rPr>
          <w:rFonts w:ascii="Verdana" w:eastAsia="Calibri" w:hAnsi="Verdana" w:cs="Times New Roman"/>
          <w:b/>
          <w:caps/>
          <w:noProof/>
          <w:color w:val="006699"/>
          <w:kern w:val="0"/>
          <w:sz w:val="21"/>
          <w:szCs w:val="24"/>
          <w14:ligatures w14:val="none"/>
        </w:rPr>
        <w:drawing>
          <wp:inline distT="0" distB="0" distL="0" distR="0" wp14:anchorId="4BEBAA07" wp14:editId="2AE6A0E4">
            <wp:extent cx="613692" cy="541464"/>
            <wp:effectExtent l="0" t="0" r="0" b="0"/>
            <wp:docPr id="412336093" name="Picture 412336093" descr="G:\BEE - Daniel Course -Comm\Daniel Course Early Attempt\Icons\librar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BEE - Daniel Course -Comm\Daniel Course Early Attempt\Icons\library.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3585" cy="541370"/>
                    </a:xfrm>
                    <a:prstGeom prst="rect">
                      <a:avLst/>
                    </a:prstGeom>
                    <a:noFill/>
                    <a:ln>
                      <a:noFill/>
                    </a:ln>
                  </pic:spPr>
                </pic:pic>
              </a:graphicData>
            </a:graphic>
          </wp:inline>
        </w:drawing>
      </w:r>
      <w:r w:rsidRPr="007A4B15">
        <w:rPr>
          <w:rFonts w:ascii="Verdana" w:eastAsia="Calibri" w:hAnsi="Verdana" w:cs="Times New Roman"/>
          <w:b/>
          <w:caps/>
          <w:color w:val="006699"/>
          <w:kern w:val="0"/>
          <w:sz w:val="21"/>
          <w:szCs w:val="24"/>
          <w14:ligatures w14:val="none"/>
        </w:rPr>
        <w:t xml:space="preserve"> </w:t>
      </w:r>
      <w:r w:rsidR="009530DE" w:rsidRPr="009530DE">
        <w:rPr>
          <w:rFonts w:ascii="Verdana" w:eastAsia="Calibri" w:hAnsi="Verdana" w:cs="Times New Roman" w:hint="cs"/>
          <w:bCs/>
          <w:caps/>
          <w:color w:val="006699"/>
          <w:kern w:val="0"/>
          <w:sz w:val="21"/>
          <w:szCs w:val="24"/>
          <w:u w:val="single"/>
          <w:rtl/>
          <w14:ligatures w14:val="none"/>
        </w:rPr>
        <w:t>القراءة:</w:t>
      </w:r>
    </w:p>
    <w:p w14:paraId="65A02656" w14:textId="1312D53A" w:rsidR="00F67267" w:rsidRPr="002B24E1" w:rsidRDefault="00F67267" w:rsidP="009530DE">
      <w:pPr>
        <w:bidi/>
        <w:spacing w:line="240" w:lineRule="auto"/>
        <w:rPr>
          <w:b/>
          <w:bCs/>
        </w:rPr>
      </w:pPr>
      <w:r>
        <w:tab/>
      </w:r>
      <w:r>
        <w:tab/>
      </w:r>
      <w:r w:rsidR="009530DE">
        <w:rPr>
          <w:rFonts w:hint="cs"/>
          <w:rtl/>
        </w:rPr>
        <w:t xml:space="preserve">اقرأ راعوث 1: 1 </w:t>
      </w:r>
      <w:r w:rsidR="009530DE">
        <w:rPr>
          <w:rtl/>
        </w:rPr>
        <w:t>–</w:t>
      </w:r>
      <w:r w:rsidR="009530DE">
        <w:rPr>
          <w:rFonts w:hint="cs"/>
          <w:rtl/>
        </w:rPr>
        <w:t xml:space="preserve"> 4: 22 في كتابك المُقدَّس. </w:t>
      </w:r>
    </w:p>
    <w:bookmarkEnd w:id="164"/>
    <w:p w14:paraId="5164330C" w14:textId="77777777" w:rsidR="006A7C83" w:rsidRPr="006A7C83" w:rsidRDefault="006A7C83" w:rsidP="002D6C54">
      <w:pPr>
        <w:bidi/>
        <w:spacing w:after="0" w:line="240" w:lineRule="auto"/>
        <w:jc w:val="center"/>
        <w:rPr>
          <w:rFonts w:eastAsia="Times New Roman" w:cs="Traditional Arabic Backslanted"/>
          <w:bCs/>
          <w:color w:val="auto"/>
          <w:kern w:val="0"/>
          <w:szCs w:val="28"/>
          <w:rtl/>
          <w:lang w:bidi="ar-JO"/>
          <w14:ligatures w14:val="none"/>
        </w:rPr>
      </w:pPr>
    </w:p>
    <w:p w14:paraId="0C0722A3"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1.</w:t>
      </w:r>
      <w:r w:rsidRPr="006A7C83">
        <w:rPr>
          <w:rFonts w:eastAsia="Times New Roman" w:cs="DecoType Naskh" w:hint="cs"/>
          <w:bCs/>
          <w:color w:val="auto"/>
          <w:kern w:val="0"/>
          <w:szCs w:val="28"/>
          <w:rtl/>
          <w:lang w:bidi="ar-JO"/>
          <w14:ligatures w14:val="none"/>
        </w:rPr>
        <w:tab/>
        <w:t xml:space="preserve">مقدمة </w:t>
      </w:r>
    </w:p>
    <w:p w14:paraId="08C88170"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إن سفر راعوث في واقع الأمر ملحق آخر بسفر القضاة؛ إذ يختار مشهداً يحدث أثناء تلك الفترة من تاريخ إسرائيل:</w:t>
      </w:r>
    </w:p>
    <w:p w14:paraId="0F1A5E56"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"حدثَ في أيّام حكم القضاة أنه..." (1: 1)</w:t>
      </w:r>
    </w:p>
    <w:p w14:paraId="01A1C90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lastRenderedPageBreak/>
        <w:t>لا نعطى اسم كاتب السفر، لكن يحتمل أن صموئيل هو الذي كتبه.</w:t>
      </w:r>
      <w:r w:rsidRPr="006A7C83">
        <w:rPr>
          <w:rFonts w:eastAsia="Times New Roman" w:cs="DecoType Naskh"/>
          <w:color w:val="auto"/>
          <w:kern w:val="0"/>
          <w:sz w:val="30"/>
          <w:szCs w:val="28"/>
          <w:vertAlign w:val="superscript"/>
          <w:rtl/>
          <w:lang w:bidi="ar-JO"/>
          <w14:ligatures w14:val="none"/>
        </w:rPr>
        <w:footnoteReference w:customMarkFollows="1" w:id="209"/>
        <w:t>1</w:t>
      </w:r>
      <w:r w:rsidRPr="006A7C83">
        <w:rPr>
          <w:rFonts w:eastAsia="Times New Roman" w:cs="DecoType Naskh" w:hint="cs"/>
          <w:color w:val="auto"/>
          <w:kern w:val="0"/>
          <w:szCs w:val="26"/>
          <w:rtl/>
          <w:lang w:bidi="ar-JO"/>
          <w14:ligatures w14:val="none"/>
        </w:rPr>
        <w:t xml:space="preserve"> وبما أن راعوث، الشخصية الرئيسية في السفر، عاشت قبل ثلاثة أجيال من داود، فلا بدّ أن يكون السفر قد كُتب في الجزء من فترة القضاة.  وينتهي السفر بسلسلة المواليد التي تتوَّج بداود، أعظم ملك في تاريخ إسرائيل، الذي سيأتي المسيّا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الملك من خلاله (2صموئيل 7).  لكن لا يقتصر الغرض من السفر على مجرّد إظهار الصلة بين داود وسلسلة نسبه (على الرغم من أنه يتتبع بالفعل سلسلة نسب داود إلى يهوذا وبيت لحم).  إن هذا السفر مليءٌ باللاهوت، خاصة سيادة الله وكيف يحقق أمانته ومن خلال أي شخص يختار ذلك.</w:t>
      </w:r>
    </w:p>
    <w:p w14:paraId="36A91B4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089676A"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2.</w:t>
      </w:r>
      <w:r w:rsidRPr="006A7C83">
        <w:rPr>
          <w:rFonts w:eastAsia="Times New Roman" w:cs="DecoType Naskh" w:hint="cs"/>
          <w:bCs/>
          <w:color w:val="auto"/>
          <w:kern w:val="0"/>
          <w:szCs w:val="28"/>
          <w:rtl/>
          <w:lang w:bidi="ar-JO"/>
          <w14:ligatures w14:val="none"/>
        </w:rPr>
        <w:tab/>
        <w:t>ملاحظات</w:t>
      </w:r>
    </w:p>
    <w:p w14:paraId="025117E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لكي نفهم اللاهوت المقدَّم في هذا الكتاب، لابد من تقديم بعض الملاحظات الهامّة:</w:t>
      </w:r>
    </w:p>
    <w:p w14:paraId="7C0F2DA4" w14:textId="77777777" w:rsidR="006A7C83" w:rsidRPr="006A7C83" w:rsidRDefault="006A7C83"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6A7C83">
        <w:rPr>
          <w:rFonts w:eastAsia="Times New Roman" w:cs="DecoType Naskh" w:hint="cs"/>
          <w:bCs/>
          <w:color w:val="auto"/>
          <w:kern w:val="0"/>
          <w:szCs w:val="26"/>
          <w:rtl/>
          <w14:ligatures w14:val="none"/>
        </w:rPr>
        <w:t>أ.</w:t>
      </w:r>
      <w:r w:rsidRPr="006A7C83">
        <w:rPr>
          <w:rFonts w:eastAsia="Times New Roman" w:cs="DecoType Naskh" w:hint="cs"/>
          <w:bCs/>
          <w:color w:val="auto"/>
          <w:kern w:val="0"/>
          <w:szCs w:val="26"/>
          <w:rtl/>
          <w14:ligatures w14:val="none"/>
        </w:rPr>
        <w:tab/>
        <w:t>الإطار التاريخي</w:t>
      </w:r>
    </w:p>
    <w:p w14:paraId="6D56F14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تقع أحداث هذا السفر، كما سبق أن ذكرت، في فترة القضاة.  وقد تميّزت هذه الفترة بتعرُّض الأمّة للتأديب من قبل الرب.  وفي حقيقة الأمر، يبدأ سفر راعوث بهذه الطريقة، "</w:t>
      </w:r>
      <w:r w:rsidRPr="006A7C83">
        <w:rPr>
          <w:rFonts w:eastAsia="Times New Roman" w:cs="DecoType Naskh" w:hint="cs"/>
          <w:i/>
          <w:iCs/>
          <w:color w:val="auto"/>
          <w:kern w:val="0"/>
          <w:szCs w:val="26"/>
          <w:rtl/>
          <w:lang w:bidi="ar-JO"/>
          <w14:ligatures w14:val="none"/>
        </w:rPr>
        <w:t>صار جوع (حدثت مجاعة) في الأرض</w:t>
      </w:r>
      <w:r w:rsidRPr="006A7C83">
        <w:rPr>
          <w:rFonts w:eastAsia="Times New Roman" w:cs="DecoType Naskh" w:hint="cs"/>
          <w:color w:val="auto"/>
          <w:kern w:val="0"/>
          <w:szCs w:val="26"/>
          <w:rtl/>
          <w:lang w:bidi="ar-JO"/>
          <w14:ligatures w14:val="none"/>
        </w:rPr>
        <w:t>" (1: 1)، وهي حقيقة تعكس تأديب الله للأمّة (تثنية 28: 17-18، 38-41).  وتعبّر مغادرة نُعْمي وعائلتها للأرض للسكن في موآب عدم أمانة للعهد، خاصة عندما يتّخذ ابنا نُعْمي زوجتين موآبيتين (انظر خروج 34: 12-16؛ تثنية 7: 5).</w:t>
      </w:r>
    </w:p>
    <w:p w14:paraId="3B73159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90F67B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غير أنه لا يتوجب علينا أن نغفل الصلة بمدينة بيت لحم، لأن أليمالك كان تَلْحَمِيّاً.  ويلاحظ ميريل أنه كانت لبيت لحم صلة بـ "أيام القُضاة"، خاصة في ما يتعلّق بالخاتمة.  ففي كل من قضاة 17-18 و19-21 كانت للخروج من بيت لحم نتائج مأسوية.  غير أن المأساة تنقلب في هذه الحالة.  يقول ميريل: "كان أسلاف شاول قد أذلّوا امرأة </w:t>
      </w:r>
      <w:r w:rsidRPr="006A7C83">
        <w:rPr>
          <w:rFonts w:eastAsia="Times New Roman" w:cs="DecoType Naskh" w:hint="cs"/>
          <w:color w:val="auto"/>
          <w:kern w:val="0"/>
          <w:szCs w:val="26"/>
          <w:rtl/>
          <w14:ligatures w14:val="none"/>
        </w:rPr>
        <w:t>بي</w:t>
      </w:r>
      <w:r w:rsidRPr="006A7C83">
        <w:rPr>
          <w:rFonts w:eastAsia="Times New Roman" w:cs="DecoType Naskh" w:hint="cs"/>
          <w:color w:val="auto"/>
          <w:kern w:val="0"/>
          <w:szCs w:val="26"/>
          <w:rtl/>
          <w:lang w:bidi="ar-JO"/>
          <w14:ligatures w14:val="none"/>
        </w:rPr>
        <w:t>تلحميّة بالاعتداء عليها، الأمر الذي ندموا عليه كثيراً فيما بعد.  لكن بيت لحم بقيت موجودة بعد هذا الحدث، بالإضافة إلى أنها قدّمت فيما بعد خليفة شاول، الرجل الذي كان حسب قلب الله."</w:t>
      </w:r>
      <w:r w:rsidRPr="006A7C83">
        <w:rPr>
          <w:rFonts w:eastAsia="Times New Roman" w:cs="DecoType Naskh"/>
          <w:color w:val="auto"/>
          <w:kern w:val="0"/>
          <w:sz w:val="26"/>
          <w:szCs w:val="28"/>
          <w:vertAlign w:val="superscript"/>
          <w:rtl/>
          <w:lang w:bidi="ar-JO"/>
          <w14:ligatures w14:val="none"/>
        </w:rPr>
        <w:footnoteReference w:customMarkFollows="1" w:id="210"/>
        <w:t>2</w:t>
      </w:r>
      <w:r w:rsidRPr="006A7C83">
        <w:rPr>
          <w:rFonts w:eastAsia="Times New Roman" w:cs="DecoType Naskh" w:hint="cs"/>
          <w:color w:val="auto"/>
          <w:kern w:val="0"/>
          <w:szCs w:val="26"/>
          <w:rtl/>
          <w:lang w:bidi="ar-JO"/>
          <w14:ligatures w14:val="none"/>
        </w:rPr>
        <w:t xml:space="preserve"> ومع بدء قراءة سفر راعوث ربما تتوقع (مرة أخرى) أن يحدث شيء مأساوي لبيت لحم.  غير أنه تنتظرنا هذه المرة مفاجأة سارّة. </w:t>
      </w:r>
    </w:p>
    <w:p w14:paraId="6F0AC3F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 </w:t>
      </w:r>
    </w:p>
    <w:p w14:paraId="0B0D2843" w14:textId="77777777" w:rsidR="006A7C83" w:rsidRPr="006A7C83" w:rsidRDefault="006A7C83"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6A7C83">
        <w:rPr>
          <w:rFonts w:eastAsia="Times New Roman" w:cs="DecoType Naskh" w:hint="cs"/>
          <w:bCs/>
          <w:color w:val="auto"/>
          <w:kern w:val="0"/>
          <w:szCs w:val="26"/>
          <w:rtl/>
          <w14:ligatures w14:val="none"/>
        </w:rPr>
        <w:t>ب.</w:t>
      </w:r>
      <w:r w:rsidRPr="006A7C83">
        <w:rPr>
          <w:rFonts w:eastAsia="Times New Roman" w:cs="DecoType Naskh" w:hint="cs"/>
          <w:bCs/>
          <w:color w:val="auto"/>
          <w:kern w:val="0"/>
          <w:szCs w:val="26"/>
          <w:rtl/>
          <w14:ligatures w14:val="none"/>
        </w:rPr>
        <w:tab/>
        <w:t>تضرّعات كثيرة للبركات</w:t>
      </w:r>
    </w:p>
    <w:p w14:paraId="12CE4F1C"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تُستمطر عبر السفر بركات مرّات كثيرة.  وهي في واقع الأمر صلوات إلى يهوه.  ويدور السفر حول هذه الصلوات، حيث يعمل الله في نعمته لتلبية هذه الطلبات، مانحاً بهذا بركته.  ونجد التضرّعات الرئيسية في 1: 8-9؛ 2: 12؛ 2: 20؛ 3: 10؛ 4: 11-12.</w:t>
      </w:r>
    </w:p>
    <w:p w14:paraId="0FBDA49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95EF569" w14:textId="77777777" w:rsidR="006A7C83" w:rsidRPr="006A7C83" w:rsidRDefault="006A7C83"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6A7C83">
        <w:rPr>
          <w:rFonts w:eastAsia="Times New Roman" w:cs="DecoType Naskh" w:hint="cs"/>
          <w:bCs/>
          <w:color w:val="auto"/>
          <w:kern w:val="0"/>
          <w:szCs w:val="26"/>
          <w:rtl/>
          <w14:ligatures w14:val="none"/>
        </w:rPr>
        <w:t>جـ.</w:t>
      </w:r>
      <w:r w:rsidRPr="006A7C83">
        <w:rPr>
          <w:rFonts w:eastAsia="Times New Roman" w:cs="DecoType Naskh" w:hint="cs"/>
          <w:bCs/>
          <w:color w:val="auto"/>
          <w:kern w:val="0"/>
          <w:szCs w:val="26"/>
          <w:rtl/>
          <w14:ligatures w14:val="none"/>
        </w:rPr>
        <w:tab/>
        <w:t xml:space="preserve">تعبير </w:t>
      </w:r>
      <w:r w:rsidRPr="006A7C83">
        <w:rPr>
          <w:rFonts w:eastAsia="Times New Roman" w:cs="DecoType Naskh" w:hint="cs"/>
          <w:bCs/>
          <w:i/>
          <w:iCs/>
          <w:color w:val="auto"/>
          <w:kern w:val="0"/>
          <w:szCs w:val="26"/>
          <w:rtl/>
          <w14:ligatures w14:val="none"/>
        </w:rPr>
        <w:t>حِسِد</w:t>
      </w:r>
      <w:r w:rsidRPr="006A7C83">
        <w:rPr>
          <w:rFonts w:eastAsia="Times New Roman" w:cs="DecoType Naskh" w:hint="cs"/>
          <w:bCs/>
          <w:color w:val="auto"/>
          <w:kern w:val="0"/>
          <w:szCs w:val="26"/>
          <w:rtl/>
          <w14:ligatures w14:val="none"/>
        </w:rPr>
        <w:t xml:space="preserve"> </w:t>
      </w:r>
      <w:r w:rsidRPr="006A7C83">
        <w:rPr>
          <w:rFonts w:ascii="Charis SIL" w:eastAsia="Times New Roman" w:hAnsi="Charis SIL" w:cs="Charis SIL"/>
          <w:b/>
          <w:bCs/>
          <w:i/>
          <w:color w:val="auto"/>
          <w:kern w:val="0"/>
          <w:szCs w:val="26"/>
          <w:lang w:bidi="he-IL"/>
          <w14:ligatures w14:val="none"/>
        </w:rPr>
        <w:t>ḥeseḏ</w:t>
      </w:r>
      <w:r w:rsidRPr="006A7C83">
        <w:rPr>
          <w:rFonts w:eastAsia="Times New Roman" w:cs="DecoType Naskh" w:hint="cs"/>
          <w:bCs/>
          <w:color w:val="auto"/>
          <w:kern w:val="0"/>
          <w:sz w:val="22"/>
          <w:rtl/>
          <w14:ligatures w14:val="none"/>
        </w:rPr>
        <w:t xml:space="preserve"> </w:t>
      </w:r>
      <w:r w:rsidRPr="006A7C83">
        <w:rPr>
          <w:rFonts w:eastAsia="Times New Roman" w:cs="DecoType Naskh" w:hint="cs"/>
          <w:bCs/>
          <w:color w:val="auto"/>
          <w:kern w:val="0"/>
          <w:szCs w:val="26"/>
          <w:rtl/>
          <w14:ligatures w14:val="none"/>
        </w:rPr>
        <w:t>(</w:t>
      </w:r>
      <w:r w:rsidRPr="006A7C83">
        <w:rPr>
          <w:rFonts w:ascii="Ezra SIL" w:eastAsia="Times New Roman" w:hAnsi="Ezra SIL" w:cs="Ezra SIL" w:hint="cs"/>
          <w:bCs/>
          <w:i/>
          <w:color w:val="auto"/>
          <w:kern w:val="0"/>
          <w:rtl/>
          <w:lang w:bidi="he-IL"/>
          <w14:ligatures w14:val="none"/>
        </w:rPr>
        <w:t>חֶסֶד</w:t>
      </w:r>
      <w:r w:rsidRPr="006A7C83">
        <w:rPr>
          <w:rFonts w:eastAsia="Times New Roman" w:cs="DecoType Naskh" w:hint="cs"/>
          <w:bCs/>
          <w:color w:val="auto"/>
          <w:kern w:val="0"/>
          <w:szCs w:val="26"/>
          <w:rtl/>
          <w14:ligatures w14:val="none"/>
        </w:rPr>
        <w:t>)</w:t>
      </w:r>
    </w:p>
    <w:p w14:paraId="4AF9B9D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يرِد تعبير </w:t>
      </w:r>
      <w:r w:rsidRPr="006A7C83">
        <w:rPr>
          <w:rFonts w:eastAsia="Times New Roman" w:cs="DecoType Naskh" w:hint="cs"/>
          <w:i/>
          <w:iCs/>
          <w:color w:val="auto"/>
          <w:kern w:val="0"/>
          <w:szCs w:val="26"/>
          <w:rtl/>
          <w:lang w:bidi="ar-JO"/>
          <w14:ligatures w14:val="none"/>
        </w:rPr>
        <w:t>حِسِد</w:t>
      </w:r>
      <w:r w:rsidRPr="006A7C83">
        <w:rPr>
          <w:rFonts w:eastAsia="Times New Roman" w:cs="DecoType Naskh" w:hint="cs"/>
          <w:color w:val="auto"/>
          <w:kern w:val="0"/>
          <w:szCs w:val="26"/>
          <w:rtl/>
          <w:lang w:bidi="ar-JO"/>
          <w14:ligatures w14:val="none"/>
        </w:rPr>
        <w:t xml:space="preserve"> </w:t>
      </w:r>
      <w:r w:rsidRPr="006A7C83">
        <w:rPr>
          <w:rFonts w:ascii="Charis SIL" w:eastAsia="Times New Roman" w:hAnsi="Charis SIL" w:cs="Charis SIL"/>
          <w:i/>
          <w:color w:val="auto"/>
          <w:kern w:val="0"/>
          <w:szCs w:val="26"/>
          <w:lang w:bidi="he-IL"/>
          <w14:ligatures w14:val="none"/>
        </w:rPr>
        <w:t>ḥeseḏ</w:t>
      </w:r>
      <w:r w:rsidRPr="006A7C83">
        <w:rPr>
          <w:rFonts w:eastAsia="Times New Roman" w:cs="DecoType Naskh" w:hint="cs"/>
          <w:color w:val="auto"/>
          <w:kern w:val="0"/>
          <w:sz w:val="22"/>
          <w:rtl/>
          <w:lang w:bidi="ar-JO"/>
          <w14:ligatures w14:val="none"/>
        </w:rPr>
        <w:t xml:space="preserve"> </w:t>
      </w:r>
      <w:r w:rsidRPr="006A7C83">
        <w:rPr>
          <w:rFonts w:eastAsia="Times New Roman" w:cs="DecoType Naskh" w:hint="cs"/>
          <w:color w:val="auto"/>
          <w:kern w:val="0"/>
          <w:szCs w:val="26"/>
          <w:rtl/>
          <w:lang w:bidi="ar-JO"/>
          <w14:ligatures w14:val="none"/>
        </w:rPr>
        <w:t xml:space="preserve">في ثلاث مواضع في السفر (1: 8؛ 2: 20؛ 3: 10).  وتترجم </w:t>
      </w:r>
      <w:r w:rsidRPr="006A7C83">
        <w:rPr>
          <w:rFonts w:eastAsia="Times New Roman" w:cs="DecoType Naskh"/>
          <w:i/>
          <w:iCs/>
          <w:color w:val="auto"/>
          <w:kern w:val="0"/>
          <w:sz w:val="22"/>
          <w:szCs w:val="24"/>
          <w14:ligatures w14:val="none"/>
        </w:rPr>
        <w:t>NASB</w:t>
      </w:r>
      <w:r w:rsidRPr="006A7C83">
        <w:rPr>
          <w:rFonts w:eastAsia="Times New Roman" w:cs="DecoType Naskh" w:hint="cs"/>
          <w:color w:val="auto"/>
          <w:kern w:val="0"/>
          <w:szCs w:val="26"/>
          <w:rtl/>
          <w:lang w:bidi="ar-JO"/>
          <w14:ligatures w14:val="none"/>
        </w:rPr>
        <w:t xml:space="preserve"> و </w:t>
      </w:r>
      <w:r w:rsidRPr="006A7C83">
        <w:rPr>
          <w:rFonts w:eastAsia="Times New Roman" w:cs="DecoType Naskh"/>
          <w:i/>
          <w:iCs/>
          <w:color w:val="auto"/>
          <w:kern w:val="0"/>
          <w:sz w:val="22"/>
          <w:szCs w:val="24"/>
          <w14:ligatures w14:val="none"/>
        </w:rPr>
        <w:t>KJV</w:t>
      </w:r>
      <w:r w:rsidRPr="006A7C83">
        <w:rPr>
          <w:rFonts w:eastAsia="Times New Roman" w:cs="DecoType Naskh" w:hint="cs"/>
          <w:color w:val="auto"/>
          <w:kern w:val="0"/>
          <w:szCs w:val="26"/>
          <w:rtl/>
          <w:lang w:bidi="ar-JO"/>
          <w14:ligatures w14:val="none"/>
        </w:rPr>
        <w:t xml:space="preserve"> هذا التعبير إلى "إحسان" أو "لطف" أو "كرم".  لكن الكلمة تدل على ما هو أكثر بكثير من عمل إحسان أو موقف يتسم بالكرم واللطف.  إن </w:t>
      </w:r>
      <w:r w:rsidRPr="006A7C83">
        <w:rPr>
          <w:rFonts w:eastAsia="Times New Roman" w:cs="DecoType Naskh" w:hint="cs"/>
          <w:i/>
          <w:iCs/>
          <w:color w:val="auto"/>
          <w:kern w:val="0"/>
          <w:szCs w:val="26"/>
          <w:rtl/>
          <w:lang w:bidi="ar-JO"/>
          <w14:ligatures w14:val="none"/>
        </w:rPr>
        <w:t>حِسِد</w:t>
      </w:r>
      <w:r w:rsidRPr="006A7C83">
        <w:rPr>
          <w:rFonts w:eastAsia="Times New Roman" w:cs="DecoType Naskh" w:hint="cs"/>
          <w:color w:val="auto"/>
          <w:kern w:val="0"/>
          <w:szCs w:val="26"/>
          <w:rtl/>
          <w:lang w:bidi="ar-JO"/>
          <w14:ligatures w14:val="none"/>
        </w:rPr>
        <w:t xml:space="preserve"> </w:t>
      </w:r>
      <w:r w:rsidRPr="006A7C83">
        <w:rPr>
          <w:rFonts w:ascii="Charis SIL" w:eastAsia="Times New Roman" w:hAnsi="Charis SIL" w:cs="Charis SIL"/>
          <w:i/>
          <w:color w:val="auto"/>
          <w:kern w:val="0"/>
          <w:szCs w:val="26"/>
          <w:lang w:bidi="he-IL"/>
          <w14:ligatures w14:val="none"/>
        </w:rPr>
        <w:t>ḥeseḏ</w:t>
      </w:r>
      <w:r w:rsidRPr="006A7C83">
        <w:rPr>
          <w:rFonts w:eastAsia="Times New Roman" w:cs="DecoType Naskh" w:hint="cs"/>
          <w:color w:val="auto"/>
          <w:kern w:val="0"/>
          <w:sz w:val="22"/>
          <w:rtl/>
          <w:lang w:bidi="ar-JO"/>
          <w14:ligatures w14:val="none"/>
        </w:rPr>
        <w:t xml:space="preserve"> </w:t>
      </w:r>
      <w:r w:rsidRPr="006A7C83">
        <w:rPr>
          <w:rFonts w:eastAsia="Times New Roman" w:cs="DecoType Naskh" w:hint="cs"/>
          <w:color w:val="auto"/>
          <w:kern w:val="0"/>
          <w:szCs w:val="26"/>
          <w:rtl/>
          <w:lang w:bidi="ar-JO"/>
          <w14:ligatures w14:val="none"/>
        </w:rPr>
        <w:t xml:space="preserve">أكثر بكثير من مجرّد عاطفة.  ففكرة الولاء والوفاء متأصّلة في هذه الكلمة، بالإضافة إلى تأثير المحبّة.  إن </w:t>
      </w:r>
      <w:r w:rsidRPr="006A7C83">
        <w:rPr>
          <w:rFonts w:eastAsia="Times New Roman" w:cs="DecoType Naskh" w:hint="cs"/>
          <w:i/>
          <w:iCs/>
          <w:color w:val="auto"/>
          <w:kern w:val="0"/>
          <w:szCs w:val="26"/>
          <w:rtl/>
          <w:lang w:bidi="ar-JO"/>
          <w14:ligatures w14:val="none"/>
        </w:rPr>
        <w:t>حِسِد</w:t>
      </w:r>
      <w:r w:rsidRPr="006A7C83">
        <w:rPr>
          <w:rFonts w:eastAsia="Times New Roman" w:cs="DecoType Naskh" w:hint="cs"/>
          <w:color w:val="auto"/>
          <w:kern w:val="0"/>
          <w:szCs w:val="26"/>
          <w:rtl/>
          <w:lang w:bidi="ar-JO"/>
          <w14:ligatures w14:val="none"/>
        </w:rPr>
        <w:t xml:space="preserve"> </w:t>
      </w:r>
      <w:r w:rsidRPr="006A7C83">
        <w:rPr>
          <w:rFonts w:ascii="Charis SIL" w:eastAsia="Times New Roman" w:hAnsi="Charis SIL" w:cs="Charis SIL"/>
          <w:i/>
          <w:color w:val="auto"/>
          <w:kern w:val="0"/>
          <w:szCs w:val="26"/>
          <w:lang w:bidi="he-IL"/>
          <w14:ligatures w14:val="none"/>
        </w:rPr>
        <w:t>ḥeseḏ</w:t>
      </w:r>
      <w:r w:rsidRPr="006A7C83">
        <w:rPr>
          <w:rFonts w:eastAsia="Times New Roman" w:cs="DecoType Naskh" w:hint="cs"/>
          <w:color w:val="auto"/>
          <w:kern w:val="0"/>
          <w:sz w:val="22"/>
          <w:rtl/>
          <w:lang w:bidi="ar-JO"/>
          <w14:ligatures w14:val="none"/>
        </w:rPr>
        <w:t xml:space="preserve"> </w:t>
      </w:r>
      <w:r w:rsidRPr="006A7C83">
        <w:rPr>
          <w:rFonts w:eastAsia="Times New Roman" w:cs="DecoType Naskh" w:hint="cs"/>
          <w:color w:val="auto"/>
          <w:kern w:val="0"/>
          <w:szCs w:val="26"/>
          <w:rtl/>
          <w14:ligatures w14:val="none"/>
        </w:rPr>
        <w:t xml:space="preserve">عبارة عن </w:t>
      </w:r>
      <w:r w:rsidRPr="006A7C83">
        <w:rPr>
          <w:rFonts w:eastAsia="Times New Roman" w:cs="DecoType Naskh" w:hint="cs"/>
          <w:color w:val="auto"/>
          <w:kern w:val="0"/>
          <w:szCs w:val="26"/>
          <w:rtl/>
          <w:lang w:bidi="ar-JO"/>
          <w14:ligatures w14:val="none"/>
        </w:rPr>
        <w:t xml:space="preserve">إبداء محبّة نابعة من </w:t>
      </w:r>
      <w:r w:rsidRPr="006A7C83">
        <w:rPr>
          <w:rFonts w:eastAsia="Times New Roman" w:cs="DecoType Naskh" w:hint="cs"/>
          <w:color w:val="auto"/>
          <w:kern w:val="0"/>
          <w:szCs w:val="26"/>
          <w:u w:val="single"/>
          <w:rtl/>
          <w:lang w:bidi="ar-JO"/>
          <w14:ligatures w14:val="none"/>
        </w:rPr>
        <w:t>التزام يتّسم بالولاء</w:t>
      </w:r>
      <w:r w:rsidRPr="006A7C83">
        <w:rPr>
          <w:rFonts w:eastAsia="Times New Roman" w:cs="DecoType Naskh" w:hint="cs"/>
          <w:color w:val="auto"/>
          <w:kern w:val="0"/>
          <w:szCs w:val="26"/>
          <w:rtl/>
          <w:lang w:bidi="ar-JO"/>
          <w14:ligatures w14:val="none"/>
        </w:rPr>
        <w:t xml:space="preserve"> لموضوع محبّة المرء.  إن فكرة "المحبّة المتّسمة بالولاء" هي أكثر ما يعبّر عنه هذا التعبير.</w:t>
      </w:r>
    </w:p>
    <w:p w14:paraId="695AB71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82E7BE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lastRenderedPageBreak/>
        <w:t xml:space="preserve">وهكذا تتضرع نعمي إلى يهوه لكي يُظهر </w:t>
      </w:r>
      <w:r w:rsidRPr="006A7C83">
        <w:rPr>
          <w:rFonts w:eastAsia="Times New Roman" w:cs="DecoType Naskh" w:hint="cs"/>
          <w:i/>
          <w:iCs/>
          <w:color w:val="auto"/>
          <w:kern w:val="0"/>
          <w:szCs w:val="26"/>
          <w:rtl/>
          <w:lang w:bidi="ar-JO"/>
          <w14:ligatures w14:val="none"/>
        </w:rPr>
        <w:t>حِسِد</w:t>
      </w:r>
      <w:r w:rsidRPr="006A7C83">
        <w:rPr>
          <w:rFonts w:eastAsia="Times New Roman" w:cs="DecoType Naskh" w:hint="cs"/>
          <w:color w:val="auto"/>
          <w:kern w:val="0"/>
          <w:szCs w:val="26"/>
          <w:rtl/>
          <w:lang w:bidi="ar-JO"/>
          <w14:ligatures w14:val="none"/>
        </w:rPr>
        <w:t>ه</w:t>
      </w:r>
      <w:r w:rsidRPr="006A7C83">
        <w:rPr>
          <w:rFonts w:eastAsia="Times New Roman" w:cs="DecoType Naskh" w:hint="cs"/>
          <w:color w:val="auto"/>
          <w:kern w:val="0"/>
          <w:szCs w:val="26"/>
          <w:rtl/>
          <w14:ligatures w14:val="none"/>
        </w:rPr>
        <w:t xml:space="preserve"> </w:t>
      </w:r>
      <w:r w:rsidRPr="006A7C83">
        <w:rPr>
          <w:rFonts w:ascii="Charis SIL" w:eastAsia="Times New Roman" w:hAnsi="Charis SIL" w:cs="Charis SIL"/>
          <w:i/>
          <w:color w:val="auto"/>
          <w:kern w:val="0"/>
          <w:szCs w:val="26"/>
          <w:lang w:bidi="he-IL"/>
          <w14:ligatures w14:val="none"/>
        </w:rPr>
        <w:t>ḥeseḏ</w:t>
      </w:r>
      <w:r w:rsidRPr="006A7C83">
        <w:rPr>
          <w:rFonts w:eastAsia="Times New Roman" w:cs="DecoType Naskh" w:hint="cs"/>
          <w:color w:val="auto"/>
          <w:kern w:val="0"/>
          <w:szCs w:val="26"/>
          <w:rtl/>
          <w:lang w:bidi="ar-JO"/>
          <w14:ligatures w14:val="none"/>
        </w:rPr>
        <w:t xml:space="preserve"> ، أي محبّته المتّسمة بالولاء تجاه راعوث (1: 8).  وبطبيعة الحال، فإن هذا ما يظهر على مدى السفر، خاصّة في ذروة السفر في الأصحاح الرابع.  لكننا نرى أيضاً في مسار القصّة أن راعوث تُظهر </w:t>
      </w:r>
      <w:r w:rsidRPr="006A7C83">
        <w:rPr>
          <w:rFonts w:eastAsia="Times New Roman" w:cs="DecoType Naskh" w:hint="cs"/>
          <w:i/>
          <w:iCs/>
          <w:color w:val="auto"/>
          <w:kern w:val="0"/>
          <w:szCs w:val="26"/>
          <w:rtl/>
          <w:lang w:bidi="ar-JO"/>
          <w14:ligatures w14:val="none"/>
        </w:rPr>
        <w:t>حِسِد</w:t>
      </w:r>
      <w:r w:rsidRPr="006A7C83">
        <w:rPr>
          <w:rFonts w:eastAsia="Times New Roman" w:cs="DecoType Naskh" w:hint="cs"/>
          <w:color w:val="auto"/>
          <w:kern w:val="0"/>
          <w:szCs w:val="26"/>
          <w:rtl/>
          <w:lang w:bidi="ar-JO"/>
          <w14:ligatures w14:val="none"/>
        </w:rPr>
        <w:t xml:space="preserve"> </w:t>
      </w:r>
      <w:r w:rsidRPr="006A7C83">
        <w:rPr>
          <w:rFonts w:ascii="Charis SIL" w:eastAsia="Times New Roman" w:hAnsi="Charis SIL" w:cs="Charis SIL"/>
          <w:i/>
          <w:color w:val="auto"/>
          <w:kern w:val="0"/>
          <w:szCs w:val="26"/>
          <w:lang w:bidi="he-IL"/>
          <w14:ligatures w14:val="none"/>
        </w:rPr>
        <w:t>ḥeseḏ</w:t>
      </w:r>
      <w:r w:rsidRPr="006A7C83">
        <w:rPr>
          <w:rFonts w:eastAsia="Times New Roman" w:cs="DecoType Naskh" w:hint="cs"/>
          <w:color w:val="auto"/>
          <w:kern w:val="0"/>
          <w:sz w:val="22"/>
          <w:rtl/>
          <w:lang w:bidi="ar-JO"/>
          <w14:ligatures w14:val="none"/>
        </w:rPr>
        <w:t xml:space="preserve"> </w:t>
      </w:r>
      <w:r w:rsidRPr="006A7C83">
        <w:rPr>
          <w:rFonts w:eastAsia="Times New Roman" w:cs="DecoType Naskh" w:hint="cs"/>
          <w:color w:val="auto"/>
          <w:kern w:val="0"/>
          <w:szCs w:val="26"/>
          <w:rtl/>
          <w:lang w:bidi="ar-JO"/>
          <w14:ligatures w14:val="none"/>
        </w:rPr>
        <w:t xml:space="preserve">(3: 10)، وأن بوعز يظهر </w:t>
      </w:r>
      <w:r w:rsidRPr="006A7C83">
        <w:rPr>
          <w:rFonts w:eastAsia="Times New Roman" w:cs="DecoType Naskh" w:hint="cs"/>
          <w:i/>
          <w:iCs/>
          <w:color w:val="auto"/>
          <w:kern w:val="0"/>
          <w:szCs w:val="26"/>
          <w:rtl/>
          <w:lang w:bidi="ar-JO"/>
          <w14:ligatures w14:val="none"/>
        </w:rPr>
        <w:t>حِسِد</w:t>
      </w:r>
      <w:r w:rsidRPr="006A7C83">
        <w:rPr>
          <w:rFonts w:eastAsia="Times New Roman" w:cs="DecoType Naskh" w:hint="cs"/>
          <w:color w:val="auto"/>
          <w:kern w:val="0"/>
          <w:szCs w:val="26"/>
          <w:rtl/>
          <w:lang w:bidi="ar-JO"/>
          <w14:ligatures w14:val="none"/>
        </w:rPr>
        <w:t xml:space="preserve"> </w:t>
      </w:r>
      <w:r w:rsidRPr="006A7C83">
        <w:rPr>
          <w:rFonts w:ascii="Charis SIL" w:eastAsia="Times New Roman" w:hAnsi="Charis SIL" w:cs="Charis SIL"/>
          <w:i/>
          <w:color w:val="auto"/>
          <w:kern w:val="0"/>
          <w:szCs w:val="26"/>
          <w:lang w:bidi="he-IL"/>
          <w14:ligatures w14:val="none"/>
        </w:rPr>
        <w:t>ḥeseḏ</w:t>
      </w:r>
      <w:r w:rsidRPr="006A7C83">
        <w:rPr>
          <w:rFonts w:eastAsia="Times New Roman" w:cs="DecoType Naskh" w:hint="cs"/>
          <w:color w:val="auto"/>
          <w:kern w:val="0"/>
          <w:sz w:val="22"/>
          <w:rtl/>
          <w:lang w:bidi="ar-JO"/>
          <w14:ligatures w14:val="none"/>
        </w:rPr>
        <w:t xml:space="preserve"> </w:t>
      </w:r>
      <w:r w:rsidRPr="006A7C83">
        <w:rPr>
          <w:rFonts w:eastAsia="Times New Roman" w:cs="DecoType Naskh" w:hint="cs"/>
          <w:color w:val="auto"/>
          <w:kern w:val="0"/>
          <w:szCs w:val="26"/>
          <w:rtl/>
          <w:lang w:bidi="ar-JO"/>
          <w14:ligatures w14:val="none"/>
        </w:rPr>
        <w:t>(2: 20).</w:t>
      </w:r>
    </w:p>
    <w:p w14:paraId="0A53BCD0"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97F2904" w14:textId="77777777" w:rsidR="006A7C83" w:rsidRPr="006A7C83" w:rsidRDefault="006A7C83"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6A7C83">
        <w:rPr>
          <w:rFonts w:eastAsia="Times New Roman" w:cs="DecoType Naskh" w:hint="cs"/>
          <w:bCs/>
          <w:color w:val="auto"/>
          <w:kern w:val="0"/>
          <w:szCs w:val="26"/>
          <w:rtl/>
          <w14:ligatures w14:val="none"/>
        </w:rPr>
        <w:t>د.</w:t>
      </w:r>
      <w:r w:rsidRPr="006A7C83">
        <w:rPr>
          <w:rFonts w:eastAsia="Times New Roman" w:cs="DecoType Naskh" w:hint="cs"/>
          <w:bCs/>
          <w:color w:val="auto"/>
          <w:kern w:val="0"/>
          <w:szCs w:val="26"/>
          <w:rtl/>
          <w14:ligatures w14:val="none"/>
        </w:rPr>
        <w:tab/>
        <w:t>تعبير يفدي (</w:t>
      </w:r>
      <w:r w:rsidRPr="006A7C83">
        <w:rPr>
          <w:rFonts w:ascii="Ezra SIL" w:eastAsia="Times New Roman" w:hAnsi="Ezra SIL" w:cs="Ezra SIL" w:hint="cs"/>
          <w:bCs/>
          <w:i/>
          <w:color w:val="auto"/>
          <w:kern w:val="0"/>
          <w:rtl/>
          <w:lang w:bidi="he-IL"/>
          <w14:ligatures w14:val="none"/>
        </w:rPr>
        <w:t>גאל</w:t>
      </w:r>
      <w:r w:rsidRPr="006A7C83">
        <w:rPr>
          <w:rFonts w:eastAsia="Times New Roman" w:cs="DecoType Naskh" w:hint="cs"/>
          <w:bCs/>
          <w:color w:val="auto"/>
          <w:kern w:val="0"/>
          <w:szCs w:val="26"/>
          <w:rtl/>
          <w14:ligatures w14:val="none"/>
        </w:rPr>
        <w:t>)</w:t>
      </w:r>
    </w:p>
    <w:p w14:paraId="2E5553CC"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يرد جذر هذه الكلمة كفعل (3: 13؛ 4: 4، 6)، وكاسم فاعل حسب اللغة العبرية (2: 20؛ 3: 9، 12؛ 4: 1، 3، 6، 8، 14)، وكاسم (4: 6، 7).  ويجب أن تكون هذه الكلمة موضوعاً لدراسة معمَّقة.  تشرح هذه الكلمة معاملات بوعز مع راعوث، وتوضح أيضاً أحد جوانب عمل المسيح على الصليب في علاقته بالفداء.</w:t>
      </w:r>
    </w:p>
    <w:p w14:paraId="1A7C8EA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تعني الكلمة بشكل رئيسي "يفدي" أو يتصرّف بصفته "وَليّاً"، أي "فادياً قريباً"، أو فادياً من نفس الجنس.  وكانت فكرة الولي هذه مفهوماً ثقافيّاً شائعاً في إسرائيل يكون بموجبه لأحد الأقرباء المقرّبين التزامات أو واجبات معيّنة نحو قريبه.  فعلى سبيل المثال، يمكن للولي، "الفادي-</w:t>
      </w:r>
      <w:r w:rsidRPr="006A7C83">
        <w:rPr>
          <w:rFonts w:eastAsia="Times New Roman" w:cs="DecoType Naskh" w:hint="cs"/>
          <w:color w:val="auto"/>
          <w:kern w:val="0"/>
          <w:szCs w:val="26"/>
          <w:rtl/>
          <w14:ligatures w14:val="none"/>
        </w:rPr>
        <w:t xml:space="preserve"> </w:t>
      </w:r>
      <w:r w:rsidRPr="006A7C83">
        <w:rPr>
          <w:rFonts w:eastAsia="Times New Roman" w:cs="DecoType Naskh" w:hint="cs"/>
          <w:color w:val="auto"/>
          <w:kern w:val="0"/>
          <w:szCs w:val="26"/>
          <w:rtl/>
          <w:lang w:bidi="ar-JO"/>
          <w14:ligatures w14:val="none"/>
        </w:rPr>
        <w:t>القريب"، أن يتزوّج أرملة أحد أفراد العائلة: وحسب شريعة الميراث، إذا تُرِكت أرملة دون أبناء، يصبح القريب التالي لزوجها الحق في الزواج منها (انظر راعوث 3: 12، 13؛ 4: 1) وفي إقامة نسل يديم اسم العائلة.  وكان يُفترض أيضاً أن تبقى الأرض الممتلكة في العائلة (حسب الشريعة)، لئلا تقع بين أيدي قلة من الناس أو تنتقل إلى سبط آخر.  أمّا الأرض التي كان يضطر صاحبها إلى بيعها (بسبب الفقر مثلاً)، فيجب أن تعود في النهاية إلى العائلة.  وإن بيعت الأرض فيجب أن يشتريها له قريبه ثانية (وهذا يشرح راعوث 4: 4، 6).  وكان هنالك عدد من الممارسات التي يمكن لإنسان بموجبها أن يفدي ("يفك") شيئاً أو يتصرّف "كفادٍ-قريب".  كان هذا الأمر مزدوجاً في سفر راعوث: (1) كانت لنُعمي قطعة أرض للبيع واحتاجت إلى أن تُفتدى ("تُفك") من قبل أحد أفراد العائلة (4: 3)، و(2) وبما أن راعوث كانت أرملة لرجل من بني إسرائيل، كان على أحد الأقرباء المقرّبين أن يتزوجها وأن يقيم أبناء من أجل زوجها.  وكان من الضروري أن تُعرض هذه الفُرص على أقرب الأقرباء أولاً (4: 3 فصاعداً).  وكان في استطاعته أن يرفض، فتذهب الفرصة إلى القريب الأقرب التالي (وهو بوعز في هذه الحالة).  وتصبح هذه قصة مثيرة في سفر راعوث، لأن راعوث كانت عاقراً مدّة عشر سنوات مع زوجها الأول (1: 4).  وعلى كل من يتزوجها أن يواجه حقيقة أنه ربما لا يرزق أبداً بأبناء يرثونه (انظر 4: 6-هذا هو الذي دعا القريب الأقرب إلى الرفض).  كان الزواج من راعوث، بالنسبة لبوعز، خطوة إيمان عظيمة، لكنه كان رجلاً يتّسم بالولاء العائلي.  ولقد كافأه الله مكافأة عظيمة لأنه قام بمسؤوليته بإيمان.  وإنه لمن السخرية الأدبية أن القريب الأقرب فوّت فرصة الزواج من راعوث خوفاً من الحرمان من الذريّة، ولم يدرك أن ذرّيته كان يمكن أن تتضمّن داود، لو أنّه تزوّج من راعوث!</w:t>
      </w:r>
    </w:p>
    <w:p w14:paraId="377A6D5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EC0C0E5"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وباختصار، يمكن وصف </w:t>
      </w:r>
      <w:r w:rsidRPr="006A7C83">
        <w:rPr>
          <w:rFonts w:eastAsia="Times New Roman" w:cs="DecoType Naskh" w:hint="cs"/>
          <w:i/>
          <w:iCs/>
          <w:color w:val="auto"/>
          <w:kern w:val="0"/>
          <w:szCs w:val="26"/>
          <w:rtl/>
          <w:lang w:bidi="ar-JO"/>
          <w14:ligatures w14:val="none"/>
        </w:rPr>
        <w:t>"جوئيل"</w:t>
      </w:r>
      <w:r w:rsidRPr="006A7C83">
        <w:rPr>
          <w:rFonts w:eastAsia="Times New Roman" w:cs="DecoType Naskh" w:hint="cs"/>
          <w:color w:val="auto"/>
          <w:kern w:val="0"/>
          <w:szCs w:val="26"/>
          <w:rtl/>
          <w:lang w:bidi="ar-JO"/>
          <w14:ligatures w14:val="none"/>
        </w:rPr>
        <w:t xml:space="preserve"> </w:t>
      </w:r>
      <w:r w:rsidRPr="006A7C83">
        <w:rPr>
          <w:rFonts w:ascii="Charis SIL" w:eastAsia="Times New Roman" w:hAnsi="Charis SIL" w:cs="Charis SIL"/>
          <w:bCs/>
          <w:i/>
          <w:iCs/>
          <w:color w:val="auto"/>
          <w:kern w:val="0"/>
          <w:szCs w:val="26"/>
          <w:lang w:bidi="he-IL"/>
          <w14:ligatures w14:val="none"/>
        </w:rPr>
        <w:t>gō’ēl</w:t>
      </w:r>
      <w:r w:rsidRPr="006A7C83">
        <w:rPr>
          <w:rFonts w:eastAsia="Times New Roman" w:cs="DecoType Naskh" w:hint="cs"/>
          <w:color w:val="auto"/>
          <w:kern w:val="0"/>
          <w:szCs w:val="26"/>
          <w:rtl/>
          <w:lang w:bidi="ar-JO"/>
          <w14:ligatures w14:val="none"/>
        </w:rPr>
        <w:t xml:space="preserve"> (الفادي-القريب) على أنه المدافع عن مصالح العائلة أوحاميها (لاويين 25: عدد35).  وكما يظهر من قصّة راعوث، كانت التزامات </w:t>
      </w:r>
      <w:r w:rsidRPr="006A7C83">
        <w:rPr>
          <w:rFonts w:eastAsia="Times New Roman" w:cs="DecoType Naskh" w:hint="cs"/>
          <w:i/>
          <w:iCs/>
          <w:color w:val="auto"/>
          <w:kern w:val="0"/>
          <w:szCs w:val="26"/>
          <w:rtl/>
          <w:lang w:bidi="ar-JO"/>
          <w14:ligatures w14:val="none"/>
        </w:rPr>
        <w:t>الجوئيل</w:t>
      </w:r>
      <w:r w:rsidRPr="006A7C83">
        <w:rPr>
          <w:rFonts w:eastAsia="Times New Roman" w:cs="DecoType Naskh" w:hint="cs"/>
          <w:color w:val="auto"/>
          <w:kern w:val="0"/>
          <w:szCs w:val="26"/>
          <w:rtl/>
          <w:lang w:bidi="ar-JO"/>
          <w14:ligatures w14:val="none"/>
        </w:rPr>
        <w:t xml:space="preserve"> </w:t>
      </w:r>
      <w:r w:rsidRPr="006A7C83">
        <w:rPr>
          <w:rFonts w:ascii="Charis SIL" w:eastAsia="Times New Roman" w:hAnsi="Charis SIL" w:cs="Charis SIL"/>
          <w:bCs/>
          <w:i/>
          <w:iCs/>
          <w:color w:val="auto"/>
          <w:kern w:val="0"/>
          <w:szCs w:val="26"/>
          <w:lang w:bidi="he-IL"/>
          <w14:ligatures w14:val="none"/>
        </w:rPr>
        <w:t>gō’ēl</w:t>
      </w:r>
      <w:r w:rsidRPr="006A7C83">
        <w:rPr>
          <w:rFonts w:eastAsia="Times New Roman" w:cs="DecoType Naskh" w:hint="cs"/>
          <w:color w:val="auto"/>
          <w:kern w:val="0"/>
          <w:szCs w:val="26"/>
          <w:rtl/>
          <w:lang w:bidi="ar-JO"/>
          <w14:ligatures w14:val="none"/>
        </w:rPr>
        <w:t xml:space="preserve"> أو واجباته طوعية، لا إجبارية.  وكان في مقدور الجوئيل </w:t>
      </w:r>
      <w:r w:rsidRPr="006A7C83">
        <w:rPr>
          <w:rFonts w:ascii="Charis SIL" w:eastAsia="Times New Roman" w:hAnsi="Charis SIL" w:cs="Charis SIL"/>
          <w:bCs/>
          <w:i/>
          <w:iCs/>
          <w:color w:val="auto"/>
          <w:kern w:val="0"/>
          <w:szCs w:val="26"/>
          <w:lang w:bidi="he-IL"/>
          <w14:ligatures w14:val="none"/>
        </w:rPr>
        <w:t>gō’ēl</w:t>
      </w:r>
      <w:r w:rsidRPr="006A7C83">
        <w:rPr>
          <w:rFonts w:eastAsia="Times New Roman" w:cs="DecoType Naskh" w:hint="cs"/>
          <w:color w:val="auto"/>
          <w:kern w:val="0"/>
          <w:szCs w:val="26"/>
          <w:rtl/>
          <w:lang w:bidi="ar-JO"/>
          <w14:ligatures w14:val="none"/>
        </w:rPr>
        <w:t xml:space="preserve"> أن يتراجع عن التزامه بواجباته.  لكن قيامه بذلك يعني أنه لم يمارس المحبّة المتّسمة بالولاء (</w:t>
      </w:r>
      <w:r w:rsidRPr="006A7C83">
        <w:rPr>
          <w:rFonts w:eastAsia="Times New Roman" w:cs="DecoType Naskh" w:hint="cs"/>
          <w:i/>
          <w:iCs/>
          <w:color w:val="auto"/>
          <w:kern w:val="0"/>
          <w:szCs w:val="26"/>
          <w:rtl/>
          <w:lang w:bidi="ar-JO"/>
          <w14:ligatures w14:val="none"/>
        </w:rPr>
        <w:t>حِسِد</w:t>
      </w:r>
      <w:r w:rsidRPr="006A7C83">
        <w:rPr>
          <w:rFonts w:ascii="Charis SIL" w:eastAsia="Times New Roman" w:hAnsi="Charis SIL" w:cs="Charis SIL"/>
          <w:i/>
          <w:color w:val="auto"/>
          <w:kern w:val="0"/>
          <w:szCs w:val="26"/>
          <w:lang w:bidi="he-IL"/>
          <w14:ligatures w14:val="none"/>
        </w:rPr>
        <w:t>ḥeseḏ</w:t>
      </w:r>
      <w:r w:rsidRPr="006A7C83">
        <w:rPr>
          <w:rFonts w:eastAsia="Times New Roman" w:cs="DecoType Naskh" w:hint="cs"/>
          <w:color w:val="auto"/>
          <w:kern w:val="0"/>
          <w:szCs w:val="26"/>
          <w:rtl/>
          <w:lang w:bidi="ar-JO"/>
          <w14:ligatures w14:val="none"/>
        </w:rPr>
        <w:t>)، وسيعني أيضاً دون شك أنه سيحمل وصمة عار في عيون العشيرة (انظر تثنية 25: 9-10؛ راعوث 4: 7).</w:t>
      </w:r>
    </w:p>
    <w:p w14:paraId="73B516C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0538182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تضع هذه المفاهيم أساس فهمنا للمسيح بصفته "فادياً-قريباً" لنا.  كان القريب الأقرب لأمّة إسرائيل، فدفع ثمن الخطيّة لكي يحرر ("يفك") شعبه من عواقب الخطيّة.  وعندما ندخل في علاقة معه، فإنه يهتم بمصالحنا ويحميها (مثلاً، تأديب أعدائنا).</w:t>
      </w:r>
    </w:p>
    <w:p w14:paraId="7C4C52E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319346B"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08FCD061"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3.</w:t>
      </w:r>
      <w:r w:rsidRPr="006A7C83">
        <w:rPr>
          <w:rFonts w:eastAsia="Times New Roman" w:cs="DecoType Naskh" w:hint="cs"/>
          <w:bCs/>
          <w:color w:val="auto"/>
          <w:kern w:val="0"/>
          <w:szCs w:val="28"/>
          <w:rtl/>
          <w:lang w:bidi="ar-JO"/>
          <w14:ligatures w14:val="none"/>
        </w:rPr>
        <w:tab/>
        <w:t xml:space="preserve">موضوع السفر </w:t>
      </w:r>
    </w:p>
    <w:p w14:paraId="65D2D51B"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lastRenderedPageBreak/>
        <w:t xml:space="preserve">يمنح الله نعمته بشكل سيادي </w:t>
      </w:r>
    </w:p>
    <w:p w14:paraId="64464BA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استجابةً للصلاة</w:t>
      </w:r>
    </w:p>
    <w:p w14:paraId="77D1B74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ومن خلال أعمال وفيّة لأشخاص أوفياء</w:t>
      </w:r>
    </w:p>
    <w:p w14:paraId="437249E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12894A6E"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14:ligatures w14:val="none"/>
        </w:rPr>
      </w:pPr>
      <w:r w:rsidRPr="006A7C83">
        <w:rPr>
          <w:rFonts w:eastAsia="Times New Roman" w:cs="DecoType Naskh" w:hint="cs"/>
          <w:bCs/>
          <w:color w:val="auto"/>
          <w:kern w:val="0"/>
          <w:szCs w:val="28"/>
          <w:rtl/>
          <w:lang w:bidi="ar-JO"/>
          <w14:ligatures w14:val="none"/>
        </w:rPr>
        <w:t>4.</w:t>
      </w:r>
      <w:r w:rsidRPr="006A7C83">
        <w:rPr>
          <w:rFonts w:eastAsia="Times New Roman" w:cs="DecoType Naskh" w:hint="cs"/>
          <w:bCs/>
          <w:color w:val="auto"/>
          <w:kern w:val="0"/>
          <w:szCs w:val="28"/>
          <w:rtl/>
          <w:lang w:bidi="ar-JO"/>
          <w14:ligatures w14:val="none"/>
        </w:rPr>
        <w:tab/>
        <w:t>تطوّر السفر</w:t>
      </w:r>
      <w:r w:rsidRPr="006A7C83">
        <w:rPr>
          <w:rFonts w:eastAsia="Times New Roman" w:cs="DecoType Naskh"/>
          <w:bCs/>
          <w:color w:val="auto"/>
          <w:kern w:val="0"/>
          <w:szCs w:val="28"/>
          <w:vertAlign w:val="superscript"/>
          <w:rtl/>
          <w:lang w:bidi="ar-JO"/>
          <w14:ligatures w14:val="none"/>
        </w:rPr>
        <w:footnoteReference w:customMarkFollows="1" w:id="211"/>
        <w:t>3</w:t>
      </w:r>
      <w:r w:rsidRPr="006A7C83">
        <w:rPr>
          <w:rFonts w:eastAsia="Times New Roman" w:cs="DecoType Naskh" w:hint="cs"/>
          <w:bCs/>
          <w:color w:val="auto"/>
          <w:kern w:val="0"/>
          <w:szCs w:val="28"/>
          <w:rtl/>
          <w:lang w:bidi="ar-JO"/>
          <w14:ligatures w14:val="none"/>
        </w:rPr>
        <w:t xml:space="preserve">     </w:t>
      </w:r>
    </w:p>
    <w:p w14:paraId="37F923F2" w14:textId="77777777" w:rsidR="006A7C83" w:rsidRPr="006A7C83" w:rsidRDefault="006A7C83"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6A7C83">
        <w:rPr>
          <w:rFonts w:eastAsia="Times New Roman" w:cs="DecoType Naskh" w:hint="cs"/>
          <w:bCs/>
          <w:color w:val="auto"/>
          <w:kern w:val="0"/>
          <w:szCs w:val="26"/>
          <w:rtl/>
          <w14:ligatures w14:val="none"/>
        </w:rPr>
        <w:t>أ.</w:t>
      </w:r>
      <w:r w:rsidRPr="006A7C83">
        <w:rPr>
          <w:rFonts w:eastAsia="Times New Roman" w:cs="DecoType Naskh" w:hint="cs"/>
          <w:bCs/>
          <w:color w:val="auto"/>
          <w:kern w:val="0"/>
          <w:szCs w:val="26"/>
          <w:rtl/>
          <w14:ligatures w14:val="none"/>
        </w:rPr>
        <w:tab/>
        <w:t xml:space="preserve">الأصحاح الأول </w:t>
      </w:r>
    </w:p>
    <w:p w14:paraId="6BE4C76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يبدأ السفر وإسرائيل تحت تأديب يهوه على شكل مجاعة (1: 1).  وتحاول عائلة أليمالك أن تتجنب التأديب بالهرب إلى موآب (عمل غير متّسم بالأمانة).  ويتزوج ابنا العائلة امرأتين غريبتين موآبيتين إحداهما راعوث.  غير أن أليمالك وابنيه يموتان في موآب، تاركين نعمي وكنّتيها وحيدات. </w:t>
      </w:r>
    </w:p>
    <w:p w14:paraId="42C318CE"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19B74D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تفسّر نُعمي هذا الوضع بالنظر إلى محنتها كعقاب شرعي من الله: "يد الرب قد خرجت عليَّ" (1: 13؛ انظر 1: 20، 21).  صارت الآن عجوزاً ملأى بالمرارة (يمكن ترجمة الأصل العبراني في 1: 13 إلى "إني أشعر بالمرارة" بدلاً من "فإنّي مغمومة جدّاً").  ويأتي إحساسها بالفراغ من عدم وجود زوج أو أبناء لها (1: 5).  وهي تعرف أنه لا مجال لها لأن تُرزق بأبناء لها (1: 11)، وتعلم أنها شاخت على الزواج (وهي لهذا لن تستطيع أن تنجب زوجين جديدين لكنّتيها).</w:t>
      </w:r>
    </w:p>
    <w:p w14:paraId="53DF674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  </w:t>
      </w:r>
    </w:p>
    <w:p w14:paraId="3C89E795"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غير أنه يتناهى إلى مسامعها خبر "</w:t>
      </w:r>
      <w:r w:rsidRPr="006A7C83">
        <w:rPr>
          <w:rFonts w:eastAsia="Times New Roman" w:cs="DecoType Naskh" w:hint="cs"/>
          <w:i/>
          <w:iCs/>
          <w:color w:val="auto"/>
          <w:kern w:val="0"/>
          <w:szCs w:val="26"/>
          <w:rtl/>
          <w:lang w:bidi="ar-JO"/>
          <w14:ligatures w14:val="none"/>
        </w:rPr>
        <w:t>أن الرب قد</w:t>
      </w:r>
      <w:r w:rsidRPr="006A7C83">
        <w:rPr>
          <w:rFonts w:eastAsia="Times New Roman" w:cs="DecoType Naskh" w:hint="cs"/>
          <w:i/>
          <w:iCs/>
          <w:color w:val="auto"/>
          <w:kern w:val="0"/>
          <w:szCs w:val="26"/>
          <w:u w:val="single"/>
          <w:rtl/>
          <w:lang w:bidi="ar-JO"/>
          <w14:ligatures w14:val="none"/>
        </w:rPr>
        <w:t xml:space="preserve"> افتقد</w:t>
      </w:r>
      <w:r w:rsidRPr="006A7C83">
        <w:rPr>
          <w:rFonts w:eastAsia="Times New Roman" w:cs="DecoType Naskh" w:hint="cs"/>
          <w:color w:val="auto"/>
          <w:kern w:val="0"/>
          <w:szCs w:val="26"/>
          <w:u w:val="single"/>
          <w:rtl/>
          <w:lang w:bidi="ar-JO"/>
          <w14:ligatures w14:val="none"/>
        </w:rPr>
        <w:t xml:space="preserve"> </w:t>
      </w:r>
      <w:r w:rsidRPr="006A7C83">
        <w:rPr>
          <w:rFonts w:eastAsia="Times New Roman" w:cs="DecoType Naskh" w:hint="cs"/>
          <w:i/>
          <w:iCs/>
          <w:color w:val="auto"/>
          <w:kern w:val="0"/>
          <w:szCs w:val="26"/>
          <w:rtl/>
          <w:lang w:bidi="ar-JO"/>
          <w14:ligatures w14:val="none"/>
        </w:rPr>
        <w:t xml:space="preserve">شعبه ليعطيهم خبزاً </w:t>
      </w:r>
      <w:r w:rsidRPr="006A7C83">
        <w:rPr>
          <w:rFonts w:eastAsia="Times New Roman" w:cs="DecoType Naskh" w:hint="cs"/>
          <w:color w:val="auto"/>
          <w:kern w:val="0"/>
          <w:szCs w:val="26"/>
          <w:rtl/>
          <w:lang w:bidi="ar-JO"/>
          <w14:ligatures w14:val="none"/>
        </w:rPr>
        <w:t xml:space="preserve">(طعاماً)" (1: 6).  والكلمة المستخدمة هنا هي باقَد </w:t>
      </w:r>
      <w:r w:rsidRPr="006A7C83">
        <w:rPr>
          <w:rFonts w:eastAsia="Times New Roman" w:cs="DecoType Naskh"/>
          <w:color w:val="auto"/>
          <w:kern w:val="0"/>
          <w:szCs w:val="26"/>
          <w:lang w:bidi="ar-JO"/>
          <w14:ligatures w14:val="none"/>
        </w:rPr>
        <w:t xml:space="preserve">) </w:t>
      </w:r>
      <w:r w:rsidRPr="006A7C83">
        <w:rPr>
          <w:rFonts w:ascii="Charis SIL" w:eastAsia="Times New Roman" w:hAnsi="Charis SIL" w:cs="Charis SIL"/>
          <w:bCs/>
          <w:i/>
          <w:iCs/>
          <w:color w:val="auto"/>
          <w:kern w:val="0"/>
          <w:szCs w:val="26"/>
          <w:lang w:bidi="he-IL"/>
          <w14:ligatures w14:val="none"/>
        </w:rPr>
        <w:t>pāqaḏ</w:t>
      </w:r>
      <w:r w:rsidRPr="006A7C83">
        <w:rPr>
          <w:rFonts w:ascii="Ezra SIL" w:eastAsia="Times New Roman" w:hAnsi="Ezra SIL" w:cs="Ezra SIL" w:hint="cs"/>
          <w:b/>
          <w:color w:val="auto"/>
          <w:kern w:val="0"/>
          <w:rtl/>
          <w:lang w:bidi="he-IL"/>
          <w14:ligatures w14:val="none"/>
        </w:rPr>
        <w:t>פקד</w:t>
      </w:r>
      <w:r w:rsidRPr="006A7C83">
        <w:rPr>
          <w:rFonts w:eastAsia="Times New Roman" w:cs="DecoType Naskh"/>
          <w:bCs/>
          <w:color w:val="auto"/>
          <w:kern w:val="0"/>
          <w:szCs w:val="26"/>
          <w:lang w:bidi="ar-JO"/>
          <w14:ligatures w14:val="none"/>
        </w:rPr>
        <w:t xml:space="preserve"> (</w:t>
      </w:r>
      <w:r w:rsidRPr="006A7C83">
        <w:rPr>
          <w:rFonts w:eastAsia="Times New Roman" w:cs="DecoType Naskh" w:hint="cs"/>
          <w:color w:val="auto"/>
          <w:kern w:val="0"/>
          <w:szCs w:val="26"/>
          <w:rtl/>
          <w:lang w:bidi="ar-JO"/>
          <w14:ligatures w14:val="none"/>
        </w:rPr>
        <w:t>، وهو تعبير عهدي؛ والفكرة هنا هي أن الله يبارك شعبه مرّة أخرى، فتتوجه نُعْمي عائدة على رجاء.</w:t>
      </w:r>
    </w:p>
    <w:p w14:paraId="11862256"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1E0039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غير أنها تحاول في الطريق أن تقنع كنّتيها بالعودة.  والمفتاح هنا هو دعوتها إلى الله في 1: 8-9 أن يظهر الرب لهما محبّته المتّسمة بالولاء (حِسِد</w:t>
      </w:r>
      <w:r w:rsidRPr="006A7C83">
        <w:rPr>
          <w:rFonts w:ascii="Charis SIL" w:eastAsia="Times New Roman" w:hAnsi="Charis SIL" w:cs="Charis SIL"/>
          <w:i/>
          <w:color w:val="auto"/>
          <w:kern w:val="0"/>
          <w:szCs w:val="26"/>
          <w:lang w:bidi="he-IL"/>
          <w14:ligatures w14:val="none"/>
        </w:rPr>
        <w:t xml:space="preserve"> ḥeseḏ</w:t>
      </w:r>
      <w:r w:rsidRPr="006A7C83">
        <w:rPr>
          <w:rFonts w:eastAsia="Times New Roman" w:cs="DecoType Naskh" w:hint="cs"/>
          <w:color w:val="auto"/>
          <w:kern w:val="0"/>
          <w:szCs w:val="26"/>
          <w:rtl/>
          <w:lang w:bidi="ar-JO"/>
          <w14:ligatures w14:val="none"/>
        </w:rPr>
        <w:t>)، وأن تجدا "راحة" في الدخول في زواج جديد.  ونستطيع أن نرى عبر السفر هذه الصلوات وهي تستجاب من خلال أعمال يقوم بها أشخاص أوفياء .  وتبدأ راعوث تختبر محبّة الله الوفيّة (</w:t>
      </w:r>
      <w:r w:rsidRPr="006A7C83">
        <w:rPr>
          <w:rFonts w:eastAsia="Times New Roman" w:cs="DecoType Naskh" w:hint="cs"/>
          <w:i/>
          <w:iCs/>
          <w:color w:val="auto"/>
          <w:kern w:val="0"/>
          <w:szCs w:val="26"/>
          <w:rtl/>
          <w:lang w:bidi="ar-JO"/>
          <w14:ligatures w14:val="none"/>
        </w:rPr>
        <w:t>حِسِد</w:t>
      </w:r>
      <w:r w:rsidRPr="006A7C83">
        <w:rPr>
          <w:rFonts w:ascii="Hebrewtl" w:eastAsia="Times New Roman" w:hAnsi="Hebrewtl" w:cs="DecoType Naskh"/>
          <w:color w:val="auto"/>
          <w:kern w:val="0"/>
          <w:sz w:val="20"/>
          <w14:ligatures w14:val="none"/>
        </w:rPr>
        <w:t>j#s#D</w:t>
      </w:r>
      <w:r w:rsidRPr="006A7C83">
        <w:rPr>
          <w:rFonts w:eastAsia="Times New Roman" w:cs="DecoType Naskh" w:hint="cs"/>
          <w:color w:val="auto"/>
          <w:kern w:val="0"/>
          <w:szCs w:val="26"/>
          <w:rtl/>
          <w:lang w:bidi="ar-JO"/>
          <w14:ligatures w14:val="none"/>
        </w:rPr>
        <w:t>) بتعرّفها ببوعز الذي كان كريماً معها (2: 20).  وفي 3: 1 تأخذ نُعمي خطوة عملية لتجد "راحة" لراعوث، ويتحقق هذا في الزواج في 4: 13.</w:t>
      </w:r>
    </w:p>
    <w:p w14:paraId="69F6F3EC"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1F8A1C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وهكذا يغيّر الله من وضع نُعمي بصفتها مجرّد عجوز مُرّة النفس، ويحل معضلتها:</w:t>
      </w:r>
    </w:p>
    <w:p w14:paraId="7A63A24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(1)</w:t>
      </w:r>
      <w:r w:rsidRPr="006A7C83">
        <w:rPr>
          <w:rFonts w:eastAsia="Times New Roman" w:cs="DecoType Naskh" w:hint="cs"/>
          <w:color w:val="auto"/>
          <w:kern w:val="0"/>
          <w:szCs w:val="26"/>
          <w:rtl/>
          <w:lang w:bidi="ar-JO"/>
          <w14:ligatures w14:val="none"/>
        </w:rPr>
        <w:tab/>
        <w:t xml:space="preserve">في 3: 17- يرسل بوعز شعيراً مع راعوث لكي لا تذهب خالية الوفاض إلى نُعمي. </w:t>
      </w:r>
    </w:p>
    <w:p w14:paraId="5B55DDE7"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(2)</w:t>
      </w:r>
      <w:r w:rsidRPr="006A7C83">
        <w:rPr>
          <w:rFonts w:eastAsia="Times New Roman" w:cs="DecoType Naskh" w:hint="cs"/>
          <w:color w:val="auto"/>
          <w:kern w:val="0"/>
          <w:szCs w:val="26"/>
          <w:rtl/>
          <w:lang w:bidi="ar-JO"/>
          <w14:ligatures w14:val="none"/>
        </w:rPr>
        <w:tab/>
        <w:t xml:space="preserve">في 4: 14- لم يترك يهوه نُعمي من غير </w:t>
      </w:r>
      <w:r w:rsidRPr="006A7C83">
        <w:rPr>
          <w:rFonts w:eastAsia="Times New Roman" w:cs="DecoType Naskh" w:hint="cs"/>
          <w:i/>
          <w:iCs/>
          <w:color w:val="auto"/>
          <w:kern w:val="0"/>
          <w:szCs w:val="26"/>
          <w:rtl/>
          <w:lang w:bidi="ar-JO"/>
          <w14:ligatures w14:val="none"/>
        </w:rPr>
        <w:t>جوئيل</w:t>
      </w:r>
      <w:r w:rsidRPr="006A7C83">
        <w:rPr>
          <w:rFonts w:eastAsia="Times New Roman" w:cs="DecoType Naskh" w:hint="cs"/>
          <w:i/>
          <w:iCs/>
          <w:color w:val="auto"/>
          <w:kern w:val="0"/>
          <w:szCs w:val="26"/>
          <w:rtl/>
          <w14:ligatures w14:val="none"/>
        </w:rPr>
        <w:t xml:space="preserve">  </w:t>
      </w:r>
      <w:r w:rsidRPr="006A7C83">
        <w:rPr>
          <w:rFonts w:ascii="Charis SIL" w:eastAsia="Times New Roman" w:hAnsi="Charis SIL" w:cs="Charis SIL"/>
          <w:bCs/>
          <w:i/>
          <w:iCs/>
          <w:color w:val="auto"/>
          <w:kern w:val="0"/>
          <w:szCs w:val="26"/>
          <w:lang w:bidi="he-IL"/>
          <w14:ligatures w14:val="none"/>
        </w:rPr>
        <w:t>gō’ēl</w:t>
      </w:r>
      <w:r w:rsidRPr="006A7C83">
        <w:rPr>
          <w:rFonts w:eastAsia="Times New Roman" w:cs="DecoType Naskh" w:hint="cs"/>
          <w:color w:val="auto"/>
          <w:kern w:val="0"/>
          <w:szCs w:val="26"/>
          <w:rtl/>
          <w:lang w:bidi="ar-JO"/>
          <w14:ligatures w14:val="none"/>
        </w:rPr>
        <w:t xml:space="preserve"> -</w:t>
      </w:r>
      <w:r w:rsidRPr="006A7C83">
        <w:rPr>
          <w:rFonts w:eastAsia="Times New Roman" w:cs="DecoType Naskh" w:hint="cs"/>
          <w:color w:val="auto"/>
          <w:kern w:val="0"/>
          <w:szCs w:val="26"/>
          <w:rtl/>
          <w14:ligatures w14:val="none"/>
        </w:rPr>
        <w:t xml:space="preserve">  </w:t>
      </w:r>
      <w:r w:rsidRPr="006A7C83">
        <w:rPr>
          <w:rFonts w:eastAsia="Times New Roman" w:cs="DecoType Naskh" w:hint="cs"/>
          <w:color w:val="auto"/>
          <w:kern w:val="0"/>
          <w:szCs w:val="26"/>
          <w:rtl/>
          <w:lang w:bidi="ar-JO"/>
          <w14:ligatures w14:val="none"/>
        </w:rPr>
        <w:t xml:space="preserve">إذ هناك </w:t>
      </w:r>
      <w:r w:rsidRPr="006A7C83">
        <w:rPr>
          <w:rFonts w:eastAsia="Times New Roman" w:cs="DecoType Naskh" w:hint="cs"/>
          <w:i/>
          <w:iCs/>
          <w:color w:val="auto"/>
          <w:kern w:val="0"/>
          <w:szCs w:val="26"/>
          <w:rtl/>
          <w:lang w:bidi="ar-JO"/>
          <w14:ligatures w14:val="none"/>
        </w:rPr>
        <w:t>جوئيل</w:t>
      </w:r>
      <w:r w:rsidRPr="006A7C83">
        <w:rPr>
          <w:rFonts w:eastAsia="Times New Roman" w:cs="DecoType Naskh" w:hint="cs"/>
          <w:color w:val="auto"/>
          <w:kern w:val="0"/>
          <w:szCs w:val="26"/>
          <w:rtl/>
          <w:lang w:bidi="ar-JO"/>
          <w14:ligatures w14:val="none"/>
        </w:rPr>
        <w:t xml:space="preserve"> </w:t>
      </w:r>
      <w:r w:rsidRPr="006A7C83">
        <w:rPr>
          <w:rFonts w:ascii="Charis SIL" w:eastAsia="Times New Roman" w:hAnsi="Charis SIL" w:cs="Charis SIL"/>
          <w:bCs/>
          <w:i/>
          <w:iCs/>
          <w:color w:val="auto"/>
          <w:kern w:val="0"/>
          <w:szCs w:val="26"/>
          <w:lang w:bidi="he-IL"/>
          <w14:ligatures w14:val="none"/>
        </w:rPr>
        <w:t>gō’ēl</w:t>
      </w:r>
      <w:r w:rsidRPr="006A7C83">
        <w:rPr>
          <w:rFonts w:eastAsia="Times New Roman" w:cs="DecoType Naskh" w:hint="cs"/>
          <w:color w:val="auto"/>
          <w:kern w:val="0"/>
          <w:szCs w:val="26"/>
          <w:rtl/>
          <w:lang w:bidi="ar-JO"/>
          <w14:ligatures w14:val="none"/>
        </w:rPr>
        <w:t xml:space="preserve"> جديداً، النسل</w:t>
      </w:r>
      <w:r w:rsidRPr="006A7C83">
        <w:rPr>
          <w:rFonts w:eastAsia="Times New Roman" w:cs="DecoType Naskh" w:hint="cs"/>
          <w:color w:val="auto"/>
          <w:kern w:val="0"/>
          <w:szCs w:val="26"/>
          <w:rtl/>
          <w14:ligatures w14:val="none"/>
        </w:rPr>
        <w:t xml:space="preserve">، الذي سيكون جوئيلاً </w:t>
      </w:r>
      <w:r w:rsidRPr="006A7C83">
        <w:rPr>
          <w:rFonts w:ascii="Charis SIL" w:eastAsia="Times New Roman" w:hAnsi="Charis SIL" w:cs="Charis SIL"/>
          <w:bCs/>
          <w:i/>
          <w:iCs/>
          <w:color w:val="auto"/>
          <w:kern w:val="0"/>
          <w:szCs w:val="26"/>
          <w:lang w:bidi="he-IL"/>
          <w14:ligatures w14:val="none"/>
        </w:rPr>
        <w:t>gō’ēl</w:t>
      </w:r>
      <w:r w:rsidRPr="006A7C83">
        <w:rPr>
          <w:rFonts w:ascii="Hebrewtl" w:eastAsia="Times New Roman" w:hAnsi="Hebrewtl" w:cs="DecoType Naskh" w:hint="cs"/>
          <w:color w:val="auto"/>
          <w:kern w:val="0"/>
          <w:szCs w:val="26"/>
          <w:rtl/>
          <w:lang w:bidi="ar-JO"/>
          <w14:ligatures w14:val="none"/>
        </w:rPr>
        <w:t xml:space="preserve"> لنعمي</w:t>
      </w:r>
      <w:r w:rsidRPr="006A7C83">
        <w:rPr>
          <w:rFonts w:eastAsia="Times New Roman" w:cs="DecoType Naskh" w:hint="cs"/>
          <w:color w:val="auto"/>
          <w:kern w:val="0"/>
          <w:szCs w:val="26"/>
          <w:rtl/>
          <w:lang w:bidi="ar-JO"/>
          <w14:ligatures w14:val="none"/>
        </w:rPr>
        <w:t>.</w:t>
      </w:r>
    </w:p>
    <w:p w14:paraId="082ECBD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(3)</w:t>
      </w:r>
      <w:r w:rsidRPr="006A7C83">
        <w:rPr>
          <w:rFonts w:eastAsia="Times New Roman" w:cs="DecoType Naskh" w:hint="cs"/>
          <w:color w:val="auto"/>
          <w:kern w:val="0"/>
          <w:szCs w:val="26"/>
          <w:rtl/>
          <w:lang w:bidi="ar-JO"/>
          <w14:ligatures w14:val="none"/>
        </w:rPr>
        <w:tab/>
        <w:t>4: 15- كنّتها الوفية خير لها من سبعة بنين.</w:t>
      </w:r>
    </w:p>
    <w:p w14:paraId="064F110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p>
    <w:p w14:paraId="224C5704" w14:textId="77777777" w:rsidR="006A7C83" w:rsidRPr="006A7C83" w:rsidRDefault="006A7C83"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6A7C83">
        <w:rPr>
          <w:rFonts w:eastAsia="Times New Roman" w:cs="DecoType Naskh" w:hint="cs"/>
          <w:bCs/>
          <w:color w:val="auto"/>
          <w:kern w:val="0"/>
          <w:szCs w:val="26"/>
          <w:rtl/>
          <w14:ligatures w14:val="none"/>
        </w:rPr>
        <w:t>ب.</w:t>
      </w:r>
      <w:r w:rsidRPr="006A7C83">
        <w:rPr>
          <w:rFonts w:eastAsia="Times New Roman" w:cs="DecoType Naskh" w:hint="cs"/>
          <w:bCs/>
          <w:color w:val="auto"/>
          <w:kern w:val="0"/>
          <w:szCs w:val="26"/>
          <w:rtl/>
          <w14:ligatures w14:val="none"/>
        </w:rPr>
        <w:tab/>
        <w:t xml:space="preserve">الأصحاح الثاني </w:t>
      </w:r>
    </w:p>
    <w:p w14:paraId="65B2ED66"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مع بداية الأصحاح الثاني تحاول راعوث أن تُعيل نُعمي بالتقاط سنابل الشعير المتبقية من حصاد الحقول، وهو الأمر الذي سمحت الشريعة للفقراء بممارسته (لاويين 19: 9-10).  وعندما نقابل بوعز، نرى أنه رجل يحب الرب ويحيا حسب التوراة.  وهو مهتم بالمصلحة الروحية للعاملين في الحقل (2: 4)، حتى أن الحصّادين يطلبون له البركة.</w:t>
      </w:r>
    </w:p>
    <w:p w14:paraId="1C4A3DB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72D8EC2"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lastRenderedPageBreak/>
        <w:t>عندما يكتشف بوعز وجود راعوث ويلاحظ وفاءها لنُعمي في سعيها لإعالتها، يطلب من الله بركة ومكافأة لها لأنها جاءت لتحتمي "تحت جناحي" يهوه، إله إسرائيل (2: 12).  يدرك أنها موآبية؛ لكنه أدرك أيضاً أنها بمجيئها بالإيمان مع نُعمي، كانت تسعى إلى ربط نفسها بإله إسرائيل.  ويصلّي بوعز أن يكرم الله خطوة إيمانها.  وبالطبع ستستجاب صلاته، ويكافئ الله إيمان راعوث ، ويصبح بوعز نفسه جزءاً من الاستجابة.</w:t>
      </w:r>
    </w:p>
    <w:p w14:paraId="59CA920D"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B51D3F0"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يعطيها بوعز امتيازات خاصّة ويقدّم لها حاجاتها من الطعام والشعير (2: 14-16).  وعندما تعود راعوث إلى نُعمي، تفرح نُعمي وتدعو لبوعز بالبركة؛ تدعو أن يباركه الرب من أجل محبّته الوفية (</w:t>
      </w:r>
      <w:r w:rsidRPr="006A7C83">
        <w:rPr>
          <w:rFonts w:eastAsia="Times New Roman" w:cs="DecoType Naskh" w:hint="cs"/>
          <w:i/>
          <w:iCs/>
          <w:color w:val="auto"/>
          <w:kern w:val="0"/>
          <w:szCs w:val="26"/>
          <w:rtl/>
          <w:lang w:bidi="ar-JO"/>
          <w14:ligatures w14:val="none"/>
        </w:rPr>
        <w:t>حِسِد</w:t>
      </w:r>
      <w:r w:rsidRPr="006A7C83">
        <w:rPr>
          <w:rFonts w:ascii="Charis SIL" w:eastAsia="Times New Roman" w:hAnsi="Charis SIL" w:cs="Charis SIL"/>
          <w:i/>
          <w:color w:val="auto"/>
          <w:kern w:val="0"/>
          <w:szCs w:val="26"/>
          <w:lang w:bidi="he-IL"/>
          <w14:ligatures w14:val="none"/>
        </w:rPr>
        <w:t xml:space="preserve"> ḥeseḏ</w:t>
      </w:r>
      <w:r w:rsidRPr="006A7C83">
        <w:rPr>
          <w:rFonts w:eastAsia="Times New Roman" w:cs="DecoType Naskh" w:hint="cs"/>
          <w:color w:val="auto"/>
          <w:kern w:val="0"/>
          <w:szCs w:val="26"/>
          <w:rtl/>
          <w:lang w:bidi="ar-JO"/>
          <w14:ligatures w14:val="none"/>
        </w:rPr>
        <w:t xml:space="preserve">).  وهذا يعني أن بوعز قريب للعائلة وأنه يتصرّف </w:t>
      </w:r>
      <w:r w:rsidRPr="006A7C83">
        <w:rPr>
          <w:rFonts w:eastAsia="Times New Roman" w:cs="DecoType Naskh" w:hint="cs"/>
          <w:color w:val="auto"/>
          <w:kern w:val="0"/>
          <w:szCs w:val="26"/>
          <w:u w:val="single"/>
          <w:rtl/>
          <w:lang w:bidi="ar-JO"/>
          <w14:ligatures w14:val="none"/>
        </w:rPr>
        <w:t>بولاء مدفوع بالمحبة</w:t>
      </w:r>
      <w:r w:rsidRPr="006A7C83">
        <w:rPr>
          <w:rFonts w:eastAsia="Times New Roman" w:cs="DecoType Naskh" w:hint="cs"/>
          <w:color w:val="auto"/>
          <w:kern w:val="0"/>
          <w:szCs w:val="26"/>
          <w:rtl/>
          <w:lang w:bidi="ar-JO"/>
          <w14:ligatures w14:val="none"/>
        </w:rPr>
        <w:t xml:space="preserve"> للاهتمام بهما.</w:t>
      </w:r>
    </w:p>
    <w:p w14:paraId="1D3C888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364DD9C4" w14:textId="77777777" w:rsidR="006A7C83" w:rsidRPr="006A7C83" w:rsidRDefault="006A7C83"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6A7C83">
        <w:rPr>
          <w:rFonts w:eastAsia="Times New Roman" w:cs="DecoType Naskh" w:hint="cs"/>
          <w:bCs/>
          <w:color w:val="auto"/>
          <w:kern w:val="0"/>
          <w:szCs w:val="26"/>
          <w:rtl/>
          <w14:ligatures w14:val="none"/>
        </w:rPr>
        <w:t>ج.</w:t>
      </w:r>
      <w:r w:rsidRPr="006A7C83">
        <w:rPr>
          <w:rFonts w:eastAsia="Times New Roman" w:cs="DecoType Naskh" w:hint="cs"/>
          <w:bCs/>
          <w:color w:val="auto"/>
          <w:kern w:val="0"/>
          <w:szCs w:val="26"/>
          <w:rtl/>
          <w14:ligatures w14:val="none"/>
        </w:rPr>
        <w:tab/>
        <w:t xml:space="preserve">الأصحاح الثالث </w:t>
      </w:r>
    </w:p>
    <w:p w14:paraId="63A7F550"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يتركّز هذا الأصحاح حول ذهاب راعوث إلى بوعز ليلاً، قبيل أن يخلد إلى النوم.  تأتي راعوث بالتماس: "ابسط ثوبك على أمتك لأنك وليّي (حرفيا</w:t>
      </w:r>
      <w:r w:rsidRPr="006A7C83">
        <w:rPr>
          <w:rFonts w:eastAsia="Times New Roman" w:cs="DecoType Naskh" w:hint="cs"/>
          <w:color w:val="auto"/>
          <w:kern w:val="0"/>
          <w:szCs w:val="26"/>
          <w:rtl/>
          <w14:ligatures w14:val="none"/>
        </w:rPr>
        <w:t>ً</w:t>
      </w:r>
      <w:r w:rsidRPr="006A7C83">
        <w:rPr>
          <w:rFonts w:eastAsia="Times New Roman" w:cs="DecoType Naskh" w:hint="cs"/>
          <w:color w:val="auto"/>
          <w:kern w:val="0"/>
          <w:szCs w:val="26"/>
          <w:rtl/>
          <w:lang w:bidi="ar-JO"/>
          <w14:ligatures w14:val="none"/>
        </w:rPr>
        <w:t>، جوئيل</w:t>
      </w:r>
      <w:r w:rsidRPr="006A7C83">
        <w:rPr>
          <w:rFonts w:eastAsia="Times New Roman" w:cs="DecoType Naskh" w:hint="cs"/>
          <w:color w:val="auto"/>
          <w:kern w:val="0"/>
          <w:szCs w:val="26"/>
          <w:rtl/>
          <w14:ligatures w14:val="none"/>
        </w:rPr>
        <w:t xml:space="preserve"> </w:t>
      </w:r>
      <w:r w:rsidRPr="006A7C83">
        <w:rPr>
          <w:rFonts w:ascii="Charis SIL" w:eastAsia="Times New Roman" w:hAnsi="Charis SIL" w:cs="Charis SIL"/>
          <w:bCs/>
          <w:i/>
          <w:iCs/>
          <w:color w:val="auto"/>
          <w:kern w:val="0"/>
          <w:szCs w:val="26"/>
          <w:lang w:bidi="he-IL"/>
          <w14:ligatures w14:val="none"/>
        </w:rPr>
        <w:t>gō’ēl</w:t>
      </w:r>
      <w:r w:rsidRPr="006A7C83">
        <w:rPr>
          <w:rFonts w:eastAsia="Times New Roman" w:cs="DecoType Naskh" w:hint="cs"/>
          <w:color w:val="auto"/>
          <w:kern w:val="0"/>
          <w:szCs w:val="26"/>
          <w:rtl/>
          <w:lang w:bidi="ar-JO"/>
          <w14:ligatures w14:val="none"/>
        </w:rPr>
        <w:t xml:space="preserve"> -فادٍ-</w:t>
      </w:r>
      <w:r w:rsidRPr="006A7C83">
        <w:rPr>
          <w:rFonts w:eastAsia="Times New Roman" w:cs="DecoType Naskh" w:hint="cs"/>
          <w:color w:val="auto"/>
          <w:kern w:val="0"/>
          <w:szCs w:val="26"/>
          <w:rtl/>
          <w14:ligatures w14:val="none"/>
        </w:rPr>
        <w:t xml:space="preserve"> </w:t>
      </w:r>
      <w:r w:rsidRPr="006A7C83">
        <w:rPr>
          <w:rFonts w:eastAsia="Times New Roman" w:cs="DecoType Naskh" w:hint="cs"/>
          <w:color w:val="auto"/>
          <w:kern w:val="0"/>
          <w:szCs w:val="26"/>
          <w:rtl/>
          <w:lang w:bidi="ar-JO"/>
          <w14:ligatures w14:val="none"/>
        </w:rPr>
        <w:t>قريب)" لم يكن هذا طلباً للمضاجعة كما فهم بعضهم قولها، لكنه كان طلباً منه أن يتصرّف بصفته الفادي-القريب ويتّخذ منها زوجة.  وقد فعلت هذا بإيعاز من نُعْمي، فكان ما فعلته عمل إيمان وطاعة سيأتي لها بالبركة.  ويدرك بوعز أن راعوث تتصرف بولاء مدفوع بالمحبة تجاه نُعمي.  كان في مقدور راعوث أن تسعى إلى الزواج من أي رجل، لكنها تصرّفت بإيمان رغبة منها في اتّباع مشيئة يهوه (كما هي معلنة في التوراة) لكي تتبع عادة زواج الأرملة التي لا أولاد لها من أقرب أقرباء الزوج.</w:t>
      </w:r>
    </w:p>
    <w:p w14:paraId="3D7AF85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ولم يكن هذا مجرد إظهار لولاء لنُعمي (التي ستستفيد من زواج راعوث من فادٍ-قريب)، لكنه كان أيضاً إظهاراً لإيمان بيهوه وخضوع لذلك الإله الذي جاءت لتحتمي "تحت جناحيه".</w:t>
      </w:r>
    </w:p>
    <w:p w14:paraId="31963298"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A1FB6E6"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يفهم بوعز هذه الأمور على نحو صحيح، ويصلّي طالباً بركة على راعوث، لإظهارها ولاء مدفوعاً بالمحبة (</w:t>
      </w:r>
      <w:r w:rsidRPr="006A7C83">
        <w:rPr>
          <w:rFonts w:eastAsia="Times New Roman" w:cs="DecoType Naskh" w:hint="cs"/>
          <w:i/>
          <w:iCs/>
          <w:color w:val="auto"/>
          <w:kern w:val="0"/>
          <w:szCs w:val="26"/>
          <w:rtl/>
          <w:lang w:bidi="ar-JO"/>
          <w14:ligatures w14:val="none"/>
        </w:rPr>
        <w:t>حِسِد</w:t>
      </w:r>
      <w:r w:rsidRPr="006A7C83">
        <w:rPr>
          <w:rFonts w:ascii="Charis SIL" w:eastAsia="Times New Roman" w:hAnsi="Charis SIL" w:cs="Charis SIL"/>
          <w:i/>
          <w:color w:val="auto"/>
          <w:kern w:val="0"/>
          <w:szCs w:val="26"/>
          <w:lang w:bidi="he-IL"/>
          <w14:ligatures w14:val="none"/>
        </w:rPr>
        <w:t xml:space="preserve"> ḥeseḏ</w:t>
      </w:r>
      <w:r w:rsidRPr="006A7C83">
        <w:rPr>
          <w:rFonts w:eastAsia="Times New Roman" w:cs="DecoType Naskh" w:hint="cs"/>
          <w:color w:val="auto"/>
          <w:kern w:val="0"/>
          <w:szCs w:val="26"/>
          <w:rtl/>
          <w:lang w:bidi="ar-JO"/>
          <w14:ligatures w14:val="none"/>
        </w:rPr>
        <w:t xml:space="preserve">).  وفيما يلي مفتاح فهم موضوع السفر: </w:t>
      </w:r>
    </w:p>
    <w:p w14:paraId="5DB892E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1: 8- ليت يهوه يبيّن </w:t>
      </w:r>
      <w:r w:rsidRPr="006A7C83">
        <w:rPr>
          <w:rFonts w:eastAsia="Times New Roman" w:cs="DecoType Naskh" w:hint="cs"/>
          <w:i/>
          <w:iCs/>
          <w:color w:val="auto"/>
          <w:kern w:val="0"/>
          <w:szCs w:val="26"/>
          <w:rtl/>
          <w:lang w:bidi="ar-JO"/>
          <w14:ligatures w14:val="none"/>
        </w:rPr>
        <w:t>حِسِد</w:t>
      </w:r>
      <w:r w:rsidRPr="006A7C83">
        <w:rPr>
          <w:rFonts w:eastAsia="Times New Roman" w:cs="DecoType Naskh" w:hint="cs"/>
          <w:color w:val="auto"/>
          <w:kern w:val="0"/>
          <w:szCs w:val="26"/>
          <w:rtl/>
          <w:lang w:bidi="ar-JO"/>
          <w14:ligatures w14:val="none"/>
        </w:rPr>
        <w:t>، ولاءه المدفوع بالمحبة</w:t>
      </w:r>
    </w:p>
    <w:p w14:paraId="0CE8CA1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2: 20- </w:t>
      </w:r>
      <w:r w:rsidRPr="006A7C83">
        <w:rPr>
          <w:rFonts w:eastAsia="Times New Roman" w:cs="DecoType Naskh" w:hint="cs"/>
          <w:i/>
          <w:iCs/>
          <w:color w:val="auto"/>
          <w:kern w:val="0"/>
          <w:szCs w:val="26"/>
          <w:rtl/>
          <w:lang w:bidi="ar-JO"/>
          <w14:ligatures w14:val="none"/>
        </w:rPr>
        <w:t>حِسِد</w:t>
      </w:r>
      <w:r w:rsidRPr="006A7C83">
        <w:rPr>
          <w:rFonts w:eastAsia="Times New Roman" w:cs="DecoType Naskh" w:hint="cs"/>
          <w:color w:val="auto"/>
          <w:kern w:val="0"/>
          <w:szCs w:val="26"/>
          <w:rtl/>
          <w:lang w:bidi="ar-JO"/>
          <w14:ligatures w14:val="none"/>
        </w:rPr>
        <w:t xml:space="preserve"> </w:t>
      </w:r>
      <w:r w:rsidRPr="006A7C83">
        <w:rPr>
          <w:rFonts w:ascii="Charis SIL" w:eastAsia="Times New Roman" w:hAnsi="Charis SIL" w:cs="Charis SIL"/>
          <w:i/>
          <w:color w:val="auto"/>
          <w:kern w:val="0"/>
          <w:szCs w:val="26"/>
          <w:lang w:bidi="he-IL"/>
          <w14:ligatures w14:val="none"/>
        </w:rPr>
        <w:t>ḥeseḏ</w:t>
      </w:r>
      <w:r w:rsidRPr="006A7C83">
        <w:rPr>
          <w:rFonts w:eastAsia="Times New Roman" w:cs="DecoType Naskh" w:hint="cs"/>
          <w:color w:val="auto"/>
          <w:kern w:val="0"/>
          <w:szCs w:val="26"/>
          <w:rtl/>
          <w:lang w:bidi="ar-JO"/>
          <w14:ligatures w14:val="none"/>
        </w:rPr>
        <w:t xml:space="preserve"> بوعز </w:t>
      </w:r>
    </w:p>
    <w:p w14:paraId="599CA459"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2138" w:hanging="550"/>
        <w:jc w:val="both"/>
        <w:rPr>
          <w:rFonts w:eastAsia="Times New Roman" w:cs="DecoType Naskh"/>
          <w:color w:val="auto"/>
          <w:kern w:val="0"/>
          <w:szCs w:val="26"/>
          <w:rtl/>
          <w14:ligatures w14:val="none"/>
        </w:rPr>
      </w:pPr>
      <w:r w:rsidRPr="006A7C83">
        <w:rPr>
          <w:rFonts w:eastAsia="Times New Roman" w:cs="DecoType Naskh" w:hint="cs"/>
          <w:color w:val="auto"/>
          <w:kern w:val="0"/>
          <w:szCs w:val="26"/>
          <w:rtl/>
          <w:lang w:bidi="ar-JO"/>
          <w14:ligatures w14:val="none"/>
        </w:rPr>
        <w:t xml:space="preserve">3: 10- </w:t>
      </w:r>
      <w:r w:rsidRPr="006A7C83">
        <w:rPr>
          <w:rFonts w:eastAsia="Times New Roman" w:cs="DecoType Naskh" w:hint="cs"/>
          <w:i/>
          <w:iCs/>
          <w:color w:val="auto"/>
          <w:kern w:val="0"/>
          <w:szCs w:val="26"/>
          <w:rtl/>
          <w:lang w:bidi="ar-JO"/>
          <w14:ligatures w14:val="none"/>
        </w:rPr>
        <w:t>حِسِد</w:t>
      </w:r>
      <w:r w:rsidRPr="006A7C83">
        <w:rPr>
          <w:rFonts w:eastAsia="Times New Roman" w:cs="DecoType Naskh" w:hint="cs"/>
          <w:color w:val="auto"/>
          <w:kern w:val="0"/>
          <w:szCs w:val="26"/>
          <w:rtl/>
          <w:lang w:bidi="ar-JO"/>
          <w14:ligatures w14:val="none"/>
        </w:rPr>
        <w:t xml:space="preserve"> </w:t>
      </w:r>
      <w:r w:rsidRPr="006A7C83">
        <w:rPr>
          <w:rFonts w:ascii="Charis SIL" w:eastAsia="Times New Roman" w:hAnsi="Charis SIL" w:cs="Charis SIL"/>
          <w:i/>
          <w:color w:val="auto"/>
          <w:kern w:val="0"/>
          <w:szCs w:val="26"/>
          <w:lang w:bidi="he-IL"/>
          <w14:ligatures w14:val="none"/>
        </w:rPr>
        <w:t>ḥeseḏ</w:t>
      </w:r>
      <w:r w:rsidRPr="006A7C83">
        <w:rPr>
          <w:rFonts w:eastAsia="Times New Roman" w:cs="DecoType Naskh" w:hint="cs"/>
          <w:color w:val="auto"/>
          <w:kern w:val="0"/>
          <w:szCs w:val="26"/>
          <w:rtl/>
          <w:lang w:bidi="ar-JO"/>
          <w14:ligatures w14:val="none"/>
        </w:rPr>
        <w:t xml:space="preserve"> راعوث </w:t>
      </w:r>
    </w:p>
    <w:p w14:paraId="6959D0A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5A7A80F"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كانت نُعمي قد صلّت أن يظهر يهوه </w:t>
      </w:r>
      <w:r w:rsidRPr="006A7C83">
        <w:rPr>
          <w:rFonts w:eastAsia="Times New Roman" w:cs="DecoType Naskh" w:hint="cs"/>
          <w:i/>
          <w:iCs/>
          <w:color w:val="auto"/>
          <w:kern w:val="0"/>
          <w:szCs w:val="26"/>
          <w:rtl/>
          <w:lang w:bidi="ar-JO"/>
          <w14:ligatures w14:val="none"/>
        </w:rPr>
        <w:t>حِسِد</w:t>
      </w:r>
      <w:r w:rsidRPr="006A7C83">
        <w:rPr>
          <w:rFonts w:eastAsia="Times New Roman" w:cs="DecoType Naskh" w:hint="cs"/>
          <w:color w:val="auto"/>
          <w:kern w:val="0"/>
          <w:szCs w:val="26"/>
          <w:rtl/>
          <w:lang w:bidi="ar-JO"/>
          <w14:ligatures w14:val="none"/>
        </w:rPr>
        <w:t xml:space="preserve"> </w:t>
      </w:r>
      <w:r w:rsidRPr="006A7C83">
        <w:rPr>
          <w:rFonts w:ascii="Charis SIL" w:eastAsia="Times New Roman" w:hAnsi="Charis SIL" w:cs="Charis SIL"/>
          <w:i/>
          <w:color w:val="auto"/>
          <w:kern w:val="0"/>
          <w:szCs w:val="26"/>
          <w:lang w:bidi="he-IL"/>
          <w14:ligatures w14:val="none"/>
        </w:rPr>
        <w:t>ḥeseḏ</w:t>
      </w:r>
      <w:r w:rsidRPr="006A7C83">
        <w:rPr>
          <w:rFonts w:eastAsia="Times New Roman" w:cs="DecoType Naskh" w:hint="cs"/>
          <w:color w:val="auto"/>
          <w:kern w:val="0"/>
          <w:szCs w:val="26"/>
          <w:rtl/>
          <w:lang w:bidi="ar-JO"/>
          <w14:ligatures w14:val="none"/>
        </w:rPr>
        <w:t xml:space="preserve"> (ولاء مدفوعاً بالمحبة) تجاه راعوث.  وهو يفعل هذا (كما نرى في الأصحاح 4).  لكننا نرى أثناء تطور القصّة شخصين يمتلكان </w:t>
      </w:r>
      <w:r w:rsidRPr="006A7C83">
        <w:rPr>
          <w:rFonts w:eastAsia="Times New Roman" w:cs="DecoType Naskh" w:hint="cs"/>
          <w:i/>
          <w:iCs/>
          <w:color w:val="auto"/>
          <w:kern w:val="0"/>
          <w:szCs w:val="26"/>
          <w:rtl/>
          <w:lang w:bidi="ar-JO"/>
          <w14:ligatures w14:val="none"/>
        </w:rPr>
        <w:t>حِسِد</w:t>
      </w:r>
      <w:r w:rsidRPr="006A7C83">
        <w:rPr>
          <w:rFonts w:eastAsia="Times New Roman" w:cs="DecoType Naskh" w:hint="cs"/>
          <w:color w:val="auto"/>
          <w:kern w:val="0"/>
          <w:szCs w:val="26"/>
          <w:rtl/>
          <w:lang w:bidi="ar-JO"/>
          <w14:ligatures w14:val="none"/>
        </w:rPr>
        <w:t xml:space="preserve"> </w:t>
      </w:r>
      <w:r w:rsidRPr="006A7C83">
        <w:rPr>
          <w:rFonts w:ascii="Charis SIL" w:eastAsia="Times New Roman" w:hAnsi="Charis SIL" w:cs="Charis SIL"/>
          <w:i/>
          <w:color w:val="auto"/>
          <w:kern w:val="0"/>
          <w:szCs w:val="26"/>
          <w:lang w:bidi="he-IL"/>
          <w14:ligatures w14:val="none"/>
        </w:rPr>
        <w:t>ḥeseḏ</w:t>
      </w:r>
      <w:r w:rsidRPr="006A7C83">
        <w:rPr>
          <w:rFonts w:eastAsia="Times New Roman" w:cs="DecoType Naskh" w:hint="cs"/>
          <w:color w:val="auto"/>
          <w:kern w:val="0"/>
          <w:szCs w:val="26"/>
          <w:rtl/>
          <w:lang w:bidi="ar-JO"/>
          <w14:ligatures w14:val="none"/>
        </w:rPr>
        <w:t xml:space="preserve"> أيضاً.  يجلب يهوه ولاءه المدفوع بالمحبة، لكن ذلك يتضمن أعمالاً متّسمة بالولاء والإخلاص من أفراد-</w:t>
      </w:r>
      <w:r w:rsidRPr="006A7C83">
        <w:rPr>
          <w:rFonts w:eastAsia="Times New Roman" w:cs="DecoType Naskh" w:hint="cs"/>
          <w:color w:val="auto"/>
          <w:kern w:val="0"/>
          <w:szCs w:val="26"/>
          <w:rtl/>
          <w14:ligatures w14:val="none"/>
        </w:rPr>
        <w:t xml:space="preserve"> </w:t>
      </w:r>
      <w:r w:rsidRPr="006A7C83">
        <w:rPr>
          <w:rFonts w:eastAsia="Times New Roman" w:cs="DecoType Naskh" w:hint="cs"/>
          <w:color w:val="auto"/>
          <w:kern w:val="0"/>
          <w:szCs w:val="26"/>
          <w:rtl/>
          <w:lang w:bidi="ar-JO"/>
          <w14:ligatures w14:val="none"/>
        </w:rPr>
        <w:t>ومن خلال هذا يستجيب الله للصلاة.</w:t>
      </w:r>
    </w:p>
    <w:p w14:paraId="7BE72328"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D3CC252" w14:textId="77777777" w:rsidR="006A7C83" w:rsidRPr="006A7C83" w:rsidRDefault="006A7C83"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6A7C83">
        <w:rPr>
          <w:rFonts w:eastAsia="Times New Roman" w:cs="DecoType Naskh" w:hint="cs"/>
          <w:bCs/>
          <w:color w:val="auto"/>
          <w:kern w:val="0"/>
          <w:szCs w:val="26"/>
          <w:rtl/>
          <w14:ligatures w14:val="none"/>
        </w:rPr>
        <w:t>د.</w:t>
      </w:r>
      <w:r w:rsidRPr="006A7C83">
        <w:rPr>
          <w:rFonts w:eastAsia="Times New Roman" w:cs="DecoType Naskh" w:hint="cs"/>
          <w:bCs/>
          <w:color w:val="auto"/>
          <w:kern w:val="0"/>
          <w:szCs w:val="26"/>
          <w:rtl/>
          <w14:ligatures w14:val="none"/>
        </w:rPr>
        <w:tab/>
        <w:t>الأصحاح الرابع</w:t>
      </w:r>
    </w:p>
    <w:p w14:paraId="4EF7A95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توجد عقبة في الطريق.  فقبل أن يتصرف بوعز بصفته الفادي- القريب، يجب أن تعطى الفرصة أولاً لأقرب الأقرباء.  غير أن السؤال الكبير هو إن كان سيفعل ذلك، عالماً إن راعوث كانت عاقراً لمدة عشر سنوات من زواجها الأول.  فإذا تزوّج راعوث، ولم يثمر الزواج عن أطفال، فلن يكون لهذا الرجل ذرّية، وسيتعرّض الميراث لخطر.  ولهذا اختار الرجل أن يفوّت الفرصة.  والباب أو "البوابة" المذكورة في 4: 1 هي بالمناسبة بوّابة المدينة التي كانت تتم فيها كل المعاملات والصفقات العامّة.</w:t>
      </w:r>
    </w:p>
    <w:p w14:paraId="0E276710"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8A9941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ثمّ يوافق بوعز على أن يكون الفادي-القريب، ويتزوج من راعوث.  وهو بهذا يتصرف بوفاء وإخلاص نحو مصالح العائلة.  ونتيجة لذلك، يوجد دعاء (أو تضرُّع) آخر في 4: 11-12.  وهذا الدعاء إلى الله مزدوج: فهو </w:t>
      </w:r>
      <w:r w:rsidRPr="006A7C83">
        <w:rPr>
          <w:rFonts w:eastAsia="Times New Roman" w:cs="DecoType Naskh" w:hint="cs"/>
          <w:color w:val="auto"/>
          <w:kern w:val="0"/>
          <w:szCs w:val="26"/>
          <w:rtl/>
          <w:lang w:bidi="ar-JO"/>
          <w14:ligatures w14:val="none"/>
        </w:rPr>
        <w:lastRenderedPageBreak/>
        <w:t xml:space="preserve">يدعو الله أولاً أن تكون راعوث مثل راحيل وليئة، أي أن تكون راعوث مُخصِبة وأن تلد عائلة.  والدعوة الثانية هي أن تكون سلالة بوعز كسلالة سلفه فارص (الذي كان ابن يهوذا أو أممٍ غير إسرائيلية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تكوين 38).  ودلالة هذا هي أن بوعز يصير مشهوراً لارتباطه بنسب داود.</w:t>
      </w:r>
    </w:p>
    <w:p w14:paraId="3CA3614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006EAED"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46F33CD"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مع اختتام السفر، نلاحظ استجابة الرب لدعاء 4: 11-12 في السلالة التي ستتضمن داود، ملك إسرائيل العظيم الذي سيخرج المسيّا من بيته.  لكن الفكرة لا تقتصر على إنجاب سلالة. إذْ يوضّح السفر أن وراء دعاء 4: 11-12 تكمن أعمال وفية يقوم بها أشخاص أوفياء.  وقد عملت سيادة الله من خلال أعمال وفية  في حياة الناس اليومية.</w:t>
      </w:r>
    </w:p>
    <w:p w14:paraId="69233808"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07296EC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غير أن الطريقة التي يتم بها الأمر تتّسم بالسخرية الأدبية.  يجب أن نلاحظ أن كلاً من الدعاء لبوعز في 4: 12 ("</w:t>
      </w:r>
      <w:r w:rsidRPr="006A7C83">
        <w:rPr>
          <w:rFonts w:eastAsia="Times New Roman" w:cs="DecoType Naskh" w:hint="cs"/>
          <w:i/>
          <w:iCs/>
          <w:color w:val="auto"/>
          <w:kern w:val="0"/>
          <w:szCs w:val="26"/>
          <w:rtl/>
          <w:lang w:bidi="ar-JO"/>
          <w14:ligatures w14:val="none"/>
        </w:rPr>
        <w:t>ليكن بيتك كبيت فارص</w:t>
      </w:r>
      <w:r w:rsidRPr="006A7C83">
        <w:rPr>
          <w:rFonts w:eastAsia="Times New Roman" w:cs="DecoType Naskh" w:hint="cs"/>
          <w:color w:val="auto"/>
          <w:kern w:val="0"/>
          <w:szCs w:val="26"/>
          <w:rtl/>
          <w:lang w:bidi="ar-JO"/>
          <w14:ligatures w14:val="none"/>
        </w:rPr>
        <w:t xml:space="preserve">") والسلالة النهائية (التي تبدأ بفارص </w:t>
      </w:r>
      <w:r w:rsidRPr="006A7C83">
        <w:rPr>
          <w:rFonts w:eastAsia="Times New Roman" w:cs="DecoType Naskh"/>
          <w:color w:val="auto"/>
          <w:kern w:val="0"/>
          <w:szCs w:val="26"/>
          <w:rtl/>
          <w:lang w:bidi="ar-JO"/>
          <w14:ligatures w14:val="none"/>
        </w:rPr>
        <w:t>–</w:t>
      </w:r>
      <w:r w:rsidRPr="006A7C83">
        <w:rPr>
          <w:rFonts w:eastAsia="Times New Roman" w:cs="DecoType Naskh" w:hint="cs"/>
          <w:color w:val="auto"/>
          <w:kern w:val="0"/>
          <w:szCs w:val="26"/>
          <w:rtl/>
          <w:lang w:bidi="ar-JO"/>
          <w14:ligatures w14:val="none"/>
        </w:rPr>
        <w:t xml:space="preserve"> انظر 4: 18) يستخدمان للفت انتباهنا إلى فارص.  فما دلالة هذا الأمر في سفر راعوث؟ إنها دلالة كبيرة، إذا تذكّرنا اهتمام إبراهيم الكبير بأن يبقي الزواج في العائلة وفي الأرض (تكوين 24). كان فارص حالة أخرى، كحالة راعوث، يُكسر فيها التوقُّع.  يوضح جرانت:</w:t>
      </w:r>
    </w:p>
    <w:p w14:paraId="5B8BF3BA"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وهكذا نرى أن داود نتاج لاتحاد واحد من بني إسرائيل (بوعز) بأجنبية (راعوث).  فما خشي إبراهيم من أنه سيكون سبباً للحرمان من الميراث، جعله الله سبباً لضمانه.</w:t>
      </w:r>
    </w:p>
    <w:p w14:paraId="2312173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0810668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 بدأت السلالة التي تصل إلى داود بفارص، الابن غير الشرعي ليهوذا وتامار (تكوين 38: 29).  ومن المؤكد تقريباً أن تامار كانت امرأة كنعانية تزوّجت من واحد من أفراد مجتمع العهد وصارت جزءاً منه، مثلها في ذلك مثل راعوث.  (الآية 6).  تظاهرت بأنها عاهرة (الآية 14) وأغوت يهوذا لأنه لم يفِ بمسؤوليته نحوها بتزويجها أحد أبنائه بعد أن مات زوجها الذي كان ابنه.  إن التركيز على مسؤولية زواج الأرملة من القريب أمر واضح بالنسبة لراعوث.  والمقابلة واضحةٌ أيضاً بين نظرة تامار التي يقول لسان حالها "الغاية تبرر الوسيلة" وبين نقاوة راعوث، بالإضافة إلى فسق يهوذا وكرامة بوعز وضبطه للنفس.  لقد أعد الكاتب قرّاءه لإحساس مكثّف من التناقض بين هذين الزوجين بالطريقة التي سجّل بها اللقاء الليلي بين راعوث وبوعز (راعوث 3).</w:t>
      </w:r>
    </w:p>
    <w:p w14:paraId="78392313"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303834B"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 w:val="30"/>
          <w:szCs w:val="28"/>
          <w:rtl/>
          <w:lang w:bidi="ar-KW"/>
          <w14:ligatures w14:val="none"/>
        </w:rPr>
      </w:pPr>
      <w:r w:rsidRPr="006A7C83">
        <w:rPr>
          <w:rFonts w:eastAsia="Times New Roman" w:cs="DecoType Naskh" w:hint="cs"/>
          <w:color w:val="auto"/>
          <w:kern w:val="0"/>
          <w:szCs w:val="26"/>
          <w:rtl/>
          <w:lang w:bidi="ar-JO"/>
          <w14:ligatures w14:val="none"/>
        </w:rPr>
        <w:t>تجتمع الصورة البلاغية المثيرة في راعوث 3 مع الإشارة إلى فارص في 4: 18 لتعزيز لا المقابلة بين يهوذا / تامار وراعوث/بوعز فحسب، بل أيضاً لتوسيع الثغرة بين توقّعات الإنسان وطرق الرب.  فمن كان يمكن أن يتوقع أن يُدخل الرب نتاجاً غير شرعي لاتحاد آثم بين يهودي وامرأة كنعانية عاهرة في الظاهر في النسل المسيّاني؟ إن من شأن هذه التوازيات التاريخية أن تؤكد على التناقضات والتقابلات.</w:t>
      </w:r>
      <w:r w:rsidRPr="006A7C83">
        <w:rPr>
          <w:rFonts w:eastAsia="Times New Roman" w:cs="DecoType Naskh"/>
          <w:color w:val="auto"/>
          <w:kern w:val="0"/>
          <w:sz w:val="30"/>
          <w:szCs w:val="28"/>
          <w:vertAlign w:val="superscript"/>
          <w:rtl/>
          <w:lang w:bidi="ar-JO"/>
          <w14:ligatures w14:val="none"/>
        </w:rPr>
        <w:footnoteReference w:customMarkFollows="1" w:id="212"/>
        <w:t>4</w:t>
      </w:r>
    </w:p>
    <w:p w14:paraId="78D0A398"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KW"/>
          <w14:ligatures w14:val="none"/>
        </w:rPr>
      </w:pPr>
    </w:p>
    <w:p w14:paraId="3C4BBAEB"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إن حلقة الوصل مع يهوذا (عن طريق فارص) هامّة للنسل الداودي (الذي يمتلك وعود العهد الداودي بعرش مملكة أبدية)، لأن الوعد الملكي قُطع ليهوذا في تكوين 49: 10- "</w:t>
      </w:r>
      <w:r w:rsidRPr="006A7C83">
        <w:rPr>
          <w:rFonts w:eastAsia="Times New Roman" w:cs="DecoType Naskh" w:hint="cs"/>
          <w:i/>
          <w:iCs/>
          <w:color w:val="auto"/>
          <w:kern w:val="0"/>
          <w:szCs w:val="26"/>
          <w:rtl/>
          <w:lang w:bidi="ar-JO"/>
          <w14:ligatures w14:val="none"/>
        </w:rPr>
        <w:t>لا يزول قضيب (صولجان الحكم) ومشترِع من</w:t>
      </w:r>
      <w:r w:rsidRPr="006A7C83">
        <w:rPr>
          <w:rFonts w:eastAsia="Times New Roman" w:cs="DecoType Naskh" w:hint="cs"/>
          <w:color w:val="auto"/>
          <w:kern w:val="0"/>
          <w:szCs w:val="26"/>
          <w:rtl/>
          <w:lang w:bidi="ar-JO"/>
          <w14:ligatures w14:val="none"/>
        </w:rPr>
        <w:t xml:space="preserve"> </w:t>
      </w:r>
      <w:r w:rsidRPr="006A7C83">
        <w:rPr>
          <w:rFonts w:eastAsia="Times New Roman" w:cs="DecoType Naskh" w:hint="cs"/>
          <w:i/>
          <w:iCs/>
          <w:color w:val="auto"/>
          <w:kern w:val="0"/>
          <w:szCs w:val="26"/>
          <w:rtl/>
          <w:lang w:bidi="ar-JO"/>
          <w14:ligatures w14:val="none"/>
        </w:rPr>
        <w:t>بين رجليه حتى يأتي شيلون، وله يكون خضوع شعوب</w:t>
      </w:r>
      <w:r w:rsidRPr="006A7C83">
        <w:rPr>
          <w:rFonts w:eastAsia="Times New Roman" w:cs="DecoType Naskh" w:hint="cs"/>
          <w:color w:val="auto"/>
          <w:kern w:val="0"/>
          <w:szCs w:val="26"/>
          <w:rtl/>
          <w:lang w:bidi="ar-JO"/>
          <w14:ligatures w14:val="none"/>
        </w:rPr>
        <w:t>".  غير أن حلقة الوصل بين يهوذا وداود جاءت بفضل امرأتين غير عاديّتين.</w:t>
      </w:r>
    </w:p>
    <w:p w14:paraId="404E9174"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212EDEF1"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6A7C83">
        <w:rPr>
          <w:rFonts w:eastAsia="Times New Roman" w:cs="DecoType Naskh" w:hint="cs"/>
          <w:color w:val="auto"/>
          <w:kern w:val="0"/>
          <w:szCs w:val="26"/>
          <w:rtl/>
          <w:lang w:bidi="ar-JO"/>
          <w14:ligatures w14:val="none"/>
        </w:rPr>
        <w:t xml:space="preserve">إن من الواضح أن صلة المرء من حيث الجسد مع إبراهيم ليست المقياس النهائي لعلاقته الروحية مع الرب (أو بركته عليه).  وقد جعلنا الكاتب، بطريقة تتسم بالسخرية الأدبية، نرى أعمال الوفاء والإخلاص التي يصنعها أشخاص يكرمون الله في حياتهم وتجعلهم يتجاوزون توقّعاتنا المحتملة نظراً لخلفيتهم وأصلهم.  إن بوعز نفسه مفاجأة لنا: فما كان له أن يصبح أبا داود (ويسوع!) لولا أن الرجل العبراني الآخر رفض أن يتزوج راعوث.  </w:t>
      </w:r>
      <w:r w:rsidRPr="006A7C83">
        <w:rPr>
          <w:rFonts w:eastAsia="Times New Roman" w:cs="DecoType Naskh" w:hint="cs"/>
          <w:color w:val="auto"/>
          <w:kern w:val="0"/>
          <w:szCs w:val="26"/>
          <w:rtl/>
          <w:lang w:bidi="ar-JO"/>
          <w14:ligatures w14:val="none"/>
        </w:rPr>
        <w:lastRenderedPageBreak/>
        <w:t>غير أن بوعز يحصل على هذا الشرف، لأنه يُكرم العادة الكتابية في زواج الأرملة التي لا أبناء لها من القريب الأقرب للزوج، ويتحمل بهذا مسؤولية الفادي-القريب.  ولقد أكرمه الله على ما فعل.</w:t>
      </w:r>
    </w:p>
    <w:p w14:paraId="1E2B8830"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07145B9A" w14:textId="77777777" w:rsidR="006A7C83" w:rsidRPr="006A7C83" w:rsidRDefault="006A7C83"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6A7C83">
        <w:rPr>
          <w:rFonts w:eastAsia="Times New Roman" w:cs="DecoType Naskh" w:hint="cs"/>
          <w:bCs/>
          <w:color w:val="auto"/>
          <w:kern w:val="0"/>
          <w:szCs w:val="28"/>
          <w:rtl/>
          <w:lang w:bidi="ar-JO"/>
          <w14:ligatures w14:val="none"/>
        </w:rPr>
        <w:t>درس لحياتنا</w:t>
      </w:r>
    </w:p>
    <w:p w14:paraId="330AE555" w14:textId="77777777" w:rsidR="006A7C83" w:rsidRPr="006A7C83" w:rsidRDefault="006A7C83"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i/>
          <w:iCs/>
          <w:color w:val="auto"/>
          <w:kern w:val="0"/>
          <w:szCs w:val="26"/>
          <w:rtl/>
          <w:lang w:bidi="ar-JO"/>
          <w14:ligatures w14:val="none"/>
        </w:rPr>
      </w:pPr>
      <w:r w:rsidRPr="006A7C83">
        <w:rPr>
          <w:rFonts w:eastAsia="Times New Roman" w:cs="DecoType Naskh" w:hint="cs"/>
          <w:color w:val="auto"/>
          <w:kern w:val="0"/>
          <w:szCs w:val="26"/>
          <w:rtl/>
          <w:lang w:bidi="ar-JO"/>
          <w14:ligatures w14:val="none"/>
        </w:rPr>
        <w:t>كان من الواجب أن يكون القريب الأقرب أكثر وفاء لمصالح العائلة وأن يتزوج من راعوث.  ولو تصرّف بإيمان (وهذا أمر يتطلب إيمان، لأن راعوث كانت عاقراً) لحقق أكبر نجاح ممكن.  إن من شأن عدم الإيمان أن يجعلنا نفوّت أعظم المكافآت!</w:t>
      </w:r>
      <w:r w:rsidRPr="006A7C83">
        <w:rPr>
          <w:rFonts w:eastAsia="Times New Roman" w:cs="DecoType Naskh" w:hint="cs"/>
          <w:i/>
          <w:iCs/>
          <w:color w:val="auto"/>
          <w:kern w:val="0"/>
          <w:szCs w:val="26"/>
          <w:rtl/>
          <w:lang w:bidi="ar-JO"/>
          <w14:ligatures w14:val="none"/>
        </w:rPr>
        <w:t xml:space="preserve"> </w:t>
      </w:r>
    </w:p>
    <w:p w14:paraId="440CC52C" w14:textId="77777777" w:rsidR="006A7C83" w:rsidRPr="006A7C83" w:rsidRDefault="006A7C83" w:rsidP="002D6C54">
      <w:pPr>
        <w:bidi/>
        <w:spacing w:after="0" w:line="240" w:lineRule="auto"/>
        <w:rPr>
          <w:rFonts w:eastAsia="Times New Roman" w:cs="DecoType Naskh"/>
          <w:color w:val="auto"/>
          <w:kern w:val="0"/>
          <w:szCs w:val="18"/>
          <w:rtl/>
          <w14:ligatures w14:val="none"/>
        </w:rPr>
      </w:pPr>
    </w:p>
    <w:p w14:paraId="38F4F3EA" w14:textId="77777777" w:rsidR="006A7C83" w:rsidRPr="006A7C83" w:rsidRDefault="006A7C83" w:rsidP="002D6C54">
      <w:pPr>
        <w:bidi/>
        <w:spacing w:after="0" w:line="240" w:lineRule="auto"/>
        <w:rPr>
          <w:rFonts w:eastAsia="Times New Roman" w:cs="DecoType Naskh"/>
          <w:color w:val="auto"/>
          <w:kern w:val="0"/>
          <w:szCs w:val="18"/>
          <w:rtl/>
          <w14:ligatures w14:val="none"/>
        </w:rPr>
      </w:pPr>
    </w:p>
    <w:p w14:paraId="283E2410" w14:textId="77777777" w:rsidR="006A7C83" w:rsidRPr="006A7C83" w:rsidRDefault="006A7C83" w:rsidP="002D6C54">
      <w:pPr>
        <w:bidi/>
        <w:spacing w:after="0" w:line="240" w:lineRule="auto"/>
        <w:rPr>
          <w:rFonts w:eastAsia="Times New Roman" w:cs="DecoType Naskh"/>
          <w:color w:val="auto"/>
          <w:kern w:val="0"/>
          <w:szCs w:val="18"/>
          <w:rtl/>
          <w:lang w:bidi="ar-JO"/>
          <w14:ligatures w14:val="none"/>
        </w:rPr>
      </w:pPr>
    </w:p>
    <w:p w14:paraId="5E8E9075" w14:textId="4C86A1BA" w:rsidR="00B13BC2" w:rsidRPr="006A7C83" w:rsidRDefault="006A7C83" w:rsidP="002D6C54">
      <w:pPr>
        <w:bidi/>
        <w:spacing w:after="0" w:line="240" w:lineRule="auto"/>
        <w:rPr>
          <w:rFonts w:eastAsia="Times New Roman" w:cs="DecoType Naskh"/>
          <w:color w:val="auto"/>
          <w:kern w:val="0"/>
          <w:szCs w:val="18"/>
          <w:lang w:bidi="ar-JO"/>
          <w14:ligatures w14:val="none"/>
        </w:rPr>
      </w:pPr>
      <w:r w:rsidRPr="006A7C83">
        <w:rPr>
          <w:rFonts w:eastAsia="Times New Roman" w:cs="DecoType Naskh" w:hint="cs"/>
          <w:color w:val="auto"/>
          <w:kern w:val="0"/>
          <w:szCs w:val="18"/>
          <w:rtl/>
          <w:lang w:bidi="ar-JO"/>
          <w14:ligatures w14:val="none"/>
        </w:rPr>
        <w:t xml:space="preserve"> </w:t>
      </w:r>
    </w:p>
    <w:p w14:paraId="6BAF532F" w14:textId="24E11763" w:rsidR="009530DE" w:rsidRPr="009530DE" w:rsidRDefault="009530DE" w:rsidP="009530DE">
      <w:pPr>
        <w:keepNext/>
        <w:keepLines/>
        <w:tabs>
          <w:tab w:val="left" w:pos="0"/>
          <w:tab w:val="left" w:pos="540"/>
          <w:tab w:val="left" w:pos="1080"/>
          <w:tab w:val="left" w:pos="1620"/>
          <w:tab w:val="left" w:pos="2160"/>
          <w:tab w:val="left" w:pos="2700"/>
          <w:tab w:val="left" w:pos="3240"/>
          <w:tab w:val="left" w:pos="3780"/>
          <w:tab w:val="left" w:pos="4320"/>
          <w:tab w:val="left" w:pos="4860"/>
        </w:tabs>
        <w:bidi/>
        <w:spacing w:before="200" w:after="0" w:line="240" w:lineRule="auto"/>
        <w:ind w:left="547"/>
        <w:rPr>
          <w:rFonts w:ascii="Simplified Arabic" w:eastAsia="Calibri" w:hAnsi="Simplified Arabic" w:cs="Simplified Arabic"/>
          <w:b/>
          <w:bCs/>
          <w:kern w:val="0"/>
          <w:sz w:val="28"/>
          <w:szCs w:val="28"/>
          <w:rtl/>
          <w14:ligatures w14:val="none"/>
        </w:rPr>
      </w:pPr>
      <w:bookmarkStart w:id="165" w:name="_Hlk178779436"/>
      <w:r w:rsidRPr="009530DE">
        <w:rPr>
          <w:rFonts w:ascii="Simplified Arabic" w:eastAsia="Calibri" w:hAnsi="Simplified Arabic" w:cs="Simplified Arabic"/>
          <w:b/>
          <w:bCs/>
          <w:kern w:val="0"/>
          <w:sz w:val="28"/>
          <w:szCs w:val="28"/>
          <w:rtl/>
          <w14:ligatures w14:val="none"/>
        </w:rPr>
        <w:t xml:space="preserve">الموضوع 3: نظرة عامّة إلى أسفار التكوين – راعوث </w:t>
      </w:r>
    </w:p>
    <w:p w14:paraId="71B65387" w14:textId="06A3ABD4" w:rsidR="009530DE" w:rsidRDefault="009530DE" w:rsidP="009530DE">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 xml:space="preserve">قمنا في هذا المساق، "أساس العهد القديم"، بعمل مسحٍ للأسفار الثمانية الأولى من العهد القديم، التكوين </w:t>
      </w:r>
      <w:r>
        <w:rPr>
          <w:rFonts w:ascii="Simplified Arabic" w:eastAsia="Calibri" w:hAnsi="Simplified Arabic" w:cs="Simplified Arabic"/>
          <w:kern w:val="0"/>
          <w:sz w:val="26"/>
          <w:szCs w:val="26"/>
          <w:rtl/>
          <w14:ligatures w14:val="none"/>
        </w:rPr>
        <w:t>–</w:t>
      </w:r>
      <w:r>
        <w:rPr>
          <w:rFonts w:ascii="Simplified Arabic" w:eastAsia="Calibri" w:hAnsi="Simplified Arabic" w:cs="Simplified Arabic" w:hint="cs"/>
          <w:kern w:val="0"/>
          <w:sz w:val="26"/>
          <w:szCs w:val="26"/>
          <w:rtl/>
          <w14:ligatures w14:val="none"/>
        </w:rPr>
        <w:t xml:space="preserve"> راعوث. ثمّة عددٌ من الأحداث والتطوُّرات المهمة في هذا القسم من الكتاب المُقدَّس تمهِّد </w:t>
      </w:r>
      <w:r w:rsidR="00FE5E8F">
        <w:rPr>
          <w:rFonts w:ascii="Simplified Arabic" w:eastAsia="Calibri" w:hAnsi="Simplified Arabic" w:cs="Simplified Arabic" w:hint="cs"/>
          <w:kern w:val="0"/>
          <w:sz w:val="26"/>
          <w:szCs w:val="26"/>
          <w:rtl/>
          <w14:ligatures w14:val="none"/>
        </w:rPr>
        <w:t xml:space="preserve">لبقيّة الكتاب المُقدَّس. يُمكِننا تقسيم هذا القسم إلى أربع مراحل رئيسيّة: </w:t>
      </w:r>
      <w:bookmarkStart w:id="166" w:name="_Hlk190920630"/>
      <w:r w:rsidR="00FE5E8F">
        <w:rPr>
          <w:rFonts w:ascii="Simplified Arabic" w:eastAsia="Calibri" w:hAnsi="Simplified Arabic" w:cs="Simplified Arabic" w:hint="cs"/>
          <w:kern w:val="0"/>
          <w:sz w:val="26"/>
          <w:szCs w:val="26"/>
          <w:rtl/>
          <w14:ligatures w14:val="none"/>
        </w:rPr>
        <w:t>(1) فترة ما قبل إبراهيم؛ (2) فترة الآباء؛</w:t>
      </w:r>
      <w:r w:rsidR="00DA64A0">
        <w:rPr>
          <w:rFonts w:ascii="Simplified Arabic" w:eastAsia="Calibri" w:hAnsi="Simplified Arabic" w:cs="Simplified Arabic" w:hint="cs"/>
          <w:kern w:val="0"/>
          <w:sz w:val="26"/>
          <w:szCs w:val="26"/>
          <w:rtl/>
          <w14:ligatures w14:val="none"/>
        </w:rPr>
        <w:t xml:space="preserve"> (3)</w:t>
      </w:r>
      <w:r w:rsidR="00FE5E8F">
        <w:rPr>
          <w:rFonts w:ascii="Simplified Arabic" w:eastAsia="Calibri" w:hAnsi="Simplified Arabic" w:cs="Simplified Arabic" w:hint="cs"/>
          <w:kern w:val="0"/>
          <w:sz w:val="26"/>
          <w:szCs w:val="26"/>
          <w:rtl/>
          <w14:ligatures w14:val="none"/>
        </w:rPr>
        <w:t xml:space="preserve"> فترة موسى؛ (4) امتلاك شعب إسرائيل للأرض</w:t>
      </w:r>
      <w:bookmarkEnd w:id="166"/>
      <w:r w:rsidR="00FE5E8F">
        <w:rPr>
          <w:rFonts w:ascii="Simplified Arabic" w:eastAsia="Calibri" w:hAnsi="Simplified Arabic" w:cs="Simplified Arabic" w:hint="cs"/>
          <w:kern w:val="0"/>
          <w:sz w:val="26"/>
          <w:szCs w:val="26"/>
          <w:rtl/>
          <w14:ligatures w14:val="none"/>
        </w:rPr>
        <w:t>. ويبرز في هذه المادة عهدان رئيسيّان مهمّان في اللاهوت الكتابي</w:t>
      </w:r>
      <w:r w:rsidR="00DA64A0">
        <w:rPr>
          <w:rFonts w:ascii="Simplified Arabic" w:eastAsia="Calibri" w:hAnsi="Simplified Arabic" w:cs="Simplified Arabic" w:hint="cs"/>
          <w:kern w:val="0"/>
          <w:sz w:val="26"/>
          <w:szCs w:val="26"/>
          <w:rtl/>
          <w14:ligatures w14:val="none"/>
        </w:rPr>
        <w:t>ّ</w:t>
      </w:r>
      <w:r w:rsidR="00FE5E8F">
        <w:rPr>
          <w:rFonts w:ascii="Simplified Arabic" w:eastAsia="Calibri" w:hAnsi="Simplified Arabic" w:cs="Simplified Arabic" w:hint="cs"/>
          <w:kern w:val="0"/>
          <w:sz w:val="26"/>
          <w:szCs w:val="26"/>
          <w:rtl/>
          <w14:ligatures w14:val="none"/>
        </w:rPr>
        <w:t xml:space="preserve">، وهما العهد الإبراهيمي والعهد الموسوي. وتعكس اللوحة التوضيحيّة التالية البنيّة التنظيميّة لهذه الأسفار: </w:t>
      </w:r>
    </w:p>
    <w:p w14:paraId="5158925B" w14:textId="77777777" w:rsidR="00FE5E8F" w:rsidRPr="009530DE" w:rsidRDefault="00FE5E8F" w:rsidP="00FE5E8F">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p>
    <w:bookmarkEnd w:id="165"/>
    <w:p w14:paraId="13EC0851" w14:textId="5663F644" w:rsidR="00FD79AD" w:rsidRPr="009F14C1" w:rsidRDefault="00600007"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kern w:val="0"/>
          <w:szCs w:val="24"/>
          <w14:ligatures w14:val="none"/>
        </w:rPr>
      </w:pPr>
      <w:r>
        <w:rPr>
          <w:rFonts w:eastAsia="Calibri" w:cs="Times New Roman"/>
          <w:noProof/>
          <w:kern w:val="0"/>
          <w:szCs w:val="24"/>
          <w14:ligatures w14:val="none"/>
        </w:rPr>
        <w:lastRenderedPageBreak/>
        <w:drawing>
          <wp:inline distT="0" distB="0" distL="0" distR="0" wp14:anchorId="23861598" wp14:editId="66C2B343">
            <wp:extent cx="5943600" cy="4457700"/>
            <wp:effectExtent l="0" t="0" r="0" b="0"/>
            <wp:docPr id="4059580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37EA5D8E" w14:textId="35BD1019" w:rsidR="004360CC" w:rsidRDefault="004360CC" w:rsidP="002D6C54">
      <w:pPr>
        <w:tabs>
          <w:tab w:val="left" w:pos="0"/>
          <w:tab w:val="left" w:pos="540"/>
          <w:tab w:val="left" w:pos="1080"/>
          <w:tab w:val="left" w:pos="1620"/>
          <w:tab w:val="left" w:pos="2160"/>
          <w:tab w:val="left" w:pos="2700"/>
          <w:tab w:val="left" w:pos="3240"/>
          <w:tab w:val="left" w:pos="3780"/>
          <w:tab w:val="left" w:pos="4320"/>
          <w:tab w:val="left" w:pos="4860"/>
        </w:tabs>
        <w:spacing w:before="120" w:after="200" w:line="240" w:lineRule="auto"/>
        <w:rPr>
          <w:rFonts w:eastAsia="Calibri" w:cs="Times New Roman"/>
          <w:strike/>
          <w:kern w:val="0"/>
          <w:szCs w:val="24"/>
          <w14:ligatures w14:val="none"/>
        </w:rPr>
      </w:pPr>
    </w:p>
    <w:p w14:paraId="09701DF5" w14:textId="35AC44E0" w:rsidR="004360CC" w:rsidRPr="00FE5E8F" w:rsidRDefault="00FE5E8F" w:rsidP="00FE5E8F">
      <w:pPr>
        <w:pStyle w:val="Heading4RED"/>
        <w:bidi/>
        <w:rPr>
          <w:rFonts w:ascii="Simplified Arabic" w:hAnsi="Simplified Arabic" w:cs="Simplified Arabic"/>
        </w:rPr>
      </w:pPr>
      <w:bookmarkStart w:id="167" w:name="_Hlk178779469"/>
      <w:r w:rsidRPr="00FE5E8F">
        <w:rPr>
          <w:rFonts w:ascii="Simplified Arabic" w:hAnsi="Simplified Arabic" w:cs="Simplified Arabic"/>
          <w:rtl/>
        </w:rPr>
        <w:t>أوّلًا: فترة ما قبل إبراهيم</w:t>
      </w:r>
      <w:r w:rsidR="00474087">
        <w:rPr>
          <w:rFonts w:ascii="Simplified Arabic" w:hAnsi="Simplified Arabic" w:cs="Simplified Arabic" w:hint="cs"/>
          <w:rtl/>
        </w:rPr>
        <w:t xml:space="preserve"> (تكوين 1: 1 </w:t>
      </w:r>
      <w:r w:rsidR="00474087">
        <w:rPr>
          <w:rFonts w:ascii="Simplified Arabic" w:hAnsi="Simplified Arabic" w:cs="Simplified Arabic"/>
          <w:rtl/>
        </w:rPr>
        <w:t>–</w:t>
      </w:r>
      <w:r w:rsidR="00474087">
        <w:rPr>
          <w:rFonts w:ascii="Simplified Arabic" w:hAnsi="Simplified Arabic" w:cs="Simplified Arabic" w:hint="cs"/>
          <w:rtl/>
        </w:rPr>
        <w:t xml:space="preserve"> 11: 26) </w:t>
      </w:r>
    </w:p>
    <w:p w14:paraId="73D835DA" w14:textId="2CDB20B7" w:rsidR="00FE5E8F" w:rsidRPr="00FE5E8F" w:rsidRDefault="00FE5E8F" w:rsidP="00FE5E8F">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sidRPr="00FE5E8F">
        <w:rPr>
          <w:rFonts w:ascii="Simplified Arabic" w:eastAsia="Calibri" w:hAnsi="Simplified Arabic" w:cs="Simplified Arabic"/>
          <w:kern w:val="0"/>
          <w:sz w:val="26"/>
          <w:szCs w:val="26"/>
          <w:rtl/>
          <w14:ligatures w14:val="none"/>
        </w:rPr>
        <w:t>يُغط</w:t>
      </w:r>
      <w:r>
        <w:rPr>
          <w:rFonts w:ascii="Simplified Arabic" w:eastAsia="Calibri" w:hAnsi="Simplified Arabic" w:cs="Simplified Arabic" w:hint="cs"/>
          <w:kern w:val="0"/>
          <w:sz w:val="26"/>
          <w:szCs w:val="26"/>
          <w:rtl/>
          <w14:ligatures w14:val="none"/>
        </w:rPr>
        <w:t>ّ</w:t>
      </w:r>
      <w:r w:rsidRPr="00FE5E8F">
        <w:rPr>
          <w:rFonts w:ascii="Simplified Arabic" w:eastAsia="Calibri" w:hAnsi="Simplified Arabic" w:cs="Simplified Arabic"/>
          <w:kern w:val="0"/>
          <w:sz w:val="26"/>
          <w:szCs w:val="26"/>
          <w:rtl/>
          <w14:ligatures w14:val="none"/>
        </w:rPr>
        <w:t xml:space="preserve">ي </w:t>
      </w:r>
      <w:r>
        <w:rPr>
          <w:rFonts w:ascii="Simplified Arabic" w:eastAsia="Calibri" w:hAnsi="Simplified Arabic" w:cs="Simplified Arabic" w:hint="cs"/>
          <w:kern w:val="0"/>
          <w:sz w:val="26"/>
          <w:szCs w:val="26"/>
          <w:rtl/>
          <w14:ligatures w14:val="none"/>
        </w:rPr>
        <w:t>هذا القسم الفترة الممتدة من الخلق الأصلي في تكوين 1 وحتّى دعوة إبراهيم (المولود عام 2166 ق.م.). تُظهِر هذه المادة الاحتياج إلى دعوة الله لإبراهيم من أجل إقامة أمّة جديدة لتكون خطوةً ضروري</w:t>
      </w:r>
      <w:r w:rsidR="00DA64A0">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ةً في ردّ العالم إلى بركة الله. </w:t>
      </w:r>
    </w:p>
    <w:p w14:paraId="60933B40" w14:textId="6362F8D1" w:rsidR="00FE5E8F" w:rsidRDefault="00FE5E8F" w:rsidP="00FE5E8F">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p>
    <w:p w14:paraId="66F04663" w14:textId="755FE79E" w:rsidR="00FE5E8F" w:rsidRPr="00FE5E8F" w:rsidRDefault="00FE5E8F" w:rsidP="00FE5E8F">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 xml:space="preserve">أ. سجلّ الخلق (تكوين 1: 1 </w:t>
      </w:r>
      <w:r>
        <w:rPr>
          <w:rFonts w:ascii="Simplified Arabic" w:eastAsia="Calibri" w:hAnsi="Simplified Arabic" w:cs="Simplified Arabic"/>
          <w:kern w:val="0"/>
          <w:sz w:val="26"/>
          <w:szCs w:val="26"/>
          <w:rtl/>
          <w14:ligatures w14:val="none"/>
        </w:rPr>
        <w:t>–</w:t>
      </w:r>
      <w:r>
        <w:rPr>
          <w:rFonts w:ascii="Simplified Arabic" w:eastAsia="Calibri" w:hAnsi="Simplified Arabic" w:cs="Simplified Arabic" w:hint="cs"/>
          <w:kern w:val="0"/>
          <w:sz w:val="26"/>
          <w:szCs w:val="26"/>
          <w:rtl/>
          <w14:ligatures w14:val="none"/>
        </w:rPr>
        <w:t xml:space="preserve"> 2: 25) </w:t>
      </w:r>
    </w:p>
    <w:p w14:paraId="5672927F" w14:textId="3DADACCD" w:rsidR="00FE5E8F" w:rsidRDefault="00474087" w:rsidP="00FE5E8F">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lang w:bidi="ar-JO"/>
          <w14:ligatures w14:val="none"/>
        </w:rPr>
      </w:pPr>
      <w:r>
        <w:rPr>
          <w:rFonts w:ascii="Simplified Arabic" w:eastAsia="Calibri" w:hAnsi="Simplified Arabic" w:cs="Simplified Arabic" w:hint="cs"/>
          <w:kern w:val="0"/>
          <w:sz w:val="26"/>
          <w:szCs w:val="26"/>
          <w:rtl/>
          <w14:ligatures w14:val="none"/>
        </w:rPr>
        <w:t>حدث الخلق الأصلي في ستّة أيّام، ممّا أظهر حكمة وقدرة الله. وعلاوةً على ذلك، فإنّه يُظهِر صلاح الله ويُعلِن أنّه إله يرغب بأن يبارك. وإذ هو الخالق، له الحق في أن يملك على خليقته وينفّذ قضاءه ودينونته. ومع هذا،</w:t>
      </w:r>
      <w:r>
        <w:rPr>
          <w:rFonts w:ascii="Simplified Arabic" w:eastAsia="Calibri" w:hAnsi="Simplified Arabic" w:cs="Simplified Arabic" w:hint="cs"/>
          <w:kern w:val="0"/>
          <w:sz w:val="26"/>
          <w:szCs w:val="26"/>
          <w:rtl/>
          <w:lang w:bidi="ar-JO"/>
          <w14:ligatures w14:val="none"/>
        </w:rPr>
        <w:t xml:space="preserve"> يُعطى الجنس البشري تفويضًا بأن يشارك في حكم الله، وذلك بممارسة السلطة عليها. يبدأ وجود الجنس البشري بأول زوجين وهما في حالة تمتُّع ببيئة كاملة. </w:t>
      </w:r>
    </w:p>
    <w:p w14:paraId="33C06E86" w14:textId="4ACAF955" w:rsidR="00FE5E8F" w:rsidRDefault="00FE5E8F" w:rsidP="00FE5E8F">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p>
    <w:p w14:paraId="67CC08F2" w14:textId="6D82D010" w:rsidR="00474087" w:rsidRDefault="00474087" w:rsidP="00474087">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ب. دخول الخطي</w:t>
      </w:r>
      <w:r w:rsidR="00DA64A0">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ة وانتشارها (تكوين 3: 1 </w:t>
      </w:r>
      <w:r>
        <w:rPr>
          <w:rFonts w:ascii="Simplified Arabic" w:eastAsia="Calibri" w:hAnsi="Simplified Arabic" w:cs="Simplified Arabic"/>
          <w:kern w:val="0"/>
          <w:sz w:val="26"/>
          <w:szCs w:val="26"/>
          <w:rtl/>
          <w14:ligatures w14:val="none"/>
        </w:rPr>
        <w:t>–</w:t>
      </w:r>
      <w:r>
        <w:rPr>
          <w:rFonts w:ascii="Simplified Arabic" w:eastAsia="Calibri" w:hAnsi="Simplified Arabic" w:cs="Simplified Arabic" w:hint="cs"/>
          <w:kern w:val="0"/>
          <w:sz w:val="26"/>
          <w:szCs w:val="26"/>
          <w:rtl/>
          <w14:ligatures w14:val="none"/>
        </w:rPr>
        <w:t xml:space="preserve"> 6: 8) </w:t>
      </w:r>
    </w:p>
    <w:p w14:paraId="1DDD1DD2" w14:textId="4E74EFDF" w:rsidR="00FE5E8F" w:rsidRDefault="00BD6E10" w:rsidP="00FE5E8F">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أدّت خطية أول بشري</w:t>
      </w:r>
      <w:r w:rsidR="00DA64A0">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ين إلى انتشار الخطية وتفسُّخ المجتمع. وكانت النتيجة هي الموت للجميع، باستثناء أخنوخ الذي "أخذه" الله لينقل لنا رسالة مفادها الرجاء بعد الموت. ومع هذا، فقد قادت خطية "أبناء الله" إلى دينونة الله للعالم بطوفانٍ كوني. </w:t>
      </w:r>
    </w:p>
    <w:p w14:paraId="2D48746B" w14:textId="038BDCBA" w:rsidR="00474087" w:rsidRDefault="00474087" w:rsidP="00474087">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p>
    <w:p w14:paraId="279F7E00" w14:textId="4667F8BE" w:rsidR="00BD6E10" w:rsidRDefault="00BD6E10" w:rsidP="00BD6E10">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 xml:space="preserve">ج. دينونة الطوفان وبداية جديدة (تكوين 6: 9 </w:t>
      </w:r>
      <w:r>
        <w:rPr>
          <w:rFonts w:ascii="Simplified Arabic" w:eastAsia="Calibri" w:hAnsi="Simplified Arabic" w:cs="Simplified Arabic"/>
          <w:kern w:val="0"/>
          <w:sz w:val="26"/>
          <w:szCs w:val="26"/>
          <w:rtl/>
          <w14:ligatures w14:val="none"/>
        </w:rPr>
        <w:t>–</w:t>
      </w:r>
      <w:r>
        <w:rPr>
          <w:rFonts w:ascii="Simplified Arabic" w:eastAsia="Calibri" w:hAnsi="Simplified Arabic" w:cs="Simplified Arabic" w:hint="cs"/>
          <w:kern w:val="0"/>
          <w:sz w:val="26"/>
          <w:szCs w:val="26"/>
          <w:rtl/>
          <w14:ligatures w14:val="none"/>
        </w:rPr>
        <w:t xml:space="preserve"> 9: 29) </w:t>
      </w:r>
    </w:p>
    <w:p w14:paraId="515B1819" w14:textId="708B3705" w:rsidR="00474087" w:rsidRDefault="008607AE" w:rsidP="00474087">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 xml:space="preserve">أظهر الطوفان بُغض الله للخطية وحقّه بأن يأتي بالدينونة على </w:t>
      </w:r>
      <w:r w:rsidR="00C94313">
        <w:rPr>
          <w:rFonts w:ascii="Simplified Arabic" w:eastAsia="Calibri" w:hAnsi="Simplified Arabic" w:cs="Simplified Arabic" w:hint="cs"/>
          <w:kern w:val="0"/>
          <w:sz w:val="26"/>
          <w:szCs w:val="26"/>
          <w:rtl/>
          <w14:ligatures w14:val="none"/>
        </w:rPr>
        <w:t>الأشرار</w:t>
      </w:r>
      <w:r>
        <w:rPr>
          <w:rFonts w:ascii="Simplified Arabic" w:eastAsia="Calibri" w:hAnsi="Simplified Arabic" w:cs="Simplified Arabic" w:hint="cs"/>
          <w:kern w:val="0"/>
          <w:sz w:val="26"/>
          <w:szCs w:val="26"/>
          <w:rtl/>
          <w14:ligatures w14:val="none"/>
        </w:rPr>
        <w:t xml:space="preserve">، بينما يعكس إنقاذ عائلة نوح حقيقة أن الله إله نعمة. </w:t>
      </w:r>
    </w:p>
    <w:p w14:paraId="4D2A5BD0" w14:textId="6D111AEB" w:rsidR="008607AE" w:rsidRDefault="008607AE" w:rsidP="008607AE">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p>
    <w:p w14:paraId="444299D7" w14:textId="7D0B4A70" w:rsidR="008607AE" w:rsidRDefault="008607AE" w:rsidP="008607AE">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 xml:space="preserve">د. عالم ما بعدَ الطوفان (تكوين 10: 1 </w:t>
      </w:r>
      <w:r>
        <w:rPr>
          <w:rFonts w:ascii="Simplified Arabic" w:eastAsia="Calibri" w:hAnsi="Simplified Arabic" w:cs="Simplified Arabic"/>
          <w:kern w:val="0"/>
          <w:sz w:val="26"/>
          <w:szCs w:val="26"/>
          <w:rtl/>
          <w14:ligatures w14:val="none"/>
        </w:rPr>
        <w:t>–</w:t>
      </w:r>
      <w:r>
        <w:rPr>
          <w:rFonts w:ascii="Simplified Arabic" w:eastAsia="Calibri" w:hAnsi="Simplified Arabic" w:cs="Simplified Arabic" w:hint="cs"/>
          <w:kern w:val="0"/>
          <w:sz w:val="26"/>
          <w:szCs w:val="26"/>
          <w:rtl/>
          <w14:ligatures w14:val="none"/>
        </w:rPr>
        <w:t xml:space="preserve"> 11: 26) </w:t>
      </w:r>
    </w:p>
    <w:p w14:paraId="3533B468" w14:textId="6DF38665" w:rsidR="008607AE" w:rsidRDefault="008607AE" w:rsidP="008607AE">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نشأت مجموعات بشريّة عديدة من أولاد نوح، ولكنّ إعادة ملء الأرض قاد في النهاية إلى رفض الله والتمرُّد في برج بابل. ومع هذا، لم يسمح الله للبشر بأن يتوحَّدوا، بل فرّقهم</w:t>
      </w:r>
      <w:r w:rsidR="00B36DA3">
        <w:rPr>
          <w:rFonts w:ascii="Simplified Arabic" w:eastAsia="Calibri" w:hAnsi="Simplified Arabic" w:cs="Simplified Arabic" w:hint="cs"/>
          <w:kern w:val="0"/>
          <w:sz w:val="26"/>
          <w:szCs w:val="26"/>
          <w:rtl/>
          <w14:ligatures w14:val="none"/>
        </w:rPr>
        <w:t xml:space="preserve">، ومن ثمّ حدَّد نسل البركة وضيّقه. </w:t>
      </w:r>
    </w:p>
    <w:p w14:paraId="5D828A87" w14:textId="77777777" w:rsidR="00FE5E8F" w:rsidRPr="00FE5E8F" w:rsidRDefault="00FE5E8F" w:rsidP="00FE5E8F">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p>
    <w:p w14:paraId="0E67A140" w14:textId="7427F020" w:rsidR="004360CC" w:rsidRPr="00FE5E8F" w:rsidRDefault="00FE5E8F" w:rsidP="00FE5E8F">
      <w:pPr>
        <w:pStyle w:val="Heading4RED"/>
        <w:bidi/>
        <w:rPr>
          <w:rFonts w:ascii="Simplified Arabic" w:hAnsi="Simplified Arabic" w:cs="Simplified Arabic"/>
        </w:rPr>
      </w:pPr>
      <w:r w:rsidRPr="00FE5E8F">
        <w:rPr>
          <w:rFonts w:ascii="Simplified Arabic" w:hAnsi="Simplified Arabic" w:cs="Simplified Arabic"/>
          <w:rtl/>
        </w:rPr>
        <w:t>ثانيًا، فترة الآباء (</w:t>
      </w:r>
      <w:r w:rsidR="00B36DA3">
        <w:rPr>
          <w:rFonts w:ascii="Simplified Arabic" w:hAnsi="Simplified Arabic" w:cs="Simplified Arabic" w:hint="cs"/>
          <w:rtl/>
        </w:rPr>
        <w:t xml:space="preserve">تكوين 11: 27 </w:t>
      </w:r>
      <w:r w:rsidR="00B36DA3">
        <w:rPr>
          <w:rFonts w:ascii="Simplified Arabic" w:hAnsi="Simplified Arabic" w:cs="Simplified Arabic"/>
          <w:rtl/>
        </w:rPr>
        <w:t>–</w:t>
      </w:r>
      <w:r w:rsidR="00B36DA3">
        <w:rPr>
          <w:rFonts w:ascii="Simplified Arabic" w:hAnsi="Simplified Arabic" w:cs="Simplified Arabic" w:hint="cs"/>
          <w:rtl/>
        </w:rPr>
        <w:t xml:space="preserve"> 50: 26) </w:t>
      </w:r>
    </w:p>
    <w:p w14:paraId="51801517" w14:textId="263BFE2C" w:rsidR="00B36DA3" w:rsidRDefault="00CD052B" w:rsidP="00CD052B">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 xml:space="preserve">يغطّي هذا القسم دعوة إبراهيم من أور الكلدانيّين، وقطْع الله العهدَ معه، وانتقال بركة إبراهيم إلى ابنه وحفيده، إسحاق ويعقوب. </w:t>
      </w:r>
      <w:r w:rsidR="00F946C6">
        <w:rPr>
          <w:rFonts w:ascii="Simplified Arabic" w:eastAsia="Calibri" w:hAnsi="Simplified Arabic" w:cs="Simplified Arabic" w:hint="cs"/>
          <w:kern w:val="0"/>
          <w:sz w:val="26"/>
          <w:szCs w:val="26"/>
          <w:rtl/>
          <w14:ligatures w14:val="none"/>
        </w:rPr>
        <w:t xml:space="preserve">وعلى </w:t>
      </w:r>
      <w:r>
        <w:rPr>
          <w:rFonts w:ascii="Simplified Arabic" w:eastAsia="Calibri" w:hAnsi="Simplified Arabic" w:cs="Simplified Arabic" w:hint="cs"/>
          <w:kern w:val="0"/>
          <w:sz w:val="26"/>
          <w:szCs w:val="26"/>
          <w:rtl/>
          <w14:ligatures w14:val="none"/>
        </w:rPr>
        <w:t xml:space="preserve">الرغم من وعد </w:t>
      </w:r>
      <w:r w:rsidR="00F946C6">
        <w:rPr>
          <w:rFonts w:ascii="Simplified Arabic" w:eastAsia="Calibri" w:hAnsi="Simplified Arabic" w:cs="Simplified Arabic" w:hint="cs"/>
          <w:kern w:val="0"/>
          <w:sz w:val="26"/>
          <w:szCs w:val="26"/>
          <w:rtl/>
          <w:lang w:bidi="ar-JO"/>
          <w14:ligatures w14:val="none"/>
        </w:rPr>
        <w:t>الرب ب</w:t>
      </w:r>
      <w:r>
        <w:rPr>
          <w:rFonts w:ascii="Simplified Arabic" w:eastAsia="Calibri" w:hAnsi="Simplified Arabic" w:cs="Simplified Arabic" w:hint="cs"/>
          <w:kern w:val="0"/>
          <w:sz w:val="26"/>
          <w:szCs w:val="26"/>
          <w:rtl/>
          <w14:ligatures w14:val="none"/>
        </w:rPr>
        <w:t xml:space="preserve">أرض كنعان لنسل إبراهيم، فقد أدّت طرق نسله الآثمة إلى إبعادهم إلى مصر، مع أنّ الله بنعمته أقام يوسف ليكون مُخلِّصًا لهم. </w:t>
      </w:r>
    </w:p>
    <w:p w14:paraId="15228306" w14:textId="245427B8" w:rsidR="00CD052B" w:rsidRDefault="00CD052B" w:rsidP="00CD052B">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p>
    <w:p w14:paraId="4B848B52" w14:textId="552A7695" w:rsidR="00CD052B" w:rsidRPr="00CD052B" w:rsidRDefault="00CD052B" w:rsidP="00CD052B">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sidRPr="00CD052B">
        <w:rPr>
          <w:rFonts w:ascii="Simplified Arabic" w:eastAsia="Calibri" w:hAnsi="Simplified Arabic" w:cs="Simplified Arabic" w:hint="cs"/>
          <w:kern w:val="0"/>
          <w:sz w:val="26"/>
          <w:szCs w:val="26"/>
          <w:rtl/>
          <w14:ligatures w14:val="none"/>
        </w:rPr>
        <w:t xml:space="preserve">أ. دعوة إبراهيم والعهد معه (تكوين 11: 27 </w:t>
      </w:r>
      <w:r w:rsidRPr="00CD052B">
        <w:rPr>
          <w:rFonts w:ascii="Simplified Arabic" w:eastAsia="Calibri" w:hAnsi="Simplified Arabic" w:cs="Simplified Arabic"/>
          <w:kern w:val="0"/>
          <w:sz w:val="26"/>
          <w:szCs w:val="26"/>
          <w:rtl/>
          <w14:ligatures w14:val="none"/>
        </w:rPr>
        <w:t>–</w:t>
      </w:r>
      <w:r w:rsidRPr="00CD052B">
        <w:rPr>
          <w:rFonts w:ascii="Simplified Arabic" w:eastAsia="Calibri" w:hAnsi="Simplified Arabic" w:cs="Simplified Arabic" w:hint="cs"/>
          <w:kern w:val="0"/>
          <w:sz w:val="26"/>
          <w:szCs w:val="26"/>
          <w:rtl/>
          <w14:ligatures w14:val="none"/>
        </w:rPr>
        <w:t xml:space="preserve"> 25: 18) </w:t>
      </w:r>
    </w:p>
    <w:p w14:paraId="466DEE3E" w14:textId="66929A4D" w:rsidR="00CD052B" w:rsidRDefault="00CD052B" w:rsidP="00CD052B">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يدوِّن لنا هذا القسم دعوة الله لإبراهيم وقطع عهدٍ غير مشروط معه بأن يعطيه أرضًا ونسلًا وبركة الله. ومع هذا، فإن</w:t>
      </w:r>
      <w:r w:rsidR="00F946C6">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قصد الله النهائي والأسمى هو أن يأتي بكلّ الشعوب وعشائر الأرض إلى بركته (تكوين 12: 3). كما يتتبّع هذا </w:t>
      </w:r>
      <w:r>
        <w:rPr>
          <w:rFonts w:ascii="Simplified Arabic" w:eastAsia="Calibri" w:hAnsi="Simplified Arabic" w:cs="Simplified Arabic" w:hint="cs"/>
          <w:kern w:val="0"/>
          <w:sz w:val="26"/>
          <w:szCs w:val="26"/>
          <w:rtl/>
          <w14:ligatures w14:val="none"/>
        </w:rPr>
        <w:lastRenderedPageBreak/>
        <w:t xml:space="preserve">القسم جهاد إبراهيم في أن يثق بالله وبوعود، إلى أن نضج إيمانه واجتاز امتحان الاستعداد بأن يقدِّم إسحاق ذبيحةً، وهو الموعود به بأن يرث البركات الإبراهيميّة. </w:t>
      </w:r>
    </w:p>
    <w:p w14:paraId="42A911C7" w14:textId="01BD42C2" w:rsidR="00CD052B" w:rsidRDefault="00CD052B" w:rsidP="00CD052B">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p>
    <w:p w14:paraId="54B6C5B9" w14:textId="6704F8E2" w:rsidR="00CD052B" w:rsidRDefault="00CD052B" w:rsidP="00CD052B">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 xml:space="preserve">ب. قصّة يعقوب والاسباط الاثني عشر (تكوين 25: 19 </w:t>
      </w:r>
      <w:r>
        <w:rPr>
          <w:rFonts w:ascii="Simplified Arabic" w:eastAsia="Calibri" w:hAnsi="Simplified Arabic" w:cs="Simplified Arabic"/>
          <w:kern w:val="0"/>
          <w:sz w:val="26"/>
          <w:szCs w:val="26"/>
          <w:rtl/>
          <w14:ligatures w14:val="none"/>
        </w:rPr>
        <w:t>–</w:t>
      </w:r>
      <w:r>
        <w:rPr>
          <w:rFonts w:ascii="Simplified Arabic" w:eastAsia="Calibri" w:hAnsi="Simplified Arabic" w:cs="Simplified Arabic" w:hint="cs"/>
          <w:kern w:val="0"/>
          <w:sz w:val="26"/>
          <w:szCs w:val="26"/>
          <w:rtl/>
          <w14:ligatures w14:val="none"/>
        </w:rPr>
        <w:t xml:space="preserve"> 37: 1) </w:t>
      </w:r>
    </w:p>
    <w:p w14:paraId="240D110F" w14:textId="6FEFAB64" w:rsidR="00CD052B" w:rsidRPr="00B36DA3" w:rsidRDefault="00CD052B" w:rsidP="00CD052B">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lang w:bidi="ar-JO"/>
          <w14:ligatures w14:val="none"/>
        </w:rPr>
      </w:pPr>
      <w:r>
        <w:rPr>
          <w:rFonts w:ascii="Simplified Arabic" w:eastAsia="Calibri" w:hAnsi="Simplified Arabic" w:cs="Simplified Arabic" w:hint="cs"/>
          <w:kern w:val="0"/>
          <w:sz w:val="26"/>
          <w:szCs w:val="26"/>
          <w:rtl/>
          <w14:ligatures w14:val="none"/>
        </w:rPr>
        <w:t xml:space="preserve">تظهر صفات الأمة في يعقوب، الذي كان "مخادِعًا </w:t>
      </w:r>
      <w:r>
        <w:rPr>
          <w:rFonts w:ascii="Simplified Arabic" w:eastAsia="Calibri" w:hAnsi="Simplified Arabic" w:cs="Simplified Arabic" w:hint="cs"/>
          <w:kern w:val="0"/>
          <w:sz w:val="26"/>
          <w:szCs w:val="26"/>
          <w:rtl/>
          <w:lang w:bidi="ar-JO"/>
          <w14:ligatures w14:val="none"/>
        </w:rPr>
        <w:t xml:space="preserve">متآمرًا." ومع أنّه ولد الاثني عشر ابنًا الذين منهم أتت أسباط إسرائيل، فقد أدّت حياته غير البارّة إلى طردهم من أرض الموعود، </w:t>
      </w:r>
      <w:r w:rsidR="00F946C6">
        <w:rPr>
          <w:rFonts w:ascii="Simplified Arabic" w:eastAsia="Calibri" w:hAnsi="Simplified Arabic" w:cs="Simplified Arabic" w:hint="cs"/>
          <w:kern w:val="0"/>
          <w:sz w:val="26"/>
          <w:szCs w:val="26"/>
          <w:rtl/>
          <w:lang w:bidi="ar-JO"/>
          <w14:ligatures w14:val="none"/>
        </w:rPr>
        <w:t>وهو ما</w:t>
      </w:r>
      <w:r>
        <w:rPr>
          <w:rFonts w:ascii="Simplified Arabic" w:eastAsia="Calibri" w:hAnsi="Simplified Arabic" w:cs="Simplified Arabic" w:hint="cs"/>
          <w:kern w:val="0"/>
          <w:sz w:val="26"/>
          <w:szCs w:val="26"/>
          <w:rtl/>
          <w:lang w:bidi="ar-JO"/>
          <w14:ligatures w14:val="none"/>
        </w:rPr>
        <w:t xml:space="preserve"> مثَّل نذيرًا بأحداثٍ سبيٍ ستحدث في المستقبل. </w:t>
      </w:r>
    </w:p>
    <w:p w14:paraId="16EE5F95" w14:textId="6568A1AC" w:rsidR="00B36DA3" w:rsidRDefault="00B36DA3" w:rsidP="00B36DA3">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p>
    <w:p w14:paraId="7A0F2497" w14:textId="7416A729" w:rsidR="00CD052B" w:rsidRPr="00B36DA3" w:rsidRDefault="00CD052B" w:rsidP="00CD052B">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 xml:space="preserve">ج. قصّة يوسف والهجرة إلى مصر (تكوين 37: 2 </w:t>
      </w:r>
      <w:r>
        <w:rPr>
          <w:rFonts w:ascii="Simplified Arabic" w:eastAsia="Calibri" w:hAnsi="Simplified Arabic" w:cs="Simplified Arabic"/>
          <w:kern w:val="0"/>
          <w:sz w:val="26"/>
          <w:szCs w:val="26"/>
          <w:rtl/>
          <w14:ligatures w14:val="none"/>
        </w:rPr>
        <w:t>–</w:t>
      </w:r>
      <w:r>
        <w:rPr>
          <w:rFonts w:ascii="Simplified Arabic" w:eastAsia="Calibri" w:hAnsi="Simplified Arabic" w:cs="Simplified Arabic" w:hint="cs"/>
          <w:kern w:val="0"/>
          <w:sz w:val="26"/>
          <w:szCs w:val="26"/>
          <w:rtl/>
          <w14:ligatures w14:val="none"/>
        </w:rPr>
        <w:t xml:space="preserve"> 50: 26) </w:t>
      </w:r>
    </w:p>
    <w:p w14:paraId="0C57DE43" w14:textId="693300F2" w:rsidR="00B36DA3" w:rsidRPr="00B36DA3" w:rsidRDefault="00CD052B" w:rsidP="00B36DA3">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تعرَّض يوسف، الذي كان إخوته يحتقرونه، للغدر من إخوته الأكبر فأُرسِل إلى مصر. ومع أنّه كان بريئًا، فقد أُودِع السجن. ولكنّ يد الله كانت عليه</w:t>
      </w:r>
      <w:r w:rsidR="0084304E">
        <w:rPr>
          <w:rFonts w:ascii="Simplified Arabic" w:eastAsia="Calibri" w:hAnsi="Simplified Arabic" w:cs="Simplified Arabic" w:hint="cs"/>
          <w:kern w:val="0"/>
          <w:sz w:val="26"/>
          <w:szCs w:val="26"/>
          <w:rtl/>
          <w14:ligatures w14:val="none"/>
        </w:rPr>
        <w:t>. فب</w:t>
      </w:r>
      <w:r>
        <w:rPr>
          <w:rFonts w:ascii="Simplified Arabic" w:eastAsia="Calibri" w:hAnsi="Simplified Arabic" w:cs="Simplified Arabic" w:hint="cs"/>
          <w:kern w:val="0"/>
          <w:sz w:val="26"/>
          <w:szCs w:val="26"/>
          <w:rtl/>
          <w14:ligatures w14:val="none"/>
        </w:rPr>
        <w:t>فعل قدرته فوق الطبيعيّة على تفسير الأحلام</w:t>
      </w:r>
      <w:r w:rsidR="0084304E">
        <w:rPr>
          <w:rFonts w:ascii="Simplified Arabic" w:eastAsia="Calibri" w:hAnsi="Simplified Arabic" w:cs="Simplified Arabic" w:hint="cs"/>
          <w:kern w:val="0"/>
          <w:sz w:val="26"/>
          <w:szCs w:val="26"/>
          <w:rtl/>
          <w14:ligatures w14:val="none"/>
        </w:rPr>
        <w:t xml:space="preserve"> أُعطي فرصةً </w:t>
      </w:r>
      <w:r w:rsidR="00F946C6">
        <w:rPr>
          <w:rFonts w:ascii="Simplified Arabic" w:eastAsia="Calibri" w:hAnsi="Simplified Arabic" w:cs="Simplified Arabic" w:hint="cs"/>
          <w:kern w:val="0"/>
          <w:sz w:val="26"/>
          <w:szCs w:val="26"/>
          <w:rtl/>
          <w14:ligatures w14:val="none"/>
        </w:rPr>
        <w:t xml:space="preserve">على </w:t>
      </w:r>
      <w:r w:rsidR="0084304E">
        <w:rPr>
          <w:rFonts w:ascii="Simplified Arabic" w:eastAsia="Calibri" w:hAnsi="Simplified Arabic" w:cs="Simplified Arabic" w:hint="cs"/>
          <w:kern w:val="0"/>
          <w:sz w:val="26"/>
          <w:szCs w:val="26"/>
          <w:rtl/>
          <w14:ligatures w14:val="none"/>
        </w:rPr>
        <w:t>أن يفسِّر حلمًا أعطاه الله لفرعون. ولذا، رُقّي إلى منصبٍ سام</w:t>
      </w:r>
      <w:r w:rsidR="00F946C6">
        <w:rPr>
          <w:rFonts w:ascii="Simplified Arabic" w:eastAsia="Calibri" w:hAnsi="Simplified Arabic" w:cs="Simplified Arabic" w:hint="cs"/>
          <w:kern w:val="0"/>
          <w:sz w:val="26"/>
          <w:szCs w:val="26"/>
          <w:rtl/>
          <w14:ligatures w14:val="none"/>
        </w:rPr>
        <w:t>ي</w:t>
      </w:r>
      <w:r w:rsidR="0084304E">
        <w:rPr>
          <w:rFonts w:ascii="Simplified Arabic" w:eastAsia="Calibri" w:hAnsi="Simplified Arabic" w:cs="Simplified Arabic" w:hint="cs"/>
          <w:kern w:val="0"/>
          <w:sz w:val="26"/>
          <w:szCs w:val="26"/>
          <w:rtl/>
          <w14:ligatures w14:val="none"/>
        </w:rPr>
        <w:t xml:space="preserve"> المكانة والكرامة. وقد كان لتلك الترقية أثر في تمكينه </w:t>
      </w:r>
      <w:r w:rsidR="00F946C6">
        <w:rPr>
          <w:rFonts w:ascii="Simplified Arabic" w:eastAsia="Calibri" w:hAnsi="Simplified Arabic" w:cs="Simplified Arabic" w:hint="cs"/>
          <w:kern w:val="0"/>
          <w:sz w:val="26"/>
          <w:szCs w:val="26"/>
          <w:rtl/>
          <w14:ligatures w14:val="none"/>
        </w:rPr>
        <w:t>من</w:t>
      </w:r>
      <w:r w:rsidR="0084304E">
        <w:rPr>
          <w:rFonts w:ascii="Simplified Arabic" w:eastAsia="Calibri" w:hAnsi="Simplified Arabic" w:cs="Simplified Arabic" w:hint="cs"/>
          <w:kern w:val="0"/>
          <w:sz w:val="26"/>
          <w:szCs w:val="26"/>
          <w:rtl/>
          <w14:ligatures w14:val="none"/>
        </w:rPr>
        <w:t xml:space="preserve"> مساعدة عائلته. فحين هاجرت عائلته الأكبر إلى مصر عام 1876 ق.م.، تمكّن من إنقاذهم من الأخط</w:t>
      </w:r>
      <w:r w:rsidR="00F946C6">
        <w:rPr>
          <w:rFonts w:ascii="Simplified Arabic" w:eastAsia="Calibri" w:hAnsi="Simplified Arabic" w:cs="Simplified Arabic" w:hint="cs"/>
          <w:kern w:val="0"/>
          <w:sz w:val="26"/>
          <w:szCs w:val="26"/>
          <w:rtl/>
          <w14:ligatures w14:val="none"/>
        </w:rPr>
        <w:t>ار</w:t>
      </w:r>
      <w:r w:rsidR="0084304E">
        <w:rPr>
          <w:rFonts w:ascii="Simplified Arabic" w:eastAsia="Calibri" w:hAnsi="Simplified Arabic" w:cs="Simplified Arabic" w:hint="cs"/>
          <w:kern w:val="0"/>
          <w:sz w:val="26"/>
          <w:szCs w:val="26"/>
          <w:rtl/>
          <w14:ligatures w14:val="none"/>
        </w:rPr>
        <w:t xml:space="preserve"> المحيطة ومن أن يباركهم. اختبارات يوسف الحياتيّة جعلت منه رمزًا ونموذجًا للمسيح.  </w:t>
      </w:r>
    </w:p>
    <w:p w14:paraId="0662A374" w14:textId="77777777" w:rsidR="00B36DA3" w:rsidRDefault="00B36DA3" w:rsidP="0084304E">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eastAsia="Calibri" w:cs="Times New Roman"/>
          <w:kern w:val="0"/>
          <w:szCs w:val="24"/>
          <w:rtl/>
          <w14:ligatures w14:val="none"/>
        </w:rPr>
      </w:pPr>
    </w:p>
    <w:p w14:paraId="481B7F68" w14:textId="7389C6B0" w:rsidR="003B6A6E" w:rsidRPr="00FE5E8F" w:rsidRDefault="00FE5E8F" w:rsidP="00FE5E8F">
      <w:pPr>
        <w:pStyle w:val="Heading4RED"/>
        <w:bidi/>
        <w:rPr>
          <w:rFonts w:ascii="Simplified Arabic" w:hAnsi="Simplified Arabic" w:cs="Simplified Arabic"/>
        </w:rPr>
      </w:pPr>
      <w:r w:rsidRPr="00FE5E8F">
        <w:rPr>
          <w:rFonts w:ascii="Simplified Arabic" w:hAnsi="Simplified Arabic" w:cs="Simplified Arabic"/>
          <w:rtl/>
        </w:rPr>
        <w:t>ثالثًا، فترة موسى (</w:t>
      </w:r>
      <w:r w:rsidR="009E086A">
        <w:rPr>
          <w:rFonts w:ascii="Simplified Arabic" w:hAnsi="Simplified Arabic" w:cs="Simplified Arabic" w:hint="cs"/>
          <w:rtl/>
        </w:rPr>
        <w:t xml:space="preserve">خروج 1: 1 </w:t>
      </w:r>
      <w:r w:rsidR="009E086A">
        <w:rPr>
          <w:rFonts w:ascii="Simplified Arabic" w:hAnsi="Simplified Arabic" w:cs="Simplified Arabic"/>
          <w:rtl/>
        </w:rPr>
        <w:t>–</w:t>
      </w:r>
      <w:r w:rsidR="009E086A">
        <w:rPr>
          <w:rFonts w:ascii="Simplified Arabic" w:hAnsi="Simplified Arabic" w:cs="Simplified Arabic" w:hint="cs"/>
          <w:rtl/>
        </w:rPr>
        <w:t xml:space="preserve"> تثنية 34: 12) </w:t>
      </w:r>
    </w:p>
    <w:p w14:paraId="0772E4E4" w14:textId="3F407307" w:rsidR="009E086A" w:rsidRDefault="009E086A" w:rsidP="009E086A">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بعد فترةٍ طويل من زمن يوسف، وجد العبرانيّون أنفسهم عبيدًا يُجبَرون على بناء مدنٍ لفرعونٍ قاسٍ. أقام الله موسى لمواجهة فرعون وليُجبِره على أن يطلق العبرانيين عام 1446 ق.م. (حدث الخروج). تركّز معظم مادّة هذا القسم على وجود شعب إسرائيل عند جبل سيناء، حيث تلقّى الشعب الناموس وصنع خيمة الاجتماع. وعلى الرغم من أعمال الله المعجزيّة الكثيرة لأجل الأمة، فقد تمرّدوا في طريقهم إلى أرض الموعد. ولهذا السبب، جُعِل الجيل المتمرّد يتيه ويجول في البريّة إل</w:t>
      </w:r>
      <w:r w:rsidR="00583620">
        <w:rPr>
          <w:rFonts w:ascii="Simplified Arabic" w:eastAsia="Calibri" w:hAnsi="Simplified Arabic" w:cs="Simplified Arabic" w:hint="cs"/>
          <w:kern w:val="0"/>
          <w:sz w:val="26"/>
          <w:szCs w:val="26"/>
          <w:rtl/>
          <w14:ligatures w14:val="none"/>
        </w:rPr>
        <w:t>ى</w:t>
      </w:r>
      <w:r>
        <w:rPr>
          <w:rFonts w:ascii="Simplified Arabic" w:eastAsia="Calibri" w:hAnsi="Simplified Arabic" w:cs="Simplified Arabic" w:hint="cs"/>
          <w:kern w:val="0"/>
          <w:sz w:val="26"/>
          <w:szCs w:val="26"/>
          <w:rtl/>
          <w14:ligatures w14:val="none"/>
        </w:rPr>
        <w:t xml:space="preserve"> أن قام جيلٌ جديد. يُكرّر موسى وصايا ومطالب الناموس لهم في سفر التثنية، ويوضِّح ما على الأجيال المستقبليّة أن تعمله لتنال البركة وتعيش في في أرض الموعد. </w:t>
      </w:r>
    </w:p>
    <w:p w14:paraId="78373C76" w14:textId="7A176B7B" w:rsidR="009E086A" w:rsidRDefault="009E086A" w:rsidP="009E086A">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p>
    <w:p w14:paraId="6F834E2F" w14:textId="20F8BEEF" w:rsidR="009E086A" w:rsidRDefault="009E086A" w:rsidP="009E086A">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 xml:space="preserve">أ. العبوديّة في مصر وتحرير الله (خروج 1: 1 </w:t>
      </w:r>
      <w:r>
        <w:rPr>
          <w:rFonts w:ascii="Simplified Arabic" w:eastAsia="Calibri" w:hAnsi="Simplified Arabic" w:cs="Simplified Arabic"/>
          <w:kern w:val="0"/>
          <w:sz w:val="26"/>
          <w:szCs w:val="26"/>
          <w:rtl/>
          <w14:ligatures w14:val="none"/>
        </w:rPr>
        <w:t>–</w:t>
      </w:r>
      <w:r>
        <w:rPr>
          <w:rFonts w:ascii="Simplified Arabic" w:eastAsia="Calibri" w:hAnsi="Simplified Arabic" w:cs="Simplified Arabic" w:hint="cs"/>
          <w:kern w:val="0"/>
          <w:sz w:val="26"/>
          <w:szCs w:val="26"/>
          <w:rtl/>
          <w14:ligatures w14:val="none"/>
        </w:rPr>
        <w:t xml:space="preserve"> 18: 27) </w:t>
      </w:r>
    </w:p>
    <w:p w14:paraId="01C1A07C" w14:textId="0CAE9A40" w:rsidR="009E086A" w:rsidRDefault="0066135B" w:rsidP="009E086A">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lastRenderedPageBreak/>
        <w:t>بقي العبرانيّون في مصر مدّة 430 سنة، كانوا في الجزء الأخير منها عبيدًا أُجبِروا على بناء مدنٍ لفرعون. تدوِّن لنا هذه الأصحاحات حدث إقامة الله لموسى ليواجه فرعون بضرباتٍ من الله حت</w:t>
      </w:r>
      <w:r w:rsidR="00583620">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ى أطلق العبرانيين ليغادروا مصر (الخروج). وقد أدّت معجزة عبور البحر الأحمر على اليابسة إلى زيادة ثقة الشعب بالرب</w:t>
      </w:r>
      <w:r w:rsidR="00583620">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ومع هذا، فإنّ الرحلة من هناك إلى جبل سيناء تكشف عن أمرٍ واحد هو أنّ قلوب الشعب ضال</w:t>
      </w:r>
      <w:r w:rsidR="00583620">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ة ومنحرفة وتميل إلى التذمُّر وعدم الإيمان. </w:t>
      </w:r>
    </w:p>
    <w:p w14:paraId="29113065" w14:textId="137A4F29" w:rsidR="0066135B" w:rsidRDefault="0066135B" w:rsidP="0066135B">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p>
    <w:p w14:paraId="563BA1C6" w14:textId="752CFB54" w:rsidR="0066135B" w:rsidRDefault="0066135B" w:rsidP="0066135B">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 xml:space="preserve">ب. تلقّي الناموس في جبل سيناء (خروج 19: 1 </w:t>
      </w:r>
      <w:r>
        <w:rPr>
          <w:rFonts w:ascii="Simplified Arabic" w:eastAsia="Calibri" w:hAnsi="Simplified Arabic" w:cs="Simplified Arabic"/>
          <w:kern w:val="0"/>
          <w:sz w:val="26"/>
          <w:szCs w:val="26"/>
          <w:rtl/>
          <w14:ligatures w14:val="none"/>
        </w:rPr>
        <w:t>–</w:t>
      </w:r>
      <w:r>
        <w:rPr>
          <w:rFonts w:ascii="Simplified Arabic" w:eastAsia="Calibri" w:hAnsi="Simplified Arabic" w:cs="Simplified Arabic" w:hint="cs"/>
          <w:kern w:val="0"/>
          <w:sz w:val="26"/>
          <w:szCs w:val="26"/>
          <w:rtl/>
          <w14:ligatures w14:val="none"/>
        </w:rPr>
        <w:t xml:space="preserve"> سفر العدد 10: 10) </w:t>
      </w:r>
    </w:p>
    <w:p w14:paraId="61141F26" w14:textId="02FE0925" w:rsidR="009E086A" w:rsidRDefault="0066135B" w:rsidP="009E086A">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في جبل سيناء، قُدِّمت الفرصة للعبرانيّين بأن يصيروا الأمّة الفريدة التي سيستخدمها الله في برنامجه بأن يبارك كل</w:t>
      </w:r>
      <w:r w:rsidR="00583620">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شعوب الأرض وعشائرها. ولكنّ حتّى يُعطوا هذا الدور كان عليهم أن يوافقوا على الدخول في عهد</w:t>
      </w:r>
      <w:r w:rsidR="00583620">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مع الله وأن يحفظوا الناموس (العهد الموسوي). وأثناء إقامتهم عند جبل سيناء، صنعوا خيمة الاجتماع (خروج 25-40)، وتلقّوا تعليماتٍ بشأن نظام الذبائح (سفر اللاويّين). وبعد أكثر من ثلاثة عشر شهرًا بقليل من مغادرتهم مصر، تركوا جبل سيناء ليبدأوا الرحلة إلى أرض الموعد </w:t>
      </w:r>
      <w:r>
        <w:rPr>
          <w:rFonts w:ascii="Simplified Arabic" w:eastAsia="Calibri" w:hAnsi="Simplified Arabic" w:cs="Simplified Arabic"/>
          <w:kern w:val="0"/>
          <w:sz w:val="26"/>
          <w:szCs w:val="26"/>
          <w:rtl/>
          <w14:ligatures w14:val="none"/>
        </w:rPr>
        <w:t>–</w:t>
      </w:r>
      <w:r>
        <w:rPr>
          <w:rFonts w:ascii="Simplified Arabic" w:eastAsia="Calibri" w:hAnsi="Simplified Arabic" w:cs="Simplified Arabic" w:hint="cs"/>
          <w:kern w:val="0"/>
          <w:sz w:val="26"/>
          <w:szCs w:val="26"/>
          <w:rtl/>
          <w14:ligatures w14:val="none"/>
        </w:rPr>
        <w:t xml:space="preserve"> كنعان. </w:t>
      </w:r>
    </w:p>
    <w:p w14:paraId="450075A7" w14:textId="7DB28AC5" w:rsidR="0066135B" w:rsidRDefault="0066135B" w:rsidP="0066135B">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p>
    <w:p w14:paraId="45829470" w14:textId="665AC921" w:rsidR="0066135B" w:rsidRDefault="0066135B" w:rsidP="0066135B">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 xml:space="preserve">ج. التمرُّد في قادش برنيع والتيه في البرّيّة (سفر العدد 10: 11 </w:t>
      </w:r>
      <w:r>
        <w:rPr>
          <w:rFonts w:ascii="Simplified Arabic" w:eastAsia="Calibri" w:hAnsi="Simplified Arabic" w:cs="Simplified Arabic"/>
          <w:kern w:val="0"/>
          <w:sz w:val="26"/>
          <w:szCs w:val="26"/>
          <w:rtl/>
          <w14:ligatures w14:val="none"/>
        </w:rPr>
        <w:t>–</w:t>
      </w:r>
      <w:r>
        <w:rPr>
          <w:rFonts w:ascii="Simplified Arabic" w:eastAsia="Calibri" w:hAnsi="Simplified Arabic" w:cs="Simplified Arabic" w:hint="cs"/>
          <w:kern w:val="0"/>
          <w:sz w:val="26"/>
          <w:szCs w:val="26"/>
          <w:rtl/>
          <w14:ligatures w14:val="none"/>
        </w:rPr>
        <w:t xml:space="preserve"> تثنية 34: 12) </w:t>
      </w:r>
    </w:p>
    <w:p w14:paraId="65E549A3" w14:textId="3A11FE49" w:rsidR="0066135B" w:rsidRDefault="002852A5" w:rsidP="0066135B">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lang w:bidi="ar-JO"/>
          <w14:ligatures w14:val="none"/>
        </w:rPr>
      </w:pPr>
      <w:r>
        <w:rPr>
          <w:rFonts w:ascii="Simplified Arabic" w:eastAsia="Calibri" w:hAnsi="Simplified Arabic" w:cs="Simplified Arabic" w:hint="cs"/>
          <w:kern w:val="0"/>
          <w:sz w:val="26"/>
          <w:szCs w:val="26"/>
          <w:rtl/>
          <w:lang w:bidi="ar-JO"/>
          <w14:ligatures w14:val="none"/>
        </w:rPr>
        <w:t>عند حدود أرض الموعد، وفي مكانٍ يُدعى قادش برنيع، أُرسِل جواسيس إلى الأرض ليتفحّصوها. وعند رجوعهم، تمرّد الشعب على الله ورفض</w:t>
      </w:r>
      <w:r w:rsidR="00583620">
        <w:rPr>
          <w:rFonts w:ascii="Simplified Arabic" w:eastAsia="Calibri" w:hAnsi="Simplified Arabic" w:cs="Simplified Arabic" w:hint="cs"/>
          <w:kern w:val="0"/>
          <w:sz w:val="26"/>
          <w:szCs w:val="26"/>
          <w:rtl/>
          <w:lang w:bidi="ar-JO"/>
          <w14:ligatures w14:val="none"/>
        </w:rPr>
        <w:t>وا</w:t>
      </w:r>
      <w:r>
        <w:rPr>
          <w:rFonts w:ascii="Simplified Arabic" w:eastAsia="Calibri" w:hAnsi="Simplified Arabic" w:cs="Simplified Arabic" w:hint="cs"/>
          <w:kern w:val="0"/>
          <w:sz w:val="26"/>
          <w:szCs w:val="26"/>
          <w:rtl/>
          <w:lang w:bidi="ar-JO"/>
          <w14:ligatures w14:val="none"/>
        </w:rPr>
        <w:t xml:space="preserve"> أن يتقدَّم</w:t>
      </w:r>
      <w:r w:rsidR="00583620">
        <w:rPr>
          <w:rFonts w:ascii="Simplified Arabic" w:eastAsia="Calibri" w:hAnsi="Simplified Arabic" w:cs="Simplified Arabic" w:hint="cs"/>
          <w:kern w:val="0"/>
          <w:sz w:val="26"/>
          <w:szCs w:val="26"/>
          <w:rtl/>
          <w:lang w:bidi="ar-JO"/>
          <w14:ligatures w14:val="none"/>
        </w:rPr>
        <w:t>وا</w:t>
      </w:r>
      <w:r>
        <w:rPr>
          <w:rFonts w:ascii="Simplified Arabic" w:eastAsia="Calibri" w:hAnsi="Simplified Arabic" w:cs="Simplified Arabic" w:hint="cs"/>
          <w:kern w:val="0"/>
          <w:sz w:val="26"/>
          <w:szCs w:val="26"/>
          <w:rtl/>
          <w:lang w:bidi="ar-JO"/>
          <w14:ligatures w14:val="none"/>
        </w:rPr>
        <w:t xml:space="preserve"> إلى الأرض. وبسبب هذا التمرُّد، حُكِم على ذلك الجيل بأن يموت وينتهي في البريّة، ليستطيع الله أن يقيم جيلًا جديدًا سيثق به ويمتلك الأرض. وبالرغم من شدّة تمرُّدهم في قادش برنيع، يؤكِّد الله، كما يظهر في أقوال بلعام، على قصده النهائي الأسمى بأن يستخدم إسرائيل بوصفه شعب عهد</w:t>
      </w:r>
      <w:r w:rsidR="00583620">
        <w:rPr>
          <w:rFonts w:ascii="Simplified Arabic" w:eastAsia="Calibri" w:hAnsi="Simplified Arabic" w:cs="Simplified Arabic" w:hint="cs"/>
          <w:kern w:val="0"/>
          <w:sz w:val="26"/>
          <w:szCs w:val="26"/>
          <w:rtl/>
          <w:lang w:bidi="ar-JO"/>
          <w14:ligatures w14:val="none"/>
        </w:rPr>
        <w:t>ه</w:t>
      </w:r>
      <w:r>
        <w:rPr>
          <w:rFonts w:ascii="Simplified Arabic" w:eastAsia="Calibri" w:hAnsi="Simplified Arabic" w:cs="Simplified Arabic" w:hint="cs"/>
          <w:kern w:val="0"/>
          <w:sz w:val="26"/>
          <w:szCs w:val="26"/>
          <w:rtl/>
          <w:lang w:bidi="ar-JO"/>
          <w14:ligatures w14:val="none"/>
        </w:rPr>
        <w:t xml:space="preserve"> وبأن يباركهم. وآخر عمل</w:t>
      </w:r>
      <w:r w:rsidR="00583620">
        <w:rPr>
          <w:rFonts w:ascii="Simplified Arabic" w:eastAsia="Calibri" w:hAnsi="Simplified Arabic" w:cs="Simplified Arabic" w:hint="cs"/>
          <w:kern w:val="0"/>
          <w:sz w:val="26"/>
          <w:szCs w:val="26"/>
          <w:rtl/>
          <w:lang w:bidi="ar-JO"/>
          <w14:ligatures w14:val="none"/>
        </w:rPr>
        <w:t>ِ</w:t>
      </w:r>
      <w:r>
        <w:rPr>
          <w:rFonts w:ascii="Simplified Arabic" w:eastAsia="Calibri" w:hAnsi="Simplified Arabic" w:cs="Simplified Arabic" w:hint="cs"/>
          <w:kern w:val="0"/>
          <w:sz w:val="26"/>
          <w:szCs w:val="26"/>
          <w:rtl/>
          <w:lang w:bidi="ar-JO"/>
          <w14:ligatures w14:val="none"/>
        </w:rPr>
        <w:t xml:space="preserve"> خدمةٍ قدّمه موسى لله</w:t>
      </w:r>
      <w:r w:rsidR="00583620">
        <w:rPr>
          <w:rFonts w:ascii="Simplified Arabic" w:eastAsia="Calibri" w:hAnsi="Simplified Arabic" w:cs="Simplified Arabic" w:hint="cs"/>
          <w:kern w:val="0"/>
          <w:sz w:val="26"/>
          <w:szCs w:val="26"/>
          <w:rtl/>
          <w:lang w:bidi="ar-JO"/>
          <w14:ligatures w14:val="none"/>
        </w:rPr>
        <w:t xml:space="preserve"> كان إلقاءه</w:t>
      </w:r>
      <w:r>
        <w:rPr>
          <w:rFonts w:ascii="Simplified Arabic" w:eastAsia="Calibri" w:hAnsi="Simplified Arabic" w:cs="Simplified Arabic" w:hint="cs"/>
          <w:kern w:val="0"/>
          <w:sz w:val="26"/>
          <w:szCs w:val="26"/>
          <w:rtl/>
          <w:lang w:bidi="ar-JO"/>
          <w14:ligatures w14:val="none"/>
        </w:rPr>
        <w:t xml:space="preserve"> خطاباً عظيمًا، كان </w:t>
      </w:r>
      <w:r w:rsidR="00583620">
        <w:rPr>
          <w:rFonts w:ascii="Simplified Arabic" w:eastAsia="Calibri" w:hAnsi="Simplified Arabic" w:cs="Simplified Arabic" w:hint="cs"/>
          <w:kern w:val="0"/>
          <w:sz w:val="26"/>
          <w:szCs w:val="26"/>
          <w:rtl/>
          <w:lang w:bidi="ar-JO"/>
          <w14:ligatures w14:val="none"/>
        </w:rPr>
        <w:t>آ</w:t>
      </w:r>
      <w:r>
        <w:rPr>
          <w:rFonts w:ascii="Simplified Arabic" w:eastAsia="Calibri" w:hAnsi="Simplified Arabic" w:cs="Simplified Arabic" w:hint="cs"/>
          <w:kern w:val="0"/>
          <w:sz w:val="26"/>
          <w:szCs w:val="26"/>
          <w:rtl/>
          <w:lang w:bidi="ar-JO"/>
          <w14:ligatures w14:val="none"/>
        </w:rPr>
        <w:t xml:space="preserve">خر خطابٍ له، للجيل الجديد قبل </w:t>
      </w:r>
      <w:r w:rsidR="00583620">
        <w:rPr>
          <w:rFonts w:ascii="Simplified Arabic" w:eastAsia="Calibri" w:hAnsi="Simplified Arabic" w:cs="Simplified Arabic" w:hint="cs"/>
          <w:kern w:val="0"/>
          <w:sz w:val="26"/>
          <w:szCs w:val="26"/>
          <w:rtl/>
          <w:lang w:bidi="ar-JO"/>
          <w14:ligatures w14:val="none"/>
        </w:rPr>
        <w:t>د</w:t>
      </w:r>
      <w:r>
        <w:rPr>
          <w:rFonts w:ascii="Simplified Arabic" w:eastAsia="Calibri" w:hAnsi="Simplified Arabic" w:cs="Simplified Arabic" w:hint="cs"/>
          <w:kern w:val="0"/>
          <w:sz w:val="26"/>
          <w:szCs w:val="26"/>
          <w:rtl/>
          <w:lang w:bidi="ar-JO"/>
          <w14:ligatures w14:val="none"/>
        </w:rPr>
        <w:t>خولهم إلى الأرض، وذلك ليضمن أنّهم يفهمون مطالب الناموس (سفر التثنية). و</w:t>
      </w:r>
      <w:r w:rsidR="008B4BA1">
        <w:rPr>
          <w:rFonts w:ascii="Simplified Arabic" w:eastAsia="Calibri" w:hAnsi="Simplified Arabic" w:cs="Simplified Arabic" w:hint="cs"/>
          <w:kern w:val="0"/>
          <w:sz w:val="26"/>
          <w:szCs w:val="26"/>
          <w:rtl/>
          <w:lang w:bidi="ar-JO"/>
          <w14:ligatures w14:val="none"/>
        </w:rPr>
        <w:t>يُوضَّح ما عليهم أن يعملوه ليكونوا في البر</w:t>
      </w:r>
      <w:r w:rsidR="00583620">
        <w:rPr>
          <w:rFonts w:ascii="Simplified Arabic" w:eastAsia="Calibri" w:hAnsi="Simplified Arabic" w:cs="Simplified Arabic" w:hint="cs"/>
          <w:kern w:val="0"/>
          <w:sz w:val="26"/>
          <w:szCs w:val="26"/>
          <w:rtl/>
          <w:lang w:bidi="ar-JO"/>
          <w14:ligatures w14:val="none"/>
        </w:rPr>
        <w:t>َ</w:t>
      </w:r>
      <w:r w:rsidR="008B4BA1">
        <w:rPr>
          <w:rFonts w:ascii="Simplified Arabic" w:eastAsia="Calibri" w:hAnsi="Simplified Arabic" w:cs="Simplified Arabic" w:hint="cs"/>
          <w:kern w:val="0"/>
          <w:sz w:val="26"/>
          <w:szCs w:val="26"/>
          <w:rtl/>
          <w:lang w:bidi="ar-JO"/>
          <w14:ligatures w14:val="none"/>
        </w:rPr>
        <w:t xml:space="preserve">كة في الأرض، وما يمكنهم توقّعه إن لم يحفظوا العهد (تثنية 28-30). </w:t>
      </w:r>
    </w:p>
    <w:p w14:paraId="7451AE8F" w14:textId="77777777" w:rsidR="0066135B" w:rsidRDefault="0066135B" w:rsidP="0066135B">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p>
    <w:p w14:paraId="53EA22C2" w14:textId="0C68815A" w:rsidR="003B6A6E" w:rsidRPr="00FE5E8F" w:rsidRDefault="00FE5E8F" w:rsidP="00FE5E8F">
      <w:pPr>
        <w:pStyle w:val="Heading4RED"/>
        <w:bidi/>
        <w:rPr>
          <w:rFonts w:ascii="Simplified Arabic" w:hAnsi="Simplified Arabic" w:cs="Simplified Arabic"/>
        </w:rPr>
      </w:pPr>
      <w:r w:rsidRPr="00FE5E8F">
        <w:rPr>
          <w:rFonts w:ascii="Simplified Arabic" w:hAnsi="Simplified Arabic" w:cs="Simplified Arabic"/>
          <w:rtl/>
        </w:rPr>
        <w:t>رابعًا، امتلاك شعب إسرائيل للأرض (</w:t>
      </w:r>
      <w:r w:rsidR="008B4BA1">
        <w:rPr>
          <w:rFonts w:ascii="Simplified Arabic" w:hAnsi="Simplified Arabic" w:cs="Simplified Arabic" w:hint="cs"/>
          <w:rtl/>
        </w:rPr>
        <w:t xml:space="preserve">يشوع 1: 1 </w:t>
      </w:r>
      <w:r w:rsidR="008B4BA1">
        <w:rPr>
          <w:rFonts w:ascii="Simplified Arabic" w:hAnsi="Simplified Arabic" w:cs="Simplified Arabic"/>
          <w:rtl/>
        </w:rPr>
        <w:t>–</w:t>
      </w:r>
      <w:r w:rsidR="008B4BA1">
        <w:rPr>
          <w:rFonts w:ascii="Simplified Arabic" w:hAnsi="Simplified Arabic" w:cs="Simplified Arabic" w:hint="cs"/>
          <w:rtl/>
        </w:rPr>
        <w:t xml:space="preserve"> راعوث 4: 22) </w:t>
      </w:r>
    </w:p>
    <w:p w14:paraId="6A7ECFAC" w14:textId="6BDD51B9" w:rsidR="008B4BA1" w:rsidRDefault="008B4BA1" w:rsidP="008B4BA1">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sidRPr="008B4BA1">
        <w:rPr>
          <w:rFonts w:ascii="Simplified Arabic" w:eastAsia="Calibri" w:hAnsi="Simplified Arabic" w:cs="Simplified Arabic"/>
          <w:kern w:val="0"/>
          <w:sz w:val="26"/>
          <w:szCs w:val="26"/>
          <w:rtl/>
          <w14:ligatures w14:val="none"/>
        </w:rPr>
        <w:t xml:space="preserve">يدوِّن القسم الأخير (يشوع وقضاة وراعوث) </w:t>
      </w:r>
      <w:r w:rsidR="00583620">
        <w:rPr>
          <w:rFonts w:ascii="Simplified Arabic" w:eastAsia="Calibri" w:hAnsi="Simplified Arabic" w:cs="Simplified Arabic" w:hint="cs"/>
          <w:kern w:val="0"/>
          <w:sz w:val="26"/>
          <w:szCs w:val="26"/>
          <w:rtl/>
          <w14:ligatures w14:val="none"/>
        </w:rPr>
        <w:t xml:space="preserve">قصّة </w:t>
      </w:r>
      <w:r w:rsidRPr="008B4BA1">
        <w:rPr>
          <w:rFonts w:ascii="Simplified Arabic" w:eastAsia="Calibri" w:hAnsi="Simplified Arabic" w:cs="Simplified Arabic"/>
          <w:kern w:val="0"/>
          <w:sz w:val="26"/>
          <w:szCs w:val="26"/>
          <w:rtl/>
          <w14:ligatures w14:val="none"/>
        </w:rPr>
        <w:t>الاستيلاء على الأرض بقيادة يشوع، وما مرّت به الأم</w:t>
      </w:r>
      <w:r w:rsidR="00583620">
        <w:rPr>
          <w:rFonts w:ascii="Simplified Arabic" w:eastAsia="Calibri" w:hAnsi="Simplified Arabic" w:cs="Simplified Arabic" w:hint="cs"/>
          <w:kern w:val="0"/>
          <w:sz w:val="26"/>
          <w:szCs w:val="26"/>
          <w:rtl/>
          <w14:ligatures w14:val="none"/>
        </w:rPr>
        <w:t>ّ</w:t>
      </w:r>
      <w:r w:rsidRPr="008B4BA1">
        <w:rPr>
          <w:rFonts w:ascii="Simplified Arabic" w:eastAsia="Calibri" w:hAnsi="Simplified Arabic" w:cs="Simplified Arabic"/>
          <w:kern w:val="0"/>
          <w:sz w:val="26"/>
          <w:szCs w:val="26"/>
          <w:rtl/>
          <w14:ligatures w14:val="none"/>
        </w:rPr>
        <w:t>ة بعد موت يشوع والجيل الذي راف</w:t>
      </w:r>
      <w:r w:rsidR="00583620">
        <w:rPr>
          <w:rFonts w:ascii="Simplified Arabic" w:eastAsia="Calibri" w:hAnsi="Simplified Arabic" w:cs="Simplified Arabic" w:hint="cs"/>
          <w:kern w:val="0"/>
          <w:sz w:val="26"/>
          <w:szCs w:val="26"/>
          <w:rtl/>
          <w14:ligatures w14:val="none"/>
        </w:rPr>
        <w:t>ق</w:t>
      </w:r>
      <w:r w:rsidRPr="008B4BA1">
        <w:rPr>
          <w:rFonts w:ascii="Simplified Arabic" w:eastAsia="Calibri" w:hAnsi="Simplified Arabic" w:cs="Simplified Arabic"/>
          <w:kern w:val="0"/>
          <w:sz w:val="26"/>
          <w:szCs w:val="26"/>
          <w:rtl/>
          <w14:ligatures w14:val="none"/>
        </w:rPr>
        <w:t xml:space="preserve">ه. حين وثقوا بالله أعطاهم الله الانتصار على الكنعانيّين إلى أن "استراحوا" من أعدائهم، </w:t>
      </w:r>
      <w:r w:rsidR="00583620">
        <w:rPr>
          <w:rFonts w:ascii="Simplified Arabic" w:eastAsia="Calibri" w:hAnsi="Simplified Arabic" w:cs="Simplified Arabic" w:hint="cs"/>
          <w:kern w:val="0"/>
          <w:sz w:val="26"/>
          <w:szCs w:val="26"/>
          <w:rtl/>
          <w14:ligatures w14:val="none"/>
        </w:rPr>
        <w:t xml:space="preserve">ليصير </w:t>
      </w:r>
      <w:r w:rsidR="00583620">
        <w:rPr>
          <w:rFonts w:ascii="Simplified Arabic" w:eastAsia="Calibri" w:hAnsi="Simplified Arabic" w:cs="Simplified Arabic" w:hint="cs"/>
          <w:kern w:val="0"/>
          <w:sz w:val="26"/>
          <w:szCs w:val="26"/>
          <w:rtl/>
          <w14:ligatures w14:val="none"/>
        </w:rPr>
        <w:lastRenderedPageBreak/>
        <w:t>ممكنًا</w:t>
      </w:r>
      <w:r w:rsidRPr="008B4BA1">
        <w:rPr>
          <w:rFonts w:ascii="Simplified Arabic" w:eastAsia="Calibri" w:hAnsi="Simplified Arabic" w:cs="Simplified Arabic"/>
          <w:kern w:val="0"/>
          <w:sz w:val="26"/>
          <w:szCs w:val="26"/>
          <w:rtl/>
          <w14:ligatures w14:val="none"/>
        </w:rPr>
        <w:t xml:space="preserve"> تقسيم الأرض بين الأسباط الاثني عشر. ومع هذا، فإنّ النكوص إلى عبادة الأوثان بعد زمن يشوع قاد إلى دوراتٍ متكرِّرة من التأديب</w:t>
      </w:r>
      <w:r>
        <w:rPr>
          <w:rFonts w:ascii="Simplified Arabic" w:eastAsia="Calibri" w:hAnsi="Simplified Arabic" w:cs="Simplified Arabic" w:hint="cs"/>
          <w:kern w:val="0"/>
          <w:sz w:val="26"/>
          <w:szCs w:val="26"/>
          <w:rtl/>
          <w14:ligatures w14:val="none"/>
        </w:rPr>
        <w:t xml:space="preserve">. </w:t>
      </w:r>
    </w:p>
    <w:p w14:paraId="66720D34" w14:textId="428CA031" w:rsidR="008B4BA1" w:rsidRDefault="008B4BA1" w:rsidP="008B4BA1">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 xml:space="preserve">أ. الاستيلاء على الأرض وتوزيعها بقيادة يشوع (يشوع 1: 1 </w:t>
      </w:r>
      <w:r>
        <w:rPr>
          <w:rFonts w:ascii="Simplified Arabic" w:eastAsia="Calibri" w:hAnsi="Simplified Arabic" w:cs="Simplified Arabic"/>
          <w:kern w:val="0"/>
          <w:sz w:val="26"/>
          <w:szCs w:val="26"/>
          <w:rtl/>
          <w14:ligatures w14:val="none"/>
        </w:rPr>
        <w:t>–</w:t>
      </w:r>
      <w:r>
        <w:rPr>
          <w:rFonts w:ascii="Simplified Arabic" w:eastAsia="Calibri" w:hAnsi="Simplified Arabic" w:cs="Simplified Arabic" w:hint="cs"/>
          <w:kern w:val="0"/>
          <w:sz w:val="26"/>
          <w:szCs w:val="26"/>
          <w:rtl/>
          <w14:ligatures w14:val="none"/>
        </w:rPr>
        <w:t xml:space="preserve"> 24: 32) </w:t>
      </w:r>
    </w:p>
    <w:p w14:paraId="5AD4A1B2" w14:textId="07E6E7CB" w:rsidR="008B4BA1" w:rsidRDefault="00DD5614" w:rsidP="008B4BA1">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بقيادة يشوع، دخل الجيل الجديد إلى الأرض، وهزم دويلات مدن الكنعانيين، وقسَّم الأرض بين الأسباط الاثني عشر (1406-1400 ق.م.). ولكنْ بقيت جيوب</w:t>
      </w:r>
      <w:r w:rsidR="00583620">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من الكنعانيين في الأرض (فلم يبدهم العبرانيّون بصورة تامّة). وقد أدّى هذا إلى اختلاط العبرانيّين بالكنعانيّين وتعرُّضهم للوثنيّة. ومع هذا، كانت هناك أمانة نسبيّة نحو الرب</w:t>
      </w:r>
      <w:r w:rsidR="00583620">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في زمن يشوع، إذْ أكّد الشعب التزامهم بأن يحفظوا شريعة موسى. </w:t>
      </w:r>
    </w:p>
    <w:p w14:paraId="6359319A" w14:textId="6FD0CC17" w:rsidR="008B4BA1" w:rsidRDefault="008B4BA1" w:rsidP="008B4BA1">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p>
    <w:p w14:paraId="383284D1" w14:textId="2F928074" w:rsidR="008B4BA1" w:rsidRDefault="008B4BA1" w:rsidP="008B4BA1">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 xml:space="preserve">ب. النكوص المتكرِّر لشعب إسرائيل إلى الوثنيّة و"مُخلِّصوه" (قضاة 1: 1 </w:t>
      </w:r>
      <w:r>
        <w:rPr>
          <w:rFonts w:ascii="Simplified Arabic" w:eastAsia="Calibri" w:hAnsi="Simplified Arabic" w:cs="Simplified Arabic"/>
          <w:kern w:val="0"/>
          <w:sz w:val="26"/>
          <w:szCs w:val="26"/>
          <w:rtl/>
          <w14:ligatures w14:val="none"/>
        </w:rPr>
        <w:t>–</w:t>
      </w:r>
      <w:r>
        <w:rPr>
          <w:rFonts w:ascii="Simplified Arabic" w:eastAsia="Calibri" w:hAnsi="Simplified Arabic" w:cs="Simplified Arabic" w:hint="cs"/>
          <w:kern w:val="0"/>
          <w:sz w:val="26"/>
          <w:szCs w:val="26"/>
          <w:rtl/>
          <w14:ligatures w14:val="none"/>
        </w:rPr>
        <w:t xml:space="preserve"> 21: 25)</w:t>
      </w:r>
    </w:p>
    <w:p w14:paraId="42FE08B7" w14:textId="62A65E2E" w:rsidR="008B4BA1" w:rsidRDefault="00DD5614" w:rsidP="008B4BA1">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 xml:space="preserve">بعد موت يشوع، لم يكن هناك قائد واحد للأمّة، مثلما لم يكن لها ملك. وكانت الوحدة الوطنيّة ضعيفة، وقد كان هناك تجاهل لفرض شريعة العهد. وقد </w:t>
      </w:r>
      <w:r w:rsidR="00583620">
        <w:rPr>
          <w:rFonts w:ascii="Simplified Arabic" w:eastAsia="Calibri" w:hAnsi="Simplified Arabic" w:cs="Simplified Arabic" w:hint="cs"/>
          <w:kern w:val="0"/>
          <w:sz w:val="26"/>
          <w:szCs w:val="26"/>
          <w:rtl/>
          <w14:ligatures w14:val="none"/>
        </w:rPr>
        <w:t>عاش</w:t>
      </w:r>
      <w:r>
        <w:rPr>
          <w:rFonts w:ascii="Simplified Arabic" w:eastAsia="Calibri" w:hAnsi="Simplified Arabic" w:cs="Simplified Arabic" w:hint="cs"/>
          <w:kern w:val="0"/>
          <w:sz w:val="26"/>
          <w:szCs w:val="26"/>
          <w:rtl/>
          <w14:ligatures w14:val="none"/>
        </w:rPr>
        <w:t xml:space="preserve"> الشعب بصورة متكرِّرة فشلًا في حفظ الشريعة أدّى في النهاية إلى تحوُّل الشعب إلى الوثنيّة. واستجابةً لهذا، أرسل الله عصاباتٍ وجيوشًا أجنبيّة لتوقِع تأديبًا على العبرانيّين. وحين كانوا يعانون كانوا يصرخون إلى الرب ليخلِّصهم. وقد أقام الله بصورةٍ متكرّ</w:t>
      </w:r>
      <w:r w:rsidR="00583620">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رة قادةً كاريزماتيّين (قضاة) ليخلّصوهم. ولكنْ مع مرور الوقت، صارت صفات "القاضي" في انحدار، إلى أن قام شمشون، وكان فاسدًا من الناحية الأخلاقيّة، مُخلِّصًا للشعب. خلق</w:t>
      </w:r>
      <w:r w:rsidR="00583620">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 فشل هذه الفترة الاحتياج </w:t>
      </w:r>
      <w:r w:rsidR="00583620">
        <w:rPr>
          <w:rFonts w:ascii="Simplified Arabic" w:eastAsia="Calibri" w:hAnsi="Simplified Arabic" w:cs="Simplified Arabic" w:hint="cs"/>
          <w:kern w:val="0"/>
          <w:sz w:val="26"/>
          <w:szCs w:val="26"/>
          <w:rtl/>
          <w14:ligatures w14:val="none"/>
        </w:rPr>
        <w:t>إ</w:t>
      </w:r>
      <w:r>
        <w:rPr>
          <w:rFonts w:ascii="Simplified Arabic" w:eastAsia="Calibri" w:hAnsi="Simplified Arabic" w:cs="Simplified Arabic" w:hint="cs"/>
          <w:kern w:val="0"/>
          <w:sz w:val="26"/>
          <w:szCs w:val="26"/>
          <w:rtl/>
          <w14:ligatures w14:val="none"/>
        </w:rPr>
        <w:t xml:space="preserve">لى ملكٍ يمكنه أن يحكم على الشعب. </w:t>
      </w:r>
    </w:p>
    <w:p w14:paraId="75483469" w14:textId="6E0FA5F7" w:rsidR="008B4BA1" w:rsidRDefault="008B4BA1" w:rsidP="008B4BA1">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p>
    <w:p w14:paraId="695EDE74" w14:textId="5100E69A" w:rsidR="008B4BA1" w:rsidRDefault="008B4BA1" w:rsidP="008B4BA1">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 xml:space="preserve">ج. وفاء محبّة الله العاملة في راعوث وبوعز (راعوث 1: 1 </w:t>
      </w:r>
      <w:r>
        <w:rPr>
          <w:rFonts w:ascii="Simplified Arabic" w:eastAsia="Calibri" w:hAnsi="Simplified Arabic" w:cs="Simplified Arabic"/>
          <w:kern w:val="0"/>
          <w:sz w:val="26"/>
          <w:szCs w:val="26"/>
          <w:rtl/>
          <w14:ligatures w14:val="none"/>
        </w:rPr>
        <w:t>–</w:t>
      </w:r>
      <w:r>
        <w:rPr>
          <w:rFonts w:ascii="Simplified Arabic" w:eastAsia="Calibri" w:hAnsi="Simplified Arabic" w:cs="Simplified Arabic" w:hint="cs"/>
          <w:kern w:val="0"/>
          <w:sz w:val="26"/>
          <w:szCs w:val="26"/>
          <w:rtl/>
          <w14:ligatures w14:val="none"/>
        </w:rPr>
        <w:t xml:space="preserve"> 4: 22). </w:t>
      </w:r>
    </w:p>
    <w:p w14:paraId="0EB785C5" w14:textId="2377FE41" w:rsidR="008B4BA1" w:rsidRDefault="00DD5614" w:rsidP="008B4BA1">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rPr>
          <w:rFonts w:ascii="Simplified Arabic" w:eastAsia="Calibri" w:hAnsi="Simplified Arabic" w:cs="Simplified Arabic"/>
          <w:kern w:val="0"/>
          <w:sz w:val="26"/>
          <w:szCs w:val="26"/>
          <w:rtl/>
          <w14:ligatures w14:val="none"/>
        </w:rPr>
      </w:pPr>
      <w:r>
        <w:rPr>
          <w:rFonts w:ascii="Simplified Arabic" w:eastAsia="Calibri" w:hAnsi="Simplified Arabic" w:cs="Simplified Arabic" w:hint="cs"/>
          <w:kern w:val="0"/>
          <w:sz w:val="26"/>
          <w:szCs w:val="26"/>
          <w:rtl/>
          <w14:ligatures w14:val="none"/>
        </w:rPr>
        <w:t>يساعد سفر راعوث، الذي حصلت أحداثه في زمن ضلال الأمّة في فترة القضاة، في إظهار أمانة الله الذي كان يعمل في حياة شعبه الأمين من أجل تحقيق مقاصده. وبالرغم من غرابة استخدام الله لامرأةٍ موآبية (راعوث)، فقد قادها إيمانها إلى أن تصير جدّةً للملك داود وللمسي</w:t>
      </w:r>
      <w:r w:rsidR="00583620">
        <w:rPr>
          <w:rFonts w:ascii="Simplified Arabic" w:eastAsia="Calibri" w:hAnsi="Simplified Arabic" w:cs="Simplified Arabic" w:hint="cs"/>
          <w:kern w:val="0"/>
          <w:sz w:val="26"/>
          <w:szCs w:val="26"/>
          <w:rtl/>
          <w14:ligatures w14:val="none"/>
        </w:rPr>
        <w:t>ّ</w:t>
      </w:r>
      <w:r>
        <w:rPr>
          <w:rFonts w:ascii="Simplified Arabic" w:eastAsia="Calibri" w:hAnsi="Simplified Arabic" w:cs="Simplified Arabic" w:hint="cs"/>
          <w:kern w:val="0"/>
          <w:sz w:val="26"/>
          <w:szCs w:val="26"/>
          <w:rtl/>
          <w14:ligatures w14:val="none"/>
        </w:rPr>
        <w:t xml:space="preserve">ا في النهاية. </w:t>
      </w:r>
    </w:p>
    <w:p w14:paraId="49C2D149" w14:textId="706412DB" w:rsidR="00673F40" w:rsidRDefault="008B4BA1" w:rsidP="00DD5614">
      <w:pPr>
        <w:tabs>
          <w:tab w:val="left" w:pos="0"/>
          <w:tab w:val="left" w:pos="540"/>
          <w:tab w:val="left" w:pos="1080"/>
          <w:tab w:val="left" w:pos="1620"/>
          <w:tab w:val="left" w:pos="2160"/>
          <w:tab w:val="left" w:pos="2700"/>
          <w:tab w:val="left" w:pos="3240"/>
          <w:tab w:val="left" w:pos="3780"/>
          <w:tab w:val="left" w:pos="4320"/>
          <w:tab w:val="left" w:pos="4860"/>
        </w:tabs>
        <w:bidi/>
        <w:spacing w:before="120" w:after="200" w:line="240" w:lineRule="auto"/>
      </w:pPr>
      <w:r w:rsidRPr="008B4BA1">
        <w:rPr>
          <w:rFonts w:ascii="Simplified Arabic" w:eastAsia="Calibri" w:hAnsi="Simplified Arabic" w:cs="Simplified Arabic"/>
          <w:kern w:val="0"/>
          <w:sz w:val="26"/>
          <w:szCs w:val="26"/>
          <w:rtl/>
          <w14:ligatures w14:val="none"/>
        </w:rPr>
        <w:t xml:space="preserve"> </w:t>
      </w:r>
      <w:bookmarkStart w:id="168" w:name="_Hlk158386475"/>
    </w:p>
    <w:p w14:paraId="2653897D" w14:textId="417DAF3B" w:rsidR="006311FA" w:rsidRPr="00FE5E8F" w:rsidRDefault="00FE5E8F" w:rsidP="00FE5E8F">
      <w:pPr>
        <w:pStyle w:val="Heading3"/>
        <w:bidi/>
        <w:spacing w:line="240" w:lineRule="auto"/>
        <w:rPr>
          <w:rFonts w:ascii="Simplified Arabic" w:hAnsi="Simplified Arabic" w:cs="Simplified Arabic"/>
        </w:rPr>
      </w:pPr>
      <w:r w:rsidRPr="00FE5E8F">
        <w:rPr>
          <w:rFonts w:ascii="Simplified Arabic" w:hAnsi="Simplified Arabic" w:cs="Simplified Arabic"/>
          <w:rtl/>
        </w:rPr>
        <w:t>الموضوع 4: النبوّات المسيانيّة والرموز</w:t>
      </w:r>
    </w:p>
    <w:p w14:paraId="7D0A1FD9" w14:textId="2485DFD5" w:rsidR="004F5F50" w:rsidRPr="004F5F50" w:rsidRDefault="004F5F50" w:rsidP="004F5F50">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يمهِّد العهد القديم الطريق لمجيء المسيا، الرب يسوع المسيح، في المستقبل مثلما يُنبئ به. ويحدث هذا بطرقٍ عديدة. فتنبئ بعض المقاطع الكتابية بمجيئه (مثل تكوين 3: 15)، بينما تُشير مقاطع أخرى إلى مجيئه باستخدام "الرموز والنماذج". تُشير </w:t>
      </w:r>
      <w:r w:rsidR="00583620">
        <w:rPr>
          <w:rFonts w:ascii="Simplified Arabic" w:hAnsi="Simplified Arabic" w:cs="Simplified Arabic" w:hint="cs"/>
          <w:sz w:val="26"/>
          <w:szCs w:val="26"/>
          <w:rtl/>
        </w:rPr>
        <w:t>الرموز و</w:t>
      </w:r>
      <w:r>
        <w:rPr>
          <w:rFonts w:ascii="Simplified Arabic" w:hAnsi="Simplified Arabic" w:cs="Simplified Arabic" w:hint="cs"/>
          <w:sz w:val="26"/>
          <w:szCs w:val="26"/>
          <w:rtl/>
        </w:rPr>
        <w:t xml:space="preserve">النماذج إلى استخدام أشخاصٍ أو أحداثٍ أو مؤسِّسات تمثّل ظلالًا لمجيء المسيا وخدمته. </w:t>
      </w:r>
      <w:r>
        <w:rPr>
          <w:rFonts w:ascii="Simplified Arabic" w:hAnsi="Simplified Arabic" w:cs="Simplified Arabic" w:hint="cs"/>
          <w:sz w:val="26"/>
          <w:szCs w:val="26"/>
          <w:rtl/>
        </w:rPr>
        <w:lastRenderedPageBreak/>
        <w:t>ومع هذا، تمهّد مقاطع أخرى لأشياء ينوي الله أن يعملها في النهاية ترتبط بالمسيا يسوع. فمثلًا، يبدأ الكتاب المُقدَّس بقوله: "في البدء خلق الله السماوات والأرض</w:t>
      </w:r>
      <w:r w:rsidR="00583620">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ونعلم لاحقًا في العهد الجديد أنّ يسوع خلق كلّ الأشياء (يوحنا 1: 1-3؛ كولوسي 1: 16). </w:t>
      </w:r>
      <w:r w:rsidR="00010B4E">
        <w:rPr>
          <w:rFonts w:ascii="Simplified Arabic" w:hAnsi="Simplified Arabic" w:cs="Simplified Arabic" w:hint="cs"/>
          <w:sz w:val="26"/>
          <w:szCs w:val="26"/>
          <w:rtl/>
        </w:rPr>
        <w:t xml:space="preserve">أوّل أمرٍ خُلِق هو "النور"، ليكون مختلفًا عن الظلمة (تكوين 1: 3)، وهذا يُنبئ بنور الإنجيل الذي ينير أذهاننا وقلوبنا: "لأنّ الله الذي قال أن يُشرِق نورٌ من ظلمة، هو الذي أشرق في قلوبنا، لإنارة معرفة مجد الله في وجه يسوع المسيح" (2كورنثوس 4: 6). وحتّى جنّة عدن (تكوين 2 و3) صُنِعت لتُشير إلى الفردوس الأسمى و"شجرة الحياة" التي سينالها المؤمنون مع المسيح في السماء الجديدة والأرض الجديدة (رؤيا 22: 1-5). </w:t>
      </w:r>
      <w:r w:rsidR="00753D70">
        <w:rPr>
          <w:rFonts w:ascii="Simplified Arabic" w:hAnsi="Simplified Arabic" w:cs="Simplified Arabic" w:hint="cs"/>
          <w:sz w:val="26"/>
          <w:szCs w:val="26"/>
          <w:rtl/>
        </w:rPr>
        <w:t>ومع أنّ النقاش التالي لا يهدف إلى أن يكون شاملًا، فإنّه يُؤكِّد على عدّة نبوّات مسيانيّة مهم</w:t>
      </w:r>
      <w:r w:rsidR="003B6580">
        <w:rPr>
          <w:rFonts w:ascii="Simplified Arabic" w:hAnsi="Simplified Arabic" w:cs="Simplified Arabic" w:hint="cs"/>
          <w:sz w:val="26"/>
          <w:szCs w:val="26"/>
          <w:rtl/>
        </w:rPr>
        <w:t>ّ</w:t>
      </w:r>
      <w:r w:rsidR="00753D70">
        <w:rPr>
          <w:rFonts w:ascii="Simplified Arabic" w:hAnsi="Simplified Arabic" w:cs="Simplified Arabic" w:hint="cs"/>
          <w:sz w:val="26"/>
          <w:szCs w:val="26"/>
          <w:rtl/>
        </w:rPr>
        <w:t xml:space="preserve">ة أخرى موجودة في أصحاحات التكوين </w:t>
      </w:r>
      <w:r w:rsidR="00753D70">
        <w:rPr>
          <w:rFonts w:ascii="Simplified Arabic" w:hAnsi="Simplified Arabic" w:cs="Simplified Arabic"/>
          <w:sz w:val="26"/>
          <w:szCs w:val="26"/>
          <w:rtl/>
        </w:rPr>
        <w:t>–</w:t>
      </w:r>
      <w:r w:rsidR="00753D70">
        <w:rPr>
          <w:rFonts w:ascii="Simplified Arabic" w:hAnsi="Simplified Arabic" w:cs="Simplified Arabic" w:hint="cs"/>
          <w:sz w:val="26"/>
          <w:szCs w:val="26"/>
          <w:rtl/>
        </w:rPr>
        <w:t xml:space="preserve"> الرؤيا. </w:t>
      </w:r>
    </w:p>
    <w:p w14:paraId="008191BF" w14:textId="77777777" w:rsidR="004F5F50" w:rsidRPr="004F5F50" w:rsidRDefault="004F5F50" w:rsidP="004F5F50">
      <w:pPr>
        <w:bidi/>
        <w:spacing w:line="240" w:lineRule="auto"/>
        <w:rPr>
          <w:rFonts w:ascii="Simplified Arabic" w:hAnsi="Simplified Arabic" w:cs="Simplified Arabic"/>
          <w:sz w:val="26"/>
          <w:szCs w:val="26"/>
          <w:rtl/>
        </w:rPr>
      </w:pPr>
    </w:p>
    <w:p w14:paraId="09338827" w14:textId="2044051B" w:rsidR="00341FEE" w:rsidRDefault="00CD4DE1" w:rsidP="00CD4DE1">
      <w:pPr>
        <w:pStyle w:val="Heading4RED"/>
        <w:bidi/>
        <w:ind w:left="0" w:firstLine="0"/>
        <w:rPr>
          <w:rFonts w:ascii="Simplified Arabic" w:hAnsi="Simplified Arabic" w:cs="Simplified Arabic"/>
          <w:b w:val="0"/>
          <w:bCs w:val="0"/>
          <w:szCs w:val="26"/>
          <w:rtl/>
          <w:lang w:bidi="ar-JO"/>
        </w:rPr>
      </w:pPr>
      <w:r w:rsidRPr="00CD4DE1">
        <w:rPr>
          <w:rFonts w:ascii="Simplified Arabic" w:hAnsi="Simplified Arabic" w:cs="Simplified Arabic"/>
          <w:sz w:val="28"/>
          <w:rtl/>
        </w:rPr>
        <w:lastRenderedPageBreak/>
        <w:t>أوّلًا، المسيح بوصفه آدم الجديد</w:t>
      </w:r>
      <w:r w:rsidR="005F31C7" w:rsidRPr="00CD4DE1">
        <w:rPr>
          <w:rFonts w:ascii="Simplified Arabic" w:hAnsi="Simplified Arabic" w:cs="Simplified Arabic"/>
          <w:sz w:val="28"/>
        </w:rPr>
        <w:br/>
      </w:r>
      <w:r w:rsidRPr="00CD4DE1">
        <w:rPr>
          <w:rFonts w:ascii="Simplified Arabic" w:hAnsi="Simplified Arabic" w:cs="Simplified Arabic" w:hint="cs"/>
          <w:b w:val="0"/>
          <w:bCs w:val="0"/>
          <w:szCs w:val="26"/>
          <w:rtl/>
        </w:rPr>
        <w:t>يقدّ</w:t>
      </w:r>
      <w:r>
        <w:rPr>
          <w:rFonts w:ascii="Simplified Arabic" w:hAnsi="Simplified Arabic" w:cs="Simplified Arabic" w:hint="cs"/>
          <w:b w:val="0"/>
          <w:bCs w:val="0"/>
          <w:szCs w:val="26"/>
          <w:rtl/>
        </w:rPr>
        <w:t>م تكوين 1 آدم بوصفه الإنسان الأو</w:t>
      </w:r>
      <w:r w:rsidR="003B6580">
        <w:rPr>
          <w:rFonts w:ascii="Simplified Arabic" w:hAnsi="Simplified Arabic" w:cs="Simplified Arabic" w:hint="cs"/>
          <w:b w:val="0"/>
          <w:bCs w:val="0"/>
          <w:szCs w:val="26"/>
          <w:rtl/>
        </w:rPr>
        <w:t>ّ</w:t>
      </w:r>
      <w:r>
        <w:rPr>
          <w:rFonts w:ascii="Simplified Arabic" w:hAnsi="Simplified Arabic" w:cs="Simplified Arabic" w:hint="cs"/>
          <w:b w:val="0"/>
          <w:bCs w:val="0"/>
          <w:szCs w:val="26"/>
          <w:rtl/>
        </w:rPr>
        <w:t>ل. ولكنْ بسبب خطيّته عُوقِب بالموت. وعلاوةً على هذا، انتقلت هذه العقوبة إلى كل</w:t>
      </w:r>
      <w:r w:rsidR="003B6580">
        <w:rPr>
          <w:rFonts w:ascii="Simplified Arabic" w:hAnsi="Simplified Arabic" w:cs="Simplified Arabic" w:hint="cs"/>
          <w:b w:val="0"/>
          <w:bCs w:val="0"/>
          <w:szCs w:val="26"/>
          <w:rtl/>
        </w:rPr>
        <w:t>ّ</w:t>
      </w:r>
      <w:r>
        <w:rPr>
          <w:rFonts w:ascii="Simplified Arabic" w:hAnsi="Simplified Arabic" w:cs="Simplified Arabic" w:hint="cs"/>
          <w:b w:val="0"/>
          <w:bCs w:val="0"/>
          <w:szCs w:val="26"/>
          <w:rtl/>
        </w:rPr>
        <w:t xml:space="preserve"> نسله، بمَن في ذلك نحنُ اليوم. ومع هذا، فإن</w:t>
      </w:r>
      <w:r w:rsidR="003B6580">
        <w:rPr>
          <w:rFonts w:ascii="Simplified Arabic" w:hAnsi="Simplified Arabic" w:cs="Simplified Arabic" w:hint="cs"/>
          <w:b w:val="0"/>
          <w:bCs w:val="0"/>
          <w:szCs w:val="26"/>
          <w:rtl/>
        </w:rPr>
        <w:t>ّ</w:t>
      </w:r>
      <w:r>
        <w:rPr>
          <w:rFonts w:ascii="Simplified Arabic" w:hAnsi="Simplified Arabic" w:cs="Simplified Arabic" w:hint="cs"/>
          <w:b w:val="0"/>
          <w:bCs w:val="0"/>
          <w:szCs w:val="26"/>
          <w:rtl/>
        </w:rPr>
        <w:t xml:space="preserve"> العقاب يتجاوز حقيقة أنّ كلَّ واحدٍ منّا سيموت جسديًّا في النهاية. فقد مات آدم روحيًّا أيضاً، أي أنّه صار خاطئًا، ونتيجة لهذا يُولَد كلُّ واحدٍ منّا "خاطئًا،" أي فينا طبيعة الخطية ونحمل ذنب الخطية. ليس معنى هذا أنّنا نعيش بأسوأ درجة ممكنة لنا، ولكنَّنا </w:t>
      </w:r>
      <w:r>
        <w:rPr>
          <w:rFonts w:ascii="Simplified Arabic" w:hAnsi="Simplified Arabic" w:cs="Simplified Arabic" w:hint="cs"/>
          <w:b w:val="0"/>
          <w:bCs w:val="0"/>
          <w:szCs w:val="26"/>
          <w:rtl/>
          <w:lang w:bidi="ar-JO"/>
        </w:rPr>
        <w:t xml:space="preserve">في أسوأ وضعٍ يمكن أن نكون فيه. فإن تُرِكنا لأنفسنا، فإنّه ينبغي لله، الذي ليس فيه أيُّ ظلمٍ أو تحيّز أو محاباة، أن يعلِن أنّنا مُذنبون لا نستحقّ السماء (وملكوت الله). </w:t>
      </w:r>
    </w:p>
    <w:p w14:paraId="692BCE7E" w14:textId="09315791" w:rsidR="00CD4DE1" w:rsidRDefault="0015557D" w:rsidP="00CD4DE1">
      <w:pPr>
        <w:pStyle w:val="Heading4RED"/>
        <w:bidi/>
        <w:ind w:left="0" w:firstLine="0"/>
        <w:rPr>
          <w:rFonts w:ascii="Simplified Arabic" w:hAnsi="Simplified Arabic" w:cs="Simplified Arabic"/>
          <w:b w:val="0"/>
          <w:bCs w:val="0"/>
          <w:szCs w:val="26"/>
          <w:rtl/>
          <w:lang w:bidi="ar-JO"/>
        </w:rPr>
      </w:pPr>
      <w:r>
        <w:rPr>
          <w:rFonts w:ascii="Simplified Arabic" w:hAnsi="Simplified Arabic" w:cs="Simplified Arabic" w:hint="cs"/>
          <w:b w:val="0"/>
          <w:bCs w:val="0"/>
          <w:szCs w:val="26"/>
          <w:rtl/>
          <w:lang w:bidi="ar-JO"/>
        </w:rPr>
        <w:t>للخير أن الله إلهٌ فادٍ</w:t>
      </w:r>
      <w:r w:rsidR="00F9382A">
        <w:rPr>
          <w:rFonts w:ascii="Simplified Arabic" w:hAnsi="Simplified Arabic" w:cs="Simplified Arabic" w:hint="cs"/>
          <w:b w:val="0"/>
          <w:bCs w:val="0"/>
          <w:szCs w:val="26"/>
          <w:rtl/>
          <w:lang w:bidi="ar-JO"/>
        </w:rPr>
        <w:t>. وقد وفَّر طريقة لخلاص الجنس</w:t>
      </w:r>
      <w:r w:rsidR="003B6580">
        <w:rPr>
          <w:rFonts w:ascii="Simplified Arabic" w:hAnsi="Simplified Arabic" w:cs="Simplified Arabic" w:hint="cs"/>
          <w:b w:val="0"/>
          <w:bCs w:val="0"/>
          <w:szCs w:val="26"/>
          <w:rtl/>
          <w:lang w:bidi="ar-JO"/>
        </w:rPr>
        <w:t xml:space="preserve"> البشري</w:t>
      </w:r>
      <w:r w:rsidR="00F9382A">
        <w:rPr>
          <w:rFonts w:ascii="Simplified Arabic" w:hAnsi="Simplified Arabic" w:cs="Simplified Arabic" w:hint="cs"/>
          <w:b w:val="0"/>
          <w:bCs w:val="0"/>
          <w:szCs w:val="26"/>
          <w:rtl/>
          <w:lang w:bidi="ar-JO"/>
        </w:rPr>
        <w:t>، لأسباب</w:t>
      </w:r>
      <w:r w:rsidR="003B6580">
        <w:rPr>
          <w:rFonts w:ascii="Simplified Arabic" w:hAnsi="Simplified Arabic" w:cs="Simplified Arabic" w:hint="cs"/>
          <w:b w:val="0"/>
          <w:bCs w:val="0"/>
          <w:szCs w:val="26"/>
          <w:rtl/>
          <w:lang w:bidi="ar-JO"/>
        </w:rPr>
        <w:t>ٍ</w:t>
      </w:r>
      <w:r w:rsidR="00F9382A">
        <w:rPr>
          <w:rFonts w:ascii="Simplified Arabic" w:hAnsi="Simplified Arabic" w:cs="Simplified Arabic" w:hint="cs"/>
          <w:b w:val="0"/>
          <w:bCs w:val="0"/>
          <w:szCs w:val="26"/>
          <w:rtl/>
          <w:lang w:bidi="ar-JO"/>
        </w:rPr>
        <w:t xml:space="preserve"> تزيدُ مجده. طبعًا، كانت هذه الطريقة ذبيحة</w:t>
      </w:r>
      <w:r w:rsidR="003B6580">
        <w:rPr>
          <w:rFonts w:ascii="Simplified Arabic" w:hAnsi="Simplified Arabic" w:cs="Simplified Arabic" w:hint="cs"/>
          <w:b w:val="0"/>
          <w:bCs w:val="0"/>
          <w:szCs w:val="26"/>
          <w:rtl/>
          <w:lang w:bidi="ar-JO"/>
        </w:rPr>
        <w:t>َ</w:t>
      </w:r>
      <w:r w:rsidR="00F9382A">
        <w:rPr>
          <w:rFonts w:ascii="Simplified Arabic" w:hAnsi="Simplified Arabic" w:cs="Simplified Arabic" w:hint="cs"/>
          <w:b w:val="0"/>
          <w:bCs w:val="0"/>
          <w:szCs w:val="26"/>
          <w:rtl/>
          <w:lang w:bidi="ar-JO"/>
        </w:rPr>
        <w:t xml:space="preserve"> يسوع، ابن الله، الطوعيّة. فعلى الصليب، أخذ يسوع مكانَنا وحمل العقاب الذي يستحقّه كل</w:t>
      </w:r>
      <w:r w:rsidR="003B6580">
        <w:rPr>
          <w:rFonts w:ascii="Simplified Arabic" w:hAnsi="Simplified Arabic" w:cs="Simplified Arabic" w:hint="cs"/>
          <w:b w:val="0"/>
          <w:bCs w:val="0"/>
          <w:szCs w:val="26"/>
          <w:rtl/>
          <w:lang w:bidi="ar-JO"/>
        </w:rPr>
        <w:t>ُّ</w:t>
      </w:r>
      <w:r w:rsidR="00F9382A">
        <w:rPr>
          <w:rFonts w:ascii="Simplified Arabic" w:hAnsi="Simplified Arabic" w:cs="Simplified Arabic" w:hint="cs"/>
          <w:b w:val="0"/>
          <w:bCs w:val="0"/>
          <w:szCs w:val="26"/>
          <w:rtl/>
          <w:lang w:bidi="ar-JO"/>
        </w:rPr>
        <w:t xml:space="preserve"> واحدٍ مِنّا. لا يمكننا أن نعمل شيئًا لاكتساب هذا الخلاص، ولذا فهو مُقدَّم هبةً مجانيّةً. إنّه بالنعمة فقط (غير مُستحَقّ). الأمر الوحيد الذي يمكننا أن نعمله هو أن </w:t>
      </w:r>
      <w:r w:rsidR="00F9382A" w:rsidRPr="00F9382A">
        <w:rPr>
          <w:rFonts w:ascii="Simplified Arabic" w:hAnsi="Simplified Arabic" w:cs="Simplified Arabic" w:hint="cs"/>
          <w:b w:val="0"/>
          <w:bCs w:val="0"/>
          <w:szCs w:val="26"/>
          <w:u w:val="single"/>
          <w:rtl/>
          <w:lang w:bidi="ar-JO"/>
        </w:rPr>
        <w:t>نستجيب بالإيمان</w:t>
      </w:r>
      <w:r w:rsidR="00F9382A">
        <w:rPr>
          <w:rFonts w:ascii="Simplified Arabic" w:hAnsi="Simplified Arabic" w:cs="Simplified Arabic" w:hint="cs"/>
          <w:b w:val="0"/>
          <w:bCs w:val="0"/>
          <w:szCs w:val="26"/>
          <w:rtl/>
          <w:lang w:bidi="ar-JO"/>
        </w:rPr>
        <w:t xml:space="preserve"> بق</w:t>
      </w:r>
      <w:r w:rsidR="00876550">
        <w:rPr>
          <w:rFonts w:ascii="Simplified Arabic" w:hAnsi="Simplified Arabic" w:cs="Simplified Arabic" w:hint="cs"/>
          <w:b w:val="0"/>
          <w:bCs w:val="0"/>
          <w:szCs w:val="26"/>
          <w:rtl/>
          <w:lang w:bidi="ar-JO"/>
        </w:rPr>
        <w:t>ب</w:t>
      </w:r>
      <w:r w:rsidR="00F9382A">
        <w:rPr>
          <w:rFonts w:ascii="Simplified Arabic" w:hAnsi="Simplified Arabic" w:cs="Simplified Arabic" w:hint="cs"/>
          <w:b w:val="0"/>
          <w:bCs w:val="0"/>
          <w:szCs w:val="26"/>
          <w:rtl/>
          <w:lang w:bidi="ar-JO"/>
        </w:rPr>
        <w:t xml:space="preserve">ول يسوع المسيح مُخلِّصًا لنا. </w:t>
      </w:r>
    </w:p>
    <w:p w14:paraId="46E813DA" w14:textId="325E0A35" w:rsidR="00F9382A" w:rsidRDefault="00F9382A" w:rsidP="00F9382A">
      <w:pPr>
        <w:pStyle w:val="Heading4RED"/>
        <w:bidi/>
        <w:ind w:left="0" w:firstLine="0"/>
        <w:rPr>
          <w:rFonts w:ascii="Simplified Arabic" w:hAnsi="Simplified Arabic" w:cs="Simplified Arabic"/>
          <w:b w:val="0"/>
          <w:bCs w:val="0"/>
          <w:szCs w:val="26"/>
          <w:rtl/>
          <w:lang w:bidi="ar-JO"/>
        </w:rPr>
      </w:pPr>
      <w:r>
        <w:rPr>
          <w:rFonts w:ascii="Simplified Arabic" w:hAnsi="Simplified Arabic" w:cs="Simplified Arabic" w:hint="cs"/>
          <w:b w:val="0"/>
          <w:bCs w:val="0"/>
          <w:szCs w:val="26"/>
          <w:rtl/>
          <w:lang w:bidi="ar-JO"/>
        </w:rPr>
        <w:t xml:space="preserve">يؤكِّد العهد الجديد على المقابلة بين عصيان الإنسان الأول، آدم، وطاعة "آدم الأخير"، يسوع المسيح. تظهر هذه المقابلة في رومية 5: 12-19، التي تعتبر آدم "مثالَ الآتي"، أو "رمزًا للآتي." وفي ما يلي نقدِّم بعض آيات هذا المقطع، التي تؤكِّد على هذه الحقيقة: </w:t>
      </w:r>
    </w:p>
    <w:p w14:paraId="5CBA6620" w14:textId="4A4FCC67" w:rsidR="00F9382A" w:rsidRPr="00F9382A" w:rsidRDefault="00F9382A" w:rsidP="00F9382A">
      <w:pPr>
        <w:pStyle w:val="Heading4RED"/>
        <w:bidi/>
        <w:ind w:left="1008" w:right="1008" w:firstLine="0"/>
        <w:rPr>
          <w:rFonts w:ascii="Simplified Arabic" w:hAnsi="Simplified Arabic" w:cs="Simplified Arabic"/>
          <w:b w:val="0"/>
          <w:bCs w:val="0"/>
          <w:szCs w:val="26"/>
          <w:rtl/>
          <w:lang w:bidi="ar-JO"/>
        </w:rPr>
      </w:pPr>
      <w:r w:rsidRPr="00F9382A">
        <w:rPr>
          <w:rFonts w:ascii="Simplified Arabic" w:hAnsi="Simplified Arabic" w:cs="Simplified Arabic"/>
          <w:b w:val="0"/>
          <w:bCs w:val="0"/>
          <w:szCs w:val="26"/>
          <w:vertAlign w:val="superscript"/>
          <w:rtl/>
        </w:rPr>
        <w:t>12</w:t>
      </w:r>
      <w:r w:rsidRPr="00F9382A">
        <w:rPr>
          <w:rFonts w:ascii="Simplified Arabic" w:hAnsi="Simplified Arabic" w:cs="Simplified Arabic"/>
          <w:b w:val="0"/>
          <w:bCs w:val="0"/>
          <w:szCs w:val="26"/>
          <w:rtl/>
        </w:rPr>
        <w:t>مِنْ أَجْلِ ذلِكَ كَأَنَّمَا بِإِنْسَانٍ وَاحِدٍ دَخَلَتِ الْخَطِيَّةُ إِلَى الْعَالَمِ، وَبِالْخَطِيَّةِ الْمَوْتُ، وَهكَذَا اجْتَازَ الْمَوْتُ إِلَى جَمِيعِ النَّاسِ، إِذْ أَخْطَأَ الْجَمِيعُ.</w:t>
      </w:r>
      <w:r>
        <w:rPr>
          <w:rFonts w:ascii="Simplified Arabic" w:hAnsi="Simplified Arabic" w:cs="Simplified Arabic" w:hint="cs"/>
          <w:b w:val="0"/>
          <w:bCs w:val="0"/>
          <w:szCs w:val="26"/>
          <w:rtl/>
        </w:rPr>
        <w:t xml:space="preserve"> ...</w:t>
      </w:r>
      <w:r w:rsidRPr="00F9382A">
        <w:rPr>
          <w:rFonts w:ascii="Simplified Arabic" w:hAnsi="Simplified Arabic" w:cs="Simplified Arabic"/>
          <w:b w:val="0"/>
          <w:bCs w:val="0"/>
          <w:szCs w:val="26"/>
          <w:rtl/>
        </w:rPr>
        <w:t xml:space="preserve"> </w:t>
      </w:r>
      <w:r w:rsidRPr="00F9382A">
        <w:rPr>
          <w:rFonts w:ascii="Simplified Arabic" w:hAnsi="Simplified Arabic" w:cs="Simplified Arabic"/>
          <w:b w:val="0"/>
          <w:bCs w:val="0"/>
          <w:szCs w:val="26"/>
          <w:vertAlign w:val="superscript"/>
          <w:rtl/>
        </w:rPr>
        <w:t>15</w:t>
      </w:r>
      <w:r w:rsidRPr="00F9382A">
        <w:rPr>
          <w:rFonts w:ascii="Simplified Arabic" w:hAnsi="Simplified Arabic" w:cs="Simplified Arabic"/>
          <w:b w:val="0"/>
          <w:bCs w:val="0"/>
          <w:szCs w:val="26"/>
          <w:rtl/>
        </w:rPr>
        <w:t xml:space="preserve">وَلكِنْ لَيْسَ كَالْخَطِيَّةِ هكَذَا أَيْضًا الْهِبَةُ. لأَنَّهُ إِنْ كَانَ بِخَطِيَّةِ وَاحِدٍ مَاتَ الْكَثِيرُونَ، فَبِالأَوْلَى كَثِيرًا نِعْمَةُ اللهِ، وَالْعَطِيَّةُ بِالنِّعْمَةِ الَّتِي بِالإِنْسَانِ الْوَاحِدِ يَسُوعَ الْمَسِيحِ، قَدِ ازْدَادَتْ لِلْكَثِيرِينَ! </w:t>
      </w:r>
      <w:r w:rsidRPr="00F9382A">
        <w:rPr>
          <w:rFonts w:ascii="Simplified Arabic" w:hAnsi="Simplified Arabic" w:cs="Simplified Arabic"/>
          <w:b w:val="0"/>
          <w:bCs w:val="0"/>
          <w:szCs w:val="26"/>
          <w:vertAlign w:val="superscript"/>
          <w:rtl/>
        </w:rPr>
        <w:t>16</w:t>
      </w:r>
      <w:r w:rsidRPr="00F9382A">
        <w:rPr>
          <w:rFonts w:ascii="Simplified Arabic" w:hAnsi="Simplified Arabic" w:cs="Simplified Arabic"/>
          <w:b w:val="0"/>
          <w:bCs w:val="0"/>
          <w:szCs w:val="26"/>
          <w:rtl/>
        </w:rPr>
        <w:t>وَلَيْسَ كَمَا بِوَاحِدٍ قَدْ أَخْطَأَ هكَذَا الْعَطِيَّةُ. لأَنَّ الْحُكْمَ مِنْ وَاحِدٍ لِلدَّيْنُونَةِ، وَأَمَّا الْهِبَةُ فَمِنْ جَرَّى خَطَايَا كَثِيرَةٍ لِلتَّبْرِيرِ.</w:t>
      </w:r>
      <w:r>
        <w:rPr>
          <w:rFonts w:ascii="Simplified Arabic" w:hAnsi="Simplified Arabic" w:cs="Simplified Arabic" w:hint="cs"/>
          <w:b w:val="0"/>
          <w:bCs w:val="0"/>
          <w:szCs w:val="26"/>
          <w:rtl/>
        </w:rPr>
        <w:t xml:space="preserve"> ...</w:t>
      </w:r>
      <w:r w:rsidRPr="00F9382A">
        <w:rPr>
          <w:rFonts w:ascii="Simplified Arabic" w:hAnsi="Simplified Arabic" w:cs="Simplified Arabic"/>
          <w:b w:val="0"/>
          <w:bCs w:val="0"/>
          <w:szCs w:val="26"/>
          <w:rtl/>
        </w:rPr>
        <w:t xml:space="preserve"> </w:t>
      </w:r>
      <w:r w:rsidRPr="00F9382A">
        <w:rPr>
          <w:rFonts w:ascii="Simplified Arabic" w:hAnsi="Simplified Arabic" w:cs="Simplified Arabic"/>
          <w:b w:val="0"/>
          <w:bCs w:val="0"/>
          <w:szCs w:val="26"/>
          <w:vertAlign w:val="superscript"/>
          <w:rtl/>
        </w:rPr>
        <w:t>18</w:t>
      </w:r>
      <w:r w:rsidRPr="00F9382A">
        <w:rPr>
          <w:rFonts w:ascii="Simplified Arabic" w:hAnsi="Simplified Arabic" w:cs="Simplified Arabic"/>
          <w:b w:val="0"/>
          <w:bCs w:val="0"/>
          <w:szCs w:val="26"/>
          <w:rtl/>
        </w:rPr>
        <w:t xml:space="preserve">فَإِذًا كَمَا بِخَطِيَّةٍ وَاحِدَةٍ صَارَ الْحُكْمُ إِلَى جَمِيعِ النَّاسِ لِلدَّيْنُونَةِ، هكَذَا بِبِرّ وَاحِدٍ صَارَتِ الْهِبَةُ إِلَى جَمِيعِ النَّاسِ، لِتَبْرِيرِ الْحَيَاةِ. </w:t>
      </w:r>
      <w:r w:rsidRPr="00F9382A">
        <w:rPr>
          <w:rFonts w:ascii="Simplified Arabic" w:hAnsi="Simplified Arabic" w:cs="Simplified Arabic"/>
          <w:b w:val="0"/>
          <w:bCs w:val="0"/>
          <w:szCs w:val="26"/>
          <w:vertAlign w:val="superscript"/>
          <w:rtl/>
        </w:rPr>
        <w:t>19</w:t>
      </w:r>
      <w:r w:rsidRPr="00F9382A">
        <w:rPr>
          <w:rFonts w:ascii="Simplified Arabic" w:hAnsi="Simplified Arabic" w:cs="Simplified Arabic"/>
          <w:b w:val="0"/>
          <w:bCs w:val="0"/>
          <w:szCs w:val="26"/>
          <w:rtl/>
        </w:rPr>
        <w:t>لأَنَّهُ كَمَا بِمَعْصِيَةِ الإِنْسَانِ الْوَاحِدِ جُعِلَ الْكَثِيرُونَ خُطَاةً، هكَذَا أَيْضًا بِإِطَاعَةِ الْوَاحِدِ سَيُجْعَلُ الْكَثِيرُونَ أَبْرَارًا.</w:t>
      </w:r>
    </w:p>
    <w:p w14:paraId="427E8573" w14:textId="77777777" w:rsidR="00F9382A" w:rsidRPr="00CD4DE1" w:rsidRDefault="00F9382A" w:rsidP="00F9382A">
      <w:pPr>
        <w:pStyle w:val="Heading4RED"/>
        <w:bidi/>
        <w:ind w:left="0" w:firstLine="0"/>
        <w:rPr>
          <w:rFonts w:ascii="Simplified Arabic" w:hAnsi="Simplified Arabic" w:cs="Simplified Arabic"/>
          <w:b w:val="0"/>
          <w:bCs w:val="0"/>
          <w:szCs w:val="26"/>
          <w:rtl/>
          <w:lang w:bidi="ar-JO"/>
        </w:rPr>
      </w:pPr>
    </w:p>
    <w:p w14:paraId="3DDE6E1A" w14:textId="1DADBC7A" w:rsidR="00CD4DE1" w:rsidRPr="00F9382A" w:rsidRDefault="00F9382A" w:rsidP="00CD4DE1">
      <w:pPr>
        <w:tabs>
          <w:tab w:val="left" w:pos="540"/>
          <w:tab w:val="left" w:pos="1080"/>
          <w:tab w:val="left" w:pos="1620"/>
          <w:tab w:val="left" w:pos="2160"/>
          <w:tab w:val="left" w:pos="2700"/>
        </w:tabs>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تظهر هذه النمذجة في 1كورنثوس 15: 45 أيضًا: "هكذا مكتوب أيضًا: ’صار آدم، الإنسانُ الأوّل، نفسًا حيًّةً، وآدم الأخير روحًا محييًا</w:t>
      </w:r>
      <w:r w:rsidR="008D1BEF">
        <w:rPr>
          <w:rFonts w:ascii="Simplified Arabic" w:hAnsi="Simplified Arabic" w:cs="Simplified Arabic" w:hint="cs"/>
          <w:sz w:val="26"/>
          <w:szCs w:val="26"/>
          <w:rtl/>
        </w:rPr>
        <w:t xml:space="preserve">.‘" </w:t>
      </w:r>
    </w:p>
    <w:p w14:paraId="49394500" w14:textId="77777777" w:rsidR="00CD4DE1" w:rsidRDefault="00CD4DE1" w:rsidP="002D6C54">
      <w:pPr>
        <w:tabs>
          <w:tab w:val="left" w:pos="540"/>
          <w:tab w:val="left" w:pos="1080"/>
          <w:tab w:val="left" w:pos="1620"/>
          <w:tab w:val="left" w:pos="2160"/>
          <w:tab w:val="left" w:pos="2700"/>
        </w:tabs>
        <w:spacing w:line="240" w:lineRule="auto"/>
        <w:rPr>
          <w:rtl/>
        </w:rPr>
      </w:pPr>
    </w:p>
    <w:p w14:paraId="5093B20A" w14:textId="44F90BA0" w:rsidR="004D398B" w:rsidRDefault="008D1BEF" w:rsidP="00D77AD6">
      <w:pPr>
        <w:pStyle w:val="Heading4RED"/>
        <w:bidi/>
        <w:ind w:left="0" w:firstLine="0"/>
        <w:rPr>
          <w:rFonts w:ascii="Simplified Arabic" w:hAnsi="Simplified Arabic" w:cs="Simplified Arabic"/>
          <w:b w:val="0"/>
          <w:bCs w:val="0"/>
          <w:szCs w:val="26"/>
          <w:rtl/>
        </w:rPr>
      </w:pPr>
      <w:r w:rsidRPr="008D1BEF">
        <w:rPr>
          <w:rFonts w:ascii="Simplified Arabic" w:hAnsi="Simplified Arabic" w:cs="Simplified Arabic"/>
          <w:rtl/>
        </w:rPr>
        <w:lastRenderedPageBreak/>
        <w:t>ثانيًا، نسل المرأة الموعود (تكوين 3: 15)</w:t>
      </w:r>
      <w:r w:rsidR="004D398B" w:rsidRPr="008D1BEF">
        <w:rPr>
          <w:rFonts w:ascii="Simplified Arabic" w:hAnsi="Simplified Arabic" w:cs="Simplified Arabic"/>
        </w:rPr>
        <w:br/>
      </w:r>
      <w:r w:rsidR="00D77AD6" w:rsidRPr="00D77AD6">
        <w:rPr>
          <w:rFonts w:ascii="Simplified Arabic" w:hAnsi="Simplified Arabic" w:cs="Simplified Arabic" w:hint="cs"/>
          <w:b w:val="0"/>
          <w:bCs w:val="0"/>
          <w:szCs w:val="26"/>
          <w:rtl/>
        </w:rPr>
        <w:t>بعد الخلق الكامل الذي نقرأ عنه في تكوين 1-2، يأتي بنا الأصحاح 3 وجهًا لوجه مع الحقيقة المحزِنة والمؤلمة بشأن ما تسبَّبت الخطي</w:t>
      </w:r>
      <w:r w:rsidR="00876550">
        <w:rPr>
          <w:rFonts w:ascii="Simplified Arabic" w:hAnsi="Simplified Arabic" w:cs="Simplified Arabic" w:hint="cs"/>
          <w:b w:val="0"/>
          <w:bCs w:val="0"/>
          <w:szCs w:val="26"/>
          <w:rtl/>
        </w:rPr>
        <w:t>ّ</w:t>
      </w:r>
      <w:r w:rsidR="00D77AD6" w:rsidRPr="00D77AD6">
        <w:rPr>
          <w:rFonts w:ascii="Simplified Arabic" w:hAnsi="Simplified Arabic" w:cs="Simplified Arabic" w:hint="cs"/>
          <w:b w:val="0"/>
          <w:bCs w:val="0"/>
          <w:szCs w:val="26"/>
          <w:rtl/>
        </w:rPr>
        <w:t xml:space="preserve">ة به. </w:t>
      </w:r>
      <w:r w:rsidR="00D77AD6">
        <w:rPr>
          <w:rFonts w:ascii="Simplified Arabic" w:hAnsi="Simplified Arabic" w:cs="Simplified Arabic" w:hint="cs"/>
          <w:b w:val="0"/>
          <w:bCs w:val="0"/>
          <w:szCs w:val="26"/>
          <w:rtl/>
        </w:rPr>
        <w:t xml:space="preserve">ومع هذا، يقدِّم الله بنعمته وعدَ رجاء. يتلقّى كل واحدٍ من "اللاعبين" في الدراما (آدم وحوّاء والحيّة) إعلانَ دينونة. فقال الله للحيّة (أي الشيطان المتخفّي): "لأنَّكِ فعلتِ هذا، ملعونةٌ أنتَ من جميع البهائم ومن جميع وحوش البرّيّة" (تكوين 3: 14). ثم أعلن الله في الآية 15: "وأضع عداوةً بينَك وبين المرأة، وبين نسلك ونسلها. هو يسحقُ رأسَكِ، وأنتِ تسحقين عقبه." </w:t>
      </w:r>
    </w:p>
    <w:p w14:paraId="3AE241C5" w14:textId="096FACF6" w:rsidR="00D77AD6" w:rsidRPr="00D77AD6" w:rsidRDefault="00D77AD6" w:rsidP="00D77AD6">
      <w:pPr>
        <w:pStyle w:val="Heading4RED"/>
        <w:bidi/>
        <w:ind w:left="0" w:firstLine="0"/>
        <w:rPr>
          <w:rFonts w:ascii="Simplified Arabic" w:hAnsi="Simplified Arabic" w:cs="Simplified Arabic"/>
          <w:b w:val="0"/>
          <w:bCs w:val="0"/>
          <w:szCs w:val="26"/>
          <w:rtl/>
          <w:lang w:bidi="ar-JO"/>
        </w:rPr>
      </w:pPr>
      <w:r>
        <w:rPr>
          <w:rFonts w:ascii="Simplified Arabic" w:hAnsi="Simplified Arabic" w:cs="Simplified Arabic" w:hint="cs"/>
          <w:b w:val="0"/>
          <w:bCs w:val="0"/>
          <w:szCs w:val="26"/>
          <w:rtl/>
        </w:rPr>
        <w:t>يُشار أحيانًا إلى تكوين 3: 15 باسم "الإنجيل الأوَّل" (</w:t>
      </w:r>
      <w:r>
        <w:rPr>
          <w:rFonts w:ascii="Simplified Arabic" w:hAnsi="Simplified Arabic" w:cs="Simplified Arabic"/>
          <w:b w:val="0"/>
          <w:bCs w:val="0"/>
          <w:szCs w:val="26"/>
        </w:rPr>
        <w:t>Proto-evangelium</w:t>
      </w:r>
      <w:r>
        <w:rPr>
          <w:rFonts w:ascii="Simplified Arabic" w:hAnsi="Simplified Arabic" w:cs="Simplified Arabic" w:hint="cs"/>
          <w:b w:val="0"/>
          <w:bCs w:val="0"/>
          <w:szCs w:val="26"/>
          <w:rtl/>
        </w:rPr>
        <w:t>).</w:t>
      </w:r>
      <w:r>
        <w:rPr>
          <w:rFonts w:ascii="Simplified Arabic" w:hAnsi="Simplified Arabic" w:cs="Simplified Arabic" w:hint="cs"/>
          <w:b w:val="0"/>
          <w:bCs w:val="0"/>
          <w:szCs w:val="26"/>
          <w:rtl/>
          <w:lang w:bidi="ar-JO"/>
        </w:rPr>
        <w:t xml:space="preserve"> فتنظر هذه الكلمات إلى الانتصار النهائي لـ"نسل المرأة" (المسيا) على نسل الحية، بما في ذلك الحيّة نفسها. ولذا، فإنّ هذا نبوّة مسيانيّة ووعد مسياني بالانتصار النهائي. كتب عالم العهد القديم راندال برايس: </w:t>
      </w:r>
    </w:p>
    <w:p w14:paraId="2B3B4E94" w14:textId="213FCA93" w:rsidR="00D77AD6" w:rsidRPr="00D77AD6" w:rsidRDefault="000C14E0" w:rsidP="000C14E0">
      <w:pPr>
        <w:pStyle w:val="Heading4RED"/>
        <w:bidi/>
        <w:ind w:left="1008" w:right="1008" w:firstLine="0"/>
        <w:rPr>
          <w:rFonts w:ascii="Simplified Arabic" w:hAnsi="Simplified Arabic" w:cs="Simplified Arabic"/>
          <w:b w:val="0"/>
          <w:bCs w:val="0"/>
          <w:szCs w:val="26"/>
          <w:rtl/>
          <w:lang w:bidi="ar-JO"/>
        </w:rPr>
      </w:pPr>
      <w:r>
        <w:rPr>
          <w:rFonts w:ascii="Simplified Arabic" w:hAnsi="Simplified Arabic" w:cs="Simplified Arabic" w:hint="cs"/>
          <w:b w:val="0"/>
          <w:bCs w:val="0"/>
          <w:szCs w:val="26"/>
          <w:rtl/>
          <w:lang w:bidi="ar-JO"/>
        </w:rPr>
        <w:t>من المهمّ أن نلاحظ هنا أنّ تكوين 3: 15 مُوجَّهة إلى "الحية." لو أنّ هذا التصريح بشأن الصراع المستمرّ أُطلِق بشأن مجرَّد حيوانٍ زاحف فلن يكون له معنى. فليس له معنى إل</w:t>
      </w:r>
      <w:r w:rsidR="00876550">
        <w:rPr>
          <w:rFonts w:ascii="Simplified Arabic" w:hAnsi="Simplified Arabic" w:cs="Simplified Arabic" w:hint="cs"/>
          <w:b w:val="0"/>
          <w:bCs w:val="0"/>
          <w:szCs w:val="26"/>
          <w:rtl/>
          <w:lang w:bidi="ar-JO"/>
        </w:rPr>
        <w:t>ّ</w:t>
      </w:r>
      <w:r>
        <w:rPr>
          <w:rFonts w:ascii="Simplified Arabic" w:hAnsi="Simplified Arabic" w:cs="Simplified Arabic" w:hint="cs"/>
          <w:b w:val="0"/>
          <w:bCs w:val="0"/>
          <w:szCs w:val="26"/>
          <w:rtl/>
          <w:lang w:bidi="ar-JO"/>
        </w:rPr>
        <w:t>ا إن كان متلقّيه ذا عقل، ومشاركًا بطريقةٍ ما في المستقبل. لن يكون "نسل" الحيّة هو من سيعمل على أن يسحق وسيُسحَق، بل "الحية" نفسها.</w:t>
      </w:r>
      <w:r w:rsidRPr="000C14E0">
        <w:rPr>
          <w:rStyle w:val="FootnoteReference"/>
          <w:b w:val="0"/>
          <w:bCs w:val="0"/>
        </w:rPr>
        <w:footnoteReference w:id="213"/>
      </w:r>
    </w:p>
    <w:p w14:paraId="10F4CFB3" w14:textId="64CCDBAF" w:rsidR="00D77AD6" w:rsidRPr="000C14E0" w:rsidRDefault="00D77AD6" w:rsidP="00D77AD6">
      <w:pPr>
        <w:pStyle w:val="Heading4RED"/>
        <w:bidi/>
        <w:ind w:left="0" w:firstLine="0"/>
        <w:rPr>
          <w:rFonts w:ascii="Simplified Arabic" w:hAnsi="Simplified Arabic" w:cs="Simplified Arabic"/>
          <w:b w:val="0"/>
          <w:bCs w:val="0"/>
          <w:szCs w:val="26"/>
          <w:rtl/>
          <w:lang w:bidi="ar-JO"/>
        </w:rPr>
      </w:pPr>
    </w:p>
    <w:p w14:paraId="2214C046" w14:textId="2AC0E574" w:rsidR="000C14E0" w:rsidRDefault="000C14E0" w:rsidP="000C14E0">
      <w:pPr>
        <w:pStyle w:val="Heading4RED"/>
        <w:bidi/>
        <w:ind w:left="0" w:firstLine="0"/>
        <w:rPr>
          <w:rFonts w:ascii="Simplified Arabic" w:hAnsi="Simplified Arabic" w:cs="Simplified Arabic"/>
          <w:b w:val="0"/>
          <w:bCs w:val="0"/>
          <w:szCs w:val="26"/>
          <w:rtl/>
        </w:rPr>
      </w:pPr>
      <w:r>
        <w:rPr>
          <w:rFonts w:ascii="Simplified Arabic" w:hAnsi="Simplified Arabic" w:cs="Simplified Arabic" w:hint="cs"/>
          <w:b w:val="0"/>
          <w:bCs w:val="0"/>
          <w:szCs w:val="26"/>
          <w:rtl/>
        </w:rPr>
        <w:t>يقدِّم لنا تكوين 3: 15 خمس</w:t>
      </w:r>
      <w:r w:rsidR="005039F4">
        <w:rPr>
          <w:rFonts w:ascii="Simplified Arabic" w:hAnsi="Simplified Arabic" w:cs="Simplified Arabic" w:hint="cs"/>
          <w:b w:val="0"/>
          <w:bCs w:val="0"/>
          <w:szCs w:val="26"/>
          <w:rtl/>
        </w:rPr>
        <w:t>ة</w:t>
      </w:r>
      <w:r>
        <w:rPr>
          <w:rFonts w:ascii="Simplified Arabic" w:hAnsi="Simplified Arabic" w:cs="Simplified Arabic" w:hint="cs"/>
          <w:b w:val="0"/>
          <w:bCs w:val="0"/>
          <w:szCs w:val="26"/>
          <w:rtl/>
        </w:rPr>
        <w:t xml:space="preserve"> مواضيع رئيسيّة بشأن المسيّا: (1) العداوة (البُغض والعداوة المتبادلان)؛ (2) "النسل"؛ (3) المرأة؛ (4) سحق الرأس؛ (5) سحق العقب.</w:t>
      </w:r>
      <w:r>
        <w:rPr>
          <w:rStyle w:val="FootnoteReference"/>
          <w:rFonts w:ascii="Simplified Arabic" w:hAnsi="Simplified Arabic" w:cs="Simplified Arabic"/>
          <w:b w:val="0"/>
          <w:bCs w:val="0"/>
          <w:szCs w:val="26"/>
          <w:rtl/>
        </w:rPr>
        <w:footnoteReference w:id="214"/>
      </w:r>
      <w:r w:rsidR="000943D8">
        <w:rPr>
          <w:rFonts w:ascii="Simplified Arabic" w:hAnsi="Simplified Arabic" w:cs="Simplified Arabic" w:hint="cs"/>
          <w:b w:val="0"/>
          <w:bCs w:val="0"/>
          <w:szCs w:val="26"/>
          <w:rtl/>
        </w:rPr>
        <w:t xml:space="preserve"> الكلمة "نسل" </w:t>
      </w:r>
      <w:r w:rsidR="005B010A">
        <w:rPr>
          <w:rFonts w:ascii="Simplified Arabic" w:hAnsi="Simplified Arabic" w:cs="Simplified Arabic" w:hint="cs"/>
          <w:b w:val="0"/>
          <w:bCs w:val="0"/>
          <w:szCs w:val="26"/>
          <w:rtl/>
        </w:rPr>
        <w:t xml:space="preserve">اسم جمعٍ، فهو </w:t>
      </w:r>
      <w:r w:rsidR="005039F4">
        <w:rPr>
          <w:rFonts w:ascii="Simplified Arabic" w:hAnsi="Simplified Arabic" w:cs="Simplified Arabic" w:hint="cs"/>
          <w:b w:val="0"/>
          <w:bCs w:val="0"/>
          <w:szCs w:val="26"/>
          <w:rtl/>
        </w:rPr>
        <w:t>من الناحيّة القواعديّة</w:t>
      </w:r>
      <w:r w:rsidR="005B010A">
        <w:rPr>
          <w:rFonts w:ascii="Simplified Arabic" w:hAnsi="Simplified Arabic" w:cs="Simplified Arabic" w:hint="cs"/>
          <w:b w:val="0"/>
          <w:bCs w:val="0"/>
          <w:szCs w:val="26"/>
          <w:rtl/>
        </w:rPr>
        <w:t xml:space="preserve"> يأتي في صيغة المُفرد، ولكنْ يمكن أن يُشير إلى مجموعة (أولاد وأحفاد الإنسان). ولكن في هذه الحالة، الضمير المُفرَد (كما في "هو يسحق رأسك") يوضِّح أن الوعد يتعلَّق بفردٍ لا بمجموعة. وهذا يقود إلى الاستنتاج بأنّ "هو" هو المسيا. </w:t>
      </w:r>
    </w:p>
    <w:p w14:paraId="3FA8B8C4" w14:textId="441C1165" w:rsidR="005B010A" w:rsidRDefault="005B010A" w:rsidP="005B010A">
      <w:pPr>
        <w:pStyle w:val="Heading4RED"/>
        <w:bidi/>
        <w:ind w:left="0" w:firstLine="0"/>
        <w:rPr>
          <w:rFonts w:ascii="Simplified Arabic" w:hAnsi="Simplified Arabic" w:cs="Simplified Arabic"/>
          <w:b w:val="0"/>
          <w:bCs w:val="0"/>
          <w:szCs w:val="26"/>
          <w:rtl/>
        </w:rPr>
      </w:pPr>
      <w:r>
        <w:rPr>
          <w:rFonts w:ascii="Simplified Arabic" w:hAnsi="Simplified Arabic" w:cs="Simplified Arabic" w:hint="cs"/>
          <w:b w:val="0"/>
          <w:bCs w:val="0"/>
          <w:szCs w:val="26"/>
          <w:rtl/>
        </w:rPr>
        <w:t xml:space="preserve">مقصد هذه الآية هو أنّه سيكون هناك نزاع دائم بين نسل المرأة (الذي يشمل في النهاية المسيح) ونسل الحية (الخط الشيطاني وكل مَن ينتمون إلى ملكوت الظلمة الذي يرأسه الشيطان). </w:t>
      </w:r>
      <w:r w:rsidR="009E7795">
        <w:rPr>
          <w:rFonts w:ascii="Simplified Arabic" w:hAnsi="Simplified Arabic" w:cs="Simplified Arabic" w:hint="cs"/>
          <w:b w:val="0"/>
          <w:bCs w:val="0"/>
          <w:szCs w:val="26"/>
          <w:rtl/>
        </w:rPr>
        <w:t xml:space="preserve">وفي هذا النزاع، سيتلقّى "نسل" المرأة (المسيا يسوع) جرحًا غير قاتل (سحق العقب). ولكنّ "نسل" المرأة (المسيا يسوع) سيتمكَّن عندئذٍ من إيقاع ضربة قاتلة بنسل الحيّة (سحق الرأس). وبهذا، فإنّ هذه النبوّة ستتحقّق في نهاية الأزمنة حين سيُهزَم الشيطان وكلّ المتحالفين معه ويُلقى بهم </w:t>
      </w:r>
      <w:r w:rsidR="005039F4">
        <w:rPr>
          <w:rFonts w:ascii="Simplified Arabic" w:hAnsi="Simplified Arabic" w:cs="Simplified Arabic" w:hint="cs"/>
          <w:b w:val="0"/>
          <w:bCs w:val="0"/>
          <w:szCs w:val="26"/>
          <w:rtl/>
        </w:rPr>
        <w:t>إ</w:t>
      </w:r>
      <w:r w:rsidR="009E7795">
        <w:rPr>
          <w:rFonts w:ascii="Simplified Arabic" w:hAnsi="Simplified Arabic" w:cs="Simplified Arabic" w:hint="cs"/>
          <w:b w:val="0"/>
          <w:bCs w:val="0"/>
          <w:szCs w:val="26"/>
          <w:rtl/>
        </w:rPr>
        <w:t xml:space="preserve">لى بحيرة النار (رومية 19: 19 </w:t>
      </w:r>
      <w:r w:rsidR="009E7795">
        <w:rPr>
          <w:rFonts w:ascii="Simplified Arabic" w:hAnsi="Simplified Arabic" w:cs="Simplified Arabic"/>
          <w:b w:val="0"/>
          <w:bCs w:val="0"/>
          <w:szCs w:val="26"/>
          <w:rtl/>
        </w:rPr>
        <w:t>–</w:t>
      </w:r>
      <w:r w:rsidR="009E7795">
        <w:rPr>
          <w:rFonts w:ascii="Simplified Arabic" w:hAnsi="Simplified Arabic" w:cs="Simplified Arabic" w:hint="cs"/>
          <w:b w:val="0"/>
          <w:bCs w:val="0"/>
          <w:szCs w:val="26"/>
          <w:rtl/>
        </w:rPr>
        <w:t xml:space="preserve"> 20: 3). وعندئذٍ سيملك الرب يسوع على ملكوت الله تحقيقًا لتكوين 1: 26، والوعد بالتسلُّط على خليقة الله. </w:t>
      </w:r>
    </w:p>
    <w:p w14:paraId="04E3DE69" w14:textId="77777777" w:rsidR="000C14E0" w:rsidRPr="000C14E0" w:rsidRDefault="000C14E0" w:rsidP="000C14E0">
      <w:pPr>
        <w:pStyle w:val="Heading4RED"/>
        <w:bidi/>
        <w:ind w:left="0" w:firstLine="0"/>
        <w:rPr>
          <w:rFonts w:ascii="Simplified Arabic" w:hAnsi="Simplified Arabic" w:cs="Simplified Arabic"/>
          <w:b w:val="0"/>
          <w:bCs w:val="0"/>
          <w:szCs w:val="26"/>
        </w:rPr>
      </w:pPr>
    </w:p>
    <w:p w14:paraId="6D2C04FD" w14:textId="452989C1" w:rsidR="00956053" w:rsidRPr="009E7795" w:rsidRDefault="009E7795" w:rsidP="009E7795">
      <w:pPr>
        <w:pStyle w:val="Heading4RED"/>
        <w:bidi/>
        <w:rPr>
          <w:rFonts w:ascii="Simplified Arabic" w:hAnsi="Simplified Arabic" w:cs="Simplified Arabic"/>
        </w:rPr>
      </w:pPr>
      <w:r w:rsidRPr="009E7795">
        <w:rPr>
          <w:rFonts w:ascii="Simplified Arabic" w:hAnsi="Simplified Arabic" w:cs="Simplified Arabic"/>
          <w:rtl/>
        </w:rPr>
        <w:lastRenderedPageBreak/>
        <w:t xml:space="preserve">ثالثًا، تقديم إبراهيم لإسحاق (تكوين 22: 1-19) </w:t>
      </w:r>
    </w:p>
    <w:p w14:paraId="3337FDD9" w14:textId="5A60FDF9" w:rsidR="009E7795" w:rsidRDefault="009E7795" w:rsidP="009E7795">
      <w:pPr>
        <w:bidi/>
        <w:spacing w:line="240" w:lineRule="auto"/>
        <w:rPr>
          <w:rFonts w:ascii="Simplified Arabic" w:hAnsi="Simplified Arabic" w:cs="Simplified Arabic"/>
          <w:sz w:val="26"/>
          <w:szCs w:val="26"/>
          <w:rtl/>
          <w:lang w:bidi="ar-JO"/>
        </w:rPr>
      </w:pPr>
      <w:r>
        <w:rPr>
          <w:rFonts w:ascii="Simplified Arabic" w:hAnsi="Simplified Arabic" w:cs="Simplified Arabic" w:hint="cs"/>
          <w:sz w:val="26"/>
          <w:szCs w:val="26"/>
          <w:rtl/>
        </w:rPr>
        <w:t xml:space="preserve">ينبغي أن يُنظَر إلى محاولة إبراهيم بأن يقدِّم إسحاق في ضوء الدراما التي مرّ بها لينال ابنَ الموعد. فحين دعا الله إبراهيم </w:t>
      </w:r>
      <w:r w:rsidR="00A72BF8">
        <w:rPr>
          <w:rFonts w:ascii="Simplified Arabic" w:hAnsi="Simplified Arabic" w:cs="Simplified Arabic" w:hint="cs"/>
          <w:sz w:val="26"/>
          <w:szCs w:val="26"/>
          <w:rtl/>
        </w:rPr>
        <w:t xml:space="preserve">إلى </w:t>
      </w:r>
      <w:r>
        <w:rPr>
          <w:rFonts w:ascii="Simplified Arabic" w:hAnsi="Simplified Arabic" w:cs="Simplified Arabic" w:hint="cs"/>
          <w:sz w:val="26"/>
          <w:szCs w:val="26"/>
          <w:rtl/>
        </w:rPr>
        <w:t xml:space="preserve">أن يغادر أرضه وأقاربه وعده الله بأنّه سيجعله أمّة عظيمه (تكوين 12: 2). وقد تضمّن هذا، بطبيعة الحال، أنّه سيكون له ابن سيقود الأمّة التي ستخرج من إبراهيم. ولكنْ بعدَ مرورِ عددٍ من السنوات، بقي بلا أولاد. وقد </w:t>
      </w:r>
      <w:r w:rsidR="00F56588">
        <w:rPr>
          <w:rFonts w:ascii="Simplified Arabic" w:hAnsi="Simplified Arabic" w:cs="Simplified Arabic" w:hint="cs"/>
          <w:sz w:val="26"/>
          <w:szCs w:val="26"/>
          <w:rtl/>
          <w:lang w:bidi="ar-JO"/>
        </w:rPr>
        <w:t>عبَّر عن حسرته قائلًا: "أيُّها السّيّد الربُّ، ماذا تُعطيني وأنا ماضٍ عقيمًا، ومالك بيتي هو أليعازر الدمشقيّ؟ ... إنّك لم تعطِني نسلًا، وهوذا ابنُ بيتي وارثٌ لي" (تكوين 15: 2-3). ولكنّ الربَّ طمأنه قائلًا: "... الذي يخرج من أحشائك هو يرثك" (تكوين 15: 4). وحين كان إبراهيم في سنّ السادسة والثمانين</w:t>
      </w:r>
      <w:r w:rsidR="004840C5">
        <w:rPr>
          <w:rFonts w:ascii="Simplified Arabic" w:hAnsi="Simplified Arabic" w:cs="Simplified Arabic" w:hint="cs"/>
          <w:sz w:val="26"/>
          <w:szCs w:val="26"/>
          <w:rtl/>
          <w:lang w:bidi="ar-JO"/>
        </w:rPr>
        <w:t>، حبل</w:t>
      </w:r>
      <w:r w:rsidR="00A72BF8">
        <w:rPr>
          <w:rFonts w:ascii="Simplified Arabic" w:hAnsi="Simplified Arabic" w:cs="Simplified Arabic" w:hint="cs"/>
          <w:sz w:val="26"/>
          <w:szCs w:val="26"/>
          <w:rtl/>
          <w:lang w:bidi="ar-JO"/>
        </w:rPr>
        <w:t>ت</w:t>
      </w:r>
      <w:r w:rsidR="004840C5">
        <w:rPr>
          <w:rFonts w:ascii="Simplified Arabic" w:hAnsi="Simplified Arabic" w:cs="Simplified Arabic" w:hint="cs"/>
          <w:sz w:val="26"/>
          <w:szCs w:val="26"/>
          <w:rtl/>
          <w:lang w:bidi="ar-JO"/>
        </w:rPr>
        <w:t xml:space="preserve"> هاجر بإسماعيل من إبراهيم (تكوين 16: 14). ولكنّ الله أوضَح أنّ هذه الخطّة الخاطئة، التي وضعها إبراهيم وسارة، لم تكن الطريقة الإلهي</w:t>
      </w:r>
      <w:r w:rsidR="00A72BF8">
        <w:rPr>
          <w:rFonts w:ascii="Simplified Arabic" w:hAnsi="Simplified Arabic" w:cs="Simplified Arabic" w:hint="cs"/>
          <w:sz w:val="26"/>
          <w:szCs w:val="26"/>
          <w:rtl/>
          <w:lang w:bidi="ar-JO"/>
        </w:rPr>
        <w:t>ّ</w:t>
      </w:r>
      <w:r w:rsidR="004840C5">
        <w:rPr>
          <w:rFonts w:ascii="Simplified Arabic" w:hAnsi="Simplified Arabic" w:cs="Simplified Arabic" w:hint="cs"/>
          <w:sz w:val="26"/>
          <w:szCs w:val="26"/>
          <w:rtl/>
          <w:lang w:bidi="ar-JO"/>
        </w:rPr>
        <w:t>ة</w:t>
      </w:r>
      <w:r w:rsidR="00A72BF8">
        <w:rPr>
          <w:rFonts w:ascii="Simplified Arabic" w:hAnsi="Simplified Arabic" w:cs="Simplified Arabic" w:hint="cs"/>
          <w:sz w:val="26"/>
          <w:szCs w:val="26"/>
          <w:rtl/>
          <w:lang w:bidi="ar-JO"/>
        </w:rPr>
        <w:t xml:space="preserve"> لتتميم الوعد</w:t>
      </w:r>
      <w:r w:rsidR="004840C5">
        <w:rPr>
          <w:rFonts w:ascii="Simplified Arabic" w:hAnsi="Simplified Arabic" w:cs="Simplified Arabic" w:hint="cs"/>
          <w:sz w:val="26"/>
          <w:szCs w:val="26"/>
          <w:rtl/>
          <w:lang w:bidi="ar-JO"/>
        </w:rPr>
        <w:t>. وأخيرًا، حين كان إبراهيم في سنّ التاسعة والتسعين (تكوين 17: 1)، أي بعد حوالي أربعٍ وعشرين سنة من الدعوة الأصليّة، أعلن الله أنّ سارة ستنجِب ابنًا، وسيكون هذا الابن الوارث</w:t>
      </w:r>
      <w:r w:rsidR="00A72BF8">
        <w:rPr>
          <w:rFonts w:ascii="Simplified Arabic" w:hAnsi="Simplified Arabic" w:cs="Simplified Arabic" w:hint="cs"/>
          <w:sz w:val="26"/>
          <w:szCs w:val="26"/>
          <w:rtl/>
          <w:lang w:bidi="ar-JO"/>
        </w:rPr>
        <w:t>َ</w:t>
      </w:r>
      <w:r w:rsidR="004840C5">
        <w:rPr>
          <w:rFonts w:ascii="Simplified Arabic" w:hAnsi="Simplified Arabic" w:cs="Simplified Arabic" w:hint="cs"/>
          <w:sz w:val="26"/>
          <w:szCs w:val="26"/>
          <w:rtl/>
          <w:lang w:bidi="ar-JO"/>
        </w:rPr>
        <w:t xml:space="preserve"> الموعود به للعهد الإبراهيمي والبركة الإبراهيميّة. وقد قال الله لإبراهيم في ذلك الوقت: "بل سارة امرأتك تلِد لكَ ابنًا، وتدعو اسمه إسحاق، وأُقيم عهدي معه عهدًا أبديًّا لنسله من بعده" (تكوين 17: 19). </w:t>
      </w:r>
    </w:p>
    <w:p w14:paraId="6B4C8760" w14:textId="55FC2AF9" w:rsidR="00DD12B0" w:rsidRDefault="00EE2C62" w:rsidP="0043594D">
      <w:pPr>
        <w:bidi/>
        <w:spacing w:line="240" w:lineRule="auto"/>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 xml:space="preserve">وفي ضوء ما سبق، يمكن للمرء أن يتخيَّل الصدمة التي أصابت إبراهيم حين طلب الله منه أن يقدِّم </w:t>
      </w:r>
      <w:r w:rsidR="000608C5">
        <w:rPr>
          <w:rFonts w:ascii="Simplified Arabic" w:hAnsi="Simplified Arabic" w:cs="Simplified Arabic" w:hint="cs"/>
          <w:sz w:val="26"/>
          <w:szCs w:val="26"/>
          <w:rtl/>
          <w:lang w:bidi="ar-JO"/>
        </w:rPr>
        <w:t>إ</w:t>
      </w:r>
      <w:r>
        <w:rPr>
          <w:rFonts w:ascii="Simplified Arabic" w:hAnsi="Simplified Arabic" w:cs="Simplified Arabic" w:hint="cs"/>
          <w:sz w:val="26"/>
          <w:szCs w:val="26"/>
          <w:rtl/>
          <w:lang w:bidi="ar-JO"/>
        </w:rPr>
        <w:t xml:space="preserve">سحاق، الابن الموعود الذي </w:t>
      </w:r>
      <w:r w:rsidR="000608C5">
        <w:rPr>
          <w:rFonts w:ascii="Simplified Arabic" w:hAnsi="Simplified Arabic" w:cs="Simplified Arabic" w:hint="cs"/>
          <w:sz w:val="26"/>
          <w:szCs w:val="26"/>
          <w:rtl/>
          <w:lang w:bidi="ar-JO"/>
        </w:rPr>
        <w:t>به يُفترَض أن يستمرّ العهد الإبراهيمي، م</w:t>
      </w:r>
      <w:r w:rsidR="00A72BF8">
        <w:rPr>
          <w:rFonts w:ascii="Simplified Arabic" w:hAnsi="Simplified Arabic" w:cs="Simplified Arabic" w:hint="cs"/>
          <w:sz w:val="26"/>
          <w:szCs w:val="26"/>
          <w:rtl/>
          <w:lang w:bidi="ar-JO"/>
        </w:rPr>
        <w:t>ُ</w:t>
      </w:r>
      <w:r w:rsidR="000608C5">
        <w:rPr>
          <w:rFonts w:ascii="Simplified Arabic" w:hAnsi="Simplified Arabic" w:cs="Simplified Arabic" w:hint="cs"/>
          <w:sz w:val="26"/>
          <w:szCs w:val="26"/>
          <w:rtl/>
          <w:lang w:bidi="ar-JO"/>
        </w:rPr>
        <w:t>حرَقةً في "أرض المريّا" (تكوين 22: 2). ويوضِّح المؤرخ يوسيفوس بأن المرّيّا هو الجبل الذي بُني الهيكل عليه لاحقًا (</w:t>
      </w:r>
      <w:r w:rsidR="000608C5">
        <w:rPr>
          <w:i/>
          <w:iCs/>
        </w:rPr>
        <w:t>Antiquities</w:t>
      </w:r>
      <w:r w:rsidR="000608C5">
        <w:t>, i.13.2</w:t>
      </w:r>
      <w:r w:rsidR="000608C5">
        <w:rPr>
          <w:rFonts w:ascii="Simplified Arabic" w:hAnsi="Simplified Arabic" w:cs="Simplified Arabic" w:hint="cs"/>
          <w:sz w:val="26"/>
          <w:szCs w:val="26"/>
          <w:rtl/>
          <w:lang w:bidi="ar-JO"/>
        </w:rPr>
        <w:t>).</w:t>
      </w:r>
      <w:r w:rsidR="000608C5">
        <w:rPr>
          <w:rStyle w:val="FootnoteReference"/>
          <w:rFonts w:ascii="Simplified Arabic" w:hAnsi="Simplified Arabic" w:cs="Simplified Arabic"/>
          <w:sz w:val="26"/>
          <w:szCs w:val="26"/>
          <w:rtl/>
          <w:lang w:bidi="ar-JO"/>
        </w:rPr>
        <w:footnoteReference w:id="215"/>
      </w:r>
      <w:r w:rsidR="000608C5">
        <w:rPr>
          <w:rFonts w:ascii="Simplified Arabic" w:hAnsi="Simplified Arabic" w:cs="Simplified Arabic" w:hint="cs"/>
          <w:sz w:val="26"/>
          <w:szCs w:val="26"/>
          <w:rtl/>
          <w:lang w:bidi="ar-JO"/>
        </w:rPr>
        <w:t xml:space="preserve"> </w:t>
      </w:r>
      <w:r w:rsidR="00DD12B0">
        <w:rPr>
          <w:rFonts w:ascii="Simplified Arabic" w:hAnsi="Simplified Arabic" w:cs="Simplified Arabic" w:hint="cs"/>
          <w:sz w:val="26"/>
          <w:szCs w:val="26"/>
          <w:rtl/>
          <w:lang w:bidi="ar-JO"/>
        </w:rPr>
        <w:t xml:space="preserve">ومع استمرار أحداث القصّة، نرى الله يوقف إبراهيم قبل أن يذبح ابنه ويقدِّمه. كان ما يعمله الله هو أنه يمتحنه ليرى مقدار طاعة إبراهيم (تكوين 22: 1). وقد أطاع إبراهيم، ونتيجة لهذا، أعاد الله تأكيد وعده: "ويتبارك في نسلك جميع أمم الأرض، من أجل أنّك سمعتَ لقولي" (تكوين 22: 18). </w:t>
      </w:r>
    </w:p>
    <w:p w14:paraId="12D0F355" w14:textId="58DE1E62" w:rsidR="0043594D" w:rsidRPr="009E7795" w:rsidRDefault="00DD12B0" w:rsidP="00F959E7">
      <w:pPr>
        <w:bidi/>
        <w:spacing w:line="240" w:lineRule="auto"/>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 xml:space="preserve">ولكنّ القصّة تتجاوز إبراهيم وابنه إسحاق. فأيُّ أبٍ صالح ومُحِبّ يذبح ابنه، الذي به يستمرّ العهد، ويقدِّمه لله؟  ولكن هذا ما سيعمله الله الآب </w:t>
      </w:r>
      <w:r w:rsidR="00A72BF8">
        <w:rPr>
          <w:rFonts w:ascii="Simplified Arabic" w:hAnsi="Simplified Arabic" w:cs="Simplified Arabic" w:hint="cs"/>
          <w:sz w:val="26"/>
          <w:szCs w:val="26"/>
          <w:rtl/>
          <w:lang w:bidi="ar-JO"/>
        </w:rPr>
        <w:t xml:space="preserve">نفسه </w:t>
      </w:r>
      <w:r>
        <w:rPr>
          <w:rFonts w:ascii="Simplified Arabic" w:hAnsi="Simplified Arabic" w:cs="Simplified Arabic" w:hint="cs"/>
          <w:sz w:val="26"/>
          <w:szCs w:val="26"/>
          <w:rtl/>
          <w:lang w:bidi="ar-JO"/>
        </w:rPr>
        <w:t xml:space="preserve">في تقديمه ابنه الواحد والوحيد، الرب يسوع على خشبة الصليب. وبعمله هذا، صار دم ابنه أساس الغفران الأبدي الموعود به في العهد الجديد (إرميا 31: 31-34)، </w:t>
      </w:r>
      <w:r w:rsidR="00F959E7">
        <w:rPr>
          <w:rFonts w:ascii="Simplified Arabic" w:hAnsi="Simplified Arabic" w:cs="Simplified Arabic" w:hint="cs"/>
          <w:sz w:val="26"/>
          <w:szCs w:val="26"/>
          <w:rtl/>
          <w:lang w:bidi="ar-JO"/>
        </w:rPr>
        <w:t>ممّا مكّن من تحقيق العهد الإبراهيم</w:t>
      </w:r>
      <w:r w:rsidR="00A72BF8">
        <w:rPr>
          <w:rFonts w:ascii="Simplified Arabic" w:hAnsi="Simplified Arabic" w:cs="Simplified Arabic" w:hint="cs"/>
          <w:sz w:val="26"/>
          <w:szCs w:val="26"/>
          <w:rtl/>
          <w:lang w:bidi="ar-JO"/>
        </w:rPr>
        <w:t xml:space="preserve">ي </w:t>
      </w:r>
      <w:r w:rsidR="00F959E7">
        <w:rPr>
          <w:rFonts w:ascii="Simplified Arabic" w:hAnsi="Simplified Arabic" w:cs="Simplified Arabic" w:hint="cs"/>
          <w:sz w:val="26"/>
          <w:szCs w:val="26"/>
          <w:rtl/>
          <w:lang w:bidi="ar-JO"/>
        </w:rPr>
        <w:t>الذي به تستطيع كل الشعوب أن تشترك في بركة إبراهيم (تكوين 12: 3؛ غلاطية 3: 13-14). ما وعد به الله ("أباركك مبارَكة، وأكثّر نسلك تكثيرًا كنجوم السماء"؛ تكوين 22: 17) تحقَّق بصورة أكبر في الرب يسوع ومَن مِنّا يصير "نسل</w:t>
      </w:r>
      <w:r w:rsidR="00A72BF8">
        <w:rPr>
          <w:rFonts w:ascii="Simplified Arabic" w:hAnsi="Simplified Arabic" w:cs="Simplified Arabic" w:hint="cs"/>
          <w:sz w:val="26"/>
          <w:szCs w:val="26"/>
          <w:rtl/>
          <w:lang w:bidi="ar-JO"/>
        </w:rPr>
        <w:t>َ</w:t>
      </w:r>
      <w:r w:rsidR="00F959E7">
        <w:rPr>
          <w:rFonts w:ascii="Simplified Arabic" w:hAnsi="Simplified Arabic" w:cs="Simplified Arabic" w:hint="cs"/>
          <w:sz w:val="26"/>
          <w:szCs w:val="26"/>
          <w:rtl/>
          <w:lang w:bidi="ar-JO"/>
        </w:rPr>
        <w:t xml:space="preserve">ه" بالإيمان برسالة الإنجيل. </w:t>
      </w:r>
    </w:p>
    <w:p w14:paraId="047FD83E" w14:textId="77777777" w:rsidR="009E7795" w:rsidRPr="009E7795" w:rsidRDefault="009E7795" w:rsidP="009E7795">
      <w:pPr>
        <w:bidi/>
        <w:spacing w:line="240" w:lineRule="auto"/>
        <w:rPr>
          <w:rFonts w:ascii="Simplified Arabic" w:hAnsi="Simplified Arabic" w:cs="Simplified Arabic"/>
          <w:sz w:val="26"/>
          <w:szCs w:val="26"/>
          <w:rtl/>
        </w:rPr>
      </w:pPr>
    </w:p>
    <w:p w14:paraId="2A560165" w14:textId="3499A39B" w:rsidR="002907D3" w:rsidRPr="00F959E7" w:rsidRDefault="00F959E7" w:rsidP="00F959E7">
      <w:pPr>
        <w:pStyle w:val="Heading4RED"/>
        <w:bidi/>
        <w:rPr>
          <w:rFonts w:ascii="Simplified Arabic" w:hAnsi="Simplified Arabic" w:cs="Simplified Arabic"/>
        </w:rPr>
      </w:pPr>
      <w:r w:rsidRPr="00F959E7">
        <w:rPr>
          <w:rFonts w:ascii="Simplified Arabic" w:hAnsi="Simplified Arabic" w:cs="Simplified Arabic"/>
          <w:rtl/>
        </w:rPr>
        <w:t>رابعًا، يوسف بوصفه نموذجًا ورمزًا للمسيح (تكوين 37-50)</w:t>
      </w:r>
    </w:p>
    <w:p w14:paraId="71CE6D5F" w14:textId="21843338" w:rsidR="00EB7778" w:rsidRDefault="006A59E9" w:rsidP="00F959E7">
      <w:pPr>
        <w:bidi/>
        <w:spacing w:line="240" w:lineRule="auto"/>
        <w:rPr>
          <w:rFonts w:ascii="Simplified Arabic" w:hAnsi="Simplified Arabic" w:cs="Simplified Arabic"/>
          <w:sz w:val="26"/>
          <w:szCs w:val="26"/>
          <w:rtl/>
          <w:lang w:bidi="ar-JO"/>
        </w:rPr>
      </w:pPr>
      <w:r>
        <w:br/>
      </w:r>
      <w:r w:rsidR="00F959E7">
        <w:rPr>
          <w:rFonts w:ascii="Simplified Arabic" w:hAnsi="Simplified Arabic" w:cs="Simplified Arabic" w:hint="cs"/>
          <w:sz w:val="26"/>
          <w:szCs w:val="26"/>
          <w:rtl/>
        </w:rPr>
        <w:t xml:space="preserve">مع أنّ الكتاب المُقدَّس </w:t>
      </w:r>
      <w:r w:rsidR="00EB5841">
        <w:rPr>
          <w:rFonts w:ascii="Simplified Arabic" w:hAnsi="Simplified Arabic" w:cs="Simplified Arabic" w:hint="cs"/>
          <w:sz w:val="26"/>
          <w:szCs w:val="26"/>
          <w:rtl/>
        </w:rPr>
        <w:t>لا يسمّي يوسف "رمزًا" أو "نموذجًا" للمسيح بصورة صريحة، فإن تجاربه الحياتيّة ظلالٌ لتجارب المسيا يسوع في نواحٍ عديدة. أو</w:t>
      </w:r>
      <w:r w:rsidR="003D0DFE">
        <w:rPr>
          <w:rFonts w:ascii="Simplified Arabic" w:hAnsi="Simplified Arabic" w:cs="Simplified Arabic" w:hint="cs"/>
          <w:sz w:val="26"/>
          <w:szCs w:val="26"/>
          <w:rtl/>
        </w:rPr>
        <w:t>ّ</w:t>
      </w:r>
      <w:r w:rsidR="00EB5841">
        <w:rPr>
          <w:rFonts w:ascii="Simplified Arabic" w:hAnsi="Simplified Arabic" w:cs="Simplified Arabic" w:hint="cs"/>
          <w:sz w:val="26"/>
          <w:szCs w:val="26"/>
          <w:rtl/>
        </w:rPr>
        <w:t>لًا، كان يوسف محبوبًا من أبيه أكثر من كلّ بقيّة إخوته (تكوين 37: 4)، مم</w:t>
      </w:r>
      <w:r w:rsidR="003D0DFE">
        <w:rPr>
          <w:rFonts w:ascii="Simplified Arabic" w:hAnsi="Simplified Arabic" w:cs="Simplified Arabic" w:hint="cs"/>
          <w:sz w:val="26"/>
          <w:szCs w:val="26"/>
          <w:rtl/>
        </w:rPr>
        <w:t>ّ</w:t>
      </w:r>
      <w:r w:rsidR="00EB5841">
        <w:rPr>
          <w:rFonts w:ascii="Simplified Arabic" w:hAnsi="Simplified Arabic" w:cs="Simplified Arabic" w:hint="cs"/>
          <w:sz w:val="26"/>
          <w:szCs w:val="26"/>
          <w:rtl/>
        </w:rPr>
        <w:t xml:space="preserve">ا </w:t>
      </w:r>
      <w:r w:rsidR="003D0DFE">
        <w:rPr>
          <w:rFonts w:ascii="Simplified Arabic" w:hAnsi="Simplified Arabic" w:cs="Simplified Arabic" w:hint="cs"/>
          <w:sz w:val="26"/>
          <w:szCs w:val="26"/>
          <w:rtl/>
        </w:rPr>
        <w:t>يرمز</w:t>
      </w:r>
      <w:r w:rsidR="00EB5841">
        <w:rPr>
          <w:rFonts w:ascii="Simplified Arabic" w:hAnsi="Simplified Arabic" w:cs="Simplified Arabic" w:hint="cs"/>
          <w:sz w:val="26"/>
          <w:szCs w:val="26"/>
          <w:rtl/>
        </w:rPr>
        <w:t xml:space="preserve"> إلى قيمة يسوع عند الله الآب: "هذا هو ابني الحبيب الذي به سُرِرت" (متّى 3: 17؛ 12: 18؛ 17: 5). </w:t>
      </w:r>
      <w:r w:rsidR="00031DE3">
        <w:rPr>
          <w:rFonts w:ascii="Simplified Arabic" w:hAnsi="Simplified Arabic" w:cs="Simplified Arabic" w:hint="cs"/>
          <w:sz w:val="26"/>
          <w:szCs w:val="26"/>
          <w:rtl/>
        </w:rPr>
        <w:t>ثانيًا، رأى يوسف حلمًا من الله بأنّه سيحكم على إخوته، وأنّهم سيركعون أمامه (تكوين 37: 5-10). أي أنّه يومًا ما سيحكم على شعبه، مثلما سيملك يسوع في النهاية على ملكوت الله. ثالثًا، كان إخوة يوسف يغارون منه ولم يكونوا يحبّونه (تكوين 37: 11)، مم</w:t>
      </w:r>
      <w:r w:rsidR="003D0DFE">
        <w:rPr>
          <w:rFonts w:ascii="Simplified Arabic" w:hAnsi="Simplified Arabic" w:cs="Simplified Arabic" w:hint="cs"/>
          <w:sz w:val="26"/>
          <w:szCs w:val="26"/>
          <w:rtl/>
        </w:rPr>
        <w:t>ّ</w:t>
      </w:r>
      <w:r w:rsidR="00031DE3">
        <w:rPr>
          <w:rFonts w:ascii="Simplified Arabic" w:hAnsi="Simplified Arabic" w:cs="Simplified Arabic" w:hint="cs"/>
          <w:sz w:val="26"/>
          <w:szCs w:val="26"/>
          <w:rtl/>
        </w:rPr>
        <w:t>ا قاد إلى محاولتهم أن يقتلوه تقريبًا (ولكنّهم باعوه أخيرًا لتجّار مديانيّين</w:t>
      </w:r>
      <w:r w:rsidR="003D0DFE">
        <w:rPr>
          <w:rFonts w:ascii="Simplified Arabic" w:hAnsi="Simplified Arabic" w:cs="Simplified Arabic" w:hint="cs"/>
          <w:sz w:val="26"/>
          <w:szCs w:val="26"/>
          <w:rtl/>
        </w:rPr>
        <w:t>؛</w:t>
      </w:r>
      <w:r w:rsidR="00031DE3">
        <w:rPr>
          <w:rFonts w:ascii="Simplified Arabic" w:hAnsi="Simplified Arabic" w:cs="Simplified Arabic" w:hint="cs"/>
          <w:sz w:val="26"/>
          <w:szCs w:val="26"/>
          <w:rtl/>
        </w:rPr>
        <w:t xml:space="preserve"> تكوين 37: 27-28). أمّا يسوع، فقد رُفِض تمامًا وقُتِل على يد </w:t>
      </w:r>
      <w:r w:rsidR="003F5CBA">
        <w:rPr>
          <w:rFonts w:ascii="Simplified Arabic" w:hAnsi="Simplified Arabic" w:cs="Simplified Arabic" w:hint="cs"/>
          <w:sz w:val="26"/>
          <w:szCs w:val="26"/>
          <w:rtl/>
        </w:rPr>
        <w:t xml:space="preserve">القادة الدينيّين اليهود في زمنه. رابعًا، بعد رفض إخوة يوسف له وتخلُّصهم منه، ظنّوا أنّهم لن يروه ثانيةً، بل ولم يميّزوه حين رأوه عدّة مرّات. كان يوسف "بعيدًا" في بلدٍ آخر. وبعد قيامة يسوع، صعِد إلى مكانٍ "بعيد"، إلى السماء، حيثُ لن يُرى مدّةً طويلةً بصورة استثنائيّة. </w:t>
      </w:r>
      <w:r w:rsidR="00AC0FAD">
        <w:rPr>
          <w:rFonts w:ascii="Simplified Arabic" w:hAnsi="Simplified Arabic" w:cs="Simplified Arabic" w:hint="cs"/>
          <w:sz w:val="26"/>
          <w:szCs w:val="26"/>
          <w:rtl/>
        </w:rPr>
        <w:t xml:space="preserve">خامسًا، كان يوسف رجلَ استقامةٍ، فرفض إغراءات زوجة فوطيفار، وكان يقصد ألا يخطئ إلى الله (تكوين 39: 7-9). ويشهد العهد الجديد بأن يسوع كان بارًّا. فهو "لم يفعل خطيّة ولا وُجِد في فمه مكر" (1بطرس 2: 22). سادسًا، عانى يعقوب وعائلته الكبيرة ظروف مجاعةٍ صعبة دفعتهم في حالةٍ من اليأس إلى طلب المعونة. وبصورة شبيهة، سيتعرَّض الشعب اليهودي في نهاية الزمن للضيقة العظيمة التي ستذلّهم وتقودهم إلى التواضع (إرميا 30: 7). سابعًا، </w:t>
      </w:r>
      <w:r w:rsidR="003D0DFE">
        <w:rPr>
          <w:rFonts w:ascii="Simplified Arabic" w:hAnsi="Simplified Arabic" w:cs="Simplified Arabic" w:hint="cs"/>
          <w:sz w:val="26"/>
          <w:szCs w:val="26"/>
          <w:rtl/>
        </w:rPr>
        <w:t xml:space="preserve">على </w:t>
      </w:r>
      <w:r w:rsidR="00AC0FAD">
        <w:rPr>
          <w:rFonts w:ascii="Simplified Arabic" w:hAnsi="Simplified Arabic" w:cs="Simplified Arabic" w:hint="cs"/>
          <w:sz w:val="26"/>
          <w:szCs w:val="26"/>
          <w:rtl/>
        </w:rPr>
        <w:t>الرغم من رفض إخوة يوسف له، صار في النهاية "مُخلِّصهم،" فأنقذهم من خطر المجاعة وكان سبب بركة لهم. و</w:t>
      </w:r>
      <w:r w:rsidR="0028210C">
        <w:rPr>
          <w:rFonts w:ascii="Simplified Arabic" w:hAnsi="Simplified Arabic" w:cs="Simplified Arabic" w:hint="cs"/>
          <w:sz w:val="26"/>
          <w:szCs w:val="26"/>
          <w:rtl/>
        </w:rPr>
        <w:t>بالمثل، ينبئ الكتاب المُقدَّس بأن يسوع سيعود في نهاية الزمن لينقِذ الشعب اليهودي ويباركهم. ثامنًا، حين أعلن يوسف نفسه لإخوته في مصر،</w:t>
      </w:r>
      <w:r w:rsidR="00B67B45">
        <w:rPr>
          <w:rFonts w:ascii="Simplified Arabic" w:hAnsi="Simplified Arabic" w:cs="Simplified Arabic" w:hint="cs"/>
          <w:sz w:val="26"/>
          <w:szCs w:val="26"/>
          <w:rtl/>
          <w:lang w:bidi="ar-JO"/>
        </w:rPr>
        <w:t xml:space="preserve"> اجتمع شملهم بفرح، وتصالحوا، واستعادوا العلاقة بعضهم مع بعض. طبعًا، لا </w:t>
      </w:r>
      <w:r w:rsidR="003D0DFE">
        <w:rPr>
          <w:rFonts w:ascii="Simplified Arabic" w:hAnsi="Simplified Arabic" w:cs="Simplified Arabic" w:hint="cs"/>
          <w:sz w:val="26"/>
          <w:szCs w:val="26"/>
          <w:rtl/>
          <w:lang w:bidi="ar-JO"/>
        </w:rPr>
        <w:t>ي</w:t>
      </w:r>
      <w:r w:rsidR="00B67B45">
        <w:rPr>
          <w:rFonts w:ascii="Simplified Arabic" w:hAnsi="Simplified Arabic" w:cs="Simplified Arabic" w:hint="cs"/>
          <w:sz w:val="26"/>
          <w:szCs w:val="26"/>
          <w:rtl/>
          <w:lang w:bidi="ar-JO"/>
        </w:rPr>
        <w:t xml:space="preserve">جد كل تفصيل في حياة يوسف ارتباطًا مباشرًا في المسيح (وهذه هي طبيعة النماذج)، ولكنّ هناك ما يكفي من التقابل بينهما لرؤية أن اختبارات يوسف ظلالٌ تُشير بدرجةٍ ما إلى حياة يسوع المسيح وخدمته. </w:t>
      </w:r>
    </w:p>
    <w:p w14:paraId="72ECDA47" w14:textId="037EBCD3" w:rsidR="00F959E7" w:rsidRDefault="00F959E7" w:rsidP="00F959E7">
      <w:pPr>
        <w:bidi/>
        <w:spacing w:line="240" w:lineRule="auto"/>
        <w:rPr>
          <w:rFonts w:ascii="Simplified Arabic" w:hAnsi="Simplified Arabic" w:cs="Simplified Arabic"/>
          <w:sz w:val="26"/>
          <w:szCs w:val="26"/>
          <w:rtl/>
        </w:rPr>
      </w:pPr>
    </w:p>
    <w:p w14:paraId="386DE291" w14:textId="17F71830" w:rsidR="002907D3" w:rsidRPr="00B67B45" w:rsidRDefault="00B67B45" w:rsidP="00B67B45">
      <w:pPr>
        <w:pStyle w:val="Heading4RED"/>
        <w:bidi/>
        <w:rPr>
          <w:rFonts w:ascii="Simplified Arabic" w:hAnsi="Simplified Arabic" w:cs="Simplified Arabic"/>
        </w:rPr>
      </w:pPr>
      <w:r w:rsidRPr="00B67B45">
        <w:rPr>
          <w:rFonts w:ascii="Simplified Arabic" w:hAnsi="Simplified Arabic" w:cs="Simplified Arabic"/>
          <w:rtl/>
        </w:rPr>
        <w:t xml:space="preserve">خامسًا، أسد سبط يهوذا الموعود به (تكوين 49: 8-12) </w:t>
      </w:r>
    </w:p>
    <w:p w14:paraId="6413D3DC" w14:textId="0B9E655C" w:rsidR="00B67B45" w:rsidRDefault="00B67B45" w:rsidP="00B67B45">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قرب نهاية حياة يعقوب، جمع </w:t>
      </w:r>
      <w:r w:rsidR="003D0DFE">
        <w:rPr>
          <w:rFonts w:ascii="Simplified Arabic" w:hAnsi="Simplified Arabic" w:cs="Simplified Arabic" w:hint="cs"/>
          <w:sz w:val="26"/>
          <w:szCs w:val="26"/>
          <w:rtl/>
        </w:rPr>
        <w:t>أ</w:t>
      </w:r>
      <w:r>
        <w:rPr>
          <w:rFonts w:ascii="Simplified Arabic" w:hAnsi="Simplified Arabic" w:cs="Simplified Arabic" w:hint="cs"/>
          <w:sz w:val="26"/>
          <w:szCs w:val="26"/>
          <w:rtl/>
        </w:rPr>
        <w:t>بناءه الاثني عشر لينطق بإعلانٍ نبوي</w:t>
      </w:r>
      <w:r w:rsidR="003D0DFE">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بشأن كلِّ واحدٍ منهم عمّا سيحدث لهم في المستقبل. ومع أنّ يهوذا لم يكن الابن الأكبر، فقد أُعطي الكرامة العظمى، كما يُدوَّن في تكوين 49: 8-12: </w:t>
      </w:r>
    </w:p>
    <w:p w14:paraId="355717DA" w14:textId="5CD2EFA6" w:rsidR="00B67B45" w:rsidRPr="00B67B45" w:rsidRDefault="006D54CC" w:rsidP="006D54CC">
      <w:pPr>
        <w:bidi/>
        <w:spacing w:line="240" w:lineRule="auto"/>
        <w:ind w:left="1008" w:right="1008"/>
        <w:rPr>
          <w:rtl/>
        </w:rPr>
      </w:pPr>
      <w:r w:rsidRPr="0064546C">
        <w:rPr>
          <w:rFonts w:ascii="Simplified Arabic" w:hAnsi="Simplified Arabic" w:cs="Simplified Arabic"/>
          <w:sz w:val="26"/>
          <w:szCs w:val="26"/>
          <w:vertAlign w:val="superscript"/>
          <w:rtl/>
        </w:rPr>
        <w:t>8</w:t>
      </w:r>
      <w:r w:rsidRPr="0064546C">
        <w:rPr>
          <w:rFonts w:ascii="Simplified Arabic" w:hAnsi="Simplified Arabic" w:cs="Simplified Arabic"/>
          <w:sz w:val="26"/>
          <w:szCs w:val="26"/>
          <w:rtl/>
        </w:rPr>
        <w:t xml:space="preserve">يَهُوذَا، إِيَّاكَ يَحْمَدُ إِخْوَتُكَ، يَدُكَ عَلَى قَفَا أَعْدَائِكَ، يَسْجُدُ لَكَ بَنُو أَبِيكَ. </w:t>
      </w:r>
      <w:r w:rsidRPr="0064546C">
        <w:rPr>
          <w:rFonts w:ascii="Simplified Arabic" w:hAnsi="Simplified Arabic" w:cs="Simplified Arabic"/>
          <w:sz w:val="26"/>
          <w:szCs w:val="26"/>
          <w:vertAlign w:val="superscript"/>
          <w:rtl/>
        </w:rPr>
        <w:t>9</w:t>
      </w:r>
      <w:r w:rsidRPr="0064546C">
        <w:rPr>
          <w:rFonts w:ascii="Simplified Arabic" w:hAnsi="Simplified Arabic" w:cs="Simplified Arabic"/>
          <w:sz w:val="26"/>
          <w:szCs w:val="26"/>
          <w:rtl/>
        </w:rPr>
        <w:t xml:space="preserve">يَهُوذَا جَرْوُ أَسَدٍ، مِنْ فَرِيسَةٍ صَعِدْتَ يَا ابْنِي، جَثَا وَرَبَضَ كَأَسَدٍ وَكَلَبْوَةٍ. مَنْ يُنْهِضُهُ؟ </w:t>
      </w:r>
      <w:r w:rsidRPr="0064546C">
        <w:rPr>
          <w:rFonts w:ascii="Simplified Arabic" w:hAnsi="Simplified Arabic" w:cs="Simplified Arabic"/>
          <w:sz w:val="26"/>
          <w:szCs w:val="26"/>
          <w:vertAlign w:val="superscript"/>
          <w:rtl/>
        </w:rPr>
        <w:t>10</w:t>
      </w:r>
      <w:r w:rsidRPr="0064546C">
        <w:rPr>
          <w:rFonts w:ascii="Simplified Arabic" w:hAnsi="Simplified Arabic" w:cs="Simplified Arabic"/>
          <w:sz w:val="26"/>
          <w:szCs w:val="26"/>
          <w:rtl/>
        </w:rPr>
        <w:t xml:space="preserve">لاَ يَزُولُ قَضِيبٌ مِنْ يَهُوذَا وَمُشْتَرِعٌ مِنْ بَيْنِ رِجْلَيْهِ حَتَّى يَأْتِيَ شِيلُونُ وَلَهُ يَكُونُ خُضُوعُ شُعُوبٍ. </w:t>
      </w:r>
      <w:r w:rsidRPr="0064546C">
        <w:rPr>
          <w:rFonts w:ascii="Simplified Arabic" w:hAnsi="Simplified Arabic" w:cs="Simplified Arabic"/>
          <w:sz w:val="26"/>
          <w:szCs w:val="26"/>
          <w:vertAlign w:val="superscript"/>
          <w:rtl/>
        </w:rPr>
        <w:t>11</w:t>
      </w:r>
      <w:r w:rsidRPr="0064546C">
        <w:rPr>
          <w:rFonts w:ascii="Simplified Arabic" w:hAnsi="Simplified Arabic" w:cs="Simplified Arabic"/>
          <w:sz w:val="26"/>
          <w:szCs w:val="26"/>
          <w:rtl/>
        </w:rPr>
        <w:t xml:space="preserve">رَابِطًا بِالْكَرْمَةِ جَحْشَهُ، </w:t>
      </w:r>
      <w:r w:rsidRPr="0064546C">
        <w:rPr>
          <w:rFonts w:ascii="Simplified Arabic" w:hAnsi="Simplified Arabic" w:cs="Simplified Arabic"/>
          <w:sz w:val="26"/>
          <w:szCs w:val="26"/>
          <w:rtl/>
        </w:rPr>
        <w:lastRenderedPageBreak/>
        <w:t xml:space="preserve">وَبِالْجَفْنَةِ ابْنَ أَتَانِهِ، غَسَلَ بِالْخَمْرِ لِبَاسَهُ، وَبِدَمِ الْعِنَبِ ثَوْبَهُ. </w:t>
      </w:r>
      <w:r w:rsidRPr="0064546C">
        <w:rPr>
          <w:rFonts w:ascii="Simplified Arabic" w:hAnsi="Simplified Arabic" w:cs="Simplified Arabic"/>
          <w:sz w:val="26"/>
          <w:szCs w:val="26"/>
          <w:vertAlign w:val="superscript"/>
          <w:rtl/>
        </w:rPr>
        <w:t>12</w:t>
      </w:r>
      <w:r w:rsidRPr="0064546C">
        <w:rPr>
          <w:rFonts w:ascii="Simplified Arabic" w:hAnsi="Simplified Arabic" w:cs="Simplified Arabic"/>
          <w:sz w:val="26"/>
          <w:szCs w:val="26"/>
          <w:rtl/>
        </w:rPr>
        <w:t>مُسْوَدُّ الْعَيْنَيْنِ مِنَ الْخَمْرِ، وَمُبْيَضُّ الأَسْنَانِ مِنَ اللَّبَنِ.</w:t>
      </w:r>
      <w:r w:rsidR="008813B1" w:rsidRPr="00B67B45">
        <w:br/>
      </w:r>
    </w:p>
    <w:p w14:paraId="0EFFEC7F" w14:textId="1F406C1E" w:rsidR="00B67B45" w:rsidRPr="006D54CC" w:rsidRDefault="006D54CC" w:rsidP="00B67B45">
      <w:pPr>
        <w:bidi/>
        <w:spacing w:line="240" w:lineRule="auto"/>
        <w:rPr>
          <w:rFonts w:ascii="Simplified Arabic" w:hAnsi="Simplified Arabic" w:cs="Simplified Arabic"/>
          <w:sz w:val="26"/>
          <w:szCs w:val="26"/>
          <w:rtl/>
          <w:lang w:bidi="ar-JO"/>
        </w:rPr>
      </w:pPr>
      <w:r>
        <w:rPr>
          <w:rFonts w:ascii="Simplified Arabic" w:hAnsi="Simplified Arabic" w:cs="Simplified Arabic" w:hint="cs"/>
          <w:sz w:val="26"/>
          <w:szCs w:val="26"/>
          <w:rtl/>
        </w:rPr>
        <w:t xml:space="preserve">هذه النبوة مُلغِزة، ولكنّها تشبِّه شخصًا ما في نسل يهوذا بأسدٍ، وتُنبئ بأنّه في المستقبل البعيد سيحكم ملكًا. تُشير هذه النبوة إلى أنّ الحقّ بالملك لن يترك سبط يهوذا "حتى يأتي شيلون." </w:t>
      </w:r>
      <w:r w:rsidR="003D0DFE">
        <w:rPr>
          <w:rFonts w:ascii="Simplified Arabic" w:hAnsi="Simplified Arabic" w:cs="Simplified Arabic" w:hint="cs"/>
          <w:sz w:val="26"/>
          <w:szCs w:val="26"/>
          <w:rtl/>
        </w:rPr>
        <w:t xml:space="preserve">يُفهَم من بعض الترجمات أنّ </w:t>
      </w:r>
      <w:r>
        <w:rPr>
          <w:rFonts w:ascii="Simplified Arabic" w:hAnsi="Simplified Arabic" w:cs="Simplified Arabic" w:hint="cs"/>
          <w:sz w:val="26"/>
          <w:szCs w:val="26"/>
          <w:rtl/>
        </w:rPr>
        <w:t>الكلمة "شيلون" أو "شيلوه" في النص العبري (</w:t>
      </w:r>
      <w:r w:rsidRPr="00FE5AF2">
        <w:rPr>
          <w:rFonts w:ascii="Ezra SIL" w:hAnsi="Ezra SIL" w:cs="Ezra SIL"/>
          <w:rtl/>
          <w:lang w:bidi="he-IL"/>
        </w:rPr>
        <w:t>עַ֚ד כִּֽי־יָבֹ֣א שִׁילֹה</w:t>
      </w:r>
      <w:r>
        <w:rPr>
          <w:rFonts w:ascii="Simplified Arabic" w:hAnsi="Simplified Arabic" w:cs="Simplified Arabic" w:hint="cs"/>
          <w:sz w:val="26"/>
          <w:szCs w:val="26"/>
          <w:rtl/>
        </w:rPr>
        <w:t>) اسم مكان. ولكنْ يمكن أن تكون الكلمة المُترجمة إلى "شيلوه" (</w:t>
      </w:r>
      <w:r w:rsidRPr="00FE5AF2">
        <w:rPr>
          <w:rFonts w:ascii="Ezra SIL" w:hAnsi="Ezra SIL" w:cs="Ezra SIL"/>
          <w:rtl/>
          <w:lang w:bidi="he-IL"/>
        </w:rPr>
        <w:t>שִׁילֹה</w:t>
      </w:r>
      <w:r>
        <w:rPr>
          <w:rFonts w:ascii="Simplified Arabic" w:hAnsi="Simplified Arabic" w:cs="Simplified Arabic" w:hint="cs"/>
          <w:sz w:val="26"/>
          <w:szCs w:val="26"/>
          <w:rtl/>
        </w:rPr>
        <w:t>) شبه جملة موصولة، ينبغي ترجمتها إلى "</w:t>
      </w:r>
      <w:r w:rsidR="00471074">
        <w:rPr>
          <w:rFonts w:ascii="Simplified Arabic" w:hAnsi="Simplified Arabic" w:cs="Simplified Arabic" w:hint="cs"/>
          <w:sz w:val="26"/>
          <w:szCs w:val="26"/>
          <w:rtl/>
        </w:rPr>
        <w:t>إلى أن يأتي الذي له."</w:t>
      </w:r>
      <w:r w:rsidR="00471074">
        <w:rPr>
          <w:rStyle w:val="FootnoteReference"/>
          <w:rFonts w:ascii="Simplified Arabic" w:hAnsi="Simplified Arabic" w:cs="Simplified Arabic"/>
          <w:sz w:val="26"/>
          <w:szCs w:val="26"/>
          <w:rtl/>
        </w:rPr>
        <w:footnoteReference w:id="216"/>
      </w:r>
      <w:r w:rsidR="00471074">
        <w:rPr>
          <w:rFonts w:ascii="Simplified Arabic" w:hAnsi="Simplified Arabic" w:cs="Simplified Arabic" w:hint="cs"/>
          <w:sz w:val="26"/>
          <w:szCs w:val="26"/>
          <w:rtl/>
        </w:rPr>
        <w:t xml:space="preserve"> هذا هو الفهم الذي نراه في ترجمتي </w:t>
      </w:r>
      <w:r w:rsidR="00471074">
        <w:rPr>
          <w:rFonts w:ascii="Simplified Arabic" w:hAnsi="Simplified Arabic" w:cs="Simplified Arabic"/>
          <w:sz w:val="26"/>
          <w:szCs w:val="26"/>
        </w:rPr>
        <w:t>NIV2011</w:t>
      </w:r>
      <w:r w:rsidR="00471074">
        <w:rPr>
          <w:rFonts w:ascii="Simplified Arabic" w:hAnsi="Simplified Arabic" w:cs="Simplified Arabic" w:hint="cs"/>
          <w:sz w:val="26"/>
          <w:szCs w:val="26"/>
          <w:rtl/>
          <w:lang w:bidi="ar-JO"/>
        </w:rPr>
        <w:t xml:space="preserve"> و</w:t>
      </w:r>
      <w:r w:rsidR="00471074">
        <w:rPr>
          <w:rFonts w:ascii="Simplified Arabic" w:hAnsi="Simplified Arabic" w:cs="Simplified Arabic"/>
          <w:sz w:val="26"/>
          <w:szCs w:val="26"/>
          <w:lang w:bidi="ar-JO"/>
        </w:rPr>
        <w:t>NET Bible</w:t>
      </w:r>
      <w:r w:rsidR="003D0DFE">
        <w:rPr>
          <w:rFonts w:ascii="Simplified Arabic" w:hAnsi="Simplified Arabic" w:cs="Simplified Arabic" w:hint="cs"/>
          <w:sz w:val="26"/>
          <w:szCs w:val="26"/>
          <w:rtl/>
          <w:lang w:bidi="ar-JO"/>
        </w:rPr>
        <w:t xml:space="preserve"> (وما قد يُفهَم في ترجمة فاندايك البستاني)</w:t>
      </w:r>
      <w:r w:rsidR="00471074">
        <w:rPr>
          <w:rFonts w:ascii="Simplified Arabic" w:hAnsi="Simplified Arabic" w:cs="Simplified Arabic" w:hint="cs"/>
          <w:sz w:val="26"/>
          <w:szCs w:val="26"/>
          <w:rtl/>
          <w:lang w:bidi="ar-JO"/>
        </w:rPr>
        <w:t xml:space="preserve">. </w:t>
      </w:r>
      <w:r w:rsidR="000351EC">
        <w:rPr>
          <w:rFonts w:ascii="Simplified Arabic" w:hAnsi="Simplified Arabic" w:cs="Simplified Arabic" w:hint="cs"/>
          <w:sz w:val="26"/>
          <w:szCs w:val="26"/>
          <w:rtl/>
          <w:lang w:bidi="ar-JO"/>
        </w:rPr>
        <w:t xml:space="preserve">وإذ نفهم هذه العبارة بهذا المعنى، فإن الآية تقول إنّ "عصا الحاكم" (حقّ بأن يحكم ملكًا) ستكون لشخصٍ في سبط يهوذا، ولن تكون لآخر إلى أن يأتي الذي له تلك العصا. وذلك الشخص هو الرب يسوع، الذي وُلِد من نسل يهوذا. ويُشير الجزء الأخير من الآية 10 إلى الامتياز الخاصّ الذي سيكون له: "وله يكون خضوع شعوب." أي أن حُكم الرب يسوع ملكًا سيمتدّ إلى خارج الشعب اليهودي. </w:t>
      </w:r>
      <w:r w:rsidR="000A097B">
        <w:rPr>
          <w:rFonts w:ascii="Simplified Arabic" w:hAnsi="Simplified Arabic" w:cs="Simplified Arabic" w:hint="cs"/>
          <w:sz w:val="26"/>
          <w:szCs w:val="26"/>
          <w:rtl/>
          <w:lang w:bidi="ar-JO"/>
        </w:rPr>
        <w:t>بل إنّ حكمه سيكون على كل</w:t>
      </w:r>
      <w:r w:rsidR="003D0DFE">
        <w:rPr>
          <w:rFonts w:ascii="Simplified Arabic" w:hAnsi="Simplified Arabic" w:cs="Simplified Arabic" w:hint="cs"/>
          <w:sz w:val="26"/>
          <w:szCs w:val="26"/>
          <w:rtl/>
          <w:lang w:bidi="ar-JO"/>
        </w:rPr>
        <w:t>ّ</w:t>
      </w:r>
      <w:r w:rsidR="000A097B">
        <w:rPr>
          <w:rFonts w:ascii="Simplified Arabic" w:hAnsi="Simplified Arabic" w:cs="Simplified Arabic" w:hint="cs"/>
          <w:sz w:val="26"/>
          <w:szCs w:val="26"/>
          <w:rtl/>
          <w:lang w:bidi="ar-JO"/>
        </w:rPr>
        <w:t xml:space="preserve"> الشعوب (الأمم)، التي ستخضع له راغبةً. سيتحقَّق هذا بصورة تدريجي</w:t>
      </w:r>
      <w:r w:rsidR="003D0DFE">
        <w:rPr>
          <w:rFonts w:ascii="Simplified Arabic" w:hAnsi="Simplified Arabic" w:cs="Simplified Arabic" w:hint="cs"/>
          <w:sz w:val="26"/>
          <w:szCs w:val="26"/>
          <w:rtl/>
          <w:lang w:bidi="ar-JO"/>
        </w:rPr>
        <w:t>ّ</w:t>
      </w:r>
      <w:r w:rsidR="000A097B">
        <w:rPr>
          <w:rFonts w:ascii="Simplified Arabic" w:hAnsi="Simplified Arabic" w:cs="Simplified Arabic" w:hint="cs"/>
          <w:sz w:val="26"/>
          <w:szCs w:val="26"/>
          <w:rtl/>
          <w:lang w:bidi="ar-JO"/>
        </w:rPr>
        <w:t xml:space="preserve">ة الآن من خلال الكنيسة، ولكنه سيكتمل بعد المجيء الثاني للمسيح. وتصف الآية 11 سعادة الزمن الذي سيحكم فيه ملكًا بلغة مجازيّة. </w:t>
      </w:r>
    </w:p>
    <w:p w14:paraId="272DDC12" w14:textId="2560583C" w:rsidR="006D54CC" w:rsidRPr="006D54CC" w:rsidRDefault="006D54CC" w:rsidP="006D54CC">
      <w:pPr>
        <w:bidi/>
        <w:spacing w:line="240" w:lineRule="auto"/>
        <w:rPr>
          <w:rFonts w:ascii="Simplified Arabic" w:hAnsi="Simplified Arabic" w:cs="Simplified Arabic"/>
          <w:sz w:val="26"/>
          <w:szCs w:val="26"/>
          <w:rtl/>
        </w:rPr>
      </w:pPr>
    </w:p>
    <w:p w14:paraId="7629B902" w14:textId="37D1ADF9" w:rsidR="002907D3" w:rsidRPr="000A097B" w:rsidRDefault="000A097B" w:rsidP="000A097B">
      <w:pPr>
        <w:pStyle w:val="Heading4RED"/>
        <w:bidi/>
        <w:rPr>
          <w:rFonts w:ascii="Simplified Arabic" w:hAnsi="Simplified Arabic" w:cs="Simplified Arabic"/>
        </w:rPr>
      </w:pPr>
      <w:r w:rsidRPr="000A097B">
        <w:rPr>
          <w:rFonts w:ascii="Simplified Arabic" w:hAnsi="Simplified Arabic" w:cs="Simplified Arabic"/>
          <w:rtl/>
        </w:rPr>
        <w:t>سادسًا، خيمة الاجتماع ورئيس الكهنة ونظام الذبائح</w:t>
      </w:r>
    </w:p>
    <w:p w14:paraId="001118D9" w14:textId="29F82D2A" w:rsidR="002907D3" w:rsidRDefault="00C43CD1" w:rsidP="000A097B">
      <w:pPr>
        <w:bidi/>
        <w:spacing w:line="240" w:lineRule="auto"/>
        <w:rPr>
          <w:rFonts w:ascii="Simplified Arabic" w:hAnsi="Simplified Arabic" w:cs="Simplified Arabic"/>
          <w:sz w:val="26"/>
          <w:szCs w:val="26"/>
          <w:rtl/>
        </w:rPr>
      </w:pPr>
      <w:r>
        <w:br/>
      </w:r>
      <w:r w:rsidR="000A097B">
        <w:rPr>
          <w:rFonts w:ascii="Simplified Arabic" w:hAnsi="Simplified Arabic" w:cs="Simplified Arabic" w:hint="cs"/>
          <w:sz w:val="26"/>
          <w:szCs w:val="26"/>
          <w:rtl/>
        </w:rPr>
        <w:t xml:space="preserve">صُنِعت خيمة الاجتماع لأجل عبادة يهوه، ولكنّ كل سماتها ومكوِّناتها تُشير إلى حقائق روحيّة عن الله وعلاقة الناس به. وفي النهاية، تُشير كل هذه الأمور إلى شخص الرب يسوع وخدمته. وبحسب خروج 40: 34، كان مجد الشكينة يسكن في خيمة الاجتماع، وبصورة خاصّة في قدس الأقداس. وكان تابوت العهد في قدس الأقداس. وداخل التابوت كان لوحا الحجر اللذان كانا يحتويان على الوصايا العشرة. كانت هذه الوصايا تمثِّل متطلبات الله القدوس العادلة والبارّة. وعلى تابوت العهد كان غطاؤه </w:t>
      </w:r>
      <w:r w:rsidR="000A097B">
        <w:rPr>
          <w:rFonts w:ascii="Simplified Arabic" w:hAnsi="Simplified Arabic" w:cs="Simplified Arabic"/>
          <w:sz w:val="26"/>
          <w:szCs w:val="26"/>
          <w:rtl/>
        </w:rPr>
        <w:t>–</w:t>
      </w:r>
      <w:r w:rsidR="000A097B">
        <w:rPr>
          <w:rFonts w:ascii="Simplified Arabic" w:hAnsi="Simplified Arabic" w:cs="Simplified Arabic" w:hint="cs"/>
          <w:sz w:val="26"/>
          <w:szCs w:val="26"/>
          <w:rtl/>
        </w:rPr>
        <w:t xml:space="preserve"> كرسي الرحمة. وفي يومٍ واحدٍ فقط، هو يوم الكفّارة، كان رئيس الكهنة يدخل إلى قدس الأقداس ليضع دم الحيوانات المذبوحة على كرسي الرحمة </w:t>
      </w:r>
      <w:r w:rsidR="000A097B">
        <w:rPr>
          <w:rFonts w:ascii="Simplified Arabic" w:hAnsi="Simplified Arabic" w:cs="Simplified Arabic"/>
          <w:sz w:val="26"/>
          <w:szCs w:val="26"/>
          <w:rtl/>
        </w:rPr>
        <w:t>–</w:t>
      </w:r>
      <w:r w:rsidR="000A097B">
        <w:rPr>
          <w:rFonts w:ascii="Simplified Arabic" w:hAnsi="Simplified Arabic" w:cs="Simplified Arabic" w:hint="cs"/>
          <w:sz w:val="26"/>
          <w:szCs w:val="26"/>
          <w:rtl/>
        </w:rPr>
        <w:t xml:space="preserve"> غطاء التابوت. وبعمله هذا، كان يُشير إلى أن</w:t>
      </w:r>
      <w:r w:rsidR="00684E95">
        <w:rPr>
          <w:rFonts w:ascii="Simplified Arabic" w:hAnsi="Simplified Arabic" w:cs="Simplified Arabic" w:hint="cs"/>
          <w:sz w:val="26"/>
          <w:szCs w:val="26"/>
          <w:rtl/>
        </w:rPr>
        <w:t>ّ</w:t>
      </w:r>
      <w:r w:rsidR="000A097B">
        <w:rPr>
          <w:rFonts w:ascii="Simplified Arabic" w:hAnsi="Simplified Arabic" w:cs="Simplified Arabic" w:hint="cs"/>
          <w:sz w:val="26"/>
          <w:szCs w:val="26"/>
          <w:rtl/>
        </w:rPr>
        <w:t xml:space="preserve"> الدم (الذي على تابوت العهد الذي فيه وصايا الله) </w:t>
      </w:r>
      <w:r w:rsidR="000F41A5">
        <w:rPr>
          <w:rFonts w:ascii="Simplified Arabic" w:hAnsi="Simplified Arabic" w:cs="Simplified Arabic" w:hint="cs"/>
          <w:sz w:val="26"/>
          <w:szCs w:val="26"/>
          <w:rtl/>
        </w:rPr>
        <w:t>يُغطّي متطلّبات الله القدوس البارّة. وتعلِّمنا رسالة العبرانيّين أن</w:t>
      </w:r>
      <w:r w:rsidR="00684E95">
        <w:rPr>
          <w:rFonts w:ascii="Simplified Arabic" w:hAnsi="Simplified Arabic" w:cs="Simplified Arabic" w:hint="cs"/>
          <w:sz w:val="26"/>
          <w:szCs w:val="26"/>
          <w:rtl/>
        </w:rPr>
        <w:t>ّ</w:t>
      </w:r>
      <w:r w:rsidR="000F41A5">
        <w:rPr>
          <w:rFonts w:ascii="Simplified Arabic" w:hAnsi="Simplified Arabic" w:cs="Simplified Arabic" w:hint="cs"/>
          <w:sz w:val="26"/>
          <w:szCs w:val="26"/>
          <w:rtl/>
        </w:rPr>
        <w:t xml:space="preserve"> الرب يسوع المسيح هو ذبيحة الله الكاملة. فهو نفسه رئيس الكهنة الذي يدخل قدس أقداس محضر الله لا بدم حيوان</w:t>
      </w:r>
      <w:r w:rsidR="00684E95">
        <w:rPr>
          <w:rFonts w:ascii="Simplified Arabic" w:hAnsi="Simplified Arabic" w:cs="Simplified Arabic" w:hint="cs"/>
          <w:sz w:val="26"/>
          <w:szCs w:val="26"/>
          <w:rtl/>
        </w:rPr>
        <w:t>ا</w:t>
      </w:r>
      <w:r w:rsidR="000F41A5">
        <w:rPr>
          <w:rFonts w:ascii="Simplified Arabic" w:hAnsi="Simplified Arabic" w:cs="Simplified Arabic" w:hint="cs"/>
          <w:sz w:val="26"/>
          <w:szCs w:val="26"/>
          <w:rtl/>
        </w:rPr>
        <w:t xml:space="preserve">ت بل بدم نفسه (عبرانيّين 9: 11-12). وبعمل يسوع هذا، صار "وسيط عهدٍ جديد،" صانعًا ومُوجِدًا فداء أبديًّا </w:t>
      </w:r>
      <w:r w:rsidR="000F41A5">
        <w:rPr>
          <w:rFonts w:ascii="Simplified Arabic" w:hAnsi="Simplified Arabic" w:cs="Simplified Arabic" w:hint="cs"/>
          <w:sz w:val="26"/>
          <w:szCs w:val="26"/>
          <w:rtl/>
        </w:rPr>
        <w:lastRenderedPageBreak/>
        <w:t xml:space="preserve">لنا (عبرانيّين 9: 12، 15). </w:t>
      </w:r>
      <w:r w:rsidR="005D6C28">
        <w:rPr>
          <w:rFonts w:ascii="Simplified Arabic" w:hAnsi="Simplified Arabic" w:cs="Simplified Arabic" w:hint="cs"/>
          <w:sz w:val="26"/>
          <w:szCs w:val="26"/>
          <w:rtl/>
        </w:rPr>
        <w:t xml:space="preserve">لم يكن هناك احتياج لتكرار ذبيحته كلّ سنة، لأنّها كانت ذبيحة كاملة، وبالتالي أوفت بمتطلبات الله البار "مرّة وإلا الأبد" (عبرانيين 9: 24-26). </w:t>
      </w:r>
    </w:p>
    <w:p w14:paraId="30E97435" w14:textId="77777777" w:rsidR="00684E95" w:rsidRPr="000A097B" w:rsidRDefault="00684E95" w:rsidP="00684E95">
      <w:pPr>
        <w:bidi/>
        <w:spacing w:line="240" w:lineRule="auto"/>
        <w:rPr>
          <w:rFonts w:ascii="Simplified Arabic" w:hAnsi="Simplified Arabic" w:cs="Simplified Arabic"/>
          <w:sz w:val="26"/>
          <w:szCs w:val="26"/>
        </w:rPr>
      </w:pPr>
    </w:p>
    <w:p w14:paraId="0BAD0246" w14:textId="350B5CAA" w:rsidR="002907D3" w:rsidRPr="005D6C28" w:rsidRDefault="005D6C28" w:rsidP="005D6C28">
      <w:pPr>
        <w:pStyle w:val="Heading4RED"/>
        <w:bidi/>
        <w:rPr>
          <w:rFonts w:ascii="Simplified Arabic" w:hAnsi="Simplified Arabic" w:cs="Simplified Arabic"/>
        </w:rPr>
      </w:pPr>
      <w:r w:rsidRPr="005D6C28">
        <w:rPr>
          <w:rFonts w:ascii="Simplified Arabic" w:hAnsi="Simplified Arabic" w:cs="Simplified Arabic"/>
          <w:rtl/>
        </w:rPr>
        <w:t xml:space="preserve">سابعًا، </w:t>
      </w:r>
      <w:r w:rsidR="00536BAB">
        <w:rPr>
          <w:rFonts w:ascii="Simplified Arabic" w:hAnsi="Simplified Arabic" w:cs="Simplified Arabic" w:hint="cs"/>
          <w:rtl/>
        </w:rPr>
        <w:t>الكوكب</w:t>
      </w:r>
      <w:r w:rsidRPr="005D6C28">
        <w:rPr>
          <w:rFonts w:ascii="Simplified Arabic" w:hAnsi="Simplified Arabic" w:cs="Simplified Arabic"/>
          <w:rtl/>
        </w:rPr>
        <w:t xml:space="preserve"> البعيد (سفر العدد 24: 5-9، 15-19)</w:t>
      </w:r>
    </w:p>
    <w:p w14:paraId="61F9F4A6" w14:textId="1677D949" w:rsidR="005D6C28" w:rsidRDefault="000D4B25" w:rsidP="005D6C28">
      <w:pPr>
        <w:bidi/>
        <w:spacing w:line="240" w:lineRule="auto"/>
        <w:rPr>
          <w:rFonts w:ascii="Simplified Arabic" w:hAnsi="Simplified Arabic" w:cs="Simplified Arabic"/>
          <w:sz w:val="26"/>
          <w:szCs w:val="26"/>
          <w:rtl/>
        </w:rPr>
      </w:pPr>
      <w:r>
        <w:br/>
      </w:r>
      <w:r w:rsidR="005D6C28">
        <w:rPr>
          <w:rFonts w:ascii="Simplified Arabic" w:hAnsi="Simplified Arabic" w:cs="Simplified Arabic" w:hint="cs"/>
          <w:sz w:val="26"/>
          <w:szCs w:val="26"/>
          <w:rtl/>
        </w:rPr>
        <w:t>يبدو أن</w:t>
      </w:r>
      <w:r w:rsidR="00684E95">
        <w:rPr>
          <w:rFonts w:ascii="Simplified Arabic" w:hAnsi="Simplified Arabic" w:cs="Simplified Arabic" w:hint="cs"/>
          <w:sz w:val="26"/>
          <w:szCs w:val="26"/>
          <w:rtl/>
        </w:rPr>
        <w:t>ّ</w:t>
      </w:r>
      <w:r w:rsidR="005D6C28">
        <w:rPr>
          <w:rFonts w:ascii="Simplified Arabic" w:hAnsi="Simplified Arabic" w:cs="Simplified Arabic" w:hint="cs"/>
          <w:sz w:val="26"/>
          <w:szCs w:val="26"/>
          <w:rtl/>
        </w:rPr>
        <w:t xml:space="preserve"> بلعام كان نبيًّا كذّابًا استأجره بالاق، ملك موآب، ليأتي بلعنةٍ على الشعب العبراني الذي كان قد خرج من مصر. ومع هذا، استخدم الله بلعام لإحباط نوايا ومخط</w:t>
      </w:r>
      <w:r w:rsidR="00684E95">
        <w:rPr>
          <w:rFonts w:ascii="Simplified Arabic" w:hAnsi="Simplified Arabic" w:cs="Simplified Arabic" w:hint="cs"/>
          <w:sz w:val="26"/>
          <w:szCs w:val="26"/>
          <w:rtl/>
        </w:rPr>
        <w:t>َّ</w:t>
      </w:r>
      <w:r w:rsidR="005D6C28">
        <w:rPr>
          <w:rFonts w:ascii="Simplified Arabic" w:hAnsi="Simplified Arabic" w:cs="Simplified Arabic" w:hint="cs"/>
          <w:sz w:val="26"/>
          <w:szCs w:val="26"/>
          <w:rtl/>
        </w:rPr>
        <w:t>طات بالاق بإعلان بركة على شعب العهد بدل إعلانه لعنةً. وفي نشاط بلعام النبوي</w:t>
      </w:r>
      <w:r w:rsidR="00684E95">
        <w:rPr>
          <w:rFonts w:ascii="Simplified Arabic" w:hAnsi="Simplified Arabic" w:cs="Simplified Arabic" w:hint="cs"/>
          <w:sz w:val="26"/>
          <w:szCs w:val="26"/>
          <w:rtl/>
        </w:rPr>
        <w:t>ّ</w:t>
      </w:r>
      <w:r w:rsidR="005D6C28">
        <w:rPr>
          <w:rFonts w:ascii="Simplified Arabic" w:hAnsi="Simplified Arabic" w:cs="Simplified Arabic" w:hint="cs"/>
          <w:sz w:val="26"/>
          <w:szCs w:val="26"/>
          <w:rtl/>
        </w:rPr>
        <w:t xml:space="preserve"> هذا، اقتاده الله </w:t>
      </w:r>
      <w:r w:rsidR="00684E95">
        <w:rPr>
          <w:rFonts w:ascii="Simplified Arabic" w:hAnsi="Simplified Arabic" w:cs="Simplified Arabic" w:hint="cs"/>
          <w:sz w:val="26"/>
          <w:szCs w:val="26"/>
          <w:rtl/>
        </w:rPr>
        <w:t xml:space="preserve">إلى </w:t>
      </w:r>
      <w:r w:rsidR="005D6C28">
        <w:rPr>
          <w:rFonts w:ascii="Simplified Arabic" w:hAnsi="Simplified Arabic" w:cs="Simplified Arabic" w:hint="cs"/>
          <w:sz w:val="26"/>
          <w:szCs w:val="26"/>
          <w:rtl/>
        </w:rPr>
        <w:t>تقديم خمسة "أقوال نبويّة". ينبئ في القولين الثالث والرابع بمجيء ملكٍ سيقوم من الشعب العبراني ستكون له مملكةٌ عظيمة</w:t>
      </w:r>
      <w:r w:rsidR="00684E95">
        <w:rPr>
          <w:rFonts w:ascii="Simplified Arabic" w:hAnsi="Simplified Arabic" w:cs="Simplified Arabic" w:hint="cs"/>
          <w:sz w:val="26"/>
          <w:szCs w:val="26"/>
          <w:rtl/>
        </w:rPr>
        <w:t>ٌ</w:t>
      </w:r>
      <w:r w:rsidR="005D6C28">
        <w:rPr>
          <w:rFonts w:ascii="Simplified Arabic" w:hAnsi="Simplified Arabic" w:cs="Simplified Arabic" w:hint="cs"/>
          <w:sz w:val="26"/>
          <w:szCs w:val="26"/>
          <w:rtl/>
        </w:rPr>
        <w:t xml:space="preserve"> وسيسحق أعداء الله. يُعطى القول النبويّ الثالث في سفر العدد 24: 3-9، ويتحدَّث عن هذا الملك في الجزء الأخير من الآية 7: "ويتسامى ملكه على أجاج وترتفع مملكته." حين نُطِق بهذا القول النبويّ، لم يكن لإسرائيل ملكٌ. والراجح أنّ هذه الكلمات تُشير إلى الملك الذي أُنبئ به في تكوين 49: 9-10 (انظر النقطة "خامسًا" أعلاه). </w:t>
      </w:r>
      <w:r w:rsidR="00FE0181">
        <w:rPr>
          <w:rFonts w:ascii="Simplified Arabic" w:hAnsi="Simplified Arabic" w:cs="Simplified Arabic" w:hint="cs"/>
          <w:sz w:val="26"/>
          <w:szCs w:val="26"/>
          <w:rtl/>
        </w:rPr>
        <w:t xml:space="preserve">يتّضح هذا بعد آيتين في سفر العدد 24: 9، والتي تتضمّن إشاراتٍ إلى تكوين 49: 9-10 والعهد الإبراهيمي: </w:t>
      </w:r>
    </w:p>
    <w:p w14:paraId="4D877CF8" w14:textId="0E0672EA" w:rsidR="00FE0181" w:rsidRDefault="00FE0181" w:rsidP="00FE0181">
      <w:pPr>
        <w:bidi/>
        <w:spacing w:line="240" w:lineRule="auto"/>
        <w:ind w:left="1008" w:right="1008"/>
        <w:rPr>
          <w:rFonts w:ascii="Simplified Arabic" w:hAnsi="Simplified Arabic" w:cs="Simplified Arabic"/>
          <w:sz w:val="26"/>
          <w:szCs w:val="26"/>
          <w:rtl/>
        </w:rPr>
      </w:pPr>
      <w:r>
        <w:rPr>
          <w:rFonts w:ascii="Simplified Arabic" w:hAnsi="Simplified Arabic" w:cs="Simplified Arabic" w:hint="cs"/>
          <w:sz w:val="26"/>
          <w:szCs w:val="26"/>
          <w:rtl/>
        </w:rPr>
        <w:t>جثم كأسدٍ، ربط كلبوة. مَن يقيمه؟ مباركك مبارَك، ولاعنُك ملعون.</w:t>
      </w:r>
    </w:p>
    <w:p w14:paraId="09AE765F" w14:textId="04FFC719" w:rsidR="005D6C28" w:rsidRDefault="005D6C28" w:rsidP="005D6C28">
      <w:pPr>
        <w:bidi/>
        <w:spacing w:line="240" w:lineRule="auto"/>
        <w:rPr>
          <w:rFonts w:ascii="Simplified Arabic" w:hAnsi="Simplified Arabic" w:cs="Simplified Arabic"/>
          <w:sz w:val="26"/>
          <w:szCs w:val="26"/>
          <w:rtl/>
        </w:rPr>
      </w:pPr>
    </w:p>
    <w:p w14:paraId="6385C07A" w14:textId="0ED7758D" w:rsidR="005D6C28" w:rsidRDefault="00FE0181" w:rsidP="005D6C28">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تُشير صورة الأسد المجازية إلى الذي سيحكم ملكًا </w:t>
      </w:r>
      <w:r w:rsidR="008E3DD6">
        <w:rPr>
          <w:rFonts w:ascii="Simplified Arabic" w:hAnsi="Simplified Arabic" w:cs="Simplified Arabic" w:hint="cs"/>
          <w:sz w:val="26"/>
          <w:szCs w:val="26"/>
          <w:rtl/>
        </w:rPr>
        <w:t xml:space="preserve">من سبط يهوذا. كما أنّه الذي فيه سيتحقَّق العهد الإبراهيم (إذ يأتي ببركة الله لكلّ شعوب وعشائر العالم). </w:t>
      </w:r>
    </w:p>
    <w:p w14:paraId="51020A88" w14:textId="0D606755" w:rsidR="008E3DD6" w:rsidRDefault="008E3DD6" w:rsidP="008E3DD6">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سفر العدد 24: 10-14 تحضير للقول الرابع الذي يرد في سفر العدد 24: 15-19. يُشار في نهاية الآية 14 إلى "آخر الأيّام" (بأحَريت هايّامِيم). يرد هذا التعبير في تكوين 49: 1، التي تمثل مُقدِّمة إلى نبوّات يعقوب لأبنائه الاثني عشر، وفي تثنية 4: 30 بشأن ضيق شعب إسرائيل في المستقبل البعيد (قارن مع إشعياء 2: 2؛ إرميا 23: 20؛ هوشع 3: 5). هذه إشارة إلى أنّ ما يأتي تاليًا في الآيات 15-19 يتعلق بـ"آخر الأيّام" (في ارتباط مع المجيء الثاني للمسيح). يُعلِن بلعام قائلًا: "أراه، ولكنْ ليس الآن، أ</w:t>
      </w:r>
      <w:r w:rsidR="00684E95">
        <w:rPr>
          <w:rFonts w:ascii="Simplified Arabic" w:hAnsi="Simplified Arabic" w:cs="Simplified Arabic" w:hint="cs"/>
          <w:sz w:val="26"/>
          <w:szCs w:val="26"/>
          <w:rtl/>
        </w:rPr>
        <w:t>ُ</w:t>
      </w:r>
      <w:r>
        <w:rPr>
          <w:rFonts w:ascii="Simplified Arabic" w:hAnsi="Simplified Arabic" w:cs="Simplified Arabic" w:hint="cs"/>
          <w:sz w:val="26"/>
          <w:szCs w:val="26"/>
          <w:rtl/>
        </w:rPr>
        <w:t>بص</w:t>
      </w:r>
      <w:r w:rsidR="00684E95">
        <w:rPr>
          <w:rFonts w:ascii="Simplified Arabic" w:hAnsi="Simplified Arabic" w:cs="Simplified Arabic" w:hint="cs"/>
          <w:sz w:val="26"/>
          <w:szCs w:val="26"/>
          <w:rtl/>
        </w:rPr>
        <w:t>ِ</w:t>
      </w:r>
      <w:r>
        <w:rPr>
          <w:rFonts w:ascii="Simplified Arabic" w:hAnsi="Simplified Arabic" w:cs="Simplified Arabic" w:hint="cs"/>
          <w:sz w:val="26"/>
          <w:szCs w:val="26"/>
          <w:rtl/>
        </w:rPr>
        <w:t>ره ولكن ليس قريبًا" (سفر العدد 24: 17). وبالاعتماد على السياق السابق، قد يكون الحديث هنا عن الملك الذي ذُكِر للتوّ، أي الملك المرتبط بنبوّة تكوين 49: 9-10. وبعد ذلك يقول بلعام: "يبرز كوكب من يعقوب، ويقوم قضيبٌ من إسرائيل." في ضوء الكلمة "قضيب"، يُفهَم أن الكلمة "كوكب" إشارة مجازيّة إلى هذا الملك المستقبلي</w:t>
      </w:r>
      <w:r w:rsidR="00684E95">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أي المسيا يسوع (قارن مع رؤيا 22: </w:t>
      </w:r>
      <w:r w:rsidR="00536BAB">
        <w:rPr>
          <w:rFonts w:ascii="Simplified Arabic" w:hAnsi="Simplified Arabic" w:cs="Simplified Arabic" w:hint="cs"/>
          <w:sz w:val="26"/>
          <w:szCs w:val="26"/>
          <w:rtl/>
        </w:rPr>
        <w:t xml:space="preserve">16). وتُنبئ بقيّة الآيتين 17 و18 بانتصاره النهائي على أعداء الله. وبعد ذلك، يختم سفر العدد 24: 10 بالقول: "ويتسلّط الذي من </w:t>
      </w:r>
      <w:r w:rsidR="00536BAB">
        <w:rPr>
          <w:rFonts w:ascii="Simplified Arabic" w:hAnsi="Simplified Arabic" w:cs="Simplified Arabic" w:hint="cs"/>
          <w:sz w:val="26"/>
          <w:szCs w:val="26"/>
          <w:rtl/>
        </w:rPr>
        <w:lastRenderedPageBreak/>
        <w:t>يعقوب." هذا هو "الكوكب،" الملك، المذكور في الآية 17. سيكتمل نظام الله المخلوق في الرب يسوع حين سيأتي ليهزم أعداءه في مجيئه الثاني.</w:t>
      </w:r>
      <w:r w:rsidR="00536BAB">
        <w:rPr>
          <w:rStyle w:val="FootnoteReference"/>
          <w:rFonts w:ascii="Simplified Arabic" w:hAnsi="Simplified Arabic" w:cs="Simplified Arabic"/>
          <w:sz w:val="26"/>
          <w:szCs w:val="26"/>
          <w:rtl/>
        </w:rPr>
        <w:footnoteReference w:id="217"/>
      </w:r>
    </w:p>
    <w:p w14:paraId="3C3416E3" w14:textId="77777777" w:rsidR="005D6C28" w:rsidRPr="005D6C28" w:rsidRDefault="005D6C28" w:rsidP="005D6C28">
      <w:pPr>
        <w:bidi/>
        <w:spacing w:line="240" w:lineRule="auto"/>
        <w:rPr>
          <w:rFonts w:ascii="Simplified Arabic" w:hAnsi="Simplified Arabic" w:cs="Simplified Arabic"/>
          <w:sz w:val="26"/>
          <w:szCs w:val="26"/>
          <w:rtl/>
        </w:rPr>
      </w:pPr>
    </w:p>
    <w:p w14:paraId="77D14A0C" w14:textId="77AC5709" w:rsidR="002907D3" w:rsidRPr="00536BAB" w:rsidRDefault="00536BAB" w:rsidP="00536BAB">
      <w:pPr>
        <w:pStyle w:val="Heading4RED"/>
        <w:bidi/>
        <w:rPr>
          <w:rFonts w:ascii="Simplified Arabic" w:hAnsi="Simplified Arabic" w:cs="Simplified Arabic"/>
        </w:rPr>
      </w:pPr>
      <w:r w:rsidRPr="00536BAB">
        <w:rPr>
          <w:rFonts w:ascii="Simplified Arabic" w:hAnsi="Simplified Arabic" w:cs="Simplified Arabic"/>
          <w:rtl/>
        </w:rPr>
        <w:t>ثامنًا، نبيّ</w:t>
      </w:r>
      <w:r w:rsidR="001F3314">
        <w:rPr>
          <w:rFonts w:ascii="Simplified Arabic" w:hAnsi="Simplified Arabic" w:cs="Simplified Arabic" w:hint="cs"/>
          <w:rtl/>
        </w:rPr>
        <w:t>ٌ</w:t>
      </w:r>
      <w:r w:rsidRPr="00536BAB">
        <w:rPr>
          <w:rFonts w:ascii="Simplified Arabic" w:hAnsi="Simplified Arabic" w:cs="Simplified Arabic"/>
          <w:rtl/>
        </w:rPr>
        <w:t xml:space="preserve"> يشبه موسى (تثنية 18: 15-19)</w:t>
      </w:r>
    </w:p>
    <w:p w14:paraId="1F317BEF" w14:textId="06185724" w:rsidR="005246D5" w:rsidRDefault="00CB3027" w:rsidP="005246D5">
      <w:pPr>
        <w:bidi/>
        <w:spacing w:line="240" w:lineRule="auto"/>
        <w:rPr>
          <w:rFonts w:ascii="Simplified Arabic" w:hAnsi="Simplified Arabic" w:cs="Simplified Arabic"/>
          <w:sz w:val="26"/>
          <w:szCs w:val="26"/>
          <w:rtl/>
        </w:rPr>
      </w:pPr>
      <w:r>
        <w:br/>
      </w:r>
      <w:r w:rsidR="005246D5">
        <w:rPr>
          <w:rFonts w:ascii="Simplified Arabic" w:hAnsi="Simplified Arabic" w:cs="Simplified Arabic" w:hint="cs"/>
          <w:sz w:val="26"/>
          <w:szCs w:val="26"/>
          <w:rtl/>
        </w:rPr>
        <w:t>من بين كل</w:t>
      </w:r>
      <w:r w:rsidR="0016537C">
        <w:rPr>
          <w:rFonts w:ascii="Simplified Arabic" w:hAnsi="Simplified Arabic" w:cs="Simplified Arabic" w:hint="cs"/>
          <w:sz w:val="26"/>
          <w:szCs w:val="26"/>
          <w:rtl/>
        </w:rPr>
        <w:t>ّ</w:t>
      </w:r>
      <w:r w:rsidR="005246D5">
        <w:rPr>
          <w:rFonts w:ascii="Simplified Arabic" w:hAnsi="Simplified Arabic" w:cs="Simplified Arabic" w:hint="cs"/>
          <w:sz w:val="26"/>
          <w:szCs w:val="26"/>
          <w:rtl/>
        </w:rPr>
        <w:t xml:space="preserve"> شخصي</w:t>
      </w:r>
      <w:r w:rsidR="0016537C">
        <w:rPr>
          <w:rFonts w:ascii="Simplified Arabic" w:hAnsi="Simplified Arabic" w:cs="Simplified Arabic" w:hint="cs"/>
          <w:sz w:val="26"/>
          <w:szCs w:val="26"/>
          <w:rtl/>
        </w:rPr>
        <w:t>ّ</w:t>
      </w:r>
      <w:r w:rsidR="005246D5">
        <w:rPr>
          <w:rFonts w:ascii="Simplified Arabic" w:hAnsi="Simplified Arabic" w:cs="Simplified Arabic" w:hint="cs"/>
          <w:sz w:val="26"/>
          <w:szCs w:val="26"/>
          <w:rtl/>
        </w:rPr>
        <w:t>ات العهد القديم، رب</w:t>
      </w:r>
      <w:r w:rsidR="0016537C">
        <w:rPr>
          <w:rFonts w:ascii="Simplified Arabic" w:hAnsi="Simplified Arabic" w:cs="Simplified Arabic" w:hint="cs"/>
          <w:sz w:val="26"/>
          <w:szCs w:val="26"/>
          <w:rtl/>
        </w:rPr>
        <w:t>ّ</w:t>
      </w:r>
      <w:r w:rsidR="005246D5">
        <w:rPr>
          <w:rFonts w:ascii="Simplified Arabic" w:hAnsi="Simplified Arabic" w:cs="Simplified Arabic" w:hint="cs"/>
          <w:sz w:val="26"/>
          <w:szCs w:val="26"/>
          <w:rtl/>
        </w:rPr>
        <w:t xml:space="preserve">ما يكون موسى أبرزهم. فهو موسى الذي أقامه الله ليقود العبرانيّين في الخروج من مصر، وموسى هو مَن به أعطى الله الناموس للشعب. لا شكّ أنّه كان الناطق الرئيسي بإعلان الله قبل مجيء الرب يسوع. وفيما كان وقته </w:t>
      </w:r>
      <w:r w:rsidR="0016537C">
        <w:rPr>
          <w:rFonts w:ascii="Simplified Arabic" w:hAnsi="Simplified Arabic" w:cs="Simplified Arabic" w:hint="cs"/>
          <w:sz w:val="26"/>
          <w:szCs w:val="26"/>
          <w:rtl/>
        </w:rPr>
        <w:t>لترك الحياة</w:t>
      </w:r>
      <w:r w:rsidR="005246D5">
        <w:rPr>
          <w:rFonts w:ascii="Simplified Arabic" w:hAnsi="Simplified Arabic" w:cs="Simplified Arabic" w:hint="cs"/>
          <w:sz w:val="26"/>
          <w:szCs w:val="26"/>
          <w:rtl/>
        </w:rPr>
        <w:t xml:space="preserve"> يقترب، أعلن أن</w:t>
      </w:r>
      <w:r w:rsidR="0016537C">
        <w:rPr>
          <w:rFonts w:ascii="Simplified Arabic" w:hAnsi="Simplified Arabic" w:cs="Simplified Arabic" w:hint="cs"/>
          <w:sz w:val="26"/>
          <w:szCs w:val="26"/>
          <w:rtl/>
        </w:rPr>
        <w:t>ّ</w:t>
      </w:r>
      <w:r w:rsidR="005246D5">
        <w:rPr>
          <w:rFonts w:ascii="Simplified Arabic" w:hAnsi="Simplified Arabic" w:cs="Simplified Arabic" w:hint="cs"/>
          <w:sz w:val="26"/>
          <w:szCs w:val="26"/>
          <w:rtl/>
        </w:rPr>
        <w:t xml:space="preserve"> الرب سيقيم نبيًّا آخر ليكون لسان الله في المستقبل (تثنية 18: 15-19): </w:t>
      </w:r>
    </w:p>
    <w:p w14:paraId="42D7BCB0" w14:textId="6405C49A" w:rsidR="005246D5" w:rsidRPr="005246D5" w:rsidRDefault="005246D5" w:rsidP="005246D5">
      <w:pPr>
        <w:bidi/>
        <w:spacing w:line="240" w:lineRule="auto"/>
        <w:ind w:left="1008" w:right="1008"/>
        <w:rPr>
          <w:rFonts w:ascii="Simplified Arabic" w:hAnsi="Simplified Arabic" w:cs="Simplified Arabic"/>
          <w:sz w:val="26"/>
          <w:szCs w:val="26"/>
          <w:rtl/>
        </w:rPr>
      </w:pPr>
      <w:r w:rsidRPr="00F52E9D">
        <w:rPr>
          <w:rFonts w:ascii="Simplified Arabic" w:hAnsi="Simplified Arabic" w:cs="Simplified Arabic"/>
          <w:sz w:val="26"/>
          <w:szCs w:val="26"/>
          <w:vertAlign w:val="superscript"/>
          <w:rtl/>
        </w:rPr>
        <w:t>15</w:t>
      </w:r>
      <w:r w:rsidRPr="00F52E9D">
        <w:rPr>
          <w:rFonts w:ascii="Simplified Arabic" w:hAnsi="Simplified Arabic" w:cs="Simplified Arabic"/>
          <w:sz w:val="26"/>
          <w:szCs w:val="26"/>
          <w:rtl/>
        </w:rPr>
        <w:t xml:space="preserve">يُقِيمُ لَكَ الرَّبُّ إِلهُكَ نَبِيًّا مِنْ وَسَطِكَ مِنْ إِخْوَتِكَ مِثْلِي. لَهُ تَسْمَعُونَ. </w:t>
      </w:r>
      <w:r w:rsidRPr="00F52E9D">
        <w:rPr>
          <w:rFonts w:ascii="Simplified Arabic" w:hAnsi="Simplified Arabic" w:cs="Simplified Arabic"/>
          <w:sz w:val="26"/>
          <w:szCs w:val="26"/>
          <w:vertAlign w:val="superscript"/>
          <w:rtl/>
        </w:rPr>
        <w:t>16</w:t>
      </w:r>
      <w:r w:rsidRPr="00F52E9D">
        <w:rPr>
          <w:rFonts w:ascii="Simplified Arabic" w:hAnsi="Simplified Arabic" w:cs="Simplified Arabic"/>
          <w:sz w:val="26"/>
          <w:szCs w:val="26"/>
          <w:rtl/>
        </w:rPr>
        <w:t xml:space="preserve">حَسَبَ كُلِّ مَا طَلَبْتَ مِنَ الرَّبِّ إِلهِكَ فِي حُورِيبَ يَوْمَ الاجْتِمَاعِ قَائِلاً: لاَ أَعُودُ أَسْمَعُ صَوْتَ الرَّبِّ إِلهِي وَلاَ أَرَى هذِهِ النَّارَ الْعَظِيمَةَ أَيْضًا لِئَلاَّ أَمُوتَ. </w:t>
      </w:r>
      <w:r w:rsidRPr="00F52E9D">
        <w:rPr>
          <w:rFonts w:ascii="Simplified Arabic" w:hAnsi="Simplified Arabic" w:cs="Simplified Arabic"/>
          <w:sz w:val="26"/>
          <w:szCs w:val="26"/>
          <w:vertAlign w:val="superscript"/>
          <w:rtl/>
        </w:rPr>
        <w:t>17</w:t>
      </w:r>
      <w:r w:rsidRPr="00F52E9D">
        <w:rPr>
          <w:rFonts w:ascii="Simplified Arabic" w:hAnsi="Simplified Arabic" w:cs="Simplified Arabic"/>
          <w:sz w:val="26"/>
          <w:szCs w:val="26"/>
          <w:rtl/>
        </w:rPr>
        <w:t xml:space="preserve">قَالَ لِيَ الرَّبُّ: قَدْ أَحْسَنُوا فِي مَا تَكَلَّمُوا. </w:t>
      </w:r>
      <w:r w:rsidRPr="00F52E9D">
        <w:rPr>
          <w:rFonts w:ascii="Simplified Arabic" w:hAnsi="Simplified Arabic" w:cs="Simplified Arabic"/>
          <w:sz w:val="26"/>
          <w:szCs w:val="26"/>
          <w:vertAlign w:val="superscript"/>
          <w:rtl/>
        </w:rPr>
        <w:t>18</w:t>
      </w:r>
      <w:r w:rsidRPr="00F52E9D">
        <w:rPr>
          <w:rFonts w:ascii="Simplified Arabic" w:hAnsi="Simplified Arabic" w:cs="Simplified Arabic"/>
          <w:sz w:val="26"/>
          <w:szCs w:val="26"/>
          <w:rtl/>
        </w:rPr>
        <w:t xml:space="preserve">أُقِيمُ لَهُمْ نَبِيًّا مِنْ وَسَطِ إِخْوَتِهِمْ مِثْلَكَ، وَأَجْعَلُ كَلاَمِي فِي فَمِهِ، فَيُكَلِّمُهُمْ بِكُلِّ مَا أُوصِيهِ بِهِ. </w:t>
      </w:r>
      <w:r w:rsidRPr="00F52E9D">
        <w:rPr>
          <w:rFonts w:ascii="Simplified Arabic" w:hAnsi="Simplified Arabic" w:cs="Simplified Arabic"/>
          <w:sz w:val="26"/>
          <w:szCs w:val="26"/>
          <w:vertAlign w:val="superscript"/>
          <w:rtl/>
        </w:rPr>
        <w:t>19</w:t>
      </w:r>
      <w:r w:rsidRPr="00F52E9D">
        <w:rPr>
          <w:rFonts w:ascii="Simplified Arabic" w:hAnsi="Simplified Arabic" w:cs="Simplified Arabic"/>
          <w:sz w:val="26"/>
          <w:szCs w:val="26"/>
          <w:rtl/>
        </w:rPr>
        <w:t>وَيَكُونُ أَنَّ الإِنْسَانَ الَّذِي لاَ يَسْمَعُ لِكَلاَمِي الَّذِي يَتَكَلَّمُ بِهِ بِاسْمِي أَنَا أُطَالِبُهُ.</w:t>
      </w:r>
    </w:p>
    <w:p w14:paraId="79BC855B" w14:textId="5AD111FB" w:rsidR="005246D5" w:rsidRDefault="005246D5" w:rsidP="005246D5">
      <w:pPr>
        <w:bidi/>
        <w:spacing w:line="240" w:lineRule="auto"/>
        <w:rPr>
          <w:rFonts w:ascii="Simplified Arabic" w:hAnsi="Simplified Arabic" w:cs="Simplified Arabic"/>
          <w:sz w:val="26"/>
          <w:szCs w:val="26"/>
          <w:rtl/>
        </w:rPr>
      </w:pPr>
    </w:p>
    <w:p w14:paraId="243DF48D" w14:textId="096372ED" w:rsidR="008954D0" w:rsidRDefault="005246D5" w:rsidP="008954D0">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 xml:space="preserve">حين كان العبرانيّون عند جبل سيناء ويتلقّون الناموس، خافوا خوفًا عظيمًا بسبب ما سمعوه ورأوه: البرق والرعد والنار والصوت المرتفع (خروج 20: 18-19؛ تثنية 5: 23-27). </w:t>
      </w:r>
      <w:r w:rsidR="008954D0">
        <w:rPr>
          <w:rFonts w:ascii="Simplified Arabic" w:hAnsi="Simplified Arabic" w:cs="Simplified Arabic" w:hint="cs"/>
          <w:sz w:val="26"/>
          <w:szCs w:val="26"/>
          <w:rtl/>
        </w:rPr>
        <w:t xml:space="preserve">توسّلوا إلى موسى بألا يسمعوا الله يكلِّمهم </w:t>
      </w:r>
      <w:r w:rsidR="0016537C">
        <w:rPr>
          <w:rFonts w:ascii="Simplified Arabic" w:hAnsi="Simplified Arabic" w:cs="Simplified Arabic" w:hint="cs"/>
          <w:sz w:val="26"/>
          <w:szCs w:val="26"/>
          <w:rtl/>
        </w:rPr>
        <w:t>بصورة مباشرة</w:t>
      </w:r>
      <w:r w:rsidR="008954D0">
        <w:rPr>
          <w:rFonts w:ascii="Simplified Arabic" w:hAnsi="Simplified Arabic" w:cs="Simplified Arabic" w:hint="cs"/>
          <w:sz w:val="26"/>
          <w:szCs w:val="26"/>
          <w:rtl/>
        </w:rPr>
        <w:t>. فقد أرادوا أن يكلِّم الله موسى، ومن ثمّ ينقل موسى إليهم رسالة الله. وقد وهبهم الله ما تمنّوه، ولكنّه وعد بأنّه سيقيم في المستقبل نبيًّا من وسط الشعب اليهودي سيكون "مثل موسى،" أي سيُعلِن إرادة الله. سيتكلَّم هذا النبي المستقبلي بكلّ ما يأمره الله به. وعلاوةً على هذا، فقد وعد الله بأن يحاس</w:t>
      </w:r>
      <w:r w:rsidR="0016537C">
        <w:rPr>
          <w:rFonts w:ascii="Simplified Arabic" w:hAnsi="Simplified Arabic" w:cs="Simplified Arabic" w:hint="cs"/>
          <w:sz w:val="26"/>
          <w:szCs w:val="26"/>
          <w:rtl/>
        </w:rPr>
        <w:t>ِ</w:t>
      </w:r>
      <w:r w:rsidR="008954D0">
        <w:rPr>
          <w:rFonts w:ascii="Simplified Arabic" w:hAnsi="Simplified Arabic" w:cs="Simplified Arabic" w:hint="cs"/>
          <w:sz w:val="26"/>
          <w:szCs w:val="26"/>
          <w:rtl/>
        </w:rPr>
        <w:t xml:space="preserve">ب الشعب بشأن ما سيقوله هذا النبي المستقبلي. </w:t>
      </w:r>
    </w:p>
    <w:p w14:paraId="48878E00" w14:textId="59FFB3C7" w:rsidR="005246D5" w:rsidRDefault="008954D0" w:rsidP="008954D0">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كان يسوع في الحقيقة هو تتميم هذا الوعد. فقد كان نبيًّا بمعنى أنّه تكلَّم ممثِّلًا الله، ولكنّه كان بالطبع أعظم من كل</w:t>
      </w:r>
      <w:r w:rsidR="0016537C">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الأنبياء السابقين. وعند إطعام يسوع للخمسة آلاف، تجاوبت الجموع للمعجزة بربط يسوع بنبوة تثنية 18. يدوِّن لنا يوحنّا تجاوبهم بالطريقة التالية: "فلمّا رأى الناس الآية التي صنعها يسوع قالوا: ’إن هذا هو بالحقيقة النبيّ الآتي إلى العالم‘" (يوحنا 6: 14). وفي مناسبةٍ أخرى، حين تكلَّم يسوع في عيد المظال، يدوِّن لنا يوحنا ردّة فعل</w:t>
      </w:r>
      <w:r w:rsidR="009B5D5B">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الجموع: "فكثيرون من الجمع لما سمعوا هذا الكلام قالوا: ’هذا بالحقيقة هو النبيُّ‘" (يوحنا 7: 40). وربّما ما كان ذا مغزى </w:t>
      </w:r>
      <w:r>
        <w:rPr>
          <w:rFonts w:ascii="Simplified Arabic" w:hAnsi="Simplified Arabic" w:cs="Simplified Arabic" w:hint="cs"/>
          <w:sz w:val="26"/>
          <w:szCs w:val="26"/>
          <w:rtl/>
        </w:rPr>
        <w:lastRenderedPageBreak/>
        <w:t>أعظم هو ما حدث على جبل التجلّ</w:t>
      </w:r>
      <w:r w:rsidR="009B5D5B">
        <w:rPr>
          <w:rFonts w:ascii="Simplified Arabic" w:hAnsi="Simplified Arabic" w:cs="Simplified Arabic" w:hint="cs"/>
          <w:sz w:val="26"/>
          <w:szCs w:val="26"/>
          <w:rtl/>
        </w:rPr>
        <w:t>ِ</w:t>
      </w:r>
      <w:r>
        <w:rPr>
          <w:rFonts w:ascii="Simplified Arabic" w:hAnsi="Simplified Arabic" w:cs="Simplified Arabic" w:hint="cs"/>
          <w:sz w:val="26"/>
          <w:szCs w:val="26"/>
          <w:rtl/>
        </w:rPr>
        <w:t xml:space="preserve">ي، وهي الحادثة التي تُدوَّن في سجلّات الأناجيل المتشابهة الثلاثة (متّى 17: 1-8؛ مرقس 9: 2-8؛ لوقا 9: 28-36). حين نظر بطرس ويعقوب ويوحنا، </w:t>
      </w:r>
      <w:r w:rsidR="009F316E">
        <w:rPr>
          <w:rFonts w:ascii="Simplified Arabic" w:hAnsi="Simplified Arabic" w:cs="Simplified Arabic" w:hint="cs"/>
          <w:sz w:val="26"/>
          <w:szCs w:val="26"/>
          <w:rtl/>
        </w:rPr>
        <w:t>صدر صوتٌ من السحابة يقول: "هذا هو ابني الحبيب الذي به سُرِرت. له اسمعوا!" (متّى 17: 5). تعكس الكلمتان الأخيرتان كلمات تثنية 18: 15. فالآب هنا يؤكِّد على أنّ يسوع، ابنه الحبيب، هو مَن تكلَّم عنه موسى (قارن مع عبرانيّين 1: 1-2). ومغزى هذه الكلمات هو أنّ شعب إسرائيل م</w:t>
      </w:r>
      <w:r w:rsidR="00A84A29">
        <w:rPr>
          <w:rFonts w:ascii="Simplified Arabic" w:hAnsi="Simplified Arabic" w:cs="Simplified Arabic" w:hint="cs"/>
          <w:sz w:val="26"/>
          <w:szCs w:val="26"/>
          <w:rtl/>
        </w:rPr>
        <w:t>ُ</w:t>
      </w:r>
      <w:r w:rsidR="009F316E">
        <w:rPr>
          <w:rFonts w:ascii="Simplified Arabic" w:hAnsi="Simplified Arabic" w:cs="Simplified Arabic" w:hint="cs"/>
          <w:sz w:val="26"/>
          <w:szCs w:val="26"/>
          <w:rtl/>
        </w:rPr>
        <w:t xml:space="preserve">لزَم تجاه ما كان موسى قد "قاله" حتّى وقت مجيء يسوع (أي الناموس). والآن، بعد أن أتى يسوع صار عليهم أن يستمعوا إليه. </w:t>
      </w:r>
    </w:p>
    <w:p w14:paraId="263245D2" w14:textId="3750C1CF" w:rsidR="009F316E" w:rsidRDefault="009F316E" w:rsidP="009F316E">
      <w:pPr>
        <w:bidi/>
        <w:spacing w:line="240" w:lineRule="auto"/>
        <w:rPr>
          <w:rFonts w:ascii="Simplified Arabic" w:hAnsi="Simplified Arabic" w:cs="Simplified Arabic"/>
          <w:sz w:val="26"/>
          <w:szCs w:val="26"/>
          <w:rtl/>
          <w:lang w:bidi="ar-JO"/>
        </w:rPr>
      </w:pPr>
      <w:r>
        <w:rPr>
          <w:rFonts w:ascii="Simplified Arabic" w:hAnsi="Simplified Arabic" w:cs="Simplified Arabic" w:hint="cs"/>
          <w:sz w:val="26"/>
          <w:szCs w:val="26"/>
          <w:rtl/>
        </w:rPr>
        <w:t xml:space="preserve">وحين نأتي إلى سفر الأعمال، تصير المساواة بين "النبي الآتي" ويسوع أكثر وضوحًا. ففي عظة بطرس في أعمال 3، دعا الناس إلى التوبة، واقتبس جزءًا من تثنية 18: 15-19 ليؤكِّد على ضرورة الاستماع </w:t>
      </w:r>
      <w:r w:rsidR="00A84A29">
        <w:rPr>
          <w:rFonts w:ascii="Simplified Arabic" w:hAnsi="Simplified Arabic" w:cs="Simplified Arabic" w:hint="cs"/>
          <w:sz w:val="26"/>
          <w:szCs w:val="26"/>
          <w:rtl/>
        </w:rPr>
        <w:t xml:space="preserve">إلى </w:t>
      </w:r>
      <w:r>
        <w:rPr>
          <w:rFonts w:ascii="Simplified Arabic" w:hAnsi="Simplified Arabic" w:cs="Simplified Arabic" w:hint="cs"/>
          <w:sz w:val="26"/>
          <w:szCs w:val="26"/>
          <w:rtl/>
        </w:rPr>
        <w:t xml:space="preserve">يسوع (أعمال الرسل 3: 19-23). وقد عمل استفانوس الشهيد الأمر نفسه (أعمال 7: 37). </w:t>
      </w:r>
    </w:p>
    <w:p w14:paraId="4F387DF1" w14:textId="77777777" w:rsidR="005246D5" w:rsidRPr="005246D5" w:rsidRDefault="005246D5" w:rsidP="005246D5">
      <w:pPr>
        <w:bidi/>
        <w:spacing w:line="240" w:lineRule="auto"/>
        <w:rPr>
          <w:rFonts w:ascii="Simplified Arabic" w:hAnsi="Simplified Arabic" w:cs="Simplified Arabic"/>
          <w:sz w:val="26"/>
          <w:szCs w:val="26"/>
          <w:rtl/>
        </w:rPr>
      </w:pPr>
    </w:p>
    <w:p w14:paraId="23B85037" w14:textId="63BE5D1D" w:rsidR="002907D3" w:rsidRPr="00536BAB" w:rsidRDefault="00536BAB" w:rsidP="00536BAB">
      <w:pPr>
        <w:pStyle w:val="Heading4RED"/>
        <w:bidi/>
        <w:rPr>
          <w:rFonts w:ascii="Simplified Arabic" w:hAnsi="Simplified Arabic" w:cs="Simplified Arabic"/>
        </w:rPr>
      </w:pPr>
      <w:r w:rsidRPr="00536BAB">
        <w:rPr>
          <w:rFonts w:ascii="Simplified Arabic" w:hAnsi="Simplified Arabic" w:cs="Simplified Arabic"/>
          <w:rtl/>
        </w:rPr>
        <w:t>تاسعًا، أمانة الولي الفادي (راعوث)</w:t>
      </w:r>
    </w:p>
    <w:p w14:paraId="0032B493" w14:textId="29F0A499" w:rsidR="009F316E" w:rsidRDefault="00F0181F" w:rsidP="009F316E">
      <w:pPr>
        <w:bidi/>
        <w:spacing w:line="240" w:lineRule="auto"/>
        <w:rPr>
          <w:rFonts w:ascii="Simplified Arabic" w:hAnsi="Simplified Arabic" w:cs="Simplified Arabic"/>
          <w:sz w:val="26"/>
          <w:szCs w:val="26"/>
          <w:rtl/>
        </w:rPr>
      </w:pPr>
      <w:r>
        <w:br/>
      </w:r>
      <w:r w:rsidR="009F316E">
        <w:rPr>
          <w:rFonts w:ascii="Simplified Arabic" w:hAnsi="Simplified Arabic" w:cs="Simplified Arabic" w:hint="cs"/>
          <w:sz w:val="26"/>
          <w:szCs w:val="26"/>
          <w:rtl/>
        </w:rPr>
        <w:t xml:space="preserve">في سفر راعوث، يظهر بوعز بوصفه قريبَ أليمالك، زوج نعمي. وبوصفه قريبًا، كانت عليه مسؤولية الاهتمام بمصالح العائلة وحمايتها. وقد أخبرت نعمي راعوث أن بوعز "ولي" للعائلة، وهي ترجمة للكلمة العبرية "غُوئِيل". (انظر راعوث 2: 20؛ 3: 9، 12.) ولذا، كانت عليه مسؤوليّات مُعيّنة مثلما كانت له امتيازات. أحد امتيازات "الغوئيل" هو أنّ له الحق بأن يبيع قطعةً من أراضي أليمالك وأن ينتفع منها. ولكنْ كانت عليه أيضًا مسؤولية الزواج من راعوث، الأرملة الشابّة ضمن دائرة العائلة الكبيرة. كانت هذه عادة الزواج </w:t>
      </w:r>
      <w:r w:rsidR="00715A3A">
        <w:rPr>
          <w:rFonts w:ascii="Simplified Arabic" w:hAnsi="Simplified Arabic" w:cs="Simplified Arabic" w:hint="cs"/>
          <w:sz w:val="26"/>
          <w:szCs w:val="26"/>
          <w:rtl/>
        </w:rPr>
        <w:t xml:space="preserve">من أرملة الأخ أو القريب (تثنية 25: 5-6). </w:t>
      </w:r>
    </w:p>
    <w:p w14:paraId="76901482" w14:textId="07894666" w:rsidR="00715A3A" w:rsidRDefault="00715A3A" w:rsidP="00715A3A">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ومع استمرار أحداث القصّة، يظهر أنّه كان هناك قريبٌ آخر في العائلة أكثر قُربًا من بوعز (راعوث 3: 12). ولذا، كان لهذا الرجل حقّ "افتداء" الأرض وامتلاكها بشرط أن يتزوّج من راعوث. ربما كان الزواج من راعوث، ذات الأصل الموآبي، أمرًا ثقيلًا عليه، ولذا تخلّى عن فرصة إتمام دوره بوصفه "الولي الفادي" (راعوث 4: 3-8). ولذا، صار بوعز حرًّا بأن يكون "الولي</w:t>
      </w:r>
      <w:r w:rsidR="005B0B5A">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الفادي" لراعوث، وقد عمل هذا راغبًا. </w:t>
      </w:r>
    </w:p>
    <w:p w14:paraId="39B1C92E" w14:textId="78428902" w:rsidR="00715A3A" w:rsidRDefault="00715A3A" w:rsidP="00715A3A">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وقرب نهاية القصة، قالت نساء البلدة لنعمي: "مباركٌ الربّ الذي لم يعدمك وليًّا اليوم لكي يُدعى اسمُه في إسرائيل" (راعوث 4: 14). كانت هذه إشارة إلى عوبيد، الطفل الذي وُلِد لبوعز وراعوث. فسيكون عوبيد "الولي</w:t>
      </w:r>
      <w:r w:rsidR="005B0B5A">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الفادي" للجيل التالي. وينتهي السفر بسلسلة نسب تربط عوبيد بالملك داود، جدّ الرب يسوع. ولذا، ستكون النتيجة في الوقت المناسب أنّ يسوع سيأتي ليكون الولي</w:t>
      </w:r>
      <w:r w:rsidR="005B0B5A">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الفادي، الذي سيضع حياته راغبًا لأجل "الخراف"، مفتديًا إياها بدمه. </w:t>
      </w:r>
    </w:p>
    <w:p w14:paraId="26046365" w14:textId="77777777" w:rsidR="00715A3A" w:rsidRPr="009F316E" w:rsidRDefault="00715A3A" w:rsidP="00715A3A">
      <w:pPr>
        <w:bidi/>
        <w:spacing w:line="240" w:lineRule="auto"/>
        <w:rPr>
          <w:rFonts w:ascii="Simplified Arabic" w:hAnsi="Simplified Arabic" w:cs="Simplified Arabic"/>
          <w:sz w:val="26"/>
          <w:szCs w:val="26"/>
          <w:rtl/>
        </w:rPr>
      </w:pPr>
    </w:p>
    <w:p w14:paraId="57F0098E" w14:textId="309436A6" w:rsidR="000871F4" w:rsidRPr="00536BAB" w:rsidRDefault="00536BAB" w:rsidP="00536BAB">
      <w:pPr>
        <w:pStyle w:val="Heading4RED"/>
        <w:bidi/>
        <w:rPr>
          <w:rFonts w:ascii="Simplified Arabic" w:hAnsi="Simplified Arabic" w:cs="Simplified Arabic"/>
        </w:rPr>
      </w:pPr>
      <w:r w:rsidRPr="00536BAB">
        <w:rPr>
          <w:rFonts w:ascii="Simplified Arabic" w:hAnsi="Simplified Arabic" w:cs="Simplified Arabic"/>
          <w:rtl/>
        </w:rPr>
        <w:lastRenderedPageBreak/>
        <w:t>الخاتمة</w:t>
      </w:r>
    </w:p>
    <w:p w14:paraId="4BD616FC" w14:textId="77777777" w:rsidR="00715A3A" w:rsidRDefault="00715A3A" w:rsidP="00715A3A">
      <w:pPr>
        <w:bidi/>
        <w:spacing w:line="240" w:lineRule="auto"/>
        <w:rPr>
          <w:rtl/>
        </w:rPr>
      </w:pPr>
    </w:p>
    <w:bookmarkEnd w:id="167"/>
    <w:bookmarkEnd w:id="168"/>
    <w:p w14:paraId="3BA00D32" w14:textId="43F318BE" w:rsidR="008B149F" w:rsidRPr="00715A3A" w:rsidRDefault="00715A3A" w:rsidP="00715A3A">
      <w:pPr>
        <w:bidi/>
        <w:spacing w:line="240" w:lineRule="auto"/>
        <w:rPr>
          <w:rFonts w:ascii="Simplified Arabic" w:hAnsi="Simplified Arabic" w:cs="Simplified Arabic"/>
          <w:sz w:val="26"/>
          <w:szCs w:val="26"/>
        </w:rPr>
      </w:pPr>
      <w:r>
        <w:rPr>
          <w:rFonts w:ascii="Simplified Arabic" w:hAnsi="Simplified Arabic" w:cs="Simplified Arabic" w:hint="cs"/>
          <w:sz w:val="26"/>
          <w:szCs w:val="26"/>
          <w:rtl/>
        </w:rPr>
        <w:t xml:space="preserve">هناك نبوّات عديدة ورموزًا ونماذج في أسفار التكوين </w:t>
      </w:r>
      <w:r>
        <w:rPr>
          <w:rFonts w:ascii="Simplified Arabic" w:hAnsi="Simplified Arabic" w:cs="Simplified Arabic"/>
          <w:sz w:val="26"/>
          <w:szCs w:val="26"/>
          <w:rtl/>
        </w:rPr>
        <w:t>–</w:t>
      </w:r>
      <w:r>
        <w:rPr>
          <w:rFonts w:ascii="Simplified Arabic" w:hAnsi="Simplified Arabic" w:cs="Simplified Arabic" w:hint="cs"/>
          <w:sz w:val="26"/>
          <w:szCs w:val="26"/>
          <w:rtl/>
        </w:rPr>
        <w:t xml:space="preserve"> راعوث تُنبئ بالرب يسوع المسيح الآتي. فهو "نسل المرأة" الذي سيهزم في النهاية الشيطان</w:t>
      </w:r>
      <w:r w:rsidR="00881AA8">
        <w:rPr>
          <w:rFonts w:ascii="Simplified Arabic" w:hAnsi="Simplified Arabic" w:cs="Simplified Arabic" w:hint="cs"/>
          <w:sz w:val="26"/>
          <w:szCs w:val="26"/>
          <w:rtl/>
        </w:rPr>
        <w:t>َ</w:t>
      </w:r>
      <w:r>
        <w:rPr>
          <w:rFonts w:ascii="Simplified Arabic" w:hAnsi="Simplified Arabic" w:cs="Simplified Arabic" w:hint="cs"/>
          <w:sz w:val="26"/>
          <w:szCs w:val="26"/>
          <w:rtl/>
        </w:rPr>
        <w:t xml:space="preserve"> والمتحالفين معه. وتساعدنا خيمة الاجتماع ونظام الذبائح في فهم كيف يفي موته الذبيحي بمطالب الله القدوس البارة والعادلة منّا. وفي النهاية، ستتبارك كلّ شعوب الأرض بـ"نسل إبراهيم،" لأنّه مكَّننا من أن نتصالح مع الله حين صار فادينا ووليّنا! </w:t>
      </w:r>
    </w:p>
    <w:p w14:paraId="2BBAFD1B" w14:textId="77777777" w:rsidR="005B0B5A" w:rsidRDefault="005B0B5A">
      <w:pPr>
        <w:rPr>
          <w:rFonts w:ascii="Verdana" w:hAnsi="Verdana" w:cs="Times New Roman"/>
          <w:b/>
          <w:bCs/>
          <w:kern w:val="0"/>
          <w:sz w:val="40"/>
          <w:szCs w:val="40"/>
          <w:rtl/>
        </w:rPr>
      </w:pPr>
      <w:bookmarkStart w:id="169" w:name="_Hlk178779499"/>
      <w:r>
        <w:rPr>
          <w:rtl/>
        </w:rPr>
        <w:br w:type="page"/>
      </w:r>
    </w:p>
    <w:p w14:paraId="38F9390B" w14:textId="2B8F18E6" w:rsidR="003D46FC" w:rsidRDefault="00715A3A" w:rsidP="00715A3A">
      <w:pPr>
        <w:pStyle w:val="Heading2"/>
        <w:bidi/>
        <w:rPr>
          <w:rtl/>
        </w:rPr>
      </w:pPr>
      <w:r>
        <w:rPr>
          <w:rFonts w:hint="cs"/>
          <w:rtl/>
        </w:rPr>
        <w:lastRenderedPageBreak/>
        <w:t>المُلحَق 1: تطوُّر</w:t>
      </w:r>
      <w:r w:rsidR="003D46FC">
        <w:rPr>
          <w:rFonts w:hint="cs"/>
          <w:rtl/>
        </w:rPr>
        <w:t>ات</w:t>
      </w:r>
      <w:r>
        <w:rPr>
          <w:rFonts w:hint="cs"/>
          <w:rtl/>
        </w:rPr>
        <w:t xml:space="preserve"> </w:t>
      </w:r>
      <w:r w:rsidR="003D46FC">
        <w:rPr>
          <w:rFonts w:hint="cs"/>
          <w:rtl/>
        </w:rPr>
        <w:t>مهمة مرتبطة بالآباء</w:t>
      </w:r>
    </w:p>
    <w:p w14:paraId="1A0AB830" w14:textId="69A3817E" w:rsidR="006311FA" w:rsidRDefault="003D46FC" w:rsidP="003D46FC">
      <w:pPr>
        <w:pStyle w:val="Heading2"/>
        <w:bidi/>
      </w:pPr>
      <w:r>
        <w:rPr>
          <w:rFonts w:hint="cs"/>
          <w:rtl/>
        </w:rPr>
        <w:t xml:space="preserve">في تاريخ الشرق الأدنى القديم </w:t>
      </w:r>
    </w:p>
    <w:bookmarkEnd w:id="169"/>
    <w:p w14:paraId="7F364AB7" w14:textId="77777777" w:rsidR="00263246" w:rsidRPr="00263246" w:rsidRDefault="00263246"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263246">
        <w:rPr>
          <w:rFonts w:eastAsia="Times New Roman" w:cs="DecoType Naskh" w:hint="cs"/>
          <w:bCs/>
          <w:color w:val="auto"/>
          <w:kern w:val="0"/>
          <w:szCs w:val="28"/>
          <w:rtl/>
          <w:lang w:bidi="ar-JO"/>
          <w14:ligatures w14:val="none"/>
        </w:rPr>
        <w:t>مقدمة</w:t>
      </w:r>
    </w:p>
    <w:p w14:paraId="60DD3E7F"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تهدف المعلومات التالية إلى تقديم خلفية لدعوة الله لإبراهيم في ضوء الشرق الأدنى القديم في عصره.  وقد عاش إبراهيم من حوالي 2166-1991ق م.</w:t>
      </w:r>
      <w:r w:rsidRPr="00263246">
        <w:rPr>
          <w:rFonts w:eastAsia="Times New Roman" w:cs="DecoType Naskh"/>
          <w:color w:val="auto"/>
          <w:kern w:val="0"/>
          <w:szCs w:val="26"/>
          <w:vertAlign w:val="superscript"/>
          <w:rtl/>
          <w:lang w:bidi="ar-JO"/>
          <w14:ligatures w14:val="none"/>
        </w:rPr>
        <w:footnoteReference w:id="218"/>
      </w:r>
      <w:r w:rsidRPr="00263246">
        <w:rPr>
          <w:rFonts w:eastAsia="Times New Roman" w:cs="DecoType Naskh" w:hint="cs"/>
          <w:color w:val="auto"/>
          <w:kern w:val="0"/>
          <w:szCs w:val="26"/>
          <w:rtl/>
          <w:lang w:bidi="ar-JO"/>
          <w14:ligatures w14:val="none"/>
        </w:rPr>
        <w:t xml:space="preserve"> التالي هو دراسة مسحية للتطورات الرئيسية والمناخ الديني المرتبط بحياته.</w:t>
      </w:r>
    </w:p>
    <w:p w14:paraId="22B37D42"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AD90EC3"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4183B1C"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right="1021"/>
        <w:jc w:val="both"/>
        <w:rPr>
          <w:rFonts w:eastAsia="Times New Roman" w:cs="DecoType Naskh"/>
          <w:color w:val="auto"/>
          <w:kern w:val="0"/>
          <w:szCs w:val="26"/>
          <w:rtl/>
          <w14:ligatures w14:val="none"/>
        </w:rPr>
      </w:pPr>
      <w:r w:rsidRPr="00263246">
        <w:rPr>
          <w:rFonts w:eastAsia="Times New Roman" w:cs="DecoType Naskh" w:hint="cs"/>
          <w:color w:val="auto"/>
          <w:kern w:val="0"/>
          <w:szCs w:val="26"/>
          <w:rtl/>
          <w:lang w:bidi="ar-JO"/>
          <w14:ligatures w14:val="none"/>
        </w:rPr>
        <w:t>الهلال الخصيب</w:t>
      </w:r>
    </w:p>
    <w:p w14:paraId="40A08D12" w14:textId="77777777" w:rsidR="00263246" w:rsidRPr="00263246" w:rsidRDefault="00263246" w:rsidP="002D6C54">
      <w:pPr>
        <w:bidi/>
        <w:spacing w:after="0" w:line="240" w:lineRule="auto"/>
        <w:jc w:val="center"/>
        <w:rPr>
          <w:rFonts w:eastAsia="Times New Roman" w:cs="DecoType Naskh"/>
          <w:color w:val="auto"/>
          <w:kern w:val="0"/>
          <w:szCs w:val="18"/>
          <w:rtl/>
          <w14:ligatures w14:val="none"/>
        </w:rPr>
      </w:pPr>
      <w:r w:rsidRPr="00263246">
        <w:rPr>
          <w:rFonts w:eastAsia="Times New Roman" w:cs="DecoType Naskh"/>
          <w:noProof/>
          <w:color w:val="auto"/>
          <w:kern w:val="0"/>
          <w:szCs w:val="18"/>
          <w:lang w:bidi="he-IL"/>
          <w14:ligatures w14:val="none"/>
        </w:rPr>
        <w:drawing>
          <wp:inline distT="0" distB="0" distL="0" distR="0" wp14:anchorId="529F61F3" wp14:editId="477D9532">
            <wp:extent cx="5025390" cy="3212465"/>
            <wp:effectExtent l="0" t="0" r="3810" b="6985"/>
            <wp:docPr id="1" name="Picture 1" descr="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25390" cy="3212465"/>
                    </a:xfrm>
                    <a:prstGeom prst="rect">
                      <a:avLst/>
                    </a:prstGeom>
                    <a:noFill/>
                    <a:ln>
                      <a:noFill/>
                    </a:ln>
                  </pic:spPr>
                </pic:pic>
              </a:graphicData>
            </a:graphic>
          </wp:inline>
        </w:drawing>
      </w:r>
    </w:p>
    <w:p w14:paraId="6A50B498" w14:textId="77777777" w:rsidR="00263246" w:rsidRPr="00263246" w:rsidRDefault="00263246" w:rsidP="002D6C54">
      <w:pPr>
        <w:bidi/>
        <w:spacing w:after="0" w:line="240" w:lineRule="auto"/>
        <w:rPr>
          <w:rFonts w:eastAsia="Times New Roman" w:cs="DecoType Naskh"/>
          <w:color w:val="auto"/>
          <w:kern w:val="0"/>
          <w:szCs w:val="18"/>
          <w:rtl/>
          <w:lang w:bidi="ar-KW"/>
          <w14:ligatures w14:val="none"/>
        </w:rPr>
      </w:pPr>
    </w:p>
    <w:p w14:paraId="352D08E1" w14:textId="77777777" w:rsidR="00263246" w:rsidRPr="00263246" w:rsidRDefault="00263246" w:rsidP="002D6C54">
      <w:pPr>
        <w:bidi/>
        <w:spacing w:after="0" w:line="240" w:lineRule="auto"/>
        <w:rPr>
          <w:rFonts w:eastAsia="Times New Roman" w:cs="DecoType Naskh"/>
          <w:color w:val="auto"/>
          <w:kern w:val="0"/>
          <w:szCs w:val="18"/>
          <w:rtl/>
          <w14:ligatures w14:val="none"/>
        </w:rPr>
      </w:pPr>
    </w:p>
    <w:p w14:paraId="1BBA7B87" w14:textId="77777777" w:rsidR="00263246" w:rsidRPr="00263246" w:rsidRDefault="00263246" w:rsidP="002D6C54">
      <w:pPr>
        <w:bidi/>
        <w:spacing w:after="0" w:line="240" w:lineRule="auto"/>
        <w:rPr>
          <w:rFonts w:eastAsia="Times New Roman" w:cs="DecoType Naskh"/>
          <w:color w:val="auto"/>
          <w:kern w:val="0"/>
          <w:szCs w:val="18"/>
          <w:rtl/>
          <w14:ligatures w14:val="none"/>
        </w:rPr>
      </w:pPr>
    </w:p>
    <w:p w14:paraId="5C21B113" w14:textId="77777777" w:rsidR="00263246" w:rsidRPr="00263246" w:rsidRDefault="00263246"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263246">
        <w:rPr>
          <w:rFonts w:eastAsia="Times New Roman" w:cs="DecoType Naskh" w:hint="cs"/>
          <w:bCs/>
          <w:color w:val="auto"/>
          <w:kern w:val="0"/>
          <w:szCs w:val="28"/>
          <w:rtl/>
          <w:lang w:bidi="ar-JO"/>
          <w14:ligatures w14:val="none"/>
        </w:rPr>
        <w:t>1.</w:t>
      </w:r>
      <w:r w:rsidRPr="00263246">
        <w:rPr>
          <w:rFonts w:eastAsia="Times New Roman" w:cs="DecoType Naskh" w:hint="cs"/>
          <w:bCs/>
          <w:color w:val="auto"/>
          <w:kern w:val="0"/>
          <w:szCs w:val="28"/>
          <w:rtl/>
          <w:lang w:bidi="ar-JO"/>
          <w14:ligatures w14:val="none"/>
        </w:rPr>
        <w:tab/>
        <w:t xml:space="preserve">التطورات السياسية </w:t>
      </w:r>
    </w:p>
    <w:p w14:paraId="1393073D" w14:textId="77777777" w:rsidR="00263246" w:rsidRPr="00263246" w:rsidRDefault="00263246"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263246">
        <w:rPr>
          <w:rFonts w:eastAsia="Times New Roman" w:cs="DecoType Naskh" w:hint="cs"/>
          <w:bCs/>
          <w:color w:val="auto"/>
          <w:kern w:val="0"/>
          <w:szCs w:val="26"/>
          <w:rtl/>
          <w14:ligatures w14:val="none"/>
        </w:rPr>
        <w:t>أ.</w:t>
      </w:r>
      <w:r w:rsidRPr="00263246">
        <w:rPr>
          <w:rFonts w:eastAsia="Times New Roman" w:cs="DecoType Naskh" w:hint="cs"/>
          <w:bCs/>
          <w:color w:val="auto"/>
          <w:kern w:val="0"/>
          <w:szCs w:val="26"/>
          <w:rtl/>
          <w14:ligatures w14:val="none"/>
        </w:rPr>
        <w:tab/>
        <w:t>قبل 3000 ق م</w:t>
      </w:r>
    </w:p>
    <w:p w14:paraId="0A8960C4"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1.</w:t>
      </w:r>
      <w:r w:rsidRPr="00263246">
        <w:rPr>
          <w:rFonts w:eastAsia="Times New Roman" w:cs="DecoType Naskh" w:hint="cs"/>
          <w:color w:val="auto"/>
          <w:kern w:val="0"/>
          <w:szCs w:val="26"/>
          <w:rtl/>
          <w:lang w:bidi="ar-JO"/>
          <w14:ligatures w14:val="none"/>
        </w:rPr>
        <w:tab/>
        <w:t xml:space="preserve">ليس لدينا تاريخ دقيق من السجلات قبل عام 3000ق م. </w:t>
      </w:r>
    </w:p>
    <w:p w14:paraId="5351FC1E"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يكتب يوجين ميرل بشأن هذا: "الفترة الممتدة ما بين 3000 و2500 ق. م. هي في معظمها صفحة بيضاء، من الناحية التاريخية. تسلّط نصوص إبلا بعض الضوء على المشهد الممتدّ ما بين 2500 و2200 ق. م.، ولكنّ معظم ذلك الضوء يقع على منطقة إبلا نفسها وعالم بلاد ما بين النهرين إلى الشرق منها."</w:t>
      </w:r>
      <w:r w:rsidRPr="00263246">
        <w:rPr>
          <w:rFonts w:eastAsia="Times New Roman" w:cs="DecoType Naskh"/>
          <w:color w:val="auto"/>
          <w:kern w:val="0"/>
          <w:szCs w:val="26"/>
          <w:vertAlign w:val="superscript"/>
          <w:rtl/>
          <w:lang w:bidi="ar-JO"/>
          <w14:ligatures w14:val="none"/>
        </w:rPr>
        <w:footnoteReference w:id="219"/>
      </w:r>
      <w:r w:rsidRPr="00263246">
        <w:rPr>
          <w:rFonts w:eastAsia="Times New Roman" w:cs="DecoType Naskh" w:hint="cs"/>
          <w:color w:val="auto"/>
          <w:kern w:val="0"/>
          <w:szCs w:val="26"/>
          <w:rtl/>
          <w:lang w:bidi="ar-JO"/>
          <w14:ligatures w14:val="none"/>
        </w:rPr>
        <w:t xml:space="preserve"> ولنقص السجلات التاريخية التي يمكن الاعتماد عليها للفترة التي تسبق العام 2500 أهمية كبيرة. </w:t>
      </w:r>
      <w:r w:rsidRPr="00263246">
        <w:rPr>
          <w:rFonts w:eastAsia="Times New Roman" w:cs="DecoType Naskh"/>
          <w:color w:val="auto"/>
          <w:kern w:val="0"/>
          <w:szCs w:val="26"/>
          <w:rtl/>
          <w:lang w:bidi="ar-JO"/>
          <w14:ligatures w14:val="none"/>
        </w:rPr>
        <w:t xml:space="preserve">استنادًا إلى الفهم الحرفي للبيانات الكتابية، يتم تأريخ حدث الطوفان بحوالي 2550 قبل الميلاد وفقًا لبيانات الأنساب في النص الماسوري العبري (أو حوالي 3325 قبل الميلاد وفقًا </w:t>
      </w:r>
      <w:r w:rsidRPr="00263246">
        <w:rPr>
          <w:rFonts w:eastAsia="Times New Roman" w:cs="DecoType Naskh" w:hint="cs"/>
          <w:color w:val="auto"/>
          <w:kern w:val="0"/>
          <w:szCs w:val="26"/>
          <w:rtl/>
          <w:lang w:bidi="ar-JO"/>
          <w14:ligatures w14:val="none"/>
        </w:rPr>
        <w:t>للترجمة</w:t>
      </w:r>
      <w:r w:rsidRPr="00263246">
        <w:rPr>
          <w:rFonts w:eastAsia="Times New Roman" w:cs="DecoType Naskh"/>
          <w:color w:val="auto"/>
          <w:kern w:val="0"/>
          <w:szCs w:val="26"/>
          <w:rtl/>
          <w:lang w:bidi="ar-JO"/>
          <w14:ligatures w14:val="none"/>
        </w:rPr>
        <w:t xml:space="preserve"> السبعينية).</w:t>
      </w:r>
      <w:r w:rsidRPr="00263246">
        <w:rPr>
          <w:rFonts w:eastAsia="Times New Roman" w:cs="DecoType Naskh" w:hint="cs"/>
          <w:color w:val="auto"/>
          <w:kern w:val="0"/>
          <w:szCs w:val="26"/>
          <w:rtl/>
          <w:lang w:bidi="ar-JO"/>
          <w14:ligatures w14:val="none"/>
        </w:rPr>
        <w:t xml:space="preserve">. </w:t>
      </w:r>
    </w:p>
    <w:p w14:paraId="0B41FE97"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lastRenderedPageBreak/>
        <w:t>وقد أفسحت القرى على ما يبدو المجال لمدن الهياكل، حيث تتمحور الحياة حول إله.  يقول شوانتس،</w:t>
      </w:r>
    </w:p>
    <w:p w14:paraId="7DD0ABB6"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right="1021"/>
        <w:jc w:val="both"/>
        <w:rPr>
          <w:rFonts w:eastAsia="Times New Roman" w:cs="DecoType Naskh"/>
          <w:color w:val="auto"/>
          <w:kern w:val="0"/>
          <w:szCs w:val="26"/>
          <w14:ligatures w14:val="none"/>
        </w:rPr>
      </w:pPr>
      <w:r w:rsidRPr="00263246">
        <w:rPr>
          <w:rFonts w:eastAsia="Times New Roman" w:cs="DecoType Naskh" w:hint="cs"/>
          <w:color w:val="auto"/>
          <w:kern w:val="0"/>
          <w:szCs w:val="26"/>
          <w:rtl/>
          <w:lang w:bidi="ar-JO"/>
          <w14:ligatures w14:val="none"/>
        </w:rPr>
        <w:t xml:space="preserve">"أفسحت القرية في نهاية الأمر المجال لمدينة الهيكل.  وتنظَّم الدولة على أساس الافتراض أن كل شيء بما في ذلك الأرض والناس والحيوانات والمزروعات مُلك للإله.  وممثّل هذا الإله هو </w:t>
      </w:r>
      <w:r w:rsidRPr="00263246">
        <w:rPr>
          <w:rFonts w:eastAsia="Times New Roman" w:cs="DecoType Naskh" w:hint="cs"/>
          <w:i/>
          <w:iCs/>
          <w:color w:val="auto"/>
          <w:kern w:val="0"/>
          <w:szCs w:val="26"/>
          <w:rtl/>
          <w:lang w:bidi="ar-JO"/>
          <w14:ligatures w14:val="none"/>
        </w:rPr>
        <w:t>لوجال</w:t>
      </w:r>
      <w:r w:rsidRPr="00263246">
        <w:rPr>
          <w:rFonts w:eastAsia="Times New Roman" w:cs="DecoType Naskh" w:hint="cs"/>
          <w:color w:val="auto"/>
          <w:kern w:val="0"/>
          <w:szCs w:val="26"/>
          <w:rtl/>
          <w:lang w:bidi="ar-JO"/>
          <w14:ligatures w14:val="none"/>
        </w:rPr>
        <w:t xml:space="preserve">، "الإنسان العظيم".  الهيكل مسكنه - في المخازن التي يحفظ فيها نتاج الأرض وعمل الناس.  ويحدِّد </w:t>
      </w:r>
      <w:r w:rsidRPr="00263246">
        <w:rPr>
          <w:rFonts w:eastAsia="Times New Roman" w:cs="DecoType Naskh" w:hint="cs"/>
          <w:i/>
          <w:iCs/>
          <w:color w:val="auto"/>
          <w:kern w:val="0"/>
          <w:szCs w:val="26"/>
          <w:rtl/>
          <w:lang w:bidi="ar-JO"/>
          <w14:ligatures w14:val="none"/>
        </w:rPr>
        <w:t>لوجال</w:t>
      </w:r>
      <w:r w:rsidRPr="00263246">
        <w:rPr>
          <w:rFonts w:eastAsia="Times New Roman" w:cs="DecoType Naskh" w:hint="cs"/>
          <w:color w:val="auto"/>
          <w:kern w:val="0"/>
          <w:szCs w:val="26"/>
          <w:rtl/>
          <w:lang w:bidi="ar-JO"/>
          <w14:ligatures w14:val="none"/>
        </w:rPr>
        <w:t xml:space="preserve"> لكل واحد عمله ومكافأته.  ويستقرّ الصنّاع والكهنة والكتبة والجنود حول الهيكل مشكّلين المدينة بمعناها الصحيح.  والمجتمع السومري نموذج للمجتمع الثيوقراطي (الذي تحكمه حكومة دينية)."</w:t>
      </w:r>
      <w:r w:rsidRPr="00263246">
        <w:rPr>
          <w:rFonts w:eastAsia="Times New Roman" w:cs="DecoType Naskh"/>
          <w:color w:val="auto"/>
          <w:kern w:val="0"/>
          <w:szCs w:val="26"/>
          <w:vertAlign w:val="superscript"/>
          <w:rtl/>
          <w:lang w:bidi="ar-JO"/>
          <w14:ligatures w14:val="none"/>
        </w:rPr>
        <w:footnoteReference w:id="220"/>
      </w:r>
    </w:p>
    <w:p w14:paraId="4958628C"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2.</w:t>
      </w:r>
      <w:r w:rsidRPr="00263246">
        <w:rPr>
          <w:rFonts w:eastAsia="Times New Roman" w:cs="DecoType Naskh" w:hint="cs"/>
          <w:color w:val="auto"/>
          <w:kern w:val="0"/>
          <w:szCs w:val="26"/>
          <w:rtl/>
          <w:lang w:bidi="ar-JO"/>
          <w14:ligatures w14:val="none"/>
        </w:rPr>
        <w:tab/>
        <w:t>الحضارة السومرية</w:t>
      </w:r>
    </w:p>
    <w:p w14:paraId="5EC97165" w14:textId="77777777" w:rsid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lang w:bidi="ar-JO"/>
          <w14:ligatures w14:val="none"/>
        </w:rPr>
      </w:pPr>
      <w:r w:rsidRPr="00263246">
        <w:rPr>
          <w:rFonts w:eastAsia="Times New Roman" w:cs="DecoType Naskh" w:hint="cs"/>
          <w:color w:val="auto"/>
          <w:kern w:val="0"/>
          <w:szCs w:val="26"/>
          <w:rtl/>
          <w:lang w:bidi="ar-JO"/>
          <w14:ligatures w14:val="none"/>
        </w:rPr>
        <w:t>أ.</w:t>
      </w:r>
      <w:r w:rsidRPr="00263246">
        <w:rPr>
          <w:rFonts w:eastAsia="Times New Roman" w:cs="DecoType Naskh" w:hint="cs"/>
          <w:color w:val="auto"/>
          <w:kern w:val="0"/>
          <w:szCs w:val="26"/>
          <w:rtl/>
          <w:lang w:bidi="ar-JO"/>
          <w14:ligatures w14:val="none"/>
        </w:rPr>
        <w:tab/>
        <w:t>الحضارة السومرية من أقدم الحضارات التي لدينا سجلات عنها.</w:t>
      </w:r>
      <w:r w:rsidRPr="00263246">
        <w:rPr>
          <w:rFonts w:eastAsia="Times New Roman" w:cs="DecoType Naskh"/>
          <w:color w:val="auto"/>
          <w:kern w:val="0"/>
          <w:szCs w:val="26"/>
          <w:vertAlign w:val="superscript"/>
          <w:rtl/>
          <w:lang w:bidi="ar-JO"/>
          <w14:ligatures w14:val="none"/>
        </w:rPr>
        <w:footnoteReference w:id="221"/>
      </w:r>
      <w:r w:rsidRPr="00263246">
        <w:rPr>
          <w:rFonts w:eastAsia="Times New Roman" w:cs="DecoType Naskh" w:hint="cs"/>
          <w:color w:val="auto"/>
          <w:kern w:val="0"/>
          <w:szCs w:val="26"/>
          <w:rtl/>
          <w:lang w:bidi="ar-JO"/>
          <w14:ligatures w14:val="none"/>
        </w:rPr>
        <w:t xml:space="preserve"> وقد طوّر السومريون في المنطقة المنخفضة من وادي دجلة </w:t>
      </w:r>
      <w:r w:rsidRPr="00263246">
        <w:rPr>
          <w:rFonts w:eastAsia="Times New Roman" w:cs="DecoType Naskh"/>
          <w:color w:val="auto"/>
          <w:kern w:val="0"/>
          <w:szCs w:val="26"/>
          <w:rtl/>
          <w:lang w:bidi="ar-JO"/>
          <w14:ligatures w14:val="none"/>
        </w:rPr>
        <w:t>–</w:t>
      </w:r>
      <w:r w:rsidRPr="00263246">
        <w:rPr>
          <w:rFonts w:eastAsia="Times New Roman" w:cs="DecoType Naskh" w:hint="cs"/>
          <w:color w:val="auto"/>
          <w:kern w:val="0"/>
          <w:szCs w:val="26"/>
          <w:rtl/>
          <w:lang w:bidi="ar-JO"/>
          <w14:ligatures w14:val="none"/>
        </w:rPr>
        <w:t xml:space="preserve"> الفرات ما يُعتبر عموماً أقدم حضارة عالية معروفة.</w:t>
      </w:r>
    </w:p>
    <w:p w14:paraId="741C4BB6" w14:textId="77777777" w:rsidR="00C16362" w:rsidRPr="00263246" w:rsidRDefault="00C16362"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14:ligatures w14:val="none"/>
        </w:rPr>
      </w:pPr>
    </w:p>
    <w:p w14:paraId="7110160A"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2138" w:right="2138" w:hanging="550"/>
        <w:jc w:val="both"/>
        <w:rPr>
          <w:rFonts w:eastAsia="Times New Roman" w:cs="DecoType Naskh"/>
          <w:color w:val="auto"/>
          <w:kern w:val="0"/>
          <w:szCs w:val="26"/>
          <w:rtl/>
          <w14:ligatures w14:val="none"/>
        </w:rPr>
      </w:pPr>
      <w:r w:rsidRPr="00263246">
        <w:rPr>
          <w:rFonts w:eastAsia="Times New Roman" w:cs="DecoType Naskh"/>
          <w:noProof/>
          <w:color w:val="auto"/>
          <w:kern w:val="0"/>
          <w:szCs w:val="26"/>
          <w:lang w:bidi="ar-JO"/>
          <w14:ligatures w14:val="none"/>
        </w:rPr>
        <w:drawing>
          <wp:inline distT="0" distB="0" distL="0" distR="0" wp14:anchorId="37D18AE9" wp14:editId="7CCAEE1F">
            <wp:extent cx="4404995" cy="3260090"/>
            <wp:effectExtent l="0" t="0" r="0" b="0"/>
            <wp:docPr id="2" name="Picture 2" descr="Sume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umer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404995" cy="3260090"/>
                    </a:xfrm>
                    <a:prstGeom prst="rect">
                      <a:avLst/>
                    </a:prstGeom>
                    <a:noFill/>
                    <a:ln>
                      <a:noFill/>
                    </a:ln>
                  </pic:spPr>
                </pic:pic>
              </a:graphicData>
            </a:graphic>
          </wp:inline>
        </w:drawing>
      </w:r>
    </w:p>
    <w:p w14:paraId="112A827C"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2138" w:right="2138" w:hanging="550"/>
        <w:jc w:val="both"/>
        <w:rPr>
          <w:rFonts w:eastAsia="Times New Roman" w:cs="DecoType Naskh"/>
          <w:color w:val="auto"/>
          <w:kern w:val="0"/>
          <w:szCs w:val="26"/>
          <w:rtl/>
          <w:lang w:bidi="ar-JO"/>
          <w14:ligatures w14:val="none"/>
        </w:rPr>
      </w:pPr>
    </w:p>
    <w:p w14:paraId="26DC8479"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ب.</w:t>
      </w:r>
      <w:r w:rsidRPr="00263246">
        <w:rPr>
          <w:rFonts w:eastAsia="Times New Roman" w:cs="DecoType Naskh" w:hint="cs"/>
          <w:color w:val="auto"/>
          <w:kern w:val="0"/>
          <w:szCs w:val="26"/>
          <w:rtl/>
          <w:lang w:bidi="ar-JO"/>
          <w14:ligatures w14:val="none"/>
        </w:rPr>
        <w:tab/>
        <w:t>السومريون شعب هامٌّ لدراستنا، لأن أور (وطن إبراهيم) كانت مدينة سومرية.</w:t>
      </w:r>
    </w:p>
    <w:p w14:paraId="74D2DCFC"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14:ligatures w14:val="none"/>
        </w:rPr>
      </w:pPr>
      <w:r w:rsidRPr="00263246">
        <w:rPr>
          <w:rFonts w:eastAsia="Times New Roman" w:cs="DecoType Naskh" w:hint="cs"/>
          <w:color w:val="auto"/>
          <w:kern w:val="0"/>
          <w:szCs w:val="26"/>
          <w:rtl/>
          <w:lang w:bidi="ar-JO"/>
          <w14:ligatures w14:val="none"/>
        </w:rPr>
        <w:t>جـ.</w:t>
      </w:r>
      <w:r w:rsidRPr="00263246">
        <w:rPr>
          <w:rFonts w:eastAsia="Times New Roman" w:cs="DecoType Naskh" w:hint="cs"/>
          <w:color w:val="auto"/>
          <w:kern w:val="0"/>
          <w:szCs w:val="26"/>
          <w:rtl/>
          <w:lang w:bidi="ar-JO"/>
          <w14:ligatures w14:val="none"/>
        </w:rPr>
        <w:tab/>
        <w:t>على الرغم من أن إبراهيم كان من أور، إلاّ أنّه لم يكن سومري النسب، بل ساميّاً.  إذ كان السومريون مجموعة عرقية متميزة عن الساميين.</w:t>
      </w:r>
      <w:r w:rsidRPr="00263246">
        <w:rPr>
          <w:rFonts w:eastAsia="Times New Roman" w:cs="DecoType Naskh"/>
          <w:color w:val="auto"/>
          <w:kern w:val="0"/>
          <w:szCs w:val="26"/>
          <w:vertAlign w:val="superscript"/>
          <w:rtl/>
          <w:lang w:bidi="ar-JO"/>
          <w14:ligatures w14:val="none"/>
        </w:rPr>
        <w:footnoteReference w:id="222"/>
      </w:r>
    </w:p>
    <w:p w14:paraId="5874B73E"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14:ligatures w14:val="none"/>
        </w:rPr>
      </w:pPr>
      <w:r w:rsidRPr="00263246">
        <w:rPr>
          <w:rFonts w:eastAsia="Times New Roman" w:cs="DecoType Naskh" w:hint="cs"/>
          <w:color w:val="auto"/>
          <w:kern w:val="0"/>
          <w:szCs w:val="26"/>
          <w:rtl/>
          <w:lang w:bidi="ar-JO"/>
          <w14:ligatures w14:val="none"/>
        </w:rPr>
        <w:t>د.</w:t>
      </w:r>
      <w:r w:rsidRPr="00263246">
        <w:rPr>
          <w:rFonts w:eastAsia="Times New Roman" w:cs="DecoType Naskh" w:hint="cs"/>
          <w:color w:val="auto"/>
          <w:kern w:val="0"/>
          <w:szCs w:val="26"/>
          <w:rtl/>
          <w:lang w:bidi="ar-JO"/>
          <w14:ligatures w14:val="none"/>
        </w:rPr>
        <w:tab/>
        <w:t xml:space="preserve">يبدو أن السومريين هم الذين اخترعوا الكتابة في الفترة 3500-3200ق م.  وكانت أحرفهم في بداية الأمر عبارة عن "كتابة تصويرية"، أي بالصور، وتستخدم علامات دائرية للتعبير عن </w:t>
      </w:r>
      <w:r w:rsidRPr="00263246">
        <w:rPr>
          <w:rFonts w:eastAsia="Times New Roman" w:cs="DecoType Naskh" w:hint="cs"/>
          <w:color w:val="auto"/>
          <w:kern w:val="0"/>
          <w:szCs w:val="26"/>
          <w:rtl/>
          <w:lang w:bidi="ar-JO"/>
          <w14:ligatures w14:val="none"/>
        </w:rPr>
        <w:lastRenderedPageBreak/>
        <w:t>الأعداد.  وقد قدّم لنا السومريون أقدم سجلات تاريخية معروفة.  إذاً نلاحظ أن الكتابة كانت موجودة قبل ألف سنة على الأقل من دعوة الله لإبراهيم.</w:t>
      </w:r>
      <w:r w:rsidRPr="00263246">
        <w:rPr>
          <w:rFonts w:eastAsia="Times New Roman" w:cs="DecoType Naskh"/>
          <w:color w:val="auto"/>
          <w:kern w:val="0"/>
          <w:szCs w:val="26"/>
          <w:vertAlign w:val="superscript"/>
          <w:rtl/>
          <w:lang w:bidi="ar-JO"/>
          <w14:ligatures w14:val="none"/>
        </w:rPr>
        <w:footnoteReference w:id="223"/>
      </w:r>
      <w:r w:rsidRPr="00263246">
        <w:rPr>
          <w:rFonts w:eastAsia="Times New Roman" w:cs="DecoType Naskh" w:hint="cs"/>
          <w:color w:val="auto"/>
          <w:kern w:val="0"/>
          <w:szCs w:val="26"/>
          <w:rtl/>
          <w:lang w:bidi="ar-JO"/>
          <w14:ligatures w14:val="none"/>
        </w:rPr>
        <w:t xml:space="preserve">  </w:t>
      </w:r>
    </w:p>
    <w:p w14:paraId="10A69D91"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هـ.</w:t>
      </w:r>
      <w:r w:rsidRPr="00263246">
        <w:rPr>
          <w:rFonts w:eastAsia="Times New Roman" w:cs="DecoType Naskh" w:hint="cs"/>
          <w:color w:val="auto"/>
          <w:kern w:val="0"/>
          <w:szCs w:val="26"/>
          <w:rtl/>
          <w:lang w:bidi="ar-JO"/>
          <w14:ligatures w14:val="none"/>
        </w:rPr>
        <w:tab/>
        <w:t>من سجلاتهم التاريخية</w:t>
      </w:r>
    </w:p>
    <w:p w14:paraId="62F7878F"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2138" w:right="2138"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1)</w:t>
      </w:r>
      <w:r w:rsidRPr="00263246">
        <w:rPr>
          <w:rFonts w:eastAsia="Times New Roman" w:cs="DecoType Naskh" w:hint="cs"/>
          <w:color w:val="auto"/>
          <w:kern w:val="0"/>
          <w:szCs w:val="26"/>
          <w:rtl/>
          <w:lang w:bidi="ar-JO"/>
          <w14:ligatures w14:val="none"/>
        </w:rPr>
        <w:tab/>
        <w:t>حكام معمّرون كثيراً (طويلو العمر)</w:t>
      </w:r>
    </w:p>
    <w:p w14:paraId="4D186884"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2138" w:right="2138"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2)</w:t>
      </w:r>
      <w:r w:rsidRPr="00263246">
        <w:rPr>
          <w:rFonts w:eastAsia="Times New Roman" w:cs="DecoType Naskh" w:hint="cs"/>
          <w:color w:val="auto"/>
          <w:kern w:val="0"/>
          <w:szCs w:val="26"/>
          <w:rtl/>
          <w:lang w:bidi="ar-JO"/>
          <w14:ligatures w14:val="none"/>
        </w:rPr>
        <w:tab/>
        <w:t>تقسيم الزمن إلى ما فترتي ما قبل الطوفان وما بعد الطوفان.</w:t>
      </w:r>
    </w:p>
    <w:p w14:paraId="3C6E7B8D" w14:textId="77777777" w:rsidR="00263246" w:rsidRPr="00263246" w:rsidRDefault="00263246"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263246">
        <w:rPr>
          <w:rFonts w:eastAsia="Times New Roman" w:cs="DecoType Naskh" w:hint="cs"/>
          <w:bCs/>
          <w:color w:val="auto"/>
          <w:kern w:val="0"/>
          <w:szCs w:val="26"/>
          <w:rtl/>
          <w14:ligatures w14:val="none"/>
        </w:rPr>
        <w:t>ب.</w:t>
      </w:r>
      <w:r w:rsidRPr="00263246">
        <w:rPr>
          <w:rFonts w:eastAsia="Times New Roman" w:cs="DecoType Naskh" w:hint="cs"/>
          <w:bCs/>
          <w:color w:val="auto"/>
          <w:kern w:val="0"/>
          <w:szCs w:val="26"/>
          <w:rtl/>
          <w14:ligatures w14:val="none"/>
        </w:rPr>
        <w:tab/>
        <w:t>أوائل العصر البرونزي (3300-2100ق م)</w:t>
      </w:r>
    </w:p>
    <w:p w14:paraId="7586A3C4"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1.</w:t>
      </w:r>
      <w:r w:rsidRPr="00263246">
        <w:rPr>
          <w:rFonts w:eastAsia="Times New Roman" w:cs="DecoType Naskh" w:hint="cs"/>
          <w:color w:val="auto"/>
          <w:kern w:val="0"/>
          <w:szCs w:val="26"/>
          <w:rtl/>
          <w:lang w:bidi="ar-JO"/>
          <w14:ligatures w14:val="none"/>
        </w:rPr>
        <w:tab/>
        <w:t>استمرّ السومريّون الذين كانوا القوة الرئيسية في الفترة السابقة لـ 3000 ق م في هيمنتهم على مدى قسم كبير من فترة العصر البرونزي أيضاً.</w:t>
      </w:r>
    </w:p>
    <w:p w14:paraId="49458459"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2.</w:t>
      </w:r>
      <w:r w:rsidRPr="00263246">
        <w:rPr>
          <w:rFonts w:eastAsia="Times New Roman" w:cs="DecoType Naskh" w:hint="cs"/>
          <w:color w:val="auto"/>
          <w:kern w:val="0"/>
          <w:szCs w:val="26"/>
          <w:rtl/>
          <w:lang w:bidi="ar-JO"/>
          <w14:ligatures w14:val="none"/>
        </w:rPr>
        <w:tab/>
        <w:t>كانت أور مدينة سومرية (= تل المُقَيَّر)</w:t>
      </w:r>
    </w:p>
    <w:p w14:paraId="0AF324C6"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أ.</w:t>
      </w:r>
      <w:r w:rsidRPr="00263246">
        <w:rPr>
          <w:rFonts w:eastAsia="Times New Roman" w:cs="DecoType Naskh" w:hint="cs"/>
          <w:color w:val="auto"/>
          <w:kern w:val="0"/>
          <w:szCs w:val="26"/>
          <w:rtl/>
          <w:lang w:bidi="ar-JO"/>
          <w14:ligatures w14:val="none"/>
        </w:rPr>
        <w:tab/>
        <w:t>أنَّ إبراهيم كان من أور أمر ذو دلالة.  فقد كانت أور مدينة هامة في ذلك الوقت، وكانت النقطة المركزية للإمبراطورية السومرية.  وكانت كوزموبوليتانية (أي أنها تألّفت من عناصر اجتمعت من مختلف أرجاء العالم)، وكانت تؤمن بآلهة متعددة.</w:t>
      </w:r>
    </w:p>
    <w:p w14:paraId="2CD67CA0"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ب.</w:t>
      </w:r>
      <w:r w:rsidRPr="00263246">
        <w:rPr>
          <w:rFonts w:eastAsia="Times New Roman" w:cs="DecoType Naskh" w:hint="cs"/>
          <w:color w:val="auto"/>
          <w:kern w:val="0"/>
          <w:szCs w:val="26"/>
          <w:rtl/>
          <w:lang w:bidi="ar-JO"/>
          <w14:ligatures w14:val="none"/>
        </w:rPr>
        <w:tab/>
        <w:t>نقّب سي. ل. وولي عن مدينة أور التاريخية أثناء السنوات 1922-1934.</w:t>
      </w:r>
    </w:p>
    <w:p w14:paraId="3B77BE8C"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جـ.</w:t>
      </w:r>
      <w:r w:rsidRPr="00263246">
        <w:rPr>
          <w:rFonts w:eastAsia="Times New Roman" w:cs="DecoType Naskh" w:hint="cs"/>
          <w:color w:val="auto"/>
          <w:kern w:val="0"/>
          <w:szCs w:val="26"/>
          <w:rtl/>
          <w:lang w:bidi="ar-JO"/>
          <w14:ligatures w14:val="none"/>
        </w:rPr>
        <w:tab/>
        <w:t xml:space="preserve">تم التنقيب وإيجاد عدد من الهياكل في أور.  وكان إله المدينة الرئيسي هو نانّار، إله القمر عند السومريين (وهو معروف في الأكادية باسم "سِن").  وقد بُنيت عدة هياكل وزقورة كبيرة لنانّار. </w:t>
      </w:r>
    </w:p>
    <w:p w14:paraId="7BD5D214"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88" w:right="1588"/>
        <w:jc w:val="both"/>
        <w:rPr>
          <w:rFonts w:eastAsia="Times New Roman" w:cs="DecoType Naskh"/>
          <w:color w:val="auto"/>
          <w:kern w:val="0"/>
          <w:szCs w:val="26"/>
          <w:rtl/>
          <w14:ligatures w14:val="none"/>
        </w:rPr>
      </w:pPr>
      <w:r w:rsidRPr="00263246">
        <w:rPr>
          <w:rFonts w:eastAsia="Times New Roman" w:cs="DecoType Naskh" w:hint="cs"/>
          <w:color w:val="auto"/>
          <w:kern w:val="0"/>
          <w:szCs w:val="26"/>
          <w:rtl/>
          <w:lang w:bidi="ar-JO"/>
          <w14:ligatures w14:val="none"/>
        </w:rPr>
        <w:t>وإن من المثير للاهتمام أن الإله الرئيسي المعبود في حاران (التي انتقل إليها إبراهيم في نهاية الأمر) هو إله القمر السامي "سِن</w:t>
      </w:r>
      <w:r w:rsidRPr="00263246">
        <w:rPr>
          <w:rFonts w:eastAsia="Times New Roman" w:cs="DecoType Naskh" w:hint="cs"/>
          <w:color w:val="auto"/>
          <w:kern w:val="0"/>
          <w:szCs w:val="26"/>
          <w:rtl/>
          <w14:ligatures w14:val="none"/>
        </w:rPr>
        <w:t>.</w:t>
      </w:r>
      <w:r w:rsidRPr="00263246">
        <w:rPr>
          <w:rFonts w:eastAsia="Times New Roman" w:cs="DecoType Naskh" w:hint="cs"/>
          <w:color w:val="auto"/>
          <w:kern w:val="0"/>
          <w:szCs w:val="26"/>
          <w:rtl/>
          <w:lang w:bidi="ar-JO"/>
          <w14:ligatures w14:val="none"/>
        </w:rPr>
        <w:t>"</w:t>
      </w:r>
    </w:p>
    <w:p w14:paraId="54E94592"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د.</w:t>
      </w:r>
      <w:r w:rsidRPr="00263246">
        <w:rPr>
          <w:rFonts w:eastAsia="Times New Roman" w:cs="DecoType Naskh" w:hint="cs"/>
          <w:color w:val="auto"/>
          <w:kern w:val="0"/>
          <w:szCs w:val="26"/>
          <w:rtl/>
          <w:lang w:bidi="ar-JO"/>
          <w14:ligatures w14:val="none"/>
        </w:rPr>
        <w:tab/>
        <w:t>الخلفية الدينية لإبراهيم</w:t>
      </w:r>
    </w:p>
    <w:p w14:paraId="141ED912"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88" w:right="1588"/>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 xml:space="preserve">"هكذا قال الرب إله إسرائيل: "آباؤكم سكنوا عبر النهر منذ الدهر، تارح أبو إبراهيم وأبو ناحور وعبدوا آلهة أخرى." </w:t>
      </w:r>
      <w:r w:rsidRPr="00263246">
        <w:rPr>
          <w:rFonts w:eastAsia="Times New Roman" w:cs="DecoType Naskh"/>
          <w:color w:val="auto"/>
          <w:kern w:val="0"/>
          <w:szCs w:val="26"/>
          <w:rtl/>
          <w:lang w:bidi="ar-JO"/>
          <w14:ligatures w14:val="none"/>
        </w:rPr>
        <w:t>–</w:t>
      </w:r>
      <w:r w:rsidRPr="00263246">
        <w:rPr>
          <w:rFonts w:eastAsia="Times New Roman" w:cs="DecoType Naskh" w:hint="cs"/>
          <w:color w:val="auto"/>
          <w:kern w:val="0"/>
          <w:szCs w:val="26"/>
          <w:rtl/>
          <w:lang w:bidi="ar-JO"/>
          <w14:ligatures w14:val="none"/>
        </w:rPr>
        <w:t xml:space="preserve"> يشوع 24: 2.</w:t>
      </w:r>
    </w:p>
    <w:p w14:paraId="7E7A31A5"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هـ.</w:t>
      </w:r>
      <w:r w:rsidRPr="00263246">
        <w:rPr>
          <w:rFonts w:eastAsia="Times New Roman" w:cs="DecoType Naskh" w:hint="cs"/>
          <w:color w:val="auto"/>
          <w:kern w:val="0"/>
          <w:szCs w:val="26"/>
          <w:rtl/>
          <w:lang w:bidi="ar-JO"/>
          <w14:ligatures w14:val="none"/>
        </w:rPr>
        <w:tab/>
        <w:t>الزقّورات</w:t>
      </w:r>
    </w:p>
    <w:p w14:paraId="30CF8A4B"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88" w:right="1588"/>
        <w:jc w:val="both"/>
        <w:rPr>
          <w:rFonts w:eastAsia="Times New Roman" w:cs="DecoType Naskh"/>
          <w:color w:val="auto"/>
          <w:kern w:val="0"/>
          <w:szCs w:val="26"/>
          <w:rtl/>
          <w14:ligatures w14:val="none"/>
        </w:rPr>
      </w:pPr>
      <w:r w:rsidRPr="00263246">
        <w:rPr>
          <w:rFonts w:eastAsia="Times New Roman" w:cs="DecoType Naskh" w:hint="cs"/>
          <w:color w:val="auto"/>
          <w:kern w:val="0"/>
          <w:szCs w:val="26"/>
          <w:rtl/>
          <w:lang w:bidi="ar-JO"/>
          <w14:ligatures w14:val="none"/>
        </w:rPr>
        <w:t xml:space="preserve">كانت الزقّورات أبنية كبيرة على شكل مصاطب ينتصب على قمته موضع مقدس يكرَّس للإله المحلي.  وقد عُثِر على مثل هذه الزقورات في جميع أنحاء منطقة ما بين النهرين.  والزقورة الموجودة في أور من أحسنها من حيث الحالة المحفوظة عليها.  ويُفترض أن الإله يزور الزقورة في أوقات معينة.  وتعود الزقورة الموجودة في أور حتى اليوم إلى الفترة الثالثة من أور، إذ انتهى بناؤها حوالي 2100ق م، أي أثناء حياة إبراهيم (إذ غادر حاران متوجهاً إلى كنعان في حوالي العام 2091 ق م). </w:t>
      </w:r>
    </w:p>
    <w:p w14:paraId="24F922C2"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2155" w:right="2155"/>
        <w:jc w:val="both"/>
        <w:rPr>
          <w:rFonts w:eastAsia="Times New Roman" w:cs="DecoType Naskh"/>
          <w:color w:val="auto"/>
          <w:kern w:val="0"/>
          <w:szCs w:val="26"/>
          <w:rtl/>
          <w:lang w:bidi="ar-JO"/>
          <w14:ligatures w14:val="none"/>
        </w:rPr>
      </w:pPr>
    </w:p>
    <w:p w14:paraId="04B73935"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2155" w:right="2155"/>
        <w:jc w:val="both"/>
        <w:rPr>
          <w:rFonts w:eastAsia="Times New Roman" w:cs="DecoType Naskh"/>
          <w:color w:val="auto"/>
          <w:kern w:val="0"/>
          <w:szCs w:val="26"/>
          <w:rtl/>
          <w14:ligatures w14:val="none"/>
        </w:rPr>
      </w:pPr>
      <w:r w:rsidRPr="00263246">
        <w:rPr>
          <w:rFonts w:eastAsia="Times New Roman" w:cs="DecoType Naskh"/>
          <w:noProof/>
          <w:color w:val="auto"/>
          <w:kern w:val="0"/>
          <w:szCs w:val="26"/>
          <w:lang w:bidi="ar-JO"/>
          <w14:ligatures w14:val="none"/>
        </w:rPr>
        <w:lastRenderedPageBreak/>
        <w:drawing>
          <wp:inline distT="0" distB="0" distL="0" distR="0" wp14:anchorId="101E2788" wp14:editId="6FDF4114">
            <wp:extent cx="3657600" cy="2035810"/>
            <wp:effectExtent l="0" t="0" r="0" b="2540"/>
            <wp:docPr id="3" name="Picture 3" descr="ZigU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gUr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57600" cy="2035810"/>
                    </a:xfrm>
                    <a:prstGeom prst="rect">
                      <a:avLst/>
                    </a:prstGeom>
                    <a:noFill/>
                    <a:ln>
                      <a:noFill/>
                    </a:ln>
                  </pic:spPr>
                </pic:pic>
              </a:graphicData>
            </a:graphic>
          </wp:inline>
        </w:drawing>
      </w:r>
    </w:p>
    <w:p w14:paraId="041A59BC" w14:textId="0B3FD0C2" w:rsidR="00263246" w:rsidRPr="00263246" w:rsidRDefault="00E83954" w:rsidP="002D6C54">
      <w:pPr>
        <w:tabs>
          <w:tab w:val="left" w:pos="550"/>
          <w:tab w:val="left" w:pos="1100"/>
          <w:tab w:val="left" w:pos="1650"/>
          <w:tab w:val="left" w:pos="2200"/>
          <w:tab w:val="left" w:pos="2750"/>
          <w:tab w:val="left" w:pos="3300"/>
          <w:tab w:val="left" w:pos="3850"/>
          <w:tab w:val="left" w:pos="4400"/>
        </w:tabs>
        <w:bidi/>
        <w:spacing w:after="0" w:line="240" w:lineRule="auto"/>
        <w:ind w:left="2155" w:right="2155"/>
        <w:jc w:val="both"/>
        <w:rPr>
          <w:rFonts w:eastAsia="Times New Roman" w:cs="DecoType Naskh"/>
          <w:color w:val="auto"/>
          <w:kern w:val="0"/>
          <w:szCs w:val="26"/>
          <w:rtl/>
          <w14:ligatures w14:val="none"/>
        </w:rPr>
      </w:pPr>
      <w:r>
        <w:rPr>
          <w:noProof/>
          <w:rtl/>
        </w:rPr>
        <mc:AlternateContent>
          <mc:Choice Requires="wps">
            <w:drawing>
              <wp:anchor distT="0" distB="0" distL="114300" distR="114300" simplePos="0" relativeHeight="251667456" behindDoc="0" locked="0" layoutInCell="1" allowOverlap="1" wp14:anchorId="6D5E08F5" wp14:editId="4E4013AE">
                <wp:simplePos x="0" y="0"/>
                <wp:positionH relativeFrom="column">
                  <wp:posOffset>1295400</wp:posOffset>
                </wp:positionH>
                <wp:positionV relativeFrom="paragraph">
                  <wp:posOffset>58420</wp:posOffset>
                </wp:positionV>
                <wp:extent cx="2819400" cy="419100"/>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419100"/>
                        </a:xfrm>
                        <a:prstGeom prst="rect">
                          <a:avLst/>
                        </a:prstGeom>
                        <a:noFill/>
                        <a:ln>
                          <a:noFill/>
                        </a:ln>
                      </wps:spPr>
                      <wps:txbx>
                        <w:txbxContent>
                          <w:p w14:paraId="6FD3ABF2" w14:textId="77777777" w:rsidR="00263246" w:rsidRDefault="00263246" w:rsidP="00263246">
                            <w:pPr>
                              <w:pStyle w:val="BodyTxt"/>
                              <w:bidi w:val="0"/>
                            </w:pPr>
                            <w:r>
                              <w:rPr>
                                <w:rFonts w:hint="cs"/>
                                <w:rtl/>
                              </w:rPr>
                              <w:t>بقايا الزقورة في أور الكلدانيين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5E08F5" id="Text Box 6" o:spid="_x0000_s1065" type="#_x0000_t202" style="position:absolute;left:0;text-align:left;margin-left:102pt;margin-top:4.6pt;width:222pt;height:33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" filled="f" stroked="f">
                <v:textbox>
                  <w:txbxContent>
                    <w:p w14:paraId="6FD3ABF2" w14:textId="77777777" w:rsidR="00263246" w:rsidRDefault="00263246" w:rsidP="00263246">
                      <w:pPr>
                        <w:pStyle w:val="BodyTxt"/>
                        <w:bidi w:val="0"/>
                      </w:pPr>
                      <w:r>
                        <w:rPr>
                          <w:rFonts w:hint="cs"/>
                          <w:rtl/>
                        </w:rPr>
                        <w:t>بقايا الزقورة في أور الكلدانيين</w:t>
                      </w:r>
                    </w:p>
                  </w:txbxContent>
                </v:textbox>
              </v:shape>
            </w:pict>
          </mc:Fallback>
        </mc:AlternateContent>
      </w:r>
    </w:p>
    <w:p w14:paraId="01F12C9C"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2155" w:right="2155"/>
        <w:jc w:val="both"/>
        <w:rPr>
          <w:rFonts w:eastAsia="Times New Roman" w:cs="DecoType Naskh"/>
          <w:color w:val="auto"/>
          <w:kern w:val="0"/>
          <w:szCs w:val="26"/>
          <w:rtl/>
          <w:lang w:bidi="ar-JO"/>
          <w14:ligatures w14:val="none"/>
        </w:rPr>
      </w:pPr>
    </w:p>
    <w:p w14:paraId="1C490FB3" w14:textId="77777777" w:rsidR="00263246" w:rsidRPr="00263246" w:rsidRDefault="00263246" w:rsidP="002D6C54">
      <w:pPr>
        <w:bidi/>
        <w:spacing w:after="0" w:line="240" w:lineRule="auto"/>
        <w:rPr>
          <w:rFonts w:eastAsia="Times New Roman" w:cs="DecoType Naskh"/>
          <w:color w:val="auto"/>
          <w:kern w:val="0"/>
          <w:szCs w:val="18"/>
          <w:rtl/>
          <w14:ligatures w14:val="none"/>
        </w:rPr>
      </w:pPr>
    </w:p>
    <w:p w14:paraId="39EC1441"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3.</w:t>
      </w:r>
      <w:r w:rsidRPr="00263246">
        <w:rPr>
          <w:rFonts w:eastAsia="Times New Roman" w:cs="DecoType Naskh" w:hint="cs"/>
          <w:color w:val="auto"/>
          <w:kern w:val="0"/>
          <w:szCs w:val="26"/>
          <w:rtl/>
          <w:lang w:bidi="ar-JO"/>
          <w14:ligatures w14:val="none"/>
        </w:rPr>
        <w:tab/>
        <w:t>الإمبراطورية الأكادية (2371- حوالي 2200ق م)</w:t>
      </w:r>
    </w:p>
    <w:p w14:paraId="30D1E45F"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14:ligatures w14:val="none"/>
        </w:rPr>
      </w:pPr>
      <w:r w:rsidRPr="00263246">
        <w:rPr>
          <w:rFonts w:eastAsia="Times New Roman" w:cs="DecoType Naskh" w:hint="cs"/>
          <w:color w:val="auto"/>
          <w:kern w:val="0"/>
          <w:szCs w:val="26"/>
          <w:rtl/>
          <w:lang w:bidi="ar-JO"/>
          <w14:ligatures w14:val="none"/>
        </w:rPr>
        <w:t>أ.</w:t>
      </w:r>
      <w:r w:rsidRPr="00263246">
        <w:rPr>
          <w:rFonts w:eastAsia="Times New Roman" w:cs="DecoType Naskh" w:hint="cs"/>
          <w:color w:val="auto"/>
          <w:kern w:val="0"/>
          <w:szCs w:val="26"/>
          <w:rtl/>
          <w:lang w:bidi="ar-JO"/>
          <w14:ligatures w14:val="none"/>
        </w:rPr>
        <w:tab/>
        <w:t xml:space="preserve">حدث اختراق تدرّجي من الساميين لسومر من أماكن في المنطقة العليا من بلاد ما بين النهرين (المنطقة العليا من نهري دجلة </w:t>
      </w:r>
      <w:r w:rsidRPr="00263246">
        <w:rPr>
          <w:rFonts w:eastAsia="Times New Roman" w:cs="DecoType Naskh"/>
          <w:color w:val="auto"/>
          <w:kern w:val="0"/>
          <w:szCs w:val="26"/>
          <w:rtl/>
          <w:lang w:bidi="ar-JO"/>
          <w14:ligatures w14:val="none"/>
        </w:rPr>
        <w:t>–</w:t>
      </w:r>
      <w:r w:rsidRPr="00263246">
        <w:rPr>
          <w:rFonts w:eastAsia="Times New Roman" w:cs="DecoType Naskh" w:hint="cs"/>
          <w:color w:val="auto"/>
          <w:kern w:val="0"/>
          <w:szCs w:val="26"/>
          <w:rtl/>
          <w:lang w:bidi="ar-JO"/>
          <w14:ligatures w14:val="none"/>
        </w:rPr>
        <w:t xml:space="preserve"> الفرات).</w:t>
      </w:r>
      <w:r w:rsidRPr="00263246">
        <w:rPr>
          <w:rFonts w:eastAsia="Times New Roman" w:cs="DecoType Naskh"/>
          <w:color w:val="auto"/>
          <w:kern w:val="0"/>
          <w:szCs w:val="26"/>
          <w:vertAlign w:val="superscript"/>
          <w:rtl/>
          <w:lang w:bidi="ar-JO"/>
          <w14:ligatures w14:val="none"/>
        </w:rPr>
        <w:footnoteReference w:id="224"/>
      </w:r>
    </w:p>
    <w:p w14:paraId="7F32D36B" w14:textId="28700C33"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2138" w:right="2138" w:hanging="550"/>
        <w:jc w:val="both"/>
        <w:rPr>
          <w:rFonts w:eastAsia="Times New Roman" w:cs="DecoType Naskh"/>
          <w:color w:val="auto"/>
          <w:kern w:val="0"/>
          <w:szCs w:val="26"/>
          <w:rtl/>
          <w:lang w:bidi="ar-JO"/>
          <w14:ligatures w14:val="none"/>
        </w:rPr>
      </w:pPr>
      <w:r w:rsidRPr="00263246">
        <w:rPr>
          <w:rFonts w:eastAsia="Times New Roman" w:cs="DecoType Naskh"/>
          <w:noProof/>
          <w:color w:val="auto"/>
          <w:kern w:val="0"/>
          <w:szCs w:val="26"/>
          <w:lang w:bidi="ar-JO"/>
          <w14:ligatures w14:val="none"/>
        </w:rPr>
        <w:drawing>
          <wp:anchor distT="0" distB="0" distL="114300" distR="114300" simplePos="0" relativeHeight="251657216" behindDoc="0" locked="0" layoutInCell="1" allowOverlap="1" wp14:anchorId="3C929FE2" wp14:editId="5D846E27">
            <wp:simplePos x="0" y="0"/>
            <wp:positionH relativeFrom="column">
              <wp:posOffset>137160</wp:posOffset>
            </wp:positionH>
            <wp:positionV relativeFrom="paragraph">
              <wp:posOffset>347980</wp:posOffset>
            </wp:positionV>
            <wp:extent cx="5742432" cy="3511296"/>
            <wp:effectExtent l="0" t="0" r="0" b="0"/>
            <wp:wrapSquare wrapText="bothSides"/>
            <wp:docPr id="4" name="Picture 4" descr="MidEastPentate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idEastPentateuch"/>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42432" cy="351129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E5B7F1" w14:textId="701FDDE3"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2138" w:right="2138" w:hanging="550"/>
        <w:jc w:val="both"/>
        <w:rPr>
          <w:rFonts w:eastAsia="Times New Roman" w:cs="DecoType Naskh"/>
          <w:color w:val="auto"/>
          <w:kern w:val="0"/>
          <w:szCs w:val="26"/>
          <w:rtl/>
          <w:lang w:bidi="ar-JO"/>
          <w14:ligatures w14:val="none"/>
        </w:rPr>
      </w:pPr>
    </w:p>
    <w:p w14:paraId="16CE6CFF" w14:textId="1DA58ED9"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2138" w:right="2138" w:hanging="550"/>
        <w:jc w:val="both"/>
        <w:rPr>
          <w:rFonts w:eastAsia="Times New Roman" w:cs="DecoType Naskh"/>
          <w:color w:val="auto"/>
          <w:kern w:val="0"/>
          <w:szCs w:val="26"/>
          <w:rtl/>
          <w:lang w:bidi="ar-JO"/>
          <w14:ligatures w14:val="none"/>
        </w:rPr>
      </w:pPr>
    </w:p>
    <w:p w14:paraId="08384151" w14:textId="18E5453A"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2138" w:right="2138" w:hanging="550"/>
        <w:jc w:val="both"/>
        <w:rPr>
          <w:rFonts w:eastAsia="Times New Roman" w:cs="DecoType Naskh"/>
          <w:color w:val="auto"/>
          <w:kern w:val="0"/>
          <w:szCs w:val="26"/>
          <w:rtl/>
          <w:lang w:bidi="ar-JO"/>
          <w14:ligatures w14:val="none"/>
        </w:rPr>
      </w:pPr>
    </w:p>
    <w:p w14:paraId="712E6942" w14:textId="0E7BF1A0" w:rsidR="00263246" w:rsidRPr="00263246" w:rsidRDefault="00E83954" w:rsidP="002D6C54">
      <w:pPr>
        <w:tabs>
          <w:tab w:val="left" w:pos="550"/>
          <w:tab w:val="left" w:pos="1100"/>
          <w:tab w:val="left" w:pos="1650"/>
          <w:tab w:val="left" w:pos="2200"/>
          <w:tab w:val="left" w:pos="2750"/>
          <w:tab w:val="left" w:pos="3300"/>
          <w:tab w:val="left" w:pos="3850"/>
          <w:tab w:val="left" w:pos="4400"/>
        </w:tabs>
        <w:bidi/>
        <w:spacing w:after="0" w:line="240" w:lineRule="auto"/>
        <w:ind w:left="2138" w:right="2138" w:hanging="550"/>
        <w:jc w:val="both"/>
        <w:rPr>
          <w:rFonts w:eastAsia="Times New Roman" w:cs="DecoType Naskh"/>
          <w:color w:val="auto"/>
          <w:kern w:val="0"/>
          <w:szCs w:val="26"/>
          <w:rtl/>
          <w14:ligatures w14:val="none"/>
        </w:rPr>
      </w:pPr>
      <w:r>
        <w:rPr>
          <w:noProof/>
          <w:rtl/>
        </w:rPr>
        <mc:AlternateContent>
          <mc:Choice Requires="wps">
            <w:drawing>
              <wp:anchor distT="0" distB="0" distL="114300" distR="114300" simplePos="0" relativeHeight="251668480" behindDoc="0" locked="0" layoutInCell="1" allowOverlap="1" wp14:anchorId="6E6E973A" wp14:editId="42CB5B57">
                <wp:simplePos x="0" y="0"/>
                <wp:positionH relativeFrom="column">
                  <wp:posOffset>685800</wp:posOffset>
                </wp:positionH>
                <wp:positionV relativeFrom="paragraph">
                  <wp:posOffset>3010535</wp:posOffset>
                </wp:positionV>
                <wp:extent cx="3276600" cy="457200"/>
                <wp:effectExtent l="0" t="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6600" cy="457200"/>
                        </a:xfrm>
                        <a:prstGeom prst="rect">
                          <a:avLst/>
                        </a:prstGeom>
                        <a:solidFill>
                          <a:srgbClr val="FFFFFF"/>
                        </a:solidFill>
                        <a:ln>
                          <a:noFill/>
                        </a:ln>
                      </wps:spPr>
                      <wps:txbx>
                        <w:txbxContent>
                          <w:p w14:paraId="72099874" w14:textId="77777777" w:rsidR="00263246" w:rsidRDefault="00263246" w:rsidP="00263246">
                            <w:pPr>
                              <w:pStyle w:val="BodyTxt"/>
                              <w:rPr>
                                <w:rtl/>
                              </w:rPr>
                            </w:pPr>
                            <w:r>
                              <w:rPr>
                                <w:rFonts w:hint="cs"/>
                                <w:rtl/>
                              </w:rPr>
                              <w:t>خارطة الشرق الأوسط في زمن الأسفار الخمسة</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6E973A" id="Text Box 5" o:spid="_x0000_s1066" type="#_x0000_t202" style="position:absolute;left:0;text-align:left;margin-left:54pt;margin-top:237.05pt;width:258pt;height: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" stroked="f">
                <v:textbox>
                  <w:txbxContent>
                    <w:p w14:paraId="72099874" w14:textId="77777777" w:rsidR="00263246" w:rsidRDefault="00263246" w:rsidP="00263246">
                      <w:pPr>
                        <w:pStyle w:val="BodyTxt"/>
                        <w:rPr>
                          <w:rtl/>
                        </w:rPr>
                      </w:pPr>
                      <w:r>
                        <w:rPr>
                          <w:rFonts w:hint="cs"/>
                          <w:rtl/>
                        </w:rPr>
                        <w:t>خارطة الشرق الأوسط في زمن الأسفار الخمسة</w:t>
                      </w:r>
                    </w:p>
                  </w:txbxContent>
                </v:textbox>
              </v:shape>
            </w:pict>
          </mc:Fallback>
        </mc:AlternateContent>
      </w:r>
    </w:p>
    <w:p w14:paraId="1C8908F5"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2138" w:right="2138" w:hanging="550"/>
        <w:jc w:val="both"/>
        <w:rPr>
          <w:rFonts w:eastAsia="Times New Roman" w:cs="DecoType Naskh"/>
          <w:color w:val="auto"/>
          <w:kern w:val="0"/>
          <w:szCs w:val="26"/>
          <w:rtl/>
          <w:lang w:bidi="ar-JO"/>
          <w14:ligatures w14:val="none"/>
        </w:rPr>
      </w:pPr>
    </w:p>
    <w:p w14:paraId="50295BC5" w14:textId="77777777" w:rsidR="00263246" w:rsidRPr="00263246" w:rsidRDefault="00263246" w:rsidP="002D6C54">
      <w:pPr>
        <w:bidi/>
        <w:spacing w:after="0" w:line="240" w:lineRule="auto"/>
        <w:rPr>
          <w:rFonts w:eastAsia="Times New Roman" w:cs="Traditional Arabic Backslanted"/>
          <w:bCs/>
          <w:noProof/>
          <w:color w:val="auto"/>
          <w:kern w:val="0"/>
          <w:sz w:val="20"/>
          <w:rtl/>
          <w14:ligatures w14:val="none"/>
        </w:rPr>
      </w:pPr>
    </w:p>
    <w:p w14:paraId="5DB27A51" w14:textId="77777777" w:rsidR="00263246" w:rsidRPr="00263246" w:rsidRDefault="00263246" w:rsidP="002D6C54">
      <w:pPr>
        <w:bidi/>
        <w:spacing w:after="0" w:line="240" w:lineRule="auto"/>
        <w:rPr>
          <w:rFonts w:eastAsia="Times New Roman" w:cs="DecoType Naskh"/>
          <w:color w:val="auto"/>
          <w:kern w:val="0"/>
          <w:szCs w:val="18"/>
          <w:rtl/>
          <w:lang w:bidi="ar-KW"/>
          <w14:ligatures w14:val="none"/>
        </w:rPr>
      </w:pPr>
    </w:p>
    <w:p w14:paraId="230B68E4" w14:textId="77777777" w:rsidR="00263246" w:rsidRPr="00263246" w:rsidRDefault="00263246" w:rsidP="002D6C54">
      <w:pPr>
        <w:bidi/>
        <w:spacing w:after="0" w:line="240" w:lineRule="auto"/>
        <w:rPr>
          <w:rFonts w:eastAsia="Times New Roman" w:cs="DecoType Naskh"/>
          <w:color w:val="auto"/>
          <w:kern w:val="0"/>
          <w:szCs w:val="18"/>
          <w:rtl/>
          <w:lang w:bidi="ar-KW"/>
          <w14:ligatures w14:val="none"/>
        </w:rPr>
      </w:pPr>
    </w:p>
    <w:p w14:paraId="07C3C926"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ب.</w:t>
      </w:r>
      <w:r w:rsidRPr="00263246">
        <w:rPr>
          <w:rFonts w:eastAsia="Times New Roman" w:cs="DecoType Naskh" w:hint="cs"/>
          <w:color w:val="auto"/>
          <w:kern w:val="0"/>
          <w:szCs w:val="26"/>
          <w:rtl/>
          <w:lang w:bidi="ar-JO"/>
          <w14:ligatures w14:val="none"/>
        </w:rPr>
        <w:tab/>
        <w:t>سرجون "الكبير" الأكادي (2320-2265)</w:t>
      </w:r>
      <w:r w:rsidRPr="00263246">
        <w:rPr>
          <w:rFonts w:eastAsia="Times New Roman" w:cs="DecoType Naskh"/>
          <w:color w:val="auto"/>
          <w:kern w:val="0"/>
          <w:szCs w:val="26"/>
          <w:vertAlign w:val="superscript"/>
          <w:rtl/>
          <w:lang w:bidi="ar-JO"/>
          <w14:ligatures w14:val="none"/>
        </w:rPr>
        <w:footnoteReference w:id="225"/>
      </w:r>
      <w:r w:rsidRPr="00263246">
        <w:rPr>
          <w:rFonts w:eastAsia="Times New Roman" w:cs="DecoType Naskh" w:hint="cs"/>
          <w:color w:val="auto"/>
          <w:kern w:val="0"/>
          <w:szCs w:val="26"/>
          <w:rtl/>
          <w:lang w:bidi="ar-JO"/>
          <w14:ligatures w14:val="none"/>
        </w:rPr>
        <w:t xml:space="preserve"> </w:t>
      </w:r>
    </w:p>
    <w:p w14:paraId="7D0873DE"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الراجح أن سرجون الكبير هو الشخصية الكتابية التي تُدعى "نمرود" (تكوين 10: 8-12).</w:t>
      </w:r>
      <w:r w:rsidRPr="00263246">
        <w:rPr>
          <w:rFonts w:eastAsia="Times New Roman" w:cs="DecoType Naskh"/>
          <w:color w:val="auto"/>
          <w:kern w:val="0"/>
          <w:szCs w:val="26"/>
          <w:vertAlign w:val="superscript"/>
          <w:rtl/>
          <w:lang w:bidi="ar-JO"/>
          <w14:ligatures w14:val="none"/>
        </w:rPr>
        <w:footnoteReference w:id="226"/>
      </w:r>
    </w:p>
    <w:p w14:paraId="48520D46"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2138" w:right="2138"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1)</w:t>
      </w:r>
      <w:r w:rsidRPr="00263246">
        <w:rPr>
          <w:rFonts w:eastAsia="Times New Roman" w:cs="DecoType Naskh" w:hint="cs"/>
          <w:color w:val="auto"/>
          <w:kern w:val="0"/>
          <w:szCs w:val="26"/>
          <w:rtl/>
          <w:lang w:bidi="ar-JO"/>
          <w14:ligatures w14:val="none"/>
        </w:rPr>
        <w:tab/>
        <w:t>قبل سرجون كان الساميّون والسومريون يسكنون معاً في الأرض.  وقد تقدم الساميّون إلى مركز القوة بقيادة سرجون قبل زمن إبراهيم.</w:t>
      </w:r>
    </w:p>
    <w:p w14:paraId="0ED41990"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2138" w:right="2138"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2)</w:t>
      </w:r>
      <w:r w:rsidRPr="00263246">
        <w:rPr>
          <w:rFonts w:eastAsia="Times New Roman" w:cs="DecoType Naskh" w:hint="cs"/>
          <w:color w:val="auto"/>
          <w:kern w:val="0"/>
          <w:szCs w:val="26"/>
          <w:rtl/>
          <w:lang w:bidi="ar-JO"/>
          <w14:ligatures w14:val="none"/>
        </w:rPr>
        <w:tab/>
        <w:t>بنى سرجون عاصمته الجديدة في أكّاد (= أجيد).  ولا يُعرف موقعها بالضبط، لكن يُعتقد أنه موجود في منطقة بابل في القسم الجنوبي لمنطقة ما بين النهرين، ولا نعرف الكثير عن أشور إلى الشمال أثناء الألفية الثالثة ق م.</w:t>
      </w:r>
    </w:p>
    <w:p w14:paraId="79E568B3"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2138" w:right="2138"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3)</w:t>
      </w:r>
      <w:r w:rsidRPr="00263246">
        <w:rPr>
          <w:rFonts w:eastAsia="Times New Roman" w:cs="DecoType Naskh" w:hint="cs"/>
          <w:color w:val="auto"/>
          <w:kern w:val="0"/>
          <w:szCs w:val="26"/>
          <w:rtl/>
          <w:lang w:bidi="ar-JO"/>
          <w14:ligatures w14:val="none"/>
        </w:rPr>
        <w:tab/>
        <w:t xml:space="preserve">مع الغزو الذي قام به الحكام السومريون في المنطقة السفلى لدجلة </w:t>
      </w:r>
      <w:r w:rsidRPr="00263246">
        <w:rPr>
          <w:rFonts w:eastAsia="Times New Roman" w:cs="DecoType Naskh"/>
          <w:color w:val="auto"/>
          <w:kern w:val="0"/>
          <w:szCs w:val="26"/>
          <w:rtl/>
          <w:lang w:bidi="ar-JO"/>
          <w14:ligatures w14:val="none"/>
        </w:rPr>
        <w:t>–</w:t>
      </w:r>
      <w:r w:rsidRPr="00263246">
        <w:rPr>
          <w:rFonts w:eastAsia="Times New Roman" w:cs="DecoType Naskh" w:hint="cs"/>
          <w:color w:val="auto"/>
          <w:kern w:val="0"/>
          <w:szCs w:val="26"/>
          <w:rtl/>
          <w:lang w:bidi="ar-JO"/>
          <w14:ligatures w14:val="none"/>
        </w:rPr>
        <w:t xml:space="preserve"> الفرات، صارت هذه أول سلالة ساميّة.</w:t>
      </w:r>
    </w:p>
    <w:p w14:paraId="70EE8E7D"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2138" w:right="2138"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4)</w:t>
      </w:r>
      <w:r w:rsidRPr="00263246">
        <w:rPr>
          <w:rFonts w:eastAsia="Times New Roman" w:cs="DecoType Naskh" w:hint="cs"/>
          <w:color w:val="auto"/>
          <w:kern w:val="0"/>
          <w:szCs w:val="26"/>
          <w:rtl/>
          <w:lang w:bidi="ar-JO"/>
          <w14:ligatures w14:val="none"/>
        </w:rPr>
        <w:tab/>
        <w:t>يمكن اعتبار الإمبراطورية الأكادية أول "إمبراطورية عالمية".  وقد انتشرت الثقافة الأكادية عبر الهلال الخصيب.</w:t>
      </w:r>
    </w:p>
    <w:p w14:paraId="0ADD4E2B"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2138" w:right="2138"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5)</w:t>
      </w:r>
      <w:r w:rsidRPr="00263246">
        <w:rPr>
          <w:rFonts w:eastAsia="Times New Roman" w:cs="DecoType Naskh" w:hint="cs"/>
          <w:color w:val="auto"/>
          <w:kern w:val="0"/>
          <w:szCs w:val="26"/>
          <w:rtl/>
          <w:lang w:bidi="ar-JO"/>
          <w14:ligatures w14:val="none"/>
        </w:rPr>
        <w:tab/>
        <w:t>وُضعت اللغة الأكادية (وهي لغة سامية) على شكل كتابة تستخدم الطريقة المسمارية، وهو أسلوب يستخدم "أشكالاً وتدية" على ألواح خزفية أُخِذَ عن السومريين.  أمّا الحضارة الأخرى العظيمة في وادي النيل في مصر فكانت تستخدم الكتابة الهيروغليفية.</w:t>
      </w:r>
    </w:p>
    <w:p w14:paraId="670C8BBB" w14:textId="74B62AF8"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2138" w:right="2138"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6)</w:t>
      </w:r>
      <w:r w:rsidRPr="00263246">
        <w:rPr>
          <w:rFonts w:eastAsia="Times New Roman" w:cs="DecoType Naskh" w:hint="cs"/>
          <w:color w:val="auto"/>
          <w:kern w:val="0"/>
          <w:szCs w:val="26"/>
          <w:rtl/>
          <w:lang w:bidi="ar-JO"/>
          <w14:ligatures w14:val="none"/>
        </w:rPr>
        <w:tab/>
        <w:t>كانت الديانة الأكادية تتمحور حول "شمَش"، إله الشمس عند الأكاديين.  فكان النظام الديني نجمياً فلكياً في طبيعته.</w:t>
      </w:r>
    </w:p>
    <w:p w14:paraId="6759630B"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2138" w:right="2138" w:hanging="550"/>
        <w:jc w:val="both"/>
        <w:rPr>
          <w:rFonts w:eastAsia="Times New Roman" w:cs="DecoType Naskh"/>
          <w:color w:val="auto"/>
          <w:kern w:val="0"/>
          <w:szCs w:val="26"/>
          <w:rtl/>
          <w:lang w:bidi="ar-JO"/>
          <w14:ligatures w14:val="none"/>
        </w:rPr>
      </w:pPr>
    </w:p>
    <w:p w14:paraId="6B397C3A"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4.</w:t>
      </w:r>
      <w:r w:rsidRPr="00263246">
        <w:rPr>
          <w:rFonts w:eastAsia="Times New Roman" w:cs="DecoType Naskh" w:hint="cs"/>
          <w:color w:val="auto"/>
          <w:kern w:val="0"/>
          <w:szCs w:val="26"/>
          <w:rtl/>
          <w:lang w:bidi="ar-JO"/>
          <w14:ligatures w14:val="none"/>
        </w:rPr>
        <w:tab/>
        <w:t>غزو الجوتيين</w:t>
      </w:r>
    </w:p>
    <w:p w14:paraId="175FB81B" w14:textId="6E80C601"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right="1021"/>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 xml:space="preserve">في حوالي 2200ق م غزا شعب جوتي (إلى الشمال الشرقي من بابل) المنطقة الجنوبية من دجلة </w:t>
      </w:r>
      <w:r w:rsidRPr="00263246">
        <w:rPr>
          <w:rFonts w:eastAsia="Times New Roman" w:cs="DecoType Naskh"/>
          <w:color w:val="auto"/>
          <w:kern w:val="0"/>
          <w:szCs w:val="26"/>
          <w:rtl/>
          <w:lang w:bidi="ar-JO"/>
          <w14:ligatures w14:val="none"/>
        </w:rPr>
        <w:t>–</w:t>
      </w:r>
      <w:r w:rsidRPr="00263246">
        <w:rPr>
          <w:rFonts w:eastAsia="Times New Roman" w:cs="DecoType Naskh" w:hint="cs"/>
          <w:color w:val="auto"/>
          <w:kern w:val="0"/>
          <w:szCs w:val="26"/>
          <w:rtl/>
          <w:lang w:bidi="ar-JO"/>
          <w14:ligatures w14:val="none"/>
        </w:rPr>
        <w:t xml:space="preserve"> الفرات وهزموا سلالة أكّاد القوية.  وقد هُزِموا بدورهم على يد أوتو-هيجال من أوروك وتم طردهم (حوالي 2115ق م).  وقد حدث هذا التطور السياسي أثناء وجود إبراهيم في أور وحاران.</w:t>
      </w:r>
    </w:p>
    <w:p w14:paraId="4E26A12D"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5.</w:t>
      </w:r>
      <w:r w:rsidRPr="00263246">
        <w:rPr>
          <w:rFonts w:eastAsia="Times New Roman" w:cs="DecoType Naskh" w:hint="cs"/>
          <w:color w:val="auto"/>
          <w:kern w:val="0"/>
          <w:szCs w:val="26"/>
          <w:rtl/>
          <w:lang w:bidi="ar-JO"/>
          <w14:ligatures w14:val="none"/>
        </w:rPr>
        <w:tab/>
        <w:t xml:space="preserve">الفترة الثالثة لأور (2115ق م </w:t>
      </w:r>
      <w:r w:rsidRPr="00263246">
        <w:rPr>
          <w:rFonts w:eastAsia="Times New Roman" w:cs="DecoType Naskh"/>
          <w:color w:val="auto"/>
          <w:kern w:val="0"/>
          <w:szCs w:val="26"/>
          <w:rtl/>
          <w:lang w:bidi="ar-JO"/>
          <w14:ligatures w14:val="none"/>
        </w:rPr>
        <w:t>–</w:t>
      </w:r>
      <w:r w:rsidRPr="00263246">
        <w:rPr>
          <w:rFonts w:eastAsia="Times New Roman" w:cs="DecoType Naskh" w:hint="cs"/>
          <w:color w:val="auto"/>
          <w:kern w:val="0"/>
          <w:szCs w:val="26"/>
          <w:rtl/>
          <w:lang w:bidi="ar-JO"/>
          <w14:ligatures w14:val="none"/>
        </w:rPr>
        <w:t xml:space="preserve"> حوالي 2000ق م)</w:t>
      </w:r>
    </w:p>
    <w:p w14:paraId="3B020C1F"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right="1021"/>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دُمِّر بيت إبراهيم في أور أثناء هذه الفترة.</w:t>
      </w:r>
    </w:p>
    <w:p w14:paraId="5897D3C2" w14:textId="77777777" w:rsidR="00263246" w:rsidRPr="00263246" w:rsidRDefault="00263246" w:rsidP="002D6C54">
      <w:pPr>
        <w:tabs>
          <w:tab w:val="left" w:pos="454"/>
        </w:tabs>
        <w:bidi/>
        <w:spacing w:after="60" w:line="240" w:lineRule="auto"/>
        <w:ind w:left="550" w:hanging="550"/>
        <w:jc w:val="both"/>
        <w:rPr>
          <w:rFonts w:eastAsia="Times New Roman" w:cs="DecoType Naskh"/>
          <w:bCs/>
          <w:color w:val="auto"/>
          <w:kern w:val="0"/>
          <w:szCs w:val="26"/>
          <w:rtl/>
          <w:lang w:bidi="ar-KW"/>
          <w14:ligatures w14:val="none"/>
        </w:rPr>
      </w:pPr>
    </w:p>
    <w:p w14:paraId="53A392CA" w14:textId="155BF21D" w:rsidR="00263246" w:rsidRPr="00263246" w:rsidRDefault="00263246"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263246">
        <w:rPr>
          <w:rFonts w:eastAsia="Times New Roman" w:cs="DecoType Naskh" w:hint="cs"/>
          <w:bCs/>
          <w:color w:val="auto"/>
          <w:kern w:val="0"/>
          <w:szCs w:val="26"/>
          <w:rtl/>
          <w14:ligatures w14:val="none"/>
        </w:rPr>
        <w:t>جـ.</w:t>
      </w:r>
      <w:r w:rsidRPr="00263246">
        <w:rPr>
          <w:rFonts w:eastAsia="Times New Roman" w:cs="DecoType Naskh" w:hint="cs"/>
          <w:bCs/>
          <w:color w:val="auto"/>
          <w:kern w:val="0"/>
          <w:szCs w:val="26"/>
          <w:rtl/>
          <w14:ligatures w14:val="none"/>
        </w:rPr>
        <w:tab/>
        <w:t>حمورابي البابلي (1792-1750ق م)</w:t>
      </w:r>
      <w:r w:rsidRPr="00263246">
        <w:rPr>
          <w:rFonts w:eastAsia="Times New Roman" w:cs="DecoType Naskh"/>
          <w:bCs/>
          <w:color w:val="auto"/>
          <w:kern w:val="0"/>
          <w:szCs w:val="26"/>
          <w:vertAlign w:val="superscript"/>
          <w:rtl/>
          <w14:ligatures w14:val="none"/>
        </w:rPr>
        <w:footnoteReference w:id="227"/>
      </w:r>
    </w:p>
    <w:p w14:paraId="45433D01" w14:textId="48D9DBD0"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ملاحظة: مات يوسف في عام 1806ق م.  وتُعرف الفترة ما بين 1950-1530ق م على أنها الفترة البابلية القديمة.  وحمورابي هو أشهر ملوك هذه الفترة في منطقة ما بين النهرين.</w:t>
      </w:r>
    </w:p>
    <w:p w14:paraId="3F881F3D"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14:ligatures w14:val="none"/>
        </w:rPr>
      </w:pPr>
      <w:r w:rsidRPr="00263246">
        <w:rPr>
          <w:rFonts w:eastAsia="Times New Roman" w:cs="DecoType Naskh" w:hint="cs"/>
          <w:color w:val="auto"/>
          <w:kern w:val="0"/>
          <w:szCs w:val="26"/>
          <w:rtl/>
          <w:lang w:bidi="ar-JO"/>
          <w14:ligatures w14:val="none"/>
        </w:rPr>
        <w:t>1.</w:t>
      </w:r>
      <w:r w:rsidRPr="00263246">
        <w:rPr>
          <w:rFonts w:eastAsia="Times New Roman" w:cs="DecoType Naskh" w:hint="cs"/>
          <w:color w:val="auto"/>
          <w:kern w:val="0"/>
          <w:szCs w:val="26"/>
          <w:rtl/>
          <w:lang w:bidi="ar-JO"/>
          <w14:ligatures w14:val="none"/>
        </w:rPr>
        <w:tab/>
        <w:t>حمورابي مشهور بالقانون المعروف باسمه (تم اكتشافه في عام 1902 م في شوشن).</w:t>
      </w:r>
    </w:p>
    <w:p w14:paraId="642332C3" w14:textId="68D2935A"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noProof/>
          <w:color w:val="auto"/>
          <w:kern w:val="0"/>
          <w:sz w:val="20"/>
          <w:szCs w:val="26"/>
          <w:rtl/>
          <w:lang w:bidi="he-IL"/>
          <w14:ligatures w14:val="none"/>
        </w:rPr>
        <w:lastRenderedPageBreak/>
        <w:drawing>
          <wp:anchor distT="0" distB="0" distL="114300" distR="114300" simplePos="0" relativeHeight="251655168" behindDoc="0" locked="0" layoutInCell="1" allowOverlap="1" wp14:anchorId="57571DEF" wp14:editId="57C8C481">
            <wp:simplePos x="0" y="0"/>
            <wp:positionH relativeFrom="column">
              <wp:posOffset>0</wp:posOffset>
            </wp:positionH>
            <wp:positionV relativeFrom="paragraph">
              <wp:posOffset>25400</wp:posOffset>
            </wp:positionV>
            <wp:extent cx="1783080" cy="2286000"/>
            <wp:effectExtent l="0" t="0" r="7620" b="0"/>
            <wp:wrapSquare wrapText="bothSides"/>
            <wp:docPr id="93" name="Picture 93" descr="Ham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amLaw"/>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78308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3246">
        <w:rPr>
          <w:rFonts w:eastAsia="Times New Roman" w:cs="DecoType Naskh" w:hint="cs"/>
          <w:color w:val="auto"/>
          <w:kern w:val="0"/>
          <w:szCs w:val="26"/>
          <w:rtl/>
          <w:lang w:bidi="ar-JO"/>
          <w14:ligatures w14:val="none"/>
        </w:rPr>
        <w:t>2.</w:t>
      </w:r>
      <w:r w:rsidRPr="00263246">
        <w:rPr>
          <w:rFonts w:eastAsia="Times New Roman" w:cs="DecoType Naskh" w:hint="cs"/>
          <w:color w:val="auto"/>
          <w:kern w:val="0"/>
          <w:szCs w:val="26"/>
          <w:rtl/>
          <w:lang w:bidi="ar-JO"/>
          <w14:ligatures w14:val="none"/>
        </w:rPr>
        <w:tab/>
        <w:t>اكتشفت قوانين في الشرق الأدنى القديم تعود إلى تاريخ أسبق، لكن هذا هو أكثرها اكتمالاًً.  تصوّر هذه الصورة الملك ماثلاً أمام إلهه ليتلقّى الشريعة من يديه.</w:t>
      </w:r>
    </w:p>
    <w:p w14:paraId="355F473F" w14:textId="674260F2"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3.</w:t>
      </w:r>
      <w:r w:rsidRPr="00263246">
        <w:rPr>
          <w:rFonts w:eastAsia="Times New Roman" w:cs="DecoType Naskh" w:hint="cs"/>
          <w:color w:val="auto"/>
          <w:kern w:val="0"/>
          <w:szCs w:val="26"/>
          <w:rtl/>
          <w:lang w:bidi="ar-JO"/>
          <w14:ligatures w14:val="none"/>
        </w:rPr>
        <w:tab/>
        <w:t>لم تكن هذه الشريعة جديدة كلياً، لكنها كانت تجميعاً وتصنيفاً لقرارات واجتهادات المحاكم في ذلك الوقت في منطقة ما بين النهرين.</w:t>
      </w:r>
    </w:p>
    <w:p w14:paraId="233CFEA6" w14:textId="05684F54"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4.</w:t>
      </w:r>
      <w:r w:rsidRPr="00263246">
        <w:rPr>
          <w:rFonts w:eastAsia="Times New Roman" w:cs="DecoType Naskh" w:hint="cs"/>
          <w:color w:val="auto"/>
          <w:kern w:val="0"/>
          <w:szCs w:val="26"/>
          <w:rtl/>
          <w:lang w:bidi="ar-JO"/>
          <w14:ligatures w14:val="none"/>
        </w:rPr>
        <w:tab/>
        <w:t>الشريعة مكتوبة بـ "أسلوب الإفتاء في قضايا الضمير والسلوك"، مع ذكر لحالات افتراضية يتبعها الجزاء الملائم.</w:t>
      </w:r>
    </w:p>
    <w:p w14:paraId="7601FA12" w14:textId="69BA7CA2"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p>
    <w:p w14:paraId="44E38797" w14:textId="77777777" w:rsidR="00263246" w:rsidRPr="00263246" w:rsidRDefault="00263246"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263246">
        <w:rPr>
          <w:rFonts w:eastAsia="Times New Roman" w:cs="DecoType Naskh" w:hint="cs"/>
          <w:bCs/>
          <w:color w:val="auto"/>
          <w:kern w:val="0"/>
          <w:szCs w:val="28"/>
          <w:rtl/>
          <w:lang w:bidi="ar-JO"/>
          <w14:ligatures w14:val="none"/>
        </w:rPr>
        <w:t>2.</w:t>
      </w:r>
      <w:r w:rsidRPr="00263246">
        <w:rPr>
          <w:rFonts w:eastAsia="Times New Roman" w:cs="DecoType Naskh" w:hint="cs"/>
          <w:bCs/>
          <w:color w:val="auto"/>
          <w:kern w:val="0"/>
          <w:szCs w:val="28"/>
          <w:rtl/>
          <w:lang w:bidi="ar-JO"/>
          <w14:ligatures w14:val="none"/>
        </w:rPr>
        <w:tab/>
        <w:t>مساهمات أدبية دينية</w:t>
      </w:r>
      <w:r w:rsidRPr="00263246">
        <w:rPr>
          <w:rFonts w:eastAsia="Times New Roman" w:cs="DecoType Naskh"/>
          <w:b/>
          <w:color w:val="auto"/>
          <w:kern w:val="0"/>
          <w:szCs w:val="28"/>
          <w:vertAlign w:val="superscript"/>
          <w:rtl/>
          <w:lang w:bidi="ar-JO"/>
          <w14:ligatures w14:val="none"/>
        </w:rPr>
        <w:footnoteReference w:id="228"/>
      </w:r>
    </w:p>
    <w:p w14:paraId="67D579DB" w14:textId="2ADF383B"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 xml:space="preserve">إن أهمّ عملين أدبيين في هذه الفترة هما إنوما إليش وملحمة جلجامش.  يتضمن الأول سرداً لعملية الخلق والآخر طوفاناً كونياً.  وتختلف الروايتين إلى حد كبير عن الرواية الكتابية، على الرغم من انه أمر مثير للاهتمام أن نجد رواية موازية للطوفان من مصدر أدبي خارج الكتاب المقدَّس.  وعلى الرغم من أن هاتين الروايتين تعودان إلى فترة بعيدة في التاريخ، إلاّ أنهما وجدا تعبيرهما التقليدي في اللغة الأكادية في زمن حمورابي.  وفي هاتين النسختين، تمجّد الروايتان بابل.  ويتخلى إنليل إله نبّور القديم عن مكانة الكرامة لمردوك، إله بابل المحلي. </w:t>
      </w:r>
    </w:p>
    <w:p w14:paraId="03B0A3C6"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الدلالة: يمثل هذا نظرة العالم التي بدأ منها الله برنامجه الفدائي بإبراهيم وعاش الآباء في فترة وجودها.  وتشكّل هاتان الروايتان تناقضاً كبيراً مع الروايات الكتابية.</w:t>
      </w:r>
    </w:p>
    <w:p w14:paraId="2A8794E9" w14:textId="23231C3C" w:rsidR="00263246" w:rsidRPr="00263246" w:rsidRDefault="00263246"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263246">
        <w:rPr>
          <w:rFonts w:eastAsia="Times New Roman" w:cs="DecoType Naskh"/>
          <w:bCs/>
          <w:color w:val="auto"/>
          <w:kern w:val="0"/>
          <w:szCs w:val="26"/>
          <w:rtl/>
          <w14:ligatures w14:val="none"/>
        </w:rPr>
        <w:t>أ.</w:t>
      </w:r>
      <w:r w:rsidRPr="00263246">
        <w:rPr>
          <w:rFonts w:eastAsia="Times New Roman" w:cs="DecoType Naskh"/>
          <w:bCs/>
          <w:color w:val="auto"/>
          <w:kern w:val="0"/>
          <w:szCs w:val="26"/>
          <w:rtl/>
          <w14:ligatures w14:val="none"/>
        </w:rPr>
        <w:tab/>
        <w:t>إنوما إليش (ملحمة الخلق)</w:t>
      </w:r>
      <w:r w:rsidRPr="00263246">
        <w:rPr>
          <w:rFonts w:eastAsia="Times New Roman" w:cs="DecoType Naskh" w:hint="cs"/>
          <w:bCs/>
          <w:color w:val="auto"/>
          <w:kern w:val="0"/>
          <w:szCs w:val="26"/>
          <w:rtl/>
          <w14:ligatures w14:val="none"/>
        </w:rPr>
        <w:t xml:space="preserve">  </w:t>
      </w:r>
    </w:p>
    <w:p w14:paraId="2E68680A"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 xml:space="preserve">في هذه الرواية </w:t>
      </w:r>
      <w:r w:rsidRPr="00263246">
        <w:rPr>
          <w:rFonts w:eastAsia="Times New Roman" w:cs="DecoType Naskh" w:hint="cs"/>
          <w:color w:val="auto"/>
          <w:kern w:val="0"/>
          <w:szCs w:val="26"/>
          <w:u w:val="single"/>
          <w:rtl/>
          <w:lang w:bidi="ar-JO"/>
          <w14:ligatures w14:val="none"/>
        </w:rPr>
        <w:t>لا</w:t>
      </w:r>
      <w:r w:rsidRPr="00263246">
        <w:rPr>
          <w:rFonts w:eastAsia="Times New Roman" w:cs="DecoType Naskh" w:hint="cs"/>
          <w:color w:val="auto"/>
          <w:kern w:val="0"/>
          <w:szCs w:val="26"/>
          <w:rtl/>
          <w:lang w:bidi="ar-JO"/>
          <w14:ligatures w14:val="none"/>
        </w:rPr>
        <w:t xml:space="preserve"> تأتي الخليقة من الإرادة المنطوقة لله الواحد المحب، بل من صراع بين آلهة عديدة.</w:t>
      </w:r>
    </w:p>
    <w:p w14:paraId="766C26B7"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تبدأ هذه الرواية بعلاقة آبسو (إله الماء العذب) وتيامات (إلهة المياه البحرية).  وينجب هذان آلهة عديدة.  ويقوم الإله إيا "كلي الحكمة" بقتل "آبسو"، وهو عمل يؤدي إلى خلق مردوك.  وتسعى تيامات، زوجة آبسو إلى الانتقام من إي الذي قتل آبسو.  ويتم اختيار مردوك (الذي خلقه إيا) ليكون بطل إيا، وفي سياق القصة يقوم مردوك بقتل تيامات.</w:t>
      </w:r>
    </w:p>
    <w:p w14:paraId="2E162794"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lang w:bidi="ar-JO"/>
          <w14:ligatures w14:val="none"/>
        </w:rPr>
      </w:pPr>
      <w:r w:rsidRPr="00263246">
        <w:rPr>
          <w:rFonts w:eastAsia="Times New Roman" w:cs="DecoType Naskh" w:hint="cs"/>
          <w:color w:val="auto"/>
          <w:kern w:val="0"/>
          <w:szCs w:val="26"/>
          <w:rtl/>
          <w:lang w:bidi="ar-JO"/>
          <w14:ligatures w14:val="none"/>
        </w:rPr>
        <w:t>وفي نهاية الأمر يُقتل أيضاً كِنجو (رئيس أركان تيامات)، وصنع إي من دمه البشر بقصد "خدمة الآلهة".  ولأن مردوك أنقذ الآلهة من تيامات الشرّيرة، بنوا له مدينة بابل، تلك العاصمة العظيمة. وهكذا صارت هذه المدينة هي المدينة التي تفضّلها الآلهة. وتنتهي القصيدة بجعل بابل مسكناً للآلهة.  والفكرة واضحة هنا، وهي أنه يجب أن تمجَّد بابل كسيدة للشعوب، وأن يمجَّد مردوك بصفته الإله الرئيسي في مجمَّع آلهتها.</w:t>
      </w:r>
    </w:p>
    <w:p w14:paraId="22F91E3A"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4A095928" w14:textId="77777777" w:rsidR="00263246" w:rsidRPr="00263246" w:rsidRDefault="00263246"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263246">
        <w:rPr>
          <w:rFonts w:eastAsia="Times New Roman" w:cs="DecoType Naskh" w:hint="cs"/>
          <w:bCs/>
          <w:color w:val="auto"/>
          <w:kern w:val="0"/>
          <w:szCs w:val="26"/>
          <w:rtl/>
          <w14:ligatures w14:val="none"/>
        </w:rPr>
        <w:t>ب.</w:t>
      </w:r>
      <w:r w:rsidRPr="00263246">
        <w:rPr>
          <w:rFonts w:eastAsia="Times New Roman" w:cs="DecoType Naskh" w:hint="cs"/>
          <w:bCs/>
          <w:color w:val="auto"/>
          <w:kern w:val="0"/>
          <w:szCs w:val="26"/>
          <w:rtl/>
          <w14:ligatures w14:val="none"/>
        </w:rPr>
        <w:tab/>
        <w:t xml:space="preserve">ملحمة جلجامش (تسرد رواية لطوفان؛ </w:t>
      </w:r>
      <w:r w:rsidRPr="00263246">
        <w:rPr>
          <w:rFonts w:eastAsia="Times New Roman" w:cs="DecoType Naskh"/>
          <w:bCs/>
          <w:color w:val="auto"/>
          <w:kern w:val="0"/>
          <w:szCs w:val="26"/>
          <w:rtl/>
          <w14:ligatures w14:val="none"/>
        </w:rPr>
        <w:t xml:space="preserve">انظر غريسانتي، </w:t>
      </w:r>
      <w:r w:rsidRPr="00263246">
        <w:rPr>
          <w:rFonts w:eastAsia="Times New Roman" w:cs="DecoType Naskh"/>
          <w:bCs/>
          <w:i/>
          <w:iCs/>
          <w:color w:val="auto"/>
          <w:kern w:val="0"/>
          <w:szCs w:val="26"/>
          <w:rtl/>
          <w14:ligatures w14:val="none"/>
        </w:rPr>
        <w:t>العالم والكلمة</w:t>
      </w:r>
      <w:r w:rsidRPr="00263246">
        <w:rPr>
          <w:rFonts w:eastAsia="Times New Roman" w:cs="DecoType Naskh"/>
          <w:bCs/>
          <w:color w:val="auto"/>
          <w:kern w:val="0"/>
          <w:szCs w:val="26"/>
          <w:rtl/>
          <w14:ligatures w14:val="none"/>
        </w:rPr>
        <w:t>، 58-59</w:t>
      </w:r>
      <w:r w:rsidRPr="00263246">
        <w:rPr>
          <w:rFonts w:eastAsia="Times New Roman" w:cs="DecoType Naskh" w:hint="cs"/>
          <w:bCs/>
          <w:color w:val="auto"/>
          <w:kern w:val="0"/>
          <w:szCs w:val="26"/>
          <w:rtl/>
          <w14:ligatures w14:val="none"/>
        </w:rPr>
        <w:t>)</w:t>
      </w:r>
    </w:p>
    <w:p w14:paraId="63AE3550"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تدور هذه القصة الشعرية حول شخص معروف باسم الملك جلجامش.  ولهذا الملك صديق اسمه إنكيدو.  ويُقتل إنكيدو هذا عقاباً له على إزعاجه للآلهة.  ونتيجة لذلك يحس جلجامش بألم عميق ويذهب بحثاً عن الخلود.</w:t>
      </w:r>
    </w:p>
    <w:p w14:paraId="2D40197A"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ويصوّر أحد أبيات القصيدة معضلة البشر:</w:t>
      </w:r>
    </w:p>
    <w:p w14:paraId="0F1E27E1"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right="1021"/>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"عندما خلقت الآلهة البشر، خصَّصوا الموت للبشر، مُبقين الحياة في أيديهم."</w:t>
      </w:r>
    </w:p>
    <w:p w14:paraId="12EC8BF4"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7C1BF5F"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lastRenderedPageBreak/>
        <w:t>تمثلت خطة جلجامش في أن يجد شخصاً اسمه أتنابِشتيم يمكن أن يساعده في مسعاه.  وأتنابِشتيم هذا نظيرٌ نوعاً ما لنوح الكتابي.  فقد بقي أتنابِشتيم حياً بعد الطوفان بمساعدة إي، وهو الوحيد الذي حصل على الخلود.  ويلخص شوانتس كيفية مساعدة أتنابِشتيم لجلجامش:</w:t>
      </w:r>
    </w:p>
    <w:p w14:paraId="7ED76E08" w14:textId="77777777" w:rsidR="00263246" w:rsidRPr="00263246" w:rsidRDefault="00263246" w:rsidP="002D6C54">
      <w:pPr>
        <w:bidi/>
        <w:spacing w:after="0" w:line="240" w:lineRule="auto"/>
        <w:rPr>
          <w:rFonts w:eastAsia="Times New Roman" w:cs="DecoType Naskh"/>
          <w:color w:val="auto"/>
          <w:kern w:val="0"/>
          <w:szCs w:val="18"/>
          <w:rtl/>
          <w:lang w:bidi="ar-KW"/>
          <w14:ligatures w14:val="none"/>
        </w:rPr>
      </w:pPr>
    </w:p>
    <w:p w14:paraId="29A536E6"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right="1021"/>
        <w:jc w:val="both"/>
        <w:rPr>
          <w:rFonts w:eastAsia="Times New Roman" w:cs="DecoType Naskh"/>
          <w:color w:val="auto"/>
          <w:kern w:val="0"/>
          <w:szCs w:val="26"/>
          <w:rtl/>
          <w14:ligatures w14:val="none"/>
        </w:rPr>
      </w:pPr>
      <w:r w:rsidRPr="00263246">
        <w:rPr>
          <w:rFonts w:eastAsia="Times New Roman" w:cs="DecoType Naskh" w:hint="cs"/>
          <w:color w:val="auto"/>
          <w:kern w:val="0"/>
          <w:szCs w:val="26"/>
          <w:rtl/>
          <w:lang w:bidi="ar-JO"/>
          <w14:ligatures w14:val="none"/>
        </w:rPr>
        <w:t>"يسرد أُتنابِشتيم على مسمع جلجامش التعليمات التي تلقّاها للإعداد لبناء سفينة، والعاصفة الشديدة التي جلبت الطوفان، وكيف أنه أرسل أولاً حمامة، ثم طائر السنونو، وأخيراً غراباً لم يعد.... وقد وبخت الآلهة إنليل على جلبه للطوفان وتدمير كل البشر، فنزل على متن السفينة ومنح أُتنابِشتيم وزوجته حياة الخلود.</w:t>
      </w:r>
      <w:r w:rsidRPr="00263246">
        <w:rPr>
          <w:rFonts w:eastAsia="Times New Roman" w:cs="DecoType Naskh"/>
          <w:color w:val="auto"/>
          <w:kern w:val="0"/>
          <w:szCs w:val="26"/>
          <w:vertAlign w:val="superscript"/>
          <w:rtl/>
          <w:lang w:bidi="ar-JO"/>
          <w14:ligatures w14:val="none"/>
        </w:rPr>
        <w:footnoteReference w:id="229"/>
      </w:r>
    </w:p>
    <w:p w14:paraId="4237D11F"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rtl/>
          <w:lang w:bidi="ar-JO"/>
          <w14:ligatures w14:val="none"/>
        </w:rPr>
      </w:pPr>
    </w:p>
    <w:p w14:paraId="725E7B9C"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lang w:bidi="ar-JO"/>
          <w14:ligatures w14:val="none"/>
        </w:rPr>
      </w:pPr>
      <w:r w:rsidRPr="00263246">
        <w:rPr>
          <w:rFonts w:eastAsia="Times New Roman" w:cs="DecoType Naskh" w:hint="cs"/>
          <w:color w:val="auto"/>
          <w:kern w:val="0"/>
          <w:sz w:val="18"/>
          <w:szCs w:val="20"/>
          <w:rtl/>
          <w:lang w:bidi="ar-JO"/>
          <w14:ligatures w14:val="none"/>
        </w:rPr>
        <w:t xml:space="preserve">ولكن للأسف، لم يعُد جلجامش إلى موطنه ومعه سرّ الخلود، ولذا بقي على الجنس البشري أن يعاني الموت. </w:t>
      </w:r>
    </w:p>
    <w:p w14:paraId="2DB8F859" w14:textId="77777777" w:rsidR="00263246" w:rsidRPr="00263246" w:rsidRDefault="00263246" w:rsidP="002D6C54">
      <w:pPr>
        <w:bidi/>
        <w:spacing w:after="0" w:line="240" w:lineRule="auto"/>
        <w:jc w:val="center"/>
        <w:rPr>
          <w:rFonts w:eastAsia="Times New Roman" w:cs="DecoType Naskh"/>
          <w:color w:val="A50021"/>
          <w:kern w:val="0"/>
          <w:szCs w:val="32"/>
          <w:rtl/>
          <w:lang w:bidi="ar-JO"/>
          <w14:ligatures w14:val="none"/>
        </w:rPr>
      </w:pPr>
    </w:p>
    <w:p w14:paraId="2C1C3EBB" w14:textId="77777777" w:rsidR="00263246" w:rsidRPr="00263246" w:rsidRDefault="00263246" w:rsidP="002D6C54">
      <w:pPr>
        <w:bidi/>
        <w:spacing w:after="0" w:line="240" w:lineRule="auto"/>
        <w:jc w:val="center"/>
        <w:rPr>
          <w:rFonts w:eastAsia="Times New Roman" w:cs="DecoType Naskh"/>
          <w:color w:val="A50021"/>
          <w:kern w:val="0"/>
          <w:szCs w:val="32"/>
          <w:rtl/>
          <w:lang w:bidi="ar-JO"/>
          <w14:ligatures w14:val="none"/>
        </w:rPr>
      </w:pPr>
    </w:p>
    <w:p w14:paraId="4D3E6632" w14:textId="7EAA8C42" w:rsidR="006311FA" w:rsidRDefault="006311FA" w:rsidP="002D6C54">
      <w:pPr>
        <w:pStyle w:val="BodyTextIndent"/>
        <w:rPr>
          <w:lang w:bidi="ar-JO"/>
        </w:rPr>
      </w:pPr>
    </w:p>
    <w:p w14:paraId="48583914" w14:textId="42CC77AD" w:rsidR="00E16BAB" w:rsidRDefault="00E16BAB" w:rsidP="002D6C54">
      <w:pPr>
        <w:pStyle w:val="BodyTextIndent"/>
      </w:pPr>
      <w:r>
        <w:br w:type="page"/>
      </w:r>
    </w:p>
    <w:p w14:paraId="779E86AA" w14:textId="2896914D" w:rsidR="002C23D1" w:rsidRDefault="003D46FC" w:rsidP="003D46FC">
      <w:pPr>
        <w:pStyle w:val="Heading2"/>
        <w:bidi/>
      </w:pPr>
      <w:bookmarkStart w:id="170" w:name="_Hlk157075136"/>
      <w:r>
        <w:rPr>
          <w:rFonts w:hint="cs"/>
          <w:rtl/>
        </w:rPr>
        <w:lastRenderedPageBreak/>
        <w:t xml:space="preserve">الملحق 2: </w:t>
      </w:r>
      <w:bookmarkStart w:id="171" w:name="_Hlk191451615"/>
      <w:r>
        <w:rPr>
          <w:rFonts w:hint="cs"/>
          <w:rtl/>
        </w:rPr>
        <w:t xml:space="preserve">آراء ونظريّات معاصرة بشأن تكوين 1: 1-3 </w:t>
      </w:r>
      <w:bookmarkEnd w:id="171"/>
    </w:p>
    <w:p w14:paraId="436FC1BE" w14:textId="2508C139" w:rsidR="003D46FC" w:rsidRPr="003D46FC" w:rsidRDefault="003D46FC" w:rsidP="003D46FC">
      <w:pPr>
        <w:pStyle w:val="Heading4RED"/>
        <w:bidi/>
        <w:rPr>
          <w:rFonts w:ascii="Simplified Arabic" w:hAnsi="Simplified Arabic" w:cs="Simplified Arabic"/>
          <w:rtl/>
        </w:rPr>
      </w:pPr>
      <w:r w:rsidRPr="003D46FC">
        <w:rPr>
          <w:rFonts w:ascii="Simplified Arabic" w:hAnsi="Simplified Arabic" w:cs="Simplified Arabic"/>
          <w:rtl/>
        </w:rPr>
        <w:t>مُقدِّمة</w:t>
      </w:r>
    </w:p>
    <w:p w14:paraId="49008F4A" w14:textId="6B0C1655" w:rsidR="00894252" w:rsidRDefault="003D46FC" w:rsidP="003D46FC">
      <w:pPr>
        <w:bidi/>
        <w:spacing w:line="240" w:lineRule="auto"/>
        <w:rPr>
          <w:rFonts w:ascii="Simplified Arabic" w:hAnsi="Simplified Arabic" w:cs="Simplified Arabic"/>
          <w:sz w:val="26"/>
          <w:szCs w:val="26"/>
          <w:rtl/>
        </w:rPr>
      </w:pPr>
      <w:r>
        <w:rPr>
          <w:rFonts w:ascii="Simplified Arabic" w:hAnsi="Simplified Arabic" w:cs="Simplified Arabic" w:hint="cs"/>
          <w:sz w:val="26"/>
          <w:szCs w:val="26"/>
          <w:rtl/>
        </w:rPr>
        <w:t>طريقة فهم المرء للآيات الثلاثة الأولى من تكوين 1 (وعلاقتها بعضها ببعض) هي إحدى القضايا المهمة في تفسير رواية الخلق. طبعًا هناك مسائل مهمة أخرى ينبغي وضعها في الاعتبار والتفكير بها، مثل كيفيّة فهم الكلمة "يوم"، والب</w:t>
      </w:r>
      <w:r w:rsidR="00881AA8">
        <w:rPr>
          <w:rFonts w:ascii="Simplified Arabic" w:hAnsi="Simplified Arabic" w:cs="Simplified Arabic" w:hint="cs"/>
          <w:sz w:val="26"/>
          <w:szCs w:val="26"/>
          <w:rtl/>
        </w:rPr>
        <w:t>ُ</w:t>
      </w:r>
      <w:r>
        <w:rPr>
          <w:rFonts w:ascii="Simplified Arabic" w:hAnsi="Simplified Arabic" w:cs="Simplified Arabic" w:hint="cs"/>
          <w:sz w:val="26"/>
          <w:szCs w:val="26"/>
          <w:rtl/>
        </w:rPr>
        <w:t>نية الأدبيّة لل</w:t>
      </w:r>
      <w:r w:rsidR="00881AA8">
        <w:rPr>
          <w:rFonts w:ascii="Simplified Arabic" w:hAnsi="Simplified Arabic" w:cs="Simplified Arabic" w:hint="cs"/>
          <w:sz w:val="26"/>
          <w:szCs w:val="26"/>
          <w:rtl/>
        </w:rPr>
        <w:t>أ</w:t>
      </w:r>
      <w:r>
        <w:rPr>
          <w:rFonts w:ascii="Simplified Arabic" w:hAnsi="Simplified Arabic" w:cs="Simplified Arabic" w:hint="cs"/>
          <w:sz w:val="26"/>
          <w:szCs w:val="26"/>
          <w:rtl/>
        </w:rPr>
        <w:t>يام الستة، ومسألة وجود النور في اليوم الأول قبل خلق الشمس، ومسائل أخرى. وفي ما يلي وصف قصير وملخَّص لبعض الآ</w:t>
      </w:r>
      <w:r w:rsidR="00881AA8">
        <w:rPr>
          <w:rFonts w:ascii="Simplified Arabic" w:hAnsi="Simplified Arabic" w:cs="Simplified Arabic" w:hint="cs"/>
          <w:sz w:val="26"/>
          <w:szCs w:val="26"/>
          <w:rtl/>
        </w:rPr>
        <w:t>ر</w:t>
      </w:r>
      <w:r>
        <w:rPr>
          <w:rFonts w:ascii="Simplified Arabic" w:hAnsi="Simplified Arabic" w:cs="Simplified Arabic" w:hint="cs"/>
          <w:sz w:val="26"/>
          <w:szCs w:val="26"/>
          <w:rtl/>
        </w:rPr>
        <w:t xml:space="preserve">اء الشائعة التي يتبنّاها الإنجيليّون:  </w:t>
      </w:r>
    </w:p>
    <w:p w14:paraId="6AA9EB5D" w14:textId="77777777" w:rsidR="00745F4B" w:rsidRDefault="00745F4B" w:rsidP="003D46FC">
      <w:pPr>
        <w:bidi/>
        <w:spacing w:line="240" w:lineRule="auto"/>
        <w:rPr>
          <w:rFonts w:ascii="Simplified Arabic" w:hAnsi="Simplified Arabic" w:cs="Simplified Arabic"/>
          <w:sz w:val="26"/>
          <w:szCs w:val="26"/>
          <w:rtl/>
        </w:rPr>
      </w:pPr>
    </w:p>
    <w:p w14:paraId="6F0B2A2E" w14:textId="13B72D46" w:rsidR="003D46FC" w:rsidRPr="00745F4B" w:rsidRDefault="003D46FC" w:rsidP="00745F4B">
      <w:pPr>
        <w:bidi/>
        <w:spacing w:line="240" w:lineRule="auto"/>
        <w:rPr>
          <w:rFonts w:ascii="Simplified Arabic" w:hAnsi="Simplified Arabic" w:cs="Simplified Arabic"/>
          <w:b/>
          <w:bCs/>
          <w:sz w:val="26"/>
          <w:szCs w:val="26"/>
          <w:rtl/>
        </w:rPr>
      </w:pPr>
      <w:r w:rsidRPr="00780E87">
        <w:rPr>
          <w:rFonts w:ascii="Simplified Arabic" w:hAnsi="Simplified Arabic" w:cs="Simplified Arabic" w:hint="cs"/>
          <w:b/>
          <w:bCs/>
          <w:sz w:val="28"/>
          <w:szCs w:val="28"/>
          <w:rtl/>
        </w:rPr>
        <w:t xml:space="preserve">أولًا: </w:t>
      </w:r>
      <w:r w:rsidR="00745F4B" w:rsidRPr="00780E87">
        <w:rPr>
          <w:rFonts w:ascii="Simplified Arabic" w:hAnsi="Simplified Arabic" w:cs="Simplified Arabic" w:hint="cs"/>
          <w:b/>
          <w:bCs/>
          <w:sz w:val="28"/>
          <w:szCs w:val="28"/>
          <w:rtl/>
        </w:rPr>
        <w:t>رأي الأيام الستة الحرفيّة التقليدي</w:t>
      </w:r>
      <w:r w:rsidR="00745F4B" w:rsidRPr="00745F4B">
        <w:rPr>
          <w:rStyle w:val="FootnoteReference"/>
          <w:rFonts w:ascii="Simplified Arabic" w:hAnsi="Simplified Arabic" w:cs="Simplified Arabic"/>
          <w:sz w:val="26"/>
          <w:szCs w:val="26"/>
          <w:rtl/>
        </w:rPr>
        <w:footnoteReference w:id="230"/>
      </w:r>
    </w:p>
    <w:p w14:paraId="63A640D7" w14:textId="215C57E9" w:rsidR="00745F4B" w:rsidRDefault="00745F4B" w:rsidP="00745F4B">
      <w:pPr>
        <w:bidi/>
        <w:spacing w:line="240" w:lineRule="auto"/>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 xml:space="preserve">- كل ما يرد في تكوين 1: 1 </w:t>
      </w:r>
      <w:r>
        <w:rPr>
          <w:rFonts w:ascii="Simplified Arabic" w:hAnsi="Simplified Arabic" w:cs="Simplified Arabic"/>
          <w:sz w:val="26"/>
          <w:szCs w:val="26"/>
          <w:rtl/>
          <w:lang w:bidi="ar-JO"/>
        </w:rPr>
        <w:t>–</w:t>
      </w:r>
      <w:r>
        <w:rPr>
          <w:rFonts w:ascii="Simplified Arabic" w:hAnsi="Simplified Arabic" w:cs="Simplified Arabic" w:hint="cs"/>
          <w:sz w:val="26"/>
          <w:szCs w:val="26"/>
          <w:rtl/>
          <w:lang w:bidi="ar-JO"/>
        </w:rPr>
        <w:t xml:space="preserve"> 2: 3 حدث في ستة أيّام حرفيّة. </w:t>
      </w:r>
    </w:p>
    <w:p w14:paraId="4F5BEC9E" w14:textId="2FBD63D0" w:rsidR="00745F4B" w:rsidRDefault="00745F4B" w:rsidP="00745F4B">
      <w:pPr>
        <w:bidi/>
        <w:spacing w:line="240" w:lineRule="auto"/>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 يصف تكوين 1: 1-5 يومًا واحدًا.</w:t>
      </w:r>
      <w:r w:rsidR="00AD2040">
        <w:rPr>
          <w:rStyle w:val="FootnoteReference"/>
          <w:rFonts w:ascii="Simplified Arabic" w:hAnsi="Simplified Arabic" w:cs="Simplified Arabic"/>
          <w:sz w:val="26"/>
          <w:szCs w:val="26"/>
          <w:rtl/>
          <w:lang w:bidi="ar-JO"/>
        </w:rPr>
        <w:footnoteReference w:id="231"/>
      </w:r>
    </w:p>
    <w:p w14:paraId="6EA53872" w14:textId="7A6DAF27" w:rsidR="00745F4B" w:rsidRDefault="00745F4B" w:rsidP="00745F4B">
      <w:pPr>
        <w:bidi/>
        <w:spacing w:line="240" w:lineRule="auto"/>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 تكوين 1: 1 جملة مستقلّة تصف بداية مُطل</w:t>
      </w:r>
      <w:r w:rsidR="00202DA2">
        <w:rPr>
          <w:rFonts w:ascii="Simplified Arabic" w:hAnsi="Simplified Arabic" w:cs="Simplified Arabic" w:hint="cs"/>
          <w:sz w:val="26"/>
          <w:szCs w:val="26"/>
          <w:rtl/>
          <w:lang w:bidi="ar-JO"/>
        </w:rPr>
        <w:t>َ</w:t>
      </w:r>
      <w:r>
        <w:rPr>
          <w:rFonts w:ascii="Simplified Arabic" w:hAnsi="Simplified Arabic" w:cs="Simplified Arabic" w:hint="cs"/>
          <w:sz w:val="26"/>
          <w:szCs w:val="26"/>
          <w:rtl/>
          <w:lang w:bidi="ar-JO"/>
        </w:rPr>
        <w:t>قة، حيث خلق الله للسماوات والأرض هو أو</w:t>
      </w:r>
      <w:r w:rsidR="00F54216">
        <w:rPr>
          <w:rFonts w:ascii="Simplified Arabic" w:hAnsi="Simplified Arabic" w:cs="Simplified Arabic" w:hint="cs"/>
          <w:sz w:val="26"/>
          <w:szCs w:val="26"/>
          <w:rtl/>
          <w:lang w:bidi="ar-JO"/>
        </w:rPr>
        <w:t>ّ</w:t>
      </w:r>
      <w:r>
        <w:rPr>
          <w:rFonts w:ascii="Simplified Arabic" w:hAnsi="Simplified Arabic" w:cs="Simplified Arabic" w:hint="cs"/>
          <w:sz w:val="26"/>
          <w:szCs w:val="26"/>
          <w:rtl/>
          <w:lang w:bidi="ar-JO"/>
        </w:rPr>
        <w:t xml:space="preserve">ل مرحلةٍ من عمل الخلق (لكن غير المكتمِل) هذا. </w:t>
      </w:r>
    </w:p>
    <w:p w14:paraId="5E6B9F5F" w14:textId="7A530CC9" w:rsidR="00745F4B" w:rsidRDefault="00745F4B" w:rsidP="00745F4B">
      <w:pPr>
        <w:bidi/>
        <w:spacing w:line="240" w:lineRule="auto"/>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 تكوين 1: 2 عبارة ظرفيّة (</w:t>
      </w:r>
      <w:r w:rsidR="00AD2040">
        <w:rPr>
          <w:rFonts w:ascii="Simplified Arabic" w:hAnsi="Simplified Arabic" w:cs="Simplified Arabic" w:hint="cs"/>
          <w:sz w:val="26"/>
          <w:szCs w:val="26"/>
          <w:rtl/>
          <w:lang w:bidi="ar-JO"/>
        </w:rPr>
        <w:t>عبارة استدراكي</w:t>
      </w:r>
      <w:r w:rsidR="00F54216">
        <w:rPr>
          <w:rFonts w:ascii="Simplified Arabic" w:hAnsi="Simplified Arabic" w:cs="Simplified Arabic" w:hint="cs"/>
          <w:sz w:val="26"/>
          <w:szCs w:val="26"/>
          <w:rtl/>
          <w:lang w:bidi="ar-JO"/>
        </w:rPr>
        <w:t>ّة</w:t>
      </w:r>
      <w:r w:rsidR="00AD2040">
        <w:rPr>
          <w:rFonts w:ascii="Simplified Arabic" w:hAnsi="Simplified Arabic" w:cs="Simplified Arabic" w:hint="cs"/>
          <w:sz w:val="26"/>
          <w:szCs w:val="26"/>
          <w:rtl/>
          <w:lang w:bidi="ar-JO"/>
        </w:rPr>
        <w:t xml:space="preserve"> معترِضة) لا تقدِّم تسلسلًا في الأحداث، بل تُشير ببساطة إلى حالة السماوات والأرض لحظة خلقها الله. </w:t>
      </w:r>
    </w:p>
    <w:p w14:paraId="6ABAD707" w14:textId="2BB598DC" w:rsidR="00AD2040" w:rsidRDefault="00AD2040" w:rsidP="00AD2040">
      <w:pPr>
        <w:bidi/>
        <w:spacing w:line="240" w:lineRule="auto"/>
        <w:rPr>
          <w:rFonts w:ascii="Simplified Arabic" w:hAnsi="Simplified Arabic" w:cs="Simplified Arabic"/>
          <w:sz w:val="26"/>
          <w:szCs w:val="26"/>
          <w:rtl/>
          <w:lang w:bidi="ar-JO"/>
        </w:rPr>
      </w:pPr>
      <w:r>
        <w:rPr>
          <w:rFonts w:ascii="Simplified Arabic" w:hAnsi="Simplified Arabic" w:cs="Simplified Arabic" w:hint="cs"/>
          <w:sz w:val="26"/>
          <w:szCs w:val="26"/>
          <w:rtl/>
          <w:lang w:bidi="ar-JO"/>
        </w:rPr>
        <w:t>- يُكمِل تكوين 1: 3 الرواية بخلق النور (ولكن</w:t>
      </w:r>
      <w:r w:rsidR="00F54216">
        <w:rPr>
          <w:rFonts w:ascii="Simplified Arabic" w:hAnsi="Simplified Arabic" w:cs="Simplified Arabic" w:hint="cs"/>
          <w:sz w:val="26"/>
          <w:szCs w:val="26"/>
          <w:rtl/>
          <w:lang w:bidi="ar-JO"/>
        </w:rPr>
        <w:t>ّ</w:t>
      </w:r>
      <w:r>
        <w:rPr>
          <w:rFonts w:ascii="Simplified Arabic" w:hAnsi="Simplified Arabic" w:cs="Simplified Arabic" w:hint="cs"/>
          <w:sz w:val="26"/>
          <w:szCs w:val="26"/>
          <w:rtl/>
          <w:lang w:bidi="ar-JO"/>
        </w:rPr>
        <w:t xml:space="preserve"> النور </w:t>
      </w:r>
      <w:r w:rsidR="00F54216">
        <w:rPr>
          <w:rFonts w:ascii="Simplified Arabic" w:hAnsi="Simplified Arabic" w:cs="Simplified Arabic" w:hint="cs"/>
          <w:sz w:val="26"/>
          <w:szCs w:val="26"/>
          <w:rtl/>
          <w:lang w:bidi="ar-JO"/>
        </w:rPr>
        <w:t xml:space="preserve">ليس هو النور </w:t>
      </w:r>
      <w:r>
        <w:rPr>
          <w:rFonts w:ascii="Simplified Arabic" w:hAnsi="Simplified Arabic" w:cs="Simplified Arabic" w:hint="cs"/>
          <w:sz w:val="26"/>
          <w:szCs w:val="26"/>
          <w:rtl/>
          <w:lang w:bidi="ar-JO"/>
        </w:rPr>
        <w:t xml:space="preserve">الآتي من الشمس). </w:t>
      </w:r>
    </w:p>
    <w:p w14:paraId="52B638A2" w14:textId="77777777" w:rsidR="00780E87" w:rsidRPr="003D46FC" w:rsidRDefault="00780E87" w:rsidP="00780E87">
      <w:pPr>
        <w:bidi/>
        <w:spacing w:line="240" w:lineRule="auto"/>
        <w:rPr>
          <w:rFonts w:ascii="Simplified Arabic" w:hAnsi="Simplified Arabic" w:cs="Simplified Arabic"/>
          <w:sz w:val="26"/>
          <w:szCs w:val="26"/>
          <w:rtl/>
          <w:lang w:bidi="ar-JO"/>
        </w:rPr>
      </w:pPr>
    </w:p>
    <w:p w14:paraId="1B98601E" w14:textId="6AD1A5F2" w:rsidR="00894252" w:rsidRPr="00780E87" w:rsidRDefault="00780E87" w:rsidP="00780E87">
      <w:pPr>
        <w:pStyle w:val="Heading4RED"/>
        <w:bidi/>
        <w:rPr>
          <w:rFonts w:ascii="Simplified Arabic" w:hAnsi="Simplified Arabic" w:cs="Simplified Arabic"/>
        </w:rPr>
      </w:pPr>
      <w:r w:rsidRPr="00780E87">
        <w:rPr>
          <w:rFonts w:ascii="Simplified Arabic" w:hAnsi="Simplified Arabic" w:cs="Simplified Arabic"/>
          <w:rtl/>
        </w:rPr>
        <w:lastRenderedPageBreak/>
        <w:t xml:space="preserve">ثانيًا، اليوم الأول يبدأ في تكوين 1: 2 </w:t>
      </w:r>
    </w:p>
    <w:p w14:paraId="3FAC2794" w14:textId="77777777" w:rsidR="00894252" w:rsidRPr="00894252" w:rsidRDefault="00894252" w:rsidP="002D6C54">
      <w:pPr>
        <w:tabs>
          <w:tab w:val="left" w:pos="540"/>
          <w:tab w:val="left" w:pos="1080"/>
          <w:tab w:val="left" w:pos="1620"/>
          <w:tab w:val="left" w:pos="2160"/>
        </w:tabs>
        <w:spacing w:after="0" w:line="240" w:lineRule="auto"/>
        <w:rPr>
          <w:rFonts w:asciiTheme="majorBidi" w:hAnsiTheme="majorBidi" w:cstheme="majorBidi"/>
          <w:b/>
          <w:bCs/>
          <w:color w:val="auto"/>
          <w:kern w:val="0"/>
          <w:szCs w:val="24"/>
          <w14:ligatures w14:val="none"/>
        </w:rPr>
      </w:pPr>
    </w:p>
    <w:p w14:paraId="2DE9F4B6" w14:textId="6509FC42" w:rsidR="00780E87" w:rsidRPr="00780E87" w:rsidRDefault="00780E87" w:rsidP="00780E87">
      <w:pPr>
        <w:tabs>
          <w:tab w:val="left" w:pos="540"/>
          <w:tab w:val="left" w:pos="1080"/>
          <w:tab w:val="left" w:pos="1620"/>
          <w:tab w:val="left" w:pos="2160"/>
        </w:tabs>
        <w:bidi/>
        <w:spacing w:after="0" w:line="240" w:lineRule="auto"/>
        <w:ind w:left="1080" w:hanging="1080"/>
        <w:rPr>
          <w:rFonts w:ascii="Simplified Arabic" w:hAnsi="Simplified Arabic" w:cs="Simplified Arabic"/>
          <w:b/>
          <w:bCs/>
          <w:kern w:val="0"/>
          <w:sz w:val="26"/>
          <w:szCs w:val="26"/>
          <w:rtl/>
          <w14:ligatures w14:val="none"/>
        </w:rPr>
      </w:pPr>
      <w:r w:rsidRPr="00780E87">
        <w:rPr>
          <w:rFonts w:ascii="Simplified Arabic" w:hAnsi="Simplified Arabic" w:cs="Simplified Arabic" w:hint="cs"/>
          <w:b/>
          <w:bCs/>
          <w:kern w:val="0"/>
          <w:sz w:val="26"/>
          <w:szCs w:val="26"/>
          <w:rtl/>
          <w14:ligatures w14:val="none"/>
        </w:rPr>
        <w:t xml:space="preserve">أ. تكوين 1 عنوان لكامل الأصحاح (وليس عمل الله الأول). </w:t>
      </w:r>
      <w:r w:rsidRPr="00780E87">
        <w:rPr>
          <w:rFonts w:ascii="Simplified Arabic" w:hAnsi="Simplified Arabic" w:cs="Simplified Arabic"/>
          <w:b/>
          <w:bCs/>
          <w:kern w:val="0"/>
          <w:sz w:val="26"/>
          <w:szCs w:val="26"/>
          <w:rtl/>
          <w14:ligatures w14:val="none"/>
        </w:rPr>
        <w:t>–</w:t>
      </w:r>
      <w:r w:rsidRPr="00780E87">
        <w:rPr>
          <w:rFonts w:ascii="Simplified Arabic" w:hAnsi="Simplified Arabic" w:cs="Simplified Arabic" w:hint="cs"/>
          <w:b/>
          <w:bCs/>
          <w:kern w:val="0"/>
          <w:sz w:val="26"/>
          <w:szCs w:val="26"/>
          <w:rtl/>
          <w14:ligatures w14:val="none"/>
        </w:rPr>
        <w:t xml:space="preserve"> كاسوتو.</w:t>
      </w:r>
      <w:r w:rsidRPr="00780E87">
        <w:rPr>
          <w:rFonts w:asciiTheme="majorBidi" w:hAnsiTheme="majorBidi" w:cstheme="majorBidi"/>
          <w:b/>
          <w:bCs/>
          <w:kern w:val="0"/>
          <w:szCs w:val="24"/>
          <w:vertAlign w:val="superscript"/>
          <w14:ligatures w14:val="none"/>
        </w:rPr>
        <w:t xml:space="preserve"> </w:t>
      </w:r>
      <w:r w:rsidRPr="00780E87">
        <w:rPr>
          <w:rFonts w:asciiTheme="majorBidi" w:hAnsiTheme="majorBidi" w:cstheme="majorBidi"/>
          <w:b/>
          <w:bCs/>
          <w:kern w:val="0"/>
          <w:szCs w:val="24"/>
          <w:vertAlign w:val="superscript"/>
          <w14:ligatures w14:val="none"/>
        </w:rPr>
        <w:footnoteReference w:id="232"/>
      </w:r>
    </w:p>
    <w:p w14:paraId="37721FC1" w14:textId="52D5E8FB" w:rsidR="00780E87" w:rsidRDefault="00894252" w:rsidP="00780E87">
      <w:pPr>
        <w:tabs>
          <w:tab w:val="left" w:pos="540"/>
          <w:tab w:val="left" w:pos="1080"/>
          <w:tab w:val="left" w:pos="1620"/>
          <w:tab w:val="left" w:pos="2160"/>
        </w:tabs>
        <w:bidi/>
        <w:spacing w:after="0" w:line="240" w:lineRule="auto"/>
        <w:rPr>
          <w:rFonts w:ascii="Simplified Arabic" w:hAnsi="Simplified Arabic" w:cs="Simplified Arabic"/>
          <w:kern w:val="0"/>
          <w:sz w:val="26"/>
          <w:szCs w:val="26"/>
          <w:rtl/>
          <w14:ligatures w14:val="none"/>
        </w:rPr>
      </w:pPr>
      <w:r w:rsidRPr="00894252">
        <w:rPr>
          <w:rFonts w:asciiTheme="majorBidi" w:hAnsiTheme="majorBidi" w:cstheme="majorBidi"/>
          <w:kern w:val="0"/>
          <w:szCs w:val="24"/>
          <w14:ligatures w14:val="none"/>
        </w:rPr>
        <w:br/>
      </w:r>
      <w:r w:rsidR="00780E87">
        <w:rPr>
          <w:rFonts w:ascii="Simplified Arabic" w:hAnsi="Simplified Arabic" w:cs="Simplified Arabic" w:hint="cs"/>
          <w:kern w:val="0"/>
          <w:sz w:val="26"/>
          <w:szCs w:val="26"/>
          <w:rtl/>
          <w14:ligatures w14:val="none"/>
        </w:rPr>
        <w:t>مع أنّ كاسوتو يرى تكوين 1: 1 بوصفه عنوانًا لكامل الأصحاح، فهو يفترض أن</w:t>
      </w:r>
      <w:r w:rsidR="00F54216">
        <w:rPr>
          <w:rFonts w:ascii="Simplified Arabic" w:hAnsi="Simplified Arabic" w:cs="Simplified Arabic" w:hint="cs"/>
          <w:kern w:val="0"/>
          <w:sz w:val="26"/>
          <w:szCs w:val="26"/>
          <w:rtl/>
          <w14:ligatures w14:val="none"/>
        </w:rPr>
        <w:t>َّ</w:t>
      </w:r>
      <w:r w:rsidR="00780E87">
        <w:rPr>
          <w:rFonts w:ascii="Simplified Arabic" w:hAnsi="Simplified Arabic" w:cs="Simplified Arabic" w:hint="cs"/>
          <w:kern w:val="0"/>
          <w:sz w:val="26"/>
          <w:szCs w:val="26"/>
          <w:rtl/>
          <w14:ligatures w14:val="none"/>
        </w:rPr>
        <w:t xml:space="preserve"> الأجزاء الأساسيّة، أي السماوات والأرض،" قد خُلِقت في اليوم الأول، لأن</w:t>
      </w:r>
      <w:r w:rsidR="00F54216">
        <w:rPr>
          <w:rFonts w:ascii="Simplified Arabic" w:hAnsi="Simplified Arabic" w:cs="Simplified Arabic" w:hint="cs"/>
          <w:kern w:val="0"/>
          <w:sz w:val="26"/>
          <w:szCs w:val="26"/>
          <w:rtl/>
          <w14:ligatures w14:val="none"/>
        </w:rPr>
        <w:t>َّ</w:t>
      </w:r>
      <w:r w:rsidR="00780E87">
        <w:rPr>
          <w:rFonts w:ascii="Simplified Arabic" w:hAnsi="Simplified Arabic" w:cs="Simplified Arabic" w:hint="cs"/>
          <w:kern w:val="0"/>
          <w:sz w:val="26"/>
          <w:szCs w:val="26"/>
          <w:rtl/>
          <w14:ligatures w14:val="none"/>
        </w:rPr>
        <w:t xml:space="preserve"> تكوين 1: 2 يبدأ بوصفه حالة الأرض في شكلها </w:t>
      </w:r>
      <w:r w:rsidR="00780E87">
        <w:rPr>
          <w:rFonts w:ascii="Simplified Arabic" w:hAnsi="Simplified Arabic" w:cs="Simplified Arabic" w:hint="cs"/>
          <w:kern w:val="0"/>
          <w:sz w:val="26"/>
          <w:szCs w:val="26"/>
          <w:rtl/>
          <w:lang w:bidi="ar-JO"/>
          <w14:ligatures w14:val="none"/>
        </w:rPr>
        <w:t>الأوّلي</w:t>
      </w:r>
      <w:r w:rsidR="00780E87">
        <w:rPr>
          <w:rFonts w:ascii="Simplified Arabic" w:hAnsi="Simplified Arabic" w:cs="Simplified Arabic" w:hint="cs"/>
          <w:kern w:val="0"/>
          <w:sz w:val="26"/>
          <w:szCs w:val="26"/>
          <w:rtl/>
          <w14:ligatures w14:val="none"/>
        </w:rPr>
        <w:t>. ولذا، فإنّ كامل الأصحاح الأو</w:t>
      </w:r>
      <w:r w:rsidR="00F54216">
        <w:rPr>
          <w:rFonts w:ascii="Simplified Arabic" w:hAnsi="Simplified Arabic" w:cs="Simplified Arabic" w:hint="cs"/>
          <w:kern w:val="0"/>
          <w:sz w:val="26"/>
          <w:szCs w:val="26"/>
          <w:rtl/>
          <w14:ligatures w14:val="none"/>
        </w:rPr>
        <w:t>ّ</w:t>
      </w:r>
      <w:r w:rsidR="00780E87">
        <w:rPr>
          <w:rFonts w:ascii="Simplified Arabic" w:hAnsi="Simplified Arabic" w:cs="Simplified Arabic" w:hint="cs"/>
          <w:kern w:val="0"/>
          <w:sz w:val="26"/>
          <w:szCs w:val="26"/>
          <w:rtl/>
          <w14:ligatures w14:val="none"/>
        </w:rPr>
        <w:t xml:space="preserve">ل يمثِّل بدايةً مُطلَقةً. فستشمل الأرض المياه وكل ما تحتَ سطحها، بمقابل السماوات فوق سطح الأرض. </w:t>
      </w:r>
    </w:p>
    <w:p w14:paraId="21DEBBDC" w14:textId="78D9B345" w:rsidR="00881BFF" w:rsidRDefault="00881BFF" w:rsidP="00881BFF">
      <w:pPr>
        <w:tabs>
          <w:tab w:val="left" w:pos="540"/>
          <w:tab w:val="left" w:pos="1080"/>
          <w:tab w:val="left" w:pos="1620"/>
          <w:tab w:val="left" w:pos="2160"/>
        </w:tabs>
        <w:bidi/>
        <w:spacing w:after="0" w:line="240" w:lineRule="auto"/>
        <w:rPr>
          <w:rFonts w:ascii="Simplified Arabic" w:hAnsi="Simplified Arabic" w:cs="Simplified Arabic"/>
          <w:kern w:val="0"/>
          <w:sz w:val="26"/>
          <w:szCs w:val="26"/>
          <w:rtl/>
          <w14:ligatures w14:val="none"/>
        </w:rPr>
      </w:pPr>
    </w:p>
    <w:p w14:paraId="52BF61CA" w14:textId="5411671A" w:rsidR="00881BFF" w:rsidRPr="00881BFF" w:rsidRDefault="00881BFF" w:rsidP="00881BFF">
      <w:pPr>
        <w:tabs>
          <w:tab w:val="left" w:pos="540"/>
          <w:tab w:val="left" w:pos="1080"/>
          <w:tab w:val="left" w:pos="1620"/>
          <w:tab w:val="left" w:pos="2160"/>
        </w:tabs>
        <w:bidi/>
        <w:spacing w:after="0" w:line="240" w:lineRule="auto"/>
        <w:rPr>
          <w:rFonts w:ascii="Simplified Arabic" w:hAnsi="Simplified Arabic" w:cs="Simplified Arabic"/>
          <w:b/>
          <w:bCs/>
          <w:kern w:val="0"/>
          <w:sz w:val="26"/>
          <w:szCs w:val="26"/>
          <w:rtl/>
          <w14:ligatures w14:val="none"/>
        </w:rPr>
      </w:pPr>
      <w:r w:rsidRPr="00881BFF">
        <w:rPr>
          <w:rFonts w:ascii="Simplified Arabic" w:hAnsi="Simplified Arabic" w:cs="Simplified Arabic" w:hint="cs"/>
          <w:b/>
          <w:bCs/>
          <w:kern w:val="0"/>
          <w:sz w:val="26"/>
          <w:szCs w:val="26"/>
          <w:rtl/>
          <w14:ligatures w14:val="none"/>
        </w:rPr>
        <w:t xml:space="preserve">ب. يبدأ أسبوع الخلق بتكوين 1: 3 بعد "بداية طويلة" للكون في تكوين 1: 1 </w:t>
      </w:r>
      <w:r w:rsidRPr="00881BFF">
        <w:rPr>
          <w:rFonts w:ascii="Simplified Arabic" w:hAnsi="Simplified Arabic" w:cs="Simplified Arabic"/>
          <w:b/>
          <w:bCs/>
          <w:kern w:val="0"/>
          <w:sz w:val="26"/>
          <w:szCs w:val="26"/>
          <w:rtl/>
          <w14:ligatures w14:val="none"/>
        </w:rPr>
        <w:t>–</w:t>
      </w:r>
      <w:r w:rsidRPr="00881BFF">
        <w:rPr>
          <w:rFonts w:ascii="Simplified Arabic" w:hAnsi="Simplified Arabic" w:cs="Simplified Arabic" w:hint="cs"/>
          <w:b/>
          <w:bCs/>
          <w:kern w:val="0"/>
          <w:sz w:val="26"/>
          <w:szCs w:val="26"/>
          <w:rtl/>
          <w14:ligatures w14:val="none"/>
        </w:rPr>
        <w:t xml:space="preserve"> جون سيلهامر</w:t>
      </w:r>
      <w:r w:rsidRPr="00894252">
        <w:rPr>
          <w:rFonts w:asciiTheme="majorBidi" w:hAnsiTheme="majorBidi" w:cstheme="majorBidi"/>
          <w:kern w:val="0"/>
          <w:szCs w:val="24"/>
          <w:vertAlign w:val="superscript"/>
          <w14:ligatures w14:val="none"/>
        </w:rPr>
        <w:footnoteReference w:id="233"/>
      </w:r>
      <w:r w:rsidRPr="00881BFF">
        <w:rPr>
          <w:rFonts w:ascii="Simplified Arabic" w:hAnsi="Simplified Arabic" w:cs="Simplified Arabic" w:hint="cs"/>
          <w:b/>
          <w:bCs/>
          <w:kern w:val="0"/>
          <w:sz w:val="26"/>
          <w:szCs w:val="26"/>
          <w:rtl/>
          <w14:ligatures w14:val="none"/>
        </w:rPr>
        <w:t xml:space="preserve"> وجون بايبر.</w:t>
      </w:r>
    </w:p>
    <w:p w14:paraId="4D6140DC" w14:textId="77777777" w:rsidR="00894252" w:rsidRPr="00894252" w:rsidRDefault="00894252" w:rsidP="002D6C54">
      <w:pPr>
        <w:tabs>
          <w:tab w:val="left" w:pos="540"/>
          <w:tab w:val="left" w:pos="1080"/>
          <w:tab w:val="left" w:pos="1620"/>
          <w:tab w:val="left" w:pos="2160"/>
        </w:tabs>
        <w:spacing w:after="0" w:line="240" w:lineRule="auto"/>
        <w:ind w:left="1080" w:hanging="1080"/>
        <w:rPr>
          <w:rFonts w:asciiTheme="majorBidi" w:hAnsiTheme="majorBidi" w:cstheme="majorBidi"/>
          <w:kern w:val="0"/>
          <w:szCs w:val="24"/>
          <w14:ligatures w14:val="none"/>
        </w:rPr>
      </w:pPr>
    </w:p>
    <w:p w14:paraId="1AD55B96" w14:textId="2A82BD98" w:rsidR="00894252" w:rsidRPr="00881BFF" w:rsidRDefault="00881BFF" w:rsidP="00881BFF">
      <w:pPr>
        <w:tabs>
          <w:tab w:val="left" w:pos="540"/>
          <w:tab w:val="left" w:pos="1080"/>
          <w:tab w:val="left" w:pos="1620"/>
          <w:tab w:val="left" w:pos="2160"/>
        </w:tabs>
        <w:bidi/>
        <w:spacing w:after="0" w:line="240" w:lineRule="auto"/>
        <w:rPr>
          <w:rFonts w:ascii="Simplified Arabic" w:hAnsi="Simplified Arabic" w:cs="Simplified Arabic"/>
          <w:kern w:val="0"/>
          <w:sz w:val="26"/>
          <w:szCs w:val="26"/>
          <w14:ligatures w14:val="none"/>
        </w:rPr>
      </w:pPr>
      <w:r>
        <w:rPr>
          <w:rFonts w:ascii="Simplified Arabic" w:hAnsi="Simplified Arabic" w:cs="Simplified Arabic" w:hint="cs"/>
          <w:kern w:val="0"/>
          <w:sz w:val="26"/>
          <w:szCs w:val="26"/>
          <w:rtl/>
          <w14:ligatures w14:val="none"/>
        </w:rPr>
        <w:t>يفه</w:t>
      </w:r>
      <w:r w:rsidR="001C7EC4">
        <w:rPr>
          <w:rFonts w:ascii="Simplified Arabic" w:hAnsi="Simplified Arabic" w:cs="Simplified Arabic" w:hint="cs"/>
          <w:kern w:val="0"/>
          <w:sz w:val="26"/>
          <w:szCs w:val="26"/>
          <w:rtl/>
          <w14:ligatures w14:val="none"/>
        </w:rPr>
        <w:t>م سيلهامر "البدء" (تكوين 1: 1) ليس بمعنى عملٍ لحظي</w:t>
      </w:r>
      <w:r w:rsidR="00F54216">
        <w:rPr>
          <w:rFonts w:ascii="Simplified Arabic" w:hAnsi="Simplified Arabic" w:cs="Simplified Arabic" w:hint="cs"/>
          <w:kern w:val="0"/>
          <w:sz w:val="26"/>
          <w:szCs w:val="26"/>
          <w:rtl/>
          <w14:ligatures w14:val="none"/>
        </w:rPr>
        <w:t>ّ</w:t>
      </w:r>
      <w:r w:rsidR="001C7EC4">
        <w:rPr>
          <w:rFonts w:ascii="Simplified Arabic" w:hAnsi="Simplified Arabic" w:cs="Simplified Arabic" w:hint="cs"/>
          <w:kern w:val="0"/>
          <w:sz w:val="26"/>
          <w:szCs w:val="26"/>
          <w:rtl/>
          <w14:ligatures w14:val="none"/>
        </w:rPr>
        <w:t xml:space="preserve">، بل بمعنى فترة طويلة يخلق الله فيها الكون الأوّلي، بما في ذلك الشمس والقمر والنجوم. [ما حدث في اليوم الرابع ليس </w:t>
      </w:r>
      <w:r w:rsidR="00F54216">
        <w:rPr>
          <w:rFonts w:ascii="Simplified Arabic" w:hAnsi="Simplified Arabic" w:cs="Simplified Arabic" w:hint="cs"/>
          <w:kern w:val="0"/>
          <w:sz w:val="26"/>
          <w:szCs w:val="26"/>
          <w:rtl/>
          <w14:ligatures w14:val="none"/>
        </w:rPr>
        <w:t>خلق</w:t>
      </w:r>
      <w:r w:rsidR="001C7EC4">
        <w:rPr>
          <w:rFonts w:ascii="Simplified Arabic" w:hAnsi="Simplified Arabic" w:cs="Simplified Arabic" w:hint="cs"/>
          <w:kern w:val="0"/>
          <w:sz w:val="26"/>
          <w:szCs w:val="26"/>
          <w:rtl/>
          <w14:ligatures w14:val="none"/>
        </w:rPr>
        <w:t xml:space="preserve"> هذه الأشياء، بل </w:t>
      </w:r>
      <w:r w:rsidR="00F54216">
        <w:rPr>
          <w:rFonts w:ascii="Simplified Arabic" w:hAnsi="Simplified Arabic" w:cs="Simplified Arabic" w:hint="cs"/>
          <w:kern w:val="0"/>
          <w:sz w:val="26"/>
          <w:szCs w:val="26"/>
          <w:rtl/>
          <w14:ligatures w14:val="none"/>
        </w:rPr>
        <w:t xml:space="preserve">كونها </w:t>
      </w:r>
      <w:r w:rsidR="001C7EC4">
        <w:rPr>
          <w:rFonts w:ascii="Simplified Arabic" w:hAnsi="Simplified Arabic" w:cs="Simplified Arabic" w:hint="cs"/>
          <w:kern w:val="0"/>
          <w:sz w:val="26"/>
          <w:szCs w:val="26"/>
          <w:rtl/>
          <w14:ligatures w14:val="none"/>
        </w:rPr>
        <w:t>"ظهرت".] يبدأ اليوم الأو</w:t>
      </w:r>
      <w:r w:rsidR="00F54216">
        <w:rPr>
          <w:rFonts w:ascii="Simplified Arabic" w:hAnsi="Simplified Arabic" w:cs="Simplified Arabic" w:hint="cs"/>
          <w:kern w:val="0"/>
          <w:sz w:val="26"/>
          <w:szCs w:val="26"/>
          <w:rtl/>
          <w14:ligatures w14:val="none"/>
        </w:rPr>
        <w:t>ّ</w:t>
      </w:r>
      <w:r w:rsidR="001C7EC4">
        <w:rPr>
          <w:rFonts w:ascii="Simplified Arabic" w:hAnsi="Simplified Arabic" w:cs="Simplified Arabic" w:hint="cs"/>
          <w:kern w:val="0"/>
          <w:sz w:val="26"/>
          <w:szCs w:val="26"/>
          <w:rtl/>
          <w14:ligatures w14:val="none"/>
        </w:rPr>
        <w:t>ل من أسبوع الخلق في 1: 2 بكون الأرض في حالة "توهو وبوهو" (أي أنّها من دون شكلٍ وخالية). لا فجوة زمني</w:t>
      </w:r>
      <w:r w:rsidR="00F54216">
        <w:rPr>
          <w:rFonts w:ascii="Simplified Arabic" w:hAnsi="Simplified Arabic" w:cs="Simplified Arabic" w:hint="cs"/>
          <w:kern w:val="0"/>
          <w:sz w:val="26"/>
          <w:szCs w:val="26"/>
          <w:rtl/>
          <w14:ligatures w14:val="none"/>
        </w:rPr>
        <w:t>ّ</w:t>
      </w:r>
      <w:r w:rsidR="001C7EC4">
        <w:rPr>
          <w:rFonts w:ascii="Simplified Arabic" w:hAnsi="Simplified Arabic" w:cs="Simplified Arabic" w:hint="cs"/>
          <w:kern w:val="0"/>
          <w:sz w:val="26"/>
          <w:szCs w:val="26"/>
          <w:rtl/>
          <w14:ligatures w14:val="none"/>
        </w:rPr>
        <w:t>ة بين الآية 1 والآية 2، فالآية 1 تعبِّر عن فترة زمني</w:t>
      </w:r>
      <w:r w:rsidR="00F54216">
        <w:rPr>
          <w:rFonts w:ascii="Simplified Arabic" w:hAnsi="Simplified Arabic" w:cs="Simplified Arabic" w:hint="cs"/>
          <w:kern w:val="0"/>
          <w:sz w:val="26"/>
          <w:szCs w:val="26"/>
          <w:rtl/>
          <w14:ligatures w14:val="none"/>
        </w:rPr>
        <w:t>ّ</w:t>
      </w:r>
      <w:r w:rsidR="001C7EC4">
        <w:rPr>
          <w:rFonts w:ascii="Simplified Arabic" w:hAnsi="Simplified Arabic" w:cs="Simplified Arabic" w:hint="cs"/>
          <w:kern w:val="0"/>
          <w:sz w:val="26"/>
          <w:szCs w:val="26"/>
          <w:rtl/>
          <w14:ligatures w14:val="none"/>
        </w:rPr>
        <w:t>ة طويلة غير مُحدَّدة. "وبعد تلك الفترة من الزمن، عمل الله على تهيئة ’الأرض‘ مكانًا للبشر ليسكنوه"، وذلك خلال ستة أيّام أسبوع الخلق، كما هو موصوف في تكوين 1: 2 وما يليها (</w:t>
      </w:r>
      <w:r w:rsidR="001C7EC4" w:rsidRPr="00894252">
        <w:rPr>
          <w:rFonts w:asciiTheme="majorBidi" w:hAnsiTheme="majorBidi" w:cstheme="majorBidi"/>
          <w:i/>
          <w:iCs/>
          <w:kern w:val="0"/>
          <w:szCs w:val="24"/>
          <w14:ligatures w14:val="none"/>
        </w:rPr>
        <w:t>Genesis Unbound</w:t>
      </w:r>
      <w:r w:rsidR="001C7EC4" w:rsidRPr="00894252">
        <w:rPr>
          <w:rFonts w:asciiTheme="majorBidi" w:hAnsiTheme="majorBidi" w:cstheme="majorBidi"/>
          <w:kern w:val="0"/>
          <w:szCs w:val="24"/>
          <w14:ligatures w14:val="none"/>
        </w:rPr>
        <w:t>, 44</w:t>
      </w:r>
      <w:r w:rsidR="001C7EC4">
        <w:rPr>
          <w:rFonts w:ascii="Simplified Arabic" w:hAnsi="Simplified Arabic" w:cs="Simplified Arabic" w:hint="cs"/>
          <w:kern w:val="0"/>
          <w:sz w:val="26"/>
          <w:szCs w:val="26"/>
          <w:rtl/>
          <w14:ligatures w14:val="none"/>
        </w:rPr>
        <w:t>).</w:t>
      </w:r>
    </w:p>
    <w:p w14:paraId="67404003" w14:textId="77777777" w:rsidR="00894252" w:rsidRPr="00894252" w:rsidRDefault="00894252" w:rsidP="002D6C54">
      <w:pPr>
        <w:tabs>
          <w:tab w:val="left" w:pos="540"/>
          <w:tab w:val="left" w:pos="1080"/>
          <w:tab w:val="left" w:pos="1620"/>
          <w:tab w:val="left" w:pos="2160"/>
        </w:tabs>
        <w:spacing w:after="0" w:line="240" w:lineRule="auto"/>
        <w:ind w:left="1080"/>
        <w:rPr>
          <w:rFonts w:asciiTheme="majorBidi" w:hAnsiTheme="majorBidi" w:cstheme="majorBidi"/>
          <w:color w:val="auto"/>
          <w:kern w:val="0"/>
          <w:szCs w:val="24"/>
          <w14:ligatures w14:val="none"/>
        </w:rPr>
      </w:pPr>
    </w:p>
    <w:p w14:paraId="2A5568BF" w14:textId="11648A88" w:rsidR="00894252" w:rsidRPr="001C7EC4" w:rsidRDefault="001C7EC4" w:rsidP="001C7EC4">
      <w:pPr>
        <w:pStyle w:val="Heading4RED"/>
        <w:bidi/>
        <w:rPr>
          <w:rFonts w:ascii="Simplified Arabic" w:hAnsi="Simplified Arabic" w:cs="Simplified Arabic"/>
        </w:rPr>
      </w:pPr>
      <w:r w:rsidRPr="001C7EC4">
        <w:rPr>
          <w:rFonts w:ascii="Simplified Arabic" w:hAnsi="Simplified Arabic" w:cs="Simplified Arabic"/>
          <w:rtl/>
        </w:rPr>
        <w:t xml:space="preserve">ثالثًا، تكوين 1: 1 هو الخلق الأصلي، ولكنّه يختلف عن رواية خلق الأيّام الستة. </w:t>
      </w:r>
    </w:p>
    <w:p w14:paraId="29A022BB" w14:textId="77777777" w:rsidR="00894252" w:rsidRPr="001C7EC4" w:rsidRDefault="00894252" w:rsidP="002D6C54">
      <w:pPr>
        <w:tabs>
          <w:tab w:val="left" w:pos="540"/>
          <w:tab w:val="left" w:pos="1080"/>
          <w:tab w:val="left" w:pos="1620"/>
          <w:tab w:val="left" w:pos="2160"/>
        </w:tabs>
        <w:spacing w:after="0" w:line="240" w:lineRule="auto"/>
        <w:rPr>
          <w:rFonts w:ascii="Simplified Arabic" w:hAnsi="Simplified Arabic" w:cs="Simplified Arabic"/>
          <w:b/>
          <w:bCs/>
          <w:color w:val="auto"/>
          <w:kern w:val="0"/>
          <w:sz w:val="26"/>
          <w:szCs w:val="26"/>
          <w14:ligatures w14:val="none"/>
        </w:rPr>
      </w:pPr>
    </w:p>
    <w:p w14:paraId="7F613460" w14:textId="61232053" w:rsidR="00894252" w:rsidRPr="001C7EC4" w:rsidRDefault="001C7EC4" w:rsidP="001C7EC4">
      <w:pPr>
        <w:pStyle w:val="ListParagraph"/>
        <w:numPr>
          <w:ilvl w:val="0"/>
          <w:numId w:val="37"/>
        </w:numPr>
        <w:tabs>
          <w:tab w:val="left" w:pos="540"/>
          <w:tab w:val="left" w:pos="1080"/>
          <w:tab w:val="left" w:pos="1620"/>
          <w:tab w:val="left" w:pos="2160"/>
        </w:tabs>
        <w:bidi/>
        <w:spacing w:after="0" w:line="240" w:lineRule="auto"/>
        <w:rPr>
          <w:rFonts w:asciiTheme="majorBidi" w:hAnsiTheme="majorBidi" w:cstheme="majorBidi"/>
          <w:b/>
          <w:bCs/>
          <w:kern w:val="0"/>
          <w:szCs w:val="24"/>
          <w14:ligatures w14:val="none"/>
        </w:rPr>
      </w:pPr>
      <w:r w:rsidRPr="001C7EC4">
        <w:rPr>
          <w:rFonts w:ascii="Simplified Arabic" w:hAnsi="Simplified Arabic" w:cs="Simplified Arabic"/>
          <w:b/>
          <w:bCs/>
          <w:kern w:val="0"/>
          <w:sz w:val="26"/>
          <w:szCs w:val="26"/>
          <w:rtl/>
          <w14:ligatures w14:val="none"/>
        </w:rPr>
        <w:t>نظرية الفجوة</w:t>
      </w:r>
      <w:r w:rsidR="00894252" w:rsidRPr="00894252">
        <w:rPr>
          <w:vertAlign w:val="superscript"/>
        </w:rPr>
        <w:footnoteReference w:id="234"/>
      </w:r>
    </w:p>
    <w:p w14:paraId="4F233BEA" w14:textId="77777777" w:rsidR="00894252" w:rsidRPr="00894252" w:rsidRDefault="00894252" w:rsidP="002D6C54">
      <w:pPr>
        <w:tabs>
          <w:tab w:val="left" w:pos="540"/>
          <w:tab w:val="left" w:pos="1080"/>
          <w:tab w:val="left" w:pos="1620"/>
          <w:tab w:val="left" w:pos="2160"/>
        </w:tabs>
        <w:spacing w:after="0" w:line="240" w:lineRule="auto"/>
        <w:rPr>
          <w:rFonts w:asciiTheme="majorBidi" w:hAnsiTheme="majorBidi" w:cstheme="majorBidi"/>
          <w:b/>
          <w:bCs/>
          <w:kern w:val="0"/>
          <w:szCs w:val="24"/>
          <w14:ligatures w14:val="none"/>
        </w:rPr>
      </w:pPr>
    </w:p>
    <w:p w14:paraId="45A2E546" w14:textId="13B2E43F" w:rsidR="000B0134" w:rsidRPr="000B0134" w:rsidRDefault="000B0134" w:rsidP="000B0134">
      <w:pPr>
        <w:tabs>
          <w:tab w:val="left" w:pos="540"/>
          <w:tab w:val="left" w:pos="1080"/>
          <w:tab w:val="left" w:pos="1620"/>
          <w:tab w:val="left" w:pos="2160"/>
        </w:tabs>
        <w:bidi/>
        <w:spacing w:after="0" w:line="240" w:lineRule="auto"/>
        <w:rPr>
          <w:rFonts w:ascii="Simplified Arabic" w:hAnsi="Simplified Arabic" w:cs="Simplified Arabic"/>
          <w:kern w:val="0"/>
          <w:sz w:val="26"/>
          <w:szCs w:val="26"/>
          <w:rtl/>
          <w14:ligatures w14:val="none"/>
        </w:rPr>
      </w:pPr>
      <w:r>
        <w:rPr>
          <w:rFonts w:ascii="Simplified Arabic" w:hAnsi="Simplified Arabic" w:cs="Simplified Arabic" w:hint="cs"/>
          <w:kern w:val="0"/>
          <w:sz w:val="26"/>
          <w:szCs w:val="26"/>
          <w:rtl/>
          <w14:ligatures w14:val="none"/>
        </w:rPr>
        <w:t>بحسب نظري</w:t>
      </w:r>
      <w:r w:rsidR="00F54216">
        <w:rPr>
          <w:rFonts w:ascii="Simplified Arabic" w:hAnsi="Simplified Arabic" w:cs="Simplified Arabic" w:hint="cs"/>
          <w:kern w:val="0"/>
          <w:sz w:val="26"/>
          <w:szCs w:val="26"/>
          <w:rtl/>
          <w14:ligatures w14:val="none"/>
        </w:rPr>
        <w:t>ّ</w:t>
      </w:r>
      <w:r>
        <w:rPr>
          <w:rFonts w:ascii="Simplified Arabic" w:hAnsi="Simplified Arabic" w:cs="Simplified Arabic" w:hint="cs"/>
          <w:kern w:val="0"/>
          <w:sz w:val="26"/>
          <w:szCs w:val="26"/>
          <w:rtl/>
          <w14:ligatures w14:val="none"/>
        </w:rPr>
        <w:t>ة الفجوة، هناك فجوة زمنية ما بين الخلق الأصلي في تكوين 1: 1 والأرض الواقعة تحتَ دينونة في تكوين 1: 2، متبوعةً بإعادة خلقها في تكوين 1: 3. وهكذا، فإنّ تكوين 1: 1 هي الخلق الأصلي (البداية المُطلَقة)، ولكنّ هناك فجوة</w:t>
      </w:r>
      <w:r w:rsidR="00F54216">
        <w:rPr>
          <w:rFonts w:ascii="Simplified Arabic" w:hAnsi="Simplified Arabic" w:cs="Simplified Arabic" w:hint="cs"/>
          <w:kern w:val="0"/>
          <w:sz w:val="26"/>
          <w:szCs w:val="26"/>
          <w:rtl/>
          <w14:ligatures w14:val="none"/>
        </w:rPr>
        <w:t>ً</w:t>
      </w:r>
      <w:r>
        <w:rPr>
          <w:rFonts w:ascii="Simplified Arabic" w:hAnsi="Simplified Arabic" w:cs="Simplified Arabic" w:hint="cs"/>
          <w:kern w:val="0"/>
          <w:sz w:val="26"/>
          <w:szCs w:val="26"/>
          <w:rtl/>
          <w14:ligatures w14:val="none"/>
        </w:rPr>
        <w:t xml:space="preserve"> زمنيّة</w:t>
      </w:r>
      <w:r w:rsidR="00F54216">
        <w:rPr>
          <w:rFonts w:ascii="Simplified Arabic" w:hAnsi="Simplified Arabic" w:cs="Simplified Arabic" w:hint="cs"/>
          <w:kern w:val="0"/>
          <w:sz w:val="26"/>
          <w:szCs w:val="26"/>
          <w:rtl/>
          <w14:ligatures w14:val="none"/>
        </w:rPr>
        <w:t>ً</w:t>
      </w:r>
      <w:r>
        <w:rPr>
          <w:rFonts w:ascii="Simplified Arabic" w:hAnsi="Simplified Arabic" w:cs="Simplified Arabic" w:hint="cs"/>
          <w:kern w:val="0"/>
          <w:sz w:val="26"/>
          <w:szCs w:val="26"/>
          <w:rtl/>
          <w14:ligatures w14:val="none"/>
        </w:rPr>
        <w:t xml:space="preserve"> (لا تُعرَف مدّتها) ما بين الآية 1 والآية 2. وتصوِّر الآية 2 أرضًا تسودها الفوضى نتيجة</w:t>
      </w:r>
      <w:r w:rsidR="00F54216">
        <w:rPr>
          <w:rFonts w:ascii="Simplified Arabic" w:hAnsi="Simplified Arabic" w:cs="Simplified Arabic" w:hint="cs"/>
          <w:kern w:val="0"/>
          <w:sz w:val="26"/>
          <w:szCs w:val="26"/>
          <w:rtl/>
          <w14:ligatures w14:val="none"/>
        </w:rPr>
        <w:t>ً</w:t>
      </w:r>
      <w:r>
        <w:rPr>
          <w:rFonts w:ascii="Simplified Arabic" w:hAnsi="Simplified Arabic" w:cs="Simplified Arabic" w:hint="cs"/>
          <w:kern w:val="0"/>
          <w:sz w:val="26"/>
          <w:szCs w:val="26"/>
          <w:rtl/>
          <w14:ligatures w14:val="none"/>
        </w:rPr>
        <w:t xml:space="preserve"> </w:t>
      </w:r>
      <w:r>
        <w:rPr>
          <w:rFonts w:ascii="Simplified Arabic" w:hAnsi="Simplified Arabic" w:cs="Simplified Arabic" w:hint="cs"/>
          <w:kern w:val="0"/>
          <w:sz w:val="26"/>
          <w:szCs w:val="26"/>
          <w:rtl/>
          <w14:ligatures w14:val="none"/>
        </w:rPr>
        <w:lastRenderedPageBreak/>
        <w:t>للشرّ والدينونة (اللذين عادةً ما يُعزي</w:t>
      </w:r>
      <w:r w:rsidR="00F54216">
        <w:rPr>
          <w:rFonts w:ascii="Simplified Arabic" w:hAnsi="Simplified Arabic" w:cs="Simplified Arabic" w:hint="cs"/>
          <w:kern w:val="0"/>
          <w:sz w:val="26"/>
          <w:szCs w:val="26"/>
          <w:rtl/>
          <w14:ligatures w14:val="none"/>
        </w:rPr>
        <w:t>َ</w:t>
      </w:r>
      <w:r>
        <w:rPr>
          <w:rFonts w:ascii="Simplified Arabic" w:hAnsi="Simplified Arabic" w:cs="Simplified Arabic" w:hint="cs"/>
          <w:kern w:val="0"/>
          <w:sz w:val="26"/>
          <w:szCs w:val="26"/>
          <w:rtl/>
          <w14:ligatures w14:val="none"/>
        </w:rPr>
        <w:t>ان إلى الشيطان). يُفترَض أن</w:t>
      </w:r>
      <w:r w:rsidR="00F54216">
        <w:rPr>
          <w:rFonts w:ascii="Simplified Arabic" w:hAnsi="Simplified Arabic" w:cs="Simplified Arabic" w:hint="cs"/>
          <w:kern w:val="0"/>
          <w:sz w:val="26"/>
          <w:szCs w:val="26"/>
          <w:rtl/>
          <w14:ligatures w14:val="none"/>
        </w:rPr>
        <w:t>ّ</w:t>
      </w:r>
      <w:r>
        <w:rPr>
          <w:rFonts w:ascii="Simplified Arabic" w:hAnsi="Simplified Arabic" w:cs="Simplified Arabic" w:hint="cs"/>
          <w:kern w:val="0"/>
          <w:sz w:val="26"/>
          <w:szCs w:val="26"/>
          <w:rtl/>
          <w14:ligatures w14:val="none"/>
        </w:rPr>
        <w:t xml:space="preserve"> هذا الرأي يسمح بالحقبات الجيولوجية التي تسبق إعادة خلق السماوات والأرض في ستة أيّام، وهو الخلق الذي يبدأ في تكوين 1: 3. </w:t>
      </w:r>
    </w:p>
    <w:p w14:paraId="372D1150" w14:textId="77777777" w:rsidR="000B0134" w:rsidRPr="000B0134" w:rsidRDefault="000B0134" w:rsidP="000B0134">
      <w:pPr>
        <w:tabs>
          <w:tab w:val="left" w:pos="540"/>
          <w:tab w:val="left" w:pos="1080"/>
          <w:tab w:val="left" w:pos="1620"/>
          <w:tab w:val="left" w:pos="2160"/>
        </w:tabs>
        <w:bidi/>
        <w:spacing w:after="0" w:line="240" w:lineRule="auto"/>
        <w:rPr>
          <w:rFonts w:ascii="Simplified Arabic" w:hAnsi="Simplified Arabic" w:cs="Simplified Arabic"/>
          <w:kern w:val="0"/>
          <w:sz w:val="26"/>
          <w:szCs w:val="26"/>
          <w:rtl/>
          <w14:ligatures w14:val="none"/>
        </w:rPr>
      </w:pPr>
    </w:p>
    <w:p w14:paraId="40F73D9C" w14:textId="77777777" w:rsidR="00894252" w:rsidRPr="00894252" w:rsidRDefault="00894252" w:rsidP="002D6C54">
      <w:pPr>
        <w:tabs>
          <w:tab w:val="left" w:pos="540"/>
          <w:tab w:val="left" w:pos="1080"/>
          <w:tab w:val="left" w:pos="1620"/>
          <w:tab w:val="left" w:pos="2160"/>
        </w:tabs>
        <w:spacing w:after="0" w:line="240" w:lineRule="auto"/>
        <w:ind w:firstLine="547"/>
        <w:rPr>
          <w:rFonts w:asciiTheme="majorBidi" w:hAnsiTheme="majorBidi" w:cstheme="majorBidi"/>
          <w:kern w:val="0"/>
          <w:szCs w:val="24"/>
          <w14:ligatures w14:val="none"/>
        </w:rPr>
      </w:pPr>
    </w:p>
    <w:p w14:paraId="6803648F" w14:textId="690F45F2" w:rsidR="00894252" w:rsidRPr="00C478C2" w:rsidRDefault="000B0134" w:rsidP="000B0134">
      <w:pPr>
        <w:pStyle w:val="ListParagraph"/>
        <w:numPr>
          <w:ilvl w:val="0"/>
          <w:numId w:val="37"/>
        </w:numPr>
        <w:tabs>
          <w:tab w:val="left" w:pos="540"/>
          <w:tab w:val="left" w:pos="1080"/>
          <w:tab w:val="left" w:pos="1620"/>
          <w:tab w:val="left" w:pos="2160"/>
        </w:tabs>
        <w:bidi/>
        <w:spacing w:after="0" w:line="240" w:lineRule="auto"/>
        <w:rPr>
          <w:rFonts w:ascii="Simplified Arabic" w:hAnsi="Simplified Arabic" w:cs="Simplified Arabic"/>
          <w:kern w:val="0"/>
          <w:sz w:val="26"/>
          <w:szCs w:val="26"/>
          <w:lang w:bidi="he-IL"/>
          <w14:ligatures w14:val="none"/>
        </w:rPr>
      </w:pPr>
      <w:r w:rsidRPr="00C478C2">
        <w:rPr>
          <w:rFonts w:ascii="Simplified Arabic" w:hAnsi="Simplified Arabic" w:cs="Simplified Arabic"/>
          <w:kern w:val="0"/>
          <w:sz w:val="26"/>
          <w:szCs w:val="26"/>
          <w:rtl/>
          <w:lang w:bidi="ar-JO"/>
          <w14:ligatures w14:val="none"/>
        </w:rPr>
        <w:t xml:space="preserve">رأي اليوم </w:t>
      </w:r>
      <w:r w:rsidR="00C478C2" w:rsidRPr="00C478C2">
        <w:rPr>
          <w:rFonts w:ascii="Simplified Arabic" w:hAnsi="Simplified Arabic" w:cs="Simplified Arabic"/>
          <w:kern w:val="0"/>
          <w:sz w:val="26"/>
          <w:szCs w:val="26"/>
          <w:rtl/>
          <w:lang w:bidi="ar-JO"/>
          <w14:ligatures w14:val="none"/>
        </w:rPr>
        <w:t>التماثُلي</w:t>
      </w:r>
      <w:r w:rsidR="007D0CF5" w:rsidRPr="00C478C2">
        <w:rPr>
          <w:rFonts w:ascii="Simplified Arabic" w:hAnsi="Simplified Arabic" w:cs="Simplified Arabic"/>
          <w:kern w:val="0"/>
          <w:sz w:val="26"/>
          <w:szCs w:val="26"/>
          <w:rtl/>
          <w:lang w:bidi="ar-JO"/>
          <w14:ligatures w14:val="none"/>
        </w:rPr>
        <w:t xml:space="preserve"> (</w:t>
      </w:r>
      <w:r w:rsidR="007D0CF5" w:rsidRPr="00C478C2">
        <w:rPr>
          <w:rFonts w:ascii="Simplified Arabic" w:hAnsi="Simplified Arabic" w:cs="Simplified Arabic"/>
          <w:kern w:val="0"/>
          <w:sz w:val="26"/>
          <w:szCs w:val="26"/>
          <w:lang w:bidi="ar-JO"/>
          <w14:ligatures w14:val="none"/>
        </w:rPr>
        <w:t>Analogical Day</w:t>
      </w:r>
      <w:r w:rsidR="007D0CF5" w:rsidRPr="00C478C2">
        <w:rPr>
          <w:rFonts w:ascii="Simplified Arabic" w:hAnsi="Simplified Arabic" w:cs="Simplified Arabic"/>
          <w:kern w:val="0"/>
          <w:sz w:val="26"/>
          <w:szCs w:val="26"/>
          <w:rtl/>
          <w:lang w:bidi="ar-JO"/>
          <w14:ligatures w14:val="none"/>
        </w:rPr>
        <w:t>)</w:t>
      </w:r>
      <w:r w:rsidR="00894252" w:rsidRPr="00C478C2">
        <w:rPr>
          <w:rFonts w:ascii="Simplified Arabic" w:hAnsi="Simplified Arabic" w:cs="Simplified Arabic"/>
          <w:sz w:val="26"/>
          <w:szCs w:val="26"/>
          <w:vertAlign w:val="superscript"/>
          <w:lang w:bidi="he-IL"/>
        </w:rPr>
        <w:footnoteReference w:id="235"/>
      </w:r>
    </w:p>
    <w:p w14:paraId="6535A873" w14:textId="77777777" w:rsidR="00894252" w:rsidRPr="00894252" w:rsidRDefault="00894252" w:rsidP="002D6C54">
      <w:pPr>
        <w:tabs>
          <w:tab w:val="left" w:pos="540"/>
          <w:tab w:val="left" w:pos="1080"/>
          <w:tab w:val="left" w:pos="1620"/>
          <w:tab w:val="left" w:pos="2160"/>
        </w:tabs>
        <w:spacing w:after="0" w:line="240" w:lineRule="auto"/>
        <w:ind w:firstLine="547"/>
        <w:rPr>
          <w:rFonts w:asciiTheme="majorBidi" w:hAnsiTheme="majorBidi" w:cstheme="majorBidi"/>
          <w:kern w:val="0"/>
          <w:szCs w:val="24"/>
          <w:lang w:bidi="he-IL"/>
          <w14:ligatures w14:val="none"/>
        </w:rPr>
      </w:pPr>
    </w:p>
    <w:p w14:paraId="09F04231" w14:textId="23E9B6EE" w:rsidR="00C478C2" w:rsidRPr="00C33ECE" w:rsidRDefault="00C478C2" w:rsidP="00C478C2">
      <w:pPr>
        <w:tabs>
          <w:tab w:val="left" w:pos="540"/>
          <w:tab w:val="left" w:pos="1080"/>
          <w:tab w:val="left" w:pos="1620"/>
          <w:tab w:val="left" w:pos="2160"/>
        </w:tabs>
        <w:bidi/>
        <w:spacing w:after="0" w:line="240" w:lineRule="auto"/>
        <w:rPr>
          <w:rFonts w:ascii="Simplified Arabic" w:hAnsi="Simplified Arabic" w:cs="Simplified Arabic"/>
          <w:kern w:val="0"/>
          <w:sz w:val="26"/>
          <w:szCs w:val="26"/>
          <w:rtl/>
          <w:lang w:bidi="ar-JO"/>
          <w14:ligatures w14:val="none"/>
        </w:rPr>
      </w:pPr>
      <w:r w:rsidRPr="00C33ECE">
        <w:rPr>
          <w:rFonts w:ascii="Simplified Arabic" w:hAnsi="Simplified Arabic" w:cs="Simplified Arabic"/>
          <w:kern w:val="0"/>
          <w:sz w:val="26"/>
          <w:szCs w:val="26"/>
          <w:rtl/>
          <w:lang w:bidi="ar-JO"/>
          <w14:ligatures w14:val="none"/>
        </w:rPr>
        <w:t>تكوين 1: 1-2 بداية مطلَقة للخلق، أي خلق الكون المادي. هدف أسبوع الخلق ذي الستة أيّام هو إعداد "الأرض" للإنسان، و</w:t>
      </w:r>
      <w:r w:rsidR="00C33ECE" w:rsidRPr="00C33ECE">
        <w:rPr>
          <w:rFonts w:ascii="Simplified Arabic" w:hAnsi="Simplified Arabic" w:cs="Simplified Arabic"/>
          <w:kern w:val="0"/>
          <w:sz w:val="26"/>
          <w:szCs w:val="26"/>
          <w:rtl/>
          <w:lang w:bidi="ar-JO"/>
          <w14:ligatures w14:val="none"/>
        </w:rPr>
        <w:t xml:space="preserve">قد حدث هذا بعدِ بعض الوقت من خلق الكون. وخلق الأيّام الستة (بدءًا بتكوين 1: 3) لا يبدأ إلا في نهاية الفترة الجافة (حين بدأت الدنيا تمطِر؛ انظر تكوين 2). ولأنّ اليوم السابع لا ينتهي بلازمة تختمه، فإنّه "لا ينتهي" (ص87). على هذه الأساس، يفهم كولينز الأيّام بمعنى غير حرفيّ (إنها أيّام عمل الله، </w:t>
      </w:r>
      <w:r w:rsidR="00F54216">
        <w:rPr>
          <w:rFonts w:ascii="Simplified Arabic" w:hAnsi="Simplified Arabic" w:cs="Simplified Arabic" w:hint="cs"/>
          <w:kern w:val="0"/>
          <w:sz w:val="26"/>
          <w:szCs w:val="26"/>
          <w:rtl/>
          <w:lang w:bidi="ar-JO"/>
          <w14:ligatures w14:val="none"/>
        </w:rPr>
        <w:t>لا</w:t>
      </w:r>
      <w:r w:rsidR="00C33ECE" w:rsidRPr="00C33ECE">
        <w:rPr>
          <w:rFonts w:ascii="Simplified Arabic" w:hAnsi="Simplified Arabic" w:cs="Simplified Arabic"/>
          <w:kern w:val="0"/>
          <w:sz w:val="26"/>
          <w:szCs w:val="26"/>
          <w:rtl/>
          <w:lang w:bidi="ar-JO"/>
          <w14:ligatures w14:val="none"/>
        </w:rPr>
        <w:t xml:space="preserve"> أيّامنا، وهذا نموذج ينبغي للإنسان أن يتبعه.)</w:t>
      </w:r>
      <w:r w:rsidR="00C33ECE" w:rsidRPr="00C33ECE">
        <w:rPr>
          <w:rStyle w:val="FootnoteReference"/>
          <w:rFonts w:ascii="Simplified Arabic" w:hAnsi="Simplified Arabic" w:cs="Simplified Arabic"/>
          <w:kern w:val="0"/>
          <w:sz w:val="26"/>
          <w:szCs w:val="26"/>
          <w:rtl/>
          <w:lang w:bidi="ar-JO"/>
          <w14:ligatures w14:val="none"/>
        </w:rPr>
        <w:footnoteReference w:id="236"/>
      </w:r>
    </w:p>
    <w:p w14:paraId="5A9B2138" w14:textId="77777777" w:rsidR="00C478C2" w:rsidRDefault="00C478C2" w:rsidP="002D6C54">
      <w:pPr>
        <w:tabs>
          <w:tab w:val="left" w:pos="540"/>
          <w:tab w:val="left" w:pos="1080"/>
          <w:tab w:val="left" w:pos="1620"/>
          <w:tab w:val="left" w:pos="2160"/>
        </w:tabs>
        <w:spacing w:after="0" w:line="240" w:lineRule="auto"/>
        <w:ind w:left="1080"/>
        <w:rPr>
          <w:rFonts w:asciiTheme="majorBidi" w:hAnsiTheme="majorBidi" w:cstheme="majorBidi"/>
          <w:kern w:val="0"/>
          <w:szCs w:val="24"/>
          <w:rtl/>
          <w:lang w:bidi="he-IL"/>
          <w14:ligatures w14:val="none"/>
        </w:rPr>
      </w:pPr>
    </w:p>
    <w:p w14:paraId="45483914" w14:textId="739F7637" w:rsidR="00894252" w:rsidRPr="009C6DD2" w:rsidRDefault="009C6DD2" w:rsidP="009C6DD2">
      <w:pPr>
        <w:pStyle w:val="Heading4RED"/>
        <w:bidi/>
        <w:rPr>
          <w:rFonts w:ascii="Simplified Arabic" w:hAnsi="Simplified Arabic" w:cs="Simplified Arabic"/>
          <w:color w:val="auto"/>
          <w:szCs w:val="24"/>
        </w:rPr>
      </w:pPr>
      <w:r w:rsidRPr="009C6DD2">
        <w:rPr>
          <w:rFonts w:ascii="Simplified Arabic" w:hAnsi="Simplified Arabic" w:cs="Simplified Arabic"/>
          <w:rtl/>
        </w:rPr>
        <w:t>رابعًا: تكوين 1: 1 ليس خل</w:t>
      </w:r>
      <w:r w:rsidR="00F54216">
        <w:rPr>
          <w:rFonts w:ascii="Simplified Arabic" w:hAnsi="Simplified Arabic" w:cs="Simplified Arabic" w:hint="cs"/>
          <w:rtl/>
        </w:rPr>
        <w:t>ْ</w:t>
      </w:r>
      <w:r w:rsidRPr="009C6DD2">
        <w:rPr>
          <w:rFonts w:ascii="Simplified Arabic" w:hAnsi="Simplified Arabic" w:cs="Simplified Arabic"/>
          <w:rtl/>
        </w:rPr>
        <w:t>قًا أصليًّا، ويبدأ اليوم الأو</w:t>
      </w:r>
      <w:r w:rsidR="00F54216">
        <w:rPr>
          <w:rFonts w:ascii="Simplified Arabic" w:hAnsi="Simplified Arabic" w:cs="Simplified Arabic" w:hint="cs"/>
          <w:rtl/>
        </w:rPr>
        <w:t>َّ</w:t>
      </w:r>
      <w:r w:rsidRPr="009C6DD2">
        <w:rPr>
          <w:rFonts w:ascii="Simplified Arabic" w:hAnsi="Simplified Arabic" w:cs="Simplified Arabic"/>
          <w:rtl/>
        </w:rPr>
        <w:t xml:space="preserve">ل في تكوين 1: 3. </w:t>
      </w:r>
    </w:p>
    <w:p w14:paraId="7EC27E71" w14:textId="77777777" w:rsidR="00894252" w:rsidRPr="00894252" w:rsidRDefault="00894252" w:rsidP="002D6C54">
      <w:pPr>
        <w:tabs>
          <w:tab w:val="left" w:pos="540"/>
          <w:tab w:val="left" w:pos="1080"/>
          <w:tab w:val="left" w:pos="1620"/>
          <w:tab w:val="left" w:pos="2160"/>
        </w:tabs>
        <w:spacing w:after="0" w:line="240" w:lineRule="auto"/>
        <w:rPr>
          <w:rFonts w:asciiTheme="majorBidi" w:hAnsiTheme="majorBidi" w:cstheme="majorBidi"/>
          <w:b/>
          <w:bCs/>
          <w:color w:val="auto"/>
          <w:kern w:val="0"/>
          <w:szCs w:val="24"/>
          <w14:ligatures w14:val="none"/>
        </w:rPr>
      </w:pPr>
    </w:p>
    <w:p w14:paraId="0679AE83" w14:textId="75CFA2C4" w:rsidR="00894252" w:rsidRDefault="009C6DD2" w:rsidP="009C6DD2">
      <w:pPr>
        <w:tabs>
          <w:tab w:val="left" w:pos="540"/>
          <w:tab w:val="left" w:pos="1080"/>
          <w:tab w:val="left" w:pos="1620"/>
          <w:tab w:val="left" w:pos="2160"/>
        </w:tabs>
        <w:bidi/>
        <w:spacing w:after="0" w:line="240" w:lineRule="auto"/>
        <w:rPr>
          <w:rFonts w:ascii="Simplified Arabic" w:hAnsi="Simplified Arabic" w:cs="Simplified Arabic"/>
          <w:kern w:val="0"/>
          <w:sz w:val="26"/>
          <w:szCs w:val="26"/>
          <w:rtl/>
          <w:lang w:bidi="ar-JO"/>
          <w14:ligatures w14:val="none"/>
        </w:rPr>
      </w:pPr>
      <w:r>
        <w:rPr>
          <w:rFonts w:ascii="Simplified Arabic" w:hAnsi="Simplified Arabic" w:cs="Simplified Arabic" w:hint="cs"/>
          <w:kern w:val="0"/>
          <w:sz w:val="26"/>
          <w:szCs w:val="26"/>
          <w:rtl/>
          <w:lang w:bidi="ar-JO"/>
          <w14:ligatures w14:val="none"/>
        </w:rPr>
        <w:t xml:space="preserve">في الرأيين التاليين، تكون الأرض موجودة أصلًا حين يبدأ الله خلق الأيّام الستة الذي يتكلَّم تكوين 1: 1 </w:t>
      </w:r>
      <w:r>
        <w:rPr>
          <w:rFonts w:ascii="Simplified Arabic" w:hAnsi="Simplified Arabic" w:cs="Simplified Arabic"/>
          <w:kern w:val="0"/>
          <w:sz w:val="26"/>
          <w:szCs w:val="26"/>
          <w:rtl/>
          <w:lang w:bidi="ar-JO"/>
          <w14:ligatures w14:val="none"/>
        </w:rPr>
        <w:t>–</w:t>
      </w:r>
      <w:r>
        <w:rPr>
          <w:rFonts w:ascii="Simplified Arabic" w:hAnsi="Simplified Arabic" w:cs="Simplified Arabic" w:hint="cs"/>
          <w:kern w:val="0"/>
          <w:sz w:val="26"/>
          <w:szCs w:val="26"/>
          <w:rtl/>
          <w:lang w:bidi="ar-JO"/>
          <w14:ligatures w14:val="none"/>
        </w:rPr>
        <w:t xml:space="preserve"> 2: 3 عنه. ولذا فإن</w:t>
      </w:r>
      <w:r w:rsidR="00F54216">
        <w:rPr>
          <w:rFonts w:ascii="Simplified Arabic" w:hAnsi="Simplified Arabic" w:cs="Simplified Arabic" w:hint="cs"/>
          <w:kern w:val="0"/>
          <w:sz w:val="26"/>
          <w:szCs w:val="26"/>
          <w:rtl/>
          <w:lang w:bidi="ar-JO"/>
          <w14:ligatures w14:val="none"/>
        </w:rPr>
        <w:t>ّ</w:t>
      </w:r>
      <w:r>
        <w:rPr>
          <w:rFonts w:ascii="Simplified Arabic" w:hAnsi="Simplified Arabic" w:cs="Simplified Arabic" w:hint="cs"/>
          <w:kern w:val="0"/>
          <w:sz w:val="26"/>
          <w:szCs w:val="26"/>
          <w:rtl/>
          <w:lang w:bidi="ar-JO"/>
          <w14:ligatures w14:val="none"/>
        </w:rPr>
        <w:t xml:space="preserve"> هذا المقطع لا يتحدَّث عن الخلق الأصلي للكون. كما أن</w:t>
      </w:r>
      <w:r w:rsidR="00F54216">
        <w:rPr>
          <w:rFonts w:ascii="Simplified Arabic" w:hAnsi="Simplified Arabic" w:cs="Simplified Arabic" w:hint="cs"/>
          <w:kern w:val="0"/>
          <w:sz w:val="26"/>
          <w:szCs w:val="26"/>
          <w:rtl/>
          <w:lang w:bidi="ar-JO"/>
          <w14:ligatures w14:val="none"/>
        </w:rPr>
        <w:t>ّ</w:t>
      </w:r>
      <w:r>
        <w:rPr>
          <w:rFonts w:ascii="Simplified Arabic" w:hAnsi="Simplified Arabic" w:cs="Simplified Arabic" w:hint="cs"/>
          <w:kern w:val="0"/>
          <w:sz w:val="26"/>
          <w:szCs w:val="26"/>
          <w:rtl/>
          <w:lang w:bidi="ar-JO"/>
          <w14:ligatures w14:val="none"/>
        </w:rPr>
        <w:t xml:space="preserve"> "اليوم الأول" لا يبدأ إل</w:t>
      </w:r>
      <w:r w:rsidR="003A1CED">
        <w:rPr>
          <w:rFonts w:ascii="Simplified Arabic" w:hAnsi="Simplified Arabic" w:cs="Simplified Arabic" w:hint="cs"/>
          <w:kern w:val="0"/>
          <w:sz w:val="26"/>
          <w:szCs w:val="26"/>
          <w:rtl/>
          <w:lang w:bidi="ar-JO"/>
          <w14:ligatures w14:val="none"/>
        </w:rPr>
        <w:t>ّ</w:t>
      </w:r>
      <w:r>
        <w:rPr>
          <w:rFonts w:ascii="Simplified Arabic" w:hAnsi="Simplified Arabic" w:cs="Simplified Arabic" w:hint="cs"/>
          <w:kern w:val="0"/>
          <w:sz w:val="26"/>
          <w:szCs w:val="26"/>
          <w:rtl/>
          <w:lang w:bidi="ar-JO"/>
          <w14:ligatures w14:val="none"/>
        </w:rPr>
        <w:t xml:space="preserve">ا في الآية 3، وهناك احتمالات عديدة بأن تكون هناك فترة زمنية طويلة قد مرّت قبل اليوم الأول. قد تكون الأيّام أيَّامًا حرفية مؤلَّفة من 24 ساعة، وقد لا تكون كذلك. </w:t>
      </w:r>
    </w:p>
    <w:p w14:paraId="2829DD18" w14:textId="69139B7C" w:rsidR="009C6DD2" w:rsidRDefault="009C6DD2" w:rsidP="009C6DD2">
      <w:pPr>
        <w:tabs>
          <w:tab w:val="left" w:pos="540"/>
          <w:tab w:val="left" w:pos="1080"/>
          <w:tab w:val="left" w:pos="1620"/>
          <w:tab w:val="left" w:pos="2160"/>
        </w:tabs>
        <w:bidi/>
        <w:spacing w:after="0" w:line="240" w:lineRule="auto"/>
        <w:rPr>
          <w:rFonts w:ascii="Simplified Arabic" w:hAnsi="Simplified Arabic" w:cs="Simplified Arabic"/>
          <w:kern w:val="0"/>
          <w:sz w:val="26"/>
          <w:szCs w:val="26"/>
          <w:rtl/>
          <w:lang w:bidi="ar-JO"/>
          <w14:ligatures w14:val="none"/>
        </w:rPr>
      </w:pPr>
    </w:p>
    <w:p w14:paraId="3040E5F9" w14:textId="2E6E2B97" w:rsidR="009C6DD2" w:rsidRPr="00EC1363" w:rsidRDefault="009C6DD2" w:rsidP="009C6DD2">
      <w:pPr>
        <w:pStyle w:val="ListParagraph"/>
        <w:numPr>
          <w:ilvl w:val="0"/>
          <w:numId w:val="38"/>
        </w:numPr>
        <w:tabs>
          <w:tab w:val="left" w:pos="540"/>
          <w:tab w:val="left" w:pos="1080"/>
          <w:tab w:val="left" w:pos="1620"/>
          <w:tab w:val="left" w:pos="2160"/>
        </w:tabs>
        <w:bidi/>
        <w:spacing w:after="0" w:line="240" w:lineRule="auto"/>
        <w:rPr>
          <w:rFonts w:ascii="Simplified Arabic" w:hAnsi="Simplified Arabic" w:cs="Simplified Arabic"/>
          <w:b/>
          <w:bCs/>
          <w:kern w:val="0"/>
          <w:sz w:val="26"/>
          <w:szCs w:val="26"/>
          <w:lang w:bidi="ar-JO"/>
          <w14:ligatures w14:val="none"/>
        </w:rPr>
      </w:pPr>
      <w:r w:rsidRPr="00EC1363">
        <w:rPr>
          <w:rFonts w:ascii="Simplified Arabic" w:hAnsi="Simplified Arabic" w:cs="Simplified Arabic" w:hint="cs"/>
          <w:b/>
          <w:bCs/>
          <w:kern w:val="0"/>
          <w:sz w:val="26"/>
          <w:szCs w:val="26"/>
          <w:rtl/>
          <w:lang w:bidi="ar-JO"/>
          <w14:ligatures w14:val="none"/>
        </w:rPr>
        <w:t xml:space="preserve">تكوين 1: 1 بوصفها جميلة مستقلّة </w:t>
      </w:r>
      <w:r w:rsidRPr="00EC1363">
        <w:rPr>
          <w:rFonts w:ascii="Simplified Arabic" w:hAnsi="Simplified Arabic" w:cs="Simplified Arabic"/>
          <w:b/>
          <w:bCs/>
          <w:kern w:val="0"/>
          <w:sz w:val="26"/>
          <w:szCs w:val="26"/>
          <w:rtl/>
          <w:lang w:bidi="ar-JO"/>
          <w14:ligatures w14:val="none"/>
        </w:rPr>
        <w:t>–</w:t>
      </w:r>
      <w:r w:rsidRPr="00EC1363">
        <w:rPr>
          <w:rFonts w:ascii="Simplified Arabic" w:hAnsi="Simplified Arabic" w:cs="Simplified Arabic" w:hint="cs"/>
          <w:b/>
          <w:bCs/>
          <w:kern w:val="0"/>
          <w:sz w:val="26"/>
          <w:szCs w:val="26"/>
          <w:rtl/>
          <w:lang w:bidi="ar-JO"/>
          <w14:ligatures w14:val="none"/>
        </w:rPr>
        <w:t xml:space="preserve"> راشي وابن عزرا.</w:t>
      </w:r>
      <w:r w:rsidRPr="00EC1363">
        <w:rPr>
          <w:rStyle w:val="FootnoteReference"/>
          <w:rFonts w:ascii="Simplified Arabic" w:hAnsi="Simplified Arabic" w:cs="Simplified Arabic"/>
          <w:b/>
          <w:bCs/>
          <w:kern w:val="0"/>
          <w:sz w:val="26"/>
          <w:szCs w:val="26"/>
          <w:rtl/>
          <w:lang w:bidi="ar-JO"/>
          <w14:ligatures w14:val="none"/>
        </w:rPr>
        <w:footnoteReference w:id="237"/>
      </w:r>
      <w:r w:rsidRPr="00EC1363">
        <w:rPr>
          <w:rFonts w:ascii="Simplified Arabic" w:hAnsi="Simplified Arabic" w:cs="Simplified Arabic" w:hint="cs"/>
          <w:b/>
          <w:bCs/>
          <w:kern w:val="0"/>
          <w:sz w:val="26"/>
          <w:szCs w:val="26"/>
          <w:rtl/>
          <w:lang w:bidi="ar-JO"/>
          <w14:ligatures w14:val="none"/>
        </w:rPr>
        <w:t xml:space="preserve"> </w:t>
      </w:r>
    </w:p>
    <w:p w14:paraId="0FDF4C61" w14:textId="77777777" w:rsidR="00B64561" w:rsidRDefault="00B64561" w:rsidP="00EC1363">
      <w:pPr>
        <w:tabs>
          <w:tab w:val="left" w:pos="540"/>
          <w:tab w:val="left" w:pos="1080"/>
          <w:tab w:val="left" w:pos="1620"/>
          <w:tab w:val="left" w:pos="2160"/>
        </w:tabs>
        <w:bidi/>
        <w:spacing w:after="0" w:line="240" w:lineRule="auto"/>
        <w:rPr>
          <w:rFonts w:asciiTheme="majorBidi" w:hAnsiTheme="majorBidi" w:cstheme="majorBidi"/>
          <w:kern w:val="0"/>
          <w:szCs w:val="24"/>
          <w:rtl/>
          <w:lang w:bidi="ar-JO"/>
          <w14:ligatures w14:val="none"/>
        </w:rPr>
      </w:pPr>
    </w:p>
    <w:p w14:paraId="05289C01" w14:textId="75EB5E02" w:rsidR="00894252" w:rsidRPr="00B64561" w:rsidRDefault="00B64561" w:rsidP="00B64561">
      <w:pPr>
        <w:tabs>
          <w:tab w:val="left" w:pos="540"/>
          <w:tab w:val="left" w:pos="1080"/>
          <w:tab w:val="left" w:pos="1620"/>
          <w:tab w:val="left" w:pos="2160"/>
        </w:tabs>
        <w:bidi/>
        <w:spacing w:after="0" w:line="240" w:lineRule="auto"/>
        <w:rPr>
          <w:rFonts w:ascii="Simplified Arabic" w:hAnsi="Simplified Arabic" w:cs="Simplified Arabic"/>
          <w:kern w:val="0"/>
          <w:sz w:val="26"/>
          <w:szCs w:val="26"/>
          <w:rtl/>
          <w:lang w:bidi="ar-JO"/>
          <w14:ligatures w14:val="none"/>
        </w:rPr>
      </w:pPr>
      <w:r w:rsidRPr="00B64561">
        <w:rPr>
          <w:rFonts w:ascii="Simplified Arabic" w:hAnsi="Simplified Arabic" w:cs="Simplified Arabic"/>
          <w:kern w:val="0"/>
          <w:sz w:val="26"/>
          <w:szCs w:val="26"/>
          <w:rtl/>
          <w:lang w:bidi="ar-JO"/>
          <w14:ligatures w14:val="none"/>
        </w:rPr>
        <w:t>لا يتبنّى بعض الدارسين فكرة أن</w:t>
      </w:r>
      <w:r>
        <w:rPr>
          <w:rFonts w:ascii="Simplified Arabic" w:hAnsi="Simplified Arabic" w:cs="Simplified Arabic" w:hint="cs"/>
          <w:kern w:val="0"/>
          <w:sz w:val="26"/>
          <w:szCs w:val="26"/>
          <w:rtl/>
          <w:lang w:bidi="ar-JO"/>
          <w14:ligatures w14:val="none"/>
        </w:rPr>
        <w:t>َّ</w:t>
      </w:r>
      <w:r w:rsidRPr="00B64561">
        <w:rPr>
          <w:rFonts w:ascii="Simplified Arabic" w:hAnsi="Simplified Arabic" w:cs="Simplified Arabic"/>
          <w:kern w:val="0"/>
          <w:sz w:val="26"/>
          <w:szCs w:val="26"/>
          <w:rtl/>
          <w:lang w:bidi="ar-JO"/>
          <w14:ligatures w14:val="none"/>
        </w:rPr>
        <w:t xml:space="preserve"> تكوين 1: 1 </w:t>
      </w:r>
      <w:r>
        <w:rPr>
          <w:rFonts w:ascii="Simplified Arabic" w:hAnsi="Simplified Arabic" w:cs="Simplified Arabic" w:hint="cs"/>
          <w:kern w:val="0"/>
          <w:sz w:val="26"/>
          <w:szCs w:val="26"/>
          <w:rtl/>
          <w:lang w:bidi="ar-JO"/>
          <w14:ligatures w14:val="none"/>
        </w:rPr>
        <w:t xml:space="preserve">جملة مستقلّة، بل يرون أنّها جملة تابعة لما يأتي بعدها، إمّا للآية 2 أو الآية 3. فإن كان الأمر كذلك، فإنّه يمكن ترجمتها بإحدى طريقتَين: (1) </w:t>
      </w:r>
      <w:r w:rsidR="00981125">
        <w:rPr>
          <w:rFonts w:ascii="Simplified Arabic" w:hAnsi="Simplified Arabic" w:cs="Simplified Arabic" w:hint="cs"/>
          <w:kern w:val="0"/>
          <w:sz w:val="26"/>
          <w:szCs w:val="26"/>
          <w:rtl/>
          <w:lang w:bidi="ar-JO"/>
          <w14:ligatures w14:val="none"/>
        </w:rPr>
        <w:t>"في بداية خلق السماوات والأرض، كانت الأرض بلا شك</w:t>
      </w:r>
      <w:r w:rsidR="003A1CED">
        <w:rPr>
          <w:rFonts w:ascii="Simplified Arabic" w:hAnsi="Simplified Arabic" w:cs="Simplified Arabic" w:hint="cs"/>
          <w:kern w:val="0"/>
          <w:sz w:val="26"/>
          <w:szCs w:val="26"/>
          <w:rtl/>
          <w:lang w:bidi="ar-JO"/>
          <w14:ligatures w14:val="none"/>
        </w:rPr>
        <w:t>ٍّ</w:t>
      </w:r>
      <w:r w:rsidR="00981125">
        <w:rPr>
          <w:rFonts w:ascii="Simplified Arabic" w:hAnsi="Simplified Arabic" w:cs="Simplified Arabic" w:hint="cs"/>
          <w:kern w:val="0"/>
          <w:sz w:val="26"/>
          <w:szCs w:val="26"/>
          <w:rtl/>
          <w:lang w:bidi="ar-JO"/>
          <w14:ligatures w14:val="none"/>
        </w:rPr>
        <w:t xml:space="preserve"> وفارغة" (ابن عزرا)؛ أو (2) "حين بدأ الله يخلق السماوات والأرض، وإذ الأرض ... قال الله: </w:t>
      </w:r>
      <w:r w:rsidR="00981125">
        <w:rPr>
          <w:rFonts w:ascii="Simplified Arabic" w:hAnsi="Simplified Arabic" w:cs="Simplified Arabic" w:hint="cs"/>
          <w:kern w:val="0"/>
          <w:sz w:val="26"/>
          <w:szCs w:val="26"/>
          <w:rtl/>
          <w:lang w:bidi="ar-JO"/>
          <w14:ligatures w14:val="none"/>
        </w:rPr>
        <w:lastRenderedPageBreak/>
        <w:t xml:space="preserve">’ليكُن نور‘" (راشي، كيدنر). وتسمح </w:t>
      </w:r>
      <w:r w:rsidR="003A1CED">
        <w:rPr>
          <w:rFonts w:ascii="Simplified Arabic" w:hAnsi="Simplified Arabic" w:cs="Simplified Arabic" w:hint="cs"/>
          <w:kern w:val="0"/>
          <w:sz w:val="26"/>
          <w:szCs w:val="26"/>
          <w:rtl/>
          <w:lang w:bidi="ar-JO"/>
          <w14:ligatures w14:val="none"/>
        </w:rPr>
        <w:t xml:space="preserve">هاتان </w:t>
      </w:r>
      <w:r w:rsidR="00981125">
        <w:rPr>
          <w:rFonts w:ascii="Simplified Arabic" w:hAnsi="Simplified Arabic" w:cs="Simplified Arabic" w:hint="cs"/>
          <w:kern w:val="0"/>
          <w:sz w:val="26"/>
          <w:szCs w:val="26"/>
          <w:rtl/>
          <w:lang w:bidi="ar-JO"/>
          <w14:ligatures w14:val="none"/>
        </w:rPr>
        <w:t xml:space="preserve">الترجمتان بفكرة أنّه حين بدأ الله يخلق، كانت الأرض (والماء والظلمة) موجودة، ممّا يتعارض مع التعليم القائل إن تكوين 1: 1 </w:t>
      </w:r>
      <w:r w:rsidR="00981125">
        <w:rPr>
          <w:rFonts w:ascii="Simplified Arabic" w:hAnsi="Simplified Arabic" w:cs="Simplified Arabic"/>
          <w:kern w:val="0"/>
          <w:sz w:val="26"/>
          <w:szCs w:val="26"/>
          <w:rtl/>
          <w:lang w:bidi="ar-JO"/>
          <w14:ligatures w14:val="none"/>
        </w:rPr>
        <w:t>–</w:t>
      </w:r>
      <w:r w:rsidR="00981125">
        <w:rPr>
          <w:rFonts w:ascii="Simplified Arabic" w:hAnsi="Simplified Arabic" w:cs="Simplified Arabic" w:hint="cs"/>
          <w:kern w:val="0"/>
          <w:sz w:val="26"/>
          <w:szCs w:val="26"/>
          <w:rtl/>
          <w:lang w:bidi="ar-JO"/>
          <w14:ligatures w14:val="none"/>
        </w:rPr>
        <w:t xml:space="preserve"> 2: 3 يعلِّم عن البداية المُطلَقة للخليقة. </w:t>
      </w:r>
    </w:p>
    <w:p w14:paraId="422DC583" w14:textId="77777777" w:rsidR="00894252" w:rsidRPr="00894252" w:rsidRDefault="00894252" w:rsidP="002D6C54">
      <w:pPr>
        <w:tabs>
          <w:tab w:val="left" w:pos="540"/>
          <w:tab w:val="left" w:pos="1080"/>
          <w:tab w:val="left" w:pos="1620"/>
          <w:tab w:val="left" w:pos="2160"/>
        </w:tabs>
        <w:spacing w:after="0" w:line="240" w:lineRule="auto"/>
        <w:ind w:left="540"/>
        <w:rPr>
          <w:rFonts w:asciiTheme="majorBidi" w:hAnsiTheme="majorBidi" w:cstheme="majorBidi"/>
          <w:kern w:val="0"/>
          <w:szCs w:val="24"/>
          <w:lang w:bidi="he-IL"/>
          <w14:ligatures w14:val="none"/>
        </w:rPr>
      </w:pPr>
    </w:p>
    <w:p w14:paraId="2E4CB8E6" w14:textId="77777777" w:rsidR="00894252" w:rsidRPr="00894252" w:rsidRDefault="00894252" w:rsidP="002D6C54">
      <w:pPr>
        <w:tabs>
          <w:tab w:val="left" w:pos="540"/>
          <w:tab w:val="left" w:pos="1080"/>
          <w:tab w:val="left" w:pos="1620"/>
          <w:tab w:val="left" w:pos="2160"/>
        </w:tabs>
        <w:spacing w:after="0" w:line="240" w:lineRule="auto"/>
        <w:ind w:left="540"/>
        <w:rPr>
          <w:rFonts w:asciiTheme="majorBidi" w:hAnsiTheme="majorBidi" w:cstheme="majorBidi"/>
          <w:kern w:val="0"/>
          <w:szCs w:val="24"/>
          <w:lang w:bidi="he-IL"/>
          <w14:ligatures w14:val="none"/>
        </w:rPr>
      </w:pPr>
    </w:p>
    <w:p w14:paraId="505E0C40" w14:textId="4ECCAC4F" w:rsidR="00894252" w:rsidRPr="00174663" w:rsidRDefault="00981125" w:rsidP="00981125">
      <w:pPr>
        <w:pStyle w:val="ListParagraph"/>
        <w:numPr>
          <w:ilvl w:val="0"/>
          <w:numId w:val="38"/>
        </w:numPr>
        <w:tabs>
          <w:tab w:val="left" w:pos="540"/>
          <w:tab w:val="left" w:pos="1080"/>
          <w:tab w:val="left" w:pos="1620"/>
          <w:tab w:val="left" w:pos="2160"/>
        </w:tabs>
        <w:bidi/>
        <w:spacing w:after="0" w:line="240" w:lineRule="auto"/>
        <w:rPr>
          <w:rFonts w:ascii="Simplified Arabic" w:hAnsi="Simplified Arabic" w:cs="Simplified Arabic"/>
          <w:b/>
          <w:bCs/>
          <w:kern w:val="0"/>
          <w:sz w:val="26"/>
          <w:szCs w:val="26"/>
          <w:lang w:bidi="ar-JO"/>
          <w14:ligatures w14:val="none"/>
        </w:rPr>
      </w:pPr>
      <w:r w:rsidRPr="00174663">
        <w:rPr>
          <w:rFonts w:ascii="Simplified Arabic" w:hAnsi="Simplified Arabic" w:cs="Simplified Arabic"/>
          <w:b/>
          <w:bCs/>
          <w:kern w:val="0"/>
          <w:sz w:val="26"/>
          <w:szCs w:val="26"/>
          <w:rtl/>
          <w:lang w:bidi="ar-JO"/>
          <w14:ligatures w14:val="none"/>
        </w:rPr>
        <w:t xml:space="preserve">تكوين 1: 1 جملة مستقلة تمثِّل </w:t>
      </w:r>
      <w:r w:rsidR="00174663" w:rsidRPr="00174663">
        <w:rPr>
          <w:rFonts w:ascii="Simplified Arabic" w:hAnsi="Simplified Arabic" w:cs="Simplified Arabic"/>
          <w:b/>
          <w:bCs/>
          <w:kern w:val="0"/>
          <w:sz w:val="26"/>
          <w:szCs w:val="26"/>
          <w:rtl/>
          <w:lang w:bidi="ar-JO"/>
          <w14:ligatures w14:val="none"/>
        </w:rPr>
        <w:t xml:space="preserve">بيانًا </w:t>
      </w:r>
      <w:r w:rsidRPr="00174663">
        <w:rPr>
          <w:rFonts w:ascii="Simplified Arabic" w:hAnsi="Simplified Arabic" w:cs="Simplified Arabic"/>
          <w:b/>
          <w:bCs/>
          <w:kern w:val="0"/>
          <w:sz w:val="26"/>
          <w:szCs w:val="26"/>
          <w:rtl/>
          <w:lang w:bidi="ar-JO"/>
          <w14:ligatures w14:val="none"/>
        </w:rPr>
        <w:t>تلخيصيّ</w:t>
      </w:r>
      <w:r w:rsidR="00174663" w:rsidRPr="00174663">
        <w:rPr>
          <w:rFonts w:ascii="Simplified Arabic" w:hAnsi="Simplified Arabic" w:cs="Simplified Arabic"/>
          <w:b/>
          <w:bCs/>
          <w:kern w:val="0"/>
          <w:sz w:val="26"/>
          <w:szCs w:val="26"/>
          <w:rtl/>
          <w:lang w:bidi="ar-JO"/>
          <w14:ligatures w14:val="none"/>
        </w:rPr>
        <w:t xml:space="preserve">ًا </w:t>
      </w:r>
      <w:r w:rsidR="00174663">
        <w:rPr>
          <w:rFonts w:ascii="Simplified Arabic" w:hAnsi="Simplified Arabic" w:cs="Simplified Arabic" w:hint="cs"/>
          <w:b/>
          <w:bCs/>
          <w:kern w:val="0"/>
          <w:sz w:val="26"/>
          <w:szCs w:val="26"/>
          <w:rtl/>
          <w:lang w:bidi="ar-JO"/>
          <w14:ligatures w14:val="none"/>
        </w:rPr>
        <w:t xml:space="preserve">لكامل الأصحاح </w:t>
      </w:r>
    </w:p>
    <w:p w14:paraId="4308C2AD" w14:textId="77777777" w:rsidR="00894252" w:rsidRPr="00894252" w:rsidRDefault="00894252" w:rsidP="002D6C54">
      <w:pPr>
        <w:tabs>
          <w:tab w:val="left" w:pos="540"/>
          <w:tab w:val="left" w:pos="1080"/>
          <w:tab w:val="left" w:pos="1620"/>
          <w:tab w:val="left" w:pos="2160"/>
        </w:tabs>
        <w:spacing w:after="0" w:line="240" w:lineRule="auto"/>
        <w:rPr>
          <w:rFonts w:asciiTheme="majorBidi" w:hAnsiTheme="majorBidi" w:cstheme="majorBidi"/>
          <w:kern w:val="0"/>
          <w:szCs w:val="24"/>
          <w:lang w:bidi="he-IL"/>
          <w14:ligatures w14:val="none"/>
        </w:rPr>
      </w:pPr>
    </w:p>
    <w:p w14:paraId="42212F01" w14:textId="6182684A" w:rsidR="00894252" w:rsidRPr="00174663" w:rsidRDefault="00174663" w:rsidP="00174663">
      <w:pPr>
        <w:pStyle w:val="ListParagraph"/>
        <w:numPr>
          <w:ilvl w:val="0"/>
          <w:numId w:val="39"/>
        </w:numPr>
        <w:tabs>
          <w:tab w:val="left" w:pos="540"/>
          <w:tab w:val="left" w:pos="1080"/>
          <w:tab w:val="left" w:pos="1620"/>
          <w:tab w:val="left" w:pos="2160"/>
        </w:tabs>
        <w:bidi/>
        <w:spacing w:after="0" w:line="240" w:lineRule="auto"/>
        <w:rPr>
          <w:rFonts w:ascii="Simplified Arabic" w:hAnsi="Simplified Arabic" w:cs="Simplified Arabic"/>
          <w:kern w:val="0"/>
          <w:sz w:val="26"/>
          <w:szCs w:val="26"/>
          <w:lang w:bidi="ar-JO"/>
          <w14:ligatures w14:val="none"/>
        </w:rPr>
      </w:pPr>
      <w:r w:rsidRPr="00D240A6">
        <w:rPr>
          <w:rFonts w:ascii="Simplified Arabic" w:hAnsi="Simplified Arabic" w:cs="Simplified Arabic" w:hint="cs"/>
          <w:b/>
          <w:bCs/>
          <w:kern w:val="0"/>
          <w:sz w:val="26"/>
          <w:szCs w:val="26"/>
          <w:rtl/>
          <w:lang w:bidi="ar-JO"/>
          <w14:ligatures w14:val="none"/>
        </w:rPr>
        <w:t>نظري</w:t>
      </w:r>
      <w:r w:rsidR="003A1CED">
        <w:rPr>
          <w:rFonts w:ascii="Simplified Arabic" w:hAnsi="Simplified Arabic" w:cs="Simplified Arabic" w:hint="cs"/>
          <w:b/>
          <w:bCs/>
          <w:kern w:val="0"/>
          <w:sz w:val="26"/>
          <w:szCs w:val="26"/>
          <w:rtl/>
          <w:lang w:bidi="ar-JO"/>
          <w14:ligatures w14:val="none"/>
        </w:rPr>
        <w:t>ّ</w:t>
      </w:r>
      <w:r w:rsidRPr="00D240A6">
        <w:rPr>
          <w:rFonts w:ascii="Simplified Arabic" w:hAnsi="Simplified Arabic" w:cs="Simplified Arabic" w:hint="cs"/>
          <w:b/>
          <w:bCs/>
          <w:kern w:val="0"/>
          <w:sz w:val="26"/>
          <w:szCs w:val="26"/>
          <w:rtl/>
          <w:lang w:bidi="ar-JO"/>
          <w14:ligatures w14:val="none"/>
        </w:rPr>
        <w:t>ة فوضى ما قبل الخلق</w:t>
      </w:r>
      <w:r>
        <w:rPr>
          <w:rFonts w:ascii="Simplified Arabic" w:hAnsi="Simplified Arabic" w:cs="Simplified Arabic" w:hint="cs"/>
          <w:kern w:val="0"/>
          <w:sz w:val="26"/>
          <w:szCs w:val="26"/>
          <w:rtl/>
          <w:lang w:bidi="ar-JO"/>
          <w14:ligatures w14:val="none"/>
        </w:rPr>
        <w:t xml:space="preserve"> </w:t>
      </w:r>
      <w:r>
        <w:rPr>
          <w:rFonts w:ascii="Simplified Arabic" w:hAnsi="Simplified Arabic" w:cs="Simplified Arabic"/>
          <w:kern w:val="0"/>
          <w:sz w:val="26"/>
          <w:szCs w:val="26"/>
          <w:rtl/>
          <w:lang w:bidi="ar-JO"/>
          <w14:ligatures w14:val="none"/>
        </w:rPr>
        <w:t>–</w:t>
      </w:r>
      <w:r>
        <w:rPr>
          <w:rFonts w:ascii="Simplified Arabic" w:hAnsi="Simplified Arabic" w:cs="Simplified Arabic" w:hint="cs"/>
          <w:kern w:val="0"/>
          <w:sz w:val="26"/>
          <w:szCs w:val="26"/>
          <w:rtl/>
          <w:lang w:bidi="ar-JO"/>
          <w14:ligatures w14:val="none"/>
        </w:rPr>
        <w:t xml:space="preserve"> والكي وروس</w:t>
      </w:r>
      <w:r w:rsidRPr="00174663">
        <w:rPr>
          <w:rFonts w:ascii="Simplified Arabic" w:hAnsi="Simplified Arabic" w:cs="Simplified Arabic"/>
          <w:kern w:val="0"/>
          <w:sz w:val="26"/>
          <w:szCs w:val="26"/>
          <w:vertAlign w:val="superscript"/>
          <w:lang w:bidi="he-IL"/>
          <w14:ligatures w14:val="none"/>
        </w:rPr>
        <w:footnoteReference w:id="238"/>
      </w:r>
    </w:p>
    <w:p w14:paraId="0E151022" w14:textId="77777777" w:rsidR="00894252" w:rsidRPr="00894252" w:rsidRDefault="00894252" w:rsidP="002D6C54">
      <w:pPr>
        <w:tabs>
          <w:tab w:val="left" w:pos="540"/>
          <w:tab w:val="left" w:pos="1080"/>
          <w:tab w:val="left" w:pos="1620"/>
          <w:tab w:val="left" w:pos="2160"/>
        </w:tabs>
        <w:spacing w:after="0" w:line="240" w:lineRule="auto"/>
        <w:ind w:left="540"/>
        <w:rPr>
          <w:rFonts w:asciiTheme="majorBidi" w:hAnsiTheme="majorBidi" w:cstheme="majorBidi"/>
          <w:kern w:val="0"/>
          <w:szCs w:val="24"/>
          <w:lang w:bidi="he-IL"/>
          <w14:ligatures w14:val="none"/>
        </w:rPr>
      </w:pPr>
    </w:p>
    <w:p w14:paraId="5918A8DD" w14:textId="3221DA42" w:rsidR="00894252" w:rsidRDefault="00174663" w:rsidP="00174663">
      <w:pPr>
        <w:tabs>
          <w:tab w:val="left" w:pos="540"/>
          <w:tab w:val="left" w:pos="1080"/>
          <w:tab w:val="left" w:pos="1620"/>
          <w:tab w:val="left" w:pos="2160"/>
        </w:tabs>
        <w:bidi/>
        <w:spacing w:after="0" w:line="240" w:lineRule="auto"/>
        <w:rPr>
          <w:rFonts w:ascii="Simplified Arabic" w:hAnsi="Simplified Arabic" w:cs="Simplified Arabic"/>
          <w:kern w:val="0"/>
          <w:sz w:val="26"/>
          <w:szCs w:val="26"/>
          <w:rtl/>
          <w:lang w:bidi="ar-JO"/>
          <w14:ligatures w14:val="none"/>
        </w:rPr>
      </w:pPr>
      <w:r w:rsidRPr="00174663">
        <w:rPr>
          <w:rFonts w:ascii="Simplified Arabic" w:hAnsi="Simplified Arabic" w:cs="Simplified Arabic"/>
          <w:kern w:val="0"/>
          <w:sz w:val="26"/>
          <w:szCs w:val="26"/>
          <w:rtl/>
          <w:lang w:bidi="ar-JO"/>
          <w14:ligatures w14:val="none"/>
        </w:rPr>
        <w:t>ليس تكوين 1: 1 بيانًا عن بداية مُطلَقة، بل مُلخَّص للخلق الجديد الموصوف في تكوين 1: 3 – 2: 3، الذي بفعله جُعِلت الأرض قابلة لسكن البشر. هناك فترة زمني</w:t>
      </w:r>
      <w:r w:rsidR="003A1CED">
        <w:rPr>
          <w:rFonts w:ascii="Simplified Arabic" w:hAnsi="Simplified Arabic" w:cs="Simplified Arabic" w:hint="cs"/>
          <w:kern w:val="0"/>
          <w:sz w:val="26"/>
          <w:szCs w:val="26"/>
          <w:rtl/>
          <w:lang w:bidi="ar-JO"/>
          <w14:ligatures w14:val="none"/>
        </w:rPr>
        <w:t>ّ</w:t>
      </w:r>
      <w:r w:rsidRPr="00174663">
        <w:rPr>
          <w:rFonts w:ascii="Simplified Arabic" w:hAnsi="Simplified Arabic" w:cs="Simplified Arabic"/>
          <w:kern w:val="0"/>
          <w:sz w:val="26"/>
          <w:szCs w:val="26"/>
          <w:rtl/>
          <w:lang w:bidi="ar-JO"/>
          <w14:ligatures w14:val="none"/>
        </w:rPr>
        <w:t xml:space="preserve">ة </w:t>
      </w:r>
      <w:r>
        <w:rPr>
          <w:rFonts w:ascii="Simplified Arabic" w:hAnsi="Simplified Arabic" w:cs="Simplified Arabic" w:hint="cs"/>
          <w:kern w:val="0"/>
          <w:sz w:val="26"/>
          <w:szCs w:val="26"/>
          <w:rtl/>
          <w:lang w:bidi="ar-JO"/>
          <w14:ligatures w14:val="none"/>
        </w:rPr>
        <w:t xml:space="preserve">طويلة لا تُعرَف مدّتها تسبق تكوين 1: 2. </w:t>
      </w:r>
      <w:r w:rsidR="003A1CED">
        <w:rPr>
          <w:rFonts w:ascii="Simplified Arabic" w:hAnsi="Simplified Arabic" w:cs="Simplified Arabic" w:hint="cs"/>
          <w:kern w:val="0"/>
          <w:sz w:val="26"/>
          <w:szCs w:val="26"/>
          <w:rtl/>
          <w:lang w:bidi="ar-JO"/>
          <w14:ligatures w14:val="none"/>
        </w:rPr>
        <w:t xml:space="preserve">يُخبِر </w:t>
      </w:r>
      <w:r>
        <w:rPr>
          <w:rFonts w:ascii="Simplified Arabic" w:hAnsi="Simplified Arabic" w:cs="Simplified Arabic" w:hint="cs"/>
          <w:kern w:val="0"/>
          <w:sz w:val="26"/>
          <w:szCs w:val="26"/>
          <w:rtl/>
          <w:lang w:bidi="ar-JO"/>
          <w14:ligatures w14:val="none"/>
        </w:rPr>
        <w:t xml:space="preserve">تكوين 1: 2 القارئ بحالة الأرض حين بدأ الله عمل خلقه، الذي بدأ من الناحية الفعلية بتكوين 1: 3. </w:t>
      </w:r>
      <w:r w:rsidR="00D240A6">
        <w:rPr>
          <w:rFonts w:ascii="Simplified Arabic" w:hAnsi="Simplified Arabic" w:cs="Simplified Arabic" w:hint="cs"/>
          <w:kern w:val="0"/>
          <w:sz w:val="26"/>
          <w:szCs w:val="26"/>
          <w:rtl/>
          <w:lang w:bidi="ar-JO"/>
          <w14:ligatures w14:val="none"/>
        </w:rPr>
        <w:t>ومن دون عزو حالة الأرض الموصوفة في تكوين 1: 2 بالضرورة إلى سقوط الشيطان، تتبن</w:t>
      </w:r>
      <w:r w:rsidR="003A1CED">
        <w:rPr>
          <w:rFonts w:ascii="Simplified Arabic" w:hAnsi="Simplified Arabic" w:cs="Simplified Arabic" w:hint="cs"/>
          <w:kern w:val="0"/>
          <w:sz w:val="26"/>
          <w:szCs w:val="26"/>
          <w:rtl/>
          <w:lang w:bidi="ar-JO"/>
          <w14:ligatures w14:val="none"/>
        </w:rPr>
        <w:t>ّى</w:t>
      </w:r>
      <w:r w:rsidR="00D240A6">
        <w:rPr>
          <w:rFonts w:ascii="Simplified Arabic" w:hAnsi="Simplified Arabic" w:cs="Simplified Arabic" w:hint="cs"/>
          <w:kern w:val="0"/>
          <w:sz w:val="26"/>
          <w:szCs w:val="26"/>
          <w:rtl/>
          <w:lang w:bidi="ar-JO"/>
          <w14:ligatures w14:val="none"/>
        </w:rPr>
        <w:t xml:space="preserve"> هذه النظرية الرأي</w:t>
      </w:r>
      <w:r w:rsidR="003A1CED">
        <w:rPr>
          <w:rFonts w:ascii="Simplified Arabic" w:hAnsi="Simplified Arabic" w:cs="Simplified Arabic" w:hint="cs"/>
          <w:kern w:val="0"/>
          <w:sz w:val="26"/>
          <w:szCs w:val="26"/>
          <w:rtl/>
          <w:lang w:bidi="ar-JO"/>
          <w14:ligatures w14:val="none"/>
        </w:rPr>
        <w:t xml:space="preserve"> القائل إنّ </w:t>
      </w:r>
      <w:r w:rsidR="00D240A6">
        <w:rPr>
          <w:rFonts w:ascii="Simplified Arabic" w:hAnsi="Simplified Arabic" w:cs="Simplified Arabic" w:hint="cs"/>
          <w:kern w:val="0"/>
          <w:sz w:val="26"/>
          <w:szCs w:val="26"/>
          <w:rtl/>
          <w:lang w:bidi="ar-JO"/>
          <w14:ligatures w14:val="none"/>
        </w:rPr>
        <w:t>هذه نتيجة دينونة كارثيّة (وبالتالي فهي لا تصف الأرض كما خلقها الله).</w:t>
      </w:r>
    </w:p>
    <w:p w14:paraId="62925885" w14:textId="235AD6DC" w:rsidR="00D240A6" w:rsidRDefault="00D240A6" w:rsidP="00D240A6">
      <w:pPr>
        <w:tabs>
          <w:tab w:val="left" w:pos="540"/>
          <w:tab w:val="left" w:pos="1080"/>
          <w:tab w:val="left" w:pos="1620"/>
          <w:tab w:val="left" w:pos="2160"/>
        </w:tabs>
        <w:bidi/>
        <w:spacing w:after="0" w:line="240" w:lineRule="auto"/>
        <w:rPr>
          <w:rFonts w:ascii="Simplified Arabic" w:hAnsi="Simplified Arabic" w:cs="Simplified Arabic"/>
          <w:kern w:val="0"/>
          <w:sz w:val="26"/>
          <w:szCs w:val="26"/>
          <w:rtl/>
          <w:lang w:bidi="ar-JO"/>
          <w14:ligatures w14:val="none"/>
        </w:rPr>
      </w:pPr>
    </w:p>
    <w:p w14:paraId="6EF18904" w14:textId="1D2FABDA" w:rsidR="00D240A6" w:rsidRPr="00D240A6" w:rsidRDefault="00D240A6" w:rsidP="00D240A6">
      <w:pPr>
        <w:pStyle w:val="ListParagraph"/>
        <w:numPr>
          <w:ilvl w:val="0"/>
          <w:numId w:val="39"/>
        </w:numPr>
        <w:tabs>
          <w:tab w:val="left" w:pos="540"/>
          <w:tab w:val="left" w:pos="1080"/>
          <w:tab w:val="left" w:pos="1620"/>
          <w:tab w:val="left" w:pos="2160"/>
        </w:tabs>
        <w:bidi/>
        <w:spacing w:after="0" w:line="240" w:lineRule="auto"/>
        <w:rPr>
          <w:rFonts w:ascii="Simplified Arabic" w:hAnsi="Simplified Arabic" w:cs="Simplified Arabic"/>
          <w:kern w:val="0"/>
          <w:sz w:val="26"/>
          <w:szCs w:val="26"/>
          <w:lang w:bidi="ar-JO"/>
          <w14:ligatures w14:val="none"/>
        </w:rPr>
      </w:pPr>
      <w:r>
        <w:rPr>
          <w:rFonts w:ascii="Simplified Arabic" w:hAnsi="Simplified Arabic" w:cs="Simplified Arabic" w:hint="cs"/>
          <w:b/>
          <w:bCs/>
          <w:kern w:val="0"/>
          <w:sz w:val="26"/>
          <w:szCs w:val="26"/>
          <w:rtl/>
          <w:lang w:bidi="ar-JO"/>
          <w14:ligatures w14:val="none"/>
        </w:rPr>
        <w:t>رأي اليوم الأدبي</w:t>
      </w:r>
      <w:r w:rsidRPr="00D240A6">
        <w:rPr>
          <w:rFonts w:ascii="Simplified Arabic" w:hAnsi="Simplified Arabic" w:cs="Simplified Arabic" w:hint="cs"/>
          <w:kern w:val="0"/>
          <w:sz w:val="26"/>
          <w:szCs w:val="26"/>
          <w:rtl/>
          <w:lang w:bidi="ar-JO"/>
          <w14:ligatures w14:val="none"/>
        </w:rPr>
        <w:t xml:space="preserve"> </w:t>
      </w:r>
      <w:r w:rsidRPr="00D240A6">
        <w:rPr>
          <w:rFonts w:ascii="Simplified Arabic" w:hAnsi="Simplified Arabic" w:cs="Simplified Arabic"/>
          <w:kern w:val="0"/>
          <w:sz w:val="26"/>
          <w:szCs w:val="26"/>
          <w:rtl/>
          <w:lang w:bidi="ar-JO"/>
          <w14:ligatures w14:val="none"/>
        </w:rPr>
        <w:t>–</w:t>
      </w:r>
      <w:r w:rsidRPr="00D240A6">
        <w:rPr>
          <w:rFonts w:ascii="Simplified Arabic" w:hAnsi="Simplified Arabic" w:cs="Simplified Arabic" w:hint="cs"/>
          <w:kern w:val="0"/>
          <w:sz w:val="26"/>
          <w:szCs w:val="26"/>
          <w:rtl/>
          <w:lang w:bidi="ar-JO"/>
          <w14:ligatures w14:val="none"/>
        </w:rPr>
        <w:t xml:space="preserve"> </w:t>
      </w:r>
      <w:r>
        <w:rPr>
          <w:rFonts w:ascii="Simplified Arabic" w:hAnsi="Simplified Arabic" w:cs="Simplified Arabic" w:hint="cs"/>
          <w:kern w:val="0"/>
          <w:sz w:val="26"/>
          <w:szCs w:val="26"/>
          <w:rtl/>
          <w:lang w:bidi="ar-JO"/>
          <w14:ligatures w14:val="none"/>
        </w:rPr>
        <w:t>أفيربيك</w:t>
      </w:r>
      <w:r w:rsidRPr="00894252">
        <w:rPr>
          <w:rFonts w:asciiTheme="majorBidi" w:hAnsiTheme="majorBidi" w:cstheme="majorBidi"/>
          <w:kern w:val="0"/>
          <w:szCs w:val="24"/>
          <w:vertAlign w:val="superscript"/>
          <w:lang w:bidi="he-IL"/>
          <w14:ligatures w14:val="none"/>
        </w:rPr>
        <w:footnoteReference w:id="239"/>
      </w:r>
    </w:p>
    <w:p w14:paraId="22130F30" w14:textId="77777777" w:rsidR="00894252" w:rsidRPr="00894252" w:rsidRDefault="00894252" w:rsidP="002D6C54">
      <w:pPr>
        <w:tabs>
          <w:tab w:val="left" w:pos="540"/>
          <w:tab w:val="left" w:pos="1080"/>
          <w:tab w:val="left" w:pos="1620"/>
          <w:tab w:val="left" w:pos="2160"/>
        </w:tabs>
        <w:spacing w:after="0" w:line="240" w:lineRule="auto"/>
        <w:ind w:firstLine="547"/>
        <w:rPr>
          <w:rFonts w:asciiTheme="majorBidi" w:hAnsiTheme="majorBidi" w:cstheme="majorBidi"/>
          <w:kern w:val="0"/>
          <w:szCs w:val="24"/>
          <w:lang w:bidi="he-IL"/>
          <w14:ligatures w14:val="none"/>
        </w:rPr>
      </w:pPr>
    </w:p>
    <w:p w14:paraId="6B006A05" w14:textId="46EA1BA3" w:rsidR="00894252" w:rsidRDefault="00D240A6" w:rsidP="00D240A6">
      <w:pPr>
        <w:tabs>
          <w:tab w:val="left" w:pos="540"/>
          <w:tab w:val="left" w:pos="1080"/>
          <w:tab w:val="left" w:pos="1620"/>
          <w:tab w:val="left" w:pos="2160"/>
        </w:tabs>
        <w:bidi/>
        <w:spacing w:after="0" w:line="240" w:lineRule="auto"/>
        <w:rPr>
          <w:rFonts w:ascii="Simplified Arabic" w:hAnsi="Simplified Arabic" w:cs="Simplified Arabic"/>
          <w:kern w:val="0"/>
          <w:sz w:val="26"/>
          <w:szCs w:val="26"/>
          <w:lang w:bidi="ar-JO"/>
          <w14:ligatures w14:val="none"/>
        </w:rPr>
      </w:pPr>
      <w:r>
        <w:rPr>
          <w:rFonts w:ascii="Simplified Arabic" w:hAnsi="Simplified Arabic" w:cs="Simplified Arabic" w:hint="cs"/>
          <w:kern w:val="0"/>
          <w:sz w:val="26"/>
          <w:szCs w:val="26"/>
          <w:rtl/>
          <w:lang w:bidi="ar-JO"/>
          <w14:ligatures w14:val="none"/>
        </w:rPr>
        <w:t>يرى هذا الرأي أن</w:t>
      </w:r>
      <w:r w:rsidR="003A1CED">
        <w:rPr>
          <w:rFonts w:ascii="Simplified Arabic" w:hAnsi="Simplified Arabic" w:cs="Simplified Arabic" w:hint="cs"/>
          <w:kern w:val="0"/>
          <w:sz w:val="26"/>
          <w:szCs w:val="26"/>
          <w:rtl/>
          <w:lang w:bidi="ar-JO"/>
          <w14:ligatures w14:val="none"/>
        </w:rPr>
        <w:t>ّ</w:t>
      </w:r>
      <w:r>
        <w:rPr>
          <w:rFonts w:ascii="Simplified Arabic" w:hAnsi="Simplified Arabic" w:cs="Simplified Arabic" w:hint="cs"/>
          <w:kern w:val="0"/>
          <w:sz w:val="26"/>
          <w:szCs w:val="26"/>
          <w:rtl/>
          <w:lang w:bidi="ar-JO"/>
          <w14:ligatures w14:val="none"/>
        </w:rPr>
        <w:t xml:space="preserve"> تكوين 1: 1 مُلخَّص لكامل الأصحاح الأو</w:t>
      </w:r>
      <w:r w:rsidR="003A1CED">
        <w:rPr>
          <w:rFonts w:ascii="Simplified Arabic" w:hAnsi="Simplified Arabic" w:cs="Simplified Arabic" w:hint="cs"/>
          <w:kern w:val="0"/>
          <w:sz w:val="26"/>
          <w:szCs w:val="26"/>
          <w:rtl/>
          <w:lang w:bidi="ar-JO"/>
          <w14:ligatures w14:val="none"/>
        </w:rPr>
        <w:t>ّ</w:t>
      </w:r>
      <w:r>
        <w:rPr>
          <w:rFonts w:ascii="Simplified Arabic" w:hAnsi="Simplified Arabic" w:cs="Simplified Arabic" w:hint="cs"/>
          <w:kern w:val="0"/>
          <w:sz w:val="26"/>
          <w:szCs w:val="26"/>
          <w:rtl/>
          <w:lang w:bidi="ar-JO"/>
          <w14:ligatures w14:val="none"/>
        </w:rPr>
        <w:t>ل (وليس بداية</w:t>
      </w:r>
      <w:r w:rsidR="003A1CED">
        <w:rPr>
          <w:rFonts w:ascii="Simplified Arabic" w:hAnsi="Simplified Arabic" w:cs="Simplified Arabic" w:hint="cs"/>
          <w:kern w:val="0"/>
          <w:sz w:val="26"/>
          <w:szCs w:val="26"/>
          <w:rtl/>
          <w:lang w:bidi="ar-JO"/>
          <w14:ligatures w14:val="none"/>
        </w:rPr>
        <w:t>ً</w:t>
      </w:r>
      <w:r>
        <w:rPr>
          <w:rFonts w:ascii="Simplified Arabic" w:hAnsi="Simplified Arabic" w:cs="Simplified Arabic" w:hint="cs"/>
          <w:kern w:val="0"/>
          <w:sz w:val="26"/>
          <w:szCs w:val="26"/>
          <w:rtl/>
          <w:lang w:bidi="ar-JO"/>
          <w14:ligatures w14:val="none"/>
        </w:rPr>
        <w:t xml:space="preserve"> مُطلَقة</w:t>
      </w:r>
      <w:r w:rsidR="003A1CED">
        <w:rPr>
          <w:rFonts w:ascii="Simplified Arabic" w:hAnsi="Simplified Arabic" w:cs="Simplified Arabic" w:hint="cs"/>
          <w:kern w:val="0"/>
          <w:sz w:val="26"/>
          <w:szCs w:val="26"/>
          <w:rtl/>
          <w:lang w:bidi="ar-JO"/>
          <w14:ligatures w14:val="none"/>
        </w:rPr>
        <w:t>ً</w:t>
      </w:r>
      <w:r>
        <w:rPr>
          <w:rFonts w:ascii="Simplified Arabic" w:hAnsi="Simplified Arabic" w:cs="Simplified Arabic" w:hint="cs"/>
          <w:kern w:val="0"/>
          <w:sz w:val="26"/>
          <w:szCs w:val="26"/>
          <w:rtl/>
          <w:lang w:bidi="ar-JO"/>
          <w14:ligatures w14:val="none"/>
        </w:rPr>
        <w:t xml:space="preserve">). </w:t>
      </w:r>
      <w:r w:rsidR="00F11BA1">
        <w:rPr>
          <w:rFonts w:ascii="Simplified Arabic" w:hAnsi="Simplified Arabic" w:cs="Simplified Arabic" w:hint="cs"/>
          <w:kern w:val="0"/>
          <w:sz w:val="26"/>
          <w:szCs w:val="26"/>
          <w:rtl/>
          <w:lang w:bidi="ar-JO"/>
          <w14:ligatures w14:val="none"/>
        </w:rPr>
        <w:t>يشابه هذا الرأي نظرية فوضى ما قبل الخلق في الاعت</w:t>
      </w:r>
      <w:r w:rsidR="003A1CED">
        <w:rPr>
          <w:rFonts w:ascii="Simplified Arabic" w:hAnsi="Simplified Arabic" w:cs="Simplified Arabic" w:hint="cs"/>
          <w:kern w:val="0"/>
          <w:sz w:val="26"/>
          <w:szCs w:val="26"/>
          <w:rtl/>
          <w:lang w:bidi="ar-JO"/>
          <w14:ligatures w14:val="none"/>
        </w:rPr>
        <w:t>ق</w:t>
      </w:r>
      <w:r w:rsidR="00F11BA1">
        <w:rPr>
          <w:rFonts w:ascii="Simplified Arabic" w:hAnsi="Simplified Arabic" w:cs="Simplified Arabic" w:hint="cs"/>
          <w:kern w:val="0"/>
          <w:sz w:val="26"/>
          <w:szCs w:val="26"/>
          <w:rtl/>
          <w:lang w:bidi="ar-JO"/>
          <w14:ligatures w14:val="none"/>
        </w:rPr>
        <w:t>اد بوجود فترة زمنية طويلة غير معروفة المدّة قبل تكوين 1: 2. ولكنّ هذا الرأي يرى تكوين 1: 2 مُقدّ</w:t>
      </w:r>
      <w:r w:rsidR="003A1CED">
        <w:rPr>
          <w:rFonts w:ascii="Simplified Arabic" w:hAnsi="Simplified Arabic" w:cs="Simplified Arabic" w:hint="cs"/>
          <w:kern w:val="0"/>
          <w:sz w:val="26"/>
          <w:szCs w:val="26"/>
          <w:rtl/>
          <w:lang w:bidi="ar-JO"/>
          <w14:ligatures w14:val="none"/>
        </w:rPr>
        <w:t>ِ</w:t>
      </w:r>
      <w:r w:rsidR="00F11BA1">
        <w:rPr>
          <w:rFonts w:ascii="Simplified Arabic" w:hAnsi="Simplified Arabic" w:cs="Simplified Arabic" w:hint="cs"/>
          <w:kern w:val="0"/>
          <w:sz w:val="26"/>
          <w:szCs w:val="26"/>
          <w:rtl/>
          <w:lang w:bidi="ar-JO"/>
          <w14:ligatures w14:val="none"/>
        </w:rPr>
        <w:t>مة إلى اليوم الأوّل (الذي يبدأ في الآية 3) من دون أن ينسب الفوضى إلى الشر</w:t>
      </w:r>
      <w:r w:rsidR="003A1CED">
        <w:rPr>
          <w:rFonts w:ascii="Simplified Arabic" w:hAnsi="Simplified Arabic" w:cs="Simplified Arabic" w:hint="cs"/>
          <w:kern w:val="0"/>
          <w:sz w:val="26"/>
          <w:szCs w:val="26"/>
          <w:rtl/>
          <w:lang w:bidi="ar-JO"/>
          <w14:ligatures w14:val="none"/>
        </w:rPr>
        <w:t>ّ</w:t>
      </w:r>
      <w:r w:rsidR="00F11BA1">
        <w:rPr>
          <w:rFonts w:ascii="Simplified Arabic" w:hAnsi="Simplified Arabic" w:cs="Simplified Arabic" w:hint="cs"/>
          <w:kern w:val="0"/>
          <w:sz w:val="26"/>
          <w:szCs w:val="26"/>
          <w:rtl/>
          <w:lang w:bidi="ar-JO"/>
          <w14:ligatures w14:val="none"/>
        </w:rPr>
        <w:t xml:space="preserve"> أو دينونة</w:t>
      </w:r>
      <w:r w:rsidR="003A1CED">
        <w:rPr>
          <w:rFonts w:ascii="Simplified Arabic" w:hAnsi="Simplified Arabic" w:cs="Simplified Arabic" w:hint="cs"/>
          <w:kern w:val="0"/>
          <w:sz w:val="26"/>
          <w:szCs w:val="26"/>
          <w:rtl/>
          <w:lang w:bidi="ar-JO"/>
          <w14:ligatures w14:val="none"/>
        </w:rPr>
        <w:t>ٍ ما</w:t>
      </w:r>
      <w:r w:rsidR="00F11BA1">
        <w:rPr>
          <w:rFonts w:ascii="Simplified Arabic" w:hAnsi="Simplified Arabic" w:cs="Simplified Arabic" w:hint="cs"/>
          <w:kern w:val="0"/>
          <w:sz w:val="26"/>
          <w:szCs w:val="26"/>
          <w:rtl/>
          <w:lang w:bidi="ar-JO"/>
          <w14:ligatures w14:val="none"/>
        </w:rPr>
        <w:t>. يتبنّى أفيربيك، الذي ينادي بهذا الرأي، الرأي</w:t>
      </w:r>
      <w:r w:rsidR="003A1CED">
        <w:rPr>
          <w:rFonts w:ascii="Simplified Arabic" w:hAnsi="Simplified Arabic" w:cs="Simplified Arabic" w:hint="cs"/>
          <w:kern w:val="0"/>
          <w:sz w:val="26"/>
          <w:szCs w:val="26"/>
          <w:rtl/>
          <w:lang w:bidi="ar-JO"/>
          <w14:ligatures w14:val="none"/>
        </w:rPr>
        <w:t>َ</w:t>
      </w:r>
      <w:r w:rsidR="00F11BA1">
        <w:rPr>
          <w:rFonts w:ascii="Simplified Arabic" w:hAnsi="Simplified Arabic" w:cs="Simplified Arabic" w:hint="cs"/>
          <w:kern w:val="0"/>
          <w:sz w:val="26"/>
          <w:szCs w:val="26"/>
          <w:rtl/>
          <w:lang w:bidi="ar-JO"/>
          <w14:ligatures w14:val="none"/>
        </w:rPr>
        <w:t xml:space="preserve"> القائل إن أيّام الخلق ليست حرفيّة. وبحسب</w:t>
      </w:r>
      <w:r w:rsidR="00544B03">
        <w:rPr>
          <w:rFonts w:ascii="Simplified Arabic" w:hAnsi="Simplified Arabic" w:cs="Simplified Arabic"/>
          <w:kern w:val="0"/>
          <w:sz w:val="26"/>
          <w:szCs w:val="26"/>
          <w:lang w:bidi="ar-JO"/>
          <w14:ligatures w14:val="none"/>
        </w:rPr>
        <w:t xml:space="preserve"> </w:t>
      </w:r>
      <w:r w:rsidR="00544B03">
        <w:rPr>
          <w:rFonts w:ascii="Simplified Arabic" w:hAnsi="Simplified Arabic" w:cs="Simplified Arabic" w:hint="cs"/>
          <w:kern w:val="0"/>
          <w:sz w:val="26"/>
          <w:szCs w:val="26"/>
          <w:rtl/>
          <w:lang w:bidi="ar-JO"/>
          <w14:ligatures w14:val="none"/>
        </w:rPr>
        <w:t>هذا الرأي</w:t>
      </w:r>
      <w:r w:rsidR="00F11BA1">
        <w:rPr>
          <w:rFonts w:ascii="Simplified Arabic" w:hAnsi="Simplified Arabic" w:cs="Simplified Arabic" w:hint="cs"/>
          <w:kern w:val="0"/>
          <w:sz w:val="26"/>
          <w:szCs w:val="26"/>
          <w:rtl/>
          <w:lang w:bidi="ar-JO"/>
          <w14:ligatures w14:val="none"/>
        </w:rPr>
        <w:t xml:space="preserve">، </w:t>
      </w:r>
      <w:r w:rsidR="00544B03">
        <w:rPr>
          <w:rFonts w:ascii="Simplified Arabic" w:hAnsi="Simplified Arabic" w:cs="Simplified Arabic" w:hint="cs"/>
          <w:kern w:val="0"/>
          <w:sz w:val="26"/>
          <w:szCs w:val="26"/>
          <w:rtl/>
          <w:lang w:bidi="ar-JO"/>
          <w14:ligatures w14:val="none"/>
        </w:rPr>
        <w:t>تمثِّل الأيّام الستة مُخطَّطًا، ولا يُقصَد أن تُفهَم بالمعنى الحرفي</w:t>
      </w:r>
      <w:r w:rsidR="003A1CED">
        <w:rPr>
          <w:rFonts w:ascii="Simplified Arabic" w:hAnsi="Simplified Arabic" w:cs="Simplified Arabic" w:hint="cs"/>
          <w:kern w:val="0"/>
          <w:sz w:val="26"/>
          <w:szCs w:val="26"/>
          <w:rtl/>
          <w:lang w:bidi="ar-JO"/>
          <w14:ligatures w14:val="none"/>
        </w:rPr>
        <w:t>ّ</w:t>
      </w:r>
      <w:r w:rsidR="00544B03">
        <w:rPr>
          <w:rFonts w:ascii="Simplified Arabic" w:hAnsi="Simplified Arabic" w:cs="Simplified Arabic" w:hint="cs"/>
          <w:kern w:val="0"/>
          <w:sz w:val="26"/>
          <w:szCs w:val="26"/>
          <w:rtl/>
          <w:lang w:bidi="ar-JO"/>
          <w14:ligatures w14:val="none"/>
        </w:rPr>
        <w:t>. وهو يدعو هذا بـ"أسبوع عمل الله،" وبالتالي فإن هذه الأي</w:t>
      </w:r>
      <w:r w:rsidR="003A1CED">
        <w:rPr>
          <w:rFonts w:ascii="Simplified Arabic" w:hAnsi="Simplified Arabic" w:cs="Simplified Arabic" w:hint="cs"/>
          <w:kern w:val="0"/>
          <w:sz w:val="26"/>
          <w:szCs w:val="26"/>
          <w:rtl/>
          <w:lang w:bidi="ar-JO"/>
          <w14:ligatures w14:val="none"/>
        </w:rPr>
        <w:t>ّ</w:t>
      </w:r>
      <w:r w:rsidR="00544B03">
        <w:rPr>
          <w:rFonts w:ascii="Simplified Arabic" w:hAnsi="Simplified Arabic" w:cs="Simplified Arabic" w:hint="cs"/>
          <w:kern w:val="0"/>
          <w:sz w:val="26"/>
          <w:szCs w:val="26"/>
          <w:rtl/>
          <w:lang w:bidi="ar-JO"/>
          <w14:ligatures w14:val="none"/>
        </w:rPr>
        <w:t>ام هي ببساطة ب</w:t>
      </w:r>
      <w:r w:rsidR="003A1CED">
        <w:rPr>
          <w:rFonts w:ascii="Simplified Arabic" w:hAnsi="Simplified Arabic" w:cs="Simplified Arabic" w:hint="cs"/>
          <w:kern w:val="0"/>
          <w:sz w:val="26"/>
          <w:szCs w:val="26"/>
          <w:rtl/>
          <w:lang w:bidi="ar-JO"/>
          <w14:ligatures w14:val="none"/>
        </w:rPr>
        <w:t>ُ</w:t>
      </w:r>
      <w:r w:rsidR="00544B03">
        <w:rPr>
          <w:rFonts w:ascii="Simplified Arabic" w:hAnsi="Simplified Arabic" w:cs="Simplified Arabic" w:hint="cs"/>
          <w:kern w:val="0"/>
          <w:sz w:val="26"/>
          <w:szCs w:val="26"/>
          <w:rtl/>
          <w:lang w:bidi="ar-JO"/>
          <w14:ligatures w14:val="none"/>
        </w:rPr>
        <w:t>نية أدبيّة لوصف التسلسل الذي عمل الله فيه. وهو يدّعي قائلاً (ص 31): "</w:t>
      </w:r>
      <w:r w:rsidR="00076790">
        <w:rPr>
          <w:rFonts w:ascii="Simplified Arabic" w:hAnsi="Simplified Arabic" w:cs="Simplified Arabic" w:hint="cs"/>
          <w:kern w:val="0"/>
          <w:sz w:val="26"/>
          <w:szCs w:val="26"/>
          <w:rtl/>
          <w:lang w:bidi="ar-JO"/>
          <w14:ligatures w14:val="none"/>
        </w:rPr>
        <w:t>وهكذا، فإن</w:t>
      </w:r>
      <w:r w:rsidR="003A1CED">
        <w:rPr>
          <w:rFonts w:ascii="Simplified Arabic" w:hAnsi="Simplified Arabic" w:cs="Simplified Arabic" w:hint="cs"/>
          <w:kern w:val="0"/>
          <w:sz w:val="26"/>
          <w:szCs w:val="26"/>
          <w:rtl/>
          <w:lang w:bidi="ar-JO"/>
          <w14:ligatures w14:val="none"/>
        </w:rPr>
        <w:t>ّ</w:t>
      </w:r>
      <w:r w:rsidR="00076790">
        <w:rPr>
          <w:rFonts w:ascii="Simplified Arabic" w:hAnsi="Simplified Arabic" w:cs="Simplified Arabic" w:hint="cs"/>
          <w:kern w:val="0"/>
          <w:sz w:val="26"/>
          <w:szCs w:val="26"/>
          <w:rtl/>
          <w:lang w:bidi="ar-JO"/>
          <w14:ligatures w14:val="none"/>
        </w:rPr>
        <w:t xml:space="preserve"> ب</w:t>
      </w:r>
      <w:r w:rsidR="003A1CED">
        <w:rPr>
          <w:rFonts w:ascii="Simplified Arabic" w:hAnsi="Simplified Arabic" w:cs="Simplified Arabic" w:hint="cs"/>
          <w:kern w:val="0"/>
          <w:sz w:val="26"/>
          <w:szCs w:val="26"/>
          <w:rtl/>
          <w:lang w:bidi="ar-JO"/>
          <w14:ligatures w14:val="none"/>
        </w:rPr>
        <w:t>ُ</w:t>
      </w:r>
      <w:r w:rsidR="00076790">
        <w:rPr>
          <w:rFonts w:ascii="Simplified Arabic" w:hAnsi="Simplified Arabic" w:cs="Simplified Arabic" w:hint="cs"/>
          <w:kern w:val="0"/>
          <w:sz w:val="26"/>
          <w:szCs w:val="26"/>
          <w:rtl/>
          <w:lang w:bidi="ar-JO"/>
          <w14:ligatures w14:val="none"/>
        </w:rPr>
        <w:t>نية الأي</w:t>
      </w:r>
      <w:r w:rsidR="003A1CED">
        <w:rPr>
          <w:rFonts w:ascii="Simplified Arabic" w:hAnsi="Simplified Arabic" w:cs="Simplified Arabic" w:hint="cs"/>
          <w:kern w:val="0"/>
          <w:sz w:val="26"/>
          <w:szCs w:val="26"/>
          <w:rtl/>
          <w:lang w:bidi="ar-JO"/>
          <w14:ligatures w14:val="none"/>
        </w:rPr>
        <w:t>ّ</w:t>
      </w:r>
      <w:r w:rsidR="00076790">
        <w:rPr>
          <w:rFonts w:ascii="Simplified Arabic" w:hAnsi="Simplified Arabic" w:cs="Simplified Arabic" w:hint="cs"/>
          <w:kern w:val="0"/>
          <w:sz w:val="26"/>
          <w:szCs w:val="26"/>
          <w:rtl/>
          <w:lang w:bidi="ar-JO"/>
          <w14:ligatures w14:val="none"/>
        </w:rPr>
        <w:t xml:space="preserve">ام السبعة صورة مستقاة من نموذج العمل اليومي وتعزّز هذا النموذج، وهو النموذج الذي كان الله مهتمًّا جِدًّا بأن يلتزم شعب إسرائيل به، بحيث يعملون </w:t>
      </w:r>
      <w:r w:rsidR="00BA3E20">
        <w:rPr>
          <w:rFonts w:ascii="Simplified Arabic" w:hAnsi="Simplified Arabic" w:cs="Simplified Arabic" w:hint="cs"/>
          <w:kern w:val="0"/>
          <w:sz w:val="26"/>
          <w:szCs w:val="26"/>
          <w:rtl/>
          <w:lang w:bidi="ar-JO"/>
          <w14:ligatures w14:val="none"/>
        </w:rPr>
        <w:t xml:space="preserve">ستّة أيّام، ويستريحون في السابع." </w:t>
      </w:r>
    </w:p>
    <w:p w14:paraId="1CC40929" w14:textId="77777777" w:rsidR="00BA3E20" w:rsidRDefault="00BA3E20" w:rsidP="00D240A6">
      <w:pPr>
        <w:tabs>
          <w:tab w:val="left" w:pos="540"/>
          <w:tab w:val="left" w:pos="1080"/>
          <w:tab w:val="left" w:pos="1620"/>
          <w:tab w:val="left" w:pos="2160"/>
        </w:tabs>
        <w:bidi/>
        <w:spacing w:after="0" w:line="240" w:lineRule="auto"/>
        <w:rPr>
          <w:rFonts w:ascii="Simplified Arabic" w:hAnsi="Simplified Arabic" w:cs="Simplified Arabic"/>
          <w:kern w:val="0"/>
          <w:sz w:val="26"/>
          <w:szCs w:val="26"/>
          <w:rtl/>
          <w:lang w:bidi="ar-JO"/>
          <w14:ligatures w14:val="none"/>
        </w:rPr>
      </w:pPr>
    </w:p>
    <w:p w14:paraId="7FB27E42" w14:textId="4EFD6859" w:rsidR="00D240A6" w:rsidRDefault="00BA3E20" w:rsidP="00BA3E20">
      <w:pPr>
        <w:tabs>
          <w:tab w:val="left" w:pos="540"/>
          <w:tab w:val="left" w:pos="1080"/>
          <w:tab w:val="left" w:pos="1620"/>
          <w:tab w:val="left" w:pos="2160"/>
        </w:tabs>
        <w:bidi/>
        <w:spacing w:after="0" w:line="240" w:lineRule="auto"/>
        <w:rPr>
          <w:rFonts w:ascii="Simplified Arabic" w:hAnsi="Simplified Arabic" w:cs="Simplified Arabic"/>
          <w:kern w:val="0"/>
          <w:sz w:val="26"/>
          <w:szCs w:val="26"/>
          <w:rtl/>
          <w:lang w:bidi="ar-JO"/>
          <w14:ligatures w14:val="none"/>
        </w:rPr>
      </w:pPr>
      <w:r>
        <w:rPr>
          <w:rFonts w:ascii="Simplified Arabic" w:hAnsi="Simplified Arabic" w:cs="Simplified Arabic" w:hint="cs"/>
          <w:kern w:val="0"/>
          <w:sz w:val="26"/>
          <w:szCs w:val="26"/>
          <w:rtl/>
          <w:lang w:bidi="ar-JO"/>
          <w14:ligatures w14:val="none"/>
        </w:rPr>
        <w:t>يتبع آخرون نهجًا شبيهًا بنهج إفيربيك، ولكنّهم يستخدمون فكرة الأيّام الأدبيّة (غير الحرفيّة) للمناداة بالتطوُّر الإلهي (</w:t>
      </w:r>
      <w:r>
        <w:rPr>
          <w:rFonts w:ascii="Simplified Arabic" w:hAnsi="Simplified Arabic" w:cs="Simplified Arabic"/>
          <w:kern w:val="0"/>
          <w:sz w:val="26"/>
          <w:szCs w:val="26"/>
          <w:lang w:bidi="ar-JO"/>
          <w14:ligatures w14:val="none"/>
        </w:rPr>
        <w:t>theistic evolution</w:t>
      </w:r>
      <w:r>
        <w:rPr>
          <w:rFonts w:ascii="Simplified Arabic" w:hAnsi="Simplified Arabic" w:cs="Simplified Arabic" w:hint="cs"/>
          <w:kern w:val="0"/>
          <w:sz w:val="26"/>
          <w:szCs w:val="26"/>
          <w:rtl/>
          <w:lang w:bidi="ar-JO"/>
          <w14:ligatures w14:val="none"/>
        </w:rPr>
        <w:t>).</w:t>
      </w:r>
      <w:r>
        <w:rPr>
          <w:rStyle w:val="FootnoteReference"/>
          <w:rFonts w:ascii="Simplified Arabic" w:hAnsi="Simplified Arabic" w:cs="Simplified Arabic"/>
          <w:kern w:val="0"/>
          <w:sz w:val="26"/>
          <w:szCs w:val="26"/>
          <w:rtl/>
          <w:lang w:bidi="ar-JO"/>
          <w14:ligatures w14:val="none"/>
        </w:rPr>
        <w:footnoteReference w:id="240"/>
      </w:r>
      <w:r>
        <w:rPr>
          <w:rFonts w:ascii="Simplified Arabic" w:hAnsi="Simplified Arabic" w:cs="Simplified Arabic" w:hint="cs"/>
          <w:kern w:val="0"/>
          <w:sz w:val="26"/>
          <w:szCs w:val="26"/>
          <w:rtl/>
          <w:lang w:bidi="ar-JO"/>
          <w14:ligatures w14:val="none"/>
        </w:rPr>
        <w:t xml:space="preserve"> </w:t>
      </w:r>
    </w:p>
    <w:p w14:paraId="76CCFD26" w14:textId="4692441B" w:rsidR="00894252" w:rsidRPr="00894252" w:rsidRDefault="00894252" w:rsidP="002D6C54">
      <w:pPr>
        <w:tabs>
          <w:tab w:val="left" w:pos="540"/>
          <w:tab w:val="left" w:pos="1080"/>
          <w:tab w:val="left" w:pos="1620"/>
          <w:tab w:val="left" w:pos="2160"/>
        </w:tabs>
        <w:spacing w:after="0" w:line="240" w:lineRule="auto"/>
        <w:ind w:left="1620"/>
        <w:rPr>
          <w:rFonts w:asciiTheme="majorBidi" w:hAnsiTheme="majorBidi" w:cstheme="majorBidi"/>
          <w:kern w:val="0"/>
          <w:szCs w:val="24"/>
          <w:rtl/>
          <w:lang w:bidi="he-IL"/>
          <w14:ligatures w14:val="none"/>
        </w:rPr>
      </w:pPr>
    </w:p>
    <w:p w14:paraId="72C1CF64" w14:textId="77777777" w:rsidR="002C23D1" w:rsidRDefault="002C23D1" w:rsidP="002D6C54">
      <w:pPr>
        <w:pStyle w:val="Heading2"/>
      </w:pPr>
      <w:r>
        <w:br w:type="page"/>
      </w:r>
    </w:p>
    <w:p w14:paraId="1C32BB00" w14:textId="3F59D28C" w:rsidR="00E16BAB" w:rsidRDefault="00712BDC" w:rsidP="00712BDC">
      <w:pPr>
        <w:pStyle w:val="Heading2"/>
        <w:bidi/>
      </w:pPr>
      <w:r>
        <w:rPr>
          <w:rFonts w:hint="cs"/>
          <w:rtl/>
        </w:rPr>
        <w:lastRenderedPageBreak/>
        <w:t>الملحَق 3: تحليل مصدري للعهد القديم</w:t>
      </w:r>
    </w:p>
    <w:p w14:paraId="1F348EDB" w14:textId="77777777" w:rsidR="00263246" w:rsidRPr="00263246" w:rsidRDefault="00263246" w:rsidP="002D6C54">
      <w:pPr>
        <w:bidi/>
        <w:spacing w:after="0" w:line="240" w:lineRule="auto"/>
        <w:jc w:val="center"/>
        <w:rPr>
          <w:rFonts w:eastAsia="Times New Roman" w:cs="DecoType Naskh"/>
          <w:bCs/>
          <w:color w:val="000080"/>
          <w:kern w:val="0"/>
          <w:szCs w:val="36"/>
          <w:rtl/>
          <w:lang w:bidi="ar-JO"/>
          <w14:ligatures w14:val="none"/>
        </w:rPr>
      </w:pPr>
      <w:bookmarkStart w:id="176" w:name="_Hlk164418883"/>
      <w:bookmarkEnd w:id="170"/>
    </w:p>
    <w:p w14:paraId="3E591B56" w14:textId="77777777" w:rsidR="00263246" w:rsidRPr="00263246" w:rsidRDefault="00263246"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263246">
        <w:rPr>
          <w:rFonts w:eastAsia="Times New Roman" w:cs="DecoType Naskh" w:hint="cs"/>
          <w:bCs/>
          <w:color w:val="auto"/>
          <w:kern w:val="0"/>
          <w:szCs w:val="28"/>
          <w:rtl/>
          <w:lang w:bidi="ar-JO"/>
          <w14:ligatures w14:val="none"/>
        </w:rPr>
        <w:t>1</w:t>
      </w:r>
      <w:r w:rsidRPr="00263246">
        <w:rPr>
          <w:rFonts w:eastAsia="Times New Roman" w:cs="DecoType Naskh"/>
          <w:bCs/>
          <w:color w:val="auto"/>
          <w:kern w:val="0"/>
          <w:szCs w:val="28"/>
          <w:rtl/>
          <w:lang w:bidi="ar-JO"/>
          <w14:ligatures w14:val="none"/>
        </w:rPr>
        <w:t>.</w:t>
      </w:r>
      <w:r w:rsidRPr="00263246">
        <w:rPr>
          <w:rFonts w:eastAsia="Times New Roman" w:cs="DecoType Naskh"/>
          <w:bCs/>
          <w:color w:val="auto"/>
          <w:kern w:val="0"/>
          <w:szCs w:val="28"/>
          <w:rtl/>
          <w:lang w:bidi="ar-JO"/>
          <w14:ligatures w14:val="none"/>
        </w:rPr>
        <w:tab/>
        <w:t>مقدمة</w:t>
      </w:r>
    </w:p>
    <w:p w14:paraId="7B7A796C" w14:textId="1B8B700D"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إن أحد مجالات اهتمام الباحثين (سواء كانوا محافظين أم متحرّرين) في ميدان دراسات العهد القديم هو "النقد الأعلى".  ويتضمن هذا التحرّي وتقرير هوية كاتب كل سفر من أسفار العهد القديم القانونية وتاريخ كتابته.  وقد سعى بعض الباحثين قي تعاملهم مع مثل هذه الأسئلة إلى تحديد المصادر التي ت</w:t>
      </w:r>
      <w:r w:rsidRPr="00263246">
        <w:rPr>
          <w:rFonts w:eastAsia="Times New Roman" w:cs="DecoType Naskh" w:hint="cs"/>
          <w:color w:val="auto"/>
          <w:kern w:val="0"/>
          <w:szCs w:val="26"/>
          <w:rtl/>
          <w:lang w:bidi="ar-JO"/>
          <w14:ligatures w14:val="none"/>
        </w:rPr>
        <w:t>ُ</w:t>
      </w:r>
      <w:r w:rsidRPr="00263246">
        <w:rPr>
          <w:rFonts w:eastAsia="Times New Roman" w:cs="DecoType Naskh"/>
          <w:color w:val="auto"/>
          <w:kern w:val="0"/>
          <w:szCs w:val="26"/>
          <w:rtl/>
          <w:lang w:bidi="ar-JO"/>
          <w14:ligatures w14:val="none"/>
        </w:rPr>
        <w:t>عتب</w:t>
      </w:r>
      <w:r w:rsidRPr="00263246">
        <w:rPr>
          <w:rFonts w:eastAsia="Times New Roman" w:cs="DecoType Naskh" w:hint="cs"/>
          <w:color w:val="auto"/>
          <w:kern w:val="0"/>
          <w:szCs w:val="26"/>
          <w:rtl/>
          <w:lang w:bidi="ar-JO"/>
          <w14:ligatures w14:val="none"/>
        </w:rPr>
        <w:t>َ</w:t>
      </w:r>
      <w:r w:rsidRPr="00263246">
        <w:rPr>
          <w:rFonts w:eastAsia="Times New Roman" w:cs="DecoType Naskh"/>
          <w:color w:val="auto"/>
          <w:kern w:val="0"/>
          <w:szCs w:val="26"/>
          <w:rtl/>
          <w:lang w:bidi="ar-JO"/>
          <w14:ligatures w14:val="none"/>
        </w:rPr>
        <w:t xml:space="preserve">ر بأنها تشكل أساس سفر معين أو وثيقة معينة (نشاطات أدبية –نقدية).  ويشار إلى هذا النوع من النهج في تناول العهد القديم بشكل عام باسم "تحليل المصادر الأدبية." </w:t>
      </w:r>
    </w:p>
    <w:p w14:paraId="24911381"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6CA60BA9"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 xml:space="preserve">إن إحدى النظريات التي برزت من هذا النوع من النهج نظرية تعرف باسم نظرية </w:t>
      </w:r>
      <w:r w:rsidRPr="00263246">
        <w:rPr>
          <w:rFonts w:eastAsia="Times New Roman" w:cs="DecoType Naskh"/>
          <w:color w:val="auto"/>
          <w:kern w:val="0"/>
          <w:szCs w:val="26"/>
          <w14:ligatures w14:val="none"/>
        </w:rPr>
        <w:t>JEDP</w:t>
      </w:r>
      <w:r w:rsidRPr="00263246">
        <w:rPr>
          <w:rFonts w:eastAsia="Times New Roman" w:cs="DecoType Naskh"/>
          <w:color w:val="auto"/>
          <w:kern w:val="0"/>
          <w:szCs w:val="26"/>
          <w:rtl/>
          <w:lang w:bidi="ar-JO"/>
          <w14:ligatures w14:val="none"/>
        </w:rPr>
        <w:t xml:space="preserve"> (ي إ ت ك).  ووفق هذه النظرية يزعم باحثون أنهم من خلال التحليل الدقيق جداً لأسفار العهد القديم </w:t>
      </w:r>
      <w:r w:rsidRPr="00263246">
        <w:rPr>
          <w:rFonts w:eastAsia="Times New Roman" w:cs="DecoType Naskh" w:hint="cs"/>
          <w:color w:val="auto"/>
          <w:kern w:val="0"/>
          <w:szCs w:val="26"/>
          <w:rtl/>
          <w:lang w:bidi="ar-JO"/>
          <w14:ligatures w14:val="none"/>
        </w:rPr>
        <w:t xml:space="preserve">تمكَّنوا </w:t>
      </w:r>
      <w:r w:rsidRPr="00263246">
        <w:rPr>
          <w:rFonts w:eastAsia="Times New Roman" w:cs="DecoType Naskh"/>
          <w:color w:val="auto"/>
          <w:kern w:val="0"/>
          <w:szCs w:val="26"/>
          <w:rtl/>
          <w:lang w:bidi="ar-JO"/>
          <w14:ligatures w14:val="none"/>
        </w:rPr>
        <w:t xml:space="preserve">من عزل وتحديد الأطوار الأدبية المتنوعة خلف التركيب النهائي لكل سفر.  فهم يزعمون، مثلاً، أن سفر التكوين جاء نتيجة دمج وثائق عديدة أصغر نُسجت معاً من خلال عملية مطوّلة على مرّ عدة قرون، وتمّت إعادة صياغتها في أوقات </w:t>
      </w:r>
      <w:r w:rsidRPr="00263246">
        <w:rPr>
          <w:rFonts w:eastAsia="Times New Roman" w:cs="DecoType Naskh" w:hint="cs"/>
          <w:color w:val="auto"/>
          <w:kern w:val="0"/>
          <w:szCs w:val="26"/>
          <w:rtl/>
          <w:lang w:bidi="ar-JO"/>
          <w14:ligatures w14:val="none"/>
        </w:rPr>
        <w:t>مختلفة</w:t>
      </w:r>
      <w:r w:rsidRPr="00263246">
        <w:rPr>
          <w:rFonts w:eastAsia="Times New Roman" w:cs="DecoType Naskh"/>
          <w:color w:val="auto"/>
          <w:kern w:val="0"/>
          <w:szCs w:val="26"/>
          <w:rtl/>
          <w:lang w:bidi="ar-JO"/>
          <w14:ligatures w14:val="none"/>
        </w:rPr>
        <w:t>.  وبشكل عام فإن حصيلة هذا النهج هو إنكار كتابة موسى للتوراة وتحديد تواريخ متأخرة لهذه الأسفار الخمسة.</w:t>
      </w:r>
    </w:p>
    <w:p w14:paraId="391A3D65"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EB20DDA" w14:textId="77777777" w:rsidR="00263246" w:rsidRPr="00263246" w:rsidRDefault="00263246"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263246">
        <w:rPr>
          <w:rFonts w:eastAsia="Times New Roman" w:cs="DecoType Naskh" w:hint="cs"/>
          <w:bCs/>
          <w:color w:val="auto"/>
          <w:kern w:val="0"/>
          <w:szCs w:val="28"/>
          <w:rtl/>
          <w:lang w:bidi="ar-JO"/>
          <w14:ligatures w14:val="none"/>
        </w:rPr>
        <w:t>2</w:t>
      </w:r>
      <w:r w:rsidRPr="00263246">
        <w:rPr>
          <w:rFonts w:eastAsia="Times New Roman" w:cs="DecoType Naskh"/>
          <w:bCs/>
          <w:color w:val="auto"/>
          <w:kern w:val="0"/>
          <w:szCs w:val="28"/>
          <w:rtl/>
          <w:lang w:bidi="ar-JO"/>
          <w14:ligatures w14:val="none"/>
        </w:rPr>
        <w:t>.</w:t>
      </w:r>
      <w:r w:rsidRPr="00263246">
        <w:rPr>
          <w:rFonts w:eastAsia="Times New Roman" w:cs="DecoType Naskh"/>
          <w:bCs/>
          <w:color w:val="auto"/>
          <w:kern w:val="0"/>
          <w:szCs w:val="28"/>
          <w:rtl/>
          <w:lang w:bidi="ar-JO"/>
          <w14:ligatures w14:val="none"/>
        </w:rPr>
        <w:tab/>
        <w:t xml:space="preserve">تاريخ </w:t>
      </w:r>
      <w:r w:rsidRPr="00263246">
        <w:rPr>
          <w:rFonts w:eastAsia="Times New Roman" w:cs="DecoType Naskh" w:hint="cs"/>
          <w:bCs/>
          <w:color w:val="auto"/>
          <w:kern w:val="0"/>
          <w:szCs w:val="28"/>
          <w:rtl/>
          <w:lang w:bidi="ar-JO"/>
          <w14:ligatures w14:val="none"/>
        </w:rPr>
        <w:t>هذه المنهجية</w:t>
      </w:r>
    </w:p>
    <w:p w14:paraId="4FCA4CF2" w14:textId="77777777" w:rsidR="00263246" w:rsidRPr="00263246" w:rsidRDefault="00263246"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263246">
        <w:rPr>
          <w:rFonts w:eastAsia="Times New Roman" w:cs="DecoType Naskh"/>
          <w:bCs/>
          <w:color w:val="auto"/>
          <w:kern w:val="0"/>
          <w:szCs w:val="26"/>
          <w:rtl/>
          <w14:ligatures w14:val="none"/>
        </w:rPr>
        <w:t>أ.</w:t>
      </w:r>
      <w:r w:rsidRPr="00263246">
        <w:rPr>
          <w:rFonts w:eastAsia="Times New Roman" w:cs="DecoType Naskh"/>
          <w:bCs/>
          <w:color w:val="auto"/>
          <w:kern w:val="0"/>
          <w:szCs w:val="26"/>
          <w:rtl/>
          <w14:ligatures w14:val="none"/>
        </w:rPr>
        <w:tab/>
        <w:t>التحليلات الأولى</w:t>
      </w:r>
    </w:p>
    <w:p w14:paraId="1EF6B735"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1.</w:t>
      </w:r>
      <w:r w:rsidRPr="00263246">
        <w:rPr>
          <w:rFonts w:eastAsia="Times New Roman" w:cs="DecoType Naskh"/>
          <w:color w:val="auto"/>
          <w:kern w:val="0"/>
          <w:szCs w:val="26"/>
          <w:rtl/>
          <w:lang w:bidi="ar-JO"/>
          <w14:ligatures w14:val="none"/>
        </w:rPr>
        <w:tab/>
        <w:t>روّاد أوائل</w:t>
      </w:r>
      <w:r w:rsidRPr="00263246">
        <w:rPr>
          <w:rFonts w:eastAsia="Times New Roman" w:cs="DecoType Naskh"/>
          <w:color w:val="auto"/>
          <w:kern w:val="0"/>
          <w:szCs w:val="26"/>
          <w:vertAlign w:val="superscript"/>
          <w:rtl/>
          <w14:ligatures w14:val="none"/>
        </w:rPr>
        <w:footnoteReference w:id="241"/>
      </w:r>
      <w:r w:rsidRPr="00263246">
        <w:rPr>
          <w:rFonts w:eastAsia="Times New Roman" w:cs="DecoType Naskh"/>
          <w:color w:val="auto"/>
          <w:kern w:val="0"/>
          <w:szCs w:val="26"/>
          <w:rtl/>
          <w:lang w:bidi="ar-JO"/>
          <w14:ligatures w14:val="none"/>
        </w:rPr>
        <w:t xml:space="preserve"> </w:t>
      </w:r>
    </w:p>
    <w:p w14:paraId="79DF372E"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في عام 1689 قام لاهوتي باسم كامبيجيوس فترنجا</w:t>
      </w:r>
      <w:r w:rsidRPr="00263246">
        <w:rPr>
          <w:rFonts w:eastAsia="Times New Roman" w:cs="DecoType Naskh" w:hint="cs"/>
          <w:color w:val="auto"/>
          <w:kern w:val="0"/>
          <w:szCs w:val="26"/>
          <w:rtl/>
          <w14:ligatures w14:val="none"/>
        </w:rPr>
        <w:t xml:space="preserve"> </w:t>
      </w:r>
      <w:proofErr w:type="spellStart"/>
      <w:r w:rsidRPr="00263246">
        <w:rPr>
          <w:rFonts w:eastAsia="Times New Roman" w:cs="DecoType Naskh"/>
          <w:color w:val="auto"/>
          <w:kern w:val="0"/>
          <w:szCs w:val="26"/>
          <w14:ligatures w14:val="none"/>
        </w:rPr>
        <w:t>Campegius</w:t>
      </w:r>
      <w:proofErr w:type="spellEnd"/>
      <w:r w:rsidRPr="00263246">
        <w:rPr>
          <w:rFonts w:eastAsia="Times New Roman" w:cs="DecoType Naskh"/>
          <w:color w:val="auto"/>
          <w:kern w:val="0"/>
          <w:szCs w:val="26"/>
          <w14:ligatures w14:val="none"/>
        </w:rPr>
        <w:t xml:space="preserve"> </w:t>
      </w:r>
      <w:proofErr w:type="spellStart"/>
      <w:r w:rsidRPr="00263246">
        <w:rPr>
          <w:rFonts w:eastAsia="Times New Roman" w:cs="DecoType Naskh"/>
          <w:color w:val="auto"/>
          <w:kern w:val="0"/>
          <w:szCs w:val="26"/>
          <w14:ligatures w14:val="none"/>
        </w:rPr>
        <w:t>Vitringa</w:t>
      </w:r>
      <w:proofErr w:type="spellEnd"/>
      <w:r w:rsidRPr="00263246">
        <w:rPr>
          <w:rFonts w:eastAsia="Times New Roman" w:cs="DecoType Naskh"/>
          <w:color w:val="auto"/>
          <w:kern w:val="0"/>
          <w:szCs w:val="26"/>
          <w:rtl/>
          <w:lang w:bidi="ar-JO"/>
          <w14:ligatures w14:val="none"/>
        </w:rPr>
        <w:t xml:space="preserve"> بكتابة مؤلَّف بعنوان </w:t>
      </w:r>
      <w:r w:rsidRPr="00263246">
        <w:rPr>
          <w:rFonts w:eastAsia="Times New Roman" w:cs="DecoType Naskh"/>
          <w:i/>
          <w:iCs/>
          <w:color w:val="auto"/>
          <w:kern w:val="0"/>
          <w:szCs w:val="26"/>
          <w14:ligatures w14:val="none"/>
        </w:rPr>
        <w:t xml:space="preserve">Observations </w:t>
      </w:r>
      <w:proofErr w:type="spellStart"/>
      <w:r w:rsidRPr="00263246">
        <w:rPr>
          <w:rFonts w:eastAsia="Times New Roman" w:cs="DecoType Naskh"/>
          <w:i/>
          <w:iCs/>
          <w:color w:val="auto"/>
          <w:kern w:val="0"/>
          <w:szCs w:val="26"/>
          <w14:ligatures w14:val="none"/>
        </w:rPr>
        <w:t>Sacrae</w:t>
      </w:r>
      <w:proofErr w:type="spellEnd"/>
      <w:r w:rsidRPr="00263246">
        <w:rPr>
          <w:rFonts w:eastAsia="Times New Roman" w:cs="DecoType Naskh"/>
          <w:color w:val="auto"/>
          <w:kern w:val="0"/>
          <w:szCs w:val="26"/>
          <w:rtl/>
          <w:lang w:bidi="ar-JO"/>
          <w14:ligatures w14:val="none"/>
        </w:rPr>
        <w:t xml:space="preserve"> قال فيه إن موسى </w:t>
      </w:r>
      <w:r w:rsidRPr="00263246">
        <w:rPr>
          <w:rFonts w:eastAsia="Times New Roman" w:cs="DecoType Naskh" w:hint="cs"/>
          <w:color w:val="auto"/>
          <w:kern w:val="0"/>
          <w:szCs w:val="26"/>
          <w:rtl/>
          <w:lang w:bidi="ar-JO"/>
          <w14:ligatures w14:val="none"/>
        </w:rPr>
        <w:t>استخدم</w:t>
      </w:r>
      <w:r w:rsidRPr="00263246">
        <w:rPr>
          <w:rFonts w:eastAsia="Times New Roman" w:cs="DecoType Naskh"/>
          <w:color w:val="auto"/>
          <w:kern w:val="0"/>
          <w:szCs w:val="26"/>
          <w:rtl/>
          <w:lang w:bidi="ar-JO"/>
          <w14:ligatures w14:val="none"/>
        </w:rPr>
        <w:t xml:space="preserve"> مصادر قديمة ترجع إلى فترة الآباء.  وكان هـ. ب. </w:t>
      </w:r>
      <w:r w:rsidRPr="00263246">
        <w:rPr>
          <w:rFonts w:eastAsia="Times New Roman" w:cs="DecoType Naskh" w:hint="cs"/>
          <w:color w:val="auto"/>
          <w:kern w:val="0"/>
          <w:szCs w:val="26"/>
          <w:rtl/>
          <w:lang w:bidi="ar-JO"/>
          <w14:ligatures w14:val="none"/>
        </w:rPr>
        <w:t>وتر</w:t>
      </w:r>
      <w:r w:rsidRPr="00263246">
        <w:rPr>
          <w:rFonts w:eastAsia="Times New Roman" w:cs="DecoType Naskh"/>
          <w:color w:val="auto"/>
          <w:kern w:val="0"/>
          <w:szCs w:val="26"/>
          <w:rtl/>
          <w:lang w:bidi="ar-JO"/>
          <w14:ligatures w14:val="none"/>
        </w:rPr>
        <w:t xml:space="preserve"> (1711) على ما يبدو أوّل من قال إنه يمكن استخدام الأسماء الإلهية كمقياس لتحديد المصادر التي استخدمها موسى وتحليلها.</w:t>
      </w:r>
    </w:p>
    <w:p w14:paraId="0354D221"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p>
    <w:p w14:paraId="680DFD8C"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p>
    <w:p w14:paraId="7BC4E197"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2.</w:t>
      </w:r>
      <w:r w:rsidRPr="00263246">
        <w:rPr>
          <w:rFonts w:eastAsia="Times New Roman" w:cs="DecoType Naskh"/>
          <w:color w:val="auto"/>
          <w:kern w:val="0"/>
          <w:szCs w:val="26"/>
          <w:rtl/>
          <w:lang w:bidi="ar-JO"/>
          <w14:ligatures w14:val="none"/>
        </w:rPr>
        <w:tab/>
        <w:t>جان أستراك (1684-1766)</w:t>
      </w:r>
    </w:p>
    <w:p w14:paraId="4B0F46C1"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 xml:space="preserve">حاول هذا الرجل الفرنسي أن يستخدم الأسماء الإلهية في تحليل سفر التكوين.  وشكّل عمله هذا </w:t>
      </w:r>
      <w:r w:rsidRPr="00263246">
        <w:rPr>
          <w:rFonts w:eastAsia="Times New Roman" w:cs="DecoType Naskh" w:hint="cs"/>
          <w:color w:val="auto"/>
          <w:kern w:val="0"/>
          <w:szCs w:val="26"/>
          <w:rtl/>
          <w:lang w:bidi="ar-JO"/>
          <w14:ligatures w14:val="none"/>
        </w:rPr>
        <w:t>البداية الفعلية لما يُعرف بنقد مصادر الأسفار الخمسة</w:t>
      </w:r>
      <w:r w:rsidRPr="00263246">
        <w:rPr>
          <w:rFonts w:eastAsia="Times New Roman" w:cs="DecoType Naskh"/>
          <w:color w:val="auto"/>
          <w:kern w:val="0"/>
          <w:szCs w:val="26"/>
          <w:rtl/>
          <w:lang w:bidi="ar-JO"/>
          <w14:ligatures w14:val="none"/>
        </w:rPr>
        <w:t>.  ويرى أستراك أن موسى جمع سفر التكوين بتقسيم هذه المذكرات أو السِّير الذاتية القديمة التي وصلت بين يديه وإعادة ترتيبها لكي يقدّم منها رواية متواصلة.  واعتبر أستراك أن المصدرين الرئيسيين هما المصدر اليهووي (يهوه) والمصدر الإيلوهيمي (إيلوهيم).  غير أنه خ</w:t>
      </w:r>
      <w:r w:rsidRPr="00263246">
        <w:rPr>
          <w:rFonts w:eastAsia="Times New Roman" w:cs="DecoType Naskh" w:hint="cs"/>
          <w:color w:val="auto"/>
          <w:kern w:val="0"/>
          <w:szCs w:val="26"/>
          <w:rtl/>
          <w14:ligatures w14:val="none"/>
        </w:rPr>
        <w:t>َ</w:t>
      </w:r>
      <w:r w:rsidRPr="00263246">
        <w:rPr>
          <w:rFonts w:eastAsia="Times New Roman" w:cs="DecoType Naskh"/>
          <w:color w:val="auto"/>
          <w:kern w:val="0"/>
          <w:szCs w:val="26"/>
          <w:rtl/>
          <w:lang w:bidi="ar-JO"/>
          <w14:ligatures w14:val="none"/>
        </w:rPr>
        <w:t>ل</w:t>
      </w:r>
      <w:r w:rsidRPr="00263246">
        <w:rPr>
          <w:rFonts w:eastAsia="Times New Roman" w:cs="DecoType Naskh" w:hint="cs"/>
          <w:color w:val="auto"/>
          <w:kern w:val="0"/>
          <w:szCs w:val="26"/>
          <w:rtl/>
          <w:lang w:bidi="ar-JO"/>
          <w14:ligatures w14:val="none"/>
        </w:rPr>
        <w:t>ُ</w:t>
      </w:r>
      <w:r w:rsidRPr="00263246">
        <w:rPr>
          <w:rFonts w:eastAsia="Times New Roman" w:cs="DecoType Naskh"/>
          <w:color w:val="auto"/>
          <w:kern w:val="0"/>
          <w:szCs w:val="26"/>
          <w:rtl/>
          <w:lang w:bidi="ar-JO"/>
          <w14:ligatures w14:val="none"/>
        </w:rPr>
        <w:t>ص</w:t>
      </w:r>
      <w:r w:rsidRPr="00263246">
        <w:rPr>
          <w:rFonts w:eastAsia="Times New Roman" w:cs="DecoType Naskh" w:hint="cs"/>
          <w:color w:val="auto"/>
          <w:kern w:val="0"/>
          <w:szCs w:val="26"/>
          <w:rtl/>
          <w:lang w:bidi="ar-JO"/>
          <w14:ligatures w14:val="none"/>
        </w:rPr>
        <w:t>َ</w:t>
      </w:r>
      <w:r w:rsidRPr="00263246">
        <w:rPr>
          <w:rFonts w:eastAsia="Times New Roman" w:cs="DecoType Naskh"/>
          <w:color w:val="auto"/>
          <w:kern w:val="0"/>
          <w:szCs w:val="26"/>
          <w:rtl/>
          <w:lang w:bidi="ar-JO"/>
          <w14:ligatures w14:val="none"/>
        </w:rPr>
        <w:t xml:space="preserve"> إلى ضرورة قيام تحليل أكثر شمولاً يمكن أن يأخذ في اعتباره مصادر أخرى.  وعلى الرغم من افتقار كتاباته إلى الموضوعية، إلاّ أنه قال إن موسى هو كاتب الأسفار الخمسة.</w:t>
      </w:r>
    </w:p>
    <w:p w14:paraId="241A3F58"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1DFCD5A8"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3.</w:t>
      </w:r>
      <w:r w:rsidRPr="00263246">
        <w:rPr>
          <w:rFonts w:eastAsia="Times New Roman" w:cs="DecoType Naskh"/>
          <w:color w:val="auto"/>
          <w:kern w:val="0"/>
          <w:szCs w:val="26"/>
          <w:rtl/>
          <w:lang w:bidi="ar-JO"/>
          <w14:ligatures w14:val="none"/>
        </w:rPr>
        <w:tab/>
        <w:t xml:space="preserve">جي. جـ. آيخهورن </w:t>
      </w:r>
    </w:p>
    <w:p w14:paraId="079D5AD6"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جلب عصر التنوير اهتماماً أكبر بما يسمى بـ "التحليل العلمي" للكتاب المقدس.  وكانت كتابات جي. جـ. آيخهورن</w:t>
      </w:r>
      <w:r w:rsidRPr="00263246">
        <w:rPr>
          <w:rFonts w:eastAsia="Times New Roman" w:cs="DecoType Naskh" w:hint="cs"/>
          <w:color w:val="auto"/>
          <w:kern w:val="0"/>
          <w:szCs w:val="26"/>
          <w:rtl/>
          <w:lang w:bidi="ar-JO"/>
          <w14:ligatures w14:val="none"/>
        </w:rPr>
        <w:t xml:space="preserve">                    </w:t>
      </w:r>
      <w:r w:rsidRPr="00263246">
        <w:rPr>
          <w:rFonts w:eastAsia="Times New Roman" w:cs="DecoType Naskh"/>
          <w:color w:val="auto"/>
          <w:kern w:val="0"/>
          <w:szCs w:val="26"/>
          <w:rtl/>
          <w:lang w:bidi="ar-JO"/>
          <w14:ligatures w14:val="none"/>
        </w:rPr>
        <w:t xml:space="preserve"> (1780-83) هي أكثر ما أثّر في دراسة العهد القديم.  كتب آيخهورن، وهو عقلاني تخلّى عن الاعتقاد بوحي الأسفار المقدّسة وسلطانها، مؤلّفاً من ثلاثة مجلّدات بعنوان</w:t>
      </w:r>
      <w:r w:rsidRPr="00263246">
        <w:rPr>
          <w:rFonts w:eastAsia="Times New Roman" w:cs="DecoType Naskh" w:hint="cs"/>
          <w:color w:val="auto"/>
          <w:kern w:val="0"/>
          <w:szCs w:val="26"/>
          <w:rtl/>
          <w14:ligatures w14:val="none"/>
        </w:rPr>
        <w:t xml:space="preserve"> "التنوير في العهد القديم"</w:t>
      </w:r>
      <w:r w:rsidRPr="00263246">
        <w:rPr>
          <w:rFonts w:eastAsia="Times New Roman" w:cs="DecoType Naskh" w:hint="cs"/>
          <w:color w:val="auto"/>
          <w:kern w:val="0"/>
          <w:szCs w:val="26"/>
          <w:rtl/>
          <w:lang w:bidi="ar-JO"/>
          <w14:ligatures w14:val="none"/>
        </w:rPr>
        <w:t xml:space="preserve"> (</w:t>
      </w:r>
      <w:r w:rsidRPr="00263246">
        <w:rPr>
          <w:rFonts w:eastAsia="Times New Roman" w:cs="DecoType Naskh"/>
          <w:i/>
          <w:iCs/>
          <w:color w:val="auto"/>
          <w:kern w:val="0"/>
          <w:szCs w:val="26"/>
          <w14:ligatures w14:val="none"/>
        </w:rPr>
        <w:t>Einleitung in das alte Testament</w:t>
      </w:r>
      <w:r w:rsidRPr="00263246">
        <w:rPr>
          <w:rFonts w:eastAsia="Times New Roman" w:cs="DecoType Naskh" w:hint="cs"/>
          <w:color w:val="auto"/>
          <w:kern w:val="0"/>
          <w:szCs w:val="26"/>
          <w:rtl/>
          <w:lang w:bidi="ar-JO"/>
          <w14:ligatures w14:val="none"/>
        </w:rPr>
        <w:t xml:space="preserve">) </w:t>
      </w:r>
      <w:r w:rsidRPr="00263246">
        <w:rPr>
          <w:rFonts w:eastAsia="Times New Roman" w:cs="DecoType Naskh"/>
          <w:color w:val="auto"/>
          <w:kern w:val="0"/>
          <w:szCs w:val="26"/>
          <w:rtl/>
          <w:lang w:bidi="ar-JO"/>
          <w14:ligatures w14:val="none"/>
        </w:rPr>
        <w:t>أسبغت عليه لقب "أب نقد العهد القديم".  يقول هاريسون عنه</w:t>
      </w:r>
      <w:r w:rsidRPr="00263246">
        <w:rPr>
          <w:rFonts w:eastAsia="Times New Roman" w:cs="DecoType Naskh" w:hint="cs"/>
          <w:color w:val="auto"/>
          <w:kern w:val="0"/>
          <w:szCs w:val="26"/>
          <w:rtl/>
          <w:lang w:bidi="ar-JO"/>
          <w14:ligatures w14:val="none"/>
        </w:rPr>
        <w:t>:</w:t>
      </w:r>
    </w:p>
    <w:p w14:paraId="3AB27E30"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14:ligatures w14:val="none"/>
        </w:rPr>
      </w:pPr>
      <w:r w:rsidRPr="00263246">
        <w:rPr>
          <w:rFonts w:eastAsia="Times New Roman" w:cs="DecoType Naskh"/>
          <w:color w:val="auto"/>
          <w:kern w:val="0"/>
          <w:szCs w:val="26"/>
          <w:rtl/>
          <w:lang w:bidi="ar-JO"/>
          <w14:ligatures w14:val="none"/>
        </w:rPr>
        <w:lastRenderedPageBreak/>
        <w:t>وسَّع آيخهورن المقياس الذي افترضه أستراك كأمر مسلّم به للتحليل الوثيقي للأسفار الخمسة، وقال بأن وسائل التفريق بين المصادر التي تشكل أساساً للأسفار يجب أن تتضمّن تنوّع الأسلوب الأدبي واعتبار الكلمات والتعابير الخاصّة بكل وثيقة من الوثائق التي سبق عزلها وتحديدها</w:t>
      </w:r>
      <w:r w:rsidRPr="00263246">
        <w:rPr>
          <w:rFonts w:eastAsia="Times New Roman" w:cs="DecoType Naskh" w:hint="cs"/>
          <w:color w:val="auto"/>
          <w:kern w:val="0"/>
          <w:szCs w:val="26"/>
          <w:rtl/>
          <w:lang w:bidi="ar-JO"/>
          <w14:ligatures w14:val="none"/>
        </w:rPr>
        <w:t>.</w:t>
      </w:r>
      <w:r w:rsidRPr="00263246">
        <w:rPr>
          <w:rFonts w:eastAsia="Times New Roman" w:cs="DecoType Naskh"/>
          <w:color w:val="auto"/>
          <w:kern w:val="0"/>
          <w:sz w:val="30"/>
          <w:szCs w:val="28"/>
          <w:vertAlign w:val="superscript"/>
          <w:rtl/>
          <w:lang w:bidi="ar-JO"/>
          <w14:ligatures w14:val="none"/>
        </w:rPr>
        <w:footnoteReference w:id="242"/>
      </w:r>
    </w:p>
    <w:p w14:paraId="6C9FC4FC"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قام آيخهورن بتفصيل كبير لكتابات أستراك، وتخلّى أثناء ذلك عن الاعتقاد بأن موسى هو كاتب الأسفار الخمسة.</w:t>
      </w:r>
    </w:p>
    <w:p w14:paraId="4854F7AD"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p>
    <w:p w14:paraId="7EAE72B3" w14:textId="77777777" w:rsidR="00263246" w:rsidRPr="00263246" w:rsidRDefault="00263246" w:rsidP="002D6C54">
      <w:pPr>
        <w:tabs>
          <w:tab w:val="left" w:pos="454"/>
        </w:tabs>
        <w:bidi/>
        <w:spacing w:after="60" w:line="240" w:lineRule="auto"/>
        <w:ind w:left="550" w:hanging="550"/>
        <w:jc w:val="both"/>
        <w:rPr>
          <w:rFonts w:eastAsia="Times New Roman" w:cs="DecoType Naskh"/>
          <w:bCs/>
          <w:color w:val="auto"/>
          <w:kern w:val="0"/>
          <w:szCs w:val="26"/>
          <w:rtl/>
          <w:lang w:bidi="ar-KW"/>
          <w14:ligatures w14:val="none"/>
        </w:rPr>
      </w:pPr>
      <w:r w:rsidRPr="00263246">
        <w:rPr>
          <w:rFonts w:eastAsia="Times New Roman" w:cs="DecoType Naskh"/>
          <w:bCs/>
          <w:color w:val="auto"/>
          <w:kern w:val="0"/>
          <w:szCs w:val="26"/>
          <w:rtl/>
          <w14:ligatures w14:val="none"/>
        </w:rPr>
        <w:t>ب.</w:t>
      </w:r>
      <w:r w:rsidRPr="00263246">
        <w:rPr>
          <w:rFonts w:eastAsia="Times New Roman" w:cs="DecoType Naskh"/>
          <w:bCs/>
          <w:color w:val="auto"/>
          <w:kern w:val="0"/>
          <w:szCs w:val="26"/>
          <w:rtl/>
          <w14:ligatures w14:val="none"/>
        </w:rPr>
        <w:tab/>
      </w:r>
      <w:r w:rsidRPr="00263246">
        <w:rPr>
          <w:rFonts w:eastAsia="Times New Roman" w:cs="DecoType Naskh" w:hint="cs"/>
          <w:bCs/>
          <w:color w:val="auto"/>
          <w:kern w:val="0"/>
          <w:szCs w:val="26"/>
          <w:rtl/>
          <w14:ligatures w14:val="none"/>
        </w:rPr>
        <w:t>الفرضية</w:t>
      </w:r>
      <w:r w:rsidRPr="00263246">
        <w:rPr>
          <w:rFonts w:eastAsia="Times New Roman" w:cs="DecoType Naskh"/>
          <w:bCs/>
          <w:color w:val="auto"/>
          <w:kern w:val="0"/>
          <w:szCs w:val="26"/>
          <w:rtl/>
          <w14:ligatures w14:val="none"/>
        </w:rPr>
        <w:t xml:space="preserve"> الشّظَوِية</w:t>
      </w:r>
      <w:r w:rsidRPr="00263246">
        <w:rPr>
          <w:rFonts w:eastAsia="Times New Roman" w:cs="DecoType Naskh" w:hint="cs"/>
          <w:bCs/>
          <w:color w:val="auto"/>
          <w:kern w:val="0"/>
          <w:szCs w:val="26"/>
          <w:rtl/>
          <w14:ligatures w14:val="none"/>
        </w:rPr>
        <w:t xml:space="preserve"> (الجزئية)-</w:t>
      </w:r>
      <w:r w:rsidRPr="00263246">
        <w:rPr>
          <w:rFonts w:eastAsia="Times New Roman" w:cs="DecoType Naskh" w:hint="cs"/>
          <w:bCs/>
          <w:color w:val="auto"/>
          <w:kern w:val="0"/>
          <w:szCs w:val="26"/>
          <w:rtl/>
          <w:lang w:bidi="ar-KW"/>
          <w14:ligatures w14:val="none"/>
        </w:rPr>
        <w:t>(</w:t>
      </w:r>
      <w:r w:rsidRPr="00263246">
        <w:rPr>
          <w:rFonts w:eastAsia="Times New Roman" w:cs="DecoType Naskh"/>
          <w:bCs/>
          <w:color w:val="auto"/>
          <w:kern w:val="0"/>
          <w:szCs w:val="26"/>
          <w14:ligatures w14:val="none"/>
        </w:rPr>
        <w:t>The Fragmentary Hypothesis</w:t>
      </w:r>
      <w:r w:rsidRPr="00263246">
        <w:rPr>
          <w:rFonts w:eastAsia="Times New Roman" w:cs="DecoType Naskh" w:hint="cs"/>
          <w:bCs/>
          <w:color w:val="auto"/>
          <w:kern w:val="0"/>
          <w:szCs w:val="26"/>
          <w:rtl/>
          <w:lang w:bidi="ar-KW"/>
          <w14:ligatures w14:val="none"/>
        </w:rPr>
        <w:t>)</w:t>
      </w:r>
    </w:p>
    <w:p w14:paraId="0573287A"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افترض لاهوتي كاثوليكي اسكتلندي اسمه ألكساندر جيديس (في مؤلَّفين نشرهما بين عامي 1792 و1800) أن الأسفار الخمسة جمعت معاً في زمن سليمان من عدد من المقتطفات أو الأجزاء التي كان بعضها موجوداً قبل زمن موسى.</w:t>
      </w:r>
    </w:p>
    <w:p w14:paraId="2DE49614"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وقام و. م. ل. دي وتّي</w:t>
      </w:r>
      <w:r w:rsidRPr="00263246">
        <w:rPr>
          <w:rFonts w:eastAsia="Times New Roman" w:cs="DecoType Naskh" w:hint="cs"/>
          <w:color w:val="auto"/>
          <w:kern w:val="0"/>
          <w:szCs w:val="26"/>
          <w:rtl/>
          <w14:ligatures w14:val="none"/>
        </w:rPr>
        <w:t xml:space="preserve"> (</w:t>
      </w:r>
      <w:r w:rsidRPr="00263246">
        <w:rPr>
          <w:rFonts w:eastAsia="Times New Roman" w:cs="DecoType Naskh"/>
          <w:color w:val="auto"/>
          <w:kern w:val="0"/>
          <w:szCs w:val="26"/>
          <w14:ligatures w14:val="none"/>
        </w:rPr>
        <w:t>W. M. L. De Wette</w:t>
      </w:r>
      <w:r w:rsidRPr="00263246">
        <w:rPr>
          <w:rFonts w:eastAsia="Times New Roman" w:cs="DecoType Naskh" w:hint="cs"/>
          <w:color w:val="auto"/>
          <w:kern w:val="0"/>
          <w:szCs w:val="26"/>
          <w:rtl/>
          <w14:ligatures w14:val="none"/>
        </w:rPr>
        <w:t>)</w:t>
      </w:r>
      <w:r w:rsidRPr="00263246">
        <w:rPr>
          <w:rFonts w:eastAsia="Times New Roman" w:cs="DecoType Naskh"/>
          <w:color w:val="auto"/>
          <w:kern w:val="0"/>
          <w:szCs w:val="26"/>
          <w:rtl/>
          <w:lang w:bidi="ar-JO"/>
          <w14:ligatures w14:val="none"/>
        </w:rPr>
        <w:t xml:space="preserve"> في مؤلَّف آخر نُشر في عام 1807 بزيادة التشويش الحاصل بالقول إن الأسفار الخمسة المختلفة جُمعت من قبل خمسة منقّحين اعتمدوا على مصادر شظَوِية (مقتطفات أو أجزاء صغيرة) مستقلة.  وفضلاً عن ذلك، كان دي وتّي أوّل من قال إن سفر التثنية كُتب في زمن يوشيّا، حيث إنه كان في جوهرهِ سفر الشريعة الذي اكتُشف أثناء حكمه.  وقد أدّى هذا إلى القول بوجود مصدر "ت" (المصدر التثنوي).</w:t>
      </w:r>
    </w:p>
    <w:p w14:paraId="355E5B3A" w14:textId="77777777" w:rsidR="00263246" w:rsidRPr="00263246" w:rsidRDefault="00263246"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263246">
        <w:rPr>
          <w:rFonts w:eastAsia="Times New Roman" w:cs="DecoType Naskh"/>
          <w:bCs/>
          <w:color w:val="auto"/>
          <w:kern w:val="0"/>
          <w:szCs w:val="26"/>
          <w:rtl/>
          <w14:ligatures w14:val="none"/>
        </w:rPr>
        <w:t>جـ.</w:t>
      </w:r>
      <w:r w:rsidRPr="00263246">
        <w:rPr>
          <w:rFonts w:eastAsia="Times New Roman" w:cs="DecoType Naskh"/>
          <w:bCs/>
          <w:color w:val="auto"/>
          <w:kern w:val="0"/>
          <w:szCs w:val="26"/>
          <w:rtl/>
          <w14:ligatures w14:val="none"/>
        </w:rPr>
        <w:tab/>
      </w:r>
      <w:r w:rsidRPr="00263246">
        <w:rPr>
          <w:rFonts w:eastAsia="Times New Roman" w:cs="DecoType Naskh" w:hint="cs"/>
          <w:bCs/>
          <w:color w:val="auto"/>
          <w:kern w:val="0"/>
          <w:szCs w:val="26"/>
          <w:rtl/>
          <w14:ligatures w14:val="none"/>
        </w:rPr>
        <w:t>فرضية</w:t>
      </w:r>
      <w:r w:rsidRPr="00263246">
        <w:rPr>
          <w:rFonts w:eastAsia="Times New Roman" w:cs="DecoType Naskh"/>
          <w:bCs/>
          <w:color w:val="auto"/>
          <w:kern w:val="0"/>
          <w:szCs w:val="26"/>
          <w:rtl/>
          <w14:ligatures w14:val="none"/>
        </w:rPr>
        <w:t xml:space="preserve"> الملاحق والبلورة</w:t>
      </w:r>
      <w:r w:rsidRPr="00263246">
        <w:rPr>
          <w:rFonts w:eastAsia="Times New Roman" w:cs="DecoType Naskh" w:hint="cs"/>
          <w:bCs/>
          <w:color w:val="auto"/>
          <w:kern w:val="0"/>
          <w:szCs w:val="26"/>
          <w:rtl/>
          <w14:ligatures w14:val="none"/>
        </w:rPr>
        <w:t xml:space="preserve"> </w:t>
      </w:r>
      <w:r w:rsidRPr="00263246">
        <w:rPr>
          <w:rFonts w:eastAsia="Times New Roman" w:cs="DecoType Naskh"/>
          <w:bCs/>
          <w:color w:val="auto"/>
          <w:kern w:val="0"/>
          <w:szCs w:val="26"/>
          <w:rtl/>
          <w14:ligatures w14:val="none"/>
        </w:rPr>
        <w:t>–</w:t>
      </w:r>
      <w:r w:rsidRPr="00263246">
        <w:rPr>
          <w:rFonts w:eastAsia="Times New Roman" w:cs="DecoType Naskh" w:hint="cs"/>
          <w:bCs/>
          <w:color w:val="auto"/>
          <w:kern w:val="0"/>
          <w:szCs w:val="26"/>
          <w:rtl/>
          <w14:ligatures w14:val="none"/>
        </w:rPr>
        <w:t xml:space="preserve"> (</w:t>
      </w:r>
      <w:r w:rsidRPr="00263246">
        <w:rPr>
          <w:rFonts w:eastAsia="Times New Roman" w:cs="DecoType Naskh"/>
          <w:bCs/>
          <w:color w:val="auto"/>
          <w:kern w:val="0"/>
          <w:szCs w:val="26"/>
          <w14:ligatures w14:val="none"/>
        </w:rPr>
        <w:t>The Supplementary and Crystallization Hypothesis</w:t>
      </w:r>
      <w:r w:rsidRPr="00263246">
        <w:rPr>
          <w:rFonts w:eastAsia="Times New Roman" w:cs="DecoType Naskh" w:hint="cs"/>
          <w:bCs/>
          <w:color w:val="auto"/>
          <w:kern w:val="0"/>
          <w:szCs w:val="26"/>
          <w:rtl/>
          <w14:ligatures w14:val="none"/>
        </w:rPr>
        <w:t>)</w:t>
      </w:r>
      <w:r w:rsidRPr="00263246">
        <w:rPr>
          <w:rFonts w:eastAsia="Times New Roman" w:cs="DecoType Naskh"/>
          <w:bCs/>
          <w:color w:val="auto"/>
          <w:kern w:val="0"/>
          <w:szCs w:val="26"/>
          <w:rtl/>
          <w14:ligatures w14:val="none"/>
        </w:rPr>
        <w:t xml:space="preserve"> </w:t>
      </w:r>
    </w:p>
    <w:p w14:paraId="7FDE915D"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قال عالم ألماني آخر اسمه هينريتش إيفالد</w:t>
      </w:r>
      <w:r w:rsidRPr="00263246">
        <w:rPr>
          <w:rFonts w:eastAsia="Times New Roman" w:cs="DecoType Naskh" w:hint="cs"/>
          <w:color w:val="auto"/>
          <w:kern w:val="0"/>
          <w:szCs w:val="26"/>
          <w:rtl/>
          <w14:ligatures w14:val="none"/>
        </w:rPr>
        <w:t xml:space="preserve"> </w:t>
      </w:r>
      <w:r w:rsidRPr="00263246">
        <w:rPr>
          <w:rFonts w:eastAsia="Times New Roman" w:cs="DecoType Naskh"/>
          <w:color w:val="auto"/>
          <w:kern w:val="0"/>
          <w:szCs w:val="26"/>
          <w14:ligatures w14:val="none"/>
        </w:rPr>
        <w:t>Heinrich Ewald</w:t>
      </w:r>
      <w:r w:rsidRPr="00263246">
        <w:rPr>
          <w:rFonts w:eastAsia="Times New Roman" w:cs="DecoType Naskh"/>
          <w:color w:val="auto"/>
          <w:kern w:val="0"/>
          <w:szCs w:val="26"/>
          <w:rtl/>
          <w:lang w:bidi="ar-JO"/>
          <w14:ligatures w14:val="none"/>
        </w:rPr>
        <w:t xml:space="preserve"> (حوالي 1823) بالقول إن المصدر الإيلوهيمي كان أساسياً في كتابة الأسفار الخمسة وسفر يشوع.</w:t>
      </w:r>
      <w:r w:rsidRPr="00263246">
        <w:rPr>
          <w:rFonts w:eastAsia="Times New Roman" w:cs="DecoType Naskh"/>
          <w:color w:val="auto"/>
          <w:kern w:val="0"/>
          <w:sz w:val="30"/>
          <w:szCs w:val="28"/>
          <w:vertAlign w:val="superscript"/>
          <w:rtl/>
          <w:lang w:bidi="ar-JO"/>
          <w14:ligatures w14:val="none"/>
        </w:rPr>
        <w:footnoteReference w:id="243"/>
      </w:r>
      <w:r w:rsidRPr="00263246">
        <w:rPr>
          <w:rFonts w:eastAsia="Times New Roman" w:cs="DecoType Naskh" w:hint="cs"/>
          <w:color w:val="auto"/>
          <w:kern w:val="0"/>
          <w:szCs w:val="26"/>
          <w:rtl/>
          <w:lang w:bidi="ar-JO"/>
          <w14:ligatures w14:val="none"/>
        </w:rPr>
        <w:t xml:space="preserve"> </w:t>
      </w:r>
      <w:r w:rsidRPr="00263246">
        <w:rPr>
          <w:rFonts w:eastAsia="Times New Roman" w:cs="DecoType Naskh"/>
          <w:color w:val="auto"/>
          <w:kern w:val="0"/>
          <w:szCs w:val="26"/>
          <w:rtl/>
          <w:lang w:bidi="ar-JO"/>
          <w14:ligatures w14:val="none"/>
        </w:rPr>
        <w:t xml:space="preserve"> ثم قال إن سفر يشوع أُلحق بإضافة أجزاء أقدم مثل الوصايا العشر.  وأخيراً تم وضع مجموعة مصنفة من المصادر (اليهودية في طبيعتها) في الوثيقة الإيلوهيمية.  وجوهر نظرية إيفالد هو أن الأسفار تعرّضت في فترات مختلفة إلى إعادة صياغة في كل مرّة أدمجت فيها إضافات جديدة.</w:t>
      </w:r>
    </w:p>
    <w:p w14:paraId="187BA010"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9B84247" w14:textId="77777777" w:rsidR="00263246" w:rsidRPr="00263246" w:rsidRDefault="00263246" w:rsidP="002D6C54">
      <w:pPr>
        <w:tabs>
          <w:tab w:val="left" w:pos="454"/>
        </w:tabs>
        <w:bidi/>
        <w:spacing w:after="60" w:line="240" w:lineRule="auto"/>
        <w:ind w:left="550" w:hanging="550"/>
        <w:jc w:val="both"/>
        <w:rPr>
          <w:rFonts w:eastAsia="Times New Roman" w:cs="DecoType Naskh"/>
          <w:bCs/>
          <w:color w:val="auto"/>
          <w:kern w:val="0"/>
          <w:szCs w:val="26"/>
          <w:rtl/>
          <w:lang w:bidi="ar-KW"/>
          <w14:ligatures w14:val="none"/>
        </w:rPr>
      </w:pPr>
      <w:r w:rsidRPr="00263246">
        <w:rPr>
          <w:rFonts w:eastAsia="Times New Roman" w:cs="DecoType Naskh"/>
          <w:bCs/>
          <w:color w:val="auto"/>
          <w:kern w:val="0"/>
          <w:szCs w:val="26"/>
          <w:rtl/>
          <w14:ligatures w14:val="none"/>
        </w:rPr>
        <w:t>د.</w:t>
      </w:r>
      <w:r w:rsidRPr="00263246">
        <w:rPr>
          <w:rFonts w:eastAsia="Times New Roman" w:cs="DecoType Naskh"/>
          <w:bCs/>
          <w:color w:val="auto"/>
          <w:kern w:val="0"/>
          <w:szCs w:val="26"/>
          <w:rtl/>
          <w14:ligatures w14:val="none"/>
        </w:rPr>
        <w:tab/>
        <w:t>الفرضية الوث</w:t>
      </w:r>
      <w:r w:rsidRPr="00263246">
        <w:rPr>
          <w:rFonts w:eastAsia="Times New Roman" w:cs="DecoType Naskh" w:hint="cs"/>
          <w:bCs/>
          <w:color w:val="auto"/>
          <w:kern w:val="0"/>
          <w:szCs w:val="26"/>
          <w:rtl/>
          <w14:ligatures w14:val="none"/>
        </w:rPr>
        <w:t>ائ</w:t>
      </w:r>
      <w:r w:rsidRPr="00263246">
        <w:rPr>
          <w:rFonts w:eastAsia="Times New Roman" w:cs="DecoType Naskh"/>
          <w:bCs/>
          <w:color w:val="auto"/>
          <w:kern w:val="0"/>
          <w:szCs w:val="26"/>
          <w:rtl/>
          <w14:ligatures w14:val="none"/>
        </w:rPr>
        <w:t xml:space="preserve">قية </w:t>
      </w:r>
      <w:r w:rsidRPr="00263246">
        <w:rPr>
          <w:rFonts w:eastAsia="Times New Roman" w:cs="DecoType Naskh"/>
          <w:bCs/>
          <w:color w:val="auto"/>
          <w:kern w:val="0"/>
          <w:szCs w:val="26"/>
          <w:rtl/>
          <w:lang w:bidi="ar-KW"/>
          <w14:ligatures w14:val="none"/>
        </w:rPr>
        <w:t>–</w:t>
      </w:r>
      <w:r w:rsidRPr="00263246">
        <w:rPr>
          <w:rFonts w:eastAsia="Times New Roman" w:cs="DecoType Naskh" w:hint="cs"/>
          <w:bCs/>
          <w:color w:val="auto"/>
          <w:kern w:val="0"/>
          <w:szCs w:val="26"/>
          <w:rtl/>
          <w:lang w:bidi="ar-KW"/>
          <w14:ligatures w14:val="none"/>
        </w:rPr>
        <w:t xml:space="preserve"> (</w:t>
      </w:r>
      <w:r w:rsidRPr="00263246">
        <w:rPr>
          <w:rFonts w:eastAsia="Times New Roman" w:cs="DecoType Naskh"/>
          <w:bCs/>
          <w:color w:val="auto"/>
          <w:kern w:val="0"/>
          <w:szCs w:val="26"/>
          <w14:ligatures w14:val="none"/>
        </w:rPr>
        <w:t>The Documentary Hypothesis</w:t>
      </w:r>
      <w:r w:rsidRPr="00263246">
        <w:rPr>
          <w:rFonts w:eastAsia="Times New Roman" w:cs="DecoType Naskh" w:hint="cs"/>
          <w:bCs/>
          <w:color w:val="auto"/>
          <w:kern w:val="0"/>
          <w:szCs w:val="26"/>
          <w:rtl/>
          <w:lang w:bidi="ar-KW"/>
          <w14:ligatures w14:val="none"/>
        </w:rPr>
        <w:t>)</w:t>
      </w:r>
    </w:p>
    <w:p w14:paraId="0CD38E0A"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 xml:space="preserve">بدأ هيرمان هبفلد في 1853 في التشكيك بوحدة المصدر </w:t>
      </w:r>
      <w:r w:rsidRPr="00263246">
        <w:rPr>
          <w:rFonts w:eastAsia="Times New Roman" w:cs="DecoType Naskh" w:hint="cs"/>
          <w:color w:val="auto"/>
          <w:kern w:val="0"/>
          <w:szCs w:val="26"/>
          <w:rtl/>
          <w:lang w:bidi="ar-JO"/>
          <w14:ligatures w14:val="none"/>
        </w:rPr>
        <w:t>الذي يُدعى الإيلوهيمي</w:t>
      </w:r>
      <w:r w:rsidRPr="00263246">
        <w:rPr>
          <w:rFonts w:eastAsia="Times New Roman" w:cs="DecoType Naskh"/>
          <w:color w:val="auto"/>
          <w:kern w:val="0"/>
          <w:szCs w:val="26"/>
          <w:rtl/>
          <w:lang w:bidi="ar-JO"/>
          <w14:ligatures w14:val="none"/>
        </w:rPr>
        <w:t>، وخلص إلى أن هذا المصدر (إ) كان في واقع الأمر نتاج كاتبين (كان قد استخدم كلاهما تعبير إيلوهيم).</w:t>
      </w:r>
      <w:r w:rsidRPr="00263246">
        <w:rPr>
          <w:rFonts w:eastAsia="Times New Roman" w:cs="DecoType Naskh"/>
          <w:color w:val="auto"/>
          <w:kern w:val="0"/>
          <w:sz w:val="30"/>
          <w:szCs w:val="28"/>
          <w:vertAlign w:val="superscript"/>
          <w:rtl/>
          <w:lang w:bidi="ar-JO"/>
          <w14:ligatures w14:val="none"/>
        </w:rPr>
        <w:footnoteReference w:id="244"/>
      </w:r>
      <w:r w:rsidRPr="00263246">
        <w:rPr>
          <w:rFonts w:eastAsia="Times New Roman" w:cs="DecoType Naskh" w:hint="cs"/>
          <w:color w:val="auto"/>
          <w:kern w:val="0"/>
          <w:szCs w:val="26"/>
          <w:rtl/>
          <w:lang w:bidi="ar-JO"/>
          <w14:ligatures w14:val="none"/>
        </w:rPr>
        <w:t xml:space="preserve"> </w:t>
      </w:r>
      <w:r w:rsidRPr="00263246">
        <w:rPr>
          <w:rFonts w:eastAsia="Times New Roman" w:cs="DecoType Naskh"/>
          <w:color w:val="auto"/>
          <w:kern w:val="0"/>
          <w:szCs w:val="26"/>
          <w:rtl/>
          <w:lang w:bidi="ar-JO"/>
          <w14:ligatures w14:val="none"/>
        </w:rPr>
        <w:t xml:space="preserve"> وقد اعتقد هبفلد إن هذا المصدر الإيلوهيمي الثانوي يعكس ميولاً كهنوتية مميزة.  ومن هنا أشار هبفلد إلى هذا المصدر الإيلوهيمي الثانوي على أنه "ك" (المصدر الكهنوتي).</w:t>
      </w:r>
    </w:p>
    <w:p w14:paraId="2AFCCCDB"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 xml:space="preserve"> </w:t>
      </w:r>
    </w:p>
    <w:p w14:paraId="3F4BC261"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وباقتراح هبفلد هذا، صار لدينا الآن أربعة مصادر مقترحة إ</w:t>
      </w:r>
      <w:r w:rsidRPr="00263246">
        <w:rPr>
          <w:rFonts w:eastAsia="Times New Roman" w:cs="DecoType Naskh" w:hint="cs"/>
          <w:color w:val="auto"/>
          <w:kern w:val="0"/>
          <w:szCs w:val="26"/>
          <w:rtl/>
          <w:lang w:bidi="ar-JO"/>
          <w14:ligatures w14:val="none"/>
        </w:rPr>
        <w:t>يلوهيمية</w:t>
      </w:r>
      <w:r w:rsidRPr="00263246">
        <w:rPr>
          <w:rFonts w:eastAsia="Times New Roman" w:cs="DecoType Naskh"/>
          <w:color w:val="auto"/>
          <w:kern w:val="0"/>
          <w:szCs w:val="26"/>
          <w:rtl/>
          <w:lang w:bidi="ar-JO"/>
          <w14:ligatures w14:val="none"/>
        </w:rPr>
        <w:t xml:space="preserve">، ي- يهوويّة، ك- كهنوتية، ت- تثنوية.  وافترض هبفلد أن منقّحاً هو الذي كان وراء </w:t>
      </w:r>
      <w:r w:rsidRPr="00263246">
        <w:rPr>
          <w:rFonts w:eastAsia="Times New Roman" w:cs="DecoType Naskh" w:hint="cs"/>
          <w:color w:val="auto"/>
          <w:kern w:val="0"/>
          <w:szCs w:val="26"/>
          <w:rtl/>
          <w:lang w:bidi="ar-JO"/>
          <w14:ligatures w14:val="none"/>
        </w:rPr>
        <w:t>جمع و</w:t>
      </w:r>
      <w:r w:rsidRPr="00263246">
        <w:rPr>
          <w:rFonts w:eastAsia="Times New Roman" w:cs="DecoType Naskh"/>
          <w:color w:val="auto"/>
          <w:kern w:val="0"/>
          <w:szCs w:val="26"/>
          <w:rtl/>
          <w:lang w:bidi="ar-JO"/>
          <w14:ligatures w14:val="none"/>
        </w:rPr>
        <w:t>تلخيص المصادر الأربعة المنفصلة أصلاً لتكون على شكلها الحالي.  ووجود هذا "</w:t>
      </w:r>
      <w:r w:rsidRPr="00263246">
        <w:rPr>
          <w:rFonts w:eastAsia="Times New Roman" w:cs="DecoType Naskh" w:hint="cs"/>
          <w:color w:val="auto"/>
          <w:kern w:val="0"/>
          <w:szCs w:val="26"/>
          <w:rtl/>
          <w:lang w:bidi="ar-JO"/>
          <w14:ligatures w14:val="none"/>
        </w:rPr>
        <w:t>المنقِّح</w:t>
      </w:r>
      <w:r w:rsidRPr="00263246">
        <w:rPr>
          <w:rFonts w:eastAsia="Times New Roman" w:cs="DecoType Naskh"/>
          <w:color w:val="auto"/>
          <w:kern w:val="0"/>
          <w:szCs w:val="26"/>
          <w:rtl/>
          <w:lang w:bidi="ar-JO"/>
          <w14:ligatures w14:val="none"/>
        </w:rPr>
        <w:t>" المجهول مفيد للنظرية لأنه يصلح أساساً لتفسير مواضع الإشكال في النص، مثل الغموض النصّي، والصعوبات الترتيبية الزمنية والطوبوغرافية، إلخ.</w:t>
      </w:r>
    </w:p>
    <w:p w14:paraId="586CCE64"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 xml:space="preserve"> </w:t>
      </w:r>
    </w:p>
    <w:p w14:paraId="6136B349"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 xml:space="preserve">قام كارل هينرتش جراف في 1865 بمزيد من الدراسات للمصدر الكهنوتي (ك) الذي افترضه هبفلد.  غير أن نظريته أفادت أن المصدر الكهنوتي أشار إلى تاريخ كتابة لاحق </w:t>
      </w:r>
      <w:r w:rsidRPr="00263246">
        <w:rPr>
          <w:rFonts w:eastAsia="Times New Roman" w:cs="DecoType Naskh" w:hint="cs"/>
          <w:color w:val="auto"/>
          <w:kern w:val="0"/>
          <w:szCs w:val="26"/>
          <w:rtl/>
          <w:lang w:bidi="ar-JO"/>
          <w14:ligatures w14:val="none"/>
        </w:rPr>
        <w:t>لمحتويات</w:t>
      </w:r>
      <w:r w:rsidRPr="00263246">
        <w:rPr>
          <w:rFonts w:eastAsia="Times New Roman" w:cs="DecoType Naskh"/>
          <w:color w:val="auto"/>
          <w:kern w:val="0"/>
          <w:szCs w:val="26"/>
          <w:rtl/>
          <w:lang w:bidi="ar-JO"/>
          <w14:ligatures w14:val="none"/>
        </w:rPr>
        <w:t xml:space="preserve"> سفر التثنية.  وبما أنه كان يعتقد أن سفر التثنية يعود إلى زمن يوشيا (حوالي 622ق م)، فقد نسب جراف المصدر الكهنوتي (ك) إلى فترة ما بعد السبي وربطها بإذاعة الشريعة في زمن عزرا.</w:t>
      </w:r>
    </w:p>
    <w:p w14:paraId="0A88D303"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E13C540"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lastRenderedPageBreak/>
        <w:t xml:space="preserve">اعتقد باحث هولندي اسمه أبراهام كونن أن المصدر اليهووي (ي) كان أساسياً في أهميته للأسفار الخمسة، وليس كما كان يُعتقد سابقاً بشكل عام أن المصدر الإيلوهيمي (إ) </w:t>
      </w:r>
      <w:r w:rsidRPr="00263246">
        <w:rPr>
          <w:rFonts w:eastAsia="Times New Roman" w:cs="DecoType Naskh" w:hint="cs"/>
          <w:color w:val="auto"/>
          <w:kern w:val="0"/>
          <w:szCs w:val="26"/>
          <w:rtl/>
          <w:lang w:bidi="ar-JO"/>
          <w14:ligatures w14:val="none"/>
        </w:rPr>
        <w:t>هو الأساسي بالأسفار</w:t>
      </w:r>
      <w:r w:rsidRPr="00263246">
        <w:rPr>
          <w:rFonts w:eastAsia="Times New Roman" w:cs="DecoType Naskh"/>
          <w:color w:val="auto"/>
          <w:kern w:val="0"/>
          <w:szCs w:val="26"/>
          <w:rtl/>
          <w:lang w:bidi="ar-JO"/>
          <w14:ligatures w14:val="none"/>
        </w:rPr>
        <w:t xml:space="preserve"> الخمسة.  وهو بهذا عكس ترتيب كتابة الأسفار الخمسة وخلص إلى أن الترتيب هو: ي، إ، ت، ك.</w:t>
      </w:r>
    </w:p>
    <w:p w14:paraId="1782F3B5"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5CC16DC"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195C0ED"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917171D" w14:textId="442D9F48" w:rsidR="00263246" w:rsidRPr="00263246" w:rsidRDefault="00263246"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263246">
        <w:rPr>
          <w:rFonts w:eastAsia="Times New Roman" w:cs="DecoType Naskh"/>
          <w:bCs/>
          <w:color w:val="auto"/>
          <w:kern w:val="0"/>
          <w:szCs w:val="26"/>
          <w:rtl/>
          <w14:ligatures w14:val="none"/>
        </w:rPr>
        <w:t>هـ.</w:t>
      </w:r>
      <w:r w:rsidRPr="00263246">
        <w:rPr>
          <w:rFonts w:eastAsia="Times New Roman" w:cs="DecoType Naskh"/>
          <w:bCs/>
          <w:color w:val="auto"/>
          <w:kern w:val="0"/>
          <w:szCs w:val="26"/>
          <w:rtl/>
          <w14:ligatures w14:val="none"/>
        </w:rPr>
        <w:tab/>
      </w:r>
      <w:r w:rsidRPr="00263246">
        <w:rPr>
          <w:rFonts w:eastAsia="Times New Roman" w:cs="DecoType Naskh" w:hint="cs"/>
          <w:bCs/>
          <w:color w:val="auto"/>
          <w:kern w:val="0"/>
          <w:szCs w:val="26"/>
          <w:rtl/>
          <w14:ligatures w14:val="none"/>
        </w:rPr>
        <w:t>ي</w:t>
      </w:r>
      <w:r w:rsidRPr="00263246">
        <w:rPr>
          <w:rFonts w:eastAsia="Times New Roman" w:cs="DecoType Naskh"/>
          <w:bCs/>
          <w:color w:val="auto"/>
          <w:kern w:val="0"/>
          <w:szCs w:val="26"/>
          <w:rtl/>
          <w14:ligatures w14:val="none"/>
        </w:rPr>
        <w:t>وليوس ويله</w:t>
      </w:r>
      <w:r w:rsidRPr="00263246">
        <w:rPr>
          <w:rFonts w:eastAsia="Times New Roman" w:cs="DecoType Naskh" w:hint="cs"/>
          <w:bCs/>
          <w:color w:val="auto"/>
          <w:kern w:val="0"/>
          <w:szCs w:val="26"/>
          <w:rtl/>
          <w14:ligatures w14:val="none"/>
        </w:rPr>
        <w:t>ا</w:t>
      </w:r>
      <w:r w:rsidRPr="00263246">
        <w:rPr>
          <w:rFonts w:eastAsia="Times New Roman" w:cs="DecoType Naskh"/>
          <w:bCs/>
          <w:color w:val="auto"/>
          <w:kern w:val="0"/>
          <w:szCs w:val="26"/>
          <w:rtl/>
          <w14:ligatures w14:val="none"/>
        </w:rPr>
        <w:t>وسن.</w:t>
      </w:r>
    </w:p>
    <w:p w14:paraId="05DEBDA2" w14:textId="17684388"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 xml:space="preserve">ظهرت الصياغة الهامة للنظرية الأساسية في مؤلَّف جوليوس ويلاهوسن </w:t>
      </w:r>
      <w:r w:rsidRPr="00263246">
        <w:rPr>
          <w:rFonts w:eastAsia="Times New Roman" w:cs="DecoType Naskh"/>
          <w:color w:val="auto"/>
          <w:kern w:val="0"/>
          <w:szCs w:val="26"/>
          <w14:ligatures w14:val="none"/>
        </w:rPr>
        <w:t>Die Composition des Hexateuchs (1876-77</w:t>
      </w:r>
      <w:r w:rsidRPr="00263246">
        <w:rPr>
          <w:rFonts w:eastAsia="Times New Roman" w:cs="DecoType Naskh"/>
          <w:color w:val="auto"/>
          <w:kern w:val="0"/>
          <w:szCs w:val="26"/>
          <w:rtl/>
          <w:lang w:bidi="ar-JO"/>
          <w14:ligatures w14:val="none"/>
        </w:rPr>
        <w:t>).  وكان ولهاوسن تلميذاً لإيفالد.  يلخّص هاريسون ما توصّل إليه ولهاوسن فيقول</w:t>
      </w:r>
      <w:r w:rsidRPr="00263246">
        <w:rPr>
          <w:rFonts w:eastAsia="Times New Roman" w:cs="DecoType Naskh" w:hint="cs"/>
          <w:color w:val="auto"/>
          <w:kern w:val="0"/>
          <w:szCs w:val="26"/>
          <w:rtl/>
          <w:lang w:bidi="ar-JO"/>
          <w14:ligatures w14:val="none"/>
        </w:rPr>
        <w:t>:</w:t>
      </w:r>
    </w:p>
    <w:p w14:paraId="4D1D9A56" w14:textId="15F37D0B"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Pr>
          <w:rFonts w:eastAsia="Times New Roman" w:cs="Times New Roman"/>
          <w:b/>
          <w:iCs/>
          <w:noProof/>
          <w:color w:val="auto"/>
          <w:kern w:val="0"/>
          <w:sz w:val="22"/>
          <w:szCs w:val="24"/>
          <w14:ligatures w14:val="none"/>
        </w:rPr>
        <w:drawing>
          <wp:anchor distT="0" distB="0" distL="114300" distR="114300" simplePos="0" relativeHeight="251659264" behindDoc="0" locked="0" layoutInCell="1" allowOverlap="1" wp14:anchorId="2E46F4FB" wp14:editId="7BDE3B61">
            <wp:simplePos x="0" y="0"/>
            <wp:positionH relativeFrom="column">
              <wp:posOffset>38100</wp:posOffset>
            </wp:positionH>
            <wp:positionV relativeFrom="paragraph">
              <wp:posOffset>92075</wp:posOffset>
            </wp:positionV>
            <wp:extent cx="1143000" cy="1654810"/>
            <wp:effectExtent l="0" t="0" r="0" b="0"/>
            <wp:wrapSquare wrapText="bothSides"/>
            <wp:docPr id="1371246627" name="Picture 6" descr="A person with a beard and mustach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246627" name="Picture 6" descr="A person with a beard and mustache&#10;&#10;Description automatically generated"/>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143000" cy="1654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63246">
        <w:rPr>
          <w:rFonts w:eastAsia="Times New Roman" w:cs="DecoType Naskh"/>
          <w:color w:val="auto"/>
          <w:kern w:val="0"/>
          <w:szCs w:val="26"/>
          <w:rtl/>
          <w:lang w:bidi="ar-JO"/>
          <w14:ligatures w14:val="none"/>
        </w:rPr>
        <w:t xml:space="preserve">اعتبر ولهاوسن أن الأسفار الخمسة </w:t>
      </w:r>
      <w:r w:rsidRPr="00263246">
        <w:rPr>
          <w:rFonts w:eastAsia="Times New Roman" w:cs="DecoType Naskh" w:hint="cs"/>
          <w:color w:val="auto"/>
          <w:kern w:val="0"/>
          <w:szCs w:val="26"/>
          <w:rtl/>
          <w:lang w:bidi="ar-JO"/>
          <w14:ligatures w14:val="none"/>
        </w:rPr>
        <w:t>ذات أصل</w:t>
      </w:r>
      <w:r w:rsidRPr="00263246">
        <w:rPr>
          <w:rFonts w:eastAsia="Times New Roman" w:cs="DecoType Naskh"/>
          <w:color w:val="auto"/>
          <w:kern w:val="0"/>
          <w:szCs w:val="26"/>
          <w:rtl/>
          <w:lang w:bidi="ar-JO"/>
          <w14:ligatures w14:val="none"/>
        </w:rPr>
        <w:t xml:space="preserve"> مركّب، حيث تتألف من مصدر يهووي (ي) يعود إلى القرن التاسع ق م، ووثيقة إيلوهيمية (إ) </w:t>
      </w:r>
      <w:r w:rsidRPr="00263246">
        <w:rPr>
          <w:rFonts w:eastAsia="Times New Roman" w:cs="DecoType Naskh" w:hint="cs"/>
          <w:color w:val="auto"/>
          <w:kern w:val="0"/>
          <w:szCs w:val="26"/>
          <w:rtl/>
          <w:lang w:bidi="ar-JO"/>
          <w14:ligatures w14:val="none"/>
        </w:rPr>
        <w:t xml:space="preserve">مستقلة </w:t>
      </w:r>
      <w:r w:rsidRPr="00263246">
        <w:rPr>
          <w:rFonts w:eastAsia="Times New Roman" w:cs="DecoType Naskh"/>
          <w:color w:val="auto"/>
          <w:kern w:val="0"/>
          <w:szCs w:val="26"/>
          <w:rtl/>
          <w:lang w:bidi="ar-JO"/>
          <w14:ligatures w14:val="none"/>
        </w:rPr>
        <w:t xml:space="preserve">تعود إلى القرن الثامن ق م، </w:t>
      </w:r>
      <w:r w:rsidRPr="00263246">
        <w:rPr>
          <w:rFonts w:eastAsia="Times New Roman" w:cs="DecoType Naskh" w:hint="cs"/>
          <w:color w:val="auto"/>
          <w:kern w:val="0"/>
          <w:szCs w:val="26"/>
          <w:rtl/>
          <w:lang w:bidi="ar-JO"/>
          <w14:ligatures w14:val="none"/>
        </w:rPr>
        <w:t>والمحتوى</w:t>
      </w:r>
      <w:r w:rsidRPr="00263246">
        <w:rPr>
          <w:rFonts w:eastAsia="Times New Roman" w:cs="DecoType Naskh"/>
          <w:color w:val="auto"/>
          <w:kern w:val="0"/>
          <w:szCs w:val="26"/>
          <w:rtl/>
          <w:lang w:bidi="ar-JO"/>
          <w14:ligatures w14:val="none"/>
        </w:rPr>
        <w:t xml:space="preserve"> الأساسي لسفر التثنية (ت) الذي </w:t>
      </w:r>
      <w:r w:rsidRPr="00263246">
        <w:rPr>
          <w:rFonts w:eastAsia="Times New Roman" w:cs="DecoType Naskh" w:hint="cs"/>
          <w:color w:val="auto"/>
          <w:kern w:val="0"/>
          <w:szCs w:val="26"/>
          <w:rtl/>
          <w:lang w:bidi="ar-JO"/>
          <w14:ligatures w14:val="none"/>
        </w:rPr>
        <w:t>نُسِب</w:t>
      </w:r>
      <w:r w:rsidRPr="00263246">
        <w:rPr>
          <w:rFonts w:eastAsia="Times New Roman" w:cs="DecoType Naskh"/>
          <w:color w:val="auto"/>
          <w:kern w:val="0"/>
          <w:szCs w:val="26"/>
          <w:rtl/>
          <w:lang w:bidi="ar-JO"/>
          <w14:ligatures w14:val="none"/>
        </w:rPr>
        <w:t xml:space="preserve"> إلى زمن الملك يوشيا (640/39-609ق م، ومصدر كهنوتي (ك) يعود إلى القرن الخامس ق م.  قام الكاتب اليهودي بتجميع وثيقة سردية من مصدري (ي) و(إ)، وقد أُلحق بهذه الوثيقة سفر التثنية الذي أُضيف في زمن يوشيّا.  وأُضيف لاويين 17-26 إلى الوثيقة الكهنوتية في زمن ما بعد حزقيال.  أمّا بقية المادة الكهنوتية في المصدر الإيلوهيمي فقد جمعها عزرا.  وفي فترة لاحقة تم تنقيح هذه المادة كلّها وتحليلها لتشكل الأسفار الخمسة الموجودة بين أيدينا، ربما قبل 200ق م. </w:t>
      </w:r>
    </w:p>
    <w:p w14:paraId="03B6AEB6"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12592AF3"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263246">
        <w:rPr>
          <w:rFonts w:eastAsia="Times New Roman" w:cs="DecoType Naskh"/>
          <w:color w:val="auto"/>
          <w:kern w:val="0"/>
          <w:szCs w:val="26"/>
          <w:rtl/>
          <w:lang w:bidi="ar-JO"/>
          <w14:ligatures w14:val="none"/>
        </w:rPr>
        <w:t>تجد النتائج التي خلُص إليها ولهاوسن قبولاً بشكل</w:t>
      </w:r>
      <w:r w:rsidRPr="00263246">
        <w:rPr>
          <w:rFonts w:eastAsia="Times New Roman" w:cs="DecoType Naskh" w:hint="cs"/>
          <w:color w:val="auto"/>
          <w:kern w:val="0"/>
          <w:szCs w:val="26"/>
          <w:rtl/>
          <w:lang w:bidi="ar-JO"/>
          <w14:ligatures w14:val="none"/>
        </w:rPr>
        <w:t>ٍ</w:t>
      </w:r>
      <w:r w:rsidRPr="00263246">
        <w:rPr>
          <w:rFonts w:eastAsia="Times New Roman" w:cs="DecoType Naskh"/>
          <w:color w:val="auto"/>
          <w:kern w:val="0"/>
          <w:szCs w:val="26"/>
          <w:rtl/>
          <w:lang w:bidi="ar-JO"/>
          <w14:ligatures w14:val="none"/>
        </w:rPr>
        <w:t xml:space="preserve"> ما عند معظم الباحثين النقديين.  وعلى الرغم من استمرار ظهور نظريات جديدة، ومن ترك كثيرين من الباحثين المعاصرين (حتى باحثين نقديين) للتعبير الكلاسيكي عن نظرية "ي إ ت ك"، فإن تحليل المصادر ما زال افتراضاً عاماً لمصادر الأسفار الخمسة عند هؤلاء الباحثين.  وهذا هو الافتراض الأساسي، مثلاً، الذي يقوم عليه معجم </w:t>
      </w:r>
      <w:r w:rsidRPr="00263246">
        <w:rPr>
          <w:rFonts w:eastAsia="Times New Roman" w:cs="DecoType Naskh"/>
          <w:color w:val="auto"/>
          <w:kern w:val="0"/>
          <w:szCs w:val="26"/>
          <w14:ligatures w14:val="none"/>
        </w:rPr>
        <w:t>BDB</w:t>
      </w:r>
      <w:r w:rsidRPr="00263246">
        <w:rPr>
          <w:rFonts w:eastAsia="Times New Roman" w:cs="DecoType Naskh"/>
          <w:color w:val="auto"/>
          <w:kern w:val="0"/>
          <w:szCs w:val="26"/>
          <w:rtl/>
          <w:lang w:bidi="ar-JO"/>
          <w14:ligatures w14:val="none"/>
        </w:rPr>
        <w:t>.  أمّا الذين يتمسكون بنظرية المصادر الكلاسيكية "ي إ ت ك"، فإنهم بشكل عام يرجعون (ي) إلى 950ق م، ويرجعون (إ) إلى القرن التاسع ق م، ويُرجعون (ت) إلى حوالي 622ق م، ويرجعون (ك) إلى القرن الخامس أو أوائل القرن السادس ق م.</w:t>
      </w:r>
    </w:p>
    <w:p w14:paraId="01D173EA"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p>
    <w:p w14:paraId="5B587DFF" w14:textId="77777777" w:rsidR="00263246" w:rsidRPr="00263246" w:rsidRDefault="00263246"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263246">
        <w:rPr>
          <w:rFonts w:eastAsia="Times New Roman" w:cs="DecoType Naskh" w:hint="cs"/>
          <w:bCs/>
          <w:color w:val="auto"/>
          <w:kern w:val="0"/>
          <w:szCs w:val="28"/>
          <w:rtl/>
          <w:lang w:bidi="ar-JO"/>
          <w14:ligatures w14:val="none"/>
        </w:rPr>
        <w:t>3</w:t>
      </w:r>
      <w:r w:rsidRPr="00263246">
        <w:rPr>
          <w:rFonts w:eastAsia="Times New Roman" w:cs="DecoType Naskh"/>
          <w:bCs/>
          <w:color w:val="auto"/>
          <w:kern w:val="0"/>
          <w:szCs w:val="28"/>
          <w:rtl/>
          <w:lang w:bidi="ar-JO"/>
          <w14:ligatures w14:val="none"/>
        </w:rPr>
        <w:t>.</w:t>
      </w:r>
      <w:r w:rsidRPr="00263246">
        <w:rPr>
          <w:rFonts w:eastAsia="Times New Roman" w:cs="DecoType Naskh"/>
          <w:bCs/>
          <w:color w:val="auto"/>
          <w:kern w:val="0"/>
          <w:szCs w:val="28"/>
          <w:rtl/>
          <w:lang w:bidi="ar-JO"/>
          <w14:ligatures w14:val="none"/>
        </w:rPr>
        <w:tab/>
        <w:t xml:space="preserve">وصف وأفكار داعمة لهذا </w:t>
      </w:r>
      <w:r w:rsidRPr="00263246">
        <w:rPr>
          <w:rFonts w:eastAsia="Times New Roman" w:cs="DecoType Naskh" w:hint="cs"/>
          <w:bCs/>
          <w:color w:val="auto"/>
          <w:kern w:val="0"/>
          <w:szCs w:val="28"/>
          <w:rtl/>
          <w:lang w:bidi="ar-JO"/>
          <w14:ligatures w14:val="none"/>
        </w:rPr>
        <w:t>المنهج</w:t>
      </w:r>
    </w:p>
    <w:p w14:paraId="6CE67CFF" w14:textId="77777777" w:rsidR="00263246" w:rsidRPr="00263246" w:rsidRDefault="00263246"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263246">
        <w:rPr>
          <w:rFonts w:eastAsia="Times New Roman" w:cs="DecoType Naskh"/>
          <w:bCs/>
          <w:color w:val="auto"/>
          <w:kern w:val="0"/>
          <w:szCs w:val="26"/>
          <w:rtl/>
          <w14:ligatures w14:val="none"/>
        </w:rPr>
        <w:t>أ.</w:t>
      </w:r>
      <w:r w:rsidRPr="00263246">
        <w:rPr>
          <w:rFonts w:eastAsia="Times New Roman" w:cs="DecoType Naskh"/>
          <w:bCs/>
          <w:color w:val="auto"/>
          <w:kern w:val="0"/>
          <w:szCs w:val="26"/>
          <w:rtl/>
          <w14:ligatures w14:val="none"/>
        </w:rPr>
        <w:tab/>
        <w:t xml:space="preserve">الغرض من </w:t>
      </w:r>
      <w:r w:rsidRPr="00263246">
        <w:rPr>
          <w:rFonts w:eastAsia="Times New Roman" w:cs="DecoType Naskh" w:hint="cs"/>
          <w:bCs/>
          <w:color w:val="auto"/>
          <w:kern w:val="0"/>
          <w:szCs w:val="26"/>
          <w:rtl/>
          <w14:ligatures w14:val="none"/>
        </w:rPr>
        <w:t>المنهج</w:t>
      </w:r>
      <w:r w:rsidRPr="00263246">
        <w:rPr>
          <w:rFonts w:eastAsia="Times New Roman" w:cs="DecoType Naskh"/>
          <w:bCs/>
          <w:color w:val="auto"/>
          <w:kern w:val="0"/>
          <w:szCs w:val="26"/>
          <w:rtl/>
          <w14:ligatures w14:val="none"/>
        </w:rPr>
        <w:t xml:space="preserve"> </w:t>
      </w:r>
    </w:p>
    <w:p w14:paraId="61563FEA"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إن الغرض من تحليل المصدر الأدبي هو تحليل الأطوار الأدبية وراء الشكل الحالي للعهد القديم وذلك بفصل الوثائق المكتوبة سابقاً ووصفها وترتيبها زمنياً، وإعادة تركيب العملية التي جُمعت هذه الوثائق بموجبها لتشكّل العهد القديم كما هو لدينا.</w:t>
      </w:r>
    </w:p>
    <w:p w14:paraId="44DEE8D2"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696A0F3" w14:textId="77777777" w:rsidR="00263246" w:rsidRPr="00263246" w:rsidRDefault="00263246"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263246">
        <w:rPr>
          <w:rFonts w:eastAsia="Times New Roman" w:cs="DecoType Naskh"/>
          <w:bCs/>
          <w:color w:val="auto"/>
          <w:kern w:val="0"/>
          <w:szCs w:val="26"/>
          <w:rtl/>
          <w14:ligatures w14:val="none"/>
        </w:rPr>
        <w:t>ب.</w:t>
      </w:r>
      <w:r w:rsidRPr="00263246">
        <w:rPr>
          <w:rFonts w:eastAsia="Times New Roman" w:cs="DecoType Naskh"/>
          <w:bCs/>
          <w:color w:val="auto"/>
          <w:kern w:val="0"/>
          <w:szCs w:val="26"/>
          <w:rtl/>
          <w14:ligatures w14:val="none"/>
        </w:rPr>
        <w:tab/>
        <w:t xml:space="preserve">أفكار داعمة لهذا </w:t>
      </w:r>
      <w:r w:rsidRPr="00263246">
        <w:rPr>
          <w:rFonts w:eastAsia="Times New Roman" w:cs="DecoType Naskh" w:hint="cs"/>
          <w:bCs/>
          <w:color w:val="auto"/>
          <w:kern w:val="0"/>
          <w:szCs w:val="26"/>
          <w:rtl/>
          <w14:ligatures w14:val="none"/>
        </w:rPr>
        <w:t>المنهج</w:t>
      </w:r>
    </w:p>
    <w:p w14:paraId="4BA949E4"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1.</w:t>
      </w:r>
      <w:r w:rsidRPr="00263246">
        <w:rPr>
          <w:rFonts w:eastAsia="Times New Roman" w:cs="DecoType Naskh"/>
          <w:color w:val="auto"/>
          <w:kern w:val="0"/>
          <w:szCs w:val="26"/>
          <w:rtl/>
          <w:lang w:bidi="ar-JO"/>
          <w14:ligatures w14:val="none"/>
        </w:rPr>
        <w:tab/>
        <w:t>التغيّرات في الأسماء الإلهية</w:t>
      </w:r>
    </w:p>
    <w:p w14:paraId="388491D6"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يستخدم المصدر (ي) اسم يهوه، بينما يستخدم مصدر (ك) و(إ) اسم إيلوهيم (حتى خروج 3).</w:t>
      </w:r>
    </w:p>
    <w:p w14:paraId="50DB88B2"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1117F939"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5FC0AA0A"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7D483385"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2.</w:t>
      </w:r>
      <w:r w:rsidRPr="00263246">
        <w:rPr>
          <w:rFonts w:eastAsia="Times New Roman" w:cs="DecoType Naskh"/>
          <w:color w:val="auto"/>
          <w:kern w:val="0"/>
          <w:szCs w:val="26"/>
          <w:rtl/>
          <w:lang w:bidi="ar-JO"/>
          <w14:ligatures w14:val="none"/>
        </w:rPr>
        <w:tab/>
        <w:t>الاستخدام اللغوي</w:t>
      </w:r>
    </w:p>
    <w:p w14:paraId="55ED791D"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يقال أيضاً إن المصادر المختلفة تشير إلى الناس أو الأماكن بتعابير مختلفة.  فعلى سبيل المثال، يدعو مصدر (ي) جبل موسى سيناء بينما يدعوه مصدر (إ) حوريب.  يدعو مصدر (ي) سكان الأرض الكنعانيين، بينما يدعوهم مصدر (إ) الأموريين.</w:t>
      </w:r>
    </w:p>
    <w:p w14:paraId="124C3ADC"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117ABDED"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3.</w:t>
      </w:r>
      <w:r w:rsidRPr="00263246">
        <w:rPr>
          <w:rFonts w:eastAsia="Times New Roman" w:cs="DecoType Naskh"/>
          <w:color w:val="auto"/>
          <w:kern w:val="0"/>
          <w:szCs w:val="26"/>
          <w:rtl/>
          <w:lang w:bidi="ar-JO"/>
          <w14:ligatures w14:val="none"/>
        </w:rPr>
        <w:tab/>
        <w:t>تنوّع الأفكار</w:t>
      </w:r>
    </w:p>
    <w:p w14:paraId="2CD4E2D3" w14:textId="4544AD54"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لدى مقارنة البشر بالله، يركّز مصدر (ي) على قرب الله، بينما يركز (إ) على بعد الله.  وفي ما يتعلق بحديث الله إلى هاجر، يجعل مصدر (ي) الله يتحدث إليها وهو معها</w:t>
      </w:r>
      <w:r w:rsidRPr="00263246">
        <w:rPr>
          <w:rFonts w:eastAsia="Times New Roman" w:cs="DecoType Naskh" w:hint="cs"/>
          <w:color w:val="auto"/>
          <w:kern w:val="0"/>
          <w:szCs w:val="26"/>
          <w:rtl/>
          <w:lang w:bidi="ar-JO"/>
          <w14:ligatures w14:val="none"/>
        </w:rPr>
        <w:t xml:space="preserve"> حاضرٌ (تكوين 16: 7)</w:t>
      </w:r>
      <w:r w:rsidRPr="00263246">
        <w:rPr>
          <w:rFonts w:eastAsia="Times New Roman" w:cs="DecoType Naskh"/>
          <w:color w:val="auto"/>
          <w:kern w:val="0"/>
          <w:szCs w:val="26"/>
          <w:rtl/>
          <w:lang w:bidi="ar-JO"/>
          <w14:ligatures w14:val="none"/>
        </w:rPr>
        <w:t>؛ أمّا في مصدر (إ) فيتحدث الله إلى هاجر من السماء</w:t>
      </w:r>
      <w:r w:rsidRPr="00263246">
        <w:rPr>
          <w:rFonts w:eastAsia="Times New Roman" w:cs="DecoType Naskh" w:hint="cs"/>
          <w:color w:val="auto"/>
          <w:kern w:val="0"/>
          <w:szCs w:val="26"/>
          <w:rtl/>
          <w:lang w:bidi="ar-JO"/>
          <w14:ligatures w14:val="none"/>
        </w:rPr>
        <w:t xml:space="preserve"> (تكوين 21: 7)</w:t>
      </w:r>
      <w:r w:rsidRPr="00263246">
        <w:rPr>
          <w:rFonts w:eastAsia="Times New Roman" w:cs="DecoType Naskh"/>
          <w:color w:val="auto"/>
          <w:kern w:val="0"/>
          <w:szCs w:val="26"/>
          <w:rtl/>
          <w:lang w:bidi="ar-JO"/>
          <w14:ligatures w14:val="none"/>
        </w:rPr>
        <w:t xml:space="preserve">.  وعندما يظهر يهوه، يعطي مصدر (ي) الانطباع أن البشر ليسوا خائفين (خروج 3: 5)، في حين يوحي (إ) أن البشر خائفون (خروج 3: 6).  وفي ما يتعلق بالمسائل الأخلاقية، يدّعي مثل هؤلاء الباحثين أن مصدر (ي) ليس حسّاساً </w:t>
      </w:r>
      <w:r w:rsidRPr="00263246">
        <w:rPr>
          <w:rFonts w:eastAsia="Times New Roman" w:cs="DecoType Naskh" w:hint="cs"/>
          <w:color w:val="auto"/>
          <w:kern w:val="0"/>
          <w:szCs w:val="26"/>
          <w:rtl/>
          <w:lang w:bidi="ar-JO"/>
          <w14:ligatures w14:val="none"/>
        </w:rPr>
        <w:t>نحو المسائل الأخلاقية (تكوين 12: 10-13)، بينما المصدر (إ) حساس نحوها (تكوين 20: 12 فصاعداً).</w:t>
      </w:r>
    </w:p>
    <w:p w14:paraId="7E0E7531"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0BB2D004"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ويقال إن مصدر (ك) يقدّم مساهماته الخاصّة في الأسفار فهو يجعل الإنسان لا يقدّم الذبائح إلاّ بعد إعطاء الشريعة في سيناء، في حين أن مصدري (ي) و(إ) يجعلان الذبائح تقدّم من البداية إلى النهاية.  ويقال أيضاً إن مصدر (ك) يؤكّد على أمور معينة قبل الشريعة: السبت، وتَجنّب تناول الدم، واحترام الحياة، وممارسة الختان.</w:t>
      </w:r>
    </w:p>
    <w:p w14:paraId="65E2DCA1"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4B36E8A6"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4.</w:t>
      </w:r>
      <w:r w:rsidRPr="00263246">
        <w:rPr>
          <w:rFonts w:eastAsia="Times New Roman" w:cs="DecoType Naskh"/>
          <w:color w:val="auto"/>
          <w:kern w:val="0"/>
          <w:szCs w:val="26"/>
          <w:rtl/>
          <w:lang w:bidi="ar-JO"/>
          <w14:ligatures w14:val="none"/>
        </w:rPr>
        <w:tab/>
        <w:t>ظواهر أدبية</w:t>
      </w:r>
    </w:p>
    <w:p w14:paraId="1488122E"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أ.</w:t>
      </w:r>
      <w:r w:rsidRPr="00263246">
        <w:rPr>
          <w:rFonts w:eastAsia="Times New Roman" w:cs="DecoType Naskh"/>
          <w:color w:val="auto"/>
          <w:kern w:val="0"/>
          <w:szCs w:val="26"/>
          <w:rtl/>
          <w:lang w:bidi="ar-JO"/>
          <w14:ligatures w14:val="none"/>
        </w:rPr>
        <w:tab/>
        <w:t>الرواية المزدوجة: ويدل على هذا إعادة سرد نفس القصّة، مع بعض الاختلافات المفترضة.</w:t>
      </w:r>
    </w:p>
    <w:p w14:paraId="432E3B70"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 xml:space="preserve">ومن أمثلة ذلك: (1) عندما كذب إبراهيم حول سارة، مرة في مصر </w:t>
      </w:r>
      <w:r w:rsidRPr="00263246">
        <w:rPr>
          <w:rFonts w:eastAsia="Times New Roman" w:cs="DecoType Naskh" w:hint="cs"/>
          <w:color w:val="auto"/>
          <w:kern w:val="0"/>
          <w:szCs w:val="26"/>
          <w:rtl/>
          <w:lang w:bidi="ar-JO"/>
          <w14:ligatures w14:val="none"/>
        </w:rPr>
        <w:t xml:space="preserve">(تكوين 12: 11) </w:t>
      </w:r>
      <w:r w:rsidRPr="00263246">
        <w:rPr>
          <w:rFonts w:eastAsia="Times New Roman" w:cs="DecoType Naskh"/>
          <w:color w:val="auto"/>
          <w:kern w:val="0"/>
          <w:szCs w:val="26"/>
          <w:rtl/>
          <w:lang w:bidi="ar-JO"/>
          <w14:ligatures w14:val="none"/>
        </w:rPr>
        <w:t xml:space="preserve">ومرّة أخرى في </w:t>
      </w:r>
      <w:r w:rsidRPr="00263246">
        <w:rPr>
          <w:rFonts w:eastAsia="Times New Roman" w:cs="DecoType Naskh" w:hint="cs"/>
          <w:color w:val="auto"/>
          <w:kern w:val="0"/>
          <w:szCs w:val="26"/>
          <w:rtl/>
          <w:lang w:bidi="ar-JO"/>
          <w14:ligatures w14:val="none"/>
        </w:rPr>
        <w:t>فلسطين (تكوين 20)</w:t>
      </w:r>
      <w:r w:rsidRPr="00263246">
        <w:rPr>
          <w:rFonts w:eastAsia="Times New Roman" w:cs="DecoType Naskh"/>
          <w:color w:val="auto"/>
          <w:kern w:val="0"/>
          <w:szCs w:val="26"/>
          <w:rtl/>
          <w:lang w:bidi="ar-JO"/>
          <w14:ligatures w14:val="none"/>
        </w:rPr>
        <w:t>؛ (2) قصّة هاجر التي يقدّمها لنا المصدر (ي) في تكوين 16 والمصدر (إ) في تكوين 21، (3) تسجيل الوصايا العشر من المصدر (ي) في خروج 34 ومن المصدر (إ) في خروج 20.</w:t>
      </w:r>
    </w:p>
    <w:p w14:paraId="5FAB1186"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88"/>
        <w:jc w:val="both"/>
        <w:rPr>
          <w:rFonts w:eastAsia="Times New Roman" w:cs="DecoType Naskh"/>
          <w:color w:val="auto"/>
          <w:kern w:val="0"/>
          <w:szCs w:val="26"/>
          <w:rtl/>
          <w:lang w:bidi="ar-JO"/>
          <w14:ligatures w14:val="none"/>
        </w:rPr>
      </w:pPr>
    </w:p>
    <w:p w14:paraId="40CC39B7" w14:textId="77777777" w:rsidR="00263246" w:rsidRPr="00263246" w:rsidRDefault="00263246" w:rsidP="002D6C54">
      <w:pPr>
        <w:numPr>
          <w:ilvl w:val="0"/>
          <w:numId w:val="31"/>
        </w:numPr>
        <w:tabs>
          <w:tab w:val="left" w:pos="550"/>
          <w:tab w:val="left" w:pos="1100"/>
          <w:tab w:val="left" w:pos="1650"/>
          <w:tab w:val="left" w:pos="2200"/>
          <w:tab w:val="left" w:pos="2750"/>
          <w:tab w:val="left" w:pos="3300"/>
          <w:tab w:val="left" w:pos="3850"/>
          <w:tab w:val="left" w:pos="4400"/>
        </w:tabs>
        <w:bidi/>
        <w:spacing w:after="0" w:line="240" w:lineRule="auto"/>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 xml:space="preserve">اللجوء إلى تفسير قصة بإدخال مادّة </w:t>
      </w:r>
      <w:r w:rsidRPr="00263246">
        <w:rPr>
          <w:rFonts w:eastAsia="Times New Roman" w:cs="DecoType Naskh" w:hint="cs"/>
          <w:color w:val="auto"/>
          <w:kern w:val="0"/>
          <w:szCs w:val="26"/>
          <w:rtl/>
          <w:lang w:bidi="ar-JO"/>
          <w14:ligatures w14:val="none"/>
        </w:rPr>
        <w:t>خارجية</w:t>
      </w:r>
      <w:r w:rsidRPr="00263246">
        <w:rPr>
          <w:rFonts w:eastAsia="Times New Roman" w:cs="DecoType Naskh"/>
          <w:color w:val="auto"/>
          <w:kern w:val="0"/>
          <w:szCs w:val="26"/>
          <w:rtl/>
          <w:lang w:bidi="ar-JO"/>
          <w14:ligatures w14:val="none"/>
        </w:rPr>
        <w:t>.</w:t>
      </w:r>
    </w:p>
    <w:p w14:paraId="75CEFADE"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207B0B3D"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جـ.</w:t>
      </w:r>
      <w:r w:rsidRPr="00263246">
        <w:rPr>
          <w:rFonts w:eastAsia="Times New Roman" w:cs="DecoType Naskh"/>
          <w:color w:val="auto"/>
          <w:kern w:val="0"/>
          <w:szCs w:val="26"/>
          <w:rtl/>
          <w:lang w:bidi="ar-JO"/>
          <w14:ligatures w14:val="none"/>
        </w:rPr>
        <w:tab/>
        <w:t>الاستئناف اللاحق لخيط مقطوع (استئناف القصة فيما بعد)</w:t>
      </w:r>
      <w:r w:rsidRPr="00263246">
        <w:rPr>
          <w:rFonts w:eastAsia="Times New Roman" w:cs="DecoType Naskh" w:hint="cs"/>
          <w:color w:val="auto"/>
          <w:kern w:val="0"/>
          <w:szCs w:val="26"/>
          <w:rtl/>
          <w:lang w:bidi="ar-JO"/>
          <w14:ligatures w14:val="none"/>
        </w:rPr>
        <w:t>.</w:t>
      </w:r>
    </w:p>
    <w:p w14:paraId="2B6AEEEA"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p>
    <w:p w14:paraId="6059B253"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p>
    <w:p w14:paraId="6C1B0B97" w14:textId="77777777" w:rsidR="00263246" w:rsidRPr="00263246" w:rsidRDefault="00263246"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263246">
        <w:rPr>
          <w:rFonts w:eastAsia="Times New Roman" w:cs="DecoType Naskh" w:hint="cs"/>
          <w:bCs/>
          <w:color w:val="auto"/>
          <w:kern w:val="0"/>
          <w:szCs w:val="28"/>
          <w:rtl/>
          <w:lang w:bidi="ar-JO"/>
          <w14:ligatures w14:val="none"/>
        </w:rPr>
        <w:t>4</w:t>
      </w:r>
      <w:r w:rsidRPr="00263246">
        <w:rPr>
          <w:rFonts w:eastAsia="Times New Roman" w:cs="DecoType Naskh"/>
          <w:bCs/>
          <w:color w:val="auto"/>
          <w:kern w:val="0"/>
          <w:szCs w:val="28"/>
          <w:rtl/>
          <w:lang w:bidi="ar-JO"/>
          <w14:ligatures w14:val="none"/>
        </w:rPr>
        <w:t>.</w:t>
      </w:r>
      <w:r w:rsidRPr="00263246">
        <w:rPr>
          <w:rFonts w:eastAsia="Times New Roman" w:cs="DecoType Naskh"/>
          <w:bCs/>
          <w:color w:val="auto"/>
          <w:kern w:val="0"/>
          <w:szCs w:val="28"/>
          <w:rtl/>
          <w:lang w:bidi="ar-JO"/>
          <w14:ligatures w14:val="none"/>
        </w:rPr>
        <w:tab/>
        <w:t xml:space="preserve">تقويم </w:t>
      </w:r>
      <w:r w:rsidRPr="00263246">
        <w:rPr>
          <w:rFonts w:eastAsia="Times New Roman" w:cs="DecoType Naskh" w:hint="cs"/>
          <w:bCs/>
          <w:color w:val="auto"/>
          <w:kern w:val="0"/>
          <w:szCs w:val="28"/>
          <w:rtl/>
          <w:lang w:bidi="ar-JO"/>
          <w14:ligatures w14:val="none"/>
        </w:rPr>
        <w:t>هذا المنهج</w:t>
      </w:r>
      <w:r w:rsidRPr="00263246">
        <w:rPr>
          <w:rFonts w:eastAsia="Times New Roman" w:cs="DecoType Naskh"/>
          <w:bCs/>
          <w:color w:val="auto"/>
          <w:kern w:val="0"/>
          <w:szCs w:val="28"/>
          <w:rtl/>
          <w:lang w:bidi="ar-JO"/>
          <w14:ligatures w14:val="none"/>
        </w:rPr>
        <w:t xml:space="preserve"> </w:t>
      </w:r>
    </w:p>
    <w:p w14:paraId="6498A035" w14:textId="77777777" w:rsidR="00263246" w:rsidRPr="00263246" w:rsidRDefault="00263246"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263246">
        <w:rPr>
          <w:rFonts w:eastAsia="Times New Roman" w:cs="DecoType Naskh"/>
          <w:bCs/>
          <w:color w:val="auto"/>
          <w:kern w:val="0"/>
          <w:szCs w:val="26"/>
          <w:rtl/>
          <w14:ligatures w14:val="none"/>
        </w:rPr>
        <w:t>أ.</w:t>
      </w:r>
      <w:r w:rsidRPr="00263246">
        <w:rPr>
          <w:rFonts w:eastAsia="Times New Roman" w:cs="DecoType Naskh"/>
          <w:bCs/>
          <w:color w:val="auto"/>
          <w:kern w:val="0"/>
          <w:szCs w:val="26"/>
          <w:rtl/>
          <w14:ligatures w14:val="none"/>
        </w:rPr>
        <w:tab/>
        <w:t xml:space="preserve">افتراض نظرة تطورية لديانة إسرائيل </w:t>
      </w:r>
    </w:p>
    <w:p w14:paraId="4E46F0F0"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اعتمدت استنتاجات ولهاوسن المتعلقة بالفرضية الوث</w:t>
      </w:r>
      <w:r w:rsidRPr="00263246">
        <w:rPr>
          <w:rFonts w:eastAsia="Times New Roman" w:cs="DecoType Naskh" w:hint="cs"/>
          <w:color w:val="auto"/>
          <w:kern w:val="0"/>
          <w:szCs w:val="26"/>
          <w:rtl/>
          <w:lang w:bidi="ar-JO"/>
          <w14:ligatures w14:val="none"/>
        </w:rPr>
        <w:t>ائ</w:t>
      </w:r>
      <w:r w:rsidRPr="00263246">
        <w:rPr>
          <w:rFonts w:eastAsia="Times New Roman" w:cs="DecoType Naskh"/>
          <w:color w:val="auto"/>
          <w:kern w:val="0"/>
          <w:szCs w:val="26"/>
          <w:rtl/>
          <w:lang w:bidi="ar-JO"/>
          <w14:ligatures w14:val="none"/>
        </w:rPr>
        <w:t xml:space="preserve">قية على افتراض مسبق خاطئ ذي صلة بتاريخ إسرائيل.  فقد ارتكز منهجه على الفلسفة الألمانية لهيجل وتطبيق </w:t>
      </w:r>
      <w:r w:rsidRPr="00263246">
        <w:rPr>
          <w:rFonts w:eastAsia="Times New Roman" w:cs="DecoType Naskh" w:hint="cs"/>
          <w:color w:val="auto"/>
          <w:kern w:val="0"/>
          <w:szCs w:val="26"/>
          <w:rtl/>
          <w:lang w:bidi="ar-JO"/>
          <w14:ligatures w14:val="none"/>
        </w:rPr>
        <w:t>"</w:t>
      </w:r>
      <w:r w:rsidRPr="00263246">
        <w:rPr>
          <w:rFonts w:eastAsia="Times New Roman" w:cs="DecoType Naskh"/>
          <w:color w:val="auto"/>
          <w:kern w:val="0"/>
          <w:szCs w:val="26"/>
          <w:rtl/>
          <w:lang w:bidi="ar-JO"/>
          <w14:ligatures w14:val="none"/>
        </w:rPr>
        <w:t xml:space="preserve">مبدأ التطوّر"، أي أن ديانة إسرائيل </w:t>
      </w:r>
      <w:r w:rsidRPr="00263246">
        <w:rPr>
          <w:rFonts w:eastAsia="Times New Roman" w:cs="DecoType Naskh" w:hint="cs"/>
          <w:color w:val="auto"/>
          <w:kern w:val="0"/>
          <w:szCs w:val="26"/>
          <w:rtl/>
          <w:lang w:bidi="ar-JO"/>
          <w14:ligatures w14:val="none"/>
        </w:rPr>
        <w:t>تطوَّرت</w:t>
      </w:r>
      <w:r w:rsidRPr="00263246">
        <w:rPr>
          <w:rFonts w:eastAsia="Times New Roman" w:cs="DecoType Naskh"/>
          <w:color w:val="auto"/>
          <w:kern w:val="0"/>
          <w:szCs w:val="26"/>
          <w:rtl/>
          <w:lang w:bidi="ar-JO"/>
          <w14:ligatures w14:val="none"/>
        </w:rPr>
        <w:t xml:space="preserve"> من شكل بسيط إلى شكل أكثر تعقيداً نتيجة تفاعل أحداث متنوعة في التاريخ.  وقد افترض أن ديانة إسرائيل كانت عبادة فجّة الطبيعة في الأصل تدور حول عبادة إله واحد من بين آلهة كثيرين، مع وجود مراكز كثيرة للعبادة.  ثمّ </w:t>
      </w:r>
      <w:r w:rsidRPr="00263246">
        <w:rPr>
          <w:rFonts w:eastAsia="Times New Roman" w:cs="DecoType Naskh" w:hint="cs"/>
          <w:color w:val="auto"/>
          <w:kern w:val="0"/>
          <w:szCs w:val="26"/>
          <w:rtl/>
          <w:lang w:bidi="ar-JO"/>
          <w14:ligatures w14:val="none"/>
        </w:rPr>
        <w:t>قادت</w:t>
      </w:r>
      <w:r w:rsidRPr="00263246">
        <w:rPr>
          <w:rFonts w:eastAsia="Times New Roman" w:cs="DecoType Naskh"/>
          <w:color w:val="auto"/>
          <w:kern w:val="0"/>
          <w:szCs w:val="26"/>
          <w:rtl/>
          <w:lang w:bidi="ar-JO"/>
          <w14:ligatures w14:val="none"/>
        </w:rPr>
        <w:t xml:space="preserve"> الحركة النبويّة إلى المرحلة الكهنوتية بتوكيدها على </w:t>
      </w:r>
      <w:r w:rsidRPr="00263246">
        <w:rPr>
          <w:rFonts w:eastAsia="Times New Roman" w:cs="DecoType Naskh" w:hint="cs"/>
          <w:color w:val="auto"/>
          <w:kern w:val="0"/>
          <w:szCs w:val="26"/>
          <w:rtl/>
          <w14:ligatures w14:val="none"/>
        </w:rPr>
        <w:t xml:space="preserve">طقس </w:t>
      </w:r>
      <w:r w:rsidRPr="00263246">
        <w:rPr>
          <w:rFonts w:eastAsia="Times New Roman" w:cs="DecoType Naskh"/>
          <w:color w:val="auto"/>
          <w:kern w:val="0"/>
          <w:szCs w:val="26"/>
          <w:rtl/>
          <w:lang w:bidi="ar-JO"/>
          <w14:ligatures w14:val="none"/>
        </w:rPr>
        <w:t>العبادة الخارجية، وثمّ في هذه المرحلة اللاحقة تبنّي عبادة إله واحد-الوحدانية، وهكذا تمّت كتابة العناصر الوحدانية في الأسفار الخمسة في تاريخ متأخر كمحاولة لدعم وجهة النظر هذه، لا لأنها كانت موجودة منذ البداية.  وتفترض هذه النظرية أن التعاليم النبوية المتعلقة بوحدانية الله أدّت إلى مركزيّة العبادة الدينية في أورشليم.  يقول هاريسون</w:t>
      </w:r>
      <w:r w:rsidRPr="00263246">
        <w:rPr>
          <w:rFonts w:eastAsia="Times New Roman" w:cs="DecoType Naskh" w:hint="cs"/>
          <w:color w:val="auto"/>
          <w:kern w:val="0"/>
          <w:szCs w:val="26"/>
          <w:rtl/>
          <w:lang w:bidi="ar-JO"/>
          <w14:ligatures w14:val="none"/>
        </w:rPr>
        <w:t>:</w:t>
      </w:r>
    </w:p>
    <w:p w14:paraId="1295FF4E"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r w:rsidRPr="00263246">
        <w:rPr>
          <w:rFonts w:eastAsia="Times New Roman" w:cs="DecoType Naskh"/>
          <w:color w:val="auto"/>
          <w:kern w:val="0"/>
          <w:szCs w:val="26"/>
          <w:rtl/>
          <w:lang w:bidi="ar-JO"/>
          <w14:ligatures w14:val="none"/>
        </w:rPr>
        <w:t xml:space="preserve">ثمّ قام ولهاوسن بتطبيق استنتاجاته أن التشريع الموسوي كان القانون الأساسي لليهودية في فترة ما بعد السبي بدلاً من أن يكون نقطة البداية في تطوير </w:t>
      </w:r>
      <w:r w:rsidRPr="00263246">
        <w:rPr>
          <w:rFonts w:eastAsia="Times New Roman" w:cs="DecoType Naskh" w:hint="cs"/>
          <w:color w:val="auto"/>
          <w:kern w:val="0"/>
          <w:szCs w:val="26"/>
          <w:rtl/>
          <w:lang w:bidi="ar-JO"/>
          <w14:ligatures w14:val="none"/>
        </w:rPr>
        <w:t>العبادة</w:t>
      </w:r>
      <w:r w:rsidRPr="00263246">
        <w:rPr>
          <w:rFonts w:eastAsia="Times New Roman" w:cs="DecoType Naskh"/>
          <w:color w:val="auto"/>
          <w:kern w:val="0"/>
          <w:szCs w:val="26"/>
          <w:rtl/>
          <w:lang w:bidi="ar-JO"/>
          <w14:ligatures w14:val="none"/>
        </w:rPr>
        <w:t xml:space="preserve"> الدينية لبني إسرائيل، على إعادة تركيب للديانة العبرية.  </w:t>
      </w:r>
      <w:r w:rsidRPr="00263246">
        <w:rPr>
          <w:rFonts w:eastAsia="Times New Roman" w:cs="DecoType Naskh" w:hint="cs"/>
          <w:color w:val="auto"/>
          <w:kern w:val="0"/>
          <w:szCs w:val="26"/>
          <w:rtl/>
          <w:lang w:bidi="ar-JO"/>
          <w14:ligatures w14:val="none"/>
        </w:rPr>
        <w:t xml:space="preserve">وإذ </w:t>
      </w:r>
      <w:r w:rsidRPr="00263246">
        <w:rPr>
          <w:rFonts w:eastAsia="Times New Roman" w:cs="DecoType Naskh"/>
          <w:color w:val="auto"/>
          <w:kern w:val="0"/>
          <w:szCs w:val="26"/>
          <w:rtl/>
          <w:lang w:bidi="ar-JO"/>
          <w14:ligatures w14:val="none"/>
        </w:rPr>
        <w:t xml:space="preserve">رفض التفسيرات اللاهوتية الراهنة </w:t>
      </w:r>
      <w:r w:rsidRPr="00263246">
        <w:rPr>
          <w:rFonts w:eastAsia="Times New Roman" w:cs="DecoType Naskh" w:hint="cs"/>
          <w:color w:val="auto"/>
          <w:kern w:val="0"/>
          <w:szCs w:val="26"/>
          <w:rtl/>
          <w:lang w:bidi="ar-JO"/>
          <w14:ligatures w14:val="none"/>
        </w:rPr>
        <w:t>وتبنّى</w:t>
      </w:r>
      <w:r w:rsidRPr="00263246">
        <w:rPr>
          <w:rFonts w:eastAsia="Times New Roman" w:cs="DecoType Naskh"/>
          <w:color w:val="auto"/>
          <w:kern w:val="0"/>
          <w:szCs w:val="26"/>
          <w:rtl/>
          <w:lang w:bidi="ar-JO"/>
          <w14:ligatures w14:val="none"/>
        </w:rPr>
        <w:t xml:space="preserve"> مبدأي السببية (القول إن لكل سبب مسبِّباً) والتطوّر</w:t>
      </w:r>
      <w:r w:rsidRPr="00263246">
        <w:rPr>
          <w:rFonts w:eastAsia="Times New Roman" w:cs="DecoType Naskh" w:hint="cs"/>
          <w:color w:val="auto"/>
          <w:kern w:val="0"/>
          <w:szCs w:val="26"/>
          <w:rtl/>
          <w:lang w:bidi="ar-JO"/>
          <w14:ligatures w14:val="none"/>
        </w:rPr>
        <w:t xml:space="preserve"> الهيجليَّين</w:t>
      </w:r>
      <w:r w:rsidRPr="00263246">
        <w:rPr>
          <w:rFonts w:eastAsia="Times New Roman" w:cs="DecoType Naskh"/>
          <w:color w:val="auto"/>
          <w:kern w:val="0"/>
          <w:szCs w:val="26"/>
          <w:rtl/>
          <w:lang w:bidi="ar-JO"/>
          <w14:ligatures w14:val="none"/>
        </w:rPr>
        <w:t xml:space="preserve">، </w:t>
      </w:r>
      <w:r w:rsidRPr="00263246">
        <w:rPr>
          <w:rFonts w:eastAsia="Times New Roman" w:cs="DecoType Naskh" w:hint="cs"/>
          <w:color w:val="auto"/>
          <w:kern w:val="0"/>
          <w:szCs w:val="26"/>
          <w:rtl/>
          <w:lang w:bidi="ar-JO"/>
          <w14:ligatures w14:val="none"/>
        </w:rPr>
        <w:t>تخيَّل</w:t>
      </w:r>
      <w:r w:rsidRPr="00263246">
        <w:rPr>
          <w:rFonts w:eastAsia="Times New Roman" w:cs="DecoType Naskh"/>
          <w:color w:val="auto"/>
          <w:kern w:val="0"/>
          <w:szCs w:val="26"/>
          <w:rtl/>
          <w:lang w:bidi="ar-JO"/>
          <w14:ligatures w14:val="none"/>
        </w:rPr>
        <w:t xml:space="preserve"> النشاط الديني المبكّر لإسرائيل من منظور النوازع البدائية لطبيعة أرواحية (الاعتقاد أن </w:t>
      </w:r>
      <w:r w:rsidRPr="00263246">
        <w:rPr>
          <w:rFonts w:eastAsia="Times New Roman" w:cs="DecoType Naskh"/>
          <w:color w:val="auto"/>
          <w:kern w:val="0"/>
          <w:szCs w:val="26"/>
          <w:rtl/>
          <w:lang w:bidi="ar-JO"/>
          <w14:ligatures w14:val="none"/>
        </w:rPr>
        <w:lastRenderedPageBreak/>
        <w:t>لكل ما في الكون روحاً)؛ ولهذا اعتبر المصادر التي تحدّثت عن ديانة الآباء بصفتها توحيدية في طبيعتها غير تاريخية.</w:t>
      </w:r>
      <w:r w:rsidRPr="00263246">
        <w:rPr>
          <w:rFonts w:eastAsia="Times New Roman" w:cs="DecoType Naskh"/>
          <w:color w:val="auto"/>
          <w:kern w:val="0"/>
          <w:sz w:val="30"/>
          <w:szCs w:val="28"/>
          <w:vertAlign w:val="superscript"/>
          <w:rtl/>
          <w:lang w:bidi="ar-JO"/>
          <w14:ligatures w14:val="none"/>
        </w:rPr>
        <w:footnoteReference w:id="245"/>
      </w:r>
    </w:p>
    <w:p w14:paraId="1F701E31"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r w:rsidRPr="00263246">
        <w:rPr>
          <w:rFonts w:eastAsia="Times New Roman" w:cs="DecoType Naskh"/>
          <w:color w:val="auto"/>
          <w:kern w:val="0"/>
          <w:szCs w:val="26"/>
          <w:rtl/>
          <w:lang w:bidi="ar-JO"/>
          <w14:ligatures w14:val="none"/>
        </w:rPr>
        <w:t xml:space="preserve">ولا يتفق معظم الباحثين اليوم مع نظر ولهاوسن لتاريخ إسرائيل، لكن تأثيره مازال ملموساً في </w:t>
      </w:r>
      <w:r w:rsidRPr="00263246">
        <w:rPr>
          <w:rFonts w:eastAsia="Times New Roman" w:cs="DecoType Naskh" w:hint="cs"/>
          <w:color w:val="auto"/>
          <w:kern w:val="0"/>
          <w:szCs w:val="26"/>
          <w:rtl/>
          <w:lang w:bidi="ar-JO"/>
          <w14:ligatures w14:val="none"/>
        </w:rPr>
        <w:t>الرأي القائل بالتطور الديني في إسرائيل</w:t>
      </w:r>
      <w:r w:rsidRPr="00263246">
        <w:rPr>
          <w:rFonts w:eastAsia="Times New Roman" w:cs="DecoType Naskh"/>
          <w:color w:val="auto"/>
          <w:kern w:val="0"/>
          <w:szCs w:val="26"/>
          <w:rtl/>
          <w:lang w:bidi="ar-JO"/>
          <w14:ligatures w14:val="none"/>
        </w:rPr>
        <w:t>.</w:t>
      </w:r>
    </w:p>
    <w:p w14:paraId="2B4302E3"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14:ligatures w14:val="none"/>
        </w:rPr>
      </w:pPr>
    </w:p>
    <w:p w14:paraId="44D28413" w14:textId="77777777" w:rsidR="00263246" w:rsidRPr="00263246" w:rsidRDefault="00263246"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263246">
        <w:rPr>
          <w:rFonts w:eastAsia="Times New Roman" w:cs="DecoType Naskh"/>
          <w:bCs/>
          <w:color w:val="auto"/>
          <w:kern w:val="0"/>
          <w:szCs w:val="26"/>
          <w:rtl/>
          <w14:ligatures w14:val="none"/>
        </w:rPr>
        <w:t>ب.</w:t>
      </w:r>
      <w:r w:rsidRPr="00263246">
        <w:rPr>
          <w:rFonts w:eastAsia="Times New Roman" w:cs="DecoType Naskh"/>
          <w:bCs/>
          <w:color w:val="auto"/>
          <w:kern w:val="0"/>
          <w:szCs w:val="26"/>
          <w:rtl/>
          <w14:ligatures w14:val="none"/>
        </w:rPr>
        <w:tab/>
        <w:t>وجهة نظر غربية</w:t>
      </w:r>
    </w:p>
    <w:p w14:paraId="5B219CED"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إن أحد الأخطاء الكبير</w:t>
      </w:r>
      <w:r w:rsidRPr="00263246">
        <w:rPr>
          <w:rFonts w:eastAsia="Times New Roman" w:cs="DecoType Naskh" w:hint="cs"/>
          <w:color w:val="auto"/>
          <w:kern w:val="0"/>
          <w:szCs w:val="26"/>
          <w:rtl/>
          <w:lang w:bidi="ar-JO"/>
          <w14:ligatures w14:val="none"/>
        </w:rPr>
        <w:t>ة</w:t>
      </w:r>
      <w:r w:rsidRPr="00263246">
        <w:rPr>
          <w:rFonts w:eastAsia="Times New Roman" w:cs="DecoType Naskh"/>
          <w:color w:val="auto"/>
          <w:kern w:val="0"/>
          <w:szCs w:val="26"/>
          <w:rtl/>
          <w:lang w:bidi="ar-JO"/>
          <w14:ligatures w14:val="none"/>
        </w:rPr>
        <w:t xml:space="preserve"> في النظرية الوث</w:t>
      </w:r>
      <w:r w:rsidRPr="00263246">
        <w:rPr>
          <w:rFonts w:eastAsia="Times New Roman" w:cs="DecoType Naskh" w:hint="cs"/>
          <w:color w:val="auto"/>
          <w:kern w:val="0"/>
          <w:szCs w:val="26"/>
          <w:rtl/>
          <w:lang w:bidi="ar-JO"/>
          <w14:ligatures w14:val="none"/>
        </w:rPr>
        <w:t>ائ</w:t>
      </w:r>
      <w:r w:rsidRPr="00263246">
        <w:rPr>
          <w:rFonts w:eastAsia="Times New Roman" w:cs="DecoType Naskh"/>
          <w:color w:val="auto"/>
          <w:kern w:val="0"/>
          <w:szCs w:val="26"/>
          <w:rtl/>
          <w:lang w:bidi="ar-JO"/>
          <w14:ligatures w14:val="none"/>
        </w:rPr>
        <w:t>قية هو كل أسلوبها التفكيري.  إذ نجد أنفسنا أمام باحثين أوروبيين حديثين يحلّلون كتاباً كتب منذُ آلاف السنين من قبل كتّاب من الشرق الأدنى. ذكر كينيث أ. كتشن في محاضرة ألقاها عام 1965 أن "عدم التعامل مع العهد القديم بصفته غير أوروبي وغير حديث الأصل كان خطأً قاتلاً من الدرجة الأولى، وهو خطأ يكرره بشكل قاتل أيضاً كل خلفائه (أي</w:t>
      </w:r>
      <w:r w:rsidRPr="00263246">
        <w:rPr>
          <w:rFonts w:eastAsia="Times New Roman" w:cs="DecoType Naskh" w:hint="cs"/>
          <w:color w:val="auto"/>
          <w:kern w:val="0"/>
          <w:szCs w:val="26"/>
          <w:rtl/>
          <w:lang w:bidi="ar-JO"/>
          <w14:ligatures w14:val="none"/>
        </w:rPr>
        <w:t xml:space="preserve"> خلفاء</w:t>
      </w:r>
      <w:r w:rsidRPr="00263246">
        <w:rPr>
          <w:rFonts w:eastAsia="Times New Roman" w:cs="DecoType Naskh"/>
          <w:color w:val="auto"/>
          <w:kern w:val="0"/>
          <w:szCs w:val="26"/>
          <w:rtl/>
          <w:lang w:bidi="ar-JO"/>
          <w14:ligatures w14:val="none"/>
        </w:rPr>
        <w:t xml:space="preserve"> أستراك)."</w:t>
      </w:r>
    </w:p>
    <w:p w14:paraId="338E09A3"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0EA6E2C1"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3355AC8D" w14:textId="77777777" w:rsidR="00263246" w:rsidRPr="00263246" w:rsidRDefault="00263246"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263246">
        <w:rPr>
          <w:rFonts w:eastAsia="Times New Roman" w:cs="DecoType Naskh"/>
          <w:bCs/>
          <w:color w:val="auto"/>
          <w:kern w:val="0"/>
          <w:szCs w:val="26"/>
          <w:rtl/>
          <w14:ligatures w14:val="none"/>
        </w:rPr>
        <w:t>جـ.</w:t>
      </w:r>
      <w:r w:rsidRPr="00263246">
        <w:rPr>
          <w:rFonts w:eastAsia="Times New Roman" w:cs="DecoType Naskh"/>
          <w:bCs/>
          <w:color w:val="auto"/>
          <w:kern w:val="0"/>
          <w:szCs w:val="26"/>
          <w:rtl/>
          <w14:ligatures w14:val="none"/>
        </w:rPr>
        <w:tab/>
        <w:t>المقاييس الأدبية</w:t>
      </w:r>
    </w:p>
    <w:p w14:paraId="78C97E07"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هنالك الكثير مما يمكن أن يقال في مجال فحص المقاييس الأدبية نفسها، على الرغم من أن المجال لا يسمح بتقويم كامل لهذا الجانب في هذا البحث.  لكن النقاط التالية تمثّل نقاط الضعف في تلك النظرية</w:t>
      </w:r>
      <w:r w:rsidRPr="00263246">
        <w:rPr>
          <w:rFonts w:eastAsia="Times New Roman" w:cs="DecoType Naskh" w:hint="cs"/>
          <w:color w:val="auto"/>
          <w:kern w:val="0"/>
          <w:szCs w:val="26"/>
          <w:rtl/>
          <w:lang w:bidi="ar-JO"/>
          <w14:ligatures w14:val="none"/>
        </w:rPr>
        <w:t>:</w:t>
      </w:r>
    </w:p>
    <w:p w14:paraId="64F4C675"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1.</w:t>
      </w:r>
      <w:r w:rsidRPr="00263246">
        <w:rPr>
          <w:rFonts w:eastAsia="Times New Roman" w:cs="DecoType Naskh"/>
          <w:color w:val="auto"/>
          <w:kern w:val="0"/>
          <w:szCs w:val="26"/>
          <w:rtl/>
          <w:lang w:bidi="ar-JO"/>
          <w14:ligatures w14:val="none"/>
        </w:rPr>
        <w:tab/>
        <w:t>التعابير المتعددة للإشارة إلى الله</w:t>
      </w:r>
    </w:p>
    <w:p w14:paraId="1D6E5058"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 xml:space="preserve">يزعم بعضهم أن هنالك روايتين مختلفتين للخلق في تكوين 1-2، وأنهما جاءتا من كاتبين مختلفين تمّ دمج روايتهما معاً في وقت لاحق.  والدليل المفترض على هذا هو أن الرواية الأولى (1: 1-2: 3) تستخدم اسم "إيلوهيم" بينما تستخدم الرواية الثانية (2: 4 فصاعداً) اسم "يهوه".  غير أن من الصحيح تماماً القول إن هذا يمكن أن يكون عمل كاتب واحد أراد أن يقدّم سرداً تكميلياً لعملية الخلق، </w:t>
      </w:r>
      <w:r w:rsidRPr="00263246">
        <w:rPr>
          <w:rFonts w:eastAsia="Times New Roman" w:cs="DecoType Naskh" w:hint="cs"/>
          <w:color w:val="auto"/>
          <w:kern w:val="0"/>
          <w:szCs w:val="26"/>
          <w:rtl/>
          <w:lang w:bidi="ar-JO"/>
          <w14:ligatures w14:val="none"/>
        </w:rPr>
        <w:t>قاصداً</w:t>
      </w:r>
      <w:r w:rsidRPr="00263246">
        <w:rPr>
          <w:rFonts w:eastAsia="Times New Roman" w:cs="DecoType Naskh"/>
          <w:color w:val="auto"/>
          <w:kern w:val="0"/>
          <w:szCs w:val="26"/>
          <w:rtl/>
          <w:lang w:bidi="ar-JO"/>
          <w14:ligatures w14:val="none"/>
        </w:rPr>
        <w:t xml:space="preserve"> أن يؤكّد على جوانب مختلفة في كل رواية.  فالرواية الأولى تكشف كل الخليقة التي تُوِّجت بالإنسان، في حين أن الرواية الثانية تهدف إلى إظهار البيئة والخلفية الفريدتين لسقوط الإنسان.</w:t>
      </w:r>
    </w:p>
    <w:p w14:paraId="2C0D11A4"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0C6A99F9"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ومثل آخر على ذلك</w:t>
      </w:r>
      <w:r w:rsidRPr="00263246">
        <w:rPr>
          <w:rFonts w:eastAsia="Times New Roman" w:cs="DecoType Naskh" w:hint="cs"/>
          <w:color w:val="auto"/>
          <w:kern w:val="0"/>
          <w:szCs w:val="26"/>
          <w:rtl/>
          <w14:ligatures w14:val="none"/>
        </w:rPr>
        <w:t xml:space="preserve"> </w:t>
      </w:r>
      <w:r w:rsidRPr="00263246">
        <w:rPr>
          <w:rFonts w:eastAsia="Times New Roman" w:cs="DecoType Naskh"/>
          <w:color w:val="auto"/>
          <w:kern w:val="0"/>
          <w:szCs w:val="26"/>
          <w:rtl/>
          <w:lang w:bidi="ar-JO"/>
          <w14:ligatures w14:val="none"/>
        </w:rPr>
        <w:t xml:space="preserve">قد يكون الإعلان عن الاسم الإلهي يهوه في خروج 3: 13-16 وخروج 6: 2-3.  إذ يُنسب الأول إلى المصدر (إ) بينما يُنسب الثاني إلى المصدر (ك).  تقول خروج 6: 2-3، "أنا الرب. وأنا ظهرت لإبراهيم وإسحاق ويعقوب بأني الإله القادر على كل شيء.  وأمّا باسمي </w:t>
      </w:r>
      <w:r w:rsidRPr="00263246">
        <w:rPr>
          <w:rFonts w:eastAsia="Times New Roman" w:cs="DecoType Naskh" w:hint="cs"/>
          <w:color w:val="auto"/>
          <w:kern w:val="0"/>
          <w:szCs w:val="26"/>
          <w:rtl/>
          <w:lang w:bidi="ar-JO"/>
          <w14:ligatures w14:val="none"/>
        </w:rPr>
        <w:t>’</w:t>
      </w:r>
      <w:r w:rsidRPr="00263246">
        <w:rPr>
          <w:rFonts w:eastAsia="Times New Roman" w:cs="DecoType Naskh"/>
          <w:color w:val="auto"/>
          <w:kern w:val="0"/>
          <w:szCs w:val="26"/>
          <w:rtl/>
          <w:lang w:bidi="ar-JO"/>
          <w14:ligatures w14:val="none"/>
        </w:rPr>
        <w:t>يهوه</w:t>
      </w:r>
      <w:r w:rsidRPr="00263246">
        <w:rPr>
          <w:rFonts w:eastAsia="Times New Roman" w:cs="DecoType Naskh" w:hint="cs"/>
          <w:color w:val="auto"/>
          <w:kern w:val="0"/>
          <w:szCs w:val="26"/>
          <w:rtl/>
          <w:lang w:bidi="ar-JO"/>
          <w14:ligatures w14:val="none"/>
        </w:rPr>
        <w:t>,</w:t>
      </w:r>
      <w:r w:rsidRPr="00263246">
        <w:rPr>
          <w:rFonts w:eastAsia="Times New Roman" w:cs="DecoType Naskh"/>
          <w:color w:val="auto"/>
          <w:kern w:val="0"/>
          <w:szCs w:val="26"/>
          <w:rtl/>
          <w:lang w:bidi="ar-JO"/>
          <w14:ligatures w14:val="none"/>
        </w:rPr>
        <w:t xml:space="preserve"> فلم أُعرف عندهم." لكن هل يعني هذا أن الاسم نفسه "يهوه" لم يكن معروفاً سابقاً؟ إن التفسير الأفضل هو أن الله يقول إنه لم يكن معروفاً بالطبيعة التي يعبّر عنها اسم يهوه.  ومن هنا فإنه لا داعي لأن يرى المرء صراعاً بين الفقرتين وكأنهما جاءتا من مصدرين مستقلّين.</w:t>
      </w:r>
    </w:p>
    <w:p w14:paraId="70A18D51"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00B74E8C"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KW"/>
          <w14:ligatures w14:val="none"/>
        </w:rPr>
      </w:pPr>
      <w:r w:rsidRPr="00263246">
        <w:rPr>
          <w:rFonts w:eastAsia="Times New Roman" w:cs="DecoType Naskh"/>
          <w:color w:val="auto"/>
          <w:kern w:val="0"/>
          <w:szCs w:val="26"/>
          <w:rtl/>
          <w:lang w:bidi="ar-JO"/>
          <w14:ligatures w14:val="none"/>
        </w:rPr>
        <w:t xml:space="preserve">أود أن </w:t>
      </w:r>
      <w:r w:rsidRPr="00263246">
        <w:rPr>
          <w:rFonts w:eastAsia="Times New Roman" w:cs="DecoType Naskh" w:hint="cs"/>
          <w:color w:val="auto"/>
          <w:kern w:val="0"/>
          <w:szCs w:val="26"/>
          <w:rtl/>
          <w:lang w:bidi="ar-JO"/>
          <w14:ligatures w14:val="none"/>
        </w:rPr>
        <w:t>أُشير</w:t>
      </w:r>
      <w:r w:rsidRPr="00263246">
        <w:rPr>
          <w:rFonts w:eastAsia="Times New Roman" w:cs="DecoType Naskh"/>
          <w:color w:val="auto"/>
          <w:kern w:val="0"/>
          <w:szCs w:val="26"/>
          <w:rtl/>
          <w:lang w:bidi="ar-JO"/>
          <w14:ligatures w14:val="none"/>
        </w:rPr>
        <w:t xml:space="preserve"> أيضاً</w:t>
      </w:r>
      <w:r w:rsidRPr="00263246">
        <w:rPr>
          <w:rFonts w:eastAsia="Times New Roman" w:cs="DecoType Naskh" w:hint="cs"/>
          <w:color w:val="auto"/>
          <w:kern w:val="0"/>
          <w:szCs w:val="26"/>
          <w:rtl/>
          <w:lang w:bidi="ar-JO"/>
          <w14:ligatures w14:val="none"/>
        </w:rPr>
        <w:t xml:space="preserve"> إلى</w:t>
      </w:r>
      <w:r w:rsidRPr="00263246">
        <w:rPr>
          <w:rFonts w:eastAsia="Times New Roman" w:cs="DecoType Naskh"/>
          <w:color w:val="auto"/>
          <w:kern w:val="0"/>
          <w:szCs w:val="26"/>
          <w:rtl/>
          <w:lang w:bidi="ar-JO"/>
          <w14:ligatures w14:val="none"/>
        </w:rPr>
        <w:t xml:space="preserve"> أن الأسماء الإلهية ليست مجرّد مسمَّيات فارغة من المعنى، لكنها تؤكد على صفات مختلفة من صفات الله.</w:t>
      </w:r>
      <w:r w:rsidRPr="00263246">
        <w:rPr>
          <w:rFonts w:eastAsia="Times New Roman" w:cs="DecoType Naskh" w:hint="cs"/>
          <w:color w:val="auto"/>
          <w:kern w:val="0"/>
          <w:szCs w:val="26"/>
          <w:rtl/>
          <w:lang w:bidi="ar-JO"/>
          <w14:ligatures w14:val="none"/>
        </w:rPr>
        <w:t xml:space="preserve">  تُستخدم أسماء الله بحسب السياق الذي توجد فيه.  ولماذا لا تسمح نظري "ي إ ت ك" بشيءٍ من الاختلاف من أجل أهداف أدبية، في حين أن كل آداب الشرق الأدنى تسمح بذلك؟</w:t>
      </w:r>
      <w:r w:rsidRPr="00263246">
        <w:rPr>
          <w:rFonts w:eastAsia="Times New Roman" w:cs="DecoType Naskh"/>
          <w:color w:val="auto"/>
          <w:kern w:val="0"/>
          <w:szCs w:val="26"/>
          <w:rtl/>
          <w:lang w:bidi="ar-JO"/>
          <w14:ligatures w14:val="none"/>
        </w:rPr>
        <w:t xml:space="preserve"> </w:t>
      </w:r>
      <w:r w:rsidRPr="00263246">
        <w:rPr>
          <w:rFonts w:eastAsia="Times New Roman" w:cs="DecoType Naskh" w:hint="cs"/>
          <w:color w:val="auto"/>
          <w:kern w:val="0"/>
          <w:szCs w:val="26"/>
          <w:rtl/>
          <w:lang w:bidi="ar-JO"/>
          <w14:ligatures w14:val="none"/>
        </w:rPr>
        <w:t xml:space="preserve"> إن أوضح اعتراض هو عدم التوافق في استخدام الأسماء الإلهية كما توجد في "المصادر". </w:t>
      </w:r>
      <w:r w:rsidRPr="00263246">
        <w:rPr>
          <w:rFonts w:eastAsia="Times New Roman" w:cs="DecoType Naskh"/>
          <w:color w:val="auto"/>
          <w:kern w:val="0"/>
          <w:szCs w:val="26"/>
          <w:rtl/>
          <w:lang w:bidi="ar-JO"/>
          <w14:ligatures w14:val="none"/>
        </w:rPr>
        <w:t xml:space="preserve"> فعلى سبيل المثال، يظهر اسم يهوه ضمن المصدر (إ) في (تكوين 15: 1، 2، 7، 8، 20، 18؛ 22: 11، 14؛ 28: 17-22) وضمن المصدر (ك) أيضاً (تكوين 7: 16ب؛ 17: 1؛ 21: 16).  ويظهر اسم إيلوهيم في المصدر (ي) في (تكوين 2-3؛ 3: 1-5؛ 4: 25؛ </w:t>
      </w:r>
      <w:r w:rsidRPr="00263246">
        <w:rPr>
          <w:rFonts w:eastAsia="Times New Roman" w:cs="DecoType Naskh" w:hint="cs"/>
          <w:color w:val="auto"/>
          <w:kern w:val="0"/>
          <w:szCs w:val="26"/>
          <w:rtl/>
          <w:lang w:bidi="ar-JO"/>
          <w14:ligatures w14:val="none"/>
        </w:rPr>
        <w:t>7: 9</w:t>
      </w:r>
      <w:r w:rsidRPr="00263246">
        <w:rPr>
          <w:rFonts w:eastAsia="Times New Roman" w:cs="DecoType Naskh"/>
          <w:color w:val="auto"/>
          <w:kern w:val="0"/>
          <w:szCs w:val="26"/>
          <w:rtl/>
          <w:lang w:bidi="ar-JO"/>
          <w14:ligatures w14:val="none"/>
        </w:rPr>
        <w:t xml:space="preserve">؛ </w:t>
      </w:r>
      <w:r w:rsidRPr="00263246">
        <w:rPr>
          <w:rFonts w:eastAsia="Times New Roman" w:cs="DecoType Naskh" w:hint="cs"/>
          <w:color w:val="auto"/>
          <w:kern w:val="0"/>
          <w:szCs w:val="26"/>
          <w:rtl/>
          <w:lang w:bidi="ar-JO"/>
          <w14:ligatures w14:val="none"/>
        </w:rPr>
        <w:t>9: 27</w:t>
      </w:r>
      <w:r w:rsidRPr="00263246">
        <w:rPr>
          <w:rFonts w:eastAsia="Times New Roman" w:cs="DecoType Naskh"/>
          <w:color w:val="auto"/>
          <w:kern w:val="0"/>
          <w:szCs w:val="26"/>
          <w:rtl/>
          <w:lang w:bidi="ar-JO"/>
          <w14:ligatures w14:val="none"/>
        </w:rPr>
        <w:t>؛ 16: 13؛ 31: 50؛ 32: 9، 28-29).</w:t>
      </w:r>
    </w:p>
    <w:p w14:paraId="134CF68D"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KW"/>
          <w14:ligatures w14:val="none"/>
        </w:rPr>
      </w:pPr>
    </w:p>
    <w:p w14:paraId="0A9B40B7"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2.</w:t>
      </w:r>
      <w:r w:rsidRPr="00263246">
        <w:rPr>
          <w:rFonts w:eastAsia="Times New Roman" w:cs="DecoType Naskh"/>
          <w:color w:val="auto"/>
          <w:kern w:val="0"/>
          <w:szCs w:val="26"/>
          <w:rtl/>
          <w:lang w:bidi="ar-JO"/>
          <w14:ligatures w14:val="none"/>
        </w:rPr>
        <w:tab/>
        <w:t xml:space="preserve">المفردات </w:t>
      </w:r>
    </w:p>
    <w:p w14:paraId="010E6205"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lastRenderedPageBreak/>
        <w:t>يمكن أن يختلف القصد من استخدام الكلمات بسهولة مع اختلاف السياق.  ولهذا فإن الافتراض بأن كلمات معينة لا تنتمي إلاّ إلى وثيقة معينة فكرة ضعيفة.  ومرادفات الكلمات لا تكون مطلقة أيضاً، بل تختلف باختلاف القصد.</w:t>
      </w:r>
    </w:p>
    <w:p w14:paraId="1FD3181F"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3.</w:t>
      </w:r>
      <w:r w:rsidRPr="00263246">
        <w:rPr>
          <w:rFonts w:eastAsia="Times New Roman" w:cs="DecoType Naskh"/>
          <w:color w:val="auto"/>
          <w:kern w:val="0"/>
          <w:szCs w:val="26"/>
          <w:rtl/>
          <w:lang w:bidi="ar-JO"/>
          <w14:ligatures w14:val="none"/>
        </w:rPr>
        <w:tab/>
        <w:t>الأسلوب</w:t>
      </w:r>
    </w:p>
    <w:p w14:paraId="0051253C"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 xml:space="preserve">لدى تعاملنا مع الاختلافات في الأسلوب، يجب أن يكون واضحاً أن التغيّر في الأسلوب لا يشير بالضرورة إلى تغيّر الكاتب.  فقد يشير إلى تغيير في </w:t>
      </w:r>
      <w:r w:rsidRPr="00263246">
        <w:rPr>
          <w:rFonts w:eastAsia="Times New Roman" w:cs="DecoType Naskh" w:hint="cs"/>
          <w:color w:val="auto"/>
          <w:kern w:val="0"/>
          <w:szCs w:val="26"/>
          <w:rtl/>
          <w:lang w:bidi="ar-JO"/>
          <w14:ligatures w14:val="none"/>
        </w:rPr>
        <w:t>الموضوع الذي يتناوله</w:t>
      </w:r>
      <w:r w:rsidRPr="00263246">
        <w:rPr>
          <w:rFonts w:eastAsia="Times New Roman" w:cs="DecoType Naskh"/>
          <w:color w:val="auto"/>
          <w:kern w:val="0"/>
          <w:szCs w:val="26"/>
          <w:rtl/>
          <w:lang w:bidi="ar-JO"/>
          <w14:ligatures w14:val="none"/>
        </w:rPr>
        <w:t>.</w:t>
      </w:r>
    </w:p>
    <w:p w14:paraId="440E2C77"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6ECC9783"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4.</w:t>
      </w:r>
      <w:r w:rsidRPr="00263246">
        <w:rPr>
          <w:rFonts w:eastAsia="Times New Roman" w:cs="DecoType Naskh"/>
          <w:color w:val="auto"/>
          <w:kern w:val="0"/>
          <w:szCs w:val="26"/>
          <w:rtl/>
          <w:lang w:bidi="ar-JO"/>
          <w14:ligatures w14:val="none"/>
        </w:rPr>
        <w:tab/>
        <w:t>الرواية المزدوجة</w:t>
      </w:r>
    </w:p>
    <w:p w14:paraId="39DD735A"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ادّعى بعض الباحثين وجود روايات مزدوجة لنفس الحدث تم تدوينها بشكل منفصل لكي يدعموا زعمهم بوجود مصادر مختلفة.  غير أن هذا الادعاء ليس منطقياً، حيث إن الروايات قد تكون موجودة لغرض معيّن (مثلاً اسما يعقوب/إسرائيل في تكوين 32: 28 و35: 10).</w:t>
      </w:r>
    </w:p>
    <w:p w14:paraId="7F9F19C9" w14:textId="77777777" w:rsidR="00263246" w:rsidRPr="00263246" w:rsidRDefault="00263246" w:rsidP="002D6C54">
      <w:pPr>
        <w:tabs>
          <w:tab w:val="left" w:pos="454"/>
        </w:tabs>
        <w:bidi/>
        <w:spacing w:after="60" w:line="240" w:lineRule="auto"/>
        <w:jc w:val="both"/>
        <w:rPr>
          <w:rFonts w:eastAsia="Times New Roman" w:cs="DecoType Naskh"/>
          <w:bCs/>
          <w:color w:val="auto"/>
          <w:kern w:val="0"/>
          <w:szCs w:val="28"/>
          <w:rtl/>
          <w:lang w:bidi="ar-JO"/>
          <w14:ligatures w14:val="none"/>
        </w:rPr>
      </w:pPr>
    </w:p>
    <w:p w14:paraId="15AD28E9" w14:textId="77777777" w:rsidR="00263246" w:rsidRPr="00263246" w:rsidRDefault="00263246"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263246">
        <w:rPr>
          <w:rFonts w:eastAsia="Times New Roman" w:cs="DecoType Naskh" w:hint="cs"/>
          <w:bCs/>
          <w:color w:val="auto"/>
          <w:kern w:val="0"/>
          <w:szCs w:val="28"/>
          <w:rtl/>
          <w:lang w:bidi="ar-JO"/>
          <w14:ligatures w14:val="none"/>
        </w:rPr>
        <w:t>5</w:t>
      </w:r>
      <w:r w:rsidRPr="00263246">
        <w:rPr>
          <w:rFonts w:eastAsia="Times New Roman" w:cs="DecoType Naskh"/>
          <w:bCs/>
          <w:color w:val="auto"/>
          <w:kern w:val="0"/>
          <w:szCs w:val="28"/>
          <w:rtl/>
          <w:lang w:bidi="ar-JO"/>
          <w14:ligatures w14:val="none"/>
        </w:rPr>
        <w:t>.</w:t>
      </w:r>
      <w:r w:rsidRPr="00263246">
        <w:rPr>
          <w:rFonts w:eastAsia="Times New Roman" w:cs="DecoType Naskh"/>
          <w:bCs/>
          <w:color w:val="auto"/>
          <w:kern w:val="0"/>
          <w:szCs w:val="28"/>
          <w:rtl/>
          <w:lang w:bidi="ar-JO"/>
          <w14:ligatures w14:val="none"/>
        </w:rPr>
        <w:tab/>
        <w:t xml:space="preserve">تأثير </w:t>
      </w:r>
      <w:r w:rsidRPr="00263246">
        <w:rPr>
          <w:rFonts w:eastAsia="Times New Roman" w:cs="DecoType Naskh" w:hint="cs"/>
          <w:bCs/>
          <w:color w:val="auto"/>
          <w:kern w:val="0"/>
          <w:szCs w:val="28"/>
          <w:rtl/>
          <w:lang w:bidi="ar-JO"/>
          <w14:ligatures w14:val="none"/>
        </w:rPr>
        <w:t xml:space="preserve">هذه </w:t>
      </w:r>
      <w:r w:rsidRPr="00263246">
        <w:rPr>
          <w:rFonts w:eastAsia="Times New Roman" w:cs="DecoType Naskh"/>
          <w:bCs/>
          <w:color w:val="auto"/>
          <w:kern w:val="0"/>
          <w:szCs w:val="28"/>
          <w:rtl/>
          <w:lang w:bidi="ar-JO"/>
          <w14:ligatures w14:val="none"/>
        </w:rPr>
        <w:t xml:space="preserve">النظريات على الوحي والعصمة </w:t>
      </w:r>
    </w:p>
    <w:p w14:paraId="2F0733E9"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كما سبق أن ذكرت في بداية هذا البحث، فقد رفض معتنقو هذه النظرية من الباحثين أن يكون موسى هو كاتب الأسفار الخمسة.  غير أن القضية هنا ليست مجرد قضية المؤلف الحقيقي للأسفار الخمسة</w:t>
      </w:r>
      <w:r w:rsidRPr="00263246">
        <w:rPr>
          <w:rFonts w:eastAsia="Times New Roman" w:cs="DecoType Naskh" w:hint="cs"/>
          <w:color w:val="auto"/>
          <w:kern w:val="0"/>
          <w:szCs w:val="26"/>
          <w:rtl/>
          <w:lang w:bidi="ar-JO"/>
          <w14:ligatures w14:val="none"/>
        </w:rPr>
        <w:t>،</w:t>
      </w:r>
      <w:r w:rsidRPr="00263246">
        <w:rPr>
          <w:rFonts w:eastAsia="Times New Roman" w:cs="DecoType Naskh"/>
          <w:color w:val="auto"/>
          <w:kern w:val="0"/>
          <w:szCs w:val="26"/>
          <w:rtl/>
          <w:lang w:bidi="ar-JO"/>
          <w14:ligatures w14:val="none"/>
        </w:rPr>
        <w:t xml:space="preserve"> فالافتراض المسبق والاستنتاجات التي توصّلت إليها هذه النظرية تهاجم عقيدة عصمة الكتاب المقدس.  يضع هيربرت لفنجستون قائمة بعدد من نتائج هذه النظرية التي تشكّل تحدّياً للوحي.</w:t>
      </w:r>
      <w:r w:rsidRPr="00263246">
        <w:rPr>
          <w:rFonts w:eastAsia="Times New Roman" w:cs="DecoType Naskh"/>
          <w:color w:val="auto"/>
          <w:kern w:val="0"/>
          <w:sz w:val="30"/>
          <w:szCs w:val="28"/>
          <w:vertAlign w:val="superscript"/>
          <w:rtl/>
          <w:lang w:bidi="ar-JO"/>
          <w14:ligatures w14:val="none"/>
        </w:rPr>
        <w:footnoteReference w:id="246"/>
      </w:r>
    </w:p>
    <w:p w14:paraId="425F2D23"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58537A18"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1)</w:t>
      </w:r>
      <w:r w:rsidRPr="00263246">
        <w:rPr>
          <w:rFonts w:eastAsia="Times New Roman" w:cs="DecoType Naskh" w:hint="cs"/>
          <w:color w:val="auto"/>
          <w:kern w:val="0"/>
          <w:szCs w:val="26"/>
          <w:rtl/>
          <w:lang w:bidi="ar-JO"/>
          <w14:ligatures w14:val="none"/>
        </w:rPr>
        <w:tab/>
      </w:r>
      <w:r w:rsidRPr="00263246">
        <w:rPr>
          <w:rFonts w:eastAsia="Times New Roman" w:cs="DecoType Naskh"/>
          <w:color w:val="auto"/>
          <w:kern w:val="0"/>
          <w:szCs w:val="26"/>
          <w:rtl/>
          <w:lang w:bidi="ar-JO"/>
          <w14:ligatures w14:val="none"/>
        </w:rPr>
        <w:t>ترفض هذه النظرية كتابة موسى للأسفار الخمسة، ولا تعزو إلاّ جزءاً بسيطاً من هذه الأسفار إلى فترة موسى.</w:t>
      </w:r>
    </w:p>
    <w:p w14:paraId="157FD784"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2)</w:t>
      </w:r>
      <w:r w:rsidRPr="00263246">
        <w:rPr>
          <w:rFonts w:eastAsia="Times New Roman" w:cs="DecoType Naskh" w:hint="cs"/>
          <w:color w:val="auto"/>
          <w:kern w:val="0"/>
          <w:szCs w:val="26"/>
          <w:rtl/>
          <w:lang w:bidi="ar-JO"/>
          <w14:ligatures w14:val="none"/>
        </w:rPr>
        <w:tab/>
      </w:r>
      <w:r w:rsidRPr="00263246">
        <w:rPr>
          <w:rFonts w:eastAsia="Times New Roman" w:cs="DecoType Naskh"/>
          <w:color w:val="auto"/>
          <w:kern w:val="0"/>
          <w:szCs w:val="26"/>
          <w:rtl/>
          <w:lang w:bidi="ar-JO"/>
          <w14:ligatures w14:val="none"/>
        </w:rPr>
        <w:t>يعتبر كثير من الباحثين الذين يتبنّون وجهة نظر ولهاوسن أن الشخصيات المذكورة في الأسفار الخمسة لم يكونوا بشراً حقيقيّين – بل كانوا في أفضل الحالات أبطالاً رُفعوا إلى مستوى المثل الأعلى.</w:t>
      </w:r>
    </w:p>
    <w:p w14:paraId="647BB2E6"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3)</w:t>
      </w:r>
      <w:r w:rsidRPr="00263246">
        <w:rPr>
          <w:rFonts w:eastAsia="Times New Roman" w:cs="DecoType Naskh" w:hint="cs"/>
          <w:color w:val="auto"/>
          <w:kern w:val="0"/>
          <w:szCs w:val="26"/>
          <w:rtl/>
          <w:lang w:bidi="ar-JO"/>
          <w14:ligatures w14:val="none"/>
        </w:rPr>
        <w:tab/>
      </w:r>
      <w:r w:rsidRPr="00263246">
        <w:rPr>
          <w:rFonts w:eastAsia="Times New Roman" w:cs="DecoType Naskh"/>
          <w:color w:val="auto"/>
          <w:kern w:val="0"/>
          <w:szCs w:val="26"/>
          <w:rtl/>
          <w:lang w:bidi="ar-JO"/>
          <w14:ligatures w14:val="none"/>
        </w:rPr>
        <w:t>لا تقدّم لنا الأسفار الخمسة تاريخاً صحيحاً للأزمنة القديمة، لكنها تعكس تاريخ المملكة المنقسمة على مدى الجزء الأول من فترة ما بعد السبي.</w:t>
      </w:r>
    </w:p>
    <w:p w14:paraId="788B1A7C"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4)</w:t>
      </w:r>
      <w:r w:rsidRPr="00263246">
        <w:rPr>
          <w:rFonts w:eastAsia="Times New Roman" w:cs="DecoType Naskh" w:hint="cs"/>
          <w:color w:val="auto"/>
          <w:kern w:val="0"/>
          <w:szCs w:val="26"/>
          <w:rtl/>
          <w:lang w:bidi="ar-JO"/>
          <w14:ligatures w14:val="none"/>
        </w:rPr>
        <w:tab/>
      </w:r>
      <w:r w:rsidRPr="00263246">
        <w:rPr>
          <w:rFonts w:eastAsia="Times New Roman" w:cs="DecoType Naskh"/>
          <w:color w:val="auto"/>
          <w:kern w:val="0"/>
          <w:szCs w:val="26"/>
          <w:rtl/>
          <w:lang w:bidi="ar-JO"/>
          <w14:ligatures w14:val="none"/>
        </w:rPr>
        <w:t>لم يكن أي من الأشخاص المذكورين في الأسفار الخمسة موحِّداً (يؤمن بالله الواحد)، لكن الكهنة في فترة ما بعد السبي هم الذين صوّروا هؤلاء الأشخاص وكأنهم يؤمنون بالله الواحد.</w:t>
      </w:r>
    </w:p>
    <w:p w14:paraId="0B840DB2"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5)</w:t>
      </w:r>
      <w:r w:rsidRPr="00263246">
        <w:rPr>
          <w:rFonts w:eastAsia="Times New Roman" w:cs="DecoType Naskh" w:hint="cs"/>
          <w:color w:val="auto"/>
          <w:kern w:val="0"/>
          <w:szCs w:val="26"/>
          <w:rtl/>
          <w:lang w:bidi="ar-JO"/>
          <w14:ligatures w14:val="none"/>
        </w:rPr>
        <w:tab/>
      </w:r>
      <w:r w:rsidRPr="00263246">
        <w:rPr>
          <w:rFonts w:eastAsia="Times New Roman" w:cs="DecoType Naskh"/>
          <w:color w:val="auto"/>
          <w:kern w:val="0"/>
          <w:szCs w:val="26"/>
          <w:rtl/>
          <w:lang w:bidi="ar-JO"/>
          <w14:ligatures w14:val="none"/>
        </w:rPr>
        <w:t xml:space="preserve">لم يتحدث الله قط مع أي </w:t>
      </w:r>
      <w:r w:rsidRPr="00263246">
        <w:rPr>
          <w:rFonts w:eastAsia="Times New Roman" w:cs="DecoType Naskh" w:hint="cs"/>
          <w:color w:val="auto"/>
          <w:kern w:val="0"/>
          <w:szCs w:val="26"/>
          <w:rtl/>
          <w:lang w:bidi="ar-JO"/>
          <w14:ligatures w14:val="none"/>
        </w:rPr>
        <w:t>أشخاصٍ</w:t>
      </w:r>
      <w:r w:rsidRPr="00263246">
        <w:rPr>
          <w:rFonts w:eastAsia="Times New Roman" w:cs="DecoType Naskh"/>
          <w:color w:val="auto"/>
          <w:kern w:val="0"/>
          <w:szCs w:val="26"/>
          <w:rtl/>
          <w:lang w:bidi="ar-JO"/>
          <w14:ligatures w14:val="none"/>
        </w:rPr>
        <w:t xml:space="preserve"> في الأزمنة القديمة، لكن الكهنة هم الذين أعطوا هذا الانطباع.</w:t>
      </w:r>
    </w:p>
    <w:p w14:paraId="640E28DF"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6)</w:t>
      </w:r>
      <w:r w:rsidRPr="00263246">
        <w:rPr>
          <w:rFonts w:eastAsia="Times New Roman" w:cs="DecoType Naskh" w:hint="cs"/>
          <w:color w:val="auto"/>
          <w:kern w:val="0"/>
          <w:szCs w:val="26"/>
          <w:rtl/>
          <w:lang w:bidi="ar-JO"/>
          <w14:ligatures w14:val="none"/>
        </w:rPr>
        <w:tab/>
      </w:r>
      <w:r w:rsidRPr="00263246">
        <w:rPr>
          <w:rFonts w:eastAsia="Times New Roman" w:cs="DecoType Naskh"/>
          <w:color w:val="auto"/>
          <w:kern w:val="0"/>
          <w:szCs w:val="26"/>
          <w:rtl/>
          <w:lang w:bidi="ar-JO"/>
          <w14:ligatures w14:val="none"/>
        </w:rPr>
        <w:t>يرجع عدد قليل جداً من الشرائع المذكورة في الأسفار الخمسة إلى فترة ما قبل تأسيس المملكة.</w:t>
      </w:r>
    </w:p>
    <w:p w14:paraId="0E42F098"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14:ligatures w14:val="none"/>
        </w:rPr>
      </w:pPr>
      <w:r w:rsidRPr="00263246">
        <w:rPr>
          <w:rFonts w:eastAsia="Times New Roman" w:cs="DecoType Naskh"/>
          <w:color w:val="auto"/>
          <w:kern w:val="0"/>
          <w:szCs w:val="26"/>
          <w:rtl/>
          <w:lang w:bidi="ar-JO"/>
          <w14:ligatures w14:val="none"/>
        </w:rPr>
        <w:t>7)</w:t>
      </w:r>
      <w:r w:rsidRPr="00263246">
        <w:rPr>
          <w:rFonts w:eastAsia="Times New Roman" w:cs="DecoType Naskh" w:hint="cs"/>
          <w:color w:val="auto"/>
          <w:kern w:val="0"/>
          <w:szCs w:val="26"/>
          <w:rtl/>
          <w14:ligatures w14:val="none"/>
        </w:rPr>
        <w:tab/>
      </w:r>
      <w:r w:rsidRPr="00263246">
        <w:rPr>
          <w:rFonts w:eastAsia="Times New Roman" w:cs="DecoType Naskh"/>
          <w:color w:val="auto"/>
          <w:kern w:val="0"/>
          <w:szCs w:val="26"/>
          <w:rtl/>
          <w:lang w:bidi="ar-JO"/>
          <w14:ligatures w14:val="none"/>
        </w:rPr>
        <w:t xml:space="preserve"> يرجع عدد قليل جداً من الممارسات الدينية المذكورة في التوراة إلى فترة ما قبل تأسيس المملكة، إذ كانت ممارسات كثيرة منها ترجع إلى فترة ما بعد السبي.</w:t>
      </w:r>
    </w:p>
    <w:p w14:paraId="3914BB2E"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14:ligatures w14:val="none"/>
        </w:rPr>
      </w:pPr>
      <w:r w:rsidRPr="00263246">
        <w:rPr>
          <w:rFonts w:eastAsia="Times New Roman" w:cs="DecoType Naskh" w:hint="cs"/>
          <w:color w:val="auto"/>
          <w:kern w:val="0"/>
          <w:szCs w:val="26"/>
          <w:rtl/>
          <w14:ligatures w14:val="none"/>
        </w:rPr>
        <w:t>8)</w:t>
      </w:r>
      <w:r w:rsidRPr="00263246">
        <w:rPr>
          <w:rFonts w:eastAsia="Times New Roman" w:cs="DecoType Naskh" w:hint="cs"/>
          <w:color w:val="auto"/>
          <w:kern w:val="0"/>
          <w:szCs w:val="26"/>
          <w:rtl/>
          <w14:ligatures w14:val="none"/>
        </w:rPr>
        <w:tab/>
        <w:t>الإسرائيليون القدماء لم يكن لهم بتاتاً خيمة كما يرد وصفها في سفر الخروج.</w:t>
      </w:r>
    </w:p>
    <w:p w14:paraId="6B5DA3E2"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r w:rsidRPr="00263246">
        <w:rPr>
          <w:rFonts w:eastAsia="Times New Roman" w:cs="DecoType Naskh" w:hint="cs"/>
          <w:color w:val="auto"/>
          <w:kern w:val="0"/>
          <w:szCs w:val="26"/>
          <w:rtl/>
          <w:lang w:bidi="ar-JO"/>
          <w14:ligatures w14:val="none"/>
        </w:rPr>
        <w:t>9</w:t>
      </w:r>
      <w:r w:rsidRPr="00263246">
        <w:rPr>
          <w:rFonts w:eastAsia="Times New Roman" w:cs="DecoType Naskh"/>
          <w:color w:val="auto"/>
          <w:kern w:val="0"/>
          <w:szCs w:val="26"/>
          <w:rtl/>
          <w:lang w:bidi="ar-JO"/>
          <w14:ligatures w14:val="none"/>
        </w:rPr>
        <w:t>)</w:t>
      </w:r>
      <w:r w:rsidRPr="00263246">
        <w:rPr>
          <w:rFonts w:eastAsia="Times New Roman" w:cs="DecoType Naskh" w:hint="cs"/>
          <w:color w:val="auto"/>
          <w:kern w:val="0"/>
          <w:szCs w:val="26"/>
          <w:rtl/>
          <w:lang w:bidi="ar-JO"/>
          <w14:ligatures w14:val="none"/>
        </w:rPr>
        <w:tab/>
      </w:r>
      <w:r w:rsidRPr="00263246">
        <w:rPr>
          <w:rFonts w:eastAsia="Times New Roman" w:cs="DecoType Naskh"/>
          <w:color w:val="auto"/>
          <w:kern w:val="0"/>
          <w:szCs w:val="26"/>
          <w:rtl/>
          <w:lang w:bidi="ar-JO"/>
          <w14:ligatures w14:val="none"/>
        </w:rPr>
        <w:t>إن كل التصريحات في التوراة أن الله خلّص إسرائيل وصنع معجزات من أجل افتدائهم خاطئة.</w:t>
      </w:r>
    </w:p>
    <w:p w14:paraId="0264FC95"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571" w:hanging="550"/>
        <w:jc w:val="both"/>
        <w:rPr>
          <w:rFonts w:eastAsia="Times New Roman" w:cs="DecoType Naskh"/>
          <w:color w:val="auto"/>
          <w:kern w:val="0"/>
          <w:szCs w:val="26"/>
          <w:rtl/>
          <w:lang w:bidi="ar-JO"/>
          <w14:ligatures w14:val="none"/>
        </w:rPr>
      </w:pPr>
    </w:p>
    <w:p w14:paraId="773A8DC2"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ولا يعني هذا أن كل الباحثين الذين يتبنّون هذه النظرية يوافقون على كل الاستنتاجات السابقة</w:t>
      </w:r>
      <w:r w:rsidRPr="00263246">
        <w:rPr>
          <w:rFonts w:eastAsia="Times New Roman" w:cs="DecoType Naskh" w:hint="cs"/>
          <w:color w:val="auto"/>
          <w:kern w:val="0"/>
          <w:szCs w:val="26"/>
          <w:rtl/>
          <w:lang w:bidi="ar-JO"/>
          <w14:ligatures w14:val="none"/>
        </w:rPr>
        <w:t>،</w:t>
      </w:r>
      <w:r w:rsidRPr="00263246">
        <w:rPr>
          <w:rFonts w:eastAsia="Times New Roman" w:cs="DecoType Naskh"/>
          <w:color w:val="auto"/>
          <w:kern w:val="0"/>
          <w:szCs w:val="26"/>
          <w:rtl/>
          <w:lang w:bidi="ar-JO"/>
          <w14:ligatures w14:val="none"/>
        </w:rPr>
        <w:t xml:space="preserve"> فهذه توكيدات عامّة.</w:t>
      </w:r>
    </w:p>
    <w:p w14:paraId="1C5D3D13"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نجد مثلاً على ذلك في موقف ناقد معاصر هو جيرهارد فون راد.  فبعد أن يقول بشكل قاطع إن سفر التثنية جاء من زمن يوشيّا، وكان من تأليف لاويين وكهنة معينين أرادوا أن يجعلوا الديانة القديمة والتقاليد الشرعية ذات صلة بعصرهم، فإنه يؤكد:</w:t>
      </w:r>
    </w:p>
    <w:p w14:paraId="3FFCB42E"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lastRenderedPageBreak/>
        <w:t xml:space="preserve">"إن المواعظ الموجودة في سفر التثنية موجَّهة إلى إسرائيل على شكل كلمات موسى، </w:t>
      </w:r>
      <w:r w:rsidRPr="00263246">
        <w:rPr>
          <w:rFonts w:eastAsia="Times New Roman" w:cs="DecoType Naskh" w:hint="cs"/>
          <w:color w:val="auto"/>
          <w:kern w:val="0"/>
          <w:szCs w:val="26"/>
          <w:rtl/>
          <w:lang w:bidi="ar-JO"/>
          <w14:ligatures w14:val="none"/>
        </w:rPr>
        <w:t>الذي</w:t>
      </w:r>
      <w:r w:rsidRPr="00263246">
        <w:rPr>
          <w:rFonts w:eastAsia="Times New Roman" w:cs="DecoType Naskh"/>
          <w:color w:val="auto"/>
          <w:kern w:val="0"/>
          <w:szCs w:val="26"/>
          <w:rtl/>
          <w:lang w:bidi="ar-JO"/>
          <w14:ligatures w14:val="none"/>
        </w:rPr>
        <w:t xml:space="preserve"> صار الآن قريباً من الموت، عند وصولهم إلى أرض موآب... وتستمر هذه </w:t>
      </w:r>
      <w:r w:rsidRPr="00263246">
        <w:rPr>
          <w:rFonts w:eastAsia="Times New Roman" w:cs="DecoType Naskh" w:hint="cs"/>
          <w:color w:val="auto"/>
          <w:kern w:val="0"/>
          <w:szCs w:val="26"/>
          <w:rtl/>
          <w:lang w:bidi="ar-JO"/>
          <w14:ligatures w14:val="none"/>
        </w:rPr>
        <w:t>القصة الخيالية</w:t>
      </w:r>
      <w:r w:rsidRPr="00263246">
        <w:rPr>
          <w:rFonts w:eastAsia="Times New Roman" w:cs="DecoType Naskh"/>
          <w:color w:val="auto"/>
          <w:kern w:val="0"/>
          <w:szCs w:val="26"/>
          <w:rtl/>
          <w:lang w:bidi="ar-JO"/>
          <w14:ligatures w14:val="none"/>
        </w:rPr>
        <w:t xml:space="preserve"> عبر كل سفر التثنية... لكنها </w:t>
      </w:r>
      <w:r w:rsidRPr="00263246">
        <w:rPr>
          <w:rFonts w:eastAsia="Times New Roman" w:cs="DecoType Naskh" w:hint="cs"/>
          <w:color w:val="auto"/>
          <w:kern w:val="0"/>
          <w:szCs w:val="26"/>
          <w:rtl/>
          <w:lang w:bidi="ar-JO"/>
          <w14:ligatures w14:val="none"/>
        </w:rPr>
        <w:t>قصة خيالية</w:t>
      </w:r>
      <w:r w:rsidRPr="00263246">
        <w:rPr>
          <w:rFonts w:eastAsia="Times New Roman" w:cs="DecoType Naskh"/>
          <w:color w:val="auto"/>
          <w:kern w:val="0"/>
          <w:szCs w:val="26"/>
          <w:rtl/>
          <w:lang w:bidi="ar-JO"/>
          <w14:ligatures w14:val="none"/>
        </w:rPr>
        <w:t xml:space="preserve"> حقّاً.  وهذه المواعظ موجّهة في واقع الأمر إلى إسرائيل في الجزء التالي من الحكم الملكي."</w:t>
      </w:r>
      <w:r w:rsidRPr="00263246">
        <w:rPr>
          <w:rFonts w:eastAsia="Times New Roman" w:cs="DecoType Naskh"/>
          <w:color w:val="auto"/>
          <w:kern w:val="0"/>
          <w:sz w:val="26"/>
          <w:vertAlign w:val="superscript"/>
          <w:rtl/>
          <w14:ligatures w14:val="none"/>
        </w:rPr>
        <w:footnoteReference w:id="247"/>
      </w:r>
    </w:p>
    <w:p w14:paraId="5C991DFA"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إن كان الكتاب المقدس كما يقول جيرهارد (مضلِّلاً عن قصد)، فكيف يمكن أن نصدّق أي شيء قاله؟ إن مصيرنا الأبدي معتمد على كتاب مقدس يمثل الحق المطلق! وكلامه نور لمن هم في ظلمة.</w:t>
      </w:r>
    </w:p>
    <w:p w14:paraId="791FF4C8"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59FE8B40" w14:textId="77777777" w:rsidR="00263246" w:rsidRPr="00263246" w:rsidRDefault="00263246"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263246">
        <w:rPr>
          <w:rFonts w:eastAsia="Times New Roman" w:cs="DecoType Naskh" w:hint="cs"/>
          <w:bCs/>
          <w:color w:val="auto"/>
          <w:kern w:val="0"/>
          <w:szCs w:val="28"/>
          <w:rtl/>
          <w:lang w:bidi="ar-JO"/>
          <w14:ligatures w14:val="none"/>
        </w:rPr>
        <w:t>6</w:t>
      </w:r>
      <w:r w:rsidRPr="00263246">
        <w:rPr>
          <w:rFonts w:eastAsia="Times New Roman" w:cs="DecoType Naskh"/>
          <w:bCs/>
          <w:color w:val="auto"/>
          <w:kern w:val="0"/>
          <w:szCs w:val="28"/>
          <w:rtl/>
          <w:lang w:bidi="ar-JO"/>
          <w14:ligatures w14:val="none"/>
        </w:rPr>
        <w:t>.</w:t>
      </w:r>
      <w:r w:rsidRPr="00263246">
        <w:rPr>
          <w:rFonts w:eastAsia="Times New Roman" w:cs="DecoType Naskh"/>
          <w:bCs/>
          <w:color w:val="auto"/>
          <w:kern w:val="0"/>
          <w:szCs w:val="28"/>
          <w:rtl/>
          <w:lang w:bidi="ar-JO"/>
          <w14:ligatures w14:val="none"/>
        </w:rPr>
        <w:tab/>
        <w:t>موسى كاتباً للأسفار الخمسة</w:t>
      </w:r>
    </w:p>
    <w:p w14:paraId="1530F3FD"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يلقى تأليف موسى للأسفار الخمسة تأييداً من شهادة الكتاب المقدس نفسه والدليل الداخلي للأسفار.</w:t>
      </w:r>
      <w:r w:rsidRPr="00263246">
        <w:rPr>
          <w:rFonts w:eastAsia="Times New Roman" w:cs="DecoType Naskh"/>
          <w:color w:val="auto"/>
          <w:kern w:val="0"/>
          <w:sz w:val="28"/>
          <w:szCs w:val="28"/>
          <w:vertAlign w:val="superscript"/>
          <w:rtl/>
          <w:lang w:bidi="ar-JO"/>
          <w14:ligatures w14:val="none"/>
        </w:rPr>
        <w:footnoteReference w:id="248"/>
      </w:r>
    </w:p>
    <w:p w14:paraId="120CED4E"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14:ligatures w14:val="none"/>
        </w:rPr>
      </w:pPr>
    </w:p>
    <w:p w14:paraId="14F88C40" w14:textId="77777777" w:rsidR="00263246" w:rsidRPr="00263246" w:rsidRDefault="00263246"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263246">
        <w:rPr>
          <w:rFonts w:eastAsia="Times New Roman" w:cs="DecoType Naskh"/>
          <w:bCs/>
          <w:color w:val="auto"/>
          <w:kern w:val="0"/>
          <w:szCs w:val="26"/>
          <w:rtl/>
          <w14:ligatures w14:val="none"/>
        </w:rPr>
        <w:t>أ.</w:t>
      </w:r>
      <w:r w:rsidRPr="00263246">
        <w:rPr>
          <w:rFonts w:eastAsia="Times New Roman" w:cs="DecoType Naskh"/>
          <w:bCs/>
          <w:color w:val="auto"/>
          <w:kern w:val="0"/>
          <w:szCs w:val="26"/>
          <w:rtl/>
          <w14:ligatures w14:val="none"/>
        </w:rPr>
        <w:tab/>
        <w:t>شهادة الكتاب المقدس</w:t>
      </w:r>
    </w:p>
    <w:p w14:paraId="1E292E98"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1.</w:t>
      </w:r>
      <w:r w:rsidRPr="00263246">
        <w:rPr>
          <w:rFonts w:eastAsia="Times New Roman" w:cs="DecoType Naskh"/>
          <w:color w:val="auto"/>
          <w:kern w:val="0"/>
          <w:szCs w:val="26"/>
          <w:rtl/>
          <w:lang w:bidi="ar-JO"/>
          <w14:ligatures w14:val="none"/>
        </w:rPr>
        <w:tab/>
        <w:t xml:space="preserve">من الأسفار الخمسة </w:t>
      </w:r>
    </w:p>
    <w:p w14:paraId="2CED51AA"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نقرأ في تثنية 31: 9</w:t>
      </w:r>
      <w:r w:rsidRPr="00263246">
        <w:rPr>
          <w:rFonts w:eastAsia="Times New Roman" w:cs="DecoType Naskh" w:hint="cs"/>
          <w:color w:val="auto"/>
          <w:kern w:val="0"/>
          <w:szCs w:val="26"/>
          <w:rtl/>
          <w:lang w:bidi="ar-JO"/>
          <w14:ligatures w14:val="none"/>
        </w:rPr>
        <w:t>:</w:t>
      </w:r>
      <w:r w:rsidRPr="00263246">
        <w:rPr>
          <w:rFonts w:eastAsia="Times New Roman" w:cs="DecoType Naskh"/>
          <w:color w:val="auto"/>
          <w:kern w:val="0"/>
          <w:szCs w:val="26"/>
          <w:rtl/>
          <w:lang w:bidi="ar-JO"/>
          <w14:ligatures w14:val="none"/>
        </w:rPr>
        <w:t xml:space="preserve"> "وكتب موسى هذه التوراة وسلّمها للكهنة بني لاوي." وتأتي شهادات أخرى من خروج 17: 14؛ 24: 4؛ 34: 27؛ عدد 33: 1-2؛ يشوع 8: 31-32؛ 1ملوك 2: 3؛ 2ملوك 14: 6؛ 21: 8؛ عزرا 6: 18؛ نحميا 13: 1؛ دانيال 9: 11-13؛ ملاخي 4: 4.</w:t>
      </w:r>
    </w:p>
    <w:p w14:paraId="10D73287"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p>
    <w:p w14:paraId="2ABA184C"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2.</w:t>
      </w:r>
      <w:r w:rsidRPr="00263246">
        <w:rPr>
          <w:rFonts w:eastAsia="Times New Roman" w:cs="DecoType Naskh"/>
          <w:color w:val="auto"/>
          <w:kern w:val="0"/>
          <w:szCs w:val="26"/>
          <w:rtl/>
          <w:lang w:bidi="ar-JO"/>
          <w14:ligatures w14:val="none"/>
        </w:rPr>
        <w:tab/>
        <w:t>من العهد الجديد</w:t>
      </w:r>
    </w:p>
    <w:p w14:paraId="4042D860"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أكّد الرب يسوع المسيح نفسه أن موسى هو كاتبِ التوراة عندما قال في يوحنا 5: 46-47</w:t>
      </w:r>
      <w:r w:rsidRPr="00263246">
        <w:rPr>
          <w:rFonts w:eastAsia="Times New Roman" w:cs="DecoType Naskh" w:hint="cs"/>
          <w:color w:val="auto"/>
          <w:kern w:val="0"/>
          <w:szCs w:val="26"/>
          <w:rtl/>
          <w:lang w:bidi="ar-JO"/>
          <w14:ligatures w14:val="none"/>
        </w:rPr>
        <w:t>:</w:t>
      </w:r>
      <w:r w:rsidRPr="00263246">
        <w:rPr>
          <w:rFonts w:eastAsia="Times New Roman" w:cs="DecoType Naskh"/>
          <w:color w:val="auto"/>
          <w:kern w:val="0"/>
          <w:szCs w:val="26"/>
          <w:rtl/>
          <w:lang w:bidi="ar-JO"/>
          <w14:ligatures w14:val="none"/>
        </w:rPr>
        <w:t xml:space="preserve"> "لأنكم لو كنتم تصدّقون موسى لكنتم تصدّقونني، لأنه هو كتب عنّي.  فإن كنتم لا تصدّقون كُتب ذاك، فكيف تصدّقون كلامي."  ونجد مزيداً من التأييد لهذه الحقيقة في متّى 19: 8؛ يوحنا 7: 19؛ أعمال 3: 22؛ رومية 10: 5؛ مرقس 12: 26.</w:t>
      </w:r>
    </w:p>
    <w:p w14:paraId="5F73C0A0"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p>
    <w:p w14:paraId="76B1AD96" w14:textId="77777777" w:rsidR="00263246" w:rsidRPr="00263246" w:rsidRDefault="00263246" w:rsidP="002D6C54">
      <w:pPr>
        <w:tabs>
          <w:tab w:val="left" w:pos="454"/>
        </w:tabs>
        <w:bidi/>
        <w:spacing w:after="60" w:line="240" w:lineRule="auto"/>
        <w:ind w:left="550" w:hanging="550"/>
        <w:jc w:val="both"/>
        <w:rPr>
          <w:rFonts w:eastAsia="Times New Roman" w:cs="DecoType Naskh"/>
          <w:bCs/>
          <w:color w:val="auto"/>
          <w:kern w:val="0"/>
          <w:szCs w:val="26"/>
          <w:rtl/>
          <w14:ligatures w14:val="none"/>
        </w:rPr>
      </w:pPr>
      <w:r w:rsidRPr="00263246">
        <w:rPr>
          <w:rFonts w:eastAsia="Times New Roman" w:cs="DecoType Naskh"/>
          <w:bCs/>
          <w:color w:val="auto"/>
          <w:kern w:val="0"/>
          <w:szCs w:val="26"/>
          <w:rtl/>
          <w14:ligatures w14:val="none"/>
        </w:rPr>
        <w:t>ب.</w:t>
      </w:r>
      <w:r w:rsidRPr="00263246">
        <w:rPr>
          <w:rFonts w:eastAsia="Times New Roman" w:cs="DecoType Naskh"/>
          <w:bCs/>
          <w:color w:val="auto"/>
          <w:kern w:val="0"/>
          <w:szCs w:val="26"/>
          <w:rtl/>
          <w14:ligatures w14:val="none"/>
        </w:rPr>
        <w:tab/>
        <w:t xml:space="preserve">براهين داخلية </w:t>
      </w:r>
    </w:p>
    <w:p w14:paraId="195D502D"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1.</w:t>
      </w:r>
      <w:r w:rsidRPr="00263246">
        <w:rPr>
          <w:rFonts w:eastAsia="Times New Roman" w:cs="DecoType Naskh"/>
          <w:color w:val="auto"/>
          <w:kern w:val="0"/>
          <w:szCs w:val="26"/>
          <w:rtl/>
          <w:lang w:bidi="ar-JO"/>
          <w14:ligatures w14:val="none"/>
        </w:rPr>
        <w:tab/>
        <w:t>نجد تفاصيل لا يذكرها إلاّ شهود عيان كتلك الموجودة في خروج 15: 27 التي يذكر فيها الكاتب عدد الينابيع وأشجار المخيل بدقّة (انظر عدد 11: 7-8).</w:t>
      </w:r>
    </w:p>
    <w:p w14:paraId="2BD98B6A"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2.</w:t>
      </w:r>
      <w:r w:rsidRPr="00263246">
        <w:rPr>
          <w:rFonts w:eastAsia="Times New Roman" w:cs="DecoType Naskh"/>
          <w:color w:val="auto"/>
          <w:kern w:val="0"/>
          <w:szCs w:val="26"/>
          <w:rtl/>
          <w:lang w:bidi="ar-JO"/>
          <w14:ligatures w14:val="none"/>
        </w:rPr>
        <w:tab/>
        <w:t xml:space="preserve">يبيّن كاتب سفري التكوين والخروج معرفة دقيقة بمصر، مثل معرفته بالأسماء المصرية مثل "أُون" بصفتها الاسم المحلّي لمدينة هيلبوبوليس).  وفضلاً عن ذلك، فإنه يستخدم نسبة من الكلمة المصرية أكبر من أي موضع آخر في العهد القديم.  ويكشف اطلاعه على حياة البلاط والعبادات </w:t>
      </w:r>
      <w:r w:rsidRPr="00263246">
        <w:rPr>
          <w:rFonts w:eastAsia="Times New Roman" w:cs="DecoType Naskh" w:hint="cs"/>
          <w:color w:val="auto"/>
          <w:kern w:val="0"/>
          <w:szCs w:val="26"/>
          <w:rtl/>
          <w:lang w:bidi="ar-JO"/>
          <w14:ligatures w14:val="none"/>
        </w:rPr>
        <w:t>معرفةً</w:t>
      </w:r>
      <w:r w:rsidRPr="00263246">
        <w:rPr>
          <w:rFonts w:eastAsia="Times New Roman" w:cs="DecoType Naskh"/>
          <w:color w:val="auto"/>
          <w:kern w:val="0"/>
          <w:szCs w:val="26"/>
          <w:rtl/>
          <w:lang w:bidi="ar-JO"/>
          <w14:ligatures w14:val="none"/>
        </w:rPr>
        <w:t xml:space="preserve"> بالثقافة المصرية.</w:t>
      </w:r>
    </w:p>
    <w:p w14:paraId="53C63CC5"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3.</w:t>
      </w:r>
      <w:r w:rsidRPr="00263246">
        <w:rPr>
          <w:rFonts w:eastAsia="Times New Roman" w:cs="DecoType Naskh"/>
          <w:color w:val="auto"/>
          <w:kern w:val="0"/>
          <w:szCs w:val="26"/>
          <w:rtl/>
          <w:lang w:bidi="ar-JO"/>
          <w14:ligatures w14:val="none"/>
        </w:rPr>
        <w:tab/>
        <w:t>يكشف الكاتب نظرة أجنبية في ما يتعلق بأرض كنعان.  فالفصول والمناخ المعبَّر عنها في الرواية مصرية لا فلسطينية.  فالإشارات إلى الأشجار والحيوانات والجلود هي في الغالب إلى تلك غير الموجودة في فلسطين.  وتكشف الإشارات الجغرافية معرفة الكاتب الكاملة بمصر وسيناء.</w:t>
      </w:r>
    </w:p>
    <w:p w14:paraId="7716348B" w14:textId="77777777" w:rsidR="00263246" w:rsidRPr="00263246" w:rsidRDefault="00263246" w:rsidP="002D6C54">
      <w:pPr>
        <w:tabs>
          <w:tab w:val="left" w:pos="454"/>
          <w:tab w:val="left" w:pos="550"/>
          <w:tab w:val="left" w:pos="1100"/>
          <w:tab w:val="left" w:pos="1650"/>
          <w:tab w:val="left" w:pos="2200"/>
          <w:tab w:val="left" w:pos="2750"/>
          <w:tab w:val="left" w:pos="3300"/>
          <w:tab w:val="left" w:pos="3850"/>
          <w:tab w:val="left" w:pos="4400"/>
        </w:tabs>
        <w:bidi/>
        <w:spacing w:after="0" w:line="240" w:lineRule="auto"/>
        <w:ind w:left="1004" w:hanging="550"/>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4.</w:t>
      </w:r>
      <w:r w:rsidRPr="00263246">
        <w:rPr>
          <w:rFonts w:eastAsia="Times New Roman" w:cs="DecoType Naskh"/>
          <w:color w:val="auto"/>
          <w:kern w:val="0"/>
          <w:szCs w:val="26"/>
          <w:rtl/>
          <w:lang w:bidi="ar-JO"/>
          <w14:ligatures w14:val="none"/>
        </w:rPr>
        <w:tab/>
        <w:t>لا يخطئ قارئ سفري الخروج والعدد</w:t>
      </w:r>
      <w:r w:rsidRPr="00263246">
        <w:rPr>
          <w:rFonts w:eastAsia="Times New Roman" w:cs="DecoType Naskh" w:hint="cs"/>
          <w:color w:val="auto"/>
          <w:kern w:val="0"/>
          <w:szCs w:val="26"/>
          <w:rtl/>
          <w:lang w:bidi="ar-JO"/>
          <w14:ligatures w14:val="none"/>
        </w:rPr>
        <w:t xml:space="preserve"> في وصف</w:t>
      </w:r>
      <w:r w:rsidRPr="00263246">
        <w:rPr>
          <w:rFonts w:eastAsia="Times New Roman" w:cs="DecoType Naskh"/>
          <w:color w:val="auto"/>
          <w:kern w:val="0"/>
          <w:szCs w:val="26"/>
          <w:rtl/>
          <w:lang w:bidi="ar-JO"/>
          <w14:ligatures w14:val="none"/>
        </w:rPr>
        <w:t xml:space="preserve"> مناخ الحياة الصحراوية (وهو الأمر الذي سيكون بعيد الاحتمال لو أن هذه الأسفار كُتبت بعد ألف سنة من تاريخها الفعلي كما اقترح ولهاوسن).  وإن تصميم المخيم ليس أمراً ذا بال بالنسبة لأشخاص مستقرّين في الأرض.  وهنالك تفاصيل أخرى حول أمور مثل الأسلوب الدقيق للمسير والتعليمات الصحية تعكس اهتماماً موجَّهاً بالفعل  لحياة الصحراء.</w:t>
      </w:r>
    </w:p>
    <w:p w14:paraId="29EAB6AD"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1021"/>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t>لنقاش أكثر شمولاً لهذا الموضوع، انظر</w:t>
      </w:r>
      <w:r w:rsidRPr="00263246">
        <w:rPr>
          <w:rFonts w:eastAsia="Times New Roman" w:cs="DecoType Naskh" w:hint="cs"/>
          <w:color w:val="auto"/>
          <w:kern w:val="0"/>
          <w:szCs w:val="26"/>
          <w:rtl/>
          <w:lang w:bidi="ar-JO"/>
          <w14:ligatures w14:val="none"/>
        </w:rPr>
        <w:t xml:space="preserve"> </w:t>
      </w:r>
      <w:r w:rsidRPr="00263246">
        <w:rPr>
          <w:rFonts w:eastAsia="Times New Roman" w:cs="DecoType Naskh"/>
          <w:color w:val="auto"/>
          <w:kern w:val="0"/>
          <w:szCs w:val="26"/>
          <w:lang w:bidi="ar-JO"/>
          <w14:ligatures w14:val="none"/>
        </w:rPr>
        <w:t xml:space="preserve">Gleason Archer’s </w:t>
      </w:r>
      <w:r w:rsidRPr="00263246">
        <w:rPr>
          <w:rFonts w:eastAsia="Times New Roman" w:cs="DecoType Naskh"/>
          <w:i/>
          <w:iCs/>
          <w:color w:val="auto"/>
          <w:kern w:val="0"/>
          <w:szCs w:val="26"/>
          <w:lang w:bidi="ar-JO"/>
          <w14:ligatures w14:val="none"/>
        </w:rPr>
        <w:t>Survey of Old Testament Introduction</w:t>
      </w:r>
      <w:r w:rsidRPr="00263246">
        <w:rPr>
          <w:rFonts w:eastAsia="Times New Roman" w:cs="DecoType Naskh"/>
          <w:color w:val="auto"/>
          <w:kern w:val="0"/>
          <w:szCs w:val="26"/>
          <w:lang w:bidi="ar-JO"/>
          <w14:ligatures w14:val="none"/>
        </w:rPr>
        <w:t>, pp 109-118</w:t>
      </w:r>
      <w:r w:rsidRPr="00263246">
        <w:rPr>
          <w:rFonts w:eastAsia="Times New Roman" w:cs="DecoType Naskh"/>
          <w:color w:val="auto"/>
          <w:kern w:val="0"/>
          <w:szCs w:val="26"/>
          <w:rtl/>
          <w:lang w:bidi="ar-JO"/>
          <w14:ligatures w14:val="none"/>
        </w:rPr>
        <w:t>.</w:t>
      </w:r>
    </w:p>
    <w:p w14:paraId="2C6EE031" w14:textId="77777777" w:rsidR="00263246" w:rsidRPr="00263246" w:rsidRDefault="00263246" w:rsidP="002D6C54">
      <w:pPr>
        <w:tabs>
          <w:tab w:val="left" w:pos="454"/>
        </w:tabs>
        <w:bidi/>
        <w:spacing w:after="60" w:line="240" w:lineRule="auto"/>
        <w:jc w:val="both"/>
        <w:rPr>
          <w:rFonts w:eastAsia="Times New Roman" w:cs="DecoType Naskh"/>
          <w:bCs/>
          <w:color w:val="auto"/>
          <w:kern w:val="0"/>
          <w:szCs w:val="28"/>
          <w:rtl/>
          <w:lang w:bidi="ar-JO"/>
          <w14:ligatures w14:val="none"/>
        </w:rPr>
      </w:pPr>
      <w:r w:rsidRPr="00263246">
        <w:rPr>
          <w:rFonts w:eastAsia="Times New Roman" w:cs="DecoType Naskh" w:hint="cs"/>
          <w:bCs/>
          <w:color w:val="auto"/>
          <w:kern w:val="0"/>
          <w:szCs w:val="28"/>
          <w:rtl/>
          <w:lang w:bidi="ar-JO"/>
          <w14:ligatures w14:val="none"/>
        </w:rPr>
        <w:t>7</w:t>
      </w:r>
      <w:r w:rsidRPr="00263246">
        <w:rPr>
          <w:rFonts w:eastAsia="Times New Roman" w:cs="DecoType Naskh"/>
          <w:bCs/>
          <w:color w:val="auto"/>
          <w:kern w:val="0"/>
          <w:szCs w:val="28"/>
          <w:rtl/>
          <w:lang w:bidi="ar-JO"/>
          <w14:ligatures w14:val="none"/>
        </w:rPr>
        <w:t>.</w:t>
      </w:r>
      <w:r w:rsidRPr="00263246">
        <w:rPr>
          <w:rFonts w:eastAsia="Times New Roman" w:cs="DecoType Naskh"/>
          <w:bCs/>
          <w:color w:val="auto"/>
          <w:kern w:val="0"/>
          <w:szCs w:val="28"/>
          <w:rtl/>
          <w:lang w:bidi="ar-JO"/>
          <w14:ligatures w14:val="none"/>
        </w:rPr>
        <w:tab/>
        <w:t>خلاصة</w:t>
      </w:r>
    </w:p>
    <w:p w14:paraId="349B8D5F"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left="454"/>
        <w:jc w:val="both"/>
        <w:rPr>
          <w:rFonts w:eastAsia="Times New Roman" w:cs="DecoType Naskh"/>
          <w:color w:val="auto"/>
          <w:kern w:val="0"/>
          <w:szCs w:val="26"/>
          <w:rtl/>
          <w:lang w:bidi="ar-JO"/>
          <w14:ligatures w14:val="none"/>
        </w:rPr>
      </w:pPr>
      <w:r w:rsidRPr="00263246">
        <w:rPr>
          <w:rFonts w:eastAsia="Times New Roman" w:cs="DecoType Naskh"/>
          <w:color w:val="auto"/>
          <w:kern w:val="0"/>
          <w:szCs w:val="26"/>
          <w:rtl/>
          <w:lang w:bidi="ar-JO"/>
          <w14:ligatures w14:val="none"/>
        </w:rPr>
        <w:lastRenderedPageBreak/>
        <w:t xml:space="preserve">تمثّل نظرية </w:t>
      </w:r>
      <w:r w:rsidRPr="00263246">
        <w:rPr>
          <w:rFonts w:eastAsia="Times New Roman" w:cs="DecoType Naskh"/>
          <w:color w:val="auto"/>
          <w:kern w:val="0"/>
          <w:szCs w:val="26"/>
          <w14:ligatures w14:val="none"/>
        </w:rPr>
        <w:t>JEDP</w:t>
      </w:r>
      <w:r w:rsidRPr="00263246">
        <w:rPr>
          <w:rFonts w:eastAsia="Times New Roman" w:cs="DecoType Naskh"/>
          <w:color w:val="auto"/>
          <w:kern w:val="0"/>
          <w:szCs w:val="26"/>
          <w:rtl/>
          <w:lang w:bidi="ar-JO"/>
          <w14:ligatures w14:val="none"/>
        </w:rPr>
        <w:t xml:space="preserve"> (ي إ ت ك) محاولة من الباحثين المتحررين لنسف سلطة كلمة الله، بالرغم من محاولتهم الظهور بمظهر من يتبع الوسائل العلمية في البحث.  ليس خطأ أن يحاول المرء أن يتحرّى أصل الكتاب المقدّس وأن يحلّله، </w:t>
      </w:r>
      <w:r w:rsidRPr="00263246">
        <w:rPr>
          <w:rFonts w:eastAsia="Times New Roman" w:cs="DecoType Naskh" w:hint="cs"/>
          <w:color w:val="auto"/>
          <w:kern w:val="0"/>
          <w:szCs w:val="26"/>
          <w:rtl/>
          <w:lang w:bidi="ar-JO"/>
          <w14:ligatures w14:val="none"/>
        </w:rPr>
        <w:t>لكنَّ مقاومة</w:t>
      </w:r>
      <w:r w:rsidRPr="00263246">
        <w:rPr>
          <w:rFonts w:eastAsia="Times New Roman" w:cs="DecoType Naskh"/>
          <w:color w:val="auto"/>
          <w:kern w:val="0"/>
          <w:szCs w:val="26"/>
          <w:rtl/>
          <w:lang w:bidi="ar-JO"/>
          <w14:ligatures w14:val="none"/>
        </w:rPr>
        <w:t xml:space="preserve"> المعنى البسيط العادي لكلمة الله بتبنّي نظرية لا تخرج في أحسن الأحوال عن كونها تكهّنية هو تمرّد على نفس كلمة الله التي أُعطيت للإنسان لكي لا يبقى في الظلمة. </w:t>
      </w:r>
    </w:p>
    <w:p w14:paraId="4E8B399F" w14:textId="77777777" w:rsidR="00263246" w:rsidRPr="00263246" w:rsidRDefault="00263246" w:rsidP="002D6C54">
      <w:pPr>
        <w:tabs>
          <w:tab w:val="left" w:pos="550"/>
          <w:tab w:val="left" w:pos="1100"/>
          <w:tab w:val="left" w:pos="1650"/>
          <w:tab w:val="left" w:pos="2200"/>
          <w:tab w:val="left" w:pos="2750"/>
          <w:tab w:val="left" w:pos="3300"/>
          <w:tab w:val="left" w:pos="3850"/>
          <w:tab w:val="left" w:pos="4400"/>
        </w:tabs>
        <w:bidi/>
        <w:spacing w:after="0" w:line="240" w:lineRule="auto"/>
        <w:ind w:firstLine="550"/>
        <w:jc w:val="both"/>
        <w:rPr>
          <w:rFonts w:eastAsia="Times New Roman" w:cs="DecoType Naskh"/>
          <w:color w:val="auto"/>
          <w:kern w:val="0"/>
          <w:sz w:val="18"/>
          <w:szCs w:val="20"/>
          <w14:ligatures w14:val="none"/>
        </w:rPr>
      </w:pPr>
    </w:p>
    <w:p w14:paraId="4E2E66DF" w14:textId="421948C4" w:rsidR="00263246" w:rsidRDefault="00263246" w:rsidP="002D6C54">
      <w:pPr>
        <w:bidi/>
        <w:spacing w:after="0" w:line="240" w:lineRule="auto"/>
        <w:rPr>
          <w:rFonts w:eastAsia="Times New Roman" w:cs="DecoType Naskh"/>
          <w:color w:val="A50021"/>
          <w:kern w:val="0"/>
          <w:szCs w:val="32"/>
          <w:rtl/>
          <w:lang w:bidi="ar-JO"/>
          <w14:ligatures w14:val="none"/>
        </w:rPr>
      </w:pPr>
    </w:p>
    <w:p w14:paraId="1E2C5629" w14:textId="67AD1C06" w:rsidR="00BD4CB3" w:rsidRPr="00BD4CB3" w:rsidRDefault="00BD4CB3" w:rsidP="00BD4CB3">
      <w:pPr>
        <w:tabs>
          <w:tab w:val="left" w:pos="547"/>
          <w:tab w:val="left" w:pos="1094"/>
          <w:tab w:val="left" w:pos="1642"/>
          <w:tab w:val="left" w:pos="2189"/>
          <w:tab w:val="left" w:pos="2736"/>
          <w:tab w:val="left" w:pos="3283"/>
          <w:tab w:val="left" w:pos="3830"/>
          <w:tab w:val="left" w:pos="4378"/>
        </w:tabs>
        <w:bidi/>
        <w:spacing w:after="120" w:line="240" w:lineRule="auto"/>
        <w:jc w:val="both"/>
        <w:rPr>
          <w:rFonts w:ascii="Simplified Arabic" w:eastAsia="Times New Roman" w:hAnsi="Simplified Arabic" w:cs="Simplified Arabic"/>
          <w:b/>
          <w:color w:val="FF0000"/>
          <w:kern w:val="0"/>
          <w:sz w:val="26"/>
          <w:szCs w:val="26"/>
          <w:rtl/>
          <w14:ligatures w14:val="none"/>
        </w:rPr>
      </w:pPr>
      <w:bookmarkStart w:id="177" w:name="_Hlk178779576"/>
      <w:r w:rsidRPr="00BD4CB3">
        <w:rPr>
          <w:rFonts w:ascii="Simplified Arabic" w:eastAsia="Times New Roman" w:hAnsi="Simplified Arabic" w:cs="Simplified Arabic"/>
          <w:b/>
          <w:color w:val="FF0000"/>
          <w:kern w:val="0"/>
          <w:sz w:val="26"/>
          <w:szCs w:val="26"/>
          <w:rtl/>
          <w14:ligatures w14:val="none"/>
        </w:rPr>
        <w:t xml:space="preserve">لدينا </w:t>
      </w:r>
      <w:r w:rsidR="003A1CED" w:rsidRPr="00BD4CB3">
        <w:rPr>
          <w:rFonts w:ascii="Simplified Arabic" w:eastAsia="Times New Roman" w:hAnsi="Simplified Arabic" w:cs="Simplified Arabic"/>
          <w:b/>
          <w:color w:val="FF0000"/>
          <w:kern w:val="0"/>
          <w:sz w:val="26"/>
          <w:szCs w:val="26"/>
          <w:rtl/>
          <w14:ligatures w14:val="none"/>
        </w:rPr>
        <w:t>الحق</w:t>
      </w:r>
      <w:r w:rsidR="003A1CED">
        <w:rPr>
          <w:rFonts w:ascii="Simplified Arabic" w:eastAsia="Times New Roman" w:hAnsi="Simplified Arabic" w:cs="Simplified Arabic" w:hint="cs"/>
          <w:b/>
          <w:color w:val="FF0000"/>
          <w:kern w:val="0"/>
          <w:sz w:val="26"/>
          <w:szCs w:val="26"/>
          <w:rtl/>
          <w14:ligatures w14:val="none"/>
        </w:rPr>
        <w:t>ّ</w:t>
      </w:r>
      <w:r w:rsidR="003A1CED" w:rsidRPr="00BD4CB3">
        <w:rPr>
          <w:rFonts w:ascii="Simplified Arabic" w:eastAsia="Times New Roman" w:hAnsi="Simplified Arabic" w:cs="Simplified Arabic"/>
          <w:b/>
          <w:color w:val="FF0000"/>
          <w:kern w:val="0"/>
          <w:sz w:val="26"/>
          <w:szCs w:val="26"/>
          <w:rtl/>
          <w14:ligatures w14:val="none"/>
        </w:rPr>
        <w:t xml:space="preserve"> </w:t>
      </w:r>
      <w:r w:rsidRPr="00BD4CB3">
        <w:rPr>
          <w:rFonts w:ascii="Simplified Arabic" w:eastAsia="Times New Roman" w:hAnsi="Simplified Arabic" w:cs="Simplified Arabic"/>
          <w:b/>
          <w:color w:val="FF0000"/>
          <w:kern w:val="0"/>
          <w:sz w:val="26"/>
          <w:szCs w:val="26"/>
          <w:rtl/>
          <w14:ligatures w14:val="none"/>
        </w:rPr>
        <w:t>في الكتاب المُقدَّس</w:t>
      </w:r>
      <w:r>
        <w:rPr>
          <w:rFonts w:ascii="Simplified Arabic" w:eastAsia="Times New Roman" w:hAnsi="Simplified Arabic" w:cs="Simplified Arabic" w:hint="cs"/>
          <w:b/>
          <w:color w:val="FF0000"/>
          <w:kern w:val="0"/>
          <w:sz w:val="26"/>
          <w:szCs w:val="26"/>
          <w:rtl/>
          <w14:ligatures w14:val="none"/>
        </w:rPr>
        <w:t xml:space="preserve"> الذي يستحق كل</w:t>
      </w:r>
      <w:r w:rsidR="003A1CED">
        <w:rPr>
          <w:rFonts w:ascii="Simplified Arabic" w:eastAsia="Times New Roman" w:hAnsi="Simplified Arabic" w:cs="Simplified Arabic" w:hint="cs"/>
          <w:b/>
          <w:color w:val="FF0000"/>
          <w:kern w:val="0"/>
          <w:sz w:val="26"/>
          <w:szCs w:val="26"/>
          <w:rtl/>
          <w14:ligatures w14:val="none"/>
        </w:rPr>
        <w:t>ّ</w:t>
      </w:r>
      <w:r>
        <w:rPr>
          <w:rFonts w:ascii="Simplified Arabic" w:eastAsia="Times New Roman" w:hAnsi="Simplified Arabic" w:cs="Simplified Arabic" w:hint="cs"/>
          <w:b/>
          <w:color w:val="FF0000"/>
          <w:kern w:val="0"/>
          <w:sz w:val="26"/>
          <w:szCs w:val="26"/>
          <w:rtl/>
          <w14:ligatures w14:val="none"/>
        </w:rPr>
        <w:t xml:space="preserve"> ثق</w:t>
      </w:r>
      <w:r w:rsidR="003A1CED">
        <w:rPr>
          <w:rFonts w:ascii="Simplified Arabic" w:eastAsia="Times New Roman" w:hAnsi="Simplified Arabic" w:cs="Simplified Arabic" w:hint="cs"/>
          <w:b/>
          <w:color w:val="FF0000"/>
          <w:kern w:val="0"/>
          <w:sz w:val="26"/>
          <w:szCs w:val="26"/>
          <w:rtl/>
          <w14:ligatures w14:val="none"/>
        </w:rPr>
        <w:t>تنا</w:t>
      </w:r>
      <w:r>
        <w:rPr>
          <w:rFonts w:ascii="Simplified Arabic" w:eastAsia="Times New Roman" w:hAnsi="Simplified Arabic" w:cs="Simplified Arabic" w:hint="cs"/>
          <w:b/>
          <w:color w:val="FF0000"/>
          <w:kern w:val="0"/>
          <w:sz w:val="26"/>
          <w:szCs w:val="26"/>
          <w:rtl/>
          <w14:ligatures w14:val="none"/>
        </w:rPr>
        <w:t xml:space="preserve"> بوصفه كلمة الله الموحى بها والكافية لكلّ معرفةٍ لازمة لدينا من أجل أن نعرف الله ونسلك في طرقه فيما ننتظر عودة ربنا يسوع </w:t>
      </w:r>
      <w:r w:rsidR="0087706E">
        <w:rPr>
          <w:rFonts w:ascii="Simplified Arabic" w:eastAsia="Times New Roman" w:hAnsi="Simplified Arabic" w:cs="Simplified Arabic" w:hint="cs"/>
          <w:b/>
          <w:color w:val="FF0000"/>
          <w:kern w:val="0"/>
          <w:sz w:val="26"/>
          <w:szCs w:val="26"/>
          <w:rtl/>
          <w14:ligatures w14:val="none"/>
        </w:rPr>
        <w:t xml:space="preserve">ليُكمِل </w:t>
      </w:r>
      <w:r w:rsidR="00B36590">
        <w:rPr>
          <w:rFonts w:ascii="Simplified Arabic" w:eastAsia="Times New Roman" w:hAnsi="Simplified Arabic" w:cs="Simplified Arabic" w:hint="cs"/>
          <w:b/>
          <w:color w:val="FF0000"/>
          <w:kern w:val="0"/>
          <w:sz w:val="26"/>
          <w:szCs w:val="26"/>
          <w:rtl/>
          <w14:ligatures w14:val="none"/>
        </w:rPr>
        <w:t>و</w:t>
      </w:r>
      <w:r>
        <w:rPr>
          <w:rFonts w:ascii="Simplified Arabic" w:eastAsia="Times New Roman" w:hAnsi="Simplified Arabic" w:cs="Simplified Arabic" w:hint="cs"/>
          <w:b/>
          <w:color w:val="FF0000"/>
          <w:kern w:val="0"/>
          <w:sz w:val="26"/>
          <w:szCs w:val="26"/>
          <w:rtl/>
          <w14:ligatures w14:val="none"/>
        </w:rPr>
        <w:t xml:space="preserve">ينهي هذا الدهر ويؤسِّس ملكوته على الأرض. </w:t>
      </w:r>
    </w:p>
    <w:bookmarkEnd w:id="176"/>
    <w:bookmarkEnd w:id="177"/>
    <w:p w14:paraId="5E228C81" w14:textId="77777777" w:rsidR="00E16BAB" w:rsidRPr="00E16BAB" w:rsidRDefault="00E16BAB" w:rsidP="002D6C54">
      <w:pPr>
        <w:tabs>
          <w:tab w:val="left" w:pos="547"/>
          <w:tab w:val="left" w:pos="1094"/>
          <w:tab w:val="left" w:pos="1642"/>
          <w:tab w:val="left" w:pos="2189"/>
          <w:tab w:val="left" w:pos="2736"/>
          <w:tab w:val="left" w:pos="3283"/>
          <w:tab w:val="left" w:pos="3830"/>
          <w:tab w:val="left" w:pos="4378"/>
        </w:tabs>
        <w:spacing w:after="120" w:line="240" w:lineRule="auto"/>
        <w:jc w:val="both"/>
        <w:rPr>
          <w:rFonts w:eastAsia="Times New Roman" w:cs="Times New Roman"/>
          <w:color w:val="auto"/>
          <w:kern w:val="0"/>
          <w:szCs w:val="24"/>
          <w14:ligatures w14:val="none"/>
        </w:rPr>
      </w:pPr>
    </w:p>
    <w:p w14:paraId="2C045E91" w14:textId="77777777" w:rsidR="005A6A45" w:rsidRPr="00AD1196" w:rsidRDefault="005A6A45" w:rsidP="002D6C54">
      <w:pPr>
        <w:pStyle w:val="BodyTextIndent"/>
      </w:pPr>
    </w:p>
    <w:sectPr w:rsidR="005A6A45" w:rsidRPr="00AD1196" w:rsidSect="00CD6D28">
      <w:footerReference w:type="even" r:id="rId95"/>
      <w:footerReference w:type="default" r:id="rId96"/>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5EE1E88" w14:textId="77777777" w:rsidR="00E94098" w:rsidRDefault="00E94098">
      <w:pPr>
        <w:spacing w:after="0" w:line="240" w:lineRule="auto"/>
      </w:pPr>
      <w:r>
        <w:separator/>
      </w:r>
    </w:p>
  </w:endnote>
  <w:endnote w:type="continuationSeparator" w:id="0">
    <w:p w14:paraId="7A3FE87B" w14:textId="77777777" w:rsidR="00E94098" w:rsidRDefault="00E940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implified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Ezra SIL">
    <w:altName w:val="Arial"/>
    <w:panose1 w:val="02000400000000000000"/>
    <w:charset w:val="00"/>
    <w:family w:val="auto"/>
    <w:pitch w:val="variable"/>
    <w:sig w:usb0="00000803" w:usb1="40000000" w:usb2="00000000" w:usb3="00000000" w:csb0="00000021" w:csb1="00000000"/>
  </w:font>
  <w:font w:name="DecoType Naskh">
    <w:altName w:val="Arial"/>
    <w:charset w:val="B2"/>
    <w:family w:val="auto"/>
    <w:pitch w:val="variable"/>
    <w:sig w:usb0="00002001" w:usb1="80000000" w:usb2="00000008" w:usb3="00000000" w:csb0="00000040" w:csb1="00000000"/>
  </w:font>
  <w:font w:name="Traditional Arabic Backslanted">
    <w:altName w:val="Arial"/>
    <w:charset w:val="B2"/>
    <w:family w:val="auto"/>
    <w:pitch w:val="variable"/>
    <w:sig w:usb0="00002000" w:usb1="00000000" w:usb2="00000000" w:usb3="00000000" w:csb0="00000040" w:csb1="00000000"/>
  </w:font>
  <w:font w:name="SimSun">
    <w:altName w:val="宋体"/>
    <w:panose1 w:val="02010600030101010101"/>
    <w:charset w:val="86"/>
    <w:family w:val="auto"/>
    <w:pitch w:val="variable"/>
    <w:sig w:usb0="00000203" w:usb1="288F0000" w:usb2="00000016" w:usb3="00000000" w:csb0="00040001" w:csb1="00000000"/>
  </w:font>
  <w:font w:name="Charis SIL">
    <w:altName w:val="Calibri"/>
    <w:panose1 w:val="02000500060000020004"/>
    <w:charset w:val="00"/>
    <w:family w:val="auto"/>
    <w:pitch w:val="variable"/>
    <w:sig w:usb0="A00002FF" w:usb1="5200A1FF" w:usb2="02000009" w:usb3="00000000" w:csb0="00000197" w:csb1="00000000"/>
  </w:font>
  <w:font w:name="Hebrew">
    <w:altName w:val="Calibri"/>
    <w:panose1 w:val="020B0500000000000000"/>
    <w:charset w:val="00"/>
    <w:family w:val="swiss"/>
    <w:pitch w:val="variable"/>
    <w:sig w:usb0="00000003" w:usb1="00000000" w:usb2="00000000" w:usb3="00000000" w:csb0="00000001" w:csb1="00000000"/>
  </w:font>
  <w:font w:name="Hebrewtl">
    <w:altName w:val="Calibri"/>
    <w:panose1 w:val="020B0500000000000000"/>
    <w:charset w:val="00"/>
    <w:family w:val="swiss"/>
    <w:pitch w:val="variable"/>
    <w:sig w:usb0="00000003" w:usb1="00000000" w:usb2="00000000" w:usb3="00000000" w:csb0="00000001" w:csb1="00000000"/>
  </w:font>
  <w:font w:name="Aptos">
    <w:charset w:val="00"/>
    <w:family w:val="swiss"/>
    <w:pitch w:val="variable"/>
    <w:sig w:usb0="20000287" w:usb1="00000003" w:usb2="00000000" w:usb3="00000000" w:csb0="0000019F" w:csb1="00000000"/>
  </w:font>
  <w:font w:name="Greek">
    <w:altName w:val="Calibri"/>
    <w:panose1 w:val="00000400000000000000"/>
    <w:charset w:val="00"/>
    <w:family w:val="auto"/>
    <w:pitch w:val="variable"/>
    <w:sig w:usb0="00000003" w:usb1="00000000" w:usb2="00000000" w:usb3="00000000" w:csb0="00000001" w:csb1="00000000"/>
  </w:font>
  <w:font w:name="Hebrewbk">
    <w:altName w:val="Calibri"/>
    <w:panose1 w:val="00000000000000000000"/>
    <w:charset w:val="00"/>
    <w:family w:val="script"/>
    <w:notTrueType/>
    <w:pitch w:val="default"/>
    <w:sig w:usb0="00000003" w:usb1="00000000" w:usb2="00000000" w:usb3="00000000" w:csb0="00000001" w:csb1="00000000"/>
  </w:font>
  <w:font w:name="Traditional Arabic">
    <w:panose1 w:val="02020603050405020304"/>
    <w:charset w:val="00"/>
    <w:family w:val="roman"/>
    <w:pitch w:val="variable"/>
    <w:sig w:usb0="00002003" w:usb1="80000000" w:usb2="00000008" w:usb3="00000000" w:csb0="00000041" w:csb1="00000000"/>
  </w:font>
  <w:font w:name="Gentium">
    <w:altName w:val="Calibri"/>
    <w:panose1 w:val="02000503060000020004"/>
    <w:charset w:val="00"/>
    <w:family w:val="auto"/>
    <w:pitch w:val="variable"/>
    <w:sig w:usb0="E00000FF" w:usb1="00000003" w:usb2="00000000" w:usb3="00000000" w:csb0="0000001B" w:csb1="00000000"/>
  </w:font>
  <w:font w:name="HebraicaII">
    <w:altName w:val="Symbol"/>
    <w:panose1 w:val="00000400000000000000"/>
    <w:charset w:val="02"/>
    <w:family w:val="auto"/>
    <w:pitch w:val="variable"/>
    <w:sig w:usb0="00000000" w:usb1="10000000" w:usb2="00000000" w:usb3="00000000" w:csb0="80000000" w:csb1="00000000"/>
  </w:font>
  <w:font w:name="SBL Hebrew">
    <w:altName w:val="Arial"/>
    <w:panose1 w:val="02000000000000000000"/>
    <w:charset w:val="00"/>
    <w:family w:val="auto"/>
    <w:pitch w:val="variable"/>
    <w:sig w:usb0="8000086F" w:usb1="4000204A" w:usb2="00000000" w:usb3="00000000" w:csb0="00000021" w:csb1="00000000"/>
  </w:font>
  <w:font w:name="Cambria">
    <w:panose1 w:val="02040503050406030204"/>
    <w:charset w:val="00"/>
    <w:family w:val="roman"/>
    <w:pitch w:val="variable"/>
    <w:sig w:usb0="E00006FF" w:usb1="420024FF" w:usb2="02000000" w:usb3="00000000" w:csb0="0000019F" w:csb1="00000000"/>
  </w:font>
  <w:font w:name="Akhbar MT">
    <w:altName w:val="Arial"/>
    <w:charset w:val="B2"/>
    <w:family w:val="auto"/>
    <w:pitch w:val="variable"/>
    <w:sig w:usb0="00002001" w:usb1="00000000" w:usb2="00000000" w:usb3="00000000" w:csb0="0000004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F0D957" w14:textId="77777777" w:rsidR="00B6510D" w:rsidRPr="00F14735" w:rsidRDefault="00A17250" w:rsidP="00A17250">
    <w:pPr>
      <w:pStyle w:val="Footer"/>
      <w:pBdr>
        <w:top w:val="single" w:sz="4" w:space="8" w:color="4472C4" w:themeColor="accent1"/>
      </w:pBdr>
      <w:tabs>
        <w:tab w:val="clear" w:pos="4680"/>
        <w:tab w:val="clear" w:pos="9360"/>
      </w:tabs>
      <w:spacing w:before="360"/>
      <w:contextualSpacing/>
      <w:jc w:val="right"/>
      <w:rPr>
        <w:noProof/>
        <w:color w:val="404040" w:themeColor="text1" w:themeTint="BF"/>
      </w:rPr>
    </w:pPr>
    <w:r>
      <w:rPr>
        <w:noProof/>
        <w:color w:val="404040" w:themeColor="text1" w:themeTint="BF"/>
      </w:rPr>
      <w:fldChar w:fldCharType="begin"/>
    </w:r>
    <w:r>
      <w:rPr>
        <w:noProof/>
        <w:color w:val="404040" w:themeColor="text1" w:themeTint="BF"/>
      </w:rPr>
      <w:instrText xml:space="preserve"> PAGE   \* MERGEFORMAT </w:instrText>
    </w:r>
    <w:r>
      <w:rPr>
        <w:noProof/>
        <w:color w:val="404040" w:themeColor="text1" w:themeTint="BF"/>
      </w:rPr>
      <w:fldChar w:fldCharType="separate"/>
    </w:r>
    <w:r>
      <w:rPr>
        <w:noProof/>
        <w:color w:val="404040" w:themeColor="text1" w:themeTint="BF"/>
      </w:rPr>
      <w:t>8</w:t>
    </w:r>
    <w:r>
      <w:rPr>
        <w:noProof/>
        <w:color w:val="404040" w:themeColor="text1" w:themeTint="BF"/>
      </w:rPr>
      <w:fldChar w:fldCharType="end"/>
    </w:r>
    <w:r>
      <w:rPr>
        <w:noProof/>
        <w:color w:val="404040" w:themeColor="text1" w:themeTint="BF"/>
      </w:rPr>
      <w:t xml:space="preserve">                                                                                                                                      Unit 1 Introduction</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53586F" w14:textId="1F2D3D38" w:rsidR="00B6510D" w:rsidRPr="00F14735" w:rsidRDefault="00A17250" w:rsidP="00A17250">
    <w:pPr>
      <w:pStyle w:val="Footer"/>
      <w:pBdr>
        <w:top w:val="single" w:sz="4" w:space="8" w:color="4472C4" w:themeColor="accent1"/>
      </w:pBdr>
      <w:tabs>
        <w:tab w:val="clear" w:pos="4680"/>
        <w:tab w:val="clear" w:pos="9360"/>
      </w:tabs>
      <w:spacing w:before="360"/>
      <w:contextualSpacing/>
      <w:rPr>
        <w:noProof/>
        <w:color w:val="404040" w:themeColor="text1" w:themeTint="BF"/>
      </w:rPr>
    </w:pPr>
    <w:r>
      <w:rPr>
        <w:noProof/>
        <w:color w:val="404040" w:themeColor="text1" w:themeTint="BF"/>
      </w:rPr>
      <w:t xml:space="preserve">     </w:t>
    </w:r>
    <w:r w:rsidR="00361C47">
      <w:rPr>
        <w:noProof/>
        <w:color w:val="404040" w:themeColor="text1" w:themeTint="BF"/>
      </w:rPr>
      <w:t xml:space="preserve"> </w:t>
    </w:r>
    <w:r>
      <w:rPr>
        <w:noProof/>
        <w:color w:val="404040" w:themeColor="text1" w:themeTint="BF"/>
      </w:rPr>
      <w:t xml:space="preserve">  </w:t>
    </w:r>
    <w:r w:rsidR="00DC7FD4">
      <w:rPr>
        <w:noProof/>
        <w:color w:val="404040" w:themeColor="text1" w:themeTint="BF"/>
      </w:rPr>
      <w:t xml:space="preserve">  </w:t>
    </w:r>
    <w:r>
      <w:rPr>
        <w:noProof/>
        <w:color w:val="404040" w:themeColor="text1" w:themeTint="BF"/>
      </w:rPr>
      <w:t xml:space="preserve">                                                                         </w:t>
    </w:r>
    <w:r w:rsidR="00EE2435">
      <w:rPr>
        <w:noProof/>
        <w:color w:val="404040" w:themeColor="text1" w:themeTint="BF"/>
      </w:rPr>
      <w:t xml:space="preserve">                               </w:t>
    </w:r>
    <w:r>
      <w:rPr>
        <w:noProof/>
        <w:color w:val="404040" w:themeColor="text1" w:themeTint="BF"/>
      </w:rPr>
      <w:t xml:space="preserve">                                    </w:t>
    </w:r>
    <w:r w:rsidRPr="003D08C2">
      <w:rPr>
        <w:noProof/>
        <w:color w:val="404040" w:themeColor="text1" w:themeTint="BF"/>
      </w:rPr>
      <w:fldChar w:fldCharType="begin"/>
    </w:r>
    <w:r w:rsidRPr="003D08C2">
      <w:rPr>
        <w:noProof/>
        <w:color w:val="404040" w:themeColor="text1" w:themeTint="BF"/>
      </w:rPr>
      <w:instrText xml:space="preserve"> PAGE   \* MERGEFORMAT </w:instrText>
    </w:r>
    <w:r w:rsidRPr="003D08C2">
      <w:rPr>
        <w:noProof/>
        <w:color w:val="404040" w:themeColor="text1" w:themeTint="BF"/>
      </w:rPr>
      <w:fldChar w:fldCharType="separate"/>
    </w:r>
    <w:r>
      <w:rPr>
        <w:noProof/>
        <w:color w:val="404040" w:themeColor="text1" w:themeTint="BF"/>
      </w:rPr>
      <w:t>7</w:t>
    </w:r>
    <w:r w:rsidRPr="003D08C2">
      <w:rPr>
        <w:noProof/>
        <w:color w:val="404040" w:themeColor="text1" w:themeTint="B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ECED2A" w14:textId="77777777" w:rsidR="00E94098" w:rsidRPr="007E6EB4" w:rsidRDefault="00E94098">
      <w:pPr>
        <w:spacing w:after="0" w:line="240" w:lineRule="auto"/>
        <w:rPr>
          <w:color w:val="000000" w:themeColor="text1"/>
        </w:rPr>
      </w:pPr>
      <w:r w:rsidRPr="007E6EB4">
        <w:rPr>
          <w:color w:val="000000" w:themeColor="text1"/>
        </w:rPr>
        <w:separator/>
      </w:r>
    </w:p>
  </w:footnote>
  <w:footnote w:type="continuationSeparator" w:id="0">
    <w:p w14:paraId="22DE3E21" w14:textId="77777777" w:rsidR="00E94098" w:rsidRDefault="00E94098">
      <w:pPr>
        <w:spacing w:after="0" w:line="240" w:lineRule="auto"/>
      </w:pPr>
      <w:r>
        <w:continuationSeparator/>
      </w:r>
    </w:p>
  </w:footnote>
  <w:footnote w:id="1">
    <w:p w14:paraId="5E47F94A" w14:textId="780AFA9D" w:rsidR="00E9703D" w:rsidRPr="00E9703D" w:rsidRDefault="00E9703D" w:rsidP="00E9703D">
      <w:pPr>
        <w:pStyle w:val="FootnoteText"/>
        <w:bidi/>
        <w:rPr>
          <w:rtl/>
          <w:lang w:bidi="ar-JO"/>
        </w:rPr>
      </w:pPr>
      <w:r>
        <w:rPr>
          <w:rStyle w:val="FootnoteReference"/>
        </w:rPr>
        <w:footnoteRef/>
      </w:r>
      <w:r>
        <w:t xml:space="preserve"> </w:t>
      </w:r>
      <w:r>
        <w:rPr>
          <w:rFonts w:hint="cs"/>
          <w:rtl/>
          <w:lang w:bidi="ar-JO"/>
        </w:rPr>
        <w:t xml:space="preserve">للاطّلاع على محاججة تؤيّد تواريخ الترجمة السبعينيّة لسفر التكوين 5 و11، انظر </w:t>
      </w:r>
      <w:r w:rsidR="00835AEB" w:rsidRPr="00E073B6">
        <w:rPr>
          <w:color w:val="auto"/>
        </w:rPr>
        <w:t>Henry B. Smith, Jr., “</w:t>
      </w:r>
      <w:hyperlink r:id="rId1" w:tgtFrame="_blank" w:history="1">
        <w:r w:rsidR="00835AEB" w:rsidRPr="00E073B6">
          <w:rPr>
            <w:rStyle w:val="Hyperlink1"/>
            <w:color w:val="auto"/>
          </w:rPr>
          <w:t>The Case for the Septuagint’s Chronology in Genesis 5 and 11</w:t>
        </w:r>
      </w:hyperlink>
      <w:r w:rsidR="00835AEB" w:rsidRPr="00E073B6">
        <w:rPr>
          <w:color w:val="auto"/>
        </w:rPr>
        <w:t xml:space="preserve">,” in </w:t>
      </w:r>
      <w:r w:rsidR="00835AEB" w:rsidRPr="00E073B6">
        <w:rPr>
          <w:i/>
          <w:iCs/>
          <w:color w:val="auto"/>
        </w:rPr>
        <w:t>Proceedings of the Eighth International Conference on Creationism</w:t>
      </w:r>
      <w:r w:rsidR="00835AEB" w:rsidRPr="00E073B6">
        <w:rPr>
          <w:color w:val="auto"/>
        </w:rPr>
        <w:t>, ed. J.H. Whitmore, 117–132 (Pittsburgh, Pennsylvania: Creation Science Fellowship, 2018)</w:t>
      </w:r>
      <w:r>
        <w:rPr>
          <w:rFonts w:hint="cs"/>
          <w:rtl/>
          <w:lang w:bidi="ar-JO"/>
        </w:rPr>
        <w:t>.</w:t>
      </w:r>
    </w:p>
  </w:footnote>
  <w:footnote w:id="2">
    <w:p w14:paraId="1C3380BA" w14:textId="77777777" w:rsidR="00C252DA" w:rsidRDefault="00C252DA" w:rsidP="00C252DA">
      <w:pPr>
        <w:pStyle w:val="FootnoteTxtNewParag"/>
        <w:bidi w:val="0"/>
      </w:pPr>
      <w:r>
        <w:rPr>
          <w:rStyle w:val="FootnoteReference"/>
          <w:rFonts w:hint="cs"/>
          <w:sz w:val="26"/>
          <w:szCs w:val="24"/>
          <w:rtl/>
        </w:rPr>
        <w:t>1</w:t>
      </w:r>
      <w:r>
        <w:rPr>
          <w:rFonts w:hint="cs"/>
          <w:sz w:val="22"/>
          <w:rtl/>
        </w:rPr>
        <w:t xml:space="preserve"> </w:t>
      </w:r>
      <w:r>
        <w:t>Allen Ross, “The Nature of Genesis,” (class lecture notes, Dallas Seminary, 1979), 23</w:t>
      </w:r>
    </w:p>
  </w:footnote>
  <w:footnote w:id="3">
    <w:p w14:paraId="7EDE12BE" w14:textId="77777777" w:rsidR="00C252DA" w:rsidRDefault="00C252DA" w:rsidP="00C252DA">
      <w:pPr>
        <w:pStyle w:val="FootnoteTxtNewParag"/>
        <w:rPr>
          <w:rtl/>
        </w:rPr>
      </w:pPr>
      <w:r>
        <w:rPr>
          <w:rStyle w:val="FootnoteReference"/>
          <w:rFonts w:hint="cs"/>
          <w:sz w:val="26"/>
          <w:szCs w:val="24"/>
          <w:rtl/>
        </w:rPr>
        <w:t>2</w:t>
      </w:r>
      <w:r>
        <w:rPr>
          <w:rFonts w:hint="cs"/>
          <w:rtl/>
        </w:rPr>
        <w:t xml:space="preserve"> ملاحظة صفّية، كلية دالاس للاهوت، 1976.</w:t>
      </w:r>
    </w:p>
  </w:footnote>
  <w:footnote w:id="4">
    <w:p w14:paraId="2882058D" w14:textId="77777777" w:rsidR="00C252DA" w:rsidRDefault="00C252DA" w:rsidP="00C252DA">
      <w:pPr>
        <w:pStyle w:val="FootnoteTxtNewParag"/>
        <w:bidi w:val="0"/>
      </w:pPr>
      <w:r>
        <w:rPr>
          <w:rStyle w:val="FootnoteReference"/>
          <w:rFonts w:hint="cs"/>
          <w:sz w:val="26"/>
          <w:szCs w:val="24"/>
          <w:rtl/>
        </w:rPr>
        <w:t>3</w:t>
      </w:r>
      <w:r>
        <w:rPr>
          <w:rFonts w:hint="cs"/>
          <w:rtl/>
        </w:rPr>
        <w:t xml:space="preserve"> </w:t>
      </w:r>
      <w:r>
        <w:t>Segal, The Pentateuch, 23</w:t>
      </w:r>
    </w:p>
  </w:footnote>
  <w:footnote w:id="5">
    <w:p w14:paraId="1F1BB5E3" w14:textId="77777777" w:rsidR="00C252DA" w:rsidRDefault="00C252DA" w:rsidP="00C252DA">
      <w:pPr>
        <w:pStyle w:val="FootnoteTxtNewParag"/>
        <w:rPr>
          <w:rtl/>
        </w:rPr>
      </w:pPr>
      <w:r>
        <w:rPr>
          <w:rStyle w:val="FootnoteReference"/>
          <w:rFonts w:hint="cs"/>
          <w:sz w:val="26"/>
          <w:szCs w:val="24"/>
          <w:rtl/>
        </w:rPr>
        <w:t>4</w:t>
      </w:r>
      <w:r>
        <w:rPr>
          <w:rFonts w:hint="cs"/>
          <w:rtl/>
        </w:rPr>
        <w:t xml:space="preserve"> المرجع السابق.</w:t>
      </w:r>
    </w:p>
  </w:footnote>
  <w:footnote w:id="6">
    <w:p w14:paraId="051D79C5" w14:textId="77777777" w:rsidR="00C252DA" w:rsidRDefault="00C252DA" w:rsidP="00C252DA">
      <w:pPr>
        <w:pStyle w:val="FootnoteTxtNewParag"/>
        <w:bidi w:val="0"/>
      </w:pPr>
      <w:r>
        <w:rPr>
          <w:rStyle w:val="FootnoteReference"/>
          <w:rFonts w:hint="cs"/>
          <w:sz w:val="26"/>
          <w:szCs w:val="24"/>
          <w:rtl/>
        </w:rPr>
        <w:t>5</w:t>
      </w:r>
      <w:r>
        <w:rPr>
          <w:rFonts w:hint="cs"/>
          <w:sz w:val="22"/>
          <w:rtl/>
        </w:rPr>
        <w:t xml:space="preserve"> </w:t>
      </w:r>
      <w:r>
        <w:t>Segal, 28</w:t>
      </w:r>
    </w:p>
  </w:footnote>
  <w:footnote w:id="7">
    <w:p w14:paraId="56D525CD" w14:textId="77777777" w:rsidR="00C252DA" w:rsidRDefault="00C252DA" w:rsidP="00C252DA">
      <w:pPr>
        <w:pStyle w:val="FootnoteTxtNewParag"/>
        <w:bidi w:val="0"/>
      </w:pPr>
      <w:r>
        <w:rPr>
          <w:rStyle w:val="FootnoteReference"/>
          <w:rFonts w:hint="cs"/>
          <w:sz w:val="26"/>
          <w:szCs w:val="24"/>
          <w:rtl/>
        </w:rPr>
        <w:t>6</w:t>
      </w:r>
      <w:r>
        <w:rPr>
          <w:rFonts w:hint="cs"/>
          <w:sz w:val="22"/>
          <w:rtl/>
        </w:rPr>
        <w:t xml:space="preserve"> </w:t>
      </w:r>
      <w:r>
        <w:t>Allen Ross, “The Literary Composition of Genesis” (class notes, Dallas Seminary, 1979), 7</w:t>
      </w:r>
      <w:r>
        <w:rPr>
          <w:rFonts w:hint="cs"/>
          <w:rtl/>
        </w:rPr>
        <w:t>.</w:t>
      </w:r>
    </w:p>
  </w:footnote>
  <w:footnote w:id="8">
    <w:p w14:paraId="4A17FBE5" w14:textId="77777777" w:rsidR="00C252DA" w:rsidRDefault="00C252DA" w:rsidP="00C252DA">
      <w:pPr>
        <w:pStyle w:val="FootnoteTxtNewParag"/>
        <w:bidi w:val="0"/>
        <w:rPr>
          <w:vertAlign w:val="superscript"/>
        </w:rPr>
      </w:pPr>
      <w:r>
        <w:rPr>
          <w:rStyle w:val="FootnoteReference"/>
          <w:rFonts w:hint="cs"/>
          <w:sz w:val="26"/>
          <w:szCs w:val="24"/>
          <w:rtl/>
        </w:rPr>
        <w:t>7</w:t>
      </w:r>
      <w:r>
        <w:rPr>
          <w:rFonts w:hint="cs"/>
          <w:sz w:val="22"/>
          <w:rtl/>
        </w:rPr>
        <w:t xml:space="preserve"> </w:t>
      </w:r>
      <w:r>
        <w:rPr>
          <w:sz w:val="22"/>
        </w:rPr>
        <w:t xml:space="preserve"> </w:t>
      </w:r>
      <w:r>
        <w:t xml:space="preserve">Derek Kidner, </w:t>
      </w:r>
      <w:r>
        <w:rPr>
          <w:i/>
          <w:iCs/>
        </w:rPr>
        <w:t>Genesis</w:t>
      </w:r>
      <w:r>
        <w:t>, Tyndale Commentaries, 224</w:t>
      </w:r>
      <w:r>
        <w:rPr>
          <w:rFonts w:hint="cs"/>
          <w:rtl/>
        </w:rPr>
        <w:t>.</w:t>
      </w:r>
    </w:p>
  </w:footnote>
  <w:footnote w:id="9">
    <w:p w14:paraId="377B6397" w14:textId="77777777" w:rsidR="00E84DB1" w:rsidRDefault="00E84DB1" w:rsidP="00E84DB1">
      <w:pPr>
        <w:pStyle w:val="FootnoteTxtNewParag"/>
        <w:rPr>
          <w:rtl/>
        </w:rPr>
      </w:pPr>
      <w:r>
        <w:rPr>
          <w:rStyle w:val="FootnoteReference"/>
          <w:rFonts w:hint="cs"/>
          <w:sz w:val="26"/>
          <w:szCs w:val="24"/>
          <w:rtl/>
        </w:rPr>
        <w:t>1</w:t>
      </w:r>
      <w:r>
        <w:rPr>
          <w:rFonts w:hint="cs"/>
          <w:rtl/>
        </w:rPr>
        <w:t xml:space="preserve"> إن الجدل حول مسألة الخلق بمقابل التطوّر أمر حديث.  الرواية الكتابية تقدّم الإنسان كناتج لعملية خلق مباشرة من الله، لا كنتيجة لعملية تطويرية.  لدراسة مسْحية لنظريات متعددة للخلق، انظر </w:t>
      </w:r>
      <w:r>
        <w:rPr>
          <w:lang w:bidi="ar-SA"/>
        </w:rPr>
        <w:t xml:space="preserve">J. P. Moreland and John Mark Reynolds, edd. </w:t>
      </w:r>
      <w:r>
        <w:rPr>
          <w:i/>
          <w:iCs/>
          <w:lang w:bidi="ar-SA"/>
        </w:rPr>
        <w:t xml:space="preserve"> </w:t>
      </w:r>
      <w:r>
        <w:rPr>
          <w:i/>
          <w:iCs/>
        </w:rPr>
        <w:t xml:space="preserve">Three Views on Creation and Evolution </w:t>
      </w:r>
      <w:r>
        <w:t xml:space="preserve">(Grand Rapids, MI: Zondervan Pub.  House, 1999).  </w:t>
      </w:r>
      <w:r>
        <w:rPr>
          <w:rFonts w:hint="cs"/>
          <w:rtl/>
        </w:rPr>
        <w:t xml:space="preserve"> </w:t>
      </w:r>
    </w:p>
  </w:footnote>
  <w:footnote w:id="10">
    <w:p w14:paraId="13A85F0A" w14:textId="77777777" w:rsidR="00E84DB1" w:rsidRDefault="00E84DB1" w:rsidP="00E84DB1">
      <w:pPr>
        <w:pStyle w:val="FootnoteTxtNewParag"/>
        <w:bidi w:val="0"/>
      </w:pPr>
      <w:r>
        <w:rPr>
          <w:rStyle w:val="FootnoteReference"/>
          <w:rFonts w:hint="cs"/>
          <w:sz w:val="26"/>
          <w:szCs w:val="24"/>
          <w:rtl/>
        </w:rPr>
        <w:t>2</w:t>
      </w:r>
      <w:r>
        <w:t>Cf. Thomas J. Finley, “Dimensions of the Hebrew Word for “Create” (</w:t>
      </w:r>
      <w:r w:rsidRPr="00933358">
        <w:rPr>
          <w:rFonts w:ascii="Ezra SIL" w:hAnsi="Ezra SIL" w:cs="Ezra SIL" w:hint="cs"/>
          <w:b/>
          <w:szCs w:val="18"/>
          <w:rtl/>
          <w:lang w:bidi="he-IL"/>
        </w:rPr>
        <w:t>בָּרָא</w:t>
      </w:r>
      <w:r>
        <w:t xml:space="preserve">) </w:t>
      </w:r>
      <w:r>
        <w:rPr>
          <w:i/>
          <w:iCs/>
        </w:rPr>
        <w:t>BibSac</w:t>
      </w:r>
      <w:r>
        <w:t xml:space="preserve"> 148 (Oct-Dec 1991) 409-23.</w:t>
      </w:r>
      <w:r>
        <w:rPr>
          <w:i/>
          <w:iCs/>
        </w:rPr>
        <w:t xml:space="preserve"> </w:t>
      </w:r>
    </w:p>
  </w:footnote>
  <w:footnote w:id="11">
    <w:p w14:paraId="3D52CB8A" w14:textId="77777777" w:rsidR="00E84DB1" w:rsidRDefault="00E84DB1" w:rsidP="00E84DB1">
      <w:pPr>
        <w:pStyle w:val="FootnoteTxtNewParag"/>
        <w:rPr>
          <w:rtl/>
        </w:rPr>
      </w:pPr>
      <w:r>
        <w:rPr>
          <w:rStyle w:val="FootnoteReference"/>
          <w:lang w:bidi="ar-SA"/>
        </w:rPr>
        <w:t>3</w:t>
      </w:r>
      <w:r>
        <w:rPr>
          <w:lang w:bidi="ar-SA"/>
        </w:rPr>
        <w:t xml:space="preserve"> </w:t>
      </w:r>
      <w:r>
        <w:rPr>
          <w:rFonts w:hint="cs"/>
          <w:rtl/>
        </w:rPr>
        <w:t xml:space="preserve"> في ما يتعلق بكون الإنسان "صورة الله"، انظر </w:t>
      </w:r>
      <w:r>
        <w:t xml:space="preserve">Charles Lee Feinberg, “The Image of God,” </w:t>
      </w:r>
      <w:r>
        <w:rPr>
          <w:i/>
          <w:iCs/>
        </w:rPr>
        <w:t>Bibsac</w:t>
      </w:r>
      <w:r>
        <w:t xml:space="preserve"> 129-515</w:t>
      </w:r>
      <w:r>
        <w:rPr>
          <w:rFonts w:hint="cs"/>
          <w:rtl/>
        </w:rPr>
        <w:t xml:space="preserve">. </w:t>
      </w:r>
    </w:p>
  </w:footnote>
  <w:footnote w:id="12">
    <w:p w14:paraId="2C573CDC" w14:textId="3B70DEEF" w:rsidR="00E84DB1" w:rsidRDefault="00E84DB1" w:rsidP="00E84DB1">
      <w:pPr>
        <w:pStyle w:val="FootnoteTxtNewParag"/>
        <w:rPr>
          <w:sz w:val="22"/>
          <w:rtl/>
        </w:rPr>
      </w:pPr>
      <w:r>
        <w:rPr>
          <w:rStyle w:val="FootnoteReference"/>
          <w:rFonts w:hint="cs"/>
          <w:sz w:val="26"/>
          <w:szCs w:val="24"/>
          <w:rtl/>
        </w:rPr>
        <w:t>4</w:t>
      </w:r>
      <w:r>
        <w:rPr>
          <w:rFonts w:hint="cs"/>
          <w:rtl/>
          <w:lang w:bidi="ar-SA"/>
        </w:rPr>
        <w:t xml:space="preserve"> </w:t>
      </w:r>
      <w:r>
        <w:rPr>
          <w:rFonts w:hint="cs"/>
          <w:rtl/>
        </w:rPr>
        <w:t xml:space="preserve">لقد أثارت مسألة </w:t>
      </w:r>
      <w:r>
        <w:rPr>
          <w:rFonts w:hint="cs"/>
          <w:i/>
          <w:iCs/>
          <w:rtl/>
        </w:rPr>
        <w:t>التعدّدية</w:t>
      </w:r>
      <w:r>
        <w:rPr>
          <w:rFonts w:hint="cs"/>
          <w:rtl/>
        </w:rPr>
        <w:t xml:space="preserve"> التي يوحي بها تعبير "نعمل" (لنعمَل) نقاشاً كثيراً، لكن لا يوجد لسوء الحظ إجماع على التفسير.  فالمفسرون الحديثون (بمن فيهم بعض المحافظين) يرفضون فكرة أن الثالوث كان في ذهن الكاتب عندما كتب.  ويبدو أن روس يفضّل اعتبار صيغة الجمع هنا على أنها "جمع الجلالة"، أي الجمع المستخدم للتوافق مع إيلوهيم (التي هي من ناحية فنية في صيغة الجمع في اللغة العبرية، على الرغم من أن هذه الكلمة تُترجم إلى "الله" في صيغة المفرد </w:t>
      </w:r>
      <w:r>
        <w:rPr>
          <w:rtl/>
        </w:rPr>
        <w:t>–</w:t>
      </w:r>
      <w:r>
        <w:rPr>
          <w:rFonts w:hint="cs"/>
          <w:rtl/>
        </w:rPr>
        <w:t xml:space="preserve"> انظر تكوين 11: 7 </w:t>
      </w:r>
      <w:r>
        <w:rPr>
          <w:lang w:bidi="ar-SA"/>
        </w:rPr>
        <w:t>Creation and Blessing, 112]</w:t>
      </w:r>
      <w:r>
        <w:rPr>
          <w:rFonts w:hint="cs"/>
          <w:rtl/>
          <w:lang w:bidi="ar-SA"/>
        </w:rPr>
        <w:t>]</w:t>
      </w:r>
      <w:r>
        <w:rPr>
          <w:rFonts w:hint="cs"/>
          <w:rtl/>
        </w:rPr>
        <w:t xml:space="preserve">) مشكلة رأي روس هي أننا لا نرى جمع المتكلم في تكوين 1: 29 ("أعطيتكم كل </w:t>
      </w:r>
      <w:r w:rsidR="00863244" w:rsidRPr="00863244">
        <w:rPr>
          <w:rFonts w:eastAsia="Aptos" w:cs="Arial" w:hint="cs"/>
          <w:kern w:val="2"/>
          <w:sz w:val="24"/>
          <w:szCs w:val="22"/>
          <w:rtl/>
          <w:lang w:bidi="ar-SA"/>
        </w:rPr>
        <w:t>بقلٍ</w:t>
      </w:r>
      <w:r>
        <w:rPr>
          <w:rFonts w:hint="cs"/>
          <w:rtl/>
        </w:rPr>
        <w:t xml:space="preserve">" كما نتوقع.  </w:t>
      </w:r>
      <w:r>
        <w:rPr>
          <w:rFonts w:hint="cs"/>
          <w:sz w:val="22"/>
          <w:rtl/>
        </w:rPr>
        <w:t xml:space="preserve">أمّا جوردون ونهام فيرفض هذا الرأي في كتاباته في سلسلة </w:t>
      </w:r>
      <w:r>
        <w:rPr>
          <w:lang w:bidi="ar-SA"/>
        </w:rPr>
        <w:t xml:space="preserve">World Commentary </w:t>
      </w:r>
      <w:r>
        <w:rPr>
          <w:rFonts w:hint="cs"/>
          <w:sz w:val="22"/>
          <w:rtl/>
        </w:rPr>
        <w:t>.  يقول، "إن ملاحظة جون (</w:t>
      </w:r>
      <w:r>
        <w:rPr>
          <w:sz w:val="22"/>
          <w:lang w:bidi="ar-SA"/>
        </w:rPr>
        <w:t>114e</w:t>
      </w:r>
      <w:r>
        <w:rPr>
          <w:rFonts w:hint="cs"/>
          <w:sz w:val="22"/>
          <w:rtl/>
        </w:rPr>
        <w:t>) أن المتكلم في "نعمل" (لنعمل)، أي نحن، كجمع للجلالة لا يستخدم مع الأفعال قد أدَّت إلى رفض هذا التفسير (</w:t>
      </w:r>
      <w:r>
        <w:rPr>
          <w:lang w:bidi="ar-SA"/>
        </w:rPr>
        <w:t>Genesis I-15-28</w:t>
      </w:r>
      <w:r>
        <w:rPr>
          <w:rFonts w:hint="cs"/>
          <w:sz w:val="22"/>
          <w:rtl/>
        </w:rPr>
        <w:t xml:space="preserve">).  لكن ونهام يرى بأن الخيار هو بين خيارين: (1) يخاطب الله هنا مجلسه السماوي، أي الملائكة (على الرغم من أنه هو وحده الذي يقوم بعملية الخلق)؛ أو (2) يستخدم الكاتب "جمع التدارُس" (أو جمع الحض الذاتيّ) </w:t>
      </w:r>
      <w:r>
        <w:rPr>
          <w:sz w:val="22"/>
          <w:rtl/>
        </w:rPr>
        <w:t>–</w:t>
      </w:r>
      <w:r>
        <w:rPr>
          <w:rFonts w:hint="cs"/>
          <w:sz w:val="22"/>
          <w:rtl/>
        </w:rPr>
        <w:t xml:space="preserve"> كما لو أن الله يحدّث نفسه، أو جمع التفخيم [لكن آخرين بيّنوا أن التركيب العبري في تكوين 18: 17 يضعف هذا الرأي].  ويبدو أن ونهام يفضّل فكرة المجلس السماوي.  يقول:</w:t>
      </w:r>
    </w:p>
    <w:p w14:paraId="29C68197" w14:textId="77777777" w:rsidR="00E84DB1" w:rsidRDefault="00E84DB1" w:rsidP="00E84DB1">
      <w:pPr>
        <w:pStyle w:val="FootnoteTxtNewParag"/>
        <w:rPr>
          <w:rtl/>
        </w:rPr>
      </w:pPr>
      <w:r>
        <w:rPr>
          <w:rFonts w:hint="cs"/>
          <w:rtl/>
        </w:rPr>
        <w:t>يوحي استخدام الفعل المفرد "خلق" في 1: 27 بأن الله عمل وحده في خلق الجنس البشري.  ولهذا يجب اعتبار "نعمل" (أي "لنخلق") على أنها إعلان إلهي في البلاط السماوي، لافتاً انتباه جند الملائكة إلى تحفة الخليقة، الإنسان.  فكما قال أيّوب 38: 4، 7: "عندما أُسستُ الأرض ... هتف جميع بني الله (فرحاً)" (قارن لوقا 2: 13-14) (</w:t>
      </w:r>
      <w:r>
        <w:rPr>
          <w:lang w:bidi="ar-SA"/>
        </w:rPr>
        <w:t>Wenham 28</w:t>
      </w:r>
      <w:r>
        <w:rPr>
          <w:rFonts w:hint="cs"/>
          <w:rtl/>
        </w:rPr>
        <w:t>).</w:t>
      </w:r>
    </w:p>
    <w:p w14:paraId="3F664423" w14:textId="77777777" w:rsidR="00E84DB1" w:rsidRDefault="00E84DB1" w:rsidP="00E84DB1">
      <w:pPr>
        <w:pStyle w:val="FootnoteTxtNewParag"/>
        <w:rPr>
          <w:rtl/>
        </w:rPr>
      </w:pPr>
      <w:r>
        <w:rPr>
          <w:rFonts w:hint="cs"/>
          <w:rtl/>
        </w:rPr>
        <w:t xml:space="preserve">ولكن رأى المجلس السماوي ليس من دون مشاكل أيضاً.  فإن كان يتكلم والمجلس الملائكي في فكره، فهل تتضمن الكلمات "على صورتنا" (ع 26) أن صورة الإنسان ليست على صورة الله فقط، ولكن على صورة الملائكة أيضاُ؟  وكذلك يبدو أن إشعياء 40: 14 يقترح أن الله لم يستشر أحداً في قيامه بالخلق. </w:t>
      </w:r>
    </w:p>
    <w:p w14:paraId="5150DB17" w14:textId="77777777" w:rsidR="00E84DB1" w:rsidRDefault="00E84DB1" w:rsidP="00E84DB1">
      <w:pPr>
        <w:pStyle w:val="FootnoteTxtNewParag"/>
        <w:rPr>
          <w:sz w:val="22"/>
          <w:rtl/>
        </w:rPr>
      </w:pPr>
      <w:r>
        <w:rPr>
          <w:rFonts w:hint="cs"/>
          <w:rtl/>
        </w:rPr>
        <w:t xml:space="preserve">ولقد عبّر حديثاً فكتور هاملتون </w:t>
      </w:r>
      <w:r>
        <w:rPr>
          <w:lang w:bidi="ar-SA"/>
        </w:rPr>
        <w:t>Victor Hamilton (The Book of Genesis, Chapter 1-17, NICOT, 134)</w:t>
      </w:r>
      <w:r>
        <w:rPr>
          <w:rFonts w:hint="cs"/>
          <w:rtl/>
        </w:rPr>
        <w:t xml:space="preserve"> عن تفصيله لفكرة أن صيغة الجمع تعكس التعددية ضمن الوحدة في الله (على الرغم من أنه لا يؤكد صراحة فهماً ثالوثياً لهذا التعبير).  وقد سبق أن تحدثت الآية الثانية عن </w:t>
      </w:r>
      <w:r>
        <w:rPr>
          <w:rFonts w:hint="cs"/>
          <w:i/>
          <w:iCs/>
          <w:rtl/>
        </w:rPr>
        <w:t>الروح</w:t>
      </w:r>
      <w:r>
        <w:rPr>
          <w:rFonts w:hint="cs"/>
          <w:rtl/>
        </w:rPr>
        <w:t xml:space="preserve"> (مفترضاً أن الكلمة العبرية </w:t>
      </w:r>
      <w:r>
        <w:rPr>
          <w:rFonts w:hint="cs"/>
          <w:i/>
          <w:iCs/>
          <w:rtl/>
        </w:rPr>
        <w:t>رواخ</w:t>
      </w:r>
      <w:r>
        <w:rPr>
          <w:rFonts w:hint="cs"/>
          <w:rtl/>
        </w:rPr>
        <w:t xml:space="preserve"> يجب أن تترجم إلى "روح" وليس إلى "ريح")- مخبرةً إيانا أن الله معقَّد الكينونة. انظر </w:t>
      </w:r>
      <w:r>
        <w:rPr>
          <w:lang w:bidi="ar-SA"/>
        </w:rPr>
        <w:t xml:space="preserve">D. J. A. Clines, “The Image of God in Man,” </w:t>
      </w:r>
      <w:r>
        <w:rPr>
          <w:i/>
          <w:iCs/>
          <w:lang w:bidi="ar-SA"/>
        </w:rPr>
        <w:t>TynBul</w:t>
      </w:r>
      <w:r>
        <w:rPr>
          <w:lang w:bidi="ar-SA"/>
        </w:rPr>
        <w:t xml:space="preserve"> 19 (1968): 62-69; and G. Hasel, “The Meaning of ‘Let US’ in Gen.  1: 26,” AUSS 13 (1975); 58-66.</w:t>
      </w:r>
      <w:r>
        <w:rPr>
          <w:rFonts w:hint="cs"/>
          <w:rtl/>
        </w:rPr>
        <w:t xml:space="preserve"> وهاملتون على الأرجح على الطريق الصحيح-إذ توجد تعدّدية سامية في الله الواحد، وهو أمر ينعكس في التعددية البشرية للإنسان ("فخلق الله الإنسان... ذكراً وأنثى خلقهم" </w:t>
      </w:r>
      <w:r>
        <w:rPr>
          <w:rtl/>
        </w:rPr>
        <w:t>–</w:t>
      </w:r>
      <w:r>
        <w:rPr>
          <w:rFonts w:hint="cs"/>
          <w:rtl/>
        </w:rPr>
        <w:t xml:space="preserve"> الآية 27؛ قارن 5: 1-2).  ويقدم سيلهامر شرحاً جيّداً لهذا الرأي </w:t>
      </w:r>
      <w:r>
        <w:rPr>
          <w:lang w:bidi="ar-SA"/>
        </w:rPr>
        <w:t xml:space="preserve">(“Genesis,” </w:t>
      </w:r>
      <w:r>
        <w:rPr>
          <w:i/>
          <w:iCs/>
          <w:lang w:bidi="ar-SA"/>
        </w:rPr>
        <w:t xml:space="preserve">The Expositor’s Bible Commentary </w:t>
      </w:r>
      <w:r>
        <w:rPr>
          <w:lang w:bidi="ar-SA"/>
        </w:rPr>
        <w:t xml:space="preserve">1: 38) </w:t>
      </w:r>
      <w:r>
        <w:rPr>
          <w:rFonts w:hint="cs"/>
          <w:rtl/>
          <w:lang w:bidi="ar-SA"/>
        </w:rPr>
        <w:t xml:space="preserve"> </w:t>
      </w:r>
      <w:r>
        <w:rPr>
          <w:rFonts w:hint="cs"/>
          <w:sz w:val="22"/>
          <w:rtl/>
        </w:rPr>
        <w:t>يقول: "إذا تبعنا هذا المفتاح أو الإشارة القوية، فإن التعددية الإلهية المعبرّ عنها في الآية 26 تُرى كتوقع للتعددية البشرية في الرجل والمرأة، وهي بهذا تعطي العلاقة البشرية بين الرجل والمرأة دوراً يعكس علاقة الله الشخصية مع نفسه."  وعلى الرغم من هذا المنهج لا يثبت الثالوث بشكل صريح، إلاّ أنه يسمح بتعقيد في الكينونة الإلهية سيتم التعمّق فيه في مواضع أخرى من الكتاب المقدس.  غير أننا نختار أن نفسّر صيغة الجمع المذهلة في تكوين 1: 26 فنقول إنه أمر واضح أن يسوع المسيح يصوَّر هنا بصفته الله الخالق (كما يوضح العهد الجديد).</w:t>
      </w:r>
    </w:p>
  </w:footnote>
  <w:footnote w:id="13">
    <w:p w14:paraId="6986CDE0" w14:textId="77777777" w:rsidR="00E84DB1" w:rsidRDefault="00E84DB1" w:rsidP="00E84DB1">
      <w:pPr>
        <w:pStyle w:val="FootnoteTxtNewParag"/>
        <w:bidi w:val="0"/>
      </w:pPr>
      <w:r>
        <w:rPr>
          <w:rStyle w:val="FootnoteReference"/>
          <w:rFonts w:hint="cs"/>
          <w:sz w:val="26"/>
          <w:szCs w:val="24"/>
          <w:rtl/>
        </w:rPr>
        <w:t>1</w:t>
      </w:r>
      <w:r>
        <w:rPr>
          <w:rFonts w:hint="cs"/>
          <w:sz w:val="22"/>
          <w:rtl/>
        </w:rPr>
        <w:t xml:space="preserve"> </w:t>
      </w:r>
      <w:r>
        <w:t xml:space="preserve">Bruce K. Waltke, </w:t>
      </w:r>
      <w:r>
        <w:rPr>
          <w:i/>
          <w:iCs/>
        </w:rPr>
        <w:t>Creation and Chaos</w:t>
      </w:r>
      <w:r>
        <w:t xml:space="preserve">; cited in Mark Rooker, “Creation or Re-Creation?” </w:t>
      </w:r>
      <w:r>
        <w:rPr>
          <w:i/>
          <w:iCs/>
        </w:rPr>
        <w:t>BibSac</w:t>
      </w:r>
      <w:r>
        <w:t xml:space="preserve"> 149-596 (Oct-Dec 1992): 414. </w:t>
      </w:r>
    </w:p>
  </w:footnote>
  <w:footnote w:id="14">
    <w:p w14:paraId="7394F49F" w14:textId="77777777" w:rsidR="00E84DB1" w:rsidRDefault="00E84DB1" w:rsidP="00E84DB1">
      <w:pPr>
        <w:pStyle w:val="FootnoteTxtNewParag"/>
        <w:bidi w:val="0"/>
        <w:rPr>
          <w:i/>
          <w:iCs/>
        </w:rPr>
      </w:pPr>
      <w:r>
        <w:rPr>
          <w:rStyle w:val="FootnoteReference"/>
          <w:rFonts w:hint="cs"/>
          <w:sz w:val="26"/>
          <w:szCs w:val="24"/>
          <w:rtl/>
        </w:rPr>
        <w:t>2</w:t>
      </w:r>
      <w:r>
        <w:rPr>
          <w:rFonts w:hint="cs"/>
          <w:sz w:val="22"/>
          <w:rtl/>
        </w:rPr>
        <w:t xml:space="preserve"> </w:t>
      </w:r>
      <w:r>
        <w:t xml:space="preserve">Custance, </w:t>
      </w:r>
      <w:r>
        <w:rPr>
          <w:i/>
          <w:iCs/>
        </w:rPr>
        <w:t>Without Form and Void</w:t>
      </w:r>
      <w:r>
        <w:t xml:space="preserve"> (Brockville, Ontario: n. p., 1970)</w:t>
      </w:r>
      <w:r>
        <w:rPr>
          <w:rFonts w:hint="cs"/>
          <w:rtl/>
          <w:lang w:bidi="ar-SA"/>
        </w:rPr>
        <w:t xml:space="preserve"> </w:t>
      </w:r>
    </w:p>
  </w:footnote>
  <w:footnote w:id="15">
    <w:p w14:paraId="34796755" w14:textId="77777777" w:rsidR="00E84DB1" w:rsidRDefault="00E84DB1" w:rsidP="00E84DB1">
      <w:pPr>
        <w:pStyle w:val="FootnoteTxtNewParag"/>
        <w:rPr>
          <w:rtl/>
        </w:rPr>
      </w:pPr>
      <w:r>
        <w:rPr>
          <w:rStyle w:val="FootnoteReference"/>
          <w:rFonts w:hint="cs"/>
          <w:sz w:val="26"/>
          <w:szCs w:val="24"/>
          <w:rtl/>
        </w:rPr>
        <w:t>3</w:t>
      </w:r>
      <w:r>
        <w:rPr>
          <w:rFonts w:hint="cs"/>
          <w:rtl/>
        </w:rPr>
        <w:t xml:space="preserve"> يكمن ضعف هذا الرأي في أن الكتاب المقدس لا يقول شيئاً حول مسألة دينونة الأرض عندما سقط الشيطان. </w:t>
      </w:r>
    </w:p>
  </w:footnote>
  <w:footnote w:id="16">
    <w:p w14:paraId="307DED30" w14:textId="77777777" w:rsidR="00E84DB1" w:rsidRDefault="00E84DB1" w:rsidP="00E84DB1">
      <w:pPr>
        <w:pStyle w:val="FootnoteTxtNewParag"/>
      </w:pPr>
      <w:r>
        <w:rPr>
          <w:rStyle w:val="FootnoteReference"/>
          <w:rFonts w:hint="cs"/>
          <w:sz w:val="26"/>
          <w:szCs w:val="24"/>
          <w:rtl/>
        </w:rPr>
        <w:t>4</w:t>
      </w:r>
      <w:r>
        <w:rPr>
          <w:rFonts w:hint="cs"/>
          <w:rtl/>
        </w:rPr>
        <w:t xml:space="preserve"> قام مارك روكر بكتابة بعض أفضل الأبحاث دفاعاً عن النظرية التقليدية، وقدّم حجّة مضادة ممتازة لنظرية فوضى ما قبل الخلق التي دعا إليها والكي.  انظر </w:t>
      </w:r>
      <w:r>
        <w:t xml:space="preserve">Rooker “Genesis 1: 1-3: Creation or Re-Creation? Part I,” </w:t>
      </w:r>
      <w:r>
        <w:rPr>
          <w:i/>
          <w:iCs/>
        </w:rPr>
        <w:t xml:space="preserve">BibSac </w:t>
      </w:r>
      <w:r>
        <w:t xml:space="preserve">149: 595 (Jul-Sep 1992): 316-23; and part 2 in </w:t>
      </w:r>
      <w:r>
        <w:rPr>
          <w:i/>
          <w:iCs/>
        </w:rPr>
        <w:t>BibSac</w:t>
      </w:r>
      <w:r>
        <w:t xml:space="preserve">: 149-596 (Oct-De 1992): 411-27. </w:t>
      </w:r>
    </w:p>
  </w:footnote>
  <w:footnote w:id="17">
    <w:p w14:paraId="6A0124F3" w14:textId="77777777" w:rsidR="00E84DB1" w:rsidRDefault="00E84DB1" w:rsidP="00E84DB1">
      <w:pPr>
        <w:pStyle w:val="FootnoteTxtNewParag"/>
      </w:pPr>
      <w:r>
        <w:rPr>
          <w:rStyle w:val="FootnoteReference"/>
          <w:rFonts w:hint="cs"/>
          <w:sz w:val="26"/>
          <w:szCs w:val="24"/>
          <w:rtl/>
        </w:rPr>
        <w:t>5</w:t>
      </w:r>
      <w:r>
        <w:rPr>
          <w:rFonts w:hint="cs"/>
          <w:rtl/>
        </w:rPr>
        <w:t xml:space="preserve"> والكي هو الأكثر مساهمة بين الإنجيليين في دعم هذه النظرية.   انظر </w:t>
      </w:r>
      <w:r>
        <w:rPr>
          <w:i/>
          <w:iCs/>
        </w:rPr>
        <w:t xml:space="preserve">Creation and Chaos </w:t>
      </w:r>
      <w:r>
        <w:t>(Portland, OR: Western Conservative Baptist Seminary, 1974).</w:t>
      </w:r>
      <w:r>
        <w:rPr>
          <w:rFonts w:hint="cs"/>
          <w:rtl/>
        </w:rPr>
        <w:t xml:space="preserve"> كما كتب أربع مقالات في</w:t>
      </w:r>
      <w:r>
        <w:t xml:space="preserve">BibSac 132: 525-328  </w:t>
      </w:r>
      <w:r>
        <w:rPr>
          <w:rFonts w:hint="cs"/>
          <w:rtl/>
        </w:rPr>
        <w:t xml:space="preserve"> عام 1975 بعنوان </w:t>
      </w:r>
      <w:r>
        <w:t>“The Creation Account in Genesis 1: 1-3.”</w:t>
      </w:r>
      <w:r>
        <w:rPr>
          <w:rFonts w:hint="cs"/>
          <w:rtl/>
        </w:rPr>
        <w:t xml:space="preserve"> وكتب والكي في تاريخ أقرب </w:t>
      </w:r>
      <w:r>
        <w:t xml:space="preserve">Waltke, “The Literary Genre of Genesis, Chapter One,” </w:t>
      </w:r>
      <w:r>
        <w:rPr>
          <w:i/>
          <w:iCs/>
        </w:rPr>
        <w:t>Crux</w:t>
      </w:r>
      <w:r>
        <w:t xml:space="preserve"> 27 (1991).  </w:t>
      </w:r>
    </w:p>
  </w:footnote>
  <w:footnote w:id="18">
    <w:p w14:paraId="48F3684D" w14:textId="77777777" w:rsidR="00E84DB1" w:rsidRDefault="00E84DB1" w:rsidP="00E84DB1">
      <w:pPr>
        <w:pStyle w:val="FootnoteTxtNewParag"/>
        <w:bidi w:val="0"/>
      </w:pPr>
      <w:r>
        <w:rPr>
          <w:rStyle w:val="FootnoteReference"/>
          <w:rFonts w:hint="cs"/>
          <w:sz w:val="26"/>
          <w:szCs w:val="24"/>
          <w:rtl/>
        </w:rPr>
        <w:t>6</w:t>
      </w:r>
      <w:r>
        <w:rPr>
          <w:rFonts w:hint="cs"/>
          <w:rtl/>
        </w:rPr>
        <w:t xml:space="preserve"> </w:t>
      </w:r>
      <w:r>
        <w:t xml:space="preserve">Allen P. Ross, </w:t>
      </w:r>
      <w:r>
        <w:rPr>
          <w:i/>
          <w:iCs/>
        </w:rPr>
        <w:t>Creation and Blessing.</w:t>
      </w:r>
      <w:r>
        <w:t xml:space="preserve"> (Grand Rapids, MI: Baker Book House, 1988).</w:t>
      </w:r>
    </w:p>
  </w:footnote>
  <w:footnote w:id="19">
    <w:p w14:paraId="3CF52CA3" w14:textId="77777777" w:rsidR="00E84DB1" w:rsidRDefault="00E84DB1" w:rsidP="00E84DB1">
      <w:pPr>
        <w:pStyle w:val="FootnoteTxtNewParag"/>
      </w:pPr>
      <w:r>
        <w:rPr>
          <w:rStyle w:val="FootnoteReference"/>
          <w:rFonts w:hint="cs"/>
          <w:sz w:val="26"/>
          <w:szCs w:val="24"/>
          <w:rtl/>
        </w:rPr>
        <w:t>7</w:t>
      </w:r>
      <w:r>
        <w:rPr>
          <w:rFonts w:hint="cs"/>
          <w:rtl/>
        </w:rPr>
        <w:t xml:space="preserve"> تبنّى باحثون كثيرون فكرة أن تكوين 1: 1 تشكل جملة تلخيصية.  انظر </w:t>
      </w:r>
      <w:r>
        <w:t xml:space="preserve">Gerhard F. Hasel, “Recent Translations of Genesis 1: 1: A Critical Look,” The Bible Translator 22 (1971), 164.  </w:t>
      </w:r>
    </w:p>
  </w:footnote>
  <w:footnote w:id="20">
    <w:p w14:paraId="24BE3AD0" w14:textId="77777777" w:rsidR="00E84DB1" w:rsidRDefault="00E84DB1" w:rsidP="00E84DB1">
      <w:pPr>
        <w:pStyle w:val="FootnoteTxtNewParag"/>
        <w:rPr>
          <w:sz w:val="22"/>
          <w:lang w:bidi="ar-SA"/>
        </w:rPr>
      </w:pPr>
      <w:r>
        <w:rPr>
          <w:rStyle w:val="FootnoteReference"/>
          <w:rFonts w:hint="cs"/>
          <w:sz w:val="26"/>
          <w:szCs w:val="24"/>
          <w:rtl/>
        </w:rPr>
        <w:t>8</w:t>
      </w:r>
      <w:r>
        <w:rPr>
          <w:rFonts w:hint="cs"/>
          <w:sz w:val="22"/>
          <w:rtl/>
        </w:rPr>
        <w:t xml:space="preserve"> لحجج مضادة لـ "الجملة التلخيصية"، انظر </w:t>
      </w:r>
      <w:r>
        <w:rPr>
          <w:lang w:bidi="ar-SA"/>
        </w:rPr>
        <w:t xml:space="preserve">Anton Peterson, “An Exegetical Study of Genesis 1: 1-3” </w:t>
      </w:r>
      <w:r>
        <w:rPr>
          <w:i/>
          <w:iCs/>
          <w:lang w:bidi="ar-SA"/>
        </w:rPr>
        <w:t xml:space="preserve">Bethel Seminary Quarterly </w:t>
      </w:r>
      <w:r>
        <w:rPr>
          <w:lang w:bidi="ar-SA"/>
        </w:rPr>
        <w:t>2 (1953).</w:t>
      </w:r>
    </w:p>
  </w:footnote>
  <w:footnote w:id="21">
    <w:p w14:paraId="30E30FFC" w14:textId="77777777" w:rsidR="00E84DB1" w:rsidRDefault="00E84DB1" w:rsidP="00E84DB1">
      <w:pPr>
        <w:pStyle w:val="FootnoteTxtNewParag"/>
        <w:rPr>
          <w:rtl/>
        </w:rPr>
      </w:pPr>
      <w:r>
        <w:rPr>
          <w:rStyle w:val="FootnoteReference"/>
          <w:rFonts w:hint="cs"/>
          <w:sz w:val="26"/>
          <w:szCs w:val="24"/>
          <w:rtl/>
        </w:rPr>
        <w:t>9</w:t>
      </w:r>
      <w:r>
        <w:rPr>
          <w:rFonts w:hint="cs"/>
          <w:rtl/>
        </w:rPr>
        <w:t xml:space="preserve"> نجد حالة أخرى تستخدم فيها "الواو" كأداة استدراك وفصل و</w:t>
      </w:r>
      <w:r>
        <w:rPr>
          <w:rFonts w:hint="cs"/>
          <w:rtl/>
          <w:lang w:bidi="ar-SA"/>
        </w:rPr>
        <w:t xml:space="preserve"> </w:t>
      </w:r>
      <w:r>
        <w:rPr>
          <w:rFonts w:ascii="Hebrew" w:hAnsi="Hebrew"/>
          <w:lang w:bidi="ar-SA"/>
        </w:rPr>
        <w:t>hyh</w:t>
      </w:r>
      <w:r>
        <w:rPr>
          <w:rFonts w:hint="cs"/>
          <w:rtl/>
          <w:lang w:bidi="ar-SA"/>
        </w:rPr>
        <w:t xml:space="preserve"> </w:t>
      </w:r>
      <w:r>
        <w:rPr>
          <w:rFonts w:hint="cs"/>
          <w:rtl/>
        </w:rPr>
        <w:t xml:space="preserve">(جملة ظرفية = </w:t>
      </w:r>
      <w:r>
        <w:rPr>
          <w:rFonts w:ascii="Hebrew" w:hAnsi="Hebrew"/>
          <w:lang w:bidi="ar-SA"/>
        </w:rPr>
        <w:t>w</w:t>
      </w:r>
      <w:r>
        <w:rPr>
          <w:rFonts w:hint="cs"/>
          <w:rtl/>
          <w:lang w:bidi="ar-SA"/>
        </w:rPr>
        <w:t xml:space="preserve"> + إحتمال + </w:t>
      </w:r>
      <w:r>
        <w:rPr>
          <w:rFonts w:ascii="Hebrew" w:hAnsi="Hebrew"/>
          <w:lang w:bidi="ar-SA"/>
        </w:rPr>
        <w:t>hyh</w:t>
      </w:r>
      <w:r>
        <w:rPr>
          <w:rFonts w:hint="cs"/>
          <w:rtl/>
        </w:rPr>
        <w:t>) انظر تكوين 19: 26 حيث تعني "كان</w:t>
      </w:r>
      <w:r>
        <w:rPr>
          <w:rFonts w:hint="cs"/>
          <w:rtl/>
          <w:lang w:bidi="ar-SA"/>
        </w:rPr>
        <w:t>،</w:t>
      </w:r>
      <w:r>
        <w:rPr>
          <w:rFonts w:hint="cs"/>
          <w:rtl/>
        </w:rPr>
        <w:t xml:space="preserve">" </w:t>
      </w:r>
      <w:r>
        <w:rPr>
          <w:rFonts w:hint="cs"/>
          <w:u w:val="single"/>
          <w:rtl/>
        </w:rPr>
        <w:t>لا</w:t>
      </w:r>
      <w:r>
        <w:rPr>
          <w:rFonts w:hint="cs"/>
          <w:rtl/>
        </w:rPr>
        <w:t xml:space="preserve"> "قد أصبح</w:t>
      </w:r>
      <w:r>
        <w:rPr>
          <w:rFonts w:hint="cs"/>
          <w:rtl/>
          <w:lang w:bidi="ar-SA"/>
        </w:rPr>
        <w:t>.</w:t>
      </w:r>
      <w:r>
        <w:rPr>
          <w:rFonts w:hint="cs"/>
          <w:rtl/>
        </w:rPr>
        <w:t>"</w:t>
      </w:r>
    </w:p>
  </w:footnote>
  <w:footnote w:id="22">
    <w:p w14:paraId="11E908E5" w14:textId="77777777" w:rsidR="00E84DB1" w:rsidRDefault="00E84DB1" w:rsidP="00E84DB1">
      <w:pPr>
        <w:pStyle w:val="FootnoteTxtNewParag"/>
        <w:bidi w:val="0"/>
        <w:rPr>
          <w:rtl/>
        </w:rPr>
      </w:pPr>
      <w:r>
        <w:rPr>
          <w:rStyle w:val="FootnoteReference"/>
          <w:rFonts w:hint="cs"/>
          <w:sz w:val="26"/>
          <w:szCs w:val="24"/>
          <w:rtl/>
        </w:rPr>
        <w:t>1</w:t>
      </w:r>
      <w:r>
        <w:rPr>
          <w:rFonts w:hint="cs"/>
          <w:sz w:val="26"/>
          <w:szCs w:val="24"/>
          <w:vertAlign w:val="superscript"/>
          <w:rtl/>
        </w:rPr>
        <w:t>0</w:t>
      </w:r>
      <w:r>
        <w:rPr>
          <w:rFonts w:hint="cs"/>
          <w:rtl/>
        </w:rPr>
        <w:t xml:space="preserve"> </w:t>
      </w:r>
      <w:r>
        <w:t xml:space="preserve">E. J. Young, </w:t>
      </w:r>
      <w:r>
        <w:rPr>
          <w:i/>
          <w:iCs/>
        </w:rPr>
        <w:t xml:space="preserve">Studies in Genesis </w:t>
      </w:r>
      <w:r>
        <w:t>One (Philadelphia: Presbyterian and Reformed, 1964), 9 (note 15)</w:t>
      </w:r>
    </w:p>
    <w:p w14:paraId="34070492" w14:textId="77777777" w:rsidR="00E84DB1" w:rsidRDefault="00E84DB1" w:rsidP="00E84DB1">
      <w:pPr>
        <w:pStyle w:val="FootnoteTxtNewParag"/>
        <w:bidi w:val="0"/>
        <w:rPr>
          <w:i/>
          <w:iCs/>
        </w:rPr>
      </w:pPr>
    </w:p>
  </w:footnote>
  <w:footnote w:id="23">
    <w:p w14:paraId="0C47248B" w14:textId="77777777" w:rsidR="00E84DB1" w:rsidRDefault="00E84DB1" w:rsidP="00E84DB1">
      <w:pPr>
        <w:pStyle w:val="FootnoteTxtNewParag"/>
        <w:bidi w:val="0"/>
        <w:rPr>
          <w:i/>
          <w:iCs/>
        </w:rPr>
      </w:pPr>
      <w:r>
        <w:rPr>
          <w:rStyle w:val="FootnoteReference"/>
          <w:rFonts w:hint="cs"/>
          <w:sz w:val="26"/>
          <w:szCs w:val="24"/>
          <w:rtl/>
        </w:rPr>
        <w:t>1</w:t>
      </w:r>
      <w:r>
        <w:rPr>
          <w:rFonts w:hint="cs"/>
          <w:sz w:val="26"/>
          <w:szCs w:val="24"/>
          <w:vertAlign w:val="superscript"/>
          <w:rtl/>
        </w:rPr>
        <w:t>1</w:t>
      </w:r>
      <w:r>
        <w:rPr>
          <w:rFonts w:hint="cs"/>
          <w:sz w:val="22"/>
          <w:rtl/>
        </w:rPr>
        <w:t xml:space="preserve"> </w:t>
      </w:r>
      <w:r>
        <w:t xml:space="preserve">Mark Rooker, “Genesis 1: 1-3: Creation or Re-Creation?” </w:t>
      </w:r>
      <w:r>
        <w:rPr>
          <w:i/>
          <w:iCs/>
        </w:rPr>
        <w:t xml:space="preserve">BibSac </w:t>
      </w:r>
      <w:r>
        <w:t>149-596 (Oct-Dec): 416.</w:t>
      </w:r>
    </w:p>
  </w:footnote>
  <w:footnote w:id="24">
    <w:p w14:paraId="20519142" w14:textId="77777777" w:rsidR="00E84DB1" w:rsidRDefault="00E84DB1" w:rsidP="00E84DB1">
      <w:pPr>
        <w:pStyle w:val="FootnoteTxtNewParag"/>
        <w:bidi w:val="0"/>
        <w:rPr>
          <w:sz w:val="22"/>
        </w:rPr>
      </w:pPr>
      <w:r>
        <w:rPr>
          <w:rStyle w:val="FootnoteReference"/>
          <w:rFonts w:hint="cs"/>
          <w:sz w:val="26"/>
          <w:szCs w:val="24"/>
          <w:rtl/>
        </w:rPr>
        <w:t>1</w:t>
      </w:r>
      <w:r>
        <w:rPr>
          <w:rFonts w:hint="cs"/>
          <w:szCs w:val="24"/>
          <w:vertAlign w:val="superscript"/>
          <w:rtl/>
        </w:rPr>
        <w:t>2</w:t>
      </w:r>
      <w:r>
        <w:rPr>
          <w:rFonts w:hint="cs"/>
          <w:sz w:val="22"/>
          <w:rtl/>
        </w:rPr>
        <w:t xml:space="preserve"> </w:t>
      </w:r>
      <w:r>
        <w:t xml:space="preserve">Waltke, </w:t>
      </w:r>
      <w:r>
        <w:rPr>
          <w:i/>
          <w:iCs/>
        </w:rPr>
        <w:t>BibSac</w:t>
      </w:r>
      <w:r>
        <w:t xml:space="preserve"> 526, 141</w:t>
      </w:r>
    </w:p>
  </w:footnote>
  <w:footnote w:id="25">
    <w:p w14:paraId="743E639F" w14:textId="77777777" w:rsidR="00E84DB1" w:rsidRDefault="00E84DB1" w:rsidP="00E84DB1">
      <w:pPr>
        <w:pStyle w:val="FootnoteTxtNewParag"/>
      </w:pPr>
      <w:r>
        <w:rPr>
          <w:rStyle w:val="FootnoteReference"/>
          <w:rFonts w:hint="cs"/>
          <w:sz w:val="26"/>
          <w:szCs w:val="24"/>
          <w:rtl/>
        </w:rPr>
        <w:t>1</w:t>
      </w:r>
      <w:r>
        <w:rPr>
          <w:rFonts w:hint="cs"/>
          <w:szCs w:val="24"/>
          <w:vertAlign w:val="superscript"/>
          <w:rtl/>
        </w:rPr>
        <w:t>3</w:t>
      </w:r>
      <w:r>
        <w:rPr>
          <w:rFonts w:hint="cs"/>
          <w:rtl/>
        </w:rPr>
        <w:t xml:space="preserve"> تجد في </w:t>
      </w:r>
      <w:r>
        <w:rPr>
          <w:i/>
          <w:iCs/>
        </w:rPr>
        <w:t xml:space="preserve">BibSac </w:t>
      </w:r>
      <w:r>
        <w:t>No. 527,220</w:t>
      </w:r>
      <w:r>
        <w:rPr>
          <w:rFonts w:hint="cs"/>
          <w:rtl/>
        </w:rPr>
        <w:t xml:space="preserve"> رد والكي على النظرية التقليدية. </w:t>
      </w:r>
    </w:p>
  </w:footnote>
  <w:footnote w:id="26">
    <w:p w14:paraId="1880B204" w14:textId="77777777" w:rsidR="00E84DB1" w:rsidRDefault="00E84DB1" w:rsidP="00E84DB1">
      <w:pPr>
        <w:pStyle w:val="FootnoteTxtNewParag"/>
        <w:bidi w:val="0"/>
      </w:pPr>
      <w:r>
        <w:rPr>
          <w:rStyle w:val="FootnoteReference"/>
          <w:rFonts w:hint="cs"/>
          <w:sz w:val="26"/>
          <w:szCs w:val="24"/>
          <w:rtl/>
        </w:rPr>
        <w:t>1</w:t>
      </w:r>
      <w:r>
        <w:rPr>
          <w:rFonts w:hint="cs"/>
          <w:szCs w:val="24"/>
          <w:vertAlign w:val="superscript"/>
          <w:rtl/>
        </w:rPr>
        <w:t>4</w:t>
      </w:r>
      <w:r>
        <w:rPr>
          <w:rFonts w:hint="cs"/>
          <w:sz w:val="22"/>
          <w:rtl/>
        </w:rPr>
        <w:t xml:space="preserve"> </w:t>
      </w:r>
      <w:r>
        <w:rPr>
          <w:sz w:val="22"/>
        </w:rPr>
        <w:t xml:space="preserve"> </w:t>
      </w:r>
      <w:r>
        <w:t xml:space="preserve">David Toshio Tsumura, </w:t>
      </w:r>
      <w:r>
        <w:rPr>
          <w:i/>
          <w:iCs/>
        </w:rPr>
        <w:t xml:space="preserve">The Earth and the Waters in Genesis I and 2: A Linguistic Investigation, </w:t>
      </w:r>
      <w:r>
        <w:t>ISOT Supplement Series 83 (Sheffield: ISOT Press, 1989), 155-56.</w:t>
      </w:r>
      <w:r>
        <w:rPr>
          <w:i/>
          <w:iCs/>
        </w:rPr>
        <w:t xml:space="preserve"> </w:t>
      </w:r>
    </w:p>
  </w:footnote>
  <w:footnote w:id="27">
    <w:p w14:paraId="1C3A029F" w14:textId="77777777" w:rsidR="00E84DB1" w:rsidRDefault="00E84DB1" w:rsidP="00E84DB1">
      <w:pPr>
        <w:pStyle w:val="FootnoteTxtNewParag"/>
        <w:bidi w:val="0"/>
      </w:pPr>
      <w:r>
        <w:rPr>
          <w:rStyle w:val="FootnoteReference"/>
          <w:rFonts w:hint="cs"/>
          <w:sz w:val="26"/>
          <w:szCs w:val="24"/>
          <w:rtl/>
        </w:rPr>
        <w:t>1</w:t>
      </w:r>
      <w:r>
        <w:rPr>
          <w:rFonts w:hint="cs"/>
          <w:szCs w:val="24"/>
          <w:vertAlign w:val="superscript"/>
          <w:rtl/>
        </w:rPr>
        <w:t>5</w:t>
      </w:r>
      <w:r>
        <w:rPr>
          <w:rFonts w:hint="cs"/>
          <w:sz w:val="22"/>
          <w:rtl/>
        </w:rPr>
        <w:t xml:space="preserve"> </w:t>
      </w:r>
      <w:r>
        <w:rPr>
          <w:sz w:val="22"/>
        </w:rPr>
        <w:t xml:space="preserve"> </w:t>
      </w:r>
      <w:r>
        <w:t xml:space="preserve">Edmond Jacob, </w:t>
      </w:r>
      <w:r>
        <w:rPr>
          <w:i/>
          <w:iCs/>
        </w:rPr>
        <w:t>Theology of the Old Testament</w:t>
      </w:r>
      <w:r>
        <w:t>, Trans. Arthur W. Heathcote and Philip A. Allcock (New York: Harper &amp; Rothers, 1958): 144 (note 2).</w:t>
      </w:r>
    </w:p>
  </w:footnote>
  <w:footnote w:id="28">
    <w:p w14:paraId="788345F4" w14:textId="77777777" w:rsidR="00E84DB1" w:rsidRDefault="00E84DB1" w:rsidP="00E84DB1">
      <w:pPr>
        <w:pStyle w:val="FootnoteTxtNewParag"/>
        <w:bidi w:val="0"/>
      </w:pPr>
      <w:r>
        <w:rPr>
          <w:rStyle w:val="FootnoteReference"/>
          <w:rFonts w:hint="cs"/>
          <w:sz w:val="26"/>
          <w:szCs w:val="24"/>
          <w:rtl/>
        </w:rPr>
        <w:t>1</w:t>
      </w:r>
      <w:r>
        <w:rPr>
          <w:rFonts w:hint="cs"/>
          <w:sz w:val="26"/>
          <w:szCs w:val="24"/>
          <w:vertAlign w:val="superscript"/>
          <w:rtl/>
        </w:rPr>
        <w:t>6</w:t>
      </w:r>
      <w:r>
        <w:rPr>
          <w:rFonts w:hint="cs"/>
          <w:sz w:val="22"/>
          <w:rtl/>
        </w:rPr>
        <w:t xml:space="preserve"> </w:t>
      </w:r>
      <w:r>
        <w:t>Rooker, Part 2, 422</w:t>
      </w:r>
    </w:p>
  </w:footnote>
  <w:footnote w:id="29">
    <w:p w14:paraId="5F1FAAAF" w14:textId="77777777" w:rsidR="00E84DB1" w:rsidRDefault="00E84DB1" w:rsidP="00E84DB1">
      <w:pPr>
        <w:pStyle w:val="FootnoteTxtNewParag"/>
        <w:bidi w:val="0"/>
      </w:pPr>
      <w:r>
        <w:rPr>
          <w:rStyle w:val="FootnoteReference"/>
          <w:rFonts w:hint="cs"/>
          <w:sz w:val="26"/>
          <w:szCs w:val="24"/>
          <w:rtl/>
        </w:rPr>
        <w:t>1</w:t>
      </w:r>
      <w:r>
        <w:rPr>
          <w:rFonts w:hint="cs"/>
          <w:szCs w:val="24"/>
          <w:vertAlign w:val="superscript"/>
          <w:rtl/>
        </w:rPr>
        <w:t>7</w:t>
      </w:r>
      <w:r>
        <w:rPr>
          <w:rFonts w:hint="cs"/>
          <w:sz w:val="22"/>
          <w:rtl/>
        </w:rPr>
        <w:t xml:space="preserve"> </w:t>
      </w:r>
      <w:r>
        <w:t xml:space="preserve">Cf. Weston W. Fields, </w:t>
      </w:r>
      <w:r>
        <w:rPr>
          <w:i/>
          <w:iCs/>
        </w:rPr>
        <w:t>Unformed and Unfilled: A Critique of the Gap Theory of Genesis 1: 1,2</w:t>
      </w:r>
      <w:r>
        <w:t xml:space="preserve"> (Winona Lake, IN: Light and Life Press, 1973).</w:t>
      </w:r>
    </w:p>
  </w:footnote>
  <w:footnote w:id="30">
    <w:p w14:paraId="4BD5D212" w14:textId="77777777" w:rsidR="00E84DB1" w:rsidRDefault="00E84DB1" w:rsidP="00E84DB1">
      <w:pPr>
        <w:pStyle w:val="FootnoteTxtNewParag"/>
        <w:bidi w:val="0"/>
        <w:rPr>
          <w:rtl/>
          <w:lang w:bidi="ar-SA"/>
        </w:rPr>
      </w:pPr>
      <w:r>
        <w:rPr>
          <w:rStyle w:val="FootnoteReference"/>
          <w:rFonts w:hint="cs"/>
          <w:sz w:val="26"/>
          <w:szCs w:val="24"/>
          <w:rtl/>
        </w:rPr>
        <w:t>1</w:t>
      </w:r>
      <w:r>
        <w:rPr>
          <w:rFonts w:hint="cs"/>
          <w:sz w:val="22"/>
          <w:rtl/>
        </w:rPr>
        <w:t xml:space="preserve"> </w:t>
      </w:r>
      <w:r>
        <w:t>Allen Ross, “The Exegetical Exposition of the Pentateuch” (unpublished class notes in 117 Exegesis of the Pentateuch, Dallas Seminary, Fall 1979),6.</w:t>
      </w:r>
    </w:p>
  </w:footnote>
  <w:footnote w:id="31">
    <w:p w14:paraId="64E8E12A" w14:textId="77777777" w:rsidR="00E84DB1" w:rsidRDefault="00E84DB1" w:rsidP="00E84DB1">
      <w:pPr>
        <w:pStyle w:val="FootnoteTxtNewParag"/>
        <w:rPr>
          <w:rtl/>
          <w:lang w:bidi="ar-SA"/>
        </w:rPr>
      </w:pPr>
      <w:r>
        <w:rPr>
          <w:rStyle w:val="FootnoteReference"/>
          <w:rFonts w:hint="cs"/>
          <w:sz w:val="26"/>
          <w:szCs w:val="24"/>
          <w:rtl/>
        </w:rPr>
        <w:t>2</w:t>
      </w:r>
      <w:r>
        <w:rPr>
          <w:rFonts w:hint="cs"/>
          <w:sz w:val="22"/>
          <w:rtl/>
        </w:rPr>
        <w:t xml:space="preserve"> لمزيد من الدراسة، انظر  </w:t>
      </w:r>
      <w:r>
        <w:rPr>
          <w:lang w:bidi="ar-SA"/>
        </w:rPr>
        <w:t xml:space="preserve">J. P. Moreland and Scott B. Rae, Body &amp; Soul; </w:t>
      </w:r>
      <w:r>
        <w:rPr>
          <w:i/>
          <w:iCs/>
          <w:lang w:bidi="ar-SA"/>
        </w:rPr>
        <w:t>Human Nature &amp; the Crisis in Ethics</w:t>
      </w:r>
      <w:r>
        <w:rPr>
          <w:lang w:bidi="ar-SA"/>
        </w:rPr>
        <w:t xml:space="preserve"> (Downers Grove, LL: Intervarsity Press, 2000).</w:t>
      </w:r>
    </w:p>
  </w:footnote>
  <w:footnote w:id="32">
    <w:p w14:paraId="55130649" w14:textId="77777777" w:rsidR="00E84DB1" w:rsidRDefault="00E84DB1" w:rsidP="00E84DB1">
      <w:pPr>
        <w:pStyle w:val="FootnoteTxtNewParag"/>
        <w:bidi w:val="0"/>
        <w:rPr>
          <w:rtl/>
        </w:rPr>
      </w:pPr>
      <w:r>
        <w:rPr>
          <w:rStyle w:val="FootnoteReference"/>
          <w:rFonts w:hint="cs"/>
          <w:sz w:val="26"/>
          <w:szCs w:val="24"/>
          <w:rtl/>
        </w:rPr>
        <w:t>3</w:t>
      </w:r>
      <w:r>
        <w:rPr>
          <w:rFonts w:hint="cs"/>
          <w:rtl/>
        </w:rPr>
        <w:t xml:space="preserve"> </w:t>
      </w:r>
      <w:r>
        <w:t>Allen Ross, Creation &amp; Blessing, 181-83.</w:t>
      </w:r>
    </w:p>
    <w:p w14:paraId="55E50C4A" w14:textId="77777777" w:rsidR="00E84DB1" w:rsidRDefault="00E84DB1" w:rsidP="00E84DB1">
      <w:pPr>
        <w:pStyle w:val="FootnoteText"/>
      </w:pPr>
    </w:p>
  </w:footnote>
  <w:footnote w:id="33">
    <w:p w14:paraId="4F1550B1" w14:textId="77777777" w:rsidR="00E84DB1" w:rsidRDefault="00E84DB1" w:rsidP="00E84DB1">
      <w:pPr>
        <w:pStyle w:val="FootnoteTxtNewParag"/>
        <w:rPr>
          <w:rtl/>
        </w:rPr>
      </w:pPr>
      <w:r>
        <w:rPr>
          <w:rStyle w:val="FootnoteReference"/>
          <w:rFonts w:hint="cs"/>
          <w:sz w:val="26"/>
          <w:szCs w:val="24"/>
          <w:rtl/>
        </w:rPr>
        <w:t>4</w:t>
      </w:r>
      <w:r>
        <w:rPr>
          <w:rFonts w:hint="cs"/>
          <w:rtl/>
        </w:rPr>
        <w:t xml:space="preserve"> يجب أني يكون هناك شيءٌ من الحذر بشأن هذه التعابير المتشابهة، إذ يمكن أن تكون كلمة مختلفة تصادف أن كان لها ذات حروف الجذر.  لأجل التفاصيل انظر </w:t>
      </w:r>
      <w:r>
        <w:t>The Hebrew &amp; Aramaic Lexicon of the OT (vol I, pp 493-95)</w:t>
      </w:r>
      <w:r>
        <w:rPr>
          <w:rFonts w:hint="cs"/>
          <w:rtl/>
        </w:rPr>
        <w:t>.</w:t>
      </w:r>
    </w:p>
  </w:footnote>
  <w:footnote w:id="34">
    <w:p w14:paraId="7FC58005" w14:textId="77777777" w:rsidR="00E84DB1" w:rsidRDefault="00E84DB1" w:rsidP="00E84DB1">
      <w:pPr>
        <w:pStyle w:val="FootnoteTxtNewParag"/>
        <w:rPr>
          <w:rtl/>
        </w:rPr>
      </w:pPr>
      <w:r>
        <w:rPr>
          <w:rStyle w:val="FootnoteReference"/>
          <w:rFonts w:cs="Traditional Arabic"/>
          <w:sz w:val="20"/>
          <w:lang w:bidi="ar-SA"/>
        </w:rPr>
        <w:t>5</w:t>
      </w:r>
      <w:r>
        <w:rPr>
          <w:rFonts w:hint="cs"/>
          <w:rtl/>
        </w:rPr>
        <w:t xml:space="preserve"> على الرغم من أن المشككين والباحثين النقديين يطعنون في شمولية الطوفان، إلاّ أن حدوثه استنتاج معقول.  إذ يجب أن نضع نصب أعيننا أن هذا لم يكن مجرّد طوفان كبير كان وراء تأليف "رواية أخلاقية،"  بل كان الطوفان الكتابي دينونة كبيرة من الله على الإنسان الخاطئ.  يقدّم بنوير حججاً أخرى على حدوث طوفان شامل (شمل الأرض كلّها):</w:t>
      </w:r>
    </w:p>
    <w:p w14:paraId="56CD4B55" w14:textId="77777777" w:rsidR="00E84DB1" w:rsidRDefault="00E84DB1" w:rsidP="00E84DB1">
      <w:pPr>
        <w:pStyle w:val="FootnoteTxtIndent"/>
        <w:rPr>
          <w:lang w:bidi="ar-KW"/>
        </w:rPr>
      </w:pPr>
      <w:r>
        <w:rPr>
          <w:rFonts w:hint="cs"/>
          <w:rtl/>
        </w:rPr>
        <w:t>"تشير حقيقة دوام الطوفان إلى ما يزيد على السنة (وهو شيء لا ينطبق على الفيضانات المحلية) إلى أن طوفان نوح شمل الأرض كلّها.  وفضلاً عن ذلك، فإن ذكر سفر التكوين أن كل الجبال العالية غطّيت بالماء ما يزيد عشرين قدماً يثبت أن الفيضان غير مقصور على منطقة محلية (7: 19-20).  حتى إن مسألة بناء فُلك أصلاً وتجميع الحيوانات أمر بلا معنى إلا إذا كان الطوفان يشمل العالم كلّه"</w:t>
      </w:r>
      <w:r>
        <w:rPr>
          <w:lang w:bidi="ar-SA"/>
        </w:rPr>
        <w:t xml:space="preserve">Paul Benware, </w:t>
      </w:r>
      <w:r>
        <w:rPr>
          <w:i/>
          <w:iCs/>
          <w:lang w:bidi="ar-SA"/>
        </w:rPr>
        <w:t>Survey of the Old Testament,</w:t>
      </w:r>
      <w:r>
        <w:rPr>
          <w:lang w:bidi="ar-SA"/>
        </w:rPr>
        <w:t xml:space="preserve"> 33) </w:t>
      </w:r>
      <w:r>
        <w:rPr>
          <w:rFonts w:hint="cs"/>
          <w:rtl/>
        </w:rPr>
        <w:t xml:space="preserve"> </w:t>
      </w:r>
      <w:r>
        <w:rPr>
          <w:rFonts w:hint="cs"/>
          <w:rtl/>
          <w:lang w:bidi="ar-SA"/>
        </w:rPr>
        <w:t>)</w:t>
      </w:r>
      <w:r>
        <w:rPr>
          <w:rFonts w:hint="cs"/>
          <w:rtl/>
          <w:lang w:bidi="ar-KW"/>
        </w:rPr>
        <w:t>.</w:t>
      </w:r>
    </w:p>
  </w:footnote>
  <w:footnote w:id="35">
    <w:p w14:paraId="1CCFDE1D" w14:textId="77777777" w:rsidR="00E84DB1" w:rsidRDefault="00E84DB1" w:rsidP="00E84DB1">
      <w:pPr>
        <w:pStyle w:val="FootnoteTxtNewParag"/>
        <w:bidi w:val="0"/>
        <w:rPr>
          <w:rtl/>
        </w:rPr>
      </w:pPr>
      <w:r>
        <w:rPr>
          <w:rStyle w:val="FootnoteReference"/>
          <w:rFonts w:cs="Traditional Arabic"/>
          <w:sz w:val="20"/>
          <w:lang w:bidi="ar-SA"/>
        </w:rPr>
        <w:t>6</w:t>
      </w:r>
      <w:r>
        <w:rPr>
          <w:rFonts w:hint="cs"/>
          <w:rtl/>
        </w:rPr>
        <w:t xml:space="preserve"> </w:t>
      </w:r>
      <w:r>
        <w:t>Cf.  Allen Ross, “</w:t>
      </w:r>
      <w:r>
        <w:rPr>
          <w:i/>
          <w:iCs/>
        </w:rPr>
        <w:t>The Curse of Canaan</w:t>
      </w:r>
      <w:r>
        <w:t xml:space="preserve">,” </w:t>
      </w:r>
      <w:r>
        <w:rPr>
          <w:i/>
          <w:iCs/>
        </w:rPr>
        <w:t>BibSac</w:t>
      </w:r>
      <w:r>
        <w:t xml:space="preserve"> 137-547 (Jul-Sep 1980)</w:t>
      </w:r>
    </w:p>
    <w:p w14:paraId="6D88B707" w14:textId="77777777" w:rsidR="00E84DB1" w:rsidRDefault="00E84DB1" w:rsidP="00E84DB1">
      <w:pPr>
        <w:pStyle w:val="FootnoteText"/>
        <w:rPr>
          <w:lang w:bidi="ar-JO"/>
        </w:rPr>
      </w:pPr>
    </w:p>
  </w:footnote>
  <w:footnote w:id="36">
    <w:p w14:paraId="30E28619" w14:textId="77777777" w:rsidR="00E84DB1" w:rsidRDefault="00E84DB1" w:rsidP="00E84DB1">
      <w:pPr>
        <w:pStyle w:val="FootnoteTxtNewParag"/>
        <w:bidi w:val="0"/>
        <w:rPr>
          <w:i/>
          <w:iCs/>
        </w:rPr>
      </w:pPr>
      <w:r>
        <w:rPr>
          <w:rStyle w:val="FootnoteReference"/>
          <w:rFonts w:cs="Traditional Arabic"/>
          <w:sz w:val="20"/>
          <w:lang w:bidi="ar-SA"/>
        </w:rPr>
        <w:t>7</w:t>
      </w:r>
      <w:r>
        <w:rPr>
          <w:rFonts w:hint="cs"/>
          <w:sz w:val="22"/>
          <w:rtl/>
        </w:rPr>
        <w:t xml:space="preserve"> </w:t>
      </w:r>
      <w:r>
        <w:t xml:space="preserve">Allen Ross, “The Table of Nations in Genesis 10- its Structure,” </w:t>
      </w:r>
      <w:r>
        <w:rPr>
          <w:i/>
          <w:iCs/>
        </w:rPr>
        <w:t xml:space="preserve">BibSac </w:t>
      </w:r>
      <w:r>
        <w:t>137-548 (Oct-Dec 1986) and 138-549 (Jan-Feb 1981).</w:t>
      </w:r>
      <w:r>
        <w:rPr>
          <w:i/>
          <w:iCs/>
        </w:rPr>
        <w:t xml:space="preserve"> </w:t>
      </w:r>
    </w:p>
  </w:footnote>
  <w:footnote w:id="37">
    <w:p w14:paraId="7D3F3EFA" w14:textId="77777777" w:rsidR="00E84DB1" w:rsidRDefault="00E84DB1" w:rsidP="00E84DB1">
      <w:pPr>
        <w:pStyle w:val="FootnoteTxtNewParag"/>
        <w:bidi w:val="0"/>
      </w:pPr>
      <w:r>
        <w:rPr>
          <w:rStyle w:val="FootnoteReference"/>
          <w:rFonts w:cs="Traditional Arabic"/>
          <w:sz w:val="20"/>
          <w:lang w:bidi="ar-SA"/>
        </w:rPr>
        <w:t>8</w:t>
      </w:r>
      <w:r>
        <w:rPr>
          <w:rFonts w:hint="cs"/>
          <w:sz w:val="22"/>
          <w:rtl/>
        </w:rPr>
        <w:t xml:space="preserve"> </w:t>
      </w:r>
      <w:r>
        <w:t>Allen Ross, “The Description of Nations in Genesis 11: 1-9, “</w:t>
      </w:r>
      <w:r>
        <w:rPr>
          <w:i/>
          <w:iCs/>
        </w:rPr>
        <w:t>BibSac</w:t>
      </w:r>
      <w:r>
        <w:t xml:space="preserve"> 137-550 (Apr-Jun 1981).</w:t>
      </w:r>
    </w:p>
  </w:footnote>
  <w:footnote w:id="38">
    <w:p w14:paraId="4B76A2EE" w14:textId="77777777" w:rsidR="0048608E" w:rsidRDefault="0048608E" w:rsidP="0048608E">
      <w:pPr>
        <w:pStyle w:val="FootnoteTxtNewParag"/>
        <w:rPr>
          <w:rtl/>
        </w:rPr>
      </w:pPr>
      <w:r>
        <w:rPr>
          <w:rStyle w:val="FootnoteReference"/>
          <w:rFonts w:hint="cs"/>
          <w:sz w:val="26"/>
          <w:szCs w:val="24"/>
          <w:rtl/>
        </w:rPr>
        <w:t>1</w:t>
      </w:r>
      <w:r>
        <w:rPr>
          <w:rFonts w:hint="cs"/>
          <w:rtl/>
        </w:rPr>
        <w:t xml:space="preserve"> يشير استخدام الفعل "التام" مع </w:t>
      </w:r>
      <w:r>
        <w:rPr>
          <w:rFonts w:hint="cs"/>
          <w:i/>
          <w:iCs/>
          <w:rtl/>
        </w:rPr>
        <w:t>الواو الاستدراكية</w:t>
      </w:r>
      <w:r>
        <w:rPr>
          <w:rFonts w:hint="cs"/>
          <w:rtl/>
        </w:rPr>
        <w:t xml:space="preserve"> في اللغة العبرية (وآمن) هنا إلى</w:t>
      </w:r>
      <w:r>
        <w:rPr>
          <w:rFonts w:hint="cs"/>
          <w:rtl/>
          <w:lang w:bidi="ar-SA"/>
        </w:rPr>
        <w:t xml:space="preserve"> أن</w:t>
      </w:r>
      <w:r>
        <w:rPr>
          <w:rFonts w:hint="cs"/>
          <w:rtl/>
        </w:rPr>
        <w:t xml:space="preserve"> الآية السادسة ليست فكرة تدل على التعاقب بعد الآية السابقة.</w:t>
      </w:r>
    </w:p>
  </w:footnote>
  <w:footnote w:id="39">
    <w:p w14:paraId="21555C34" w14:textId="77777777" w:rsidR="0048608E" w:rsidRDefault="0048608E" w:rsidP="0048608E">
      <w:pPr>
        <w:pStyle w:val="FootnoteTxtNewParag"/>
        <w:bidi w:val="0"/>
        <w:rPr>
          <w:sz w:val="22"/>
        </w:rPr>
      </w:pPr>
      <w:r>
        <w:rPr>
          <w:rStyle w:val="FootnoteReference"/>
          <w:rFonts w:hint="cs"/>
          <w:sz w:val="26"/>
          <w:szCs w:val="24"/>
          <w:rtl/>
        </w:rPr>
        <w:t>2</w:t>
      </w:r>
      <w:r>
        <w:rPr>
          <w:rFonts w:hint="cs"/>
          <w:sz w:val="22"/>
          <w:rtl/>
        </w:rPr>
        <w:t xml:space="preserve"> ِ</w:t>
      </w:r>
      <w:r>
        <w:t>Allen Ross, “The Exegetical Exposition of the Pentateuch: Genesis,” (unpublished class notes in 117 Exegesis of the Pentateuch, Dallas Seminary, 1979),45.</w:t>
      </w:r>
      <w:r>
        <w:rPr>
          <w:sz w:val="22"/>
        </w:rPr>
        <w:t xml:space="preserve"> </w:t>
      </w:r>
    </w:p>
  </w:footnote>
  <w:footnote w:id="40">
    <w:p w14:paraId="62BF0544" w14:textId="77777777" w:rsidR="0048608E" w:rsidRDefault="0048608E" w:rsidP="0048608E">
      <w:pPr>
        <w:pStyle w:val="FootnoteTxtNewParag"/>
        <w:rPr>
          <w:rtl/>
          <w:lang w:bidi="ar-SA"/>
        </w:rPr>
      </w:pPr>
      <w:r>
        <w:rPr>
          <w:rStyle w:val="FootnoteReference"/>
          <w:rFonts w:hint="cs"/>
          <w:sz w:val="26"/>
          <w:szCs w:val="24"/>
          <w:rtl/>
        </w:rPr>
        <w:t>3</w:t>
      </w:r>
      <w:r>
        <w:rPr>
          <w:rFonts w:hint="cs"/>
          <w:rtl/>
        </w:rPr>
        <w:t xml:space="preserve"> سيفهم جيل الخروج من الإشارة إلى السنوات الأربع مائ</w:t>
      </w:r>
      <w:r>
        <w:rPr>
          <w:rFonts w:hint="eastAsia"/>
          <w:rtl/>
        </w:rPr>
        <w:t>ة</w:t>
      </w:r>
      <w:r>
        <w:rPr>
          <w:rFonts w:hint="cs"/>
          <w:rtl/>
        </w:rPr>
        <w:t xml:space="preserve"> أن فكرة مغادرة مصر لم تكن "خطة متعجلة" من خطط موسى.</w:t>
      </w:r>
    </w:p>
  </w:footnote>
  <w:footnote w:id="41">
    <w:p w14:paraId="01749454" w14:textId="77777777" w:rsidR="0048608E" w:rsidRDefault="0048608E" w:rsidP="0048608E">
      <w:pPr>
        <w:pStyle w:val="FootnoteTxtNewParag"/>
        <w:rPr>
          <w:rtl/>
        </w:rPr>
      </w:pPr>
      <w:r>
        <w:rPr>
          <w:rStyle w:val="FootnoteReference"/>
          <w:rFonts w:hint="cs"/>
          <w:sz w:val="26"/>
          <w:szCs w:val="24"/>
          <w:rtl/>
        </w:rPr>
        <w:t>4</w:t>
      </w:r>
      <w:r>
        <w:rPr>
          <w:rFonts w:hint="cs"/>
          <w:rtl/>
        </w:rPr>
        <w:t xml:space="preserve"> على الرغم من أن اقتراح ساراي أن ينجب أبرام طفلاً من هاجر قد يبدو مشيناً اليوم، إلاّ أن تلك العادة كانت مقبولة تماماً في ذلك العصر، كما أظهرت المكتشفات الأثرية.  يقول ميريل:</w:t>
      </w:r>
    </w:p>
    <w:p w14:paraId="706B023A" w14:textId="77777777" w:rsidR="0048608E" w:rsidRDefault="0048608E" w:rsidP="0048608E">
      <w:pPr>
        <w:pStyle w:val="FootnoteTxtIndent"/>
        <w:rPr>
          <w:rtl/>
          <w:lang w:bidi="ar-SA"/>
        </w:rPr>
      </w:pPr>
      <w:r>
        <w:rPr>
          <w:rFonts w:hint="cs"/>
          <w:rtl/>
        </w:rPr>
        <w:t>"تفيد ألواح نوزي، وهي وثائق حورية (</w:t>
      </w:r>
      <w:r>
        <w:rPr>
          <w:lang w:bidi="ar-SA"/>
        </w:rPr>
        <w:t>Hurrian</w:t>
      </w:r>
      <w:r>
        <w:rPr>
          <w:rFonts w:hint="cs"/>
          <w:rtl/>
        </w:rPr>
        <w:t>) مسمارية قديمة تتناول عادات تلك الفترة وشريعتها، أن ما عمله أبرام وزوجته في هذا الخصوص كان أمراً مشروعاً تماماً.  فكان أي أولاد يولدون من هذا الترتيب للزواج (الذي تم بناءً على مبادرة الزوجة الأصلية) يُعتبرون ورثة شرعيين للزوج إلاَّ إذا وُلِد أولادٌ للزوجة الأصلية، وحتى يؤكدون لها.</w:t>
      </w:r>
      <w:r>
        <w:rPr>
          <w:rFonts w:hint="cs"/>
          <w:rtl/>
          <w:lang w:bidi="ar-SA"/>
        </w:rPr>
        <w:t xml:space="preserve"> </w:t>
      </w:r>
      <w:r>
        <w:t>(Eugene H. Merril, An Historical Survey of the Old Testament [Grand Rapids: Baker Book House, 1980], 76; quoted in Paul Benware, Survey of the Old Testament, 43).</w:t>
      </w:r>
    </w:p>
  </w:footnote>
  <w:footnote w:id="42">
    <w:p w14:paraId="12FDA526" w14:textId="77777777" w:rsidR="0048608E" w:rsidRDefault="0048608E" w:rsidP="0048608E">
      <w:pPr>
        <w:pStyle w:val="FootnoteTxtNewParag"/>
        <w:rPr>
          <w:rtl/>
        </w:rPr>
      </w:pPr>
      <w:r>
        <w:rPr>
          <w:rStyle w:val="FootnoteReference"/>
          <w:rFonts w:hint="cs"/>
          <w:sz w:val="26"/>
          <w:szCs w:val="24"/>
          <w:rtl/>
        </w:rPr>
        <w:t>5</w:t>
      </w:r>
      <w:r>
        <w:rPr>
          <w:rFonts w:hint="cs"/>
          <w:rtl/>
        </w:rPr>
        <w:t xml:space="preserve"> لاحظ الآيات التالية: تكوين 12: 14؛ 21: 5؛ 25: 26؛ 47: 9؛ خروج 12: 40؛ 1ملوك 6: 1.  بُني هيكل سليمان في حوالي عام 966ق م.  لنقاش حول الترتيب الزمني للآباء، انظر  </w:t>
      </w:r>
      <w:r>
        <w:rPr>
          <w:lang w:bidi="ar-SA"/>
        </w:rPr>
        <w:t xml:space="preserve">Merril, </w:t>
      </w:r>
      <w:r>
        <w:rPr>
          <w:i/>
          <w:iCs/>
          <w:lang w:bidi="ar-SA"/>
        </w:rPr>
        <w:t>Kingdom of Priests</w:t>
      </w:r>
      <w:r>
        <w:rPr>
          <w:lang w:bidi="ar-SA"/>
        </w:rPr>
        <w:t xml:space="preserve"> (75-79)</w:t>
      </w:r>
      <w:r>
        <w:rPr>
          <w:rFonts w:hint="cs"/>
          <w:rtl/>
          <w:lang w:bidi="ar-SA"/>
        </w:rPr>
        <w:t xml:space="preserve">. </w:t>
      </w:r>
      <w:r>
        <w:rPr>
          <w:rFonts w:hint="cs"/>
          <w:rtl/>
        </w:rPr>
        <w:t xml:space="preserve"> يقول ميريل إن أبرام غادر حاران خلال 25 سنة من مغادرته أور (ص 29).</w:t>
      </w:r>
    </w:p>
  </w:footnote>
  <w:footnote w:id="43">
    <w:p w14:paraId="27B56318" w14:textId="77777777" w:rsidR="0048608E" w:rsidRDefault="0048608E" w:rsidP="0048608E">
      <w:pPr>
        <w:pStyle w:val="FootnoteTxtNewParag"/>
        <w:rPr>
          <w:rtl/>
          <w:lang w:bidi="ar-SA"/>
        </w:rPr>
      </w:pPr>
      <w:r>
        <w:rPr>
          <w:rStyle w:val="FootnoteReference"/>
          <w:rFonts w:hint="cs"/>
          <w:sz w:val="26"/>
          <w:szCs w:val="24"/>
          <w:rtl/>
        </w:rPr>
        <w:t>6</w:t>
      </w:r>
      <w:r>
        <w:rPr>
          <w:rFonts w:hint="cs"/>
          <w:rtl/>
        </w:rPr>
        <w:t xml:space="preserve"> يقول بنوير: </w:t>
      </w:r>
    </w:p>
    <w:p w14:paraId="74A763B6" w14:textId="77777777" w:rsidR="0048608E" w:rsidRDefault="0048608E" w:rsidP="0048608E">
      <w:pPr>
        <w:pStyle w:val="FootnoteTxtIndent"/>
      </w:pPr>
      <w:r>
        <w:rPr>
          <w:rFonts w:hint="cs"/>
          <w:rtl/>
        </w:rPr>
        <w:t xml:space="preserve">"اعتمد التحقيق الكامل النهائي للعهد الإبراهيمي على الله، لا على إبراهيم أو إسحاق أو يعقوب أو أمة إسرائيل.  لكن خطايا هؤلاء الرجال وعدم إيمان إسرائيل كانت لها أثر.  فعلى الرغم من أن فشلهم لم يلغي الوعود قط، إلاّ أنه سيؤثر على بركتهم الشخصية ويمكن أن يعوق برنامج الله مؤقتاً... إذاً على الرغم من أنه لم تكن للعهد الإبراهيمي شروط ملحقة به، إلاّ أن عدم إيمان المتلقي يمكن، كما حدث مرات كثيرة، أن ينأى بهم عن مكان الرضا والبركة من الله." </w:t>
      </w:r>
      <w:r>
        <w:t xml:space="preserve">(Paul Benware, </w:t>
      </w:r>
      <w:r>
        <w:rPr>
          <w:i/>
          <w:iCs/>
        </w:rPr>
        <w:t>Survey of the Old Testament, 39</w:t>
      </w:r>
      <w:r>
        <w:t xml:space="preserve">) </w:t>
      </w:r>
    </w:p>
  </w:footnote>
  <w:footnote w:id="44">
    <w:p w14:paraId="2BC22D4C" w14:textId="77777777" w:rsidR="005755E0" w:rsidRDefault="005755E0" w:rsidP="005755E0">
      <w:pPr>
        <w:pStyle w:val="FootnoteTxtNewParag"/>
        <w:bidi w:val="0"/>
        <w:rPr>
          <w:rtl/>
        </w:rPr>
      </w:pPr>
      <w:r>
        <w:rPr>
          <w:rStyle w:val="FootnoteReference"/>
          <w:rFonts w:hint="cs"/>
          <w:sz w:val="26"/>
          <w:szCs w:val="24"/>
          <w:rtl/>
        </w:rPr>
        <w:t>1</w:t>
      </w:r>
      <w:r>
        <w:rPr>
          <w:rFonts w:hint="cs"/>
          <w:rtl/>
        </w:rPr>
        <w:t xml:space="preserve"> </w:t>
      </w:r>
      <w:r>
        <w:t xml:space="preserve">Allen Ross, “Genesis,” in </w:t>
      </w:r>
      <w:r>
        <w:rPr>
          <w:i/>
          <w:iCs/>
        </w:rPr>
        <w:t>The Bible Knowledge Commentary</w:t>
      </w:r>
      <w:r>
        <w:t>, 81</w:t>
      </w:r>
    </w:p>
    <w:p w14:paraId="535078B3" w14:textId="77777777" w:rsidR="005755E0" w:rsidRDefault="005755E0" w:rsidP="005755E0">
      <w:pPr>
        <w:pStyle w:val="FootnoteText"/>
      </w:pPr>
    </w:p>
  </w:footnote>
  <w:footnote w:id="45">
    <w:p w14:paraId="7EA7CA32" w14:textId="77777777" w:rsidR="00DE116E" w:rsidRDefault="00DE116E" w:rsidP="00DE116E">
      <w:pPr>
        <w:pStyle w:val="FootnoteTxtNewParag"/>
        <w:rPr>
          <w:rtl/>
        </w:rPr>
      </w:pPr>
      <w:r>
        <w:rPr>
          <w:rStyle w:val="FootnoteReference"/>
          <w:rFonts w:hint="cs"/>
          <w:sz w:val="26"/>
          <w:szCs w:val="24"/>
          <w:rtl/>
        </w:rPr>
        <w:t>2</w:t>
      </w:r>
      <w:r>
        <w:rPr>
          <w:rFonts w:hint="cs"/>
          <w:rtl/>
        </w:rPr>
        <w:t xml:space="preserve"> كان هذا التصرف شائعاً في الحياة الكنعانية، وفي أسلوب الحياة المفهوم ضمناً لآلهتهم. </w:t>
      </w:r>
      <w:r>
        <w:t xml:space="preserve">Charles F. Pfeiffer, </w:t>
      </w:r>
      <w:r>
        <w:rPr>
          <w:i/>
          <w:iCs/>
        </w:rPr>
        <w:t>Ras Shamra and the Bible</w:t>
      </w:r>
      <w:r>
        <w:t xml:space="preserve"> (Grand Rapids, MI: Baker Book House, 1962), 31-32.</w:t>
      </w:r>
      <w:r>
        <w:rPr>
          <w:i/>
          <w:iCs/>
        </w:rPr>
        <w:t xml:space="preserve">  </w:t>
      </w:r>
      <w:r>
        <w:t xml:space="preserve"> </w:t>
      </w:r>
    </w:p>
  </w:footnote>
  <w:footnote w:id="46">
    <w:p w14:paraId="0604D522" w14:textId="77777777" w:rsidR="00DE116E" w:rsidRDefault="00DE116E" w:rsidP="00DE116E">
      <w:pPr>
        <w:pStyle w:val="FootnoteTxtNewParag"/>
        <w:rPr>
          <w:i/>
          <w:iCs/>
        </w:rPr>
      </w:pPr>
      <w:r>
        <w:rPr>
          <w:rStyle w:val="FootnoteReference"/>
          <w:rFonts w:hint="cs"/>
          <w:sz w:val="26"/>
          <w:szCs w:val="24"/>
          <w:rtl/>
        </w:rPr>
        <w:t>3</w:t>
      </w:r>
      <w:r>
        <w:rPr>
          <w:rFonts w:hint="cs"/>
          <w:rtl/>
        </w:rPr>
        <w:t xml:space="preserve"> بدأ التغرب في مصر في حوالي عام 1876 ق م بناء على 1ملوك 6: 1؛ خروج 12: 40-41. </w:t>
      </w:r>
      <w:r>
        <w:t xml:space="preserve">Cf. Eugene Merrill, “Fixed Dates in Patriarchal Chronology,” </w:t>
      </w:r>
      <w:r>
        <w:rPr>
          <w:i/>
          <w:iCs/>
        </w:rPr>
        <w:t>BibSac</w:t>
      </w:r>
      <w:r>
        <w:t xml:space="preserve"> 137 (1980) 241-51; and </w:t>
      </w:r>
      <w:r>
        <w:rPr>
          <w:i/>
          <w:iCs/>
        </w:rPr>
        <w:t xml:space="preserve">Kingdom of Priests, </w:t>
      </w:r>
      <w:r>
        <w:t>48-49.</w:t>
      </w:r>
      <w:r>
        <w:rPr>
          <w:i/>
          <w:iCs/>
        </w:rPr>
        <w:t xml:space="preserve"> </w:t>
      </w:r>
    </w:p>
  </w:footnote>
  <w:footnote w:id="47">
    <w:p w14:paraId="02711B4C" w14:textId="77777777" w:rsidR="00DE116E" w:rsidRDefault="00DE116E" w:rsidP="00DE116E">
      <w:pPr>
        <w:pStyle w:val="FootnoteTxtNewParag"/>
        <w:rPr>
          <w:rtl/>
        </w:rPr>
      </w:pPr>
      <w:r>
        <w:rPr>
          <w:rStyle w:val="FootnoteReference"/>
          <w:rFonts w:hint="cs"/>
          <w:sz w:val="26"/>
          <w:szCs w:val="24"/>
          <w:rtl/>
        </w:rPr>
        <w:t>4</w:t>
      </w:r>
      <w:r>
        <w:rPr>
          <w:rFonts w:hint="cs"/>
          <w:rtl/>
        </w:rPr>
        <w:t xml:space="preserve"> يقول ميريل إن "يوسف ولد في عام 1916ق م، ودخل مصر في عام 1899ق م، واستلم مركز القوة والنفوذ في عام 1886ق م، ومات في عام 1806ق م (تكوين 50: 22) عندما بلغ 110 سنوات من عمره" (</w:t>
      </w:r>
      <w:r>
        <w:rPr>
          <w:i/>
          <w:iCs/>
          <w:lang w:bidi="ar-SA"/>
        </w:rPr>
        <w:t>Kingdom of Priests</w:t>
      </w:r>
      <w:r>
        <w:rPr>
          <w:lang w:bidi="ar-SA"/>
        </w:rPr>
        <w:t>, 49</w:t>
      </w:r>
      <w:r>
        <w:rPr>
          <w:rFonts w:hint="cs"/>
          <w:rtl/>
        </w:rPr>
        <w:t>).</w:t>
      </w:r>
    </w:p>
  </w:footnote>
  <w:footnote w:id="48">
    <w:p w14:paraId="2CAF8205" w14:textId="77777777" w:rsidR="00B35650" w:rsidRDefault="00B35650" w:rsidP="00B35650">
      <w:pPr>
        <w:pStyle w:val="FootnoteTxtNewParag"/>
        <w:bidi w:val="0"/>
      </w:pPr>
      <w:r>
        <w:rPr>
          <w:rStyle w:val="FootnoteReference"/>
          <w:rFonts w:hint="cs"/>
          <w:rtl/>
        </w:rPr>
        <w:t>1</w:t>
      </w:r>
      <w:r>
        <w:rPr>
          <w:rFonts w:hint="cs"/>
          <w:sz w:val="22"/>
          <w:szCs w:val="22"/>
          <w:rtl/>
        </w:rPr>
        <w:t xml:space="preserve"> </w:t>
      </w:r>
      <w:r>
        <w:t>Merrill, Kingdom of Priests, 57</w:t>
      </w:r>
    </w:p>
  </w:footnote>
  <w:footnote w:id="49">
    <w:p w14:paraId="641BCB43" w14:textId="77777777" w:rsidR="00B35650" w:rsidRDefault="00B35650" w:rsidP="00B35650">
      <w:pPr>
        <w:pStyle w:val="FootnoteTxtNewParag"/>
        <w:bidi w:val="0"/>
      </w:pPr>
      <w:r>
        <w:rPr>
          <w:rStyle w:val="FootnoteReference"/>
          <w:rFonts w:hint="cs"/>
          <w:sz w:val="26"/>
          <w:szCs w:val="24"/>
          <w:rtl/>
        </w:rPr>
        <w:t>2</w:t>
      </w:r>
      <w:r>
        <w:rPr>
          <w:rFonts w:hint="cs"/>
          <w:sz w:val="22"/>
          <w:rtl/>
        </w:rPr>
        <w:t xml:space="preserve"> </w:t>
      </w:r>
      <w:r>
        <w:t xml:space="preserve">Umberto Cassuto, </w:t>
      </w:r>
      <w:r>
        <w:rPr>
          <w:i/>
          <w:iCs/>
        </w:rPr>
        <w:t>A Commentary on the Book of Exodus</w:t>
      </w:r>
      <w:r>
        <w:t>, trans.  by Israel Abrahams (Jerusalem: Magness Press, 1967), 15</w:t>
      </w:r>
    </w:p>
  </w:footnote>
  <w:footnote w:id="50">
    <w:p w14:paraId="1951B431" w14:textId="77777777" w:rsidR="00B35650" w:rsidRDefault="00B35650" w:rsidP="00B35650">
      <w:pPr>
        <w:pStyle w:val="FootnoteTxtNewParag"/>
        <w:rPr>
          <w:rtl/>
        </w:rPr>
      </w:pPr>
      <w:r>
        <w:rPr>
          <w:rStyle w:val="FootnoteReference"/>
          <w:rFonts w:hint="cs"/>
          <w:sz w:val="26"/>
          <w:szCs w:val="24"/>
          <w:rtl/>
        </w:rPr>
        <w:t>3</w:t>
      </w:r>
      <w:r>
        <w:rPr>
          <w:rFonts w:hint="cs"/>
          <w:rtl/>
        </w:rPr>
        <w:t xml:space="preserve"> تقول المشنا اليهودية إنه لن تكون هناك قيامة لمن "يلفظ اسم الله حسب حروفه" (</w:t>
      </w:r>
      <w:r>
        <w:rPr>
          <w:lang w:bidi="ar-SA"/>
        </w:rPr>
        <w:t>Sanhedrin 9: 10</w:t>
      </w:r>
      <w:r>
        <w:rPr>
          <w:rFonts w:hint="cs"/>
          <w:rtl/>
        </w:rPr>
        <w:t>).</w:t>
      </w:r>
    </w:p>
  </w:footnote>
  <w:footnote w:id="51">
    <w:p w14:paraId="6E7A7006" w14:textId="77777777" w:rsidR="00B35650" w:rsidRDefault="00B35650" w:rsidP="00B35650">
      <w:pPr>
        <w:pStyle w:val="FootnoteTxtNewParag"/>
        <w:bidi w:val="0"/>
        <w:rPr>
          <w:sz w:val="22"/>
          <w:lang w:bidi="ar-SA"/>
        </w:rPr>
      </w:pPr>
      <w:r>
        <w:rPr>
          <w:rStyle w:val="FootnoteReference"/>
          <w:rFonts w:hint="cs"/>
          <w:sz w:val="26"/>
          <w:szCs w:val="24"/>
          <w:rtl/>
        </w:rPr>
        <w:t>4</w:t>
      </w:r>
      <w:r>
        <w:rPr>
          <w:rFonts w:hint="cs"/>
          <w:sz w:val="22"/>
          <w:rtl/>
        </w:rPr>
        <w:t xml:space="preserve"> </w:t>
      </w:r>
      <w:r>
        <w:rPr>
          <w:lang w:bidi="ar-SA"/>
        </w:rPr>
        <w:t>Cassuto, 38</w:t>
      </w:r>
    </w:p>
  </w:footnote>
  <w:footnote w:id="52">
    <w:p w14:paraId="6A28872B" w14:textId="77777777" w:rsidR="00B35650" w:rsidRDefault="00B35650" w:rsidP="00B35650">
      <w:pPr>
        <w:pStyle w:val="FootnoteTxtNewParag"/>
        <w:rPr>
          <w:rtl/>
        </w:rPr>
      </w:pPr>
      <w:r>
        <w:rPr>
          <w:rStyle w:val="FootnoteReference"/>
          <w:rFonts w:hint="cs"/>
          <w:sz w:val="26"/>
          <w:szCs w:val="24"/>
          <w:rtl/>
        </w:rPr>
        <w:t>5</w:t>
      </w:r>
      <w:r>
        <w:rPr>
          <w:rFonts w:hint="cs"/>
          <w:rtl/>
        </w:rPr>
        <w:t xml:space="preserve"> المرجع السابق، 41.</w:t>
      </w:r>
    </w:p>
  </w:footnote>
  <w:footnote w:id="53">
    <w:p w14:paraId="2FD67987" w14:textId="77777777" w:rsidR="00B35650" w:rsidRDefault="00B35650" w:rsidP="00B35650">
      <w:pPr>
        <w:pStyle w:val="FootnoteTxtNewParag"/>
        <w:rPr>
          <w:rtl/>
        </w:rPr>
      </w:pPr>
      <w:r>
        <w:rPr>
          <w:rStyle w:val="FootnoteReference"/>
          <w:rFonts w:hint="cs"/>
          <w:sz w:val="26"/>
          <w:szCs w:val="24"/>
          <w:rtl/>
        </w:rPr>
        <w:t>6</w:t>
      </w:r>
      <w:r>
        <w:rPr>
          <w:rFonts w:hint="cs"/>
          <w:rtl/>
        </w:rPr>
        <w:t xml:space="preserve"> المرجع السابق، 46.</w:t>
      </w:r>
    </w:p>
  </w:footnote>
  <w:footnote w:id="54">
    <w:p w14:paraId="52010204" w14:textId="77777777" w:rsidR="00B35650" w:rsidRDefault="00B35650" w:rsidP="00B35650">
      <w:pPr>
        <w:pStyle w:val="FootnoteTxtNewParag"/>
        <w:rPr>
          <w:rtl/>
        </w:rPr>
      </w:pPr>
      <w:r>
        <w:rPr>
          <w:rStyle w:val="FootnoteReference"/>
          <w:rFonts w:hint="cs"/>
          <w:sz w:val="26"/>
          <w:szCs w:val="24"/>
          <w:rtl/>
        </w:rPr>
        <w:t>7</w:t>
      </w:r>
      <w:r>
        <w:rPr>
          <w:rFonts w:hint="cs"/>
          <w:rtl/>
        </w:rPr>
        <w:t xml:space="preserve"> المرجع السابق، 47.</w:t>
      </w:r>
    </w:p>
  </w:footnote>
  <w:footnote w:id="55">
    <w:p w14:paraId="0BB7225B" w14:textId="77777777" w:rsidR="00B35650" w:rsidRDefault="00B35650" w:rsidP="00B35650">
      <w:pPr>
        <w:pStyle w:val="FootnoteTxtNewParag"/>
        <w:rPr>
          <w:rtl/>
        </w:rPr>
      </w:pPr>
      <w:r>
        <w:rPr>
          <w:rStyle w:val="FootnoteReference"/>
          <w:rFonts w:hint="cs"/>
          <w:sz w:val="26"/>
          <w:szCs w:val="24"/>
          <w:rtl/>
        </w:rPr>
        <w:t>8</w:t>
      </w:r>
      <w:r>
        <w:rPr>
          <w:rFonts w:hint="cs"/>
          <w:rtl/>
        </w:rPr>
        <w:t xml:space="preserve"> المرجع السابق، 48.</w:t>
      </w:r>
    </w:p>
  </w:footnote>
  <w:footnote w:id="56">
    <w:p w14:paraId="0BADBACE" w14:textId="77777777" w:rsidR="00B35650" w:rsidRDefault="00B35650" w:rsidP="00B35650">
      <w:pPr>
        <w:pStyle w:val="FootnoteTxtNewParag"/>
        <w:bidi w:val="0"/>
      </w:pPr>
      <w:r>
        <w:rPr>
          <w:rStyle w:val="FootnoteReference"/>
          <w:rFonts w:hint="cs"/>
          <w:sz w:val="26"/>
          <w:szCs w:val="24"/>
          <w:rtl/>
        </w:rPr>
        <w:t>9</w:t>
      </w:r>
      <w:r>
        <w:rPr>
          <w:rFonts w:hint="cs"/>
          <w:rtl/>
        </w:rPr>
        <w:t xml:space="preserve"> </w:t>
      </w:r>
      <w:r>
        <w:t>Cassuto, 68</w:t>
      </w:r>
    </w:p>
  </w:footnote>
  <w:footnote w:id="57">
    <w:p w14:paraId="22E417BA" w14:textId="77777777" w:rsidR="00B35650" w:rsidRDefault="00B35650" w:rsidP="00B35650">
      <w:pPr>
        <w:pStyle w:val="FootnoteTxtNewParag"/>
        <w:rPr>
          <w:rtl/>
        </w:rPr>
      </w:pPr>
      <w:r>
        <w:rPr>
          <w:rStyle w:val="FootnoteReference"/>
          <w:rFonts w:hint="cs"/>
          <w:sz w:val="26"/>
          <w:szCs w:val="24"/>
          <w:rtl/>
        </w:rPr>
        <w:t>10</w:t>
      </w:r>
      <w:r>
        <w:rPr>
          <w:rFonts w:hint="cs"/>
          <w:rtl/>
        </w:rPr>
        <w:t xml:space="preserve"> المرجع السابق، 73.</w:t>
      </w:r>
    </w:p>
  </w:footnote>
  <w:footnote w:id="58">
    <w:p w14:paraId="236EF877" w14:textId="77777777" w:rsidR="00B35650" w:rsidRDefault="00B35650" w:rsidP="00B35650">
      <w:pPr>
        <w:pStyle w:val="FootnoteTxtNewParag"/>
        <w:rPr>
          <w:rtl/>
        </w:rPr>
      </w:pPr>
      <w:r>
        <w:rPr>
          <w:rStyle w:val="FootnoteReference"/>
          <w:rFonts w:hint="cs"/>
          <w:sz w:val="26"/>
          <w:szCs w:val="24"/>
          <w:rtl/>
        </w:rPr>
        <w:t>11</w:t>
      </w:r>
      <w:r>
        <w:rPr>
          <w:rFonts w:hint="cs"/>
          <w:rtl/>
        </w:rPr>
        <w:t xml:space="preserve"> لا يرتبط اسم إيل شاداي بفكرة "القوة" فقط، بل بفكرة "الخصب" أيضاً.  يقول كاسوتو حول اسم إيل شاداي:</w:t>
      </w:r>
      <w:r>
        <w:rPr>
          <w:rFonts w:hint="cs"/>
          <w:rtl/>
          <w:lang w:bidi="ar-SA"/>
        </w:rPr>
        <w:t xml:space="preserve"> </w:t>
      </w:r>
      <w:r>
        <w:rPr>
          <w:rFonts w:hint="cs"/>
          <w:rtl/>
        </w:rPr>
        <w:t>"كان بنو إسرائيل ميّالين إلى ربط فكرة الإله الذي يحكم الطبيعة ويمنح البشر الخصب، كما نرى في كل آية من الأسفار الخمسة، باسم إيل شاداي حيثما ورد" (78).  انظر تكوين 17: 1-2 و28: 3 و35: 11.  ويقول:</w:t>
      </w:r>
    </w:p>
    <w:p w14:paraId="733EA20D" w14:textId="77014DD8" w:rsidR="00B35650" w:rsidRDefault="00B35650" w:rsidP="00B35650">
      <w:pPr>
        <w:pStyle w:val="FootnoteTxtIndent"/>
        <w:rPr>
          <w:lang w:bidi="ar-SA"/>
        </w:rPr>
      </w:pPr>
      <w:r>
        <w:rPr>
          <w:rFonts w:hint="cs"/>
          <w:rtl/>
        </w:rPr>
        <w:t xml:space="preserve">"يمكّننا هذا من فهم النص الموجود أمامنا بوضوح.  فالله يصرّح بما مفاده: لقد أعلنت نفسي لإبراهيم وإسحاق ويعقوب في جانب يجد تعبيره في اسم شاداي، وقد جعلتهم يثمرون ويتكاثرون وأعطيتهم أبناء وأبناء أبناء.  أمّا باسمي يهوه، بشخصيتي الأخلاقية التي يعبّر عنها هذا اللقب، فلم أكن معروفاً لهم.  فلم أتح لهم المجال لكي يعرفوني بصفتي ذاك الذي يحقق وعوده، لأني لم أحقق بعد التوكيد الذي أعطيتهم إياه في ما يتعلق بامتلاك الأرض" (79). </w:t>
      </w:r>
    </w:p>
  </w:footnote>
  <w:footnote w:id="59">
    <w:p w14:paraId="44DBCF19" w14:textId="77777777" w:rsidR="00B35650" w:rsidRDefault="00B35650" w:rsidP="00B35650">
      <w:pPr>
        <w:pStyle w:val="FootnoteTxtNewParag"/>
        <w:bidi w:val="0"/>
        <w:rPr>
          <w:sz w:val="22"/>
          <w:rtl/>
        </w:rPr>
      </w:pPr>
      <w:r>
        <w:rPr>
          <w:rStyle w:val="FootnoteReference"/>
          <w:rFonts w:hint="cs"/>
          <w:sz w:val="26"/>
          <w:szCs w:val="24"/>
          <w:rtl/>
        </w:rPr>
        <w:t>12</w:t>
      </w:r>
      <w:r>
        <w:rPr>
          <w:rFonts w:hint="cs"/>
          <w:sz w:val="22"/>
          <w:rtl/>
        </w:rPr>
        <w:t xml:space="preserve"> </w:t>
      </w:r>
      <w:r>
        <w:t>Cassuto, 82</w:t>
      </w:r>
      <w:r>
        <w:rPr>
          <w:rFonts w:hint="cs"/>
          <w:rtl/>
        </w:rPr>
        <w:t>.</w:t>
      </w:r>
    </w:p>
  </w:footnote>
  <w:footnote w:id="60">
    <w:p w14:paraId="3FA4CE05" w14:textId="77777777" w:rsidR="00B35650" w:rsidRDefault="00B35650" w:rsidP="00B35650">
      <w:pPr>
        <w:pStyle w:val="FootnoteTxtNewParag"/>
        <w:bidi w:val="0"/>
      </w:pPr>
      <w:r>
        <w:rPr>
          <w:rStyle w:val="FootnoteReference"/>
          <w:rFonts w:hint="cs"/>
          <w:sz w:val="26"/>
          <w:szCs w:val="24"/>
          <w:rtl/>
        </w:rPr>
        <w:t>13</w:t>
      </w:r>
      <w:r>
        <w:rPr>
          <w:rFonts w:hint="cs"/>
          <w:sz w:val="22"/>
          <w:rtl/>
        </w:rPr>
        <w:t xml:space="preserve"> </w:t>
      </w:r>
      <w:r>
        <w:t>Brevard Childs, “</w:t>
      </w:r>
      <w:r>
        <w:rPr>
          <w:i/>
          <w:iCs/>
        </w:rPr>
        <w:t>The Book of Exodus</w:t>
      </w:r>
      <w:r>
        <w:t>”, (Philadelphia: The Westminster Press, 1974), 152</w:t>
      </w:r>
    </w:p>
  </w:footnote>
  <w:footnote w:id="61">
    <w:p w14:paraId="30806AC9" w14:textId="77777777" w:rsidR="00B35650" w:rsidRDefault="00B35650" w:rsidP="00B35650">
      <w:pPr>
        <w:pStyle w:val="FootnoteTxtNewParag"/>
        <w:bidi w:val="0"/>
        <w:rPr>
          <w:sz w:val="22"/>
        </w:rPr>
      </w:pPr>
      <w:r>
        <w:rPr>
          <w:rStyle w:val="FootnoteReference"/>
          <w:rFonts w:hint="cs"/>
          <w:sz w:val="26"/>
          <w:szCs w:val="24"/>
          <w:rtl/>
        </w:rPr>
        <w:t>14</w:t>
      </w:r>
      <w:r>
        <w:rPr>
          <w:rFonts w:hint="cs"/>
          <w:sz w:val="22"/>
          <w:rtl/>
        </w:rPr>
        <w:t xml:space="preserve"> </w:t>
      </w:r>
      <w:r>
        <w:t>Cambridge Ancient History, Vol. II. Part 1,323</w:t>
      </w:r>
    </w:p>
  </w:footnote>
  <w:footnote w:id="62">
    <w:p w14:paraId="498D7A1C" w14:textId="77777777" w:rsidR="00B35650" w:rsidRDefault="00B35650" w:rsidP="00B35650">
      <w:pPr>
        <w:pStyle w:val="FootnoteTxtNewParag"/>
        <w:bidi w:val="0"/>
      </w:pPr>
      <w:r>
        <w:rPr>
          <w:rStyle w:val="FootnoteReference"/>
          <w:rFonts w:hint="cs"/>
          <w:sz w:val="26"/>
          <w:szCs w:val="24"/>
          <w:rtl/>
        </w:rPr>
        <w:t>15</w:t>
      </w:r>
      <w:r>
        <w:rPr>
          <w:sz w:val="22"/>
          <w:vertAlign w:val="superscript"/>
        </w:rPr>
        <w:t xml:space="preserve"> </w:t>
      </w:r>
      <w:r>
        <w:rPr>
          <w:rFonts w:hint="cs"/>
          <w:sz w:val="22"/>
          <w:rtl/>
        </w:rPr>
        <w:t xml:space="preserve"> </w:t>
      </w:r>
      <w:r>
        <w:t xml:space="preserve">Edward M. Burns, </w:t>
      </w:r>
      <w:r>
        <w:rPr>
          <w:i/>
          <w:iCs/>
        </w:rPr>
        <w:t>Western Civilizations</w:t>
      </w:r>
      <w:r>
        <w:t>, 8</w:t>
      </w:r>
      <w:r>
        <w:rPr>
          <w:vertAlign w:val="superscript"/>
        </w:rPr>
        <w:t>th</w:t>
      </w:r>
      <w:r>
        <w:t xml:space="preserve"> ed. (New York: W.W. Norton &amp; Co., Inc., 1973), 133</w:t>
      </w:r>
    </w:p>
  </w:footnote>
  <w:footnote w:id="63">
    <w:p w14:paraId="53925CE3" w14:textId="77777777" w:rsidR="00B35650" w:rsidRDefault="00B35650" w:rsidP="00B35650">
      <w:pPr>
        <w:pStyle w:val="FootnoteTxtNewParag"/>
        <w:bidi w:val="0"/>
        <w:rPr>
          <w:i/>
          <w:iCs/>
        </w:rPr>
      </w:pPr>
      <w:r>
        <w:rPr>
          <w:rStyle w:val="FootnoteReference"/>
          <w:rFonts w:hint="cs"/>
          <w:sz w:val="26"/>
          <w:szCs w:val="24"/>
          <w:rtl/>
        </w:rPr>
        <w:t>16</w:t>
      </w:r>
      <w:r>
        <w:rPr>
          <w:rFonts w:hint="cs"/>
          <w:sz w:val="22"/>
          <w:rtl/>
        </w:rPr>
        <w:t xml:space="preserve"> </w:t>
      </w:r>
      <w:r>
        <w:t xml:space="preserve">John Davis, </w:t>
      </w:r>
      <w:r>
        <w:rPr>
          <w:i/>
          <w:iCs/>
        </w:rPr>
        <w:t xml:space="preserve">Moses and the Gods of Egypt; Studies in the Book of Exodus </w:t>
      </w:r>
      <w:r>
        <w:t xml:space="preserve">(Grand Rapids, MI: Barker Book House, 1971), 90 </w:t>
      </w:r>
    </w:p>
  </w:footnote>
  <w:footnote w:id="64">
    <w:p w14:paraId="25191865" w14:textId="77777777" w:rsidR="00355D9E" w:rsidRDefault="00355D9E">
      <w:pPr>
        <w:pStyle w:val="FootnoteTxtNewParag"/>
        <w:bidi w:val="0"/>
      </w:pPr>
      <w:r>
        <w:rPr>
          <w:rStyle w:val="FootnoteReference"/>
          <w:rFonts w:hint="cs"/>
          <w:sz w:val="26"/>
          <w:szCs w:val="24"/>
          <w:rtl/>
        </w:rPr>
        <w:t>1</w:t>
      </w:r>
      <w:r>
        <w:t xml:space="preserve"> Alan Cole, </w:t>
      </w:r>
      <w:r>
        <w:rPr>
          <w:i/>
          <w:iCs/>
        </w:rPr>
        <w:t>Exodus</w:t>
      </w:r>
      <w:r>
        <w:t>, Tyndale OT Commentaries (Downer’s Grove IL: InterVarsity Press, 1973),106</w:t>
      </w:r>
    </w:p>
  </w:footnote>
  <w:footnote w:id="65">
    <w:p w14:paraId="4EC99EB7" w14:textId="77777777" w:rsidR="00355D9E" w:rsidRDefault="00355D9E">
      <w:pPr>
        <w:pStyle w:val="FootnoteTxtNewParag"/>
        <w:bidi w:val="0"/>
        <w:rPr>
          <w:rtl/>
          <w:lang w:bidi="ar-SA"/>
        </w:rPr>
      </w:pPr>
      <w:r>
        <w:rPr>
          <w:rStyle w:val="FootnoteReference"/>
          <w:rFonts w:hint="cs"/>
          <w:sz w:val="26"/>
          <w:szCs w:val="24"/>
          <w:rtl/>
        </w:rPr>
        <w:t>2</w:t>
      </w:r>
      <w:r>
        <w:rPr>
          <w:rFonts w:hint="cs"/>
          <w:sz w:val="22"/>
          <w:rtl/>
        </w:rPr>
        <w:t xml:space="preserve"> </w:t>
      </w:r>
      <w:r>
        <w:t xml:space="preserve">John Davis, </w:t>
      </w:r>
      <w:r>
        <w:rPr>
          <w:i/>
          <w:iCs/>
        </w:rPr>
        <w:t xml:space="preserve">Moses and the Gods of Egypt </w:t>
      </w:r>
      <w:r>
        <w:t>(Grand Rapids, MI Baker Book House, 1971), 140</w:t>
      </w:r>
    </w:p>
  </w:footnote>
  <w:footnote w:id="66">
    <w:p w14:paraId="27DAC0BD" w14:textId="77777777" w:rsidR="00355D9E" w:rsidRDefault="00355D9E">
      <w:pPr>
        <w:pStyle w:val="FootnoteTxtNewParag"/>
        <w:bidi w:val="0"/>
      </w:pPr>
      <w:r>
        <w:rPr>
          <w:rStyle w:val="FootnoteReference"/>
          <w:rFonts w:hint="cs"/>
          <w:sz w:val="26"/>
          <w:szCs w:val="24"/>
          <w:rtl/>
        </w:rPr>
        <w:t>3</w:t>
      </w:r>
      <w:r>
        <w:rPr>
          <w:rFonts w:hint="cs"/>
          <w:rtl/>
        </w:rPr>
        <w:t xml:space="preserve"> </w:t>
      </w:r>
      <w:r>
        <w:t>John Davis, 141</w:t>
      </w:r>
    </w:p>
  </w:footnote>
  <w:footnote w:id="67">
    <w:p w14:paraId="0E20E42F" w14:textId="77777777" w:rsidR="00355D9E" w:rsidRDefault="00355D9E">
      <w:pPr>
        <w:pStyle w:val="FootnoteTxtNewParag"/>
        <w:bidi w:val="0"/>
      </w:pPr>
      <w:r>
        <w:rPr>
          <w:rStyle w:val="FootnoteReference"/>
          <w:rFonts w:hint="cs"/>
          <w:sz w:val="26"/>
          <w:szCs w:val="24"/>
          <w:rtl/>
        </w:rPr>
        <w:t>4</w:t>
      </w:r>
      <w:r>
        <w:rPr>
          <w:rFonts w:hint="cs"/>
          <w:sz w:val="22"/>
          <w:rtl/>
        </w:rPr>
        <w:t xml:space="preserve"> </w:t>
      </w:r>
      <w:r>
        <w:t xml:space="preserve">Benware Childs, </w:t>
      </w:r>
      <w:r>
        <w:rPr>
          <w:i/>
          <w:iCs/>
        </w:rPr>
        <w:t>The Book of Exodus</w:t>
      </w:r>
      <w:r>
        <w:t xml:space="preserve"> (Philadelphia: The Westminster Press, 1974), 204  </w:t>
      </w:r>
    </w:p>
  </w:footnote>
  <w:footnote w:id="68">
    <w:p w14:paraId="1EDEAA88" w14:textId="77777777" w:rsidR="00355D9E" w:rsidRDefault="00355D9E">
      <w:pPr>
        <w:pStyle w:val="FootnoteTxtNewParag"/>
        <w:bidi w:val="0"/>
        <w:rPr>
          <w:rtl/>
        </w:rPr>
      </w:pPr>
      <w:r>
        <w:rPr>
          <w:rStyle w:val="FootnoteReference"/>
          <w:rFonts w:hint="cs"/>
          <w:sz w:val="26"/>
          <w:szCs w:val="24"/>
          <w:rtl/>
        </w:rPr>
        <w:t>5</w:t>
      </w:r>
      <w:r>
        <w:rPr>
          <w:rFonts w:hint="cs"/>
          <w:rtl/>
        </w:rPr>
        <w:t xml:space="preserve"> </w:t>
      </w:r>
      <w:r>
        <w:t>John Davis, 156</w:t>
      </w:r>
    </w:p>
  </w:footnote>
  <w:footnote w:id="69">
    <w:p w14:paraId="5F40D382" w14:textId="77777777" w:rsidR="00355D9E" w:rsidRDefault="00355D9E">
      <w:pPr>
        <w:pStyle w:val="FootnoteTxtNewParag"/>
        <w:bidi w:val="0"/>
        <w:rPr>
          <w:rtl/>
        </w:rPr>
      </w:pPr>
      <w:r>
        <w:rPr>
          <w:rStyle w:val="FootnoteReference"/>
          <w:rFonts w:hint="cs"/>
          <w:sz w:val="26"/>
          <w:szCs w:val="24"/>
          <w:rtl/>
        </w:rPr>
        <w:t>6</w:t>
      </w:r>
      <w:r>
        <w:rPr>
          <w:rFonts w:hint="cs"/>
          <w:rtl/>
        </w:rPr>
        <w:t xml:space="preserve"> </w:t>
      </w:r>
      <w:r>
        <w:t>John Davis, 161</w:t>
      </w:r>
    </w:p>
  </w:footnote>
  <w:footnote w:id="70">
    <w:p w14:paraId="54FF1398" w14:textId="77777777" w:rsidR="00355D9E" w:rsidRDefault="00355D9E">
      <w:pPr>
        <w:pStyle w:val="FootnoteTxtNewParag"/>
        <w:bidi w:val="0"/>
        <w:rPr>
          <w:rtl/>
        </w:rPr>
      </w:pPr>
      <w:r>
        <w:rPr>
          <w:rStyle w:val="FootnoteReference"/>
          <w:rFonts w:hint="cs"/>
          <w:sz w:val="26"/>
          <w:szCs w:val="24"/>
          <w:rtl/>
        </w:rPr>
        <w:t>7</w:t>
      </w:r>
      <w:r>
        <w:rPr>
          <w:rFonts w:hint="cs"/>
          <w:sz w:val="22"/>
          <w:rtl/>
        </w:rPr>
        <w:t xml:space="preserve"> </w:t>
      </w:r>
      <w:r>
        <w:t>Merrill, Kingdom of Priests, 66</w:t>
      </w:r>
    </w:p>
  </w:footnote>
  <w:footnote w:id="71">
    <w:p w14:paraId="589F813D" w14:textId="77777777" w:rsidR="00355D9E" w:rsidRDefault="00355D9E">
      <w:pPr>
        <w:pStyle w:val="FootnoteTxtNewParag"/>
        <w:bidi w:val="0"/>
        <w:rPr>
          <w:rtl/>
        </w:rPr>
      </w:pPr>
      <w:r>
        <w:rPr>
          <w:rStyle w:val="FootnoteReference"/>
          <w:rFonts w:hint="cs"/>
          <w:sz w:val="26"/>
          <w:szCs w:val="24"/>
          <w:rtl/>
        </w:rPr>
        <w:t>8</w:t>
      </w:r>
      <w:r>
        <w:rPr>
          <w:rFonts w:hint="cs"/>
          <w:sz w:val="22"/>
          <w:rtl/>
        </w:rPr>
        <w:t xml:space="preserve"> </w:t>
      </w:r>
      <w:r>
        <w:t>John Davis, 169</w:t>
      </w:r>
    </w:p>
  </w:footnote>
  <w:footnote w:id="72">
    <w:p w14:paraId="7A2DE4E3" w14:textId="77777777" w:rsidR="00355D9E" w:rsidRDefault="00355D9E">
      <w:pPr>
        <w:pStyle w:val="FootnoteTxtNewParag"/>
        <w:bidi w:val="0"/>
        <w:rPr>
          <w:rtl/>
        </w:rPr>
      </w:pPr>
      <w:r>
        <w:rPr>
          <w:rStyle w:val="FootnoteReference"/>
          <w:rFonts w:hint="cs"/>
          <w:sz w:val="26"/>
          <w:szCs w:val="24"/>
          <w:rtl/>
        </w:rPr>
        <w:t>9</w:t>
      </w:r>
      <w:r>
        <w:rPr>
          <w:rFonts w:hint="cs"/>
          <w:sz w:val="22"/>
          <w:rtl/>
        </w:rPr>
        <w:t xml:space="preserve"> </w:t>
      </w:r>
      <w:r>
        <w:t>K. A. Kitchen, ZPEB, 5: 47.</w:t>
      </w:r>
      <w:r>
        <w:rPr>
          <w:rFonts w:hint="cs"/>
          <w:rtl/>
        </w:rPr>
        <w:t xml:space="preserve"> </w:t>
      </w:r>
      <w:r>
        <w:rPr>
          <w:rFonts w:hint="cs"/>
          <w:sz w:val="22"/>
          <w:rtl/>
        </w:rPr>
        <w:t xml:space="preserve">أما الاقتراح الموجود في  </w:t>
      </w:r>
      <w:r>
        <w:t>MacMillan Bible Atlas</w:t>
      </w:r>
      <w:r>
        <w:rPr>
          <w:rFonts w:hint="cs"/>
          <w:rtl/>
        </w:rPr>
        <w:t xml:space="preserve"> </w:t>
      </w:r>
      <w:r>
        <w:rPr>
          <w:rFonts w:hint="cs"/>
          <w:sz w:val="22"/>
          <w:rtl/>
        </w:rPr>
        <w:t>فهو خاطئ بلا شك.</w:t>
      </w:r>
      <w:r>
        <w:t xml:space="preserve"> </w:t>
      </w:r>
    </w:p>
  </w:footnote>
  <w:footnote w:id="73">
    <w:p w14:paraId="32C7FA91" w14:textId="77777777" w:rsidR="00355D9E" w:rsidRDefault="00355D9E" w:rsidP="00355D9E">
      <w:pPr>
        <w:pStyle w:val="FootnoteTxtNewParag"/>
        <w:rPr>
          <w:rtl/>
        </w:rPr>
      </w:pPr>
      <w:r>
        <w:rPr>
          <w:rStyle w:val="FootnoteReference"/>
          <w:sz w:val="22"/>
          <w:szCs w:val="24"/>
        </w:rPr>
        <w:footnoteRef/>
      </w:r>
      <w:r>
        <w:t xml:space="preserve"> </w:t>
      </w:r>
      <w:r>
        <w:rPr>
          <w:rFonts w:hint="cs"/>
          <w:rtl/>
        </w:rPr>
        <w:t xml:space="preserve"> </w:t>
      </w:r>
      <w:r>
        <w:rPr>
          <w:rFonts w:hint="cs"/>
          <w:rtl/>
          <w:lang w:bidi="ar-KW"/>
        </w:rPr>
        <w:t>من أجل نقاشٍ شاملٍ عن الخلاص والناموس، انظر</w:t>
      </w:r>
      <w:r>
        <w:t xml:space="preserve"> John S. Feinberg, "Salvation in the Old Testament," in Tradition and Testament, ed. John S. Feinberg and Paul D. Feinberg (Chicago:  Moody Press, 1981): 39-77</w:t>
      </w:r>
      <w:r>
        <w:rPr>
          <w:rFonts w:hint="cs"/>
          <w:rtl/>
        </w:rPr>
        <w:t>.</w:t>
      </w:r>
    </w:p>
  </w:footnote>
  <w:footnote w:id="74">
    <w:p w14:paraId="3CE45B80" w14:textId="77777777" w:rsidR="00355D9E" w:rsidRDefault="00355D9E" w:rsidP="00355D9E">
      <w:pPr>
        <w:pStyle w:val="FootnoteTxtNewParag"/>
        <w:bidi w:val="0"/>
        <w:rPr>
          <w:rtl/>
          <w:lang w:bidi="ar-SA"/>
        </w:rPr>
      </w:pPr>
      <w:r>
        <w:rPr>
          <w:rStyle w:val="FootnoteReference"/>
          <w:sz w:val="22"/>
          <w:szCs w:val="24"/>
        </w:rPr>
        <w:footnoteRef/>
      </w:r>
      <w:r>
        <w:t xml:space="preserve"> </w:t>
      </w:r>
      <w:r>
        <w:rPr>
          <w:rFonts w:hint="cs"/>
          <w:rtl/>
        </w:rPr>
        <w:t xml:space="preserve"> </w:t>
      </w:r>
      <w:r>
        <w:t>Merrill, Kingdom of Priests, 80.  Cf. Walter Eichrodt, Theology of the Old Testament (Philadelphia:  Westminster Press, 1961), 1:36-45, 481-85.</w:t>
      </w:r>
    </w:p>
  </w:footnote>
  <w:footnote w:id="75">
    <w:p w14:paraId="1F971AA3" w14:textId="77777777" w:rsidR="00355D9E" w:rsidRDefault="00355D9E" w:rsidP="00355D9E">
      <w:pPr>
        <w:pStyle w:val="FootnoteTxtNewParag"/>
        <w:bidi w:val="0"/>
        <w:rPr>
          <w:rtl/>
          <w:lang w:bidi="ar-SA"/>
        </w:rPr>
      </w:pPr>
      <w:r>
        <w:rPr>
          <w:rStyle w:val="FootnoteReference"/>
          <w:sz w:val="22"/>
          <w:szCs w:val="24"/>
        </w:rPr>
        <w:footnoteRef/>
      </w:r>
      <w:r>
        <w:t xml:space="preserve"> </w:t>
      </w:r>
      <w:r>
        <w:rPr>
          <w:rFonts w:hint="cs"/>
          <w:rtl/>
        </w:rPr>
        <w:t xml:space="preserve"> </w:t>
      </w:r>
      <w:r>
        <w:t>George E. Mendenhall, Law and Covenant in Israel and the Ancient Near East (Pittsburgh:  The Presbyterian Board of Colportage of Western Pennsylvania, 1955); Meredith Kline, Treaty of the Great King (Grand Rapids, MI:  Wm. B. Eerdmans Pub. Co., 1963); and K. A. Kitchen, Ancient Orient and the Old Testament (Downers Grove, IL:  InterVarsity Press, 1966).</w:t>
      </w:r>
    </w:p>
  </w:footnote>
  <w:footnote w:id="76">
    <w:p w14:paraId="02E5B097" w14:textId="77777777" w:rsidR="00355D9E" w:rsidRDefault="00355D9E" w:rsidP="00355D9E">
      <w:pPr>
        <w:pStyle w:val="FootnoteTxtNewParag"/>
        <w:bidi w:val="0"/>
        <w:rPr>
          <w:rtl/>
          <w:lang w:bidi="ar-SA"/>
        </w:rPr>
      </w:pPr>
      <w:r>
        <w:rPr>
          <w:rStyle w:val="FootnoteReference"/>
          <w:sz w:val="22"/>
          <w:szCs w:val="24"/>
        </w:rPr>
        <w:footnoteRef/>
      </w:r>
      <w:r>
        <w:t xml:space="preserve"> </w:t>
      </w:r>
      <w:r>
        <w:rPr>
          <w:rFonts w:hint="cs"/>
          <w:rtl/>
        </w:rPr>
        <w:t xml:space="preserve"> </w:t>
      </w:r>
      <w:r>
        <w:t>George E. Mendenhall, "Covenant Forms in Israelite Tradition," in The Biblical Archaeologist Reader, ed. Edward F. Campbell, Jr., and David Noel Freedman (Garden City, NY:  Doubleday, 1970), 3:38-42; and Klaus Baltzer, The Covenant Formulary in Old Testament Jewish and Early Christian Writings (Philadelphia:  Fortress Press, 1970).</w:t>
      </w:r>
    </w:p>
  </w:footnote>
  <w:footnote w:id="77">
    <w:p w14:paraId="40B44E5F" w14:textId="77777777" w:rsidR="00355D9E" w:rsidRDefault="00355D9E" w:rsidP="00355D9E">
      <w:pPr>
        <w:pStyle w:val="FootnoteTxtNewParag"/>
      </w:pPr>
      <w:r>
        <w:t xml:space="preserve"> </w:t>
      </w:r>
      <w:r>
        <w:rPr>
          <w:rStyle w:val="FootnoteReference"/>
          <w:sz w:val="22"/>
          <w:szCs w:val="24"/>
        </w:rPr>
        <w:footnoteRef/>
      </w:r>
      <w:r>
        <w:t xml:space="preserve"> </w:t>
      </w:r>
      <w:r>
        <w:rPr>
          <w:rFonts w:hint="cs"/>
          <w:rtl/>
        </w:rPr>
        <w:t xml:space="preserve"> من أجل الاستزادة في الدراسة، انظر</w:t>
      </w:r>
      <w:r>
        <w:t xml:space="preserve"> Greg L. Bahnsen, Walter C. Kaiser, Jr., Douglas J. Moo, Wayne G. Strickland, and Willem A. VanGemeren, </w:t>
      </w:r>
      <w:r>
        <w:rPr>
          <w:i/>
          <w:iCs/>
        </w:rPr>
        <w:t>The Law, the Gospel, and the Modern Christian:  Five Views</w:t>
      </w:r>
      <w:r>
        <w:rPr>
          <w:b/>
          <w:bCs/>
        </w:rPr>
        <w:t xml:space="preserve"> </w:t>
      </w:r>
      <w:r>
        <w:t>(Grand Rapids, MI:  Zondervan Pub. House, 1993).</w:t>
      </w:r>
    </w:p>
    <w:p w14:paraId="602F7139" w14:textId="77777777" w:rsidR="00355D9E" w:rsidRDefault="00355D9E" w:rsidP="00355D9E">
      <w:pPr>
        <w:pStyle w:val="FootnoteTxtNewParag"/>
        <w:rPr>
          <w:rtl/>
          <w:lang w:bidi="ar-KW"/>
        </w:rPr>
      </w:pPr>
      <w:r>
        <w:rPr>
          <w:rFonts w:hint="cs"/>
          <w:rtl/>
          <w:lang w:bidi="ar-KW"/>
        </w:rPr>
        <w:t xml:space="preserve">انظر </w:t>
      </w:r>
      <w:r>
        <w:rPr>
          <w:lang w:bidi="ar-KW"/>
        </w:rPr>
        <w:t>J. Daniel Hays, “Applying the Old Testament Law Today,” BibSac 158: 629 (Jan-Mar 2001): 21-35;</w:t>
      </w:r>
      <w:r>
        <w:rPr>
          <w:rFonts w:hint="cs"/>
          <w:rtl/>
          <w:lang w:bidi="ar-KW"/>
        </w:rPr>
        <w:t xml:space="preserve"> و </w:t>
      </w:r>
      <w:r>
        <w:rPr>
          <w:lang w:bidi="ar-KW"/>
        </w:rPr>
        <w:t xml:space="preserve">Michael Eaton, No Condemnation: A New Theology of Assurance (Downers Grove </w:t>
      </w:r>
      <w:r>
        <w:rPr>
          <w:rFonts w:hint="cs"/>
          <w:rtl/>
          <w:lang w:bidi="ar-KW"/>
        </w:rPr>
        <w:t xml:space="preserve"> و </w:t>
      </w:r>
      <w:r>
        <w:rPr>
          <w:lang w:bidi="ar-KW"/>
        </w:rPr>
        <w:t xml:space="preserve"> Il: Intervarsity Press, 1995)</w:t>
      </w:r>
      <w:r>
        <w:rPr>
          <w:rFonts w:hint="cs"/>
          <w:rtl/>
          <w:lang w:bidi="ar-KW"/>
        </w:rPr>
        <w:t xml:space="preserve">.  لدى إينون نقاش ممتاز عن علاقة المؤمن اليوم بشريعة العهد القديم، وهو يستنتج مصيباً أننا لسنا تحت الناموس اليوم.  لكن معنى اتّباع روح الله هو الاستسلام لحياة أخلاقية أسمى، وليس أقل (كما يعلن يسوع في العظة على الجبل). </w:t>
      </w:r>
    </w:p>
  </w:footnote>
  <w:footnote w:id="78">
    <w:p w14:paraId="528E2759" w14:textId="208BBD04" w:rsidR="008E6BA9" w:rsidRPr="006065DF" w:rsidRDefault="008E6BA9" w:rsidP="008E6BA9">
      <w:pPr>
        <w:pStyle w:val="Footnote"/>
        <w:rPr>
          <w:color w:val="C00000"/>
        </w:rPr>
      </w:pPr>
      <w:r w:rsidRPr="006065DF">
        <w:rPr>
          <w:rStyle w:val="FootnoteReference"/>
          <w:color w:val="C00000"/>
        </w:rPr>
        <w:footnoteRef/>
      </w:r>
      <w:r w:rsidRPr="006065DF">
        <w:rPr>
          <w:color w:val="C00000"/>
        </w:rPr>
        <w:t xml:space="preserve"> John S. Feinberg, “Salvation in the Old Testament,” in </w:t>
      </w:r>
      <w:r w:rsidRPr="006065DF">
        <w:rPr>
          <w:i/>
          <w:iCs/>
          <w:color w:val="C00000"/>
        </w:rPr>
        <w:t>Tradition and Testamen</w:t>
      </w:r>
      <w:r w:rsidR="00B20F86" w:rsidRPr="006065DF">
        <w:rPr>
          <w:i/>
          <w:iCs/>
          <w:color w:val="C00000"/>
        </w:rPr>
        <w:t>t; Essays in Honor of Charles Lee Feinberg</w:t>
      </w:r>
      <w:r w:rsidR="00B20F86" w:rsidRPr="006065DF">
        <w:rPr>
          <w:color w:val="C00000"/>
        </w:rPr>
        <w:t xml:space="preserve"> (Chicago, IL: Moody, 1981), 53.</w:t>
      </w:r>
    </w:p>
  </w:footnote>
  <w:footnote w:id="79">
    <w:p w14:paraId="52EF4F42" w14:textId="6C38B8BB" w:rsidR="00721165" w:rsidRPr="00845B64" w:rsidRDefault="00721165" w:rsidP="00721165">
      <w:pPr>
        <w:pStyle w:val="FootnoteText"/>
        <w:bidi/>
        <w:rPr>
          <w:rFonts w:ascii="Simplified Arabic" w:hAnsi="Simplified Arabic" w:cs="Simplified Arabic"/>
          <w:rtl/>
          <w:lang w:bidi="ar-JO"/>
        </w:rPr>
      </w:pPr>
      <w:r w:rsidRPr="00845B64">
        <w:rPr>
          <w:rStyle w:val="FootnoteReference"/>
          <w:rFonts w:ascii="Simplified Arabic" w:hAnsi="Simplified Arabic" w:cs="Simplified Arabic"/>
        </w:rPr>
        <w:footnoteRef/>
      </w:r>
      <w:r w:rsidRPr="00845B64">
        <w:rPr>
          <w:rFonts w:ascii="Simplified Arabic" w:hAnsi="Simplified Arabic" w:cs="Simplified Arabic"/>
        </w:rPr>
        <w:t xml:space="preserve"> </w:t>
      </w:r>
      <w:r w:rsidRPr="00845B64">
        <w:rPr>
          <w:rFonts w:ascii="Simplified Arabic" w:hAnsi="Simplified Arabic" w:cs="Simplified Arabic"/>
          <w:rtl/>
          <w:lang w:bidi="ar-JO"/>
        </w:rPr>
        <w:t>ت</w:t>
      </w:r>
      <w:r w:rsidR="007F7100" w:rsidRPr="00845B64">
        <w:rPr>
          <w:rFonts w:ascii="Simplified Arabic" w:hAnsi="Simplified Arabic" w:cs="Simplified Arabic"/>
          <w:rtl/>
          <w:lang w:bidi="ar-JO"/>
        </w:rPr>
        <w:t>ُذكَر القرابين والذبائح في تكوين 4: 3، 4، 5؛ 22: 2، 3، 6، 7، 8، 13؛ 31: 54؛ 35: 14. وقبل إعطاء الشريعة في جيل سيناء، نقرأ عن طلب العبرانيين من فرعون أن يسمح لهم بأن يذهبوا إلى البرية ليقدِّموا ذبائح للرب</w:t>
      </w:r>
      <w:r w:rsidR="00845B64" w:rsidRPr="00845B64">
        <w:rPr>
          <w:rFonts w:ascii="Simplified Arabic" w:hAnsi="Simplified Arabic" w:cs="Simplified Arabic"/>
          <w:rtl/>
          <w:lang w:bidi="ar-JO"/>
        </w:rPr>
        <w:t>ّ</w:t>
      </w:r>
      <w:r w:rsidR="007F7100" w:rsidRPr="00845B64">
        <w:rPr>
          <w:rFonts w:ascii="Simplified Arabic" w:hAnsi="Simplified Arabic" w:cs="Simplified Arabic"/>
          <w:rtl/>
          <w:lang w:bidi="ar-JO"/>
        </w:rPr>
        <w:t xml:space="preserve"> (انظر مثلًا خروج 3: 18؛ 5: 3؛ 10: 25). كما أُعطوا تعليمات بشأن خروف الفصح (خروج 12: 27)</w:t>
      </w:r>
      <w:r w:rsidR="00845B64">
        <w:rPr>
          <w:rFonts w:ascii="Simplified Arabic" w:hAnsi="Simplified Arabic" w:cs="Simplified Arabic" w:hint="cs"/>
          <w:rtl/>
          <w:lang w:bidi="ar-JO"/>
        </w:rPr>
        <w:t>.</w:t>
      </w:r>
      <w:r w:rsidR="007F7100" w:rsidRPr="00845B64">
        <w:rPr>
          <w:rFonts w:ascii="Simplified Arabic" w:hAnsi="Simplified Arabic" w:cs="Simplified Arabic"/>
          <w:rtl/>
          <w:lang w:bidi="ar-JO"/>
        </w:rPr>
        <w:t xml:space="preserve"> وقدّم يثرون، حمو موسى، وهو ليس عبرانيًّا، محرَقاتٍ وذبائح لله (خروج 18: 12).</w:t>
      </w:r>
    </w:p>
  </w:footnote>
  <w:footnote w:id="80">
    <w:p w14:paraId="5B39DC4E" w14:textId="77777777" w:rsidR="002E1856" w:rsidRDefault="002E1856" w:rsidP="002E1856">
      <w:pPr>
        <w:pStyle w:val="FootnoteTxtNewParag"/>
        <w:rPr>
          <w:rtl/>
        </w:rPr>
      </w:pPr>
      <w:r>
        <w:rPr>
          <w:rStyle w:val="FootnoteReference"/>
          <w:sz w:val="22"/>
          <w:szCs w:val="24"/>
        </w:rPr>
        <w:footnoteRef/>
      </w:r>
      <w:r>
        <w:t xml:space="preserve"> </w:t>
      </w:r>
      <w:r>
        <w:rPr>
          <w:rFonts w:hint="cs"/>
          <w:rtl/>
        </w:rPr>
        <w:t xml:space="preserve"> الكلمة المترجمة "سكن" أو "خَيَّمَ" هي الكلمة اليونانية </w:t>
      </w:r>
      <w:r>
        <w:rPr>
          <w:rFonts w:ascii="Gentium" w:hAnsi="Gentium"/>
          <w:lang w:val="el-GR" w:bidi="he-IL"/>
        </w:rPr>
        <w:t>ἐσκήνωσεν</w:t>
      </w:r>
      <w:r>
        <w:rPr>
          <w:rFonts w:hint="cs"/>
          <w:rtl/>
        </w:rPr>
        <w:t xml:space="preserve"> (من جذر الفعل "</w:t>
      </w:r>
      <w:r>
        <w:rPr>
          <w:rFonts w:ascii="Greek" w:hAnsi="Greek"/>
        </w:rPr>
        <w:t xml:space="preserve"> </w:t>
      </w:r>
      <w:r>
        <w:rPr>
          <w:rFonts w:ascii="Gentium" w:hAnsi="Gentium"/>
          <w:lang w:val="el-GR" w:bidi="he-IL"/>
        </w:rPr>
        <w:t>σκηνοω</w:t>
      </w:r>
      <w:r>
        <w:rPr>
          <w:rFonts w:hint="cs"/>
          <w:rtl/>
        </w:rPr>
        <w:t xml:space="preserve"> "؛ والاسم </w:t>
      </w:r>
      <w:r>
        <w:rPr>
          <w:rFonts w:ascii="Gentium" w:hAnsi="Gentium"/>
          <w:lang w:val="el-GR" w:bidi="he-IL"/>
        </w:rPr>
        <w:t>σκηνη</w:t>
      </w:r>
      <w:r>
        <w:rPr>
          <w:rFonts w:hint="cs"/>
          <w:rtl/>
        </w:rPr>
        <w:t xml:space="preserve"> = خيمة).</w:t>
      </w:r>
    </w:p>
  </w:footnote>
  <w:footnote w:id="81">
    <w:p w14:paraId="55C58ADB" w14:textId="77777777" w:rsidR="002E1856" w:rsidRDefault="002E1856" w:rsidP="002E1856">
      <w:pPr>
        <w:pStyle w:val="FootnoteTxtNewParag"/>
        <w:bidi w:val="0"/>
        <w:rPr>
          <w:rtl/>
          <w:lang w:bidi="ar-SA"/>
        </w:rPr>
      </w:pPr>
      <w:r>
        <w:rPr>
          <w:rStyle w:val="FootnoteReference"/>
        </w:rPr>
        <w:footnoteRef/>
      </w:r>
      <w:r>
        <w:t xml:space="preserve"> </w:t>
      </w:r>
      <w:r>
        <w:rPr>
          <w:rFonts w:hint="cs"/>
          <w:rtl/>
        </w:rPr>
        <w:t xml:space="preserve"> </w:t>
      </w:r>
      <w:r>
        <w:t>John Davis, Moses and the Gods of Egypt, 254.</w:t>
      </w:r>
    </w:p>
  </w:footnote>
  <w:footnote w:id="82">
    <w:p w14:paraId="0C10D0D3" w14:textId="77777777" w:rsidR="00072E15" w:rsidRDefault="00072E15" w:rsidP="00072E15">
      <w:pPr>
        <w:pStyle w:val="FootnoteTxtNewParag"/>
        <w:bidi w:val="0"/>
        <w:rPr>
          <w:rtl/>
          <w:lang w:bidi="ar-SA"/>
        </w:rPr>
      </w:pPr>
      <w:r>
        <w:rPr>
          <w:rStyle w:val="FootnoteReference"/>
          <w:sz w:val="22"/>
          <w:szCs w:val="24"/>
        </w:rPr>
        <w:footnoteRef/>
      </w:r>
      <w:r>
        <w:t xml:space="preserve"> </w:t>
      </w:r>
      <w:r>
        <w:rPr>
          <w:rFonts w:hint="cs"/>
          <w:rtl/>
        </w:rPr>
        <w:t xml:space="preserve"> </w:t>
      </w:r>
      <w:r>
        <w:t xml:space="preserve">R. K. Harrison, </w:t>
      </w:r>
      <w:r>
        <w:rPr>
          <w:i/>
          <w:iCs/>
        </w:rPr>
        <w:t>Leviticus</w:t>
      </w:r>
      <w:r>
        <w:t>, Tyndale Commentaries, 26.</w:t>
      </w:r>
    </w:p>
  </w:footnote>
  <w:footnote w:id="83">
    <w:p w14:paraId="7C27D490" w14:textId="77777777" w:rsidR="00072E15" w:rsidRDefault="00072E15" w:rsidP="00072E15">
      <w:pPr>
        <w:pStyle w:val="FootnoteTxtNewParag"/>
        <w:bidi w:val="0"/>
        <w:rPr>
          <w:rtl/>
          <w:lang w:bidi="ar-SA"/>
        </w:rPr>
      </w:pPr>
      <w:r>
        <w:rPr>
          <w:rStyle w:val="FootnoteReference"/>
          <w:sz w:val="22"/>
          <w:szCs w:val="24"/>
        </w:rPr>
        <w:footnoteRef/>
      </w:r>
      <w:r>
        <w:t xml:space="preserve"> </w:t>
      </w:r>
      <w:r>
        <w:rPr>
          <w:rFonts w:hint="cs"/>
          <w:rtl/>
        </w:rPr>
        <w:t xml:space="preserve"> </w:t>
      </w:r>
      <w:r>
        <w:t>Allen P. Ross, "An Outline of The Theology of Leviticus" (unpublished class notes in Old Testament 117, Dallas Seminary, Fall 1981), 3.</w:t>
      </w:r>
    </w:p>
  </w:footnote>
  <w:footnote w:id="84">
    <w:p w14:paraId="42180BA0" w14:textId="77777777" w:rsidR="00072E15" w:rsidRDefault="00072E15" w:rsidP="00072E15">
      <w:pPr>
        <w:pStyle w:val="FootnoteTxtNewParag"/>
        <w:rPr>
          <w:rtl/>
          <w:lang w:bidi="ar-KW"/>
        </w:rPr>
      </w:pPr>
      <w:r>
        <w:rPr>
          <w:rStyle w:val="FootnoteReference"/>
          <w:sz w:val="22"/>
          <w:szCs w:val="24"/>
        </w:rPr>
        <w:footnoteRef/>
      </w:r>
      <w:r>
        <w:rPr>
          <w:lang w:bidi="ar-SA"/>
        </w:rPr>
        <w:t xml:space="preserve"> </w:t>
      </w:r>
      <w:r>
        <w:rPr>
          <w:rFonts w:hint="cs"/>
          <w:rtl/>
        </w:rPr>
        <w:t xml:space="preserve"> لمعلوماتٍ أوسع للنقاش حول أصل ومعنى الكلمة "كفارة (يكفر عن، يعوض عن)،" أنظر </w:t>
      </w:r>
      <w:r>
        <w:rPr>
          <w:lang w:bidi="ar-SA"/>
        </w:rPr>
        <w:t xml:space="preserve">Mark F. Rooker, </w:t>
      </w:r>
      <w:r>
        <w:rPr>
          <w:i/>
          <w:iCs/>
          <w:lang w:bidi="ar-SA"/>
        </w:rPr>
        <w:t>Leviticus</w:t>
      </w:r>
      <w:r>
        <w:rPr>
          <w:lang w:bidi="ar-SA"/>
        </w:rPr>
        <w:t>, The New American Commentary (Nashville: Broadman and Holman Publishers, 2000), 52.</w:t>
      </w:r>
      <w:r>
        <w:rPr>
          <w:rFonts w:hint="cs"/>
          <w:rtl/>
        </w:rPr>
        <w:t>.  يُفضِّل روكر فكرة أن المعنى يتغير (بالاعتماد على القرينة) بين فكرة "يمسح، يطهِّر" و"الفدية."</w:t>
      </w:r>
      <w:r>
        <w:rPr>
          <w:rFonts w:hint="cs"/>
          <w:rtl/>
          <w:lang w:bidi="ar-SA"/>
        </w:rPr>
        <w:t xml:space="preserve">  [ النظرية الأقدم كانت تنص على أن المصطلح أساساً كان يعني "يغطي" وهذا المعنى كان مبنياً على اشتقاق من الأصل العربي ]. يشير روكر (52-53): "عندما يكون الشيء (مثل المذبح في خيمة الاجتماع) الذي يقع عليه الفعل، يكون معنى الفعل "كفر" (</w:t>
      </w:r>
      <w:r>
        <w:rPr>
          <w:i/>
          <w:iCs/>
          <w:lang w:bidi="ar-SA"/>
        </w:rPr>
        <w:t>kpr</w:t>
      </w:r>
      <w:r>
        <w:rPr>
          <w:rFonts w:hint="cs"/>
          <w:i/>
          <w:iCs/>
          <w:rtl/>
          <w:lang w:bidi="ar-SA"/>
        </w:rPr>
        <w:t xml:space="preserve">) </w:t>
      </w:r>
      <w:r>
        <w:rPr>
          <w:rFonts w:hint="cs"/>
          <w:rtl/>
          <w:lang w:bidi="ar-SA"/>
        </w:rPr>
        <w:t>هو "يطهر" أو "يمسح،" وعليه يكون تطهير هذا الشيء المقدس الذي تلوث بفعل خطية الإنسان هو المقصود.  بينما من الناحية الأخرى، عندما يكون الشخص المقدم للتقدمة هو المستفيد، فإن الفعل (</w:t>
      </w:r>
      <w:r>
        <w:rPr>
          <w:i/>
          <w:iCs/>
          <w:lang w:bidi="ar-SA"/>
        </w:rPr>
        <w:t>kpr</w:t>
      </w:r>
      <w:r>
        <w:rPr>
          <w:rFonts w:hint="cs"/>
          <w:i/>
          <w:iCs/>
          <w:rtl/>
          <w:lang w:bidi="ar-SA"/>
        </w:rPr>
        <w:t xml:space="preserve">) </w:t>
      </w:r>
      <w:r>
        <w:rPr>
          <w:rFonts w:hint="cs"/>
          <w:rtl/>
          <w:lang w:bidi="ar-SA"/>
        </w:rPr>
        <w:t>يحمل فكرة تقديم الفدية، لحياة تُعطى بدلاً عن حياة أخرى.  من خلال موت الحيوانات وتنفيذ الطقس الملائم، فإن الخاطئ يُفْدى من الموت الذي تستحقه خطيته."</w:t>
      </w:r>
    </w:p>
  </w:footnote>
  <w:footnote w:id="85">
    <w:p w14:paraId="2F82C986" w14:textId="77777777" w:rsidR="00072E15" w:rsidRDefault="00072E15" w:rsidP="00072E15">
      <w:pPr>
        <w:pStyle w:val="FootnoteTxtNewParag"/>
        <w:bidi w:val="0"/>
        <w:rPr>
          <w:rtl/>
        </w:rPr>
      </w:pPr>
      <w:r>
        <w:rPr>
          <w:rStyle w:val="FootnoteReference"/>
          <w:sz w:val="22"/>
          <w:szCs w:val="24"/>
        </w:rPr>
        <w:footnoteRef/>
      </w:r>
      <w:r>
        <w:t xml:space="preserve"> </w:t>
      </w:r>
      <w:r>
        <w:rPr>
          <w:rFonts w:hint="cs"/>
          <w:rtl/>
        </w:rPr>
        <w:t xml:space="preserve"> </w:t>
      </w:r>
      <w:r>
        <w:t>Allen P. Ross, "Leviticus," (unpublished class notes in Old Testament 117, Dallas Seminary, Fall 1981), 30.</w:t>
      </w:r>
    </w:p>
  </w:footnote>
  <w:footnote w:id="86">
    <w:p w14:paraId="4779EFB2" w14:textId="77777777" w:rsidR="00072E15" w:rsidRDefault="00072E15" w:rsidP="00072E15">
      <w:pPr>
        <w:pStyle w:val="FootnoteTxtNewParag"/>
        <w:bidi w:val="0"/>
      </w:pPr>
      <w:r>
        <w:rPr>
          <w:rStyle w:val="FootnoteReference"/>
          <w:sz w:val="22"/>
          <w:szCs w:val="24"/>
        </w:rPr>
        <w:footnoteRef/>
      </w:r>
      <w:r>
        <w:t xml:space="preserve"> </w:t>
      </w:r>
      <w:r>
        <w:rPr>
          <w:rFonts w:hint="cs"/>
          <w:rtl/>
        </w:rPr>
        <w:t xml:space="preserve"> </w:t>
      </w:r>
      <w:r>
        <w:t>Ibid., 33.</w:t>
      </w:r>
    </w:p>
  </w:footnote>
  <w:footnote w:id="87">
    <w:p w14:paraId="3D296086" w14:textId="77777777" w:rsidR="00072E15" w:rsidRDefault="00072E15" w:rsidP="00072E15">
      <w:pPr>
        <w:pStyle w:val="FootnoteTxtNewParag"/>
        <w:bidi w:val="0"/>
        <w:rPr>
          <w:rtl/>
          <w:lang w:bidi="ar-SA"/>
        </w:rPr>
      </w:pPr>
      <w:r>
        <w:rPr>
          <w:rStyle w:val="FootnoteReference"/>
          <w:sz w:val="22"/>
          <w:szCs w:val="24"/>
        </w:rPr>
        <w:footnoteRef/>
      </w:r>
      <w:r>
        <w:t xml:space="preserve"> </w:t>
      </w:r>
      <w:r>
        <w:rPr>
          <w:rFonts w:hint="cs"/>
          <w:rtl/>
        </w:rPr>
        <w:t xml:space="preserve"> </w:t>
      </w:r>
      <w:r>
        <w:t xml:space="preserve">Bromiley, Geoffrey W., ed., </w:t>
      </w:r>
      <w:r>
        <w:rPr>
          <w:i/>
          <w:iCs/>
        </w:rPr>
        <w:t xml:space="preserve">ISBE </w:t>
      </w:r>
      <w:r>
        <w:t>(Grand Rapids, MI:  Wm. B. Eerdmans Pub. Co., 1979-1988), s.v. "Atonement, Day of," by W. Möller and J. B. Payne, 1:360.</w:t>
      </w:r>
    </w:p>
  </w:footnote>
  <w:footnote w:id="88">
    <w:p w14:paraId="7768D436" w14:textId="77777777" w:rsidR="00072E15" w:rsidRDefault="00072E15" w:rsidP="00072E15">
      <w:pPr>
        <w:pStyle w:val="FootnoteTxtNewParag"/>
        <w:rPr>
          <w:rtl/>
        </w:rPr>
      </w:pPr>
      <w:r>
        <w:rPr>
          <w:rStyle w:val="FootnoteReference"/>
          <w:sz w:val="22"/>
          <w:szCs w:val="24"/>
        </w:rPr>
        <w:footnoteRef/>
      </w:r>
      <w:r>
        <w:rPr>
          <w:lang w:bidi="ar-SA"/>
        </w:rPr>
        <w:t xml:space="preserve"> </w:t>
      </w:r>
      <w:r>
        <w:rPr>
          <w:rFonts w:hint="cs"/>
          <w:rtl/>
        </w:rPr>
        <w:t xml:space="preserve"> الذين يقولون إن هذا هو معنى الكلمة يدّعون أن الجزء الأول من الكلمة يأتي من الكلمة العبرية "عَزَر" التي تعني "القوي".  والصفة "عَز" تعني "قوي" أو "جبار" أو "عنيف" أو "شرس". </w:t>
      </w:r>
    </w:p>
  </w:footnote>
  <w:footnote w:id="89">
    <w:p w14:paraId="0BA20C2A" w14:textId="77777777" w:rsidR="00072E15" w:rsidRDefault="00072E15" w:rsidP="00072E15">
      <w:pPr>
        <w:pStyle w:val="FootnoteTxtNewParag"/>
        <w:rPr>
          <w:rtl/>
          <w:lang w:bidi="ar-KW"/>
        </w:rPr>
      </w:pPr>
      <w:r>
        <w:rPr>
          <w:rStyle w:val="FootnoteReference"/>
          <w:sz w:val="22"/>
          <w:szCs w:val="24"/>
        </w:rPr>
        <w:footnoteRef/>
      </w:r>
      <w:r>
        <w:t xml:space="preserve"> </w:t>
      </w:r>
      <w:r>
        <w:rPr>
          <w:rFonts w:hint="cs"/>
          <w:rtl/>
        </w:rPr>
        <w:t xml:space="preserve"> </w:t>
      </w:r>
      <w:r>
        <w:rPr>
          <w:rFonts w:hint="cs"/>
          <w:rtl/>
          <w:lang w:bidi="ar-KW"/>
        </w:rPr>
        <w:t>اقترح بعض العلماء أن الكلمة "</w:t>
      </w:r>
      <w:r>
        <w:rPr>
          <w:lang w:bidi="ar-KW"/>
        </w:rPr>
        <w:t xml:space="preserve">, </w:t>
      </w:r>
      <w:r w:rsidRPr="00363697">
        <w:rPr>
          <w:rFonts w:ascii="Charis SIL" w:hAnsi="Charis SIL" w:cs="Charis SIL"/>
          <w:bCs/>
          <w:i/>
          <w:iCs/>
        </w:rPr>
        <w:t>ʿăzāʾzēl</w:t>
      </w:r>
      <w:r>
        <w:rPr>
          <w:rFonts w:hint="cs"/>
          <w:rtl/>
          <w:lang w:bidi="ar-KW"/>
        </w:rPr>
        <w:t xml:space="preserve"> عزازيل" كلمة مركبة تأتي من الكلمتين "عِز" (</w:t>
      </w:r>
      <w:r>
        <w:rPr>
          <w:rFonts w:ascii="SBL Hebrew" w:hAnsi="SBL Hebrew" w:cs="SBL Hebrew" w:hint="cs"/>
          <w:rtl/>
          <w:lang w:bidi="he-IL"/>
        </w:rPr>
        <w:t>עֵז</w:t>
      </w:r>
      <w:r>
        <w:rPr>
          <w:rFonts w:hint="cs"/>
          <w:rtl/>
          <w:lang w:bidi="ar-KW"/>
        </w:rPr>
        <w:t>) والفعل "</w:t>
      </w:r>
      <w:r w:rsidRPr="0084374C">
        <w:rPr>
          <w:rFonts w:ascii="SBL Hebrew" w:hAnsi="SBL Hebrew" w:cs="SBL Hebrew" w:hint="cs"/>
          <w:rtl/>
          <w:lang w:bidi="he-IL"/>
        </w:rPr>
        <w:t xml:space="preserve"> </w:t>
      </w:r>
      <w:r>
        <w:rPr>
          <w:rFonts w:ascii="SBL Hebrew" w:hAnsi="SBL Hebrew" w:cs="SBL Hebrew" w:hint="cs"/>
          <w:rtl/>
          <w:lang w:bidi="he-IL"/>
        </w:rPr>
        <w:t>אָזַל</w:t>
      </w:r>
      <w:r>
        <w:rPr>
          <w:rFonts w:hint="cs"/>
          <w:rtl/>
          <w:lang w:bidi="ar-KW"/>
        </w:rPr>
        <w:t xml:space="preserve">" (ذهب بعيداً)، فيكون المعنى "التيس الذي يذهب".  لكن لاحظ أن الترجمة السبعينية لم تعطي كلمة محددة لـ "تيس".  اقترح قاموس </w:t>
      </w:r>
      <w:r>
        <w:t>BDB</w:t>
      </w:r>
      <w:r>
        <w:rPr>
          <w:rFonts w:hint="cs"/>
          <w:rtl/>
          <w:lang w:bidi="ar-KW"/>
        </w:rPr>
        <w:t xml:space="preserve"> العبري (36</w:t>
      </w:r>
      <w:r>
        <w:rPr>
          <w:rFonts w:hint="cs"/>
          <w:rtl/>
          <w:lang w:bidi="ar-SY"/>
        </w:rPr>
        <w:t>7</w:t>
      </w:r>
      <w:r>
        <w:rPr>
          <w:rFonts w:hint="cs"/>
          <w:rtl/>
          <w:lang w:bidi="ar-KW"/>
        </w:rPr>
        <w:t xml:space="preserve"> ق م) أن الكلمة </w:t>
      </w:r>
      <w:r w:rsidRPr="005E2FF0">
        <w:rPr>
          <w:rFonts w:ascii="SBL Hebrew" w:hAnsi="SBL Hebrew" w:cs="SBL Hebrew" w:hint="cs"/>
          <w:rtl/>
          <w:lang w:bidi="he-IL"/>
        </w:rPr>
        <w:t>עֲזָאזֵל</w:t>
      </w:r>
      <w:r>
        <w:rPr>
          <w:rFonts w:ascii="SBL Hebrew" w:hAnsi="SBL Hebrew" w:cs="SBL Hebrew" w:hint="cs"/>
          <w:rtl/>
          <w:lang w:bidi="he-IL"/>
        </w:rPr>
        <w:t xml:space="preserve"> </w:t>
      </w:r>
      <w:r>
        <w:rPr>
          <w:rFonts w:hint="cs"/>
          <w:rtl/>
          <w:lang w:bidi="ar-KW"/>
        </w:rPr>
        <w:t>(عزازيل) اسم مُذكر يعني "إزالة كاملة" (طقس لاويين 16 يرمز إلى الغفران الكامل).</w:t>
      </w:r>
    </w:p>
  </w:footnote>
  <w:footnote w:id="90">
    <w:p w14:paraId="62B95423" w14:textId="77777777" w:rsidR="00072E15" w:rsidRDefault="00072E15" w:rsidP="00072E15">
      <w:pPr>
        <w:pStyle w:val="FootnoteTxtNewParag"/>
        <w:bidi w:val="0"/>
        <w:rPr>
          <w:rtl/>
          <w:lang w:bidi="ar-SA"/>
        </w:rPr>
      </w:pPr>
      <w:r>
        <w:rPr>
          <w:rStyle w:val="FootnoteReference"/>
          <w:sz w:val="22"/>
          <w:szCs w:val="24"/>
        </w:rPr>
        <w:footnoteRef/>
      </w:r>
      <w:r>
        <w:t xml:space="preserve"> </w:t>
      </w:r>
      <w:r>
        <w:rPr>
          <w:rFonts w:hint="cs"/>
          <w:rtl/>
        </w:rPr>
        <w:t xml:space="preserve"> </w:t>
      </w:r>
      <w:r>
        <w:t xml:space="preserve">G. J. Wenham, </w:t>
      </w:r>
      <w:r>
        <w:rPr>
          <w:i/>
          <w:iCs/>
        </w:rPr>
        <w:t>Leviticus</w:t>
      </w:r>
      <w:r>
        <w:t>, NICOT, 231.</w:t>
      </w:r>
    </w:p>
  </w:footnote>
  <w:footnote w:id="91">
    <w:p w14:paraId="7ADDBB59" w14:textId="77777777" w:rsidR="00072E15" w:rsidRDefault="00072E15" w:rsidP="00072E15">
      <w:pPr>
        <w:pStyle w:val="FootnoteTxtNewParag"/>
        <w:bidi w:val="0"/>
        <w:rPr>
          <w:szCs w:val="24"/>
        </w:rPr>
      </w:pPr>
      <w:r>
        <w:rPr>
          <w:rStyle w:val="FootnoteReference"/>
          <w:szCs w:val="24"/>
        </w:rPr>
        <w:footnoteRef/>
      </w:r>
      <w:r>
        <w:t xml:space="preserve"> </w:t>
      </w:r>
      <w:r>
        <w:rPr>
          <w:rFonts w:hint="cs"/>
          <w:rtl/>
        </w:rPr>
        <w:t xml:space="preserve">  </w:t>
      </w:r>
      <w:r>
        <w:t>Allen Ross, "Leviticus" (unpublished class notes in Old Testament 117, Dallas Seminary, Fall 1981), 102.</w:t>
      </w:r>
    </w:p>
    <w:p w14:paraId="2769301B" w14:textId="77777777" w:rsidR="00072E15" w:rsidRDefault="00072E15" w:rsidP="00072E15">
      <w:pPr>
        <w:pStyle w:val="FootnoteText"/>
        <w:bidi/>
        <w:rPr>
          <w:rtl/>
        </w:rPr>
      </w:pPr>
    </w:p>
  </w:footnote>
  <w:footnote w:id="92">
    <w:p w14:paraId="09674F82" w14:textId="77777777" w:rsidR="00072E15" w:rsidRDefault="00072E15" w:rsidP="00072E15">
      <w:pPr>
        <w:pStyle w:val="FootnoteTxtNewParag"/>
        <w:rPr>
          <w:szCs w:val="24"/>
          <w:rtl/>
          <w:lang w:bidi="ar-KW"/>
        </w:rPr>
      </w:pPr>
      <w:r>
        <w:rPr>
          <w:rStyle w:val="FootnoteReference"/>
          <w:szCs w:val="24"/>
        </w:rPr>
        <w:footnoteRef/>
      </w:r>
      <w:r>
        <w:rPr>
          <w:lang w:bidi="ar-SA"/>
        </w:rPr>
        <w:t xml:space="preserve"> </w:t>
      </w:r>
      <w:r>
        <w:rPr>
          <w:rFonts w:hint="cs"/>
          <w:rtl/>
        </w:rPr>
        <w:t xml:space="preserve"> </w:t>
      </w:r>
      <w:r>
        <w:rPr>
          <w:rFonts w:hint="cs"/>
          <w:rtl/>
          <w:lang w:bidi="ar-KW"/>
        </w:rPr>
        <w:t xml:space="preserve">في المكان الوحيد الآخر الذي ترد فيه الكلمة </w:t>
      </w:r>
      <w:r w:rsidRPr="00363697">
        <w:rPr>
          <w:lang w:val="el-GR"/>
        </w:rPr>
        <w:t>ἱλαστ</w:t>
      </w:r>
      <w:r w:rsidRPr="00363697">
        <w:rPr>
          <w:rFonts w:ascii="Cambria" w:hAnsi="Cambria" w:cs="Cambria"/>
          <w:lang w:val="el-GR"/>
        </w:rPr>
        <w:t>ήριον</w:t>
      </w:r>
      <w:r>
        <w:rPr>
          <w:rFonts w:hint="cs"/>
          <w:rtl/>
          <w:lang w:bidi="ar-KW"/>
        </w:rPr>
        <w:t xml:space="preserve"> في العهد الجديد (وهو عبرانيين 9: 5)، نرى أن معناها "كرسي الرحمة".  وترجمة </w:t>
      </w:r>
      <w:r>
        <w:t>NIV</w:t>
      </w:r>
      <w:r>
        <w:rPr>
          <w:rFonts w:hint="cs"/>
          <w:rtl/>
          <w:lang w:bidi="ar-KW"/>
        </w:rPr>
        <w:t xml:space="preserve"> تترجم الكلمة "كفارة" في رومية 3: 25 إلى "ذبيحة كفارة".  </w:t>
      </w:r>
    </w:p>
    <w:p w14:paraId="5B61DD94" w14:textId="77777777" w:rsidR="00072E15" w:rsidRDefault="00072E15" w:rsidP="00072E15">
      <w:pPr>
        <w:pStyle w:val="FootnoteText"/>
        <w:bidi/>
        <w:rPr>
          <w:rtl/>
        </w:rPr>
      </w:pPr>
    </w:p>
  </w:footnote>
  <w:footnote w:id="93">
    <w:p w14:paraId="547E6F2D" w14:textId="77777777" w:rsidR="00072E15" w:rsidRDefault="00072E15" w:rsidP="00072E15">
      <w:pPr>
        <w:pStyle w:val="FootnoteTxtNewParag"/>
        <w:bidi w:val="0"/>
        <w:rPr>
          <w:rtl/>
        </w:rPr>
      </w:pPr>
      <w:r>
        <w:rPr>
          <w:rStyle w:val="FootnoteReference"/>
          <w:sz w:val="22"/>
          <w:szCs w:val="24"/>
        </w:rPr>
        <w:footnoteRef/>
      </w:r>
      <w:r>
        <w:t xml:space="preserve"> </w:t>
      </w:r>
      <w:r>
        <w:rPr>
          <w:rFonts w:hint="cs"/>
          <w:rtl/>
        </w:rPr>
        <w:t xml:space="preserve"> </w:t>
      </w:r>
      <w:r>
        <w:t>Wenham, 237-38.</w:t>
      </w:r>
    </w:p>
  </w:footnote>
  <w:footnote w:id="94">
    <w:p w14:paraId="7DB6D0E2" w14:textId="77777777" w:rsidR="00BF07C2" w:rsidRDefault="00BF07C2" w:rsidP="00BF07C2">
      <w:pPr>
        <w:pStyle w:val="FootnoteTxtNewParag"/>
        <w:bidi w:val="0"/>
        <w:rPr>
          <w:rtl/>
          <w:lang w:bidi="ar-SA"/>
        </w:rPr>
      </w:pPr>
      <w:r>
        <w:rPr>
          <w:rStyle w:val="FootnoteReference"/>
        </w:rPr>
        <w:footnoteRef/>
      </w:r>
      <w:r>
        <w:t xml:space="preserve"> </w:t>
      </w:r>
      <w:r>
        <w:rPr>
          <w:rFonts w:hint="cs"/>
          <w:rtl/>
        </w:rPr>
        <w:t xml:space="preserve"> </w:t>
      </w:r>
      <w:r>
        <w:t>Allen Ross, "Leviticus" (unpublished class notes in Old Testament 117, Dallas Seminary, Fall 1981), 107.</w:t>
      </w:r>
    </w:p>
  </w:footnote>
  <w:footnote w:id="95">
    <w:p w14:paraId="6978593F" w14:textId="77777777" w:rsidR="00BF07C2" w:rsidRDefault="00BF07C2" w:rsidP="00BF07C2">
      <w:pPr>
        <w:pStyle w:val="FootnoteTxtNewParag"/>
        <w:bidi w:val="0"/>
        <w:rPr>
          <w:rtl/>
          <w:lang w:bidi="ar-SA"/>
        </w:rPr>
      </w:pPr>
      <w:r>
        <w:rPr>
          <w:rStyle w:val="FootnoteReference"/>
          <w:sz w:val="22"/>
          <w:szCs w:val="24"/>
        </w:rPr>
        <w:footnoteRef/>
      </w:r>
      <w:r>
        <w:t xml:space="preserve"> </w:t>
      </w:r>
      <w:r>
        <w:rPr>
          <w:rFonts w:hint="cs"/>
          <w:rtl/>
        </w:rPr>
        <w:t xml:space="preserve"> </w:t>
      </w:r>
      <w:r>
        <w:t xml:space="preserve">See Timothy K. Hui, "The Purpose of Israel's Annual Feasts," </w:t>
      </w:r>
      <w:r>
        <w:rPr>
          <w:i/>
          <w:iCs/>
        </w:rPr>
        <w:t>BibSac</w:t>
      </w:r>
      <w:r>
        <w:t xml:space="preserve"> 147:586 (Apr-Jun 1990):143-54; and Terry C. Hulbert, "The Eschatological Significance of Israel's Annual Feasts" (Th.D. diss., Dallas Theological Seminary, 1965).</w:t>
      </w:r>
    </w:p>
  </w:footnote>
  <w:footnote w:id="96">
    <w:p w14:paraId="4904BC7F" w14:textId="77777777" w:rsidR="00BF07C2" w:rsidRDefault="00BF07C2" w:rsidP="00BF07C2">
      <w:pPr>
        <w:pStyle w:val="FootnoteTxtNewParag"/>
        <w:rPr>
          <w:rtl/>
        </w:rPr>
      </w:pPr>
      <w:r>
        <w:rPr>
          <w:rStyle w:val="FootnoteReference"/>
          <w:sz w:val="22"/>
          <w:szCs w:val="24"/>
        </w:rPr>
        <w:footnoteRef/>
      </w:r>
      <w:r>
        <w:rPr>
          <w:lang w:bidi="ar-SA"/>
        </w:rPr>
        <w:t xml:space="preserve"> </w:t>
      </w:r>
      <w:r>
        <w:rPr>
          <w:rFonts w:hint="cs"/>
          <w:rtl/>
        </w:rPr>
        <w:t xml:space="preserve"> </w:t>
      </w:r>
      <w:r>
        <w:rPr>
          <w:rFonts w:hint="cs"/>
          <w:rtl/>
          <w:lang w:bidi="ar-KW"/>
        </w:rPr>
        <w:t>من أجل دراسة متعمِّقة للسبب ومعناه وأهميته انظر</w:t>
      </w:r>
      <w:r>
        <w:rPr>
          <w:lang w:bidi="ar-SA"/>
        </w:rPr>
        <w:t xml:space="preserve"> Richard J. Griffith, "The Eschatological Significance of the Sabbath" (Ph.D. diss., Dallas Theological Seminary, 1990)</w:t>
      </w:r>
      <w:r>
        <w:rPr>
          <w:rFonts w:hint="cs"/>
          <w:rtl/>
        </w:rPr>
        <w:t>.</w:t>
      </w:r>
    </w:p>
  </w:footnote>
  <w:footnote w:id="97">
    <w:p w14:paraId="55C04294" w14:textId="77777777" w:rsidR="00BF07C2" w:rsidRDefault="00BF07C2" w:rsidP="00BF07C2">
      <w:pPr>
        <w:pStyle w:val="FootnoteTxtNewParag"/>
        <w:rPr>
          <w:rtl/>
        </w:rPr>
      </w:pPr>
      <w:r>
        <w:rPr>
          <w:rStyle w:val="FootnoteReference"/>
          <w:sz w:val="22"/>
          <w:szCs w:val="24"/>
        </w:rPr>
        <w:footnoteRef/>
      </w:r>
      <w:r>
        <w:rPr>
          <w:lang w:bidi="ar-SA"/>
        </w:rPr>
        <w:t xml:space="preserve"> </w:t>
      </w:r>
      <w:r>
        <w:rPr>
          <w:rFonts w:hint="cs"/>
          <w:rtl/>
        </w:rPr>
        <w:t xml:space="preserve"> بحسب هوي (</w:t>
      </w:r>
      <w:r>
        <w:rPr>
          <w:lang w:bidi="ar-SA"/>
        </w:rPr>
        <w:t>Hui</w:t>
      </w:r>
      <w:r>
        <w:rPr>
          <w:rFonts w:hint="cs"/>
          <w:rtl/>
        </w:rPr>
        <w:t>)، كان يوم السبت أكثر من تذكير بعمل خلق الله وراحته: "كانت دلالة راحة السبت تتجاوز الاحتفال التذكاري العام بتوقف الله عن العمل بعد إنهائه خلق الله إلى الاحتفال التذكاري بعمله الكامل في فداء أمة إسرائيل."</w:t>
      </w:r>
    </w:p>
  </w:footnote>
  <w:footnote w:id="98">
    <w:p w14:paraId="4BC71DED" w14:textId="77777777" w:rsidR="00BF07C2" w:rsidRDefault="00BF07C2" w:rsidP="00BF07C2">
      <w:pPr>
        <w:pStyle w:val="FootnoteTxtNewParag"/>
        <w:bidi w:val="0"/>
        <w:rPr>
          <w:rtl/>
        </w:rPr>
      </w:pPr>
      <w:r>
        <w:rPr>
          <w:rStyle w:val="FootnoteReference"/>
          <w:sz w:val="22"/>
          <w:szCs w:val="24"/>
        </w:rPr>
        <w:footnoteRef/>
      </w:r>
      <w:r>
        <w:t xml:space="preserve"> </w:t>
      </w:r>
      <w:r>
        <w:rPr>
          <w:rFonts w:hint="cs"/>
          <w:rtl/>
        </w:rPr>
        <w:t xml:space="preserve"> </w:t>
      </w:r>
      <w:r>
        <w:t xml:space="preserve">Merrill F. </w:t>
      </w:r>
      <w:r w:rsidRPr="00665E13">
        <w:t>Unger</w:t>
      </w:r>
      <w:r>
        <w:rPr>
          <w:i/>
          <w:iCs/>
        </w:rPr>
        <w:t>, Unger's Commentary on the Old Testament</w:t>
      </w:r>
      <w:r>
        <w:t xml:space="preserve"> (Chicago:  Moody Press, 1981), 1:174.</w:t>
      </w:r>
    </w:p>
  </w:footnote>
  <w:footnote w:id="99">
    <w:p w14:paraId="30D3F819" w14:textId="77777777" w:rsidR="00BF07C2" w:rsidRDefault="00BF07C2" w:rsidP="00BF07C2">
      <w:pPr>
        <w:pStyle w:val="FootnoteTxtNewParag"/>
        <w:bidi w:val="0"/>
        <w:rPr>
          <w:rtl/>
          <w:lang w:bidi="ar-SA"/>
        </w:rPr>
      </w:pPr>
      <w:r>
        <w:rPr>
          <w:rStyle w:val="FootnoteReference"/>
          <w:sz w:val="22"/>
          <w:szCs w:val="24"/>
        </w:rPr>
        <w:footnoteRef/>
      </w:r>
      <w:r>
        <w:t xml:space="preserve"> </w:t>
      </w:r>
      <w:r>
        <w:rPr>
          <w:rFonts w:hint="cs"/>
          <w:rtl/>
        </w:rPr>
        <w:t xml:space="preserve"> </w:t>
      </w:r>
      <w:r>
        <w:t xml:space="preserve">Abraham Bloch, </w:t>
      </w:r>
      <w:r>
        <w:rPr>
          <w:i/>
          <w:iCs/>
        </w:rPr>
        <w:t>The Biblical and Historical Background of the Jewish Holy Days</w:t>
      </w:r>
      <w:r>
        <w:t xml:space="preserve"> (New York:  KTAV Pub. House, Inc., 1978), 21.</w:t>
      </w:r>
    </w:p>
  </w:footnote>
  <w:footnote w:id="100">
    <w:p w14:paraId="4EE1993E" w14:textId="77777777" w:rsidR="00BF07C2" w:rsidRDefault="00BF07C2" w:rsidP="00BF07C2">
      <w:pPr>
        <w:pStyle w:val="FootnoteTxtNewParag"/>
        <w:bidi w:val="0"/>
        <w:rPr>
          <w:rtl/>
          <w:lang w:bidi="ar-SA"/>
        </w:rPr>
      </w:pPr>
      <w:r>
        <w:rPr>
          <w:rStyle w:val="FootnoteReference"/>
          <w:sz w:val="22"/>
          <w:szCs w:val="24"/>
        </w:rPr>
        <w:footnoteRef/>
      </w:r>
      <w:r>
        <w:t xml:space="preserve"> </w:t>
      </w:r>
      <w:r>
        <w:rPr>
          <w:rFonts w:hint="cs"/>
          <w:rtl/>
        </w:rPr>
        <w:t xml:space="preserve"> </w:t>
      </w:r>
      <w:r>
        <w:t>Ross, 129.</w:t>
      </w:r>
    </w:p>
  </w:footnote>
  <w:footnote w:id="101">
    <w:p w14:paraId="3FC0C846" w14:textId="77777777" w:rsidR="00BF07C2" w:rsidRDefault="00BF07C2" w:rsidP="00BF07C2">
      <w:pPr>
        <w:pStyle w:val="FootnoteTxtNewParag"/>
        <w:rPr>
          <w:rtl/>
          <w:lang w:bidi="ar-SA"/>
        </w:rPr>
      </w:pPr>
      <w:r>
        <w:rPr>
          <w:rStyle w:val="FootnoteReference"/>
          <w:sz w:val="22"/>
          <w:szCs w:val="24"/>
        </w:rPr>
        <w:footnoteRef/>
      </w:r>
      <w:r>
        <w:rPr>
          <w:lang w:bidi="ar-SA"/>
        </w:rPr>
        <w:t xml:space="preserve"> </w:t>
      </w:r>
      <w:r>
        <w:rPr>
          <w:rFonts w:hint="cs"/>
          <w:rtl/>
        </w:rPr>
        <w:t xml:space="preserve"> من أجل نقاشٍ أوسع عن تطهير إسرائيل بالارتباط مع المجيء الثاني، انظر</w:t>
      </w:r>
      <w:r>
        <w:rPr>
          <w:lang w:bidi="ar-SA"/>
        </w:rPr>
        <w:t xml:space="preserve">J. </w:t>
      </w:r>
      <w:r>
        <w:t>Paul Tanner, "The Function of Zechariah 13 in the Prophet's Final Oracle" (Th.M. thesis, Dallas Seminary, 1981)</w:t>
      </w:r>
      <w:r>
        <w:rPr>
          <w:rFonts w:hint="cs"/>
          <w:rtl/>
        </w:rPr>
        <w:t>.</w:t>
      </w:r>
    </w:p>
  </w:footnote>
  <w:footnote w:id="102">
    <w:p w14:paraId="61CFFCB8" w14:textId="77777777" w:rsidR="00BF07C2" w:rsidRDefault="00BF07C2" w:rsidP="00BF07C2">
      <w:pPr>
        <w:pStyle w:val="FootnoteTxtNewParag"/>
        <w:bidi w:val="0"/>
        <w:rPr>
          <w:rtl/>
          <w:lang w:bidi="ar-SA"/>
        </w:rPr>
      </w:pPr>
      <w:r>
        <w:rPr>
          <w:rStyle w:val="FootnoteReference"/>
          <w:sz w:val="22"/>
          <w:szCs w:val="24"/>
        </w:rPr>
        <w:footnoteRef/>
      </w:r>
      <w:r>
        <w:t xml:space="preserve"> </w:t>
      </w:r>
      <w:r>
        <w:rPr>
          <w:rFonts w:hint="cs"/>
          <w:rtl/>
        </w:rPr>
        <w:t xml:space="preserve"> </w:t>
      </w:r>
      <w:r>
        <w:t xml:space="preserve">Victor Buksbazen, </w:t>
      </w:r>
      <w:r>
        <w:rPr>
          <w:i/>
          <w:iCs/>
        </w:rPr>
        <w:t>The Gospel in The Feasts of Israel</w:t>
      </w:r>
      <w:r>
        <w:t xml:space="preserve"> (Collingswood, N.J.:  The Friends of Israel, 1954), 46.</w:t>
      </w:r>
    </w:p>
  </w:footnote>
  <w:footnote w:id="103">
    <w:p w14:paraId="031F1024" w14:textId="77777777" w:rsidR="00BF07C2" w:rsidRDefault="00BF07C2" w:rsidP="00BF07C2">
      <w:pPr>
        <w:pStyle w:val="FootnoteTxtNewParag"/>
        <w:bidi w:val="0"/>
        <w:rPr>
          <w:rtl/>
        </w:rPr>
      </w:pPr>
      <w:r>
        <w:rPr>
          <w:rStyle w:val="FootnoteReference"/>
          <w:sz w:val="22"/>
          <w:szCs w:val="24"/>
        </w:rPr>
        <w:footnoteRef/>
      </w:r>
      <w:r>
        <w:t xml:space="preserve"> </w:t>
      </w:r>
      <w:r>
        <w:rPr>
          <w:rFonts w:hint="cs"/>
          <w:rtl/>
        </w:rPr>
        <w:t xml:space="preserve"> </w:t>
      </w:r>
      <w:r>
        <w:t>Abraham Bloch, 39.</w:t>
      </w:r>
    </w:p>
  </w:footnote>
  <w:footnote w:id="104">
    <w:p w14:paraId="59BADAC4" w14:textId="77777777" w:rsidR="00BF07C2" w:rsidRDefault="00BF07C2" w:rsidP="00BF07C2">
      <w:pPr>
        <w:pStyle w:val="FootnoteTxtNewParag"/>
        <w:rPr>
          <w:rtl/>
          <w:lang w:bidi="ar-SA"/>
        </w:rPr>
      </w:pPr>
      <w:r>
        <w:rPr>
          <w:rStyle w:val="FootnoteReference"/>
          <w:sz w:val="22"/>
          <w:szCs w:val="24"/>
        </w:rPr>
        <w:footnoteRef/>
      </w:r>
      <w:r>
        <w:rPr>
          <w:lang w:bidi="ar-SA"/>
        </w:rPr>
        <w:t xml:space="preserve"> </w:t>
      </w:r>
      <w:r>
        <w:rPr>
          <w:rFonts w:hint="cs"/>
          <w:rtl/>
        </w:rPr>
        <w:t xml:space="preserve"> نفس المرجع السابق، 43.</w:t>
      </w:r>
    </w:p>
  </w:footnote>
  <w:footnote w:id="105">
    <w:p w14:paraId="7067790E" w14:textId="77777777" w:rsidR="00BF07C2" w:rsidRDefault="00BF07C2" w:rsidP="00BF07C2">
      <w:pPr>
        <w:pStyle w:val="FootnoteTxtNewParag"/>
        <w:bidi w:val="0"/>
        <w:rPr>
          <w:rtl/>
          <w:lang w:bidi="ar-SA"/>
        </w:rPr>
      </w:pPr>
      <w:r>
        <w:rPr>
          <w:rStyle w:val="FootnoteReference"/>
          <w:sz w:val="22"/>
          <w:szCs w:val="24"/>
        </w:rPr>
        <w:footnoteRef/>
      </w:r>
      <w:r>
        <w:t xml:space="preserve"> </w:t>
      </w:r>
      <w:r>
        <w:rPr>
          <w:rFonts w:hint="cs"/>
          <w:rtl/>
        </w:rPr>
        <w:t xml:space="preserve"> </w:t>
      </w:r>
      <w:r>
        <w:t>Bloch, 45-46.</w:t>
      </w:r>
    </w:p>
  </w:footnote>
  <w:footnote w:id="106">
    <w:p w14:paraId="450F63BC" w14:textId="77777777" w:rsidR="00070B6E" w:rsidRDefault="00070B6E" w:rsidP="00070B6E">
      <w:pPr>
        <w:pStyle w:val="FootnoteTxtNewParag"/>
        <w:bidi w:val="0"/>
        <w:rPr>
          <w:rtl/>
          <w:lang w:bidi="ar-SA"/>
        </w:rPr>
      </w:pPr>
      <w:r>
        <w:rPr>
          <w:rStyle w:val="FootnoteReference"/>
          <w:sz w:val="22"/>
          <w:szCs w:val="24"/>
        </w:rPr>
        <w:footnoteRef/>
      </w:r>
      <w:r>
        <w:t xml:space="preserve"> </w:t>
      </w:r>
      <w:r>
        <w:rPr>
          <w:rFonts w:hint="cs"/>
          <w:rtl/>
        </w:rPr>
        <w:t xml:space="preserve"> </w:t>
      </w:r>
      <w:r>
        <w:t xml:space="preserve">D. W. Kerr, </w:t>
      </w:r>
      <w:r>
        <w:rPr>
          <w:i/>
          <w:iCs/>
        </w:rPr>
        <w:t>Numbers</w:t>
      </w:r>
      <w:r>
        <w:t>, The Biblical Expositor (London:  Pickering and Inglis, 1960).</w:t>
      </w:r>
    </w:p>
  </w:footnote>
  <w:footnote w:id="107">
    <w:p w14:paraId="7A71ED3F" w14:textId="77777777" w:rsidR="00070B6E" w:rsidRDefault="00070B6E" w:rsidP="00070B6E">
      <w:pPr>
        <w:pStyle w:val="FootnoteTxtNewParag"/>
        <w:bidi w:val="0"/>
        <w:rPr>
          <w:rtl/>
          <w:lang w:bidi="ar-SA"/>
        </w:rPr>
      </w:pPr>
      <w:r>
        <w:rPr>
          <w:rStyle w:val="FootnoteReference"/>
          <w:sz w:val="22"/>
          <w:szCs w:val="24"/>
        </w:rPr>
        <w:footnoteRef/>
      </w:r>
      <w:r>
        <w:t xml:space="preserve"> </w:t>
      </w:r>
      <w:r>
        <w:rPr>
          <w:rFonts w:hint="cs"/>
          <w:rtl/>
        </w:rPr>
        <w:t xml:space="preserve"> </w:t>
      </w:r>
      <w:r>
        <w:t>Elliott E. Johnson, "Numbers" (unpublished class notes in Bible 302, Dallas Seminary, Spring 1976),</w:t>
      </w:r>
    </w:p>
  </w:footnote>
  <w:footnote w:id="108">
    <w:p w14:paraId="2CC04AE1" w14:textId="77777777" w:rsidR="00070B6E" w:rsidRDefault="00070B6E" w:rsidP="00070B6E">
      <w:pPr>
        <w:pStyle w:val="FootnoteTxtNewParag"/>
        <w:rPr>
          <w:rtl/>
          <w:lang w:bidi="ar-SA"/>
        </w:rPr>
      </w:pPr>
      <w:r>
        <w:rPr>
          <w:rStyle w:val="FootnoteReference"/>
          <w:sz w:val="22"/>
          <w:szCs w:val="24"/>
        </w:rPr>
        <w:footnoteRef/>
      </w:r>
      <w:r>
        <w:rPr>
          <w:lang w:bidi="ar-SA"/>
        </w:rPr>
        <w:t xml:space="preserve"> </w:t>
      </w:r>
      <w:r>
        <w:rPr>
          <w:rFonts w:hint="cs"/>
          <w:rtl/>
        </w:rPr>
        <w:t xml:space="preserve"> انظر خروج 14: 11؛ 15: 24؛ 16: 2؛ 17: 2؛ عدد 11: 1؛ 14: 2؛ 16: 2؛ 16: 41؛ 20: 2؛ 21: 4.  من المهم ملاحظة استجابة الله لكل حالة من هذه الحالات.  في استجابته للحوادث الأربعة الأولى، يقوم الله بمباركتهم بكرم ( على سبيل المثال، وفر المن أو "أبرأ" الماء).  مع ذلك، في الحوادث الستة الأخيرة (ما عدا عدد 20: 2)، أوقع دينونةً على الشعب.</w:t>
      </w:r>
    </w:p>
  </w:footnote>
  <w:footnote w:id="109">
    <w:p w14:paraId="6805571A" w14:textId="77777777" w:rsidR="00070B6E" w:rsidRDefault="00070B6E" w:rsidP="00070B6E">
      <w:pPr>
        <w:pStyle w:val="FootnoteTxtNewParag"/>
        <w:bidi w:val="0"/>
        <w:rPr>
          <w:rtl/>
          <w:lang w:bidi="ar-SA"/>
        </w:rPr>
      </w:pPr>
      <w:r>
        <w:rPr>
          <w:rStyle w:val="FootnoteReference"/>
          <w:sz w:val="22"/>
          <w:szCs w:val="24"/>
        </w:rPr>
        <w:footnoteRef/>
      </w:r>
      <w:r>
        <w:t xml:space="preserve"> </w:t>
      </w:r>
      <w:r>
        <w:rPr>
          <w:rFonts w:hint="cs"/>
          <w:rtl/>
        </w:rPr>
        <w:t xml:space="preserve"> </w:t>
      </w:r>
      <w:r>
        <w:t xml:space="preserve">Merrill F. Unger, </w:t>
      </w:r>
      <w:r w:rsidRPr="00850036">
        <w:rPr>
          <w:i/>
          <w:iCs/>
        </w:rPr>
        <w:t>Commentary on the Old Testament</w:t>
      </w:r>
      <w:r>
        <w:t>, 1:197.</w:t>
      </w:r>
    </w:p>
  </w:footnote>
  <w:footnote w:id="110">
    <w:p w14:paraId="2FEB7795" w14:textId="77777777" w:rsidR="00070B6E" w:rsidRDefault="00070B6E" w:rsidP="00070B6E">
      <w:pPr>
        <w:pStyle w:val="FootnoteTxtNewParag"/>
        <w:rPr>
          <w:rtl/>
          <w:lang w:bidi="ar-SA"/>
        </w:rPr>
      </w:pPr>
      <w:r>
        <w:rPr>
          <w:rStyle w:val="FootnoteReference"/>
          <w:sz w:val="22"/>
          <w:szCs w:val="24"/>
        </w:rPr>
        <w:footnoteRef/>
      </w:r>
      <w:r>
        <w:rPr>
          <w:lang w:bidi="ar-SA"/>
        </w:rPr>
        <w:t xml:space="preserve"> </w:t>
      </w:r>
      <w:r>
        <w:rPr>
          <w:rFonts w:hint="cs"/>
          <w:rtl/>
        </w:rPr>
        <w:t xml:space="preserve"> يُعَرِّف ميريل "قادش" على أنها تل القديرات الحالية، الذي يقع في برية سين إلى الجنوب من بئر سبع بحوالي 50 ميلاً (عدد 20: 1).</w:t>
      </w:r>
    </w:p>
  </w:footnote>
  <w:footnote w:id="111">
    <w:p w14:paraId="7757619F" w14:textId="77777777" w:rsidR="00070B6E" w:rsidRDefault="00070B6E" w:rsidP="00070B6E">
      <w:pPr>
        <w:pStyle w:val="FootnoteTxtNewParag"/>
        <w:bidi w:val="0"/>
        <w:rPr>
          <w:rtl/>
          <w:lang w:bidi="ar-SA"/>
        </w:rPr>
      </w:pPr>
      <w:r>
        <w:rPr>
          <w:rStyle w:val="FootnoteReference"/>
          <w:sz w:val="22"/>
          <w:szCs w:val="24"/>
        </w:rPr>
        <w:footnoteRef/>
      </w:r>
      <w:r>
        <w:t xml:space="preserve"> </w:t>
      </w:r>
      <w:r>
        <w:rPr>
          <w:rFonts w:hint="cs"/>
          <w:rtl/>
        </w:rPr>
        <w:t xml:space="preserve"> </w:t>
      </w:r>
      <w:r>
        <w:t>Unger, 206.</w:t>
      </w:r>
    </w:p>
  </w:footnote>
  <w:footnote w:id="112">
    <w:p w14:paraId="6E491070" w14:textId="77777777" w:rsidR="00070B6E" w:rsidRDefault="00070B6E" w:rsidP="00070B6E">
      <w:pPr>
        <w:pStyle w:val="FootnoteTxtNewParag"/>
        <w:bidi w:val="0"/>
        <w:rPr>
          <w:rtl/>
          <w:lang w:bidi="ar-SA"/>
        </w:rPr>
      </w:pPr>
      <w:r>
        <w:rPr>
          <w:rStyle w:val="FootnoteReference"/>
          <w:sz w:val="22"/>
          <w:szCs w:val="24"/>
        </w:rPr>
        <w:footnoteRef/>
      </w:r>
      <w:r>
        <w:t xml:space="preserve"> </w:t>
      </w:r>
      <w:r>
        <w:rPr>
          <w:rFonts w:hint="cs"/>
          <w:rtl/>
        </w:rPr>
        <w:t xml:space="preserve"> </w:t>
      </w:r>
      <w:r>
        <w:t xml:space="preserve">Jensen, </w:t>
      </w:r>
      <w:r>
        <w:rPr>
          <w:i/>
          <w:iCs/>
        </w:rPr>
        <w:t>Numbers:  Journey to God's Rest-land</w:t>
      </w:r>
      <w:r>
        <w:t xml:space="preserve"> (Chicago:  Moody Press, 1964), 75.</w:t>
      </w:r>
    </w:p>
  </w:footnote>
  <w:footnote w:id="113">
    <w:p w14:paraId="775257F6" w14:textId="77777777" w:rsidR="00070B6E" w:rsidRDefault="00070B6E" w:rsidP="00070B6E">
      <w:pPr>
        <w:pStyle w:val="FootnoteTxtNewParag"/>
      </w:pPr>
      <w:r>
        <w:rPr>
          <w:rStyle w:val="FootnoteReference"/>
          <w:rFonts w:hint="cs"/>
          <w:sz w:val="26"/>
          <w:szCs w:val="24"/>
          <w:rtl/>
        </w:rPr>
        <w:t>1</w:t>
      </w:r>
      <w:r>
        <w:rPr>
          <w:rFonts w:hint="cs"/>
          <w:rtl/>
        </w:rPr>
        <w:t xml:space="preserve">لدراسة ممتازة حول إعلانات بلعام انظر  </w:t>
      </w:r>
      <w:r>
        <w:t xml:space="preserve">Ronald B. Allen, “The Theology of Balaam Oracles,” </w:t>
      </w:r>
      <w:r>
        <w:rPr>
          <w:i/>
          <w:iCs/>
        </w:rPr>
        <w:t>in Tradition and Testament</w:t>
      </w:r>
      <w:r>
        <w:t xml:space="preserve">, ed. John S. Feinberg and Paul D. Feinberg (Chicago: Moody Press, 1981), 79-119. </w:t>
      </w:r>
    </w:p>
  </w:footnote>
  <w:footnote w:id="114">
    <w:p w14:paraId="2D057C8B" w14:textId="77777777" w:rsidR="00070B6E" w:rsidRDefault="00070B6E" w:rsidP="00070B6E">
      <w:pPr>
        <w:pStyle w:val="FootnoteTxtNewParag"/>
        <w:bidi w:val="0"/>
        <w:rPr>
          <w:i/>
          <w:iCs/>
          <w:rtl/>
        </w:rPr>
      </w:pPr>
      <w:r>
        <w:rPr>
          <w:rStyle w:val="FootnoteReference"/>
          <w:rFonts w:hint="cs"/>
          <w:sz w:val="26"/>
          <w:szCs w:val="24"/>
          <w:rtl/>
        </w:rPr>
        <w:t>2</w:t>
      </w:r>
      <w:r>
        <w:rPr>
          <w:rFonts w:hint="cs"/>
          <w:sz w:val="22"/>
          <w:rtl/>
        </w:rPr>
        <w:t xml:space="preserve"> </w:t>
      </w:r>
      <w:r>
        <w:t xml:space="preserve">Merrill, </w:t>
      </w:r>
      <w:r>
        <w:rPr>
          <w:i/>
          <w:iCs/>
        </w:rPr>
        <w:t>Kingdom of Priests</w:t>
      </w:r>
      <w:r>
        <w:t xml:space="preserve">, 89-90. Cf. Herbert B. Huffman, Prophecy in the Mari Letters, “BA 31 (1968) : 101-24; and A. Leo Oppenheim, </w:t>
      </w:r>
      <w:r>
        <w:rPr>
          <w:i/>
          <w:iCs/>
        </w:rPr>
        <w:t>Ancient Mesopotamia</w:t>
      </w:r>
      <w:r>
        <w:t xml:space="preserve"> (Chicago: University of Chicago Press, 1964), 206-27. </w:t>
      </w:r>
      <w:r>
        <w:rPr>
          <w:i/>
          <w:iCs/>
        </w:rPr>
        <w:t xml:space="preserve">  </w:t>
      </w:r>
    </w:p>
  </w:footnote>
  <w:footnote w:id="115">
    <w:p w14:paraId="4687A3DB" w14:textId="77777777" w:rsidR="00070B6E" w:rsidRDefault="00070B6E" w:rsidP="00070B6E">
      <w:pPr>
        <w:pStyle w:val="FootnoteTxtNewParag"/>
        <w:bidi w:val="0"/>
      </w:pPr>
      <w:r>
        <w:rPr>
          <w:rStyle w:val="FootnoteReference"/>
          <w:rFonts w:hint="cs"/>
          <w:sz w:val="26"/>
          <w:szCs w:val="24"/>
          <w:rtl/>
        </w:rPr>
        <w:t>3</w:t>
      </w:r>
      <w:r>
        <w:rPr>
          <w:rFonts w:hint="cs"/>
          <w:rtl/>
        </w:rPr>
        <w:t xml:space="preserve">  </w:t>
      </w:r>
      <w:r>
        <w:t xml:space="preserve">Wilhelm Vischer, </w:t>
      </w:r>
      <w:r>
        <w:rPr>
          <w:i/>
          <w:iCs/>
        </w:rPr>
        <w:t>The Witness of the Old Testament to Christ,</w:t>
      </w:r>
      <w:r>
        <w:t xml:space="preserve"> trans. A. B. Crabtree (London: Lutterworth, 1950), 1: 223. </w:t>
      </w:r>
    </w:p>
  </w:footnote>
  <w:footnote w:id="116">
    <w:p w14:paraId="2C727B72" w14:textId="77777777" w:rsidR="00070B6E" w:rsidRDefault="00070B6E" w:rsidP="00070B6E">
      <w:pPr>
        <w:pStyle w:val="FootnoteTxtNewParag"/>
        <w:rPr>
          <w:rtl/>
        </w:rPr>
      </w:pPr>
      <w:r>
        <w:rPr>
          <w:rStyle w:val="FootnoteReference"/>
          <w:rFonts w:hint="cs"/>
          <w:sz w:val="26"/>
          <w:szCs w:val="24"/>
          <w:rtl/>
        </w:rPr>
        <w:t>1</w:t>
      </w:r>
      <w:r>
        <w:rPr>
          <w:rFonts w:hint="cs"/>
          <w:rtl/>
        </w:rPr>
        <w:t xml:space="preserve"> في ما يتعلق بشكل السفر وموازاته للمعاهدات الحثّية بين الملك المتسيد القوي والدولة التابعة في الألفية الثانية قبل الميلاد، انظر الملاحظات الصفية حول خروج 19-24.  يقول ميريل في           (</w:t>
      </w:r>
      <w:r>
        <w:rPr>
          <w:lang w:bidi="ar-SA"/>
        </w:rPr>
        <w:t>Kingdom of Priests</w:t>
      </w:r>
      <w:r>
        <w:rPr>
          <w:rFonts w:hint="cs"/>
          <w:rtl/>
        </w:rPr>
        <w:t>):</w:t>
      </w:r>
    </w:p>
    <w:p w14:paraId="3EF69F74" w14:textId="77777777" w:rsidR="00070B6E" w:rsidRDefault="00070B6E" w:rsidP="00070B6E">
      <w:pPr>
        <w:pStyle w:val="FootnoteTxtIndent"/>
        <w:rPr>
          <w:rtl/>
        </w:rPr>
      </w:pPr>
      <w:r>
        <w:rPr>
          <w:rFonts w:hint="cs"/>
          <w:rtl/>
        </w:rPr>
        <w:t xml:space="preserve">غير أن باحثين كثيرين يفضّلون، من أجل الدفاع عن تاريخ متأخر لكتابة سفر التثنية، أن يربطوا صيغة سفر التثنية ومضمونه بمعاهدات أشور </w:t>
      </w:r>
      <w:r>
        <w:rPr>
          <w:rtl/>
        </w:rPr>
        <w:t>–</w:t>
      </w:r>
      <w:r>
        <w:rPr>
          <w:rFonts w:hint="cs"/>
          <w:rtl/>
        </w:rPr>
        <w:t xml:space="preserve"> الجديدة في القرن السابع ق م.  لكن من شأن المقارنة المتأنية لهذه المعاهدات والنصوص الكتابية أن تكشف مشاكل لا يمكن التغلّب عليها في سياق هذا التفسير.  فعلى سبيل المثال، تشكّل صيغة البركة جزءاً أساسياً في معاهدات العصر البرونزي المتأخر (</w:t>
      </w:r>
      <w:r>
        <w:rPr>
          <w:lang w:bidi="ar-SA"/>
        </w:rPr>
        <w:t>Late Bronze</w:t>
      </w:r>
      <w:r>
        <w:rPr>
          <w:rFonts w:hint="cs"/>
          <w:rtl/>
        </w:rPr>
        <w:t>) والنصوص الكتابية، لكن ليس هنالك ما يشهد على وجودها في الوثائق الأشورية.</w:t>
      </w:r>
    </w:p>
    <w:p w14:paraId="164FF338" w14:textId="77777777" w:rsidR="00070B6E" w:rsidRDefault="00070B6E" w:rsidP="00070B6E">
      <w:pPr>
        <w:pStyle w:val="FootnoteTxtNewParag"/>
      </w:pPr>
      <w:r>
        <w:rPr>
          <w:rFonts w:hint="cs"/>
          <w:rtl/>
        </w:rPr>
        <w:t xml:space="preserve">أنظر </w:t>
      </w:r>
      <w:r>
        <w:t xml:space="preserve"> Moshe Weinfeld, “The Loyalty Oath in the Ancient Near East,” </w:t>
      </w:r>
      <w:r>
        <w:rPr>
          <w:i/>
          <w:iCs/>
        </w:rPr>
        <w:t>Ugarit-Forschungen</w:t>
      </w:r>
      <w:r>
        <w:t xml:space="preserve"> 8 (1976): 397.</w:t>
      </w:r>
    </w:p>
    <w:p w14:paraId="1432692A" w14:textId="77777777" w:rsidR="00070B6E" w:rsidRDefault="00070B6E" w:rsidP="00070B6E">
      <w:pPr>
        <w:pStyle w:val="FootnoteText"/>
        <w:bidi/>
        <w:rPr>
          <w:sz w:val="22"/>
          <w:szCs w:val="22"/>
          <w:rtl/>
        </w:rPr>
      </w:pPr>
      <w:r>
        <w:rPr>
          <w:rFonts w:hint="cs"/>
          <w:sz w:val="22"/>
          <w:szCs w:val="22"/>
          <w:rtl/>
          <w:lang w:bidi="ar-JO"/>
        </w:rPr>
        <w:t xml:space="preserve"> </w:t>
      </w:r>
    </w:p>
  </w:footnote>
  <w:footnote w:id="117">
    <w:p w14:paraId="6CF91E1D" w14:textId="77777777" w:rsidR="00070B6E" w:rsidRDefault="00070B6E" w:rsidP="00070B6E">
      <w:pPr>
        <w:pStyle w:val="FootnoteTxtNewParag"/>
        <w:bidi w:val="0"/>
      </w:pPr>
      <w:r>
        <w:rPr>
          <w:rStyle w:val="FootnoteReference"/>
          <w:rFonts w:hint="cs"/>
          <w:sz w:val="26"/>
          <w:szCs w:val="24"/>
          <w:rtl/>
        </w:rPr>
        <w:t>2</w:t>
      </w:r>
      <w:r>
        <w:rPr>
          <w:rFonts w:hint="cs"/>
          <w:sz w:val="22"/>
          <w:rtl/>
        </w:rPr>
        <w:t xml:space="preserve"> </w:t>
      </w:r>
      <w:r>
        <w:t xml:space="preserve">J. A. Thompson, </w:t>
      </w:r>
      <w:r w:rsidRPr="002C1423">
        <w:rPr>
          <w:i/>
          <w:iCs/>
        </w:rPr>
        <w:t>Deuteronomy: An Introduction and Commentary</w:t>
      </w:r>
      <w:r>
        <w:t>, 12.</w:t>
      </w:r>
    </w:p>
  </w:footnote>
  <w:footnote w:id="118">
    <w:p w14:paraId="2C051EAB" w14:textId="77777777" w:rsidR="00070B6E" w:rsidRDefault="00070B6E" w:rsidP="00070B6E">
      <w:pPr>
        <w:pStyle w:val="FootnoteTxtNewParag"/>
        <w:bidi w:val="0"/>
      </w:pPr>
      <w:r>
        <w:rPr>
          <w:rStyle w:val="FootnoteReference"/>
          <w:rFonts w:hint="cs"/>
          <w:sz w:val="26"/>
          <w:szCs w:val="24"/>
          <w:rtl/>
        </w:rPr>
        <w:t>3</w:t>
      </w:r>
      <w:r>
        <w:rPr>
          <w:rFonts w:hint="cs"/>
          <w:sz w:val="22"/>
          <w:rtl/>
        </w:rPr>
        <w:t xml:space="preserve"> </w:t>
      </w:r>
      <w:r>
        <w:t xml:space="preserve">R. K. Harrison, </w:t>
      </w:r>
      <w:r w:rsidRPr="002C1423">
        <w:rPr>
          <w:i/>
          <w:iCs/>
        </w:rPr>
        <w:t>Introduction to the Old Testament</w:t>
      </w:r>
      <w:r>
        <w:t xml:space="preserve"> (Grand Rapids: Wm. B. Eerdmans Pub Co., 1969), 640. </w:t>
      </w:r>
    </w:p>
  </w:footnote>
  <w:footnote w:id="119">
    <w:p w14:paraId="5B7661C2" w14:textId="77777777" w:rsidR="00070B6E" w:rsidRDefault="00070B6E" w:rsidP="00070B6E">
      <w:pPr>
        <w:pStyle w:val="FootnoteTxtNewParag"/>
        <w:rPr>
          <w:rtl/>
        </w:rPr>
      </w:pPr>
      <w:r>
        <w:rPr>
          <w:rStyle w:val="FootnoteReference"/>
          <w:rFonts w:hint="cs"/>
          <w:sz w:val="26"/>
          <w:szCs w:val="24"/>
          <w:rtl/>
        </w:rPr>
        <w:t>4</w:t>
      </w:r>
      <w:r>
        <w:rPr>
          <w:rFonts w:hint="cs"/>
          <w:rtl/>
        </w:rPr>
        <w:t xml:space="preserve"> المرجع السابق، 21.</w:t>
      </w:r>
    </w:p>
  </w:footnote>
  <w:footnote w:id="120">
    <w:p w14:paraId="67912EEF" w14:textId="77777777" w:rsidR="00070B6E" w:rsidRDefault="00070B6E" w:rsidP="00070B6E">
      <w:pPr>
        <w:pStyle w:val="FootnoteTxtNewParag"/>
        <w:bidi w:val="0"/>
        <w:rPr>
          <w:rtl/>
        </w:rPr>
      </w:pPr>
      <w:r>
        <w:rPr>
          <w:rStyle w:val="FootnoteReference"/>
          <w:rFonts w:hint="cs"/>
          <w:sz w:val="26"/>
          <w:szCs w:val="24"/>
          <w:rtl/>
        </w:rPr>
        <w:t>5</w:t>
      </w:r>
      <w:r>
        <w:rPr>
          <w:rFonts w:hint="cs"/>
          <w:sz w:val="22"/>
          <w:rtl/>
        </w:rPr>
        <w:t xml:space="preserve"> </w:t>
      </w:r>
      <w:r>
        <w:t xml:space="preserve">H. H. Rowley, </w:t>
      </w:r>
      <w:r w:rsidRPr="002C1423">
        <w:rPr>
          <w:i/>
          <w:iCs/>
        </w:rPr>
        <w:t>The Growth of the Old Testament</w:t>
      </w:r>
      <w:r>
        <w:t>, 31.</w:t>
      </w:r>
    </w:p>
  </w:footnote>
  <w:footnote w:id="121">
    <w:p w14:paraId="47C27066" w14:textId="77777777" w:rsidR="00070B6E" w:rsidRDefault="00070B6E" w:rsidP="00070B6E">
      <w:pPr>
        <w:pStyle w:val="FootnoteTxtNewParag"/>
        <w:bidi w:val="0"/>
      </w:pPr>
      <w:r>
        <w:rPr>
          <w:rStyle w:val="FootnoteReference"/>
          <w:rFonts w:hint="cs"/>
          <w:sz w:val="26"/>
          <w:szCs w:val="24"/>
          <w:rtl/>
        </w:rPr>
        <w:t>6</w:t>
      </w:r>
      <w:r>
        <w:rPr>
          <w:rFonts w:hint="cs"/>
          <w:sz w:val="22"/>
          <w:rtl/>
        </w:rPr>
        <w:t xml:space="preserve"> </w:t>
      </w:r>
      <w:r>
        <w:t xml:space="preserve">W. F. Albright, </w:t>
      </w:r>
      <w:r w:rsidRPr="002C1423">
        <w:rPr>
          <w:i/>
          <w:iCs/>
        </w:rPr>
        <w:t>Vetus Testamentum</w:t>
      </w:r>
      <w:r>
        <w:t xml:space="preserve">, IX, 1959. </w:t>
      </w:r>
    </w:p>
  </w:footnote>
  <w:footnote w:id="122">
    <w:p w14:paraId="095ED046" w14:textId="77777777" w:rsidR="00070B6E" w:rsidRDefault="00070B6E" w:rsidP="00070B6E">
      <w:pPr>
        <w:pStyle w:val="FootnoteTxtNewParag"/>
        <w:bidi w:val="0"/>
      </w:pPr>
      <w:r>
        <w:rPr>
          <w:rStyle w:val="FootnoteReference"/>
          <w:rFonts w:hint="cs"/>
          <w:sz w:val="26"/>
          <w:szCs w:val="24"/>
          <w:rtl/>
        </w:rPr>
        <w:t>7</w:t>
      </w:r>
      <w:r>
        <w:rPr>
          <w:rFonts w:hint="cs"/>
          <w:sz w:val="22"/>
          <w:rtl/>
        </w:rPr>
        <w:t xml:space="preserve"> </w:t>
      </w:r>
      <w:r>
        <w:t xml:space="preserve">Pedersen, </w:t>
      </w:r>
      <w:r w:rsidRPr="002C1423">
        <w:rPr>
          <w:i/>
          <w:iCs/>
        </w:rPr>
        <w:t>Israel</w:t>
      </w:r>
      <w:r>
        <w:t>, III-IV, 96.</w:t>
      </w:r>
    </w:p>
  </w:footnote>
  <w:footnote w:id="123">
    <w:p w14:paraId="1568D164" w14:textId="77777777" w:rsidR="00070B6E" w:rsidRDefault="00070B6E" w:rsidP="00070B6E">
      <w:pPr>
        <w:pStyle w:val="FootnoteTxtNewParag"/>
        <w:bidi w:val="0"/>
      </w:pPr>
      <w:r>
        <w:rPr>
          <w:rStyle w:val="FootnoteReference"/>
          <w:rFonts w:hint="cs"/>
          <w:sz w:val="26"/>
          <w:szCs w:val="24"/>
          <w:rtl/>
        </w:rPr>
        <w:t>8</w:t>
      </w:r>
      <w:r>
        <w:rPr>
          <w:rFonts w:hint="cs"/>
          <w:sz w:val="22"/>
          <w:rtl/>
        </w:rPr>
        <w:t xml:space="preserve"> </w:t>
      </w:r>
      <w:r>
        <w:t xml:space="preserve">Gerhard Von Rad, </w:t>
      </w:r>
      <w:r w:rsidRPr="002C1423">
        <w:rPr>
          <w:i/>
          <w:iCs/>
        </w:rPr>
        <w:t>Deuteronomy</w:t>
      </w:r>
      <w:r>
        <w:t xml:space="preserve">, trans.  Dorothea Barton (Philadelphia: Westminster Press, 1966).  </w:t>
      </w:r>
    </w:p>
  </w:footnote>
  <w:footnote w:id="124">
    <w:p w14:paraId="7135B980" w14:textId="77777777" w:rsidR="00070B6E" w:rsidRDefault="00070B6E" w:rsidP="00070B6E">
      <w:pPr>
        <w:pStyle w:val="FootnoteTxtNewParag"/>
        <w:rPr>
          <w:rtl/>
        </w:rPr>
      </w:pPr>
      <w:r>
        <w:rPr>
          <w:rStyle w:val="FootnoteReference"/>
          <w:rFonts w:hint="cs"/>
          <w:sz w:val="26"/>
          <w:szCs w:val="24"/>
          <w:rtl/>
        </w:rPr>
        <w:t>9</w:t>
      </w:r>
      <w:r>
        <w:rPr>
          <w:rFonts w:hint="cs"/>
          <w:rtl/>
        </w:rPr>
        <w:t xml:space="preserve"> المرجع السابق، 28. </w:t>
      </w:r>
    </w:p>
  </w:footnote>
  <w:footnote w:id="125">
    <w:p w14:paraId="351A4AFA" w14:textId="77777777" w:rsidR="00070B6E" w:rsidRDefault="00070B6E" w:rsidP="00070B6E">
      <w:pPr>
        <w:pStyle w:val="FootnoteTxtNewParag"/>
        <w:bidi w:val="0"/>
      </w:pPr>
      <w:r>
        <w:rPr>
          <w:rStyle w:val="FootnoteReference"/>
          <w:rFonts w:hint="cs"/>
          <w:sz w:val="26"/>
          <w:szCs w:val="24"/>
          <w:rtl/>
        </w:rPr>
        <w:t>1</w:t>
      </w:r>
      <w:r>
        <w:rPr>
          <w:rFonts w:hint="cs"/>
          <w:szCs w:val="24"/>
          <w:vertAlign w:val="superscript"/>
          <w:rtl/>
        </w:rPr>
        <w:t>0</w:t>
      </w:r>
      <w:r>
        <w:rPr>
          <w:rFonts w:hint="cs"/>
          <w:sz w:val="22"/>
          <w:rtl/>
        </w:rPr>
        <w:t xml:space="preserve"> </w:t>
      </w:r>
      <w:r>
        <w:t xml:space="preserve">Meredith Kline, </w:t>
      </w:r>
      <w:r w:rsidRPr="002C1423">
        <w:rPr>
          <w:i/>
          <w:iCs/>
        </w:rPr>
        <w:t>Treaty of The Great King</w:t>
      </w:r>
      <w:r>
        <w:t xml:space="preserve">, 42ff.  </w:t>
      </w:r>
    </w:p>
  </w:footnote>
  <w:footnote w:id="126">
    <w:p w14:paraId="4CBB2CD1" w14:textId="77777777" w:rsidR="00070B6E" w:rsidRDefault="00070B6E" w:rsidP="00070B6E">
      <w:pPr>
        <w:pStyle w:val="FootnoteTxtNewParag"/>
        <w:bidi w:val="0"/>
      </w:pPr>
      <w:r>
        <w:t xml:space="preserve">11  </w:t>
      </w:r>
      <w:r>
        <w:rPr>
          <w:rFonts w:hint="cs"/>
          <w:rtl/>
        </w:rPr>
        <w:t xml:space="preserve"> </w:t>
      </w:r>
      <w:r>
        <w:t xml:space="preserve">Merrill C. Tenney, ed. </w:t>
      </w:r>
      <w:r w:rsidRPr="002C1423">
        <w:rPr>
          <w:i/>
          <w:iCs/>
        </w:rPr>
        <w:t>The Zondervan Pictorial Encyclopedia of the Bible</w:t>
      </w:r>
      <w:r>
        <w:t>, s. v. “Exodus, The, “by K. A. Kitchen. 2 : 432</w:t>
      </w:r>
    </w:p>
  </w:footnote>
  <w:footnote w:id="127">
    <w:p w14:paraId="43B31927" w14:textId="77777777" w:rsidR="00070B6E" w:rsidRDefault="00070B6E" w:rsidP="00070B6E">
      <w:pPr>
        <w:pStyle w:val="FootnoteTxtNewParag"/>
        <w:bidi w:val="0"/>
      </w:pPr>
      <w:r>
        <w:rPr>
          <w:rStyle w:val="FootnoteReference"/>
        </w:rPr>
        <w:t>12</w:t>
      </w:r>
      <w:r>
        <w:t xml:space="preserve"> </w:t>
      </w:r>
      <w:r>
        <w:rPr>
          <w:rFonts w:hint="cs"/>
          <w:rtl/>
        </w:rPr>
        <w:t xml:space="preserve"> </w:t>
      </w:r>
      <w:r w:rsidRPr="002C1423">
        <w:rPr>
          <w:i/>
          <w:iCs/>
        </w:rPr>
        <w:t>The MacMillan Bible Atlas</w:t>
      </w:r>
      <w:r>
        <w:t>, 34.</w:t>
      </w:r>
    </w:p>
  </w:footnote>
  <w:footnote w:id="128">
    <w:p w14:paraId="48D8D518" w14:textId="77777777" w:rsidR="00070B6E" w:rsidRDefault="00070B6E" w:rsidP="00070B6E">
      <w:pPr>
        <w:pStyle w:val="FootnoteTxtNewParag"/>
        <w:bidi w:val="0"/>
        <w:rPr>
          <w:rtl/>
        </w:rPr>
      </w:pPr>
      <w:r>
        <w:rPr>
          <w:rStyle w:val="FootnoteReference"/>
          <w:sz w:val="22"/>
          <w:szCs w:val="24"/>
        </w:rPr>
        <w:footnoteRef/>
      </w:r>
      <w:r w:rsidRPr="002C1423">
        <w:rPr>
          <w:vertAlign w:val="superscript"/>
        </w:rPr>
        <w:t>3</w:t>
      </w:r>
      <w:r>
        <w:t xml:space="preserve"> </w:t>
      </w:r>
      <w:r>
        <w:rPr>
          <w:rFonts w:hint="cs"/>
          <w:rtl/>
        </w:rPr>
        <w:t xml:space="preserve"> </w:t>
      </w:r>
      <w:r w:rsidRPr="002C1423">
        <w:rPr>
          <w:i/>
          <w:iCs/>
        </w:rPr>
        <w:t>Cambridge Ancient History</w:t>
      </w:r>
      <w:r>
        <w:t>, Vol. 2, part 1 (Cambridge Univ. press, 1973), 324</w:t>
      </w:r>
    </w:p>
  </w:footnote>
  <w:footnote w:id="129">
    <w:p w14:paraId="4173D116" w14:textId="77777777" w:rsidR="00070B6E" w:rsidRDefault="00070B6E" w:rsidP="00070B6E">
      <w:pPr>
        <w:pStyle w:val="FootnoteTxtNewParag"/>
        <w:rPr>
          <w:rtl/>
        </w:rPr>
      </w:pPr>
      <w:r>
        <w:rPr>
          <w:rStyle w:val="FootnoteReference"/>
          <w:szCs w:val="26"/>
          <w:lang w:bidi="ar-SA"/>
        </w:rPr>
        <w:t>14</w:t>
      </w:r>
      <w:r>
        <w:rPr>
          <w:lang w:bidi="ar-SA"/>
        </w:rPr>
        <w:t xml:space="preserve"> </w:t>
      </w:r>
      <w:r>
        <w:rPr>
          <w:rFonts w:hint="cs"/>
          <w:rtl/>
        </w:rPr>
        <w:t xml:space="preserve"> المرجع السابق، 340. </w:t>
      </w:r>
    </w:p>
  </w:footnote>
  <w:footnote w:id="130">
    <w:p w14:paraId="13290AE4" w14:textId="77777777" w:rsidR="00070B6E" w:rsidRDefault="00070B6E" w:rsidP="00070B6E">
      <w:pPr>
        <w:pStyle w:val="FootnoteTxtNewParag"/>
        <w:rPr>
          <w:rtl/>
        </w:rPr>
      </w:pPr>
      <w:r>
        <w:rPr>
          <w:rStyle w:val="FootnoteReference"/>
          <w:szCs w:val="26"/>
          <w:lang w:bidi="ar-SA"/>
        </w:rPr>
        <w:t>15</w:t>
      </w:r>
      <w:r>
        <w:rPr>
          <w:lang w:bidi="ar-SA"/>
        </w:rPr>
        <w:t xml:space="preserve"> </w:t>
      </w:r>
      <w:r>
        <w:rPr>
          <w:rFonts w:hint="cs"/>
          <w:rtl/>
        </w:rPr>
        <w:t xml:space="preserve"> المرجع السابق، 338. </w:t>
      </w:r>
    </w:p>
  </w:footnote>
  <w:footnote w:id="131">
    <w:p w14:paraId="289394C3" w14:textId="77777777" w:rsidR="00070B6E" w:rsidRDefault="00070B6E" w:rsidP="00070B6E">
      <w:pPr>
        <w:pStyle w:val="FootnoteTxtNewParag"/>
      </w:pPr>
      <w:r>
        <w:rPr>
          <w:rStyle w:val="FootnoteReference"/>
          <w:sz w:val="22"/>
          <w:szCs w:val="24"/>
        </w:rPr>
        <w:t>16</w:t>
      </w:r>
      <w:r>
        <w:t xml:space="preserve"> </w:t>
      </w:r>
      <w:r>
        <w:rPr>
          <w:rFonts w:hint="cs"/>
          <w:rtl/>
        </w:rPr>
        <w:t xml:space="preserve"> المرجع السابق، 527. </w:t>
      </w:r>
    </w:p>
  </w:footnote>
  <w:footnote w:id="132">
    <w:p w14:paraId="40BEBEB4" w14:textId="77777777" w:rsidR="00070B6E" w:rsidRDefault="00070B6E" w:rsidP="00070B6E">
      <w:pPr>
        <w:pStyle w:val="FootnoteTxtNewParag"/>
        <w:bidi w:val="0"/>
      </w:pPr>
      <w:r>
        <w:rPr>
          <w:rStyle w:val="FootnoteReference"/>
        </w:rPr>
        <w:t>17</w:t>
      </w:r>
      <w:r>
        <w:t xml:space="preserve"> </w:t>
      </w:r>
      <w:r>
        <w:rPr>
          <w:rFonts w:hint="cs"/>
          <w:rtl/>
        </w:rPr>
        <w:t xml:space="preserve"> </w:t>
      </w:r>
      <w:r>
        <w:t xml:space="preserve"> Peter C. Craigie, </w:t>
      </w:r>
      <w:r w:rsidRPr="002C1423">
        <w:rPr>
          <w:i/>
          <w:iCs/>
        </w:rPr>
        <w:t>The Book of Deuteronomy</w:t>
      </w:r>
      <w:r>
        <w:t xml:space="preserve">, The New International Commentary on Old Testament ( Grand Rapids, MI: Wm. B. Eerdmans Pub. Co., 1976), 31 –32. </w:t>
      </w:r>
    </w:p>
  </w:footnote>
  <w:footnote w:id="133">
    <w:p w14:paraId="70A6CC44" w14:textId="77777777" w:rsidR="00070B6E" w:rsidRDefault="00070B6E" w:rsidP="00070B6E">
      <w:pPr>
        <w:pStyle w:val="FootnoteTxtNewParag"/>
        <w:rPr>
          <w:rtl/>
        </w:rPr>
      </w:pPr>
      <w:r>
        <w:rPr>
          <w:rStyle w:val="FootnoteReference"/>
          <w:szCs w:val="26"/>
        </w:rPr>
        <w:t>18</w:t>
      </w:r>
      <w:r>
        <w:t xml:space="preserve"> </w:t>
      </w:r>
      <w:r>
        <w:rPr>
          <w:rFonts w:hint="cs"/>
          <w:rtl/>
        </w:rPr>
        <w:t xml:space="preserve"> المرجع السابق، 31. </w:t>
      </w:r>
    </w:p>
  </w:footnote>
  <w:footnote w:id="134">
    <w:p w14:paraId="49F7347B" w14:textId="77777777" w:rsidR="00070B6E" w:rsidRDefault="00070B6E" w:rsidP="00070B6E">
      <w:pPr>
        <w:pStyle w:val="FootnoteTxtNewParag"/>
        <w:bidi w:val="0"/>
        <w:rPr>
          <w:rtl/>
        </w:rPr>
      </w:pPr>
      <w:r>
        <w:rPr>
          <w:rStyle w:val="FootnoteReference"/>
          <w:sz w:val="22"/>
          <w:szCs w:val="24"/>
        </w:rPr>
        <w:footnoteRef/>
      </w:r>
      <w:r>
        <w:t xml:space="preserve"> </w:t>
      </w:r>
      <w:r>
        <w:rPr>
          <w:rFonts w:hint="cs"/>
          <w:rtl/>
        </w:rPr>
        <w:t xml:space="preserve"> </w:t>
      </w:r>
      <w:r>
        <w:t xml:space="preserve">Helmer Ringgren, </w:t>
      </w:r>
      <w:r w:rsidRPr="002C1423">
        <w:rPr>
          <w:i/>
          <w:iCs/>
        </w:rPr>
        <w:t>Religions of the Ancient Near East</w:t>
      </w:r>
      <w:r>
        <w:t>, trans, John Sturdy (Philadelphia: Fortress Press, 1973), 167</w:t>
      </w:r>
    </w:p>
  </w:footnote>
  <w:footnote w:id="135">
    <w:p w14:paraId="2D291C85" w14:textId="77777777" w:rsidR="00070B6E" w:rsidRDefault="00070B6E" w:rsidP="00070B6E">
      <w:pPr>
        <w:pStyle w:val="FootnoteTxtNewParag"/>
        <w:bidi w:val="0"/>
      </w:pPr>
      <w:r>
        <w:rPr>
          <w:rStyle w:val="FootnoteReference"/>
          <w:rFonts w:hint="cs"/>
          <w:sz w:val="26"/>
          <w:szCs w:val="24"/>
          <w:rtl/>
        </w:rPr>
        <w:t>1</w:t>
      </w:r>
      <w:r>
        <w:t xml:space="preserve">Peter Cragie, </w:t>
      </w:r>
      <w:r>
        <w:rPr>
          <w:i/>
          <w:iCs/>
        </w:rPr>
        <w:t>Deuteronomy</w:t>
      </w:r>
      <w:r>
        <w:t xml:space="preserve">, NIC, 139. </w:t>
      </w:r>
    </w:p>
  </w:footnote>
  <w:footnote w:id="136">
    <w:p w14:paraId="1D37E89E" w14:textId="77777777" w:rsidR="00070B6E" w:rsidRDefault="00070B6E" w:rsidP="00070B6E">
      <w:pPr>
        <w:pStyle w:val="FootnoteTxtNewParag"/>
        <w:bidi w:val="0"/>
      </w:pPr>
      <w:r>
        <w:rPr>
          <w:rStyle w:val="FootnoteReference"/>
          <w:rFonts w:hint="cs"/>
          <w:sz w:val="26"/>
          <w:szCs w:val="24"/>
          <w:rtl/>
        </w:rPr>
        <w:t>2</w:t>
      </w:r>
      <w:r>
        <w:rPr>
          <w:rFonts w:hint="cs"/>
          <w:sz w:val="22"/>
          <w:rtl/>
        </w:rPr>
        <w:t xml:space="preserve"> </w:t>
      </w:r>
      <w:r>
        <w:t xml:space="preserve">Seebass, </w:t>
      </w:r>
      <w:r>
        <w:rPr>
          <w:i/>
          <w:iCs/>
        </w:rPr>
        <w:t>TDOT</w:t>
      </w:r>
      <w:r>
        <w:t>, 1: 210-211.</w:t>
      </w:r>
    </w:p>
  </w:footnote>
  <w:footnote w:id="137">
    <w:p w14:paraId="38BFC083" w14:textId="77777777" w:rsidR="00070B6E" w:rsidRDefault="00070B6E" w:rsidP="00070B6E">
      <w:pPr>
        <w:pStyle w:val="FootnoteTxtNewParag"/>
        <w:bidi w:val="0"/>
      </w:pPr>
      <w:r>
        <w:rPr>
          <w:rStyle w:val="FootnoteReference"/>
          <w:rFonts w:hint="cs"/>
          <w:sz w:val="26"/>
          <w:szCs w:val="24"/>
          <w:rtl/>
        </w:rPr>
        <w:t>1</w:t>
      </w:r>
      <w:r>
        <w:rPr>
          <w:rFonts w:hint="cs"/>
          <w:sz w:val="22"/>
          <w:rtl/>
        </w:rPr>
        <w:t xml:space="preserve"> </w:t>
      </w:r>
      <w:r>
        <w:t xml:space="preserve">J. Paul Tanner, “The Function of Zechariah 13 within the Prophet’s Final Oracle,” (ThM Thesis, Dallas Seminary, 1981, 37. </w:t>
      </w:r>
    </w:p>
  </w:footnote>
  <w:footnote w:id="138">
    <w:p w14:paraId="4BD0DE78" w14:textId="77777777" w:rsidR="000A24AD" w:rsidRPr="00C923FF" w:rsidRDefault="000A24AD" w:rsidP="000A24AD">
      <w:pPr>
        <w:pStyle w:val="Footnote"/>
        <w:rPr>
          <w:i/>
          <w:iCs/>
        </w:rPr>
      </w:pPr>
      <w:r w:rsidRPr="00C923FF">
        <w:rPr>
          <w:rStyle w:val="FootnoteReference"/>
          <w:color w:val="C00000"/>
        </w:rPr>
        <w:footnoteRef/>
      </w:r>
      <w:r w:rsidRPr="00C923FF">
        <w:rPr>
          <w:color w:val="C00000"/>
        </w:rPr>
        <w:t xml:space="preserve"> Eugene H. Merrill, “The Case for Moderate Discontinuity,” in </w:t>
      </w:r>
      <w:r w:rsidRPr="00C923FF">
        <w:rPr>
          <w:i/>
          <w:iCs/>
          <w:color w:val="C00000"/>
        </w:rPr>
        <w:t>Show Them No Mercy: Four Views on God and Canaanite Genocide</w:t>
      </w:r>
      <w:r w:rsidRPr="00C923FF">
        <w:rPr>
          <w:color w:val="C00000"/>
        </w:rPr>
        <w:t xml:space="preserve"> (Grand Rapids: Zondervan, 2003), 65.</w:t>
      </w:r>
    </w:p>
  </w:footnote>
  <w:footnote w:id="139">
    <w:p w14:paraId="0A3B602C" w14:textId="77777777" w:rsidR="000A24AD" w:rsidRDefault="000A24AD" w:rsidP="000A24AD">
      <w:pPr>
        <w:pStyle w:val="Footnote"/>
      </w:pPr>
      <w:r w:rsidRPr="00C923FF">
        <w:rPr>
          <w:rStyle w:val="FootnoteReference"/>
          <w:color w:val="C00000"/>
        </w:rPr>
        <w:footnoteRef/>
      </w:r>
      <w:r w:rsidRPr="00C923FF">
        <w:rPr>
          <w:color w:val="C00000"/>
        </w:rPr>
        <w:t xml:space="preserve"> Ibid., 66.</w:t>
      </w:r>
    </w:p>
  </w:footnote>
  <w:footnote w:id="140">
    <w:p w14:paraId="3B1C97BE" w14:textId="30242249" w:rsidR="00177884" w:rsidRPr="00177884" w:rsidRDefault="00177884">
      <w:pPr>
        <w:pStyle w:val="FootnoteText"/>
        <w:rPr>
          <w:rtl/>
          <w:lang w:bidi="ar-JO"/>
        </w:rPr>
      </w:pPr>
      <w:r>
        <w:rPr>
          <w:rStyle w:val="FootnoteReference"/>
        </w:rPr>
        <w:footnoteRef/>
      </w:r>
      <w:r>
        <w:t xml:space="preserve"> </w:t>
      </w:r>
      <w:r w:rsidRPr="00D257F1">
        <w:t xml:space="preserve">Greg Koukl, “The Canaanites: Genocide or Judgment?” Online at </w:t>
      </w:r>
      <w:hyperlink r:id="rId2" w:history="1">
        <w:r w:rsidRPr="00D257F1">
          <w:rPr>
            <w:rStyle w:val="Hyperlink"/>
            <w:color w:val="C00000"/>
          </w:rPr>
          <w:t>The Canaanites: Genocide Or Judgment? | Bible.org</w:t>
        </w:r>
      </w:hyperlink>
      <w:r w:rsidRPr="00D257F1">
        <w:t>.</w:t>
      </w:r>
    </w:p>
  </w:footnote>
  <w:footnote w:id="141">
    <w:p w14:paraId="3DED2C35" w14:textId="77777777" w:rsidR="001F0875" w:rsidRPr="005F34BF" w:rsidRDefault="001F0875" w:rsidP="001F0875">
      <w:pPr>
        <w:pStyle w:val="Footnote"/>
      </w:pPr>
      <w:r w:rsidRPr="00A131ED">
        <w:rPr>
          <w:rStyle w:val="FootnoteReference"/>
          <w:color w:val="C00000"/>
        </w:rPr>
        <w:footnoteRef/>
      </w:r>
      <w:r w:rsidRPr="00A131ED">
        <w:rPr>
          <w:color w:val="C00000"/>
        </w:rPr>
        <w:t xml:space="preserve"> Tremper Longman III, “The Case for Spiritual Continuity,” in </w:t>
      </w:r>
      <w:r w:rsidRPr="00A131ED">
        <w:rPr>
          <w:i/>
          <w:iCs/>
          <w:color w:val="C00000"/>
        </w:rPr>
        <w:t>Show Them No Mercy: Four Views on God and Canaanite Genocide</w:t>
      </w:r>
      <w:r w:rsidRPr="00A131ED">
        <w:rPr>
          <w:color w:val="C00000"/>
        </w:rPr>
        <w:t xml:space="preserve"> (Grand Rapids: Zondervan, 2003), 185.</w:t>
      </w:r>
    </w:p>
  </w:footnote>
  <w:footnote w:id="142">
    <w:p w14:paraId="235C3570" w14:textId="77777777" w:rsidR="006A7C83" w:rsidRDefault="006A7C83" w:rsidP="006A7C83">
      <w:pPr>
        <w:pStyle w:val="FootnoteTxtNewParag"/>
        <w:rPr>
          <w:rtl/>
          <w:lang w:bidi="ar-SA"/>
        </w:rPr>
      </w:pPr>
      <w:r>
        <w:rPr>
          <w:rStyle w:val="FootnoteReference"/>
          <w:rFonts w:hint="cs"/>
          <w:sz w:val="26"/>
          <w:szCs w:val="24"/>
          <w:rtl/>
        </w:rPr>
        <w:t>1</w:t>
      </w:r>
      <w:r>
        <w:rPr>
          <w:rFonts w:hint="cs"/>
          <w:rtl/>
        </w:rPr>
        <w:t xml:space="preserve"> يُعرف القسم الذي يتألف من يشوع وقضاة وصموئيل وملوك باسم "الأنبياء السابقين".  ويشكّل هذا "أخبار بني إسرائيل التي تقدّم تفسيراً لاهوتياً للتاريخ العبري في ضوء علاقة العهد مع يهوه والبركات واللعنات القومية الملازمة لطاعة شروط العهد أو عصيانها." </w:t>
      </w:r>
      <w:r>
        <w:t xml:space="preserve">(Hill and Walton,  </w:t>
      </w:r>
      <w:r>
        <w:rPr>
          <w:i/>
          <w:iCs/>
        </w:rPr>
        <w:t>A Survey of the Old Testament, 201).</w:t>
      </w:r>
      <w:r>
        <w:rPr>
          <w:rFonts w:hint="cs"/>
          <w:i/>
          <w:iCs/>
          <w:rtl/>
        </w:rPr>
        <w:t xml:space="preserve"> </w:t>
      </w:r>
      <w:r>
        <w:rPr>
          <w:rFonts w:hint="cs"/>
          <w:rtl/>
        </w:rPr>
        <w:t xml:space="preserve">لنقاش حول المدرسة التثنوية التأثُّر، انظر، </w:t>
      </w:r>
      <w:r>
        <w:t xml:space="preserve">Hill and Walton, 203. Cf . Gordon Wenham. “The Date of Deuteronomy: Linch-Pin of Old Testament Criticism,” Themelios 10: 3 (1985): 15-20, and 11: 1 (1986): 15-18.   </w:t>
      </w:r>
    </w:p>
  </w:footnote>
  <w:footnote w:id="143">
    <w:p w14:paraId="237ACF86" w14:textId="77777777" w:rsidR="006A7C83" w:rsidRDefault="006A7C83" w:rsidP="006A7C83">
      <w:pPr>
        <w:pStyle w:val="FootnoteTxtNewParag"/>
        <w:bidi w:val="0"/>
        <w:rPr>
          <w:rtl/>
          <w:lang w:bidi="ar-SA"/>
        </w:rPr>
      </w:pPr>
      <w:r>
        <w:rPr>
          <w:rStyle w:val="FootnoteReference"/>
          <w:rFonts w:hint="cs"/>
          <w:sz w:val="26"/>
          <w:szCs w:val="24"/>
          <w:rtl/>
        </w:rPr>
        <w:t>2</w:t>
      </w:r>
      <w:r>
        <w:rPr>
          <w:rFonts w:hint="cs"/>
          <w:sz w:val="22"/>
          <w:rtl/>
        </w:rPr>
        <w:t xml:space="preserve"> </w:t>
      </w:r>
      <w:r>
        <w:t xml:space="preserve">Geoffrey W. Bromiley, ed. </w:t>
      </w:r>
      <w:r>
        <w:rPr>
          <w:i/>
          <w:iCs/>
        </w:rPr>
        <w:t xml:space="preserve">The International Standard Bible Encyclopedia </w:t>
      </w:r>
      <w:r>
        <w:t xml:space="preserve">(Grand Rapids, MI: William B. Eerdmans Pub. Co., 1982), s.v. “Joshua, Book of,” by Bruce K, Waltke, 2: 1134-35. </w:t>
      </w:r>
      <w:r>
        <w:rPr>
          <w:i/>
          <w:iCs/>
        </w:rPr>
        <w:t xml:space="preserve">  </w:t>
      </w:r>
    </w:p>
  </w:footnote>
  <w:footnote w:id="144">
    <w:p w14:paraId="3978063F" w14:textId="77777777" w:rsidR="006A7C83" w:rsidRDefault="006A7C83" w:rsidP="006A7C83">
      <w:pPr>
        <w:pStyle w:val="FootnoteTxtNewParag"/>
        <w:bidi w:val="0"/>
        <w:rPr>
          <w:rtl/>
          <w:lang w:bidi="ar-SA"/>
        </w:rPr>
      </w:pPr>
      <w:r>
        <w:rPr>
          <w:rStyle w:val="FootnoteReference"/>
          <w:rFonts w:hint="cs"/>
          <w:sz w:val="26"/>
          <w:szCs w:val="24"/>
          <w:rtl/>
        </w:rPr>
        <w:t>3</w:t>
      </w:r>
      <w:r>
        <w:rPr>
          <w:rFonts w:hint="cs"/>
          <w:sz w:val="22"/>
          <w:rtl/>
        </w:rPr>
        <w:t xml:space="preserve"> </w:t>
      </w:r>
      <w:r w:rsidRPr="009721E2">
        <w:rPr>
          <w:i/>
          <w:iCs/>
        </w:rPr>
        <w:t>The Cambridge Ancient History</w:t>
      </w:r>
      <w:r>
        <w:t>, II part 1,527.</w:t>
      </w:r>
    </w:p>
  </w:footnote>
  <w:footnote w:id="145">
    <w:p w14:paraId="4C946C10" w14:textId="77777777" w:rsidR="006A7C83" w:rsidRDefault="006A7C83" w:rsidP="006A7C83">
      <w:pPr>
        <w:pStyle w:val="FootnoteTxtNewParag"/>
        <w:bidi w:val="0"/>
        <w:rPr>
          <w:rtl/>
        </w:rPr>
      </w:pPr>
      <w:r>
        <w:rPr>
          <w:rStyle w:val="FootnoteReference"/>
          <w:rFonts w:hint="cs"/>
          <w:sz w:val="26"/>
          <w:szCs w:val="24"/>
          <w:rtl/>
        </w:rPr>
        <w:t>4</w:t>
      </w:r>
      <w:r>
        <w:t xml:space="preserve">Merrill, </w:t>
      </w:r>
      <w:r w:rsidRPr="009721E2">
        <w:rPr>
          <w:i/>
          <w:iCs/>
        </w:rPr>
        <w:t>Kingdom of Priests</w:t>
      </w:r>
      <w:r>
        <w:t xml:space="preserve">, 99. </w:t>
      </w:r>
    </w:p>
  </w:footnote>
  <w:footnote w:id="146">
    <w:p w14:paraId="75027F18" w14:textId="77777777" w:rsidR="006A7C83" w:rsidRDefault="006A7C83" w:rsidP="006A7C83">
      <w:pPr>
        <w:pStyle w:val="FootnoteTxtNewParag"/>
        <w:bidi w:val="0"/>
      </w:pPr>
      <w:r>
        <w:rPr>
          <w:rStyle w:val="FootnoteReference"/>
          <w:rFonts w:hint="cs"/>
          <w:sz w:val="26"/>
          <w:szCs w:val="24"/>
          <w:rtl/>
        </w:rPr>
        <w:t>5</w:t>
      </w:r>
      <w:r>
        <w:rPr>
          <w:rFonts w:hint="cs"/>
          <w:sz w:val="22"/>
          <w:rtl/>
        </w:rPr>
        <w:t xml:space="preserve"> </w:t>
      </w:r>
      <w:r>
        <w:t xml:space="preserve">Merrill F. Unger, </w:t>
      </w:r>
      <w:r w:rsidRPr="009721E2">
        <w:rPr>
          <w:i/>
          <w:iCs/>
        </w:rPr>
        <w:t>Archaeology and the Old Testament</w:t>
      </w:r>
      <w:r>
        <w:t xml:space="preserve"> (Grand Rapids, MI: Zondervan Pub. House, 1954), 167ff. </w:t>
      </w:r>
    </w:p>
  </w:footnote>
  <w:footnote w:id="147">
    <w:p w14:paraId="7BD2C163" w14:textId="77777777" w:rsidR="006A7C83" w:rsidRDefault="006A7C83" w:rsidP="006A7C83">
      <w:pPr>
        <w:pStyle w:val="FootnoteTxtNewParag"/>
        <w:bidi w:val="0"/>
      </w:pPr>
      <w:r>
        <w:rPr>
          <w:rStyle w:val="FootnoteReference"/>
          <w:rFonts w:hint="cs"/>
          <w:sz w:val="26"/>
          <w:szCs w:val="24"/>
          <w:rtl/>
        </w:rPr>
        <w:t>6</w:t>
      </w:r>
      <w:r>
        <w:rPr>
          <w:rFonts w:hint="cs"/>
          <w:sz w:val="22"/>
          <w:rtl/>
        </w:rPr>
        <w:t xml:space="preserve"> </w:t>
      </w:r>
      <w:r>
        <w:t>Waltke, 2: 1133.</w:t>
      </w:r>
    </w:p>
  </w:footnote>
  <w:footnote w:id="148">
    <w:p w14:paraId="5F51F4F7" w14:textId="77777777" w:rsidR="006A7C83" w:rsidRDefault="006A7C83" w:rsidP="006A7C83">
      <w:pPr>
        <w:pStyle w:val="FootnoteTxtNewParag"/>
        <w:bidi w:val="0"/>
      </w:pPr>
      <w:r>
        <w:rPr>
          <w:rStyle w:val="FootnoteReference"/>
          <w:rFonts w:hint="cs"/>
          <w:sz w:val="26"/>
          <w:szCs w:val="24"/>
          <w:rtl/>
        </w:rPr>
        <w:t>7</w:t>
      </w:r>
      <w:r>
        <w:rPr>
          <w:rFonts w:hint="cs"/>
          <w:sz w:val="22"/>
          <w:rtl/>
        </w:rPr>
        <w:t xml:space="preserve"> </w:t>
      </w:r>
      <w:r>
        <w:t xml:space="preserve">Alan Redpath, </w:t>
      </w:r>
      <w:r w:rsidRPr="009721E2">
        <w:rPr>
          <w:i/>
          <w:iCs/>
        </w:rPr>
        <w:t>Victorious Christian Living</w:t>
      </w:r>
      <w:r>
        <w:t>, 32-33.</w:t>
      </w:r>
    </w:p>
  </w:footnote>
  <w:footnote w:id="149">
    <w:p w14:paraId="662F8743" w14:textId="77777777" w:rsidR="006A7C83" w:rsidRDefault="006A7C83" w:rsidP="006A7C83">
      <w:pPr>
        <w:pStyle w:val="FootnoteTxtNewParag"/>
        <w:bidi w:val="0"/>
      </w:pPr>
      <w:r>
        <w:rPr>
          <w:rStyle w:val="FootnoteReference"/>
          <w:rFonts w:hint="cs"/>
          <w:sz w:val="22"/>
          <w:rtl/>
        </w:rPr>
        <w:t>8</w:t>
      </w:r>
      <w:r>
        <w:rPr>
          <w:rFonts w:hint="cs"/>
          <w:sz w:val="22"/>
          <w:rtl/>
        </w:rPr>
        <w:t xml:space="preserve"> </w:t>
      </w:r>
      <w:r>
        <w:t xml:space="preserve">Don Campbell, </w:t>
      </w:r>
      <w:r>
        <w:rPr>
          <w:i/>
          <w:iCs/>
        </w:rPr>
        <w:t>No Time for Neutrality</w:t>
      </w:r>
      <w:r>
        <w:t xml:space="preserve"> (Wheaton, IL: Victor Books, 1981), 32.</w:t>
      </w:r>
    </w:p>
  </w:footnote>
  <w:footnote w:id="150">
    <w:p w14:paraId="486505E2" w14:textId="77777777" w:rsidR="006A7C83" w:rsidRDefault="006A7C83" w:rsidP="006A7C83">
      <w:pPr>
        <w:pStyle w:val="FootnoteTxtNewParag"/>
        <w:bidi w:val="0"/>
        <w:rPr>
          <w:rtl/>
          <w:lang w:bidi="ar-SA"/>
        </w:rPr>
      </w:pPr>
      <w:r>
        <w:rPr>
          <w:rStyle w:val="FootnoteReference"/>
          <w:rFonts w:hint="cs"/>
          <w:sz w:val="26"/>
          <w:szCs w:val="24"/>
          <w:rtl/>
        </w:rPr>
        <w:t>9</w:t>
      </w:r>
      <w:r>
        <w:rPr>
          <w:rFonts w:hint="cs"/>
          <w:sz w:val="22"/>
          <w:rtl/>
        </w:rPr>
        <w:t xml:space="preserve"> </w:t>
      </w:r>
      <w:r>
        <w:t xml:space="preserve">Merrill, </w:t>
      </w:r>
      <w:r w:rsidRPr="009721E2">
        <w:rPr>
          <w:i/>
          <w:iCs/>
        </w:rPr>
        <w:t>Kingdom of Priests</w:t>
      </w:r>
      <w:r>
        <w:t>, 109.</w:t>
      </w:r>
    </w:p>
  </w:footnote>
  <w:footnote w:id="151">
    <w:p w14:paraId="669F8232" w14:textId="77777777" w:rsidR="006A7C83" w:rsidRDefault="006A7C83" w:rsidP="006A7C83">
      <w:pPr>
        <w:pStyle w:val="FootnoteTxtNewParag"/>
        <w:rPr>
          <w:sz w:val="22"/>
          <w:u w:val="single"/>
          <w:rtl/>
          <w:lang w:bidi="ar-SA"/>
        </w:rPr>
      </w:pPr>
      <w:r>
        <w:rPr>
          <w:rStyle w:val="FootnoteReference"/>
          <w:rFonts w:hint="cs"/>
          <w:sz w:val="26"/>
          <w:szCs w:val="24"/>
          <w:rtl/>
        </w:rPr>
        <w:t>1</w:t>
      </w:r>
      <w:r>
        <w:rPr>
          <w:rFonts w:hint="cs"/>
          <w:szCs w:val="24"/>
          <w:vertAlign w:val="superscript"/>
          <w:rtl/>
        </w:rPr>
        <w:t>0</w:t>
      </w:r>
      <w:r>
        <w:rPr>
          <w:rFonts w:hint="cs"/>
          <w:sz w:val="22"/>
          <w:rtl/>
        </w:rPr>
        <w:t xml:space="preserve"> لدراسة موثوقة حول غزو الأرض، انظر </w:t>
      </w:r>
      <w:r>
        <w:rPr>
          <w:lang w:bidi="ar-SA"/>
        </w:rPr>
        <w:t>Merrill, Kingdom of Priests, 108-121.</w:t>
      </w:r>
      <w:r>
        <w:rPr>
          <w:rFonts w:hint="cs"/>
          <w:rtl/>
        </w:rPr>
        <w:t xml:space="preserve"> </w:t>
      </w:r>
      <w:r>
        <w:rPr>
          <w:rFonts w:hint="cs"/>
          <w:sz w:val="22"/>
          <w:rtl/>
        </w:rPr>
        <w:t xml:space="preserve">وهو يقدّم أيضاً دراسة مسحية موجزة لنماذج بديلة لاحتلال بني إسرائيل (ص122-28). </w:t>
      </w:r>
    </w:p>
  </w:footnote>
  <w:footnote w:id="152">
    <w:p w14:paraId="1052A2DD" w14:textId="77777777" w:rsidR="006A7C83" w:rsidRDefault="006A7C83" w:rsidP="006A7C83">
      <w:pPr>
        <w:pStyle w:val="FootnoteTxtNewParag"/>
        <w:rPr>
          <w:rtl/>
        </w:rPr>
      </w:pPr>
      <w:r>
        <w:rPr>
          <w:rStyle w:val="FootnoteReference"/>
          <w:rFonts w:hint="cs"/>
          <w:sz w:val="26"/>
          <w:szCs w:val="24"/>
          <w:rtl/>
        </w:rPr>
        <w:t>1</w:t>
      </w:r>
      <w:r>
        <w:rPr>
          <w:rFonts w:hint="cs"/>
          <w:sz w:val="26"/>
          <w:szCs w:val="24"/>
          <w:vertAlign w:val="superscript"/>
          <w:rtl/>
        </w:rPr>
        <w:t>1</w:t>
      </w:r>
      <w:r>
        <w:rPr>
          <w:rFonts w:hint="cs"/>
          <w:rtl/>
        </w:rPr>
        <w:t xml:space="preserve"> يشير التحريم إلى ما حدده يهوه كموضوع لدينونته، يقول ميريل، </w:t>
      </w:r>
    </w:p>
    <w:p w14:paraId="4D3EC4F0" w14:textId="77777777" w:rsidR="006A7C83" w:rsidRDefault="006A7C83" w:rsidP="006A7C83">
      <w:pPr>
        <w:pStyle w:val="FootnoteTxtNewParag"/>
        <w:rPr>
          <w:rtl/>
        </w:rPr>
      </w:pPr>
      <w:r>
        <w:rPr>
          <w:rFonts w:hint="cs"/>
          <w:rtl/>
        </w:rPr>
        <w:t>"عندما يُدعى مكان أو شعب بأنه محرَّم، فإنه كان يقال إن هذا المكان أو الشعب "مخصص" ليهوه، أي أنه موضوع تحت التحريم".  والكلمة العبرية المستخدمة هي "</w:t>
      </w:r>
      <w:r>
        <w:rPr>
          <w:rFonts w:hint="cs"/>
          <w:i/>
          <w:iCs/>
          <w:rtl/>
        </w:rPr>
        <w:t>حرم"</w:t>
      </w:r>
      <w:r>
        <w:rPr>
          <w:rFonts w:hint="cs"/>
          <w:rtl/>
        </w:rPr>
        <w:t xml:space="preserve"> ("يكرَّس للتدمير").  وكان لا يدّ من إفناء الأشياء الموضوعة تحت "التحريم" (إن كانت حية) أو إعطائها لاستعمال يهوه الخاص.  ولا يمكن الاحتفاظ بهذا الشيء تحت أي ظرف من الظروف دون سماح صريح من يهوه." (</w:t>
      </w:r>
      <w:r>
        <w:rPr>
          <w:i/>
          <w:iCs/>
        </w:rPr>
        <w:t>Kingdom of Priests, 110</w:t>
      </w:r>
      <w:r>
        <w:rPr>
          <w:rFonts w:hint="cs"/>
          <w:rtl/>
        </w:rPr>
        <w:t>)</w:t>
      </w:r>
    </w:p>
    <w:p w14:paraId="7C15FE0E" w14:textId="77777777" w:rsidR="006A7C83" w:rsidRDefault="006A7C83" w:rsidP="006A7C83">
      <w:pPr>
        <w:pStyle w:val="FootnoteTxtNewParag"/>
        <w:rPr>
          <w:lang w:bidi="ar-SA"/>
        </w:rPr>
      </w:pPr>
      <w:r>
        <w:rPr>
          <w:rFonts w:hint="cs"/>
          <w:rtl/>
        </w:rPr>
        <w:t xml:space="preserve">ولقد عانت ثلاث مدن فقط من </w:t>
      </w:r>
      <w:r>
        <w:rPr>
          <w:rFonts w:hint="cs"/>
          <w:i/>
          <w:iCs/>
          <w:rtl/>
        </w:rPr>
        <w:t xml:space="preserve">التحريم </w:t>
      </w:r>
      <w:r>
        <w:rPr>
          <w:rFonts w:hint="cs"/>
          <w:u w:val="single"/>
          <w:rtl/>
        </w:rPr>
        <w:t>الكامل</w:t>
      </w:r>
      <w:r>
        <w:rPr>
          <w:rFonts w:hint="cs"/>
          <w:rtl/>
        </w:rPr>
        <w:t xml:space="preserve">، وهي أريحا وعاي وحاصور.  </w:t>
      </w:r>
    </w:p>
  </w:footnote>
  <w:footnote w:id="153">
    <w:p w14:paraId="72C05B3D" w14:textId="77777777" w:rsidR="006A7C83" w:rsidRDefault="006A7C83" w:rsidP="006A7C83">
      <w:pPr>
        <w:pStyle w:val="FootnoteTxtNewParag"/>
        <w:bidi w:val="0"/>
      </w:pPr>
      <w:r>
        <w:rPr>
          <w:rStyle w:val="FootnoteReference"/>
          <w:rFonts w:hint="cs"/>
          <w:sz w:val="26"/>
          <w:szCs w:val="24"/>
          <w:rtl/>
        </w:rPr>
        <w:t>1</w:t>
      </w:r>
      <w:r>
        <w:rPr>
          <w:rFonts w:hint="cs"/>
          <w:sz w:val="26"/>
          <w:szCs w:val="24"/>
          <w:vertAlign w:val="superscript"/>
          <w:rtl/>
        </w:rPr>
        <w:t>2</w:t>
      </w:r>
      <w:r>
        <w:rPr>
          <w:rFonts w:hint="cs"/>
          <w:sz w:val="22"/>
          <w:rtl/>
        </w:rPr>
        <w:t xml:space="preserve"> </w:t>
      </w:r>
      <w:r>
        <w:rPr>
          <w:i/>
          <w:iCs/>
        </w:rPr>
        <w:t>The Cambridge Ancient History</w:t>
      </w:r>
      <w:r>
        <w:t>, II: 1:542.</w:t>
      </w:r>
    </w:p>
  </w:footnote>
  <w:footnote w:id="154">
    <w:p w14:paraId="0B670E8A" w14:textId="77777777" w:rsidR="006A7C83" w:rsidRDefault="006A7C83" w:rsidP="006A7C83">
      <w:pPr>
        <w:pStyle w:val="FootnoteTxtNewParag"/>
        <w:bidi w:val="0"/>
      </w:pPr>
      <w:r>
        <w:rPr>
          <w:rStyle w:val="FootnoteReference"/>
          <w:rFonts w:hint="cs"/>
          <w:sz w:val="26"/>
          <w:szCs w:val="24"/>
          <w:rtl/>
        </w:rPr>
        <w:t>1</w:t>
      </w:r>
      <w:r>
        <w:rPr>
          <w:rFonts w:hint="cs"/>
          <w:sz w:val="22"/>
          <w:rtl/>
        </w:rPr>
        <w:t xml:space="preserve"> </w:t>
      </w:r>
      <w:r>
        <w:t xml:space="preserve">Bruce K. Waltke, </w:t>
      </w:r>
      <w:r>
        <w:rPr>
          <w:i/>
          <w:iCs/>
        </w:rPr>
        <w:t>ISBE</w:t>
      </w:r>
      <w:r>
        <w:t xml:space="preserve">, 2: 1135. </w:t>
      </w:r>
    </w:p>
  </w:footnote>
  <w:footnote w:id="155">
    <w:p w14:paraId="0BA56B53" w14:textId="77777777" w:rsidR="006A7C83" w:rsidRDefault="006A7C83" w:rsidP="006A7C83">
      <w:pPr>
        <w:pStyle w:val="FootnoteTxtNewParag"/>
        <w:rPr>
          <w:lang w:bidi="ar-SA"/>
        </w:rPr>
      </w:pPr>
      <w:r>
        <w:rPr>
          <w:rStyle w:val="FootnoteReference"/>
          <w:rFonts w:hint="cs"/>
          <w:sz w:val="26"/>
          <w:szCs w:val="24"/>
          <w:rtl/>
        </w:rPr>
        <w:t>2</w:t>
      </w:r>
      <w:r>
        <w:rPr>
          <w:rFonts w:hint="cs"/>
          <w:rtl/>
        </w:rPr>
        <w:t xml:space="preserve"> لتحديد الحدود المخصصة لكل سبط، انظر </w:t>
      </w:r>
      <w:r>
        <w:rPr>
          <w:lang w:bidi="ar-SA"/>
        </w:rPr>
        <w:t xml:space="preserve">Merrill, </w:t>
      </w:r>
      <w:r>
        <w:rPr>
          <w:i/>
          <w:iCs/>
          <w:lang w:bidi="ar-SA"/>
        </w:rPr>
        <w:t>Kingdom of Priests</w:t>
      </w:r>
      <w:r>
        <w:rPr>
          <w:lang w:bidi="ar-SA"/>
        </w:rPr>
        <w:t>, 129-36.</w:t>
      </w:r>
    </w:p>
  </w:footnote>
  <w:footnote w:id="156">
    <w:p w14:paraId="6413028D" w14:textId="77777777" w:rsidR="006A7C83" w:rsidRDefault="006A7C83" w:rsidP="006A7C83">
      <w:pPr>
        <w:pStyle w:val="FootnoteTxtNewParag"/>
        <w:rPr>
          <w:rtl/>
        </w:rPr>
      </w:pPr>
      <w:r>
        <w:rPr>
          <w:rStyle w:val="FootnoteReference"/>
          <w:rFonts w:hint="cs"/>
          <w:sz w:val="26"/>
          <w:szCs w:val="24"/>
          <w:rtl/>
        </w:rPr>
        <w:t>3</w:t>
      </w:r>
      <w:r>
        <w:rPr>
          <w:rFonts w:hint="cs"/>
          <w:rtl/>
        </w:rPr>
        <w:t xml:space="preserve"> يقول ميريل إنه مضت ثلاثون سنة تقريباً على الاحتفال الطقسي السابق، ومن هنا فإن كثيرين من بني إسرائيل لم يكونوا قد شاركوا شخصياً في تجديد العهد.  (</w:t>
      </w:r>
      <w:r>
        <w:rPr>
          <w:i/>
          <w:iCs/>
        </w:rPr>
        <w:t>Kingdom of Priests</w:t>
      </w:r>
      <w:r>
        <w:t>, 138</w:t>
      </w:r>
      <w:r>
        <w:rPr>
          <w:rFonts w:hint="cs"/>
          <w:rtl/>
        </w:rPr>
        <w:t>).</w:t>
      </w:r>
    </w:p>
  </w:footnote>
  <w:footnote w:id="157">
    <w:p w14:paraId="4855CC4A" w14:textId="77777777" w:rsidR="006A7C83" w:rsidRDefault="006A7C83" w:rsidP="006A7C83">
      <w:pPr>
        <w:pStyle w:val="FootnoteTxtNewParag"/>
        <w:bidi w:val="0"/>
      </w:pPr>
      <w:r>
        <w:rPr>
          <w:rStyle w:val="FootnoteReference"/>
          <w:rFonts w:hint="cs"/>
          <w:sz w:val="26"/>
          <w:szCs w:val="24"/>
          <w:rtl/>
        </w:rPr>
        <w:t>4</w:t>
      </w:r>
      <w:r>
        <w:rPr>
          <w:rFonts w:hint="cs"/>
          <w:sz w:val="22"/>
          <w:rtl/>
        </w:rPr>
        <w:t xml:space="preserve"> </w:t>
      </w:r>
      <w:r>
        <w:t xml:space="preserve">Irving Jensen, </w:t>
      </w:r>
      <w:r>
        <w:rPr>
          <w:i/>
          <w:iCs/>
        </w:rPr>
        <w:t>Joshua</w:t>
      </w:r>
      <w:r>
        <w:t>: Rest-Land Won (Chicago: Moody Press, 1966), 122.</w:t>
      </w:r>
    </w:p>
  </w:footnote>
  <w:footnote w:id="158">
    <w:p w14:paraId="1E8B1065" w14:textId="77777777" w:rsidR="006A7C83" w:rsidRDefault="006A7C83" w:rsidP="006A7C83">
      <w:pPr>
        <w:pStyle w:val="FootnoteTxtNewParag"/>
        <w:rPr>
          <w:lang w:bidi="ar-SA"/>
        </w:rPr>
      </w:pPr>
      <w:r>
        <w:rPr>
          <w:rStyle w:val="FootnoteReference"/>
          <w:rFonts w:hint="cs"/>
          <w:sz w:val="26"/>
          <w:szCs w:val="24"/>
          <w:rtl/>
        </w:rPr>
        <w:t>5</w:t>
      </w:r>
      <w:r>
        <w:rPr>
          <w:rFonts w:hint="cs"/>
          <w:rtl/>
        </w:rPr>
        <w:t xml:space="preserve"> يلمّح ديلارد ولونغمان إلى هذا عندما يقولان: "بعد افتداء الله لإسرائيل من أرض الخروج، بدأت بفتح ميراثها، وبعد عمل يسوع الفدائي على الصليب، يتحرّك شعبه لفتح وأخذ العالم باسمه.  لقد تمتّعت إسرائيل بميراث أرضي وبمملكة أرضية، لكن المملكة, التي تشكّل الكنيسة جزءاً منها، روحية وسماوية. </w:t>
      </w:r>
      <w:r>
        <w:t xml:space="preserve">(Raymond B. Dillard and Tremper Longman III, An </w:t>
      </w:r>
      <w:r>
        <w:rPr>
          <w:i/>
          <w:iCs/>
        </w:rPr>
        <w:t xml:space="preserve">Introduction to the Old Testament </w:t>
      </w:r>
      <w:r>
        <w:t xml:space="preserve">(Grand Rapids, MI: Zondervan Pub.  </w:t>
      </w:r>
      <w:r>
        <w:rPr>
          <w:lang w:bidi="ar-SA"/>
        </w:rPr>
        <w:t>House, 1994), 117.</w:t>
      </w:r>
    </w:p>
  </w:footnote>
  <w:footnote w:id="159">
    <w:p w14:paraId="2CD0A187" w14:textId="77777777" w:rsidR="006A7C83" w:rsidRDefault="006A7C83" w:rsidP="006A7C83">
      <w:pPr>
        <w:pStyle w:val="FootnoteTxtNewParag"/>
        <w:rPr>
          <w:rtl/>
        </w:rPr>
      </w:pPr>
      <w:r>
        <w:rPr>
          <w:rStyle w:val="FootnoteReference"/>
          <w:rFonts w:hint="cs"/>
          <w:sz w:val="26"/>
          <w:szCs w:val="24"/>
          <w:rtl/>
        </w:rPr>
        <w:t>1</w:t>
      </w:r>
      <w:r>
        <w:rPr>
          <w:rFonts w:hint="cs"/>
          <w:rtl/>
        </w:rPr>
        <w:t xml:space="preserve"> كان المحرِّر (</w:t>
      </w:r>
      <w:r>
        <w:rPr>
          <w:lang w:bidi="ar-SA"/>
        </w:rPr>
        <w:t>Redactor</w:t>
      </w:r>
      <w:r>
        <w:rPr>
          <w:rFonts w:hint="cs"/>
          <w:rtl/>
        </w:rPr>
        <w:t xml:space="preserve">) شخصاً يعيد كتابة وثائق سابقة.  ولم يكن شخصاً يقوم بتحرير ثانوي أو وضع لمسات بسيطة قبل النشر، بل كان شخصاً يأخذ وحدات أدبية من أجيال سابقة، ويفسّرها من منظوره التاريخي، ويعيد توليفها بطريقة تجعلها ذات صلة بجيله (أي أنه يُعَصْرنها).  </w:t>
      </w:r>
    </w:p>
  </w:footnote>
  <w:footnote w:id="160">
    <w:p w14:paraId="5AD18CB6" w14:textId="77777777" w:rsidR="006A7C83" w:rsidRDefault="006A7C83" w:rsidP="006A7C83">
      <w:pPr>
        <w:pStyle w:val="FootnoteTxtNewParag"/>
        <w:bidi w:val="0"/>
        <w:rPr>
          <w:rtl/>
          <w:lang w:bidi="ar-SA"/>
        </w:rPr>
      </w:pPr>
      <w:r>
        <w:rPr>
          <w:rStyle w:val="FootnoteReference"/>
          <w:rFonts w:hint="cs"/>
          <w:sz w:val="26"/>
          <w:szCs w:val="24"/>
          <w:rtl/>
        </w:rPr>
        <w:t>2</w:t>
      </w:r>
      <w:r>
        <w:rPr>
          <w:rFonts w:hint="cs"/>
          <w:sz w:val="22"/>
          <w:rtl/>
        </w:rPr>
        <w:t xml:space="preserve"> </w:t>
      </w:r>
      <w:r>
        <w:t xml:space="preserve">Otto Eissfeldt, </w:t>
      </w:r>
      <w:r>
        <w:rPr>
          <w:i/>
          <w:iCs/>
        </w:rPr>
        <w:t>The Old Testament An Introduction, Trans. Peter R. Ackroyd from the 3</w:t>
      </w:r>
      <w:r>
        <w:rPr>
          <w:i/>
          <w:iCs/>
          <w:vertAlign w:val="superscript"/>
        </w:rPr>
        <w:t>rd</w:t>
      </w:r>
      <w:r>
        <w:rPr>
          <w:i/>
          <w:iCs/>
        </w:rPr>
        <w:t xml:space="preserve"> German ed. (NY: Harper &amp; Row, 1965), 220. </w:t>
      </w:r>
      <w:r>
        <w:t xml:space="preserve"> </w:t>
      </w:r>
      <w:r>
        <w:rPr>
          <w:rFonts w:hint="cs"/>
          <w:rtl/>
        </w:rPr>
        <w:t xml:space="preserve"> </w:t>
      </w:r>
      <w:r>
        <w:rPr>
          <w:rFonts w:hint="cs"/>
          <w:sz w:val="22"/>
          <w:rtl/>
        </w:rPr>
        <w:t xml:space="preserve">من أجل عرض لأسباب ذكر مسألة العصور على "الشريعة" في الهيكل وربطه بسفر التثنية، انظر  </w:t>
      </w:r>
      <w:r>
        <w:rPr>
          <w:lang w:bidi="ar-SA"/>
        </w:rPr>
        <w:t>Bernard W-Anderson, Understanding the Old Testament, 4</w:t>
      </w:r>
      <w:r>
        <w:rPr>
          <w:vertAlign w:val="superscript"/>
          <w:lang w:bidi="ar-SA"/>
        </w:rPr>
        <w:t>th</w:t>
      </w:r>
      <w:r>
        <w:rPr>
          <w:lang w:bidi="ar-SA"/>
        </w:rPr>
        <w:t xml:space="preserve"> ed. </w:t>
      </w:r>
      <w:r>
        <w:t>(NJ: Prentice- Hall, 1986), 375.</w:t>
      </w:r>
    </w:p>
  </w:footnote>
  <w:footnote w:id="161">
    <w:p w14:paraId="341005B3" w14:textId="77777777" w:rsidR="006A7C83" w:rsidRDefault="006A7C83" w:rsidP="006A7C83">
      <w:pPr>
        <w:pStyle w:val="FootnoteTxtNewParag"/>
        <w:bidi w:val="0"/>
      </w:pPr>
      <w:r>
        <w:rPr>
          <w:rStyle w:val="FootnoteReference"/>
          <w:rFonts w:hint="cs"/>
          <w:sz w:val="26"/>
          <w:szCs w:val="24"/>
          <w:rtl/>
        </w:rPr>
        <w:t>3</w:t>
      </w:r>
      <w:r>
        <w:rPr>
          <w:rFonts w:hint="cs"/>
          <w:sz w:val="22"/>
          <w:rtl/>
        </w:rPr>
        <w:t xml:space="preserve"> </w:t>
      </w:r>
      <w:r>
        <w:t xml:space="preserve">William S. La Sor, et al., </w:t>
      </w:r>
      <w:r>
        <w:rPr>
          <w:i/>
          <w:iCs/>
        </w:rPr>
        <w:t xml:space="preserve">Old Testament Survey </w:t>
      </w:r>
      <w:r>
        <w:t xml:space="preserve">(Grand Rapids: William B. Eerdmans Pub. Co., 1982), 177. </w:t>
      </w:r>
    </w:p>
  </w:footnote>
  <w:footnote w:id="162">
    <w:p w14:paraId="65B766DD" w14:textId="77777777" w:rsidR="006A7C83" w:rsidRDefault="006A7C83" w:rsidP="006A7C83">
      <w:pPr>
        <w:pStyle w:val="FootnoteTxtNewParag"/>
        <w:rPr>
          <w:rtl/>
          <w:lang w:bidi="ar-SA"/>
        </w:rPr>
      </w:pPr>
      <w:r>
        <w:rPr>
          <w:rStyle w:val="FootnoteReference"/>
          <w:rFonts w:hint="cs"/>
          <w:sz w:val="26"/>
          <w:szCs w:val="24"/>
          <w:rtl/>
        </w:rPr>
        <w:t>4</w:t>
      </w:r>
      <w:r>
        <w:rPr>
          <w:rFonts w:hint="cs"/>
          <w:rtl/>
        </w:rPr>
        <w:t xml:space="preserve"> على الرغم من أن هؤلاء الباحثين الانتقاديين يعتبرون سفر التثنية نتاجاً لزمن يوشيا، إلاّ أن بعضهم يؤمن أن </w:t>
      </w:r>
      <w:r>
        <w:rPr>
          <w:rFonts w:hint="cs"/>
          <w:u w:val="single"/>
          <w:rtl/>
        </w:rPr>
        <w:t>لنواة</w:t>
      </w:r>
      <w:r>
        <w:rPr>
          <w:rFonts w:hint="cs"/>
          <w:rtl/>
        </w:rPr>
        <w:t xml:space="preserve"> سفر التثنية (خاصة تثنية 12-26، 28) تاريخاً طويلاً وراءها. </w:t>
      </w:r>
    </w:p>
  </w:footnote>
  <w:footnote w:id="163">
    <w:p w14:paraId="47F20706" w14:textId="77777777" w:rsidR="006A7C83" w:rsidRDefault="006A7C83" w:rsidP="006A7C83">
      <w:pPr>
        <w:pStyle w:val="FootnoteTxtNewParag"/>
        <w:bidi w:val="0"/>
        <w:rPr>
          <w:lang w:bidi="ar-SA"/>
        </w:rPr>
      </w:pPr>
      <w:r>
        <w:rPr>
          <w:rStyle w:val="FootnoteReference"/>
          <w:rFonts w:hint="cs"/>
          <w:sz w:val="26"/>
          <w:szCs w:val="24"/>
          <w:rtl/>
        </w:rPr>
        <w:t>5</w:t>
      </w:r>
      <w:r>
        <w:rPr>
          <w:rFonts w:hint="cs"/>
          <w:sz w:val="22"/>
          <w:rtl/>
        </w:rPr>
        <w:t xml:space="preserve"> </w:t>
      </w:r>
      <w:r>
        <w:rPr>
          <w:lang w:bidi="ar-SA"/>
        </w:rPr>
        <w:t>Anderson, 379.</w:t>
      </w:r>
    </w:p>
  </w:footnote>
  <w:footnote w:id="164">
    <w:p w14:paraId="2B0449BF" w14:textId="77777777" w:rsidR="006A7C83" w:rsidRDefault="006A7C83" w:rsidP="006A7C83">
      <w:pPr>
        <w:pStyle w:val="FootnoteTxtNewParag"/>
        <w:rPr>
          <w:u w:val="single"/>
          <w:rtl/>
        </w:rPr>
      </w:pPr>
      <w:r>
        <w:rPr>
          <w:rStyle w:val="FootnoteReference"/>
          <w:rFonts w:hint="cs"/>
          <w:sz w:val="26"/>
          <w:szCs w:val="24"/>
          <w:rtl/>
        </w:rPr>
        <w:t>6</w:t>
      </w:r>
      <w:r>
        <w:rPr>
          <w:rFonts w:hint="cs"/>
          <w:sz w:val="22"/>
          <w:rtl/>
        </w:rPr>
        <w:t xml:space="preserve"> </w:t>
      </w:r>
      <w:r>
        <w:rPr>
          <w:lang w:bidi="ar-SA"/>
        </w:rPr>
        <w:t>Anderson, 183</w:t>
      </w:r>
      <w:r>
        <w:rPr>
          <w:rFonts w:hint="cs"/>
          <w:rtl/>
        </w:rPr>
        <w:t>.</w:t>
      </w:r>
      <w:r>
        <w:rPr>
          <w:rFonts w:hint="cs"/>
          <w:sz w:val="22"/>
          <w:rtl/>
        </w:rPr>
        <w:t xml:space="preserve">  غير أنه يتوجب علينا أن نلاحظ أن هذه التعابير لا تطبّق دائماً بنفس الطريقة.  إذ يستخدم بولنغ، على سبيل المثال، تعبير "تثنوي" للإشارة إلى عمل تاريخي يعود إلى القرن السابع يحتوي على القسم الأكبر من سفر التثنية إلى آخر ملوك الثاني.  ويستخدم تعبير "المادة التثنوية التأثُّر" للإشارة إلى عملية تحديث مفترضة في القرن السادس للطبعة النهائية. </w:t>
      </w:r>
      <w:r>
        <w:t>(Robert G. Boiling,</w:t>
      </w:r>
      <w:r>
        <w:rPr>
          <w:i/>
          <w:iCs/>
        </w:rPr>
        <w:t xml:space="preserve"> Judges</w:t>
      </w:r>
      <w:r>
        <w:t>, The Anchor Bible [Garden City: Doubleday &amp; Company, Inc., 1975], 31).</w:t>
      </w:r>
    </w:p>
  </w:footnote>
  <w:footnote w:id="165">
    <w:p w14:paraId="5E8DF2AF" w14:textId="77777777" w:rsidR="006A7C83" w:rsidRDefault="006A7C83" w:rsidP="006A7C83">
      <w:pPr>
        <w:pStyle w:val="FootnoteTxtNewParag"/>
        <w:rPr>
          <w:rtl/>
        </w:rPr>
      </w:pPr>
      <w:r>
        <w:rPr>
          <w:rStyle w:val="FootnoteReference"/>
          <w:rFonts w:hint="cs"/>
          <w:sz w:val="26"/>
          <w:szCs w:val="24"/>
          <w:rtl/>
        </w:rPr>
        <w:t>7</w:t>
      </w:r>
      <w:r>
        <w:rPr>
          <w:rFonts w:hint="cs"/>
          <w:rtl/>
        </w:rPr>
        <w:t xml:space="preserve"> انظر مثلاً </w:t>
      </w:r>
      <w:r>
        <w:rPr>
          <w:lang w:bidi="ar-SA"/>
        </w:rPr>
        <w:t xml:space="preserve">SR. </w:t>
      </w:r>
      <w:r>
        <w:t xml:space="preserve">Driver, </w:t>
      </w:r>
      <w:r w:rsidRPr="00160F7D">
        <w:rPr>
          <w:i/>
          <w:iCs/>
        </w:rPr>
        <w:t>An Introduction to the Literature of the Old Testament</w:t>
      </w:r>
      <w:r>
        <w:t xml:space="preserve">, rev. ed. (NY: Charles Scribner’s Sons, 1912). </w:t>
      </w:r>
    </w:p>
  </w:footnote>
  <w:footnote w:id="166">
    <w:p w14:paraId="06A41CAA" w14:textId="77777777" w:rsidR="006A7C83" w:rsidRDefault="006A7C83" w:rsidP="006A7C83">
      <w:pPr>
        <w:pStyle w:val="FootnoteTxtNewParag"/>
        <w:rPr>
          <w:rtl/>
        </w:rPr>
      </w:pPr>
      <w:r>
        <w:rPr>
          <w:rStyle w:val="FootnoteReference"/>
          <w:rFonts w:hint="cs"/>
          <w:sz w:val="26"/>
          <w:szCs w:val="24"/>
          <w:rtl/>
        </w:rPr>
        <w:t>8</w:t>
      </w:r>
      <w:r>
        <w:rPr>
          <w:rFonts w:hint="cs"/>
          <w:rtl/>
        </w:rPr>
        <w:t xml:space="preserve"> </w:t>
      </w:r>
      <w:r>
        <w:t xml:space="preserve">Martin Noth, </w:t>
      </w:r>
      <w:r w:rsidRPr="00160F7D">
        <w:rPr>
          <w:i/>
          <w:iCs/>
        </w:rPr>
        <w:t>The Deuteronomistic History</w:t>
      </w:r>
      <w:r>
        <w:t xml:space="preserve"> (reprint; Sheffield, England: JSOT, 1981).</w:t>
      </w:r>
      <w:r>
        <w:rPr>
          <w:rFonts w:hint="cs"/>
          <w:rtl/>
        </w:rPr>
        <w:t xml:space="preserve"> للتعرُّف إلى آراء نوث ونقاش حول التاريخ التنقيحي في ما يتعلق بسفري صموئيل، انظر </w:t>
      </w:r>
      <w:r>
        <w:t xml:space="preserve">Geoffrey W. Bromiley, ed., </w:t>
      </w:r>
      <w:r w:rsidRPr="00160F7D">
        <w:rPr>
          <w:i/>
          <w:iCs/>
        </w:rPr>
        <w:t>ISBE</w:t>
      </w:r>
      <w:r>
        <w:t xml:space="preserve"> (Grand Rapids, MI: Wm. B. Eerdmans Pub. Co., 1979-1988), s.v. “Samuel, Books of, “by Ralph W. Klein, [See especially section V on Redactional History, 4: 316-318].  </w:t>
      </w:r>
    </w:p>
  </w:footnote>
  <w:footnote w:id="167">
    <w:p w14:paraId="60EC4740" w14:textId="77777777" w:rsidR="006A7C83" w:rsidRDefault="006A7C83" w:rsidP="006A7C83">
      <w:pPr>
        <w:pStyle w:val="FootnoteTxtNewParag"/>
        <w:bidi w:val="0"/>
      </w:pPr>
      <w:r>
        <w:rPr>
          <w:rStyle w:val="FootnoteReference"/>
          <w:rFonts w:hint="cs"/>
          <w:sz w:val="26"/>
          <w:szCs w:val="24"/>
          <w:rtl/>
        </w:rPr>
        <w:t>9</w:t>
      </w:r>
      <w:r>
        <w:rPr>
          <w:rFonts w:hint="cs"/>
          <w:rtl/>
        </w:rPr>
        <w:t xml:space="preserve"> </w:t>
      </w:r>
      <w:r>
        <w:t xml:space="preserve">Homer Heater, Jr., “A Theology of Samuel and Kings, “in </w:t>
      </w:r>
      <w:r w:rsidRPr="00160F7D">
        <w:rPr>
          <w:i/>
          <w:iCs/>
        </w:rPr>
        <w:t>Biblical Theology of the Old Testament</w:t>
      </w:r>
      <w:r>
        <w:t>, ed. Roy B. Zuck (Chicago: Moody Press, 1981), 125.</w:t>
      </w:r>
    </w:p>
  </w:footnote>
  <w:footnote w:id="168">
    <w:p w14:paraId="63764381" w14:textId="77777777" w:rsidR="006A7C83" w:rsidRDefault="006A7C83" w:rsidP="006A7C83">
      <w:pPr>
        <w:pStyle w:val="FootnoteTxtNewParag"/>
        <w:bidi w:val="0"/>
        <w:rPr>
          <w:rtl/>
        </w:rPr>
      </w:pPr>
      <w:r>
        <w:rPr>
          <w:rStyle w:val="FootnoteReference"/>
          <w:rFonts w:hint="cs"/>
          <w:sz w:val="26"/>
          <w:szCs w:val="24"/>
          <w:rtl/>
        </w:rPr>
        <w:t>1</w:t>
      </w:r>
      <w:r>
        <w:rPr>
          <w:rFonts w:hint="cs"/>
          <w:sz w:val="26"/>
          <w:szCs w:val="24"/>
          <w:vertAlign w:val="superscript"/>
          <w:rtl/>
        </w:rPr>
        <w:t>0</w:t>
      </w:r>
      <w:r>
        <w:rPr>
          <w:rFonts w:hint="cs"/>
          <w:rtl/>
        </w:rPr>
        <w:t xml:space="preserve"> </w:t>
      </w:r>
      <w:r>
        <w:t>Anderson, 376</w:t>
      </w:r>
      <w:r>
        <w:rPr>
          <w:rFonts w:hint="cs"/>
          <w:rtl/>
        </w:rPr>
        <w:t>.</w:t>
      </w:r>
    </w:p>
  </w:footnote>
  <w:footnote w:id="169">
    <w:p w14:paraId="4B08A339" w14:textId="77777777" w:rsidR="006A7C83" w:rsidRDefault="006A7C83" w:rsidP="006A7C83">
      <w:pPr>
        <w:pStyle w:val="FootnoteTxtNewParag"/>
        <w:bidi w:val="0"/>
        <w:rPr>
          <w:i/>
          <w:iCs/>
          <w:lang w:bidi="ar-SA"/>
        </w:rPr>
      </w:pPr>
      <w:r>
        <w:rPr>
          <w:rStyle w:val="FootnoteReference"/>
          <w:rFonts w:hint="cs"/>
          <w:sz w:val="26"/>
          <w:szCs w:val="24"/>
          <w:rtl/>
        </w:rPr>
        <w:t>1</w:t>
      </w:r>
      <w:r>
        <w:rPr>
          <w:rFonts w:hint="cs"/>
          <w:szCs w:val="24"/>
          <w:vertAlign w:val="superscript"/>
          <w:rtl/>
        </w:rPr>
        <w:t>1</w:t>
      </w:r>
      <w:r>
        <w:rPr>
          <w:rFonts w:hint="cs"/>
          <w:sz w:val="22"/>
          <w:rtl/>
        </w:rPr>
        <w:t xml:space="preserve"> </w:t>
      </w:r>
      <w:r>
        <w:t xml:space="preserve">Andrew E. Hill and John H. Walton, </w:t>
      </w:r>
      <w:r>
        <w:rPr>
          <w:i/>
          <w:iCs/>
        </w:rPr>
        <w:t xml:space="preserve">A Survey of the Old Testament </w:t>
      </w:r>
      <w:r>
        <w:t xml:space="preserve">(Grand Rapids: Zondervan Pub. </w:t>
      </w:r>
      <w:r>
        <w:rPr>
          <w:lang w:bidi="ar-SA"/>
        </w:rPr>
        <w:t xml:space="preserve">House, 1991), 156. </w:t>
      </w:r>
      <w:r>
        <w:rPr>
          <w:i/>
          <w:iCs/>
          <w:lang w:bidi="ar-SA"/>
        </w:rPr>
        <w:t xml:space="preserve"> </w:t>
      </w:r>
    </w:p>
  </w:footnote>
  <w:footnote w:id="170">
    <w:p w14:paraId="256AA91C" w14:textId="77777777" w:rsidR="006A7C83" w:rsidRDefault="006A7C83" w:rsidP="006A7C83">
      <w:pPr>
        <w:pStyle w:val="FootnoteTxtNewParag"/>
        <w:rPr>
          <w:rtl/>
        </w:rPr>
      </w:pPr>
      <w:r>
        <w:rPr>
          <w:rStyle w:val="FootnoteReference"/>
          <w:rFonts w:hint="cs"/>
          <w:sz w:val="26"/>
          <w:szCs w:val="24"/>
          <w:rtl/>
        </w:rPr>
        <w:t>1</w:t>
      </w:r>
      <w:r>
        <w:rPr>
          <w:rFonts w:hint="cs"/>
          <w:sz w:val="26"/>
          <w:szCs w:val="24"/>
          <w:vertAlign w:val="superscript"/>
          <w:rtl/>
        </w:rPr>
        <w:t>2</w:t>
      </w:r>
      <w:r>
        <w:rPr>
          <w:rFonts w:hint="cs"/>
          <w:rtl/>
        </w:rPr>
        <w:t xml:space="preserve"> المرجع السابق.</w:t>
      </w:r>
    </w:p>
  </w:footnote>
  <w:footnote w:id="171">
    <w:p w14:paraId="07E66421" w14:textId="77777777" w:rsidR="006A7C83" w:rsidRDefault="006A7C83" w:rsidP="006A7C83">
      <w:pPr>
        <w:pStyle w:val="FootnoteTxtNewParag"/>
      </w:pPr>
      <w:r>
        <w:rPr>
          <w:rStyle w:val="FootnoteReference"/>
          <w:rFonts w:hint="cs"/>
          <w:sz w:val="26"/>
          <w:szCs w:val="24"/>
          <w:rtl/>
        </w:rPr>
        <w:t>1</w:t>
      </w:r>
      <w:r>
        <w:rPr>
          <w:rFonts w:hint="cs"/>
          <w:sz w:val="26"/>
          <w:szCs w:val="24"/>
          <w:vertAlign w:val="superscript"/>
          <w:rtl/>
        </w:rPr>
        <w:t>3</w:t>
      </w:r>
      <w:r>
        <w:rPr>
          <w:rFonts w:hint="cs"/>
          <w:vertAlign w:val="superscript"/>
          <w:rtl/>
        </w:rPr>
        <w:t xml:space="preserve"> </w:t>
      </w:r>
      <w:r>
        <w:rPr>
          <w:rFonts w:hint="cs"/>
          <w:rtl/>
        </w:rPr>
        <w:t xml:space="preserve">انظر </w:t>
      </w:r>
      <w:r>
        <w:t xml:space="preserve">G. E. Mendenhall, </w:t>
      </w:r>
      <w:r>
        <w:rPr>
          <w:i/>
          <w:iCs/>
        </w:rPr>
        <w:t xml:space="preserve">Law and Covenant in Israel and the Ancient Near East </w:t>
      </w:r>
      <w:r>
        <w:t xml:space="preserve">(Pitsburgh: Biblical Colloquium, 1955); M.G. Klein, </w:t>
      </w:r>
      <w:r>
        <w:rPr>
          <w:i/>
          <w:iCs/>
        </w:rPr>
        <w:t xml:space="preserve">Treaty of the Great King </w:t>
      </w:r>
      <w:r>
        <w:t xml:space="preserve">(Grand Rapids, MI: Wm. B. Eerdmans, 1963); and K.A Kitchen, </w:t>
      </w:r>
      <w:r>
        <w:rPr>
          <w:i/>
          <w:iCs/>
        </w:rPr>
        <w:t>Ancient Orient and Old Testament</w:t>
      </w:r>
      <w:r>
        <w:t xml:space="preserve"> (Chicago: InterVarsity, 1966) 90-102.   </w:t>
      </w:r>
    </w:p>
  </w:footnote>
  <w:footnote w:id="172">
    <w:p w14:paraId="2C9BE802" w14:textId="77777777" w:rsidR="006A7C83" w:rsidRDefault="006A7C83" w:rsidP="006A7C83">
      <w:pPr>
        <w:pStyle w:val="FootnoteTxtNewParag"/>
        <w:bidi w:val="0"/>
        <w:rPr>
          <w:rtl/>
        </w:rPr>
      </w:pPr>
      <w:r>
        <w:rPr>
          <w:rStyle w:val="FootnoteReference"/>
          <w:rFonts w:hint="cs"/>
          <w:sz w:val="26"/>
          <w:szCs w:val="24"/>
          <w:rtl/>
        </w:rPr>
        <w:t>1</w:t>
      </w:r>
      <w:r>
        <w:rPr>
          <w:rFonts w:hint="cs"/>
          <w:sz w:val="26"/>
          <w:szCs w:val="24"/>
          <w:vertAlign w:val="superscript"/>
          <w:rtl/>
        </w:rPr>
        <w:t>4</w:t>
      </w:r>
      <w:r>
        <w:rPr>
          <w:rFonts w:hint="cs"/>
          <w:rtl/>
        </w:rPr>
        <w:t xml:space="preserve"> </w:t>
      </w:r>
      <w:r>
        <w:t>B.W. Anderson, 385</w:t>
      </w:r>
      <w:r>
        <w:rPr>
          <w:rFonts w:hint="cs"/>
          <w:rtl/>
        </w:rPr>
        <w:t>.</w:t>
      </w:r>
    </w:p>
    <w:p w14:paraId="74205A08" w14:textId="77777777" w:rsidR="006A7C83" w:rsidRDefault="006A7C83" w:rsidP="006A7C83">
      <w:pPr>
        <w:pStyle w:val="FootnoteTxtNewParag"/>
        <w:bidi w:val="0"/>
      </w:pPr>
    </w:p>
  </w:footnote>
  <w:footnote w:id="173">
    <w:p w14:paraId="182AE5C9" w14:textId="77777777" w:rsidR="006A7C83" w:rsidRDefault="006A7C83" w:rsidP="006A7C83">
      <w:pPr>
        <w:pStyle w:val="FootnoteTxtNewParag"/>
        <w:bidi w:val="0"/>
      </w:pPr>
      <w:r>
        <w:rPr>
          <w:rStyle w:val="FootnoteReference"/>
          <w:rFonts w:hint="cs"/>
          <w:sz w:val="26"/>
          <w:szCs w:val="24"/>
          <w:rtl/>
        </w:rPr>
        <w:t>1</w:t>
      </w:r>
      <w:r>
        <w:rPr>
          <w:rFonts w:hint="cs"/>
          <w:szCs w:val="24"/>
          <w:vertAlign w:val="superscript"/>
          <w:rtl/>
        </w:rPr>
        <w:t>5</w:t>
      </w:r>
      <w:r>
        <w:rPr>
          <w:rFonts w:hint="cs"/>
          <w:sz w:val="22"/>
          <w:rtl/>
        </w:rPr>
        <w:t xml:space="preserve"> </w:t>
      </w:r>
      <w:r>
        <w:t xml:space="preserve">Moses H. Segal, </w:t>
      </w:r>
      <w:r w:rsidRPr="00160F7D">
        <w:rPr>
          <w:i/>
          <w:iCs/>
        </w:rPr>
        <w:t>The Pentateuch</w:t>
      </w:r>
      <w:r>
        <w:t xml:space="preserve"> (Jerusalem: Magness Press, 1967), 87-88</w:t>
      </w:r>
      <w:r>
        <w:rPr>
          <w:rFonts w:hint="cs"/>
          <w:rtl/>
        </w:rPr>
        <w:t>.</w:t>
      </w:r>
    </w:p>
  </w:footnote>
  <w:footnote w:id="174">
    <w:p w14:paraId="0A0FA8F1" w14:textId="77777777" w:rsidR="006A7C83" w:rsidRDefault="006A7C83" w:rsidP="006A7C83">
      <w:pPr>
        <w:pStyle w:val="FootnoteTxtNewParag"/>
        <w:rPr>
          <w:rtl/>
        </w:rPr>
      </w:pPr>
      <w:r>
        <w:rPr>
          <w:rStyle w:val="FootnoteReference"/>
          <w:rFonts w:hint="cs"/>
          <w:sz w:val="26"/>
          <w:szCs w:val="24"/>
          <w:rtl/>
        </w:rPr>
        <w:t>1</w:t>
      </w:r>
      <w:r>
        <w:rPr>
          <w:rFonts w:hint="cs"/>
          <w:rtl/>
        </w:rPr>
        <w:t xml:space="preserve"> لنلاحظ محاولة أبيمالك الخرقاء في توريث سلطته لأولاده في قضاة 9-10، بالإضافة إلى محاولة صموئيل العبثية أن يفعل ذلك أيضاً في 1صموئيل 8: 1-5.</w:t>
      </w:r>
    </w:p>
  </w:footnote>
  <w:footnote w:id="175">
    <w:p w14:paraId="15D0EB03" w14:textId="77777777" w:rsidR="006A7C83" w:rsidRDefault="006A7C83" w:rsidP="006A7C83">
      <w:pPr>
        <w:pStyle w:val="FootnoteTxtNewParag"/>
        <w:rPr>
          <w:rtl/>
          <w:lang w:bidi="ar-SA"/>
        </w:rPr>
      </w:pPr>
      <w:r>
        <w:rPr>
          <w:rStyle w:val="FootnoteReference"/>
          <w:rFonts w:hint="cs"/>
          <w:sz w:val="26"/>
          <w:szCs w:val="24"/>
          <w:rtl/>
        </w:rPr>
        <w:t>2</w:t>
      </w:r>
      <w:r>
        <w:rPr>
          <w:rFonts w:hint="cs"/>
          <w:rtl/>
        </w:rPr>
        <w:t xml:space="preserve"> لدراسة مسحية للمناهج المختلفة، انظر</w:t>
      </w:r>
      <w:r>
        <w:rPr>
          <w:rFonts w:hint="cs"/>
          <w:rtl/>
          <w:lang w:bidi="ar-SA"/>
        </w:rPr>
        <w:t xml:space="preserve"> </w:t>
      </w:r>
      <w:r>
        <w:t>J. H. John Peet, “The Chronology of the Judges- Some Thoughts, “</w:t>
      </w:r>
      <w:r>
        <w:rPr>
          <w:i/>
          <w:iCs/>
        </w:rPr>
        <w:t xml:space="preserve">Journal of Christian Reconstruction </w:t>
      </w:r>
      <w:r>
        <w:t xml:space="preserve">9 (1982-83): 161: 81. </w:t>
      </w:r>
    </w:p>
  </w:footnote>
  <w:footnote w:id="176">
    <w:p w14:paraId="0AD4942E" w14:textId="68088FD4" w:rsidR="006A7C83" w:rsidRDefault="006A7C83" w:rsidP="006A7C83">
      <w:pPr>
        <w:pStyle w:val="FootnoteTxtNewParag"/>
        <w:bidi w:val="0"/>
        <w:rPr>
          <w:rtl/>
          <w:lang w:bidi="ar-SA"/>
        </w:rPr>
      </w:pPr>
      <w:r>
        <w:rPr>
          <w:rStyle w:val="FootnoteReference"/>
          <w:rFonts w:hint="cs"/>
          <w:sz w:val="26"/>
          <w:szCs w:val="24"/>
          <w:rtl/>
        </w:rPr>
        <w:t>3</w:t>
      </w:r>
      <w:r>
        <w:rPr>
          <w:rFonts w:hint="cs"/>
          <w:sz w:val="22"/>
          <w:rtl/>
        </w:rPr>
        <w:t xml:space="preserve"> </w:t>
      </w:r>
      <w:r>
        <w:t xml:space="preserve">J. Paul Tanner, “Dating the Exodus Event: A Survey and Evaluation of the Arguments </w:t>
      </w:r>
      <w:r w:rsidR="000410CD">
        <w:t>f</w:t>
      </w:r>
      <w:r>
        <w:t>or the Major Views (unpublished paper for OAL, 372, Bible and History, The University of Texas at Austin, 1987).</w:t>
      </w:r>
    </w:p>
  </w:footnote>
  <w:footnote w:id="177">
    <w:p w14:paraId="18456422" w14:textId="77777777" w:rsidR="006A7C83" w:rsidRDefault="006A7C83" w:rsidP="006A7C83">
      <w:pPr>
        <w:pStyle w:val="FootnoteTxtNewParag"/>
        <w:rPr>
          <w:rtl/>
          <w:lang w:bidi="ar-SA"/>
        </w:rPr>
      </w:pPr>
      <w:r>
        <w:rPr>
          <w:rStyle w:val="FootnoteReference"/>
          <w:rFonts w:hint="cs"/>
          <w:sz w:val="26"/>
          <w:szCs w:val="24"/>
          <w:rtl/>
        </w:rPr>
        <w:t>4</w:t>
      </w:r>
      <w:r>
        <w:rPr>
          <w:rFonts w:hint="cs"/>
          <w:rtl/>
        </w:rPr>
        <w:t xml:space="preserve"> انظر عدد 10: 11، تثنية 1: 3؛ يشوع 14: 7-10.  لنلاحظ أن كالب كان في الأربعين في عام 1444ق م و85 في عام 1399ق م في نهاية الفتح.</w:t>
      </w:r>
    </w:p>
  </w:footnote>
  <w:footnote w:id="178">
    <w:p w14:paraId="391F2167" w14:textId="77777777" w:rsidR="006A7C83" w:rsidRDefault="006A7C83" w:rsidP="006A7C83">
      <w:pPr>
        <w:pStyle w:val="FootnoteTxtNewParag"/>
        <w:rPr>
          <w:rtl/>
          <w:lang w:bidi="ar-SA"/>
        </w:rPr>
      </w:pPr>
      <w:r>
        <w:rPr>
          <w:rStyle w:val="FootnoteReference"/>
          <w:rFonts w:hint="cs"/>
          <w:sz w:val="26"/>
          <w:szCs w:val="24"/>
          <w:rtl/>
        </w:rPr>
        <w:t>5</w:t>
      </w:r>
      <w:r>
        <w:rPr>
          <w:rFonts w:hint="cs"/>
          <w:rtl/>
        </w:rPr>
        <w:t xml:space="preserve"> انظر </w:t>
      </w:r>
      <w:r>
        <w:rPr>
          <w:lang w:bidi="ar-SA"/>
        </w:rPr>
        <w:t xml:space="preserve">Eugene H. Merrill, </w:t>
      </w:r>
      <w:r>
        <w:rPr>
          <w:i/>
          <w:iCs/>
          <w:lang w:bidi="ar-SA"/>
        </w:rPr>
        <w:t>Kings of Priests: A History of Old Testament Israel</w:t>
      </w:r>
      <w:r>
        <w:rPr>
          <w:lang w:bidi="ar-SA"/>
        </w:rPr>
        <w:t>, 147-48.</w:t>
      </w:r>
    </w:p>
  </w:footnote>
  <w:footnote w:id="179">
    <w:p w14:paraId="7A5136F8" w14:textId="77777777" w:rsidR="006A7C83" w:rsidRDefault="006A7C83" w:rsidP="006A7C83">
      <w:pPr>
        <w:pStyle w:val="FootnoteTxtNewParag"/>
        <w:rPr>
          <w:lang w:bidi="ar-SA"/>
        </w:rPr>
      </w:pPr>
      <w:r>
        <w:rPr>
          <w:rStyle w:val="FootnoteReference"/>
          <w:rFonts w:hint="cs"/>
          <w:sz w:val="26"/>
          <w:szCs w:val="24"/>
          <w:rtl/>
        </w:rPr>
        <w:t>6</w:t>
      </w:r>
      <w:r>
        <w:rPr>
          <w:rFonts w:cs="Times New Roman" w:hint="cs"/>
          <w:rtl/>
        </w:rPr>
        <w:t xml:space="preserve"> </w:t>
      </w:r>
      <w:r>
        <w:rPr>
          <w:rFonts w:hint="cs"/>
          <w:rtl/>
        </w:rPr>
        <w:t xml:space="preserve">انظر </w:t>
      </w:r>
      <w:r>
        <w:rPr>
          <w:lang w:bidi="ar-SA"/>
        </w:rPr>
        <w:t xml:space="preserve">Edwin R. Thiele, </w:t>
      </w:r>
      <w:r w:rsidRPr="00110814">
        <w:rPr>
          <w:i/>
          <w:iCs/>
          <w:lang w:bidi="ar-SA"/>
        </w:rPr>
        <w:t>The Mysterious Numbers of the Hebrew Kings</w:t>
      </w:r>
      <w:r>
        <w:rPr>
          <w:lang w:bidi="ar-SA"/>
        </w:rPr>
        <w:t xml:space="preserve"> (Grand Rapids, MI: Eerdmans, 1965), 51-52.</w:t>
      </w:r>
    </w:p>
  </w:footnote>
  <w:footnote w:id="180">
    <w:p w14:paraId="18B6BE09" w14:textId="4EC88633" w:rsidR="006A7C83" w:rsidRDefault="006A7C83" w:rsidP="006A7C83">
      <w:pPr>
        <w:pStyle w:val="FootnoteTxtNewParag"/>
        <w:rPr>
          <w:i/>
          <w:iCs/>
          <w:rtl/>
          <w:lang w:bidi="ar-SA"/>
        </w:rPr>
      </w:pPr>
      <w:r>
        <w:rPr>
          <w:rStyle w:val="FootnoteReference"/>
          <w:rFonts w:hint="cs"/>
          <w:sz w:val="22"/>
          <w:rtl/>
        </w:rPr>
        <w:t>7</w:t>
      </w:r>
      <w:r>
        <w:rPr>
          <w:rFonts w:hint="cs"/>
          <w:rtl/>
        </w:rPr>
        <w:t xml:space="preserve"> لا</w:t>
      </w:r>
      <w:r w:rsidR="000410CD">
        <w:t xml:space="preserve"> </w:t>
      </w:r>
      <w:r>
        <w:rPr>
          <w:rFonts w:hint="cs"/>
          <w:rtl/>
        </w:rPr>
        <w:t xml:space="preserve">شك أنه توجد تعقيدات يجب أخذها بعين الاعتبار فمثلاً، إذا أضفنا كل الأرقام في سفر القضاة، فسيكون لدينا 407 سنوات.  وفضلاً عن ذلك يمكن أن يكون هنالك توتر (اختلاف) مع أعمال 13: 19-20 ومشكلة نصّية في 1صموئيل 13: 1.  لمعالجة هذه القضايا، انظر  </w:t>
      </w:r>
      <w:r>
        <w:rPr>
          <w:lang w:bidi="ar-SA"/>
        </w:rPr>
        <w:t xml:space="preserve">Merrill, 150-51. </w:t>
      </w:r>
      <w:r>
        <w:rPr>
          <w:rFonts w:hint="cs"/>
          <w:rtl/>
          <w:lang w:bidi="ar-SA"/>
        </w:rPr>
        <w:t xml:space="preserve"> </w:t>
      </w:r>
      <w:r>
        <w:rPr>
          <w:rFonts w:hint="cs"/>
          <w:rtl/>
        </w:rPr>
        <w:t>انظر</w:t>
      </w:r>
      <w:r>
        <w:t xml:space="preserve"> Eugene E. Merrill, “Paul’s use of ‘About 450 Years’ in Acts 13: 20," </w:t>
      </w:r>
      <w:r>
        <w:rPr>
          <w:i/>
          <w:iCs/>
        </w:rPr>
        <w:t>Bibliotheca Sacra</w:t>
      </w:r>
      <w:r>
        <w:t xml:space="preserve"> 138-551 (Jul-Sep 1981) 246-57.”</w:t>
      </w:r>
      <w:r>
        <w:rPr>
          <w:i/>
          <w:iCs/>
        </w:rPr>
        <w:t xml:space="preserve"> </w:t>
      </w:r>
    </w:p>
  </w:footnote>
  <w:footnote w:id="181">
    <w:p w14:paraId="47231B20" w14:textId="77777777" w:rsidR="006A7C83" w:rsidRDefault="006A7C83" w:rsidP="006A7C83">
      <w:pPr>
        <w:pStyle w:val="FootnoteTxtNewParag"/>
      </w:pPr>
      <w:r>
        <w:rPr>
          <w:rStyle w:val="FootnoteReference"/>
          <w:rFonts w:hint="cs"/>
          <w:sz w:val="26"/>
          <w:szCs w:val="24"/>
          <w:rtl/>
        </w:rPr>
        <w:t>1</w:t>
      </w:r>
      <w:r>
        <w:rPr>
          <w:rFonts w:hint="cs"/>
          <w:rtl/>
        </w:rPr>
        <w:t xml:space="preserve"> تجد عدّة معالجات بارزة للفن الروائي في </w:t>
      </w:r>
      <w:r>
        <w:t xml:space="preserve">Robert Alter, </w:t>
      </w:r>
      <w:r>
        <w:rPr>
          <w:i/>
          <w:iCs/>
        </w:rPr>
        <w:t xml:space="preserve">The Art of Biblical Narrative </w:t>
      </w:r>
      <w:r>
        <w:t xml:space="preserve"> (New York: Basic Books, 1981): Shimon Bar-Efrat.  </w:t>
      </w:r>
      <w:r>
        <w:rPr>
          <w:i/>
          <w:iCs/>
        </w:rPr>
        <w:t>Narrative Art in the Bible</w:t>
      </w:r>
      <w:r>
        <w:t xml:space="preserve">, JSOT Supplement Series 70 (Sheffield Almond, 1989); Adele Berlin, </w:t>
      </w:r>
      <w:r>
        <w:rPr>
          <w:i/>
          <w:iCs/>
        </w:rPr>
        <w:t>Poetics and Interpretation of Biblical Narrative</w:t>
      </w:r>
      <w:r>
        <w:t xml:space="preserve"> (Sheffield Almond, 1983): Robert Scholes and Robert Kellog, </w:t>
      </w:r>
      <w:r>
        <w:rPr>
          <w:i/>
          <w:iCs/>
        </w:rPr>
        <w:t xml:space="preserve">The Nature of Narrative </w:t>
      </w:r>
      <w:r>
        <w:t xml:space="preserve">(New York: Oxford, 1966); and Meir Stemberg, </w:t>
      </w:r>
      <w:r>
        <w:rPr>
          <w:i/>
          <w:iCs/>
        </w:rPr>
        <w:t>The Poetics of Biblical Narrative: Ideological Literature</w:t>
      </w:r>
      <w:r>
        <w:t xml:space="preserve"> and the Drama of Reading (Bloomington, IN: Indiana University Press, 1985).      </w:t>
      </w:r>
    </w:p>
  </w:footnote>
  <w:footnote w:id="182">
    <w:p w14:paraId="28D47105" w14:textId="77777777" w:rsidR="006A7C83" w:rsidRDefault="006A7C83" w:rsidP="006A7C83">
      <w:pPr>
        <w:pStyle w:val="FootnoteTxtNewParag"/>
      </w:pPr>
      <w:r>
        <w:rPr>
          <w:rStyle w:val="FootnoteReference"/>
          <w:rFonts w:hint="cs"/>
          <w:sz w:val="26"/>
          <w:szCs w:val="24"/>
          <w:rtl/>
        </w:rPr>
        <w:t>2</w:t>
      </w:r>
      <w:r>
        <w:rPr>
          <w:rFonts w:hint="cs"/>
          <w:rtl/>
        </w:rPr>
        <w:t xml:space="preserve"> لنقاش أكثر شمولاً لهذا الموضوع، انظر دراستي </w:t>
      </w:r>
      <w:r>
        <w:t xml:space="preserve">“Textual Patterning in Biblical Hebrew Narrative A Case Study in Judges 6-8” (PhD diss., University of Texas at Austin, 1990), hereafter referred to as “Textual Patterning.”   </w:t>
      </w:r>
    </w:p>
  </w:footnote>
  <w:footnote w:id="183">
    <w:p w14:paraId="790090D9" w14:textId="77777777" w:rsidR="006A7C83" w:rsidRDefault="006A7C83" w:rsidP="006A7C83">
      <w:pPr>
        <w:pStyle w:val="FootnoteTxtNewParag"/>
        <w:rPr>
          <w:rtl/>
          <w:lang w:bidi="ar-SA"/>
        </w:rPr>
      </w:pPr>
      <w:r>
        <w:rPr>
          <w:rStyle w:val="FootnoteReference"/>
          <w:rFonts w:hint="cs"/>
          <w:sz w:val="26"/>
          <w:szCs w:val="24"/>
          <w:rtl/>
        </w:rPr>
        <w:t>3</w:t>
      </w:r>
      <w:r>
        <w:rPr>
          <w:rFonts w:hint="cs"/>
          <w:rtl/>
        </w:rPr>
        <w:t xml:space="preserve"> من أجل مؤلفات مرتبطة بموضوع "التركيبية" أو "البنيوية"، انظر  </w:t>
      </w:r>
      <w:r>
        <w:t xml:space="preserve">David Jobling, </w:t>
      </w:r>
      <w:r>
        <w:rPr>
          <w:i/>
          <w:iCs/>
        </w:rPr>
        <w:t>The Sense of Biblical Narrative</w:t>
      </w:r>
      <w:r>
        <w:t xml:space="preserve">: </w:t>
      </w:r>
      <w:r w:rsidRPr="00CF223F">
        <w:rPr>
          <w:i/>
          <w:iCs/>
        </w:rPr>
        <w:t>Structural Analyses</w:t>
      </w:r>
      <w:r>
        <w:t xml:space="preserve"> </w:t>
      </w:r>
      <w:r w:rsidRPr="00CF223F">
        <w:rPr>
          <w:i/>
          <w:iCs/>
        </w:rPr>
        <w:t>in the Hebrew Bible</w:t>
      </w:r>
      <w:r>
        <w:t xml:space="preserve"> I, 2</w:t>
      </w:r>
      <w:r>
        <w:rPr>
          <w:vertAlign w:val="superscript"/>
        </w:rPr>
        <w:t xml:space="preserve">d </w:t>
      </w:r>
      <w:r>
        <w:t>ed., JSOT Supplement Series 7 (Sheffield: JSOT Press, 1986), 98-101.</w:t>
      </w:r>
    </w:p>
    <w:p w14:paraId="25C1D257" w14:textId="77777777" w:rsidR="006A7C83" w:rsidRDefault="006A7C83" w:rsidP="006A7C83">
      <w:pPr>
        <w:pStyle w:val="FootnoteTxtNewParag"/>
        <w:rPr>
          <w:rtl/>
        </w:rPr>
      </w:pPr>
      <w:r>
        <w:rPr>
          <w:rFonts w:hint="cs"/>
          <w:szCs w:val="22"/>
          <w:rtl/>
        </w:rPr>
        <w:t xml:space="preserve">لمعالجة جيّدة لموضوع "التركيبية" أو "البنيوية"، انظر </w:t>
      </w:r>
      <w:r>
        <w:rPr>
          <w:lang w:bidi="ar-SA"/>
        </w:rPr>
        <w:t xml:space="preserve">J. Culler, </w:t>
      </w:r>
      <w:r>
        <w:rPr>
          <w:i/>
          <w:iCs/>
          <w:lang w:bidi="ar-SA"/>
        </w:rPr>
        <w:t xml:space="preserve">Structuralist Poetics </w:t>
      </w:r>
      <w:r>
        <w:rPr>
          <w:lang w:bidi="ar-SA"/>
        </w:rPr>
        <w:t>(Ithaca, NY: Cornell University Press, 1975).</w:t>
      </w:r>
    </w:p>
    <w:p w14:paraId="17AF10AD" w14:textId="77777777" w:rsidR="006A7C83" w:rsidRDefault="006A7C83" w:rsidP="006A7C83">
      <w:pPr>
        <w:pStyle w:val="FootnoteTxtNewParag"/>
        <w:rPr>
          <w:i/>
          <w:iCs/>
          <w:rtl/>
        </w:rPr>
      </w:pPr>
      <w:r>
        <w:rPr>
          <w:rFonts w:hint="cs"/>
          <w:szCs w:val="22"/>
          <w:rtl/>
        </w:rPr>
        <w:t xml:space="preserve">لدراسة تحليلية ونقدية للتركيبية وتطبيقها في الكتاب المقدّس، انظر  </w:t>
      </w:r>
      <w:r>
        <w:rPr>
          <w:lang w:bidi="ar-SA"/>
        </w:rPr>
        <w:t xml:space="preserve">D. C. Greenwood, </w:t>
      </w:r>
      <w:r>
        <w:rPr>
          <w:i/>
          <w:iCs/>
          <w:lang w:bidi="ar-SA"/>
        </w:rPr>
        <w:t xml:space="preserve">Structuralism and the Biblical Text </w:t>
      </w:r>
      <w:r>
        <w:rPr>
          <w:lang w:bidi="ar-SA"/>
        </w:rPr>
        <w:t xml:space="preserve">(Berlin: Mouton, 1985); T. J. Keegen, </w:t>
      </w:r>
      <w:r>
        <w:rPr>
          <w:i/>
          <w:iCs/>
          <w:lang w:bidi="ar-SA"/>
        </w:rPr>
        <w:t>Interpreting the Bible</w:t>
      </w:r>
      <w:r>
        <w:rPr>
          <w:lang w:bidi="ar-SA"/>
        </w:rPr>
        <w:t xml:space="preserve">: </w:t>
      </w:r>
      <w:r w:rsidRPr="00CF223F">
        <w:rPr>
          <w:i/>
          <w:iCs/>
          <w:lang w:bidi="ar-SA"/>
        </w:rPr>
        <w:t>A Popular Introduction to Biblical Hermeneutics</w:t>
      </w:r>
      <w:r>
        <w:rPr>
          <w:lang w:bidi="ar-SA"/>
        </w:rPr>
        <w:t xml:space="preserve"> (New York: Paulist, 1985), 40-72; and J. Barton, </w:t>
      </w:r>
      <w:r>
        <w:rPr>
          <w:i/>
          <w:iCs/>
          <w:lang w:bidi="ar-SA"/>
        </w:rPr>
        <w:t>Reading the Old Testament: Method in Biblical Study</w:t>
      </w:r>
      <w:r>
        <w:rPr>
          <w:lang w:bidi="ar-SA"/>
        </w:rPr>
        <w:t xml:space="preserve"> (Philadelphia: Westminster, 1984), 104-39, 185-94.</w:t>
      </w:r>
      <w:r>
        <w:rPr>
          <w:rFonts w:hint="cs"/>
          <w:rtl/>
        </w:rPr>
        <w:t xml:space="preserve"> </w:t>
      </w:r>
      <w:r>
        <w:rPr>
          <w:rFonts w:hint="cs"/>
          <w:szCs w:val="22"/>
          <w:rtl/>
        </w:rPr>
        <w:t xml:space="preserve">لتعليقات مفيدة من منظور إنجيلي، انظر  </w:t>
      </w:r>
      <w:r>
        <w:rPr>
          <w:lang w:bidi="ar-SA"/>
        </w:rPr>
        <w:t xml:space="preserve">Carl E. Armending, </w:t>
      </w:r>
      <w:r>
        <w:rPr>
          <w:i/>
          <w:iCs/>
          <w:lang w:bidi="ar-SA"/>
        </w:rPr>
        <w:t xml:space="preserve">The Old Testament and Criticism </w:t>
      </w:r>
      <w:r>
        <w:rPr>
          <w:lang w:bidi="ar-SA"/>
        </w:rPr>
        <w:t xml:space="preserve">(Grand Rapids: Eerdmans, 1983) and Trempen Longman III, </w:t>
      </w:r>
      <w:r>
        <w:rPr>
          <w:i/>
          <w:iCs/>
          <w:lang w:bidi="ar-SA"/>
        </w:rPr>
        <w:t xml:space="preserve">Literary Approaches to Biblical Interpretation </w:t>
      </w:r>
      <w:r>
        <w:rPr>
          <w:lang w:bidi="ar-SA"/>
        </w:rPr>
        <w:t xml:space="preserve">(Grand Rapids: Zondervan, 1987).    </w:t>
      </w:r>
      <w:r>
        <w:rPr>
          <w:i/>
          <w:iCs/>
          <w:lang w:bidi="ar-SA"/>
        </w:rPr>
        <w:t xml:space="preserve"> </w:t>
      </w:r>
      <w:r>
        <w:rPr>
          <w:lang w:bidi="ar-SA"/>
        </w:rPr>
        <w:t xml:space="preserve"> </w:t>
      </w:r>
    </w:p>
  </w:footnote>
  <w:footnote w:id="184">
    <w:p w14:paraId="321F71C0" w14:textId="77777777" w:rsidR="006A7C83" w:rsidRDefault="006A7C83" w:rsidP="006A7C83">
      <w:pPr>
        <w:pStyle w:val="FootnoteTxtNewParag"/>
        <w:bidi w:val="0"/>
        <w:rPr>
          <w:rtl/>
          <w:lang w:bidi="ar-SA"/>
        </w:rPr>
      </w:pPr>
      <w:r>
        <w:rPr>
          <w:rStyle w:val="FootnoteReference"/>
          <w:rFonts w:hint="cs"/>
          <w:sz w:val="26"/>
          <w:szCs w:val="24"/>
          <w:rtl/>
        </w:rPr>
        <w:t>4</w:t>
      </w:r>
      <w:r>
        <w:rPr>
          <w:rFonts w:hint="cs"/>
          <w:rtl/>
        </w:rPr>
        <w:t xml:space="preserve"> </w:t>
      </w:r>
      <w:r>
        <w:t xml:space="preserve">James Muilenburg, “From Criticism and Beyond,” </w:t>
      </w:r>
      <w:r>
        <w:rPr>
          <w:i/>
          <w:iCs/>
        </w:rPr>
        <w:t xml:space="preserve">Journal of Biblical Literature </w:t>
      </w:r>
      <w:r>
        <w:t>88 (March 1969): 1-18.</w:t>
      </w:r>
    </w:p>
    <w:p w14:paraId="7B5B8F5D" w14:textId="77777777" w:rsidR="006A7C83" w:rsidRDefault="006A7C83" w:rsidP="006A7C83">
      <w:pPr>
        <w:pStyle w:val="FootnoteTxtNewParag"/>
        <w:rPr>
          <w:rtl/>
        </w:rPr>
      </w:pPr>
      <w:r>
        <w:rPr>
          <w:rFonts w:hint="cs"/>
          <w:szCs w:val="22"/>
          <w:rtl/>
        </w:rPr>
        <w:t xml:space="preserve">كتب آلان بي. روس مقدّمة مفيدة من منظور إنجيلي بعنوان: </w:t>
      </w:r>
      <w:r>
        <w:rPr>
          <w:lang w:bidi="ar-SA"/>
        </w:rPr>
        <w:t>Literary Analyses of the Text, “</w:t>
      </w:r>
      <w:r>
        <w:rPr>
          <w:i/>
          <w:iCs/>
          <w:lang w:bidi="ar-SA"/>
        </w:rPr>
        <w:t>Exegesis and Exposition</w:t>
      </w:r>
      <w:r>
        <w:rPr>
          <w:lang w:bidi="ar-SA"/>
        </w:rPr>
        <w:t xml:space="preserve"> (Fall 1986): 5-17.</w:t>
      </w:r>
      <w:r>
        <w:rPr>
          <w:i/>
          <w:iCs/>
          <w:lang w:bidi="ar-SA"/>
        </w:rPr>
        <w:t xml:space="preserve"> </w:t>
      </w:r>
      <w:r>
        <w:rPr>
          <w:rFonts w:hint="cs"/>
          <w:szCs w:val="22"/>
          <w:rtl/>
        </w:rPr>
        <w:t xml:space="preserve">  </w:t>
      </w:r>
      <w:r>
        <w:rPr>
          <w:i/>
          <w:iCs/>
          <w:lang w:bidi="ar-SA"/>
        </w:rPr>
        <w:t xml:space="preserve">  </w:t>
      </w:r>
      <w:r>
        <w:rPr>
          <w:lang w:bidi="ar-SA"/>
        </w:rPr>
        <w:t xml:space="preserve"> </w:t>
      </w:r>
    </w:p>
  </w:footnote>
  <w:footnote w:id="185">
    <w:p w14:paraId="0297E0F8" w14:textId="77777777" w:rsidR="006A7C83" w:rsidRDefault="006A7C83" w:rsidP="006A7C83">
      <w:pPr>
        <w:pStyle w:val="FootnoteTxtNewParag"/>
        <w:rPr>
          <w:rtl/>
        </w:rPr>
      </w:pPr>
      <w:r>
        <w:rPr>
          <w:rStyle w:val="FootnoteReference"/>
          <w:rFonts w:hint="cs"/>
          <w:sz w:val="26"/>
          <w:szCs w:val="24"/>
          <w:rtl/>
        </w:rPr>
        <w:t>5</w:t>
      </w:r>
      <w:r>
        <w:rPr>
          <w:rFonts w:hint="cs"/>
          <w:rtl/>
        </w:rPr>
        <w:t xml:space="preserve"> انظر أيضاً </w:t>
      </w:r>
      <w:r>
        <w:t>Tanner, “Textual Patterning, “74-85”.</w:t>
      </w:r>
      <w:r>
        <w:rPr>
          <w:rFonts w:hint="cs"/>
          <w:rtl/>
        </w:rPr>
        <w:t xml:space="preserve"> وانظر أيضاً </w:t>
      </w:r>
      <w:r>
        <w:t xml:space="preserve">H. Van Dyke Parunak, “Oral Typesetting: Some Uses of Biblical Structure,” </w:t>
      </w:r>
      <w:r w:rsidRPr="00CF223F">
        <w:rPr>
          <w:i/>
          <w:iCs/>
        </w:rPr>
        <w:t>Biblica</w:t>
      </w:r>
      <w:r>
        <w:t xml:space="preserve"> 62 (1981): 153-68. </w:t>
      </w:r>
    </w:p>
  </w:footnote>
  <w:footnote w:id="186">
    <w:p w14:paraId="179E3914" w14:textId="77777777" w:rsidR="006A7C83" w:rsidRDefault="006A7C83" w:rsidP="006A7C83">
      <w:pPr>
        <w:pStyle w:val="FootnoteTxtNewParag"/>
        <w:rPr>
          <w:rtl/>
        </w:rPr>
      </w:pPr>
      <w:r>
        <w:rPr>
          <w:rStyle w:val="FootnoteReference"/>
          <w:rFonts w:hint="cs"/>
          <w:sz w:val="26"/>
          <w:szCs w:val="24"/>
          <w:rtl/>
        </w:rPr>
        <w:t>6</w:t>
      </w:r>
      <w:r>
        <w:rPr>
          <w:rFonts w:hint="cs"/>
          <w:rtl/>
        </w:rPr>
        <w:t xml:space="preserve"> لقد تم إثبات هذا مثلاً على يد </w:t>
      </w:r>
      <w:r>
        <w:t xml:space="preserve">John H. Stek, “The Bee and the Mountain Goat: A Literary Reading of Judges 4, in </w:t>
      </w:r>
      <w:r>
        <w:rPr>
          <w:i/>
          <w:iCs/>
        </w:rPr>
        <w:t xml:space="preserve">A Tribute to Gleason Archer, </w:t>
      </w:r>
      <w:r>
        <w:t xml:space="preserve">ed. Walter C. Kaiser, Jr. and Ronald F. Younghood (Chicago Moody, 1986), 53-86. </w:t>
      </w:r>
    </w:p>
  </w:footnote>
  <w:footnote w:id="187">
    <w:p w14:paraId="2C006379" w14:textId="77777777" w:rsidR="006A7C83" w:rsidRDefault="006A7C83" w:rsidP="006A7C83">
      <w:pPr>
        <w:pStyle w:val="FootnoteTxtNewParag"/>
        <w:rPr>
          <w:rtl/>
        </w:rPr>
      </w:pPr>
      <w:r>
        <w:rPr>
          <w:rStyle w:val="FootnoteReference"/>
          <w:rFonts w:hint="cs"/>
          <w:sz w:val="26"/>
          <w:szCs w:val="24"/>
          <w:rtl/>
        </w:rPr>
        <w:t>7</w:t>
      </w:r>
      <w:r>
        <w:rPr>
          <w:rFonts w:hint="cs"/>
          <w:rtl/>
        </w:rPr>
        <w:t xml:space="preserve"> كُتبت عدّة مقالات حول هذا الموضوع، لكن في ما يلي بعضاً من أكثرها فائدة: </w:t>
      </w:r>
      <w:r>
        <w:t xml:space="preserve">Fokkleman, </w:t>
      </w:r>
      <w:r>
        <w:rPr>
          <w:i/>
          <w:iCs/>
        </w:rPr>
        <w:t xml:space="preserve">Narrative Art in Genesis: Specimens of Structural and Stylistic Analysis </w:t>
      </w:r>
      <w:r>
        <w:t xml:space="preserve">(Assen-Amsterdam: Van Gorcum, 1975); Jared J. Jackson and Martin Kessler, eds., Rhetorical Criticism: </w:t>
      </w:r>
      <w:r>
        <w:rPr>
          <w:i/>
          <w:iCs/>
        </w:rPr>
        <w:t>Essays in Honor of James Muilenberg</w:t>
      </w:r>
      <w:r>
        <w:t xml:space="preserve">, Pitsburgh Theological Monograph Series I (Pitsburgh: Pickwick, 1974): and Allen P. Ross, “The Description of the Nations in Genesis 11: 1-9,” </w:t>
      </w:r>
      <w:r>
        <w:rPr>
          <w:i/>
          <w:iCs/>
        </w:rPr>
        <w:t>Bibliotheca Sacra</w:t>
      </w:r>
      <w:r>
        <w:t xml:space="preserve"> 138 (1981): 119-38.     </w:t>
      </w:r>
    </w:p>
  </w:footnote>
  <w:footnote w:id="188">
    <w:p w14:paraId="25F4F412" w14:textId="77777777" w:rsidR="006A7C83" w:rsidRDefault="006A7C83" w:rsidP="006A7C83">
      <w:pPr>
        <w:pStyle w:val="FootnoteTxtNewParag"/>
      </w:pPr>
      <w:r>
        <w:rPr>
          <w:rStyle w:val="FootnoteReference"/>
          <w:rFonts w:hint="cs"/>
          <w:sz w:val="26"/>
          <w:szCs w:val="24"/>
          <w:rtl/>
        </w:rPr>
        <w:t>8</w:t>
      </w:r>
      <w:r>
        <w:rPr>
          <w:rFonts w:hint="cs"/>
          <w:rtl/>
        </w:rPr>
        <w:t xml:space="preserve"> من أجل نقاش فنّي واسع وإقامة الأدلة على أساس تحديد المشاهد والنقْلات، انظر  </w:t>
      </w:r>
      <w:r>
        <w:t>Tanner, “Textual Patterning,” 91-116.</w:t>
      </w:r>
    </w:p>
  </w:footnote>
  <w:footnote w:id="189">
    <w:p w14:paraId="41442B95" w14:textId="77777777" w:rsidR="006A7C83" w:rsidRDefault="006A7C83" w:rsidP="006A7C83">
      <w:pPr>
        <w:pStyle w:val="FootnoteTxt"/>
      </w:pPr>
      <w:r>
        <w:rPr>
          <w:rStyle w:val="FootnoteReference"/>
          <w:rFonts w:hint="cs"/>
          <w:sz w:val="26"/>
          <w:szCs w:val="24"/>
          <w:rtl/>
        </w:rPr>
        <w:t>9</w:t>
      </w:r>
      <w:r>
        <w:rPr>
          <w:rFonts w:hint="cs"/>
          <w:rtl/>
        </w:rPr>
        <w:t xml:space="preserve"> المشهد حادثة ضمن القصة الكلّية هي في حد ذاتها كاملة.  وقد يتألف المشهد من فقرة واحدة أو أكثر، وقد يتّصل بمشاهد أخرى لتشكيل قسم أكبر، انظر </w:t>
      </w:r>
      <w:r>
        <w:t xml:space="preserve">J. Cheryl Exum, “Aspects of Symmetry and Balance in the Samson Saga,” </w:t>
      </w:r>
      <w:r>
        <w:rPr>
          <w:i/>
          <w:iCs/>
        </w:rPr>
        <w:t>Journal for the Study of the Old Testament</w:t>
      </w:r>
      <w:r>
        <w:t xml:space="preserve"> 19 (1981): 12. </w:t>
      </w:r>
    </w:p>
  </w:footnote>
  <w:footnote w:id="190">
    <w:p w14:paraId="6F48D32F" w14:textId="055110B9" w:rsidR="006A7C83" w:rsidRDefault="006A7C83" w:rsidP="006A7C83">
      <w:pPr>
        <w:pStyle w:val="FootnoteTxtNewParag"/>
        <w:rPr>
          <w:i/>
          <w:iCs/>
        </w:rPr>
      </w:pPr>
      <w:r>
        <w:rPr>
          <w:rStyle w:val="FootnoteReference"/>
          <w:rFonts w:hint="cs"/>
          <w:sz w:val="26"/>
          <w:szCs w:val="24"/>
          <w:rtl/>
        </w:rPr>
        <w:t>1</w:t>
      </w:r>
      <w:r>
        <w:rPr>
          <w:rFonts w:hint="cs"/>
          <w:sz w:val="26"/>
          <w:szCs w:val="24"/>
          <w:vertAlign w:val="superscript"/>
          <w:rtl/>
        </w:rPr>
        <w:t>0</w:t>
      </w:r>
      <w:r>
        <w:rPr>
          <w:rFonts w:hint="cs"/>
          <w:rtl/>
        </w:rPr>
        <w:t xml:space="preserve"> أنا مدين لـ </w:t>
      </w:r>
      <w:r>
        <w:rPr>
          <w:lang w:bidi="ar-SA"/>
        </w:rPr>
        <w:t xml:space="preserve">D. W. Gooding, The Composition of the Book of Judges,” </w:t>
      </w:r>
      <w:r>
        <w:rPr>
          <w:i/>
          <w:iCs/>
          <w:lang w:bidi="ar-SA"/>
        </w:rPr>
        <w:t>Eretz Israel</w:t>
      </w:r>
      <w:r>
        <w:rPr>
          <w:lang w:bidi="ar-SA"/>
        </w:rPr>
        <w:t xml:space="preserve"> 16 (1982): 70-79.</w:t>
      </w:r>
      <w:r>
        <w:rPr>
          <w:rFonts w:hint="cs"/>
          <w:rtl/>
        </w:rPr>
        <w:t xml:space="preserve"> بتحديد هذا المخطط الكلّي (على الرغم من أني اختلف معه حول فهمه لبنية رواية جدعون). من</w:t>
      </w:r>
      <w:r>
        <w:t xml:space="preserve"> </w:t>
      </w:r>
      <w:r>
        <w:rPr>
          <w:rFonts w:hint="cs"/>
          <w:rtl/>
        </w:rPr>
        <w:t xml:space="preserve">أجل التوسع في مسألة المواضيع والأفكار المتوازية، انظر </w:t>
      </w:r>
      <w:r>
        <w:t xml:space="preserve">Barry G. Webb, </w:t>
      </w:r>
      <w:r>
        <w:rPr>
          <w:i/>
          <w:iCs/>
        </w:rPr>
        <w:t>The Book of Judges:</w:t>
      </w:r>
      <w:r>
        <w:t xml:space="preserve"> </w:t>
      </w:r>
      <w:r>
        <w:rPr>
          <w:i/>
          <w:iCs/>
        </w:rPr>
        <w:t>An Integrated reading</w:t>
      </w:r>
      <w:r>
        <w:t>, JSOT Supplement Series 46 (Sheffield: JSOT Press, 1987).</w:t>
      </w:r>
      <w:r>
        <w:rPr>
          <w:i/>
          <w:iCs/>
        </w:rPr>
        <w:t xml:space="preserve"> </w:t>
      </w:r>
    </w:p>
  </w:footnote>
  <w:footnote w:id="191">
    <w:p w14:paraId="57DAAD08" w14:textId="77777777" w:rsidR="006A7C83" w:rsidRDefault="006A7C83" w:rsidP="006A7C83">
      <w:pPr>
        <w:pStyle w:val="FootnoteTxtNewParag"/>
        <w:rPr>
          <w:lang w:bidi="ar-SA"/>
        </w:rPr>
      </w:pPr>
      <w:r>
        <w:rPr>
          <w:rStyle w:val="FootnoteReference"/>
          <w:rFonts w:hint="cs"/>
          <w:sz w:val="26"/>
          <w:szCs w:val="24"/>
          <w:rtl/>
        </w:rPr>
        <w:t>1</w:t>
      </w:r>
      <w:r>
        <w:rPr>
          <w:rFonts w:hint="cs"/>
          <w:szCs w:val="24"/>
          <w:vertAlign w:val="superscript"/>
          <w:rtl/>
        </w:rPr>
        <w:t>1</w:t>
      </w:r>
      <w:r>
        <w:rPr>
          <w:rFonts w:hint="cs"/>
          <w:rtl/>
        </w:rPr>
        <w:t xml:space="preserve"> لتصوّر مختلف عن بنية سفر القضاة، انظر </w:t>
      </w:r>
      <w:r>
        <w:t xml:space="preserve">Dale Summer Dewitt, “The Jephthah Traditions: A Rhetorical and Literary Study in the Deuteronomistic History” (PhD diss, Andrews University, 1987).  </w:t>
      </w:r>
      <w:r>
        <w:rPr>
          <w:rFonts w:hint="cs"/>
          <w:rtl/>
        </w:rPr>
        <w:t xml:space="preserve"> يجعل دِيْوِت رواية يفتاح مركزاً للسفر.  ويعود أحد أسباب ذلك إلى قائمة "القضاة الثانويين" الذين يؤطّرون رواية جدعون. لنقاش حول هذا الرأي ودحضه، انظر مقالتي: </w:t>
      </w:r>
      <w:r>
        <w:t>“</w:t>
      </w:r>
      <w:r>
        <w:rPr>
          <w:lang w:bidi="ar-SA"/>
        </w:rPr>
        <w:t xml:space="preserve">Texual Patterning,” 222-28). </w:t>
      </w:r>
      <w:r>
        <w:rPr>
          <w:rFonts w:hint="cs"/>
          <w:rtl/>
          <w:lang w:bidi="ar-SA"/>
        </w:rPr>
        <w:t xml:space="preserve"> </w:t>
      </w:r>
    </w:p>
  </w:footnote>
  <w:footnote w:id="192">
    <w:p w14:paraId="7B2CE897" w14:textId="77777777" w:rsidR="006A7C83" w:rsidRDefault="006A7C83" w:rsidP="006A7C83">
      <w:pPr>
        <w:pStyle w:val="FootnoteTxtNewParag"/>
        <w:rPr>
          <w:lang w:bidi="ar-SA"/>
        </w:rPr>
      </w:pPr>
      <w:r>
        <w:rPr>
          <w:rStyle w:val="FootnoteReference"/>
          <w:rFonts w:hint="cs"/>
          <w:sz w:val="26"/>
          <w:szCs w:val="24"/>
          <w:rtl/>
        </w:rPr>
        <w:t>1</w:t>
      </w:r>
      <w:r>
        <w:rPr>
          <w:rFonts w:hint="cs"/>
          <w:sz w:val="26"/>
          <w:szCs w:val="24"/>
          <w:vertAlign w:val="superscript"/>
          <w:rtl/>
        </w:rPr>
        <w:t>2</w:t>
      </w:r>
      <w:r>
        <w:rPr>
          <w:rFonts w:hint="cs"/>
          <w:rtl/>
        </w:rPr>
        <w:t xml:space="preserve"> من أجل تحليل مفصَّل لقضاة 6-8، انظر </w:t>
      </w:r>
      <w:r>
        <w:rPr>
          <w:lang w:bidi="ar-SA"/>
        </w:rPr>
        <w:t xml:space="preserve">Tanner, “Texual Patterning,” 147-99, </w:t>
      </w:r>
    </w:p>
  </w:footnote>
  <w:footnote w:id="193">
    <w:p w14:paraId="04E3DD26" w14:textId="77777777" w:rsidR="006A7C83" w:rsidRDefault="006A7C83" w:rsidP="006A7C83">
      <w:pPr>
        <w:pStyle w:val="FootnoteTxtNewParag"/>
        <w:rPr>
          <w:rtl/>
        </w:rPr>
      </w:pPr>
      <w:r>
        <w:rPr>
          <w:rStyle w:val="FootnoteReference"/>
          <w:rFonts w:hint="cs"/>
          <w:sz w:val="26"/>
          <w:szCs w:val="24"/>
          <w:rtl/>
        </w:rPr>
        <w:t>1</w:t>
      </w:r>
      <w:r>
        <w:rPr>
          <w:rFonts w:hint="cs"/>
          <w:sz w:val="26"/>
          <w:szCs w:val="24"/>
          <w:vertAlign w:val="superscript"/>
          <w:rtl/>
        </w:rPr>
        <w:t>3</w:t>
      </w:r>
      <w:r>
        <w:rPr>
          <w:rFonts w:hint="cs"/>
          <w:rtl/>
        </w:rPr>
        <w:t xml:space="preserve"> من أجل التوثيق، انظر </w:t>
      </w:r>
      <w:r>
        <w:rPr>
          <w:lang w:bidi="ar-SA"/>
        </w:rPr>
        <w:t>Tanner, “Texual Patterning,” 188-99.</w:t>
      </w:r>
    </w:p>
  </w:footnote>
  <w:footnote w:id="194">
    <w:p w14:paraId="34A7AAAF" w14:textId="77777777" w:rsidR="006A7C83" w:rsidRDefault="006A7C83" w:rsidP="006A7C83">
      <w:pPr>
        <w:pStyle w:val="FootnoteTxtNewParag"/>
      </w:pPr>
      <w:r>
        <w:rPr>
          <w:rStyle w:val="FootnoteReference"/>
          <w:rFonts w:hint="cs"/>
          <w:sz w:val="26"/>
          <w:szCs w:val="24"/>
          <w:rtl/>
        </w:rPr>
        <w:t>1</w:t>
      </w:r>
      <w:r>
        <w:rPr>
          <w:rFonts w:hint="cs"/>
          <w:sz w:val="26"/>
          <w:szCs w:val="24"/>
          <w:vertAlign w:val="superscript"/>
          <w:rtl/>
        </w:rPr>
        <w:t>4</w:t>
      </w:r>
      <w:r>
        <w:rPr>
          <w:rFonts w:hint="cs"/>
          <w:rtl/>
        </w:rPr>
        <w:t xml:space="preserve"> لاحظ جوبلنغ أيضاً أن منصب القاضي يبدو إيجابياً في أول الأمر، لكنه يزداد سلبية مع مرور الزمن.  "يبدأ القسم مصوِّراً نظام القضاة في حالة سليمة وفاعلة (عثنيئيل).  ومع الانحراف المتزايد يسمح لعيوب النظام بالظهور، إذ لا يلبّي حكم القضاة التوقعات" </w:t>
      </w:r>
      <w:r>
        <w:rPr>
          <w:lang w:bidi="ar-SA"/>
        </w:rPr>
        <w:t>(</w:t>
      </w:r>
      <w:r>
        <w:rPr>
          <w:i/>
          <w:iCs/>
          <w:lang w:bidi="ar-SA"/>
        </w:rPr>
        <w:t xml:space="preserve">The Sense of Biblical Narrative: Structural Analyses in the Hebrew Bible II, </w:t>
      </w:r>
      <w:r w:rsidRPr="00D111EB">
        <w:rPr>
          <w:lang w:bidi="ar-SA"/>
        </w:rPr>
        <w:t>60</w:t>
      </w:r>
      <w:r>
        <w:rPr>
          <w:lang w:bidi="ar-SA"/>
        </w:rPr>
        <w:t>).</w:t>
      </w:r>
      <w:r>
        <w:rPr>
          <w:rFonts w:hint="cs"/>
          <w:rtl/>
        </w:rPr>
        <w:t xml:space="preserve"> ثم يورد جوبلنغ أربعة أدلّة على هذا المنحى السلبي.  ويلاحظ أيضاً تشريل إكْسَم أن كل القضاة ما عدا عثنيئيل لا يصلحون أبطالاً حقيقيين، وأن بعض هؤلاء القادة يظهرون سلوكاً مشكوكاً فيه. </w:t>
      </w:r>
      <w:r>
        <w:t xml:space="preserve">(“The Center Cannot Hold: Thematic and Texual </w:t>
      </w:r>
      <w:r>
        <w:rPr>
          <w:rFonts w:hint="cs"/>
          <w:rtl/>
        </w:rPr>
        <w:t xml:space="preserve"> </w:t>
      </w:r>
      <w:r>
        <w:t>Instabilities in Judges,” Catholic</w:t>
      </w:r>
      <w:r>
        <w:rPr>
          <w:i/>
          <w:iCs/>
        </w:rPr>
        <w:t xml:space="preserve"> Biblical Quarterly </w:t>
      </w:r>
      <w:r>
        <w:t xml:space="preserve">52 [July 1990]: 412).  Cf. Webb, </w:t>
      </w:r>
      <w:r>
        <w:rPr>
          <w:i/>
          <w:iCs/>
        </w:rPr>
        <w:t>The Book of Judges: An Integrated Reading</w:t>
      </w:r>
      <w:r>
        <w:t>, 157-58, 170-71.</w:t>
      </w:r>
    </w:p>
  </w:footnote>
  <w:footnote w:id="195">
    <w:p w14:paraId="1F4BD80A" w14:textId="77777777" w:rsidR="006A7C83" w:rsidRDefault="006A7C83" w:rsidP="006A7C83">
      <w:pPr>
        <w:pStyle w:val="FootnoteTxtNewParag"/>
        <w:rPr>
          <w:rtl/>
        </w:rPr>
      </w:pPr>
      <w:r>
        <w:rPr>
          <w:rStyle w:val="FootnoteReference"/>
          <w:rFonts w:hint="cs"/>
          <w:sz w:val="26"/>
          <w:szCs w:val="24"/>
          <w:rtl/>
        </w:rPr>
        <w:t>1</w:t>
      </w:r>
      <w:r>
        <w:rPr>
          <w:rFonts w:hint="cs"/>
          <w:sz w:val="26"/>
          <w:szCs w:val="24"/>
          <w:vertAlign w:val="superscript"/>
          <w:rtl/>
        </w:rPr>
        <w:t>5</w:t>
      </w:r>
      <w:r>
        <w:rPr>
          <w:rFonts w:hint="cs"/>
          <w:rtl/>
        </w:rPr>
        <w:t xml:space="preserve"> من الواضح أن أبيمالك استثناء، حيث إنه لم ينقذ بني إسرائيل من قوة أجنبية.  غير أنه يبين، بصفته قائداً، مخاطر السلالة الملكية عندما توضع القوّة والنفوذ بين يدي فرد غير تقي. </w:t>
      </w:r>
    </w:p>
  </w:footnote>
  <w:footnote w:id="196">
    <w:p w14:paraId="3BABB0A7" w14:textId="77777777" w:rsidR="006A7C83" w:rsidRDefault="006A7C83" w:rsidP="006A7C83">
      <w:pPr>
        <w:pStyle w:val="FootnoteTxtNewParag"/>
        <w:rPr>
          <w:rtl/>
          <w:lang w:bidi="ar-SA"/>
        </w:rPr>
      </w:pPr>
      <w:r>
        <w:rPr>
          <w:rStyle w:val="FootnoteReference"/>
          <w:rFonts w:hint="cs"/>
          <w:sz w:val="26"/>
          <w:szCs w:val="24"/>
          <w:rtl/>
        </w:rPr>
        <w:t>1</w:t>
      </w:r>
      <w:r>
        <w:rPr>
          <w:rFonts w:hint="cs"/>
          <w:sz w:val="26"/>
          <w:szCs w:val="24"/>
          <w:vertAlign w:val="superscript"/>
          <w:rtl/>
        </w:rPr>
        <w:t>6</w:t>
      </w:r>
      <w:r>
        <w:rPr>
          <w:rFonts w:hint="cs"/>
          <w:rtl/>
        </w:rPr>
        <w:t xml:space="preserve"> قدّم إِكْسَم ملاحظة مشابهة: "على الرغم من عدم وجود نمط تدرّجي بشكل سلس، إلا أننا نجد نقطة تحوّل في رواية جدعون.  ويكشف جدعون والشخصيات الهامّة التي تليه نقاط ضعف مزعجة، إن لم يكشفوا عيوب خطيرة فيهم".</w:t>
      </w:r>
      <w:r>
        <w:rPr>
          <w:rFonts w:hint="cs"/>
          <w:rtl/>
          <w:lang w:bidi="ar-SA"/>
        </w:rPr>
        <w:t xml:space="preserve"> </w:t>
      </w:r>
      <w:r>
        <w:rPr>
          <w:lang w:bidi="ar-SA"/>
        </w:rPr>
        <w:t>(“The Center Cannot Hold: Thematic and Texual Instabilities in Judges,” 412).</w:t>
      </w:r>
      <w:r>
        <w:rPr>
          <w:rFonts w:hint="cs"/>
          <w:rtl/>
          <w:lang w:bidi="ar-SA"/>
        </w:rPr>
        <w:t xml:space="preserve"> </w:t>
      </w:r>
      <w:r>
        <w:rPr>
          <w:rFonts w:hint="cs"/>
          <w:sz w:val="22"/>
          <w:rtl/>
        </w:rPr>
        <w:t>وقد بيّن ل. جـ. ستون في الفصل السابع من أطروحته كيف أن القضاة الذين خلفوا عثنيئيل، بالمقارنة مع رواية عثنيئيل، يشكّلون انحطاطاً أو انحداراً واضحاً من ثلاث خطوات عن القضاة المنتصرين (3: 12-5: 31) من خلال شخصية انتقالية، جدعون (16-8: 28)، إلى القضاة "المأساويين" (10: 6-16: 31) (انظر</w:t>
      </w:r>
      <w:r>
        <w:rPr>
          <w:rFonts w:hint="cs"/>
          <w:sz w:val="22"/>
          <w:rtl/>
          <w:lang w:bidi="ar-SA"/>
        </w:rPr>
        <w:t xml:space="preserve"> </w:t>
      </w:r>
      <w:r>
        <w:rPr>
          <w:lang w:bidi="ar-SA"/>
        </w:rPr>
        <w:t xml:space="preserve">Abstract of “From Tribal Confederation to Monarch State: The Editorial Perspective of the Book of Judges” (PhD diss., Yale University, 1988]).  </w:t>
      </w:r>
    </w:p>
  </w:footnote>
  <w:footnote w:id="197">
    <w:p w14:paraId="44A4D946" w14:textId="77777777" w:rsidR="006A7C83" w:rsidRDefault="006A7C83" w:rsidP="006A7C83">
      <w:pPr>
        <w:pStyle w:val="FootnoteTxtNewParag"/>
        <w:rPr>
          <w:rtl/>
          <w:lang w:bidi="ar-SA"/>
        </w:rPr>
      </w:pPr>
      <w:r>
        <w:rPr>
          <w:rStyle w:val="FootnoteReference"/>
          <w:rFonts w:hint="cs"/>
          <w:sz w:val="26"/>
          <w:szCs w:val="24"/>
          <w:rtl/>
        </w:rPr>
        <w:t>1</w:t>
      </w:r>
      <w:r>
        <w:rPr>
          <w:rFonts w:hint="cs"/>
          <w:sz w:val="26"/>
          <w:szCs w:val="24"/>
          <w:vertAlign w:val="superscript"/>
          <w:rtl/>
        </w:rPr>
        <w:t>7</w:t>
      </w:r>
      <w:r>
        <w:rPr>
          <w:rFonts w:hint="cs"/>
          <w:rtl/>
        </w:rPr>
        <w:t xml:space="preserve"> تشكّل رواية أبيمالك استثناء نوعاً ما لهذا المنحنى، على الرغم من أن هذا المبدأ ما يزال صحيحاً إذا أدركنا أن أبيمالك، بمعنى ما، امتداد لرواية جدعون.</w:t>
      </w:r>
    </w:p>
  </w:footnote>
  <w:footnote w:id="198">
    <w:p w14:paraId="03302DC5" w14:textId="77777777" w:rsidR="006A7C83" w:rsidRDefault="006A7C83" w:rsidP="006A7C83">
      <w:pPr>
        <w:pStyle w:val="FootnoteTxtNewParag"/>
        <w:rPr>
          <w:rtl/>
        </w:rPr>
      </w:pPr>
      <w:r>
        <w:rPr>
          <w:rStyle w:val="FootnoteReference"/>
          <w:rFonts w:hint="cs"/>
          <w:sz w:val="26"/>
          <w:szCs w:val="24"/>
          <w:rtl/>
        </w:rPr>
        <w:t>1</w:t>
      </w:r>
      <w:r>
        <w:rPr>
          <w:rFonts w:hint="cs"/>
          <w:sz w:val="26"/>
          <w:szCs w:val="24"/>
          <w:vertAlign w:val="superscript"/>
          <w:rtl/>
        </w:rPr>
        <w:t>8</w:t>
      </w:r>
      <w:r>
        <w:rPr>
          <w:rFonts w:hint="cs"/>
          <w:rtl/>
        </w:rPr>
        <w:t xml:space="preserve"> يقول وِب موضحاً النزاع الداخلي الذي حدث تحت ولاية القاضيين جدعون وأبيمالك: "إن جدعون هو أوّل قاضٍ يرفع سيفه على أبناء وطنه" </w:t>
      </w:r>
      <w:r>
        <w:rPr>
          <w:i/>
          <w:iCs/>
          <w:lang w:bidi="ar-SA"/>
        </w:rPr>
        <w:t>The Book of Judges: An Integrated Reading</w:t>
      </w:r>
      <w:r>
        <w:rPr>
          <w:lang w:bidi="ar-SA"/>
        </w:rPr>
        <w:t>, 158).</w:t>
      </w:r>
      <w:r>
        <w:rPr>
          <w:rFonts w:hint="cs"/>
          <w:rtl/>
        </w:rPr>
        <w:t xml:space="preserve"> استمرّت مشكلة الخصام الداخلي التي بدأها جدعون في فترات ولاية القضاة أبيمالك ويفتاح وشمشون.  وعلى الرغم من أن القضاة ليسوا مرتّبين بالضرورة ترتيباً زمنياً، إلاّ أن خاتمة السفر تكشف شدّة المشكلة الداخلية وعِظمها. </w:t>
      </w:r>
    </w:p>
  </w:footnote>
  <w:footnote w:id="199">
    <w:p w14:paraId="6A58A226" w14:textId="77777777" w:rsidR="006A7C83" w:rsidRDefault="006A7C83" w:rsidP="006A7C83">
      <w:pPr>
        <w:pStyle w:val="FootnoteTxtNewParag"/>
        <w:rPr>
          <w:rtl/>
          <w:lang w:bidi="ar-SA"/>
        </w:rPr>
      </w:pPr>
      <w:r>
        <w:rPr>
          <w:rStyle w:val="FootnoteReference"/>
          <w:rFonts w:hint="cs"/>
          <w:sz w:val="26"/>
          <w:szCs w:val="24"/>
          <w:rtl/>
        </w:rPr>
        <w:t>1</w:t>
      </w:r>
      <w:r>
        <w:rPr>
          <w:rFonts w:hint="cs"/>
          <w:sz w:val="26"/>
          <w:szCs w:val="24"/>
          <w:vertAlign w:val="superscript"/>
          <w:rtl/>
        </w:rPr>
        <w:t>9</w:t>
      </w:r>
      <w:r>
        <w:rPr>
          <w:rFonts w:hint="cs"/>
          <w:rtl/>
        </w:rPr>
        <w:t xml:space="preserve"> ويقول بلوك: "على الرغم من عبارة جدعون المتّسمة بالتقوى "لا أتسلط عليكم (لا أحكمكم) (8: 23)، إلاّ أن تصرّفاته هذه كلها توحي بالعكس.  فهو يتصرّف كملك شرقي، وهو وضع يُرى في اسم أبيمالك ("أبي ملك") </w:t>
      </w:r>
      <w:r>
        <w:t xml:space="preserve">(Daniel I. Block, “The Period of the Judges: Religions Disintegration Under Tribal Rule,” </w:t>
      </w:r>
      <w:r>
        <w:rPr>
          <w:i/>
          <w:iCs/>
        </w:rPr>
        <w:t>in Israel’s Apostasy and Restoration</w:t>
      </w:r>
      <w:r>
        <w:t xml:space="preserve">, ed. </w:t>
      </w:r>
      <w:r>
        <w:rPr>
          <w:lang w:bidi="ar-SA"/>
        </w:rPr>
        <w:t>Abraham Gilead; [Grand Rapids: Baker, 1988], 50).</w:t>
      </w:r>
      <w:r>
        <w:rPr>
          <w:rFonts w:hint="cs"/>
          <w:rtl/>
        </w:rPr>
        <w:t xml:space="preserve"> لمزيد من النقاش حول العنصر الملكي، انظر </w:t>
      </w:r>
      <w:r>
        <w:t xml:space="preserve">Jobling, </w:t>
      </w:r>
      <w:r>
        <w:rPr>
          <w:i/>
          <w:iCs/>
        </w:rPr>
        <w:t xml:space="preserve">The Sense if Biblical Narrative: Structural Analyses in the Hebrew Bible II, </w:t>
      </w:r>
      <w:r>
        <w:t xml:space="preserve">58-87; Arthur E. Cundall, Judges: </w:t>
      </w:r>
      <w:r>
        <w:rPr>
          <w:i/>
          <w:iCs/>
        </w:rPr>
        <w:t xml:space="preserve">An Introduction and Commentary </w:t>
      </w:r>
      <w:r>
        <w:t xml:space="preserve">(Downers Grove, IL: InterVarsity, 1968), 123-24; and Dale Dewitt, “The Jephthah Traditions, “285-309.     </w:t>
      </w:r>
      <w:r>
        <w:rPr>
          <w:i/>
          <w:iCs/>
        </w:rPr>
        <w:t xml:space="preserve"> </w:t>
      </w:r>
      <w:r>
        <w:t xml:space="preserve"> </w:t>
      </w:r>
    </w:p>
  </w:footnote>
  <w:footnote w:id="200">
    <w:p w14:paraId="655185DD" w14:textId="77777777" w:rsidR="006A7C83" w:rsidRDefault="006A7C83" w:rsidP="006A7C83">
      <w:pPr>
        <w:pStyle w:val="FootnoteTxtNewParag"/>
        <w:rPr>
          <w:sz w:val="22"/>
          <w:rtl/>
          <w:lang w:bidi="ar-SA"/>
        </w:rPr>
      </w:pPr>
      <w:r>
        <w:rPr>
          <w:rStyle w:val="FootnoteReference"/>
          <w:rFonts w:hint="cs"/>
          <w:sz w:val="26"/>
          <w:szCs w:val="24"/>
          <w:rtl/>
        </w:rPr>
        <w:t>2</w:t>
      </w:r>
      <w:r>
        <w:rPr>
          <w:rFonts w:hint="cs"/>
          <w:sz w:val="26"/>
          <w:szCs w:val="24"/>
          <w:vertAlign w:val="superscript"/>
          <w:rtl/>
        </w:rPr>
        <w:t>0</w:t>
      </w:r>
      <w:r>
        <w:rPr>
          <w:rFonts w:hint="cs"/>
          <w:rtl/>
        </w:rPr>
        <w:t xml:space="preserve"> إن موضوع الحكم الملكي إسهام قيّم آخر من رواية جدعون في اللاهوت الكلّي لتثنية </w:t>
      </w:r>
      <w:r>
        <w:rPr>
          <w:rtl/>
        </w:rPr>
        <w:t>–</w:t>
      </w:r>
      <w:r>
        <w:rPr>
          <w:rFonts w:hint="cs"/>
          <w:rtl/>
        </w:rPr>
        <w:t xml:space="preserve"> 1صموئيل.  ولا يسد سفر القضاة الثغرة بين عهد موسى </w:t>
      </w:r>
      <w:r>
        <w:rPr>
          <w:rtl/>
        </w:rPr>
        <w:t>–</w:t>
      </w:r>
      <w:r>
        <w:rPr>
          <w:rFonts w:hint="cs"/>
          <w:rtl/>
        </w:rPr>
        <w:t xml:space="preserve"> يشوع وترسيخ الحكم الملكي في 1صموئيل 8: 12 فحسب، لكن يبدو أيضاًُ أن سفر القضاة يتوقّع مجيء الحكم الملكي.  يقول جوبلينغ: "تظهر الملكية بوضوح متميّز في 1صموئيل 8..... لكن قضاة 6-9 تحمل أهميّة خاصة في ما يتعلّق بهذا الأمر.  لقد قلت إن هذا الجزء من رواية فترة القضاة يقدّم السياق اللاهوتي لظهور الحكم الملكي، حيث تسجّل الأصحاحات التي تتناول جدعون </w:t>
      </w:r>
      <w:r>
        <w:rPr>
          <w:rtl/>
        </w:rPr>
        <w:t>–</w:t>
      </w:r>
      <w:r>
        <w:rPr>
          <w:rFonts w:hint="cs"/>
          <w:rtl/>
        </w:rPr>
        <w:t xml:space="preserve"> أبيمالك فترة سابقة أخذت فيها إسرائيل خيارها التثنوي للسعي إلى إيجاد ملك لها.  توجد هنا إذاً معالجة توقُّعية لموضوع الملكية"</w:t>
      </w:r>
      <w:r>
        <w:rPr>
          <w:rFonts w:hint="cs"/>
          <w:rtl/>
          <w:lang w:bidi="ar-SA"/>
        </w:rPr>
        <w:t xml:space="preserve"> </w:t>
      </w:r>
      <w:r>
        <w:rPr>
          <w:lang w:bidi="ar-SA"/>
        </w:rPr>
        <w:t>(</w:t>
      </w:r>
      <w:r>
        <w:rPr>
          <w:i/>
          <w:iCs/>
          <w:lang w:bidi="ar-SA"/>
        </w:rPr>
        <w:t>The Sense of Biblical Narrative: Structural Analyses in the Hebrew Bible II</w:t>
      </w:r>
      <w:r>
        <w:rPr>
          <w:lang w:bidi="ar-SA"/>
        </w:rPr>
        <w:t>, 66-67).</w:t>
      </w:r>
      <w:r>
        <w:rPr>
          <w:rFonts w:hint="cs"/>
          <w:rtl/>
          <w:lang w:bidi="ar-SA"/>
        </w:rPr>
        <w:t xml:space="preserve"> </w:t>
      </w:r>
      <w:r>
        <w:rPr>
          <w:rFonts w:hint="cs"/>
          <w:sz w:val="22"/>
          <w:rtl/>
        </w:rPr>
        <w:t>وإذا كانت فترة القضاة كلّها تحضّرنا بشكل عام لقراءة 1صموئيل 8-12، فإن قضاة 6-9 تقوم بذلك على نحو أكثر تحديداً.  فقد ظهرت الملكية من قبل! وكأن قضاة 6-9 تكيّف قراءتنا لـ 1صموئيل 8-12 مقدّماً.  ولأن قضاة 6-12 لا تقع تحت ضغط تصوير الحكم الملكي بشكل إيجابي، فإنها يمكن أن تستكشف بشكل كامل جوانبه المشكوك فيها "(المرجع السابق، 85).  فإذا كان سفر القضاة يحضّر القرّاء بشكل عام إلى تطوّر الحكم الملكي في 1صموئيل، فإنه لمن المثير جدّاً أن تثار هذه المسألة في رواية جدعون بالذات، والتي تشكّل القسم المركزي من السفر، كما سبق أن رأينا من بنية السفر.</w:t>
      </w:r>
    </w:p>
  </w:footnote>
  <w:footnote w:id="201">
    <w:p w14:paraId="03895C03" w14:textId="77777777" w:rsidR="006A7C83" w:rsidRDefault="006A7C83" w:rsidP="006A7C83">
      <w:pPr>
        <w:pStyle w:val="FootnoteTxtNewParag"/>
        <w:rPr>
          <w:rtl/>
          <w:lang w:bidi="ar-SA"/>
        </w:rPr>
      </w:pPr>
      <w:r>
        <w:rPr>
          <w:rStyle w:val="FootnoteReference"/>
          <w:rFonts w:hint="cs"/>
          <w:sz w:val="26"/>
          <w:szCs w:val="24"/>
          <w:rtl/>
        </w:rPr>
        <w:t>2</w:t>
      </w:r>
      <w:r>
        <w:rPr>
          <w:rFonts w:hint="cs"/>
          <w:sz w:val="26"/>
          <w:szCs w:val="24"/>
          <w:vertAlign w:val="superscript"/>
          <w:rtl/>
        </w:rPr>
        <w:t>1</w:t>
      </w:r>
      <w:r>
        <w:rPr>
          <w:rFonts w:hint="cs"/>
          <w:rtl/>
        </w:rPr>
        <w:t xml:space="preserve"> لاحظ جوبلنغ هذا الأمر أيضاً في سفر القضاة 6-9.  "يتناول هذا القسم جوانب كثيرة من الحكم الملكي مع تنبير خاص على الشرور المحتملة.  وهو يفترض أن الملكية وراثية، ويقول ويلمّح كثيراً حول الوراثة وأنظمتها ومشاكلها.  ومن خلال ما يقال عن كل من جدعون وأبيمالك، تنكشف لنا الأعمال السيئة التي يتميز بها الملوك" (المرجع السابق، 84). </w:t>
      </w:r>
    </w:p>
  </w:footnote>
  <w:footnote w:id="202">
    <w:p w14:paraId="479B81B5" w14:textId="77777777" w:rsidR="006A7C83" w:rsidRDefault="006A7C83" w:rsidP="006A7C83">
      <w:pPr>
        <w:pStyle w:val="FootnoteTxtNewParag"/>
        <w:bidi w:val="0"/>
        <w:rPr>
          <w:rtl/>
        </w:rPr>
      </w:pPr>
      <w:r>
        <w:rPr>
          <w:rStyle w:val="FootnoteReference"/>
          <w:rFonts w:hint="cs"/>
          <w:sz w:val="26"/>
          <w:szCs w:val="24"/>
          <w:rtl/>
        </w:rPr>
        <w:t>2</w:t>
      </w:r>
      <w:r>
        <w:rPr>
          <w:rFonts w:hint="cs"/>
          <w:sz w:val="26"/>
          <w:szCs w:val="24"/>
          <w:vertAlign w:val="superscript"/>
          <w:rtl/>
        </w:rPr>
        <w:t>2</w:t>
      </w:r>
      <w:r>
        <w:rPr>
          <w:rFonts w:hint="cs"/>
          <w:sz w:val="22"/>
          <w:rtl/>
        </w:rPr>
        <w:t xml:space="preserve"> </w:t>
      </w:r>
      <w:r>
        <w:t xml:space="preserve">Block, “The Period of Judges: Religious Disintegration Under Tribal Rule,” 50. </w:t>
      </w:r>
      <w:r>
        <w:rPr>
          <w:rFonts w:hint="cs"/>
          <w:rtl/>
        </w:rPr>
        <w:t xml:space="preserve"> </w:t>
      </w:r>
    </w:p>
  </w:footnote>
  <w:footnote w:id="203">
    <w:p w14:paraId="33CBD372" w14:textId="77777777" w:rsidR="006A7C83" w:rsidRDefault="006A7C83" w:rsidP="006A7C83">
      <w:pPr>
        <w:pStyle w:val="FootnoteTxtNewParag"/>
        <w:rPr>
          <w:rtl/>
          <w:lang w:bidi="ar-SA"/>
        </w:rPr>
      </w:pPr>
      <w:r>
        <w:rPr>
          <w:rStyle w:val="FootnoteReference"/>
          <w:rFonts w:hint="cs"/>
          <w:sz w:val="26"/>
          <w:szCs w:val="24"/>
          <w:rtl/>
        </w:rPr>
        <w:t>2</w:t>
      </w:r>
      <w:r>
        <w:rPr>
          <w:rFonts w:hint="cs"/>
          <w:sz w:val="26"/>
          <w:szCs w:val="24"/>
          <w:vertAlign w:val="superscript"/>
          <w:rtl/>
        </w:rPr>
        <w:t>3</w:t>
      </w:r>
      <w:r>
        <w:rPr>
          <w:rFonts w:hint="cs"/>
          <w:rtl/>
        </w:rPr>
        <w:t xml:space="preserve"> المرجع السابق، 51.</w:t>
      </w:r>
    </w:p>
  </w:footnote>
  <w:footnote w:id="204">
    <w:p w14:paraId="2D7B9C53" w14:textId="77777777" w:rsidR="006A7C83" w:rsidRDefault="006A7C83" w:rsidP="006A7C83">
      <w:pPr>
        <w:pStyle w:val="FootnoteTxtNewParag"/>
        <w:bidi w:val="0"/>
        <w:rPr>
          <w:rtl/>
          <w:lang w:bidi="ar-SA"/>
        </w:rPr>
      </w:pPr>
      <w:r>
        <w:rPr>
          <w:rStyle w:val="FootnoteReference"/>
          <w:rFonts w:hint="cs"/>
          <w:sz w:val="26"/>
          <w:szCs w:val="24"/>
          <w:rtl/>
        </w:rPr>
        <w:t>2</w:t>
      </w:r>
      <w:r>
        <w:rPr>
          <w:rFonts w:hint="cs"/>
          <w:sz w:val="26"/>
          <w:szCs w:val="24"/>
          <w:vertAlign w:val="superscript"/>
          <w:rtl/>
        </w:rPr>
        <w:t>4</w:t>
      </w:r>
      <w:r>
        <w:rPr>
          <w:rFonts w:hint="cs"/>
          <w:rtl/>
        </w:rPr>
        <w:t xml:space="preserve"> </w:t>
      </w:r>
      <w:r>
        <w:t xml:space="preserve">Webb, </w:t>
      </w:r>
      <w:r>
        <w:rPr>
          <w:i/>
          <w:iCs/>
        </w:rPr>
        <w:t>The Book of Judges: An Integrated Reading,</w:t>
      </w:r>
      <w:r>
        <w:t xml:space="preserve"> 179</w:t>
      </w:r>
      <w:r>
        <w:rPr>
          <w:rFonts w:hint="cs"/>
          <w:rtl/>
        </w:rPr>
        <w:t>.</w:t>
      </w:r>
    </w:p>
    <w:p w14:paraId="7A28E2CE" w14:textId="77777777" w:rsidR="006A7C83" w:rsidRDefault="006A7C83" w:rsidP="006A7C83">
      <w:pPr>
        <w:pStyle w:val="FootnoteText"/>
        <w:rPr>
          <w:lang w:bidi="ar-JO"/>
        </w:rPr>
      </w:pPr>
    </w:p>
  </w:footnote>
  <w:footnote w:id="205">
    <w:p w14:paraId="0D92040E" w14:textId="77777777" w:rsidR="006A7C83" w:rsidRDefault="006A7C83" w:rsidP="006A7C83">
      <w:pPr>
        <w:pStyle w:val="FootnoteTxtNewParag"/>
        <w:bidi w:val="0"/>
        <w:rPr>
          <w:rtl/>
          <w:lang w:bidi="ar-SA"/>
        </w:rPr>
      </w:pPr>
      <w:r>
        <w:rPr>
          <w:rStyle w:val="FootnoteReference"/>
          <w:sz w:val="26"/>
          <w:szCs w:val="24"/>
          <w:rtl/>
        </w:rPr>
        <w:footnoteRef/>
      </w:r>
      <w:r>
        <w:t xml:space="preserve"> </w:t>
      </w:r>
      <w:r>
        <w:rPr>
          <w:rFonts w:hint="cs"/>
          <w:rtl/>
        </w:rPr>
        <w:t xml:space="preserve"> </w:t>
      </w:r>
      <w:r>
        <w:t>Exum, “The Center Cannot Hold: Thematic and Textual Instabilities in Judges,” 416</w:t>
      </w:r>
      <w:r>
        <w:rPr>
          <w:rFonts w:hint="cs"/>
          <w:rtl/>
        </w:rPr>
        <w:t>.</w:t>
      </w:r>
    </w:p>
  </w:footnote>
  <w:footnote w:id="206">
    <w:p w14:paraId="35B25372" w14:textId="77777777" w:rsidR="006A7C83" w:rsidRDefault="006A7C83" w:rsidP="006A7C83">
      <w:pPr>
        <w:pStyle w:val="FootnoteTxtNewParag"/>
        <w:bidi w:val="0"/>
      </w:pPr>
      <w:r>
        <w:rPr>
          <w:rStyle w:val="FootnoteReference"/>
          <w:rFonts w:hint="cs"/>
          <w:sz w:val="26"/>
          <w:szCs w:val="24"/>
          <w:rtl/>
        </w:rPr>
        <w:t>2</w:t>
      </w:r>
      <w:r>
        <w:rPr>
          <w:rFonts w:hint="cs"/>
          <w:szCs w:val="24"/>
          <w:vertAlign w:val="superscript"/>
          <w:rtl/>
        </w:rPr>
        <w:t>6</w:t>
      </w:r>
      <w:r>
        <w:rPr>
          <w:rFonts w:hint="cs"/>
          <w:sz w:val="22"/>
          <w:rtl/>
        </w:rPr>
        <w:t xml:space="preserve"> </w:t>
      </w:r>
      <w:r>
        <w:t>Block. “The Period of the Judges: Religious Disintegration Under Tribal Rule,” 52</w:t>
      </w:r>
      <w:r>
        <w:rPr>
          <w:rFonts w:hint="cs"/>
          <w:rtl/>
        </w:rPr>
        <w:t>.</w:t>
      </w:r>
    </w:p>
  </w:footnote>
  <w:footnote w:id="207">
    <w:p w14:paraId="15380566" w14:textId="77777777" w:rsidR="006A7C83" w:rsidRDefault="006A7C83" w:rsidP="006A7C83">
      <w:pPr>
        <w:pStyle w:val="FootnoteTxtNewParag"/>
        <w:rPr>
          <w:i/>
          <w:iCs/>
          <w:lang w:bidi="ar-SA"/>
        </w:rPr>
      </w:pPr>
      <w:r>
        <w:rPr>
          <w:rStyle w:val="FootnoteReference"/>
          <w:rFonts w:hint="cs"/>
          <w:sz w:val="26"/>
          <w:szCs w:val="24"/>
          <w:rtl/>
        </w:rPr>
        <w:t>2</w:t>
      </w:r>
      <w:r>
        <w:rPr>
          <w:rFonts w:hint="cs"/>
          <w:szCs w:val="24"/>
          <w:vertAlign w:val="superscript"/>
          <w:rtl/>
        </w:rPr>
        <w:t>7</w:t>
      </w:r>
      <w:r>
        <w:rPr>
          <w:rFonts w:hint="cs"/>
          <w:rtl/>
        </w:rPr>
        <w:t xml:space="preserve"> يؤكَّد على فكرة الخوف لا بتكرار كلمة </w:t>
      </w:r>
      <w:r>
        <w:rPr>
          <w:rFonts w:ascii="Ezra SIL" w:hAnsi="Ezra SIL" w:cs="Ezra SIL" w:hint="cs"/>
          <w:szCs w:val="18"/>
          <w:rtl/>
          <w:lang w:bidi="he-IL"/>
        </w:rPr>
        <w:t>ירא</w:t>
      </w:r>
      <w:r>
        <w:rPr>
          <w:rFonts w:hint="cs"/>
          <w:rtl/>
        </w:rPr>
        <w:t xml:space="preserve"> فحسب، بل أيضاً بالاستخدام الفريد للكلمة ذات صلة </w:t>
      </w:r>
      <w:r w:rsidRPr="004E5503">
        <w:rPr>
          <w:rFonts w:ascii="Ezra SIL" w:hAnsi="Ezra SIL" w:cs="Ezra SIL"/>
          <w:szCs w:val="18"/>
          <w:rtl/>
          <w:lang w:bidi="he-IL"/>
        </w:rPr>
        <w:t>חרד</w:t>
      </w:r>
      <w:r>
        <w:rPr>
          <w:rFonts w:hint="cs"/>
          <w:rtl/>
        </w:rPr>
        <w:t>.  وفي 7: 3، نجد تعليمات الله لاستبعاد الرجال الخائفين في الكلم</w:t>
      </w:r>
      <w:r>
        <w:rPr>
          <w:rFonts w:hint="cs"/>
          <w:rtl/>
          <w:lang w:bidi="ar-SA"/>
        </w:rPr>
        <w:t>ات</w:t>
      </w:r>
      <w:r>
        <w:rPr>
          <w:rFonts w:hint="cs"/>
          <w:rtl/>
        </w:rPr>
        <w:t xml:space="preserve"> </w:t>
      </w:r>
      <w:r>
        <w:rPr>
          <w:rFonts w:ascii="Ezra SIL" w:hAnsi="Ezra SIL" w:cs="Ezra SIL" w:hint="cs"/>
          <w:szCs w:val="18"/>
          <w:rtl/>
          <w:lang w:bidi="he-IL"/>
        </w:rPr>
        <w:t>מִי־יָרֵא וְחַרֵד יָשֹׁב</w:t>
      </w:r>
      <w:r>
        <w:rPr>
          <w:rFonts w:ascii="Hebrew" w:hAnsi="Hebrew"/>
          <w:lang w:bidi="ar-SA"/>
        </w:rPr>
        <w:t>!</w:t>
      </w:r>
      <w:r>
        <w:rPr>
          <w:rFonts w:hint="cs"/>
          <w:rtl/>
        </w:rPr>
        <w:t xml:space="preserve"> .  وتعني الصفة </w:t>
      </w:r>
      <w:r>
        <w:rPr>
          <w:rFonts w:ascii="Hebrew" w:hAnsi="Hebrew"/>
          <w:lang w:bidi="ar-SA"/>
        </w:rPr>
        <w:t>dr}j*</w:t>
      </w:r>
      <w:r>
        <w:rPr>
          <w:rFonts w:hint="cs"/>
          <w:rtl/>
        </w:rPr>
        <w:t xml:space="preserve"> "مرتعد" من الخوف، مع أن بومان يقول إن التركيز في بناء الجملة يقع على رعب الذعر </w:t>
      </w:r>
      <w:r>
        <w:rPr>
          <w:lang w:bidi="ar-SA"/>
        </w:rPr>
        <w:t>(</w:t>
      </w:r>
      <w:r>
        <w:rPr>
          <w:i/>
          <w:iCs/>
          <w:lang w:bidi="ar-SA"/>
        </w:rPr>
        <w:t>Theological Dictionary of the Old Testament,</w:t>
      </w:r>
      <w:r>
        <w:rPr>
          <w:lang w:bidi="ar-SA"/>
        </w:rPr>
        <w:t xml:space="preserve"> s. v. </w:t>
      </w:r>
      <w:r>
        <w:rPr>
          <w:rFonts w:ascii="Hebrew" w:hAnsi="Hebrew"/>
          <w:lang w:bidi="ar-SA"/>
        </w:rPr>
        <w:t>drj</w:t>
      </w:r>
      <w:r>
        <w:rPr>
          <w:lang w:bidi="ar-SA"/>
        </w:rPr>
        <w:t xml:space="preserve"> by A. Bauman, 5[1986]. 167).</w:t>
      </w:r>
      <w:r>
        <w:rPr>
          <w:rFonts w:hint="cs"/>
          <w:rtl/>
        </w:rPr>
        <w:t xml:space="preserve"> .  تترجم معظم الترجمات هذه العبارة إلى :"من هو خائف ومرتعد، فليرجع"، على الرغم من أن بولنغ يتعامل مع التعبير على أنه يعني "من هو</w:t>
      </w:r>
      <w:r>
        <w:rPr>
          <w:lang w:bidi="ar-SA"/>
        </w:rPr>
        <w:t xml:space="preserve"> </w:t>
      </w:r>
      <w:r>
        <w:rPr>
          <w:rFonts w:hint="cs"/>
          <w:rtl/>
        </w:rPr>
        <w:t xml:space="preserve"> خائف  بكل ما في الكلمة من معنى". </w:t>
      </w:r>
      <w:r>
        <w:t xml:space="preserve">(Robert G. Boling, Judges: </w:t>
      </w:r>
      <w:r>
        <w:rPr>
          <w:i/>
          <w:iCs/>
        </w:rPr>
        <w:t xml:space="preserve">Introduction, Translation, and Commentary, </w:t>
      </w:r>
      <w:r>
        <w:t>Anchor Bible [Garden City, N. Y: Doubleday, 1975, p. 144).</w:t>
      </w:r>
      <w:r>
        <w:rPr>
          <w:rFonts w:hint="cs"/>
          <w:rtl/>
        </w:rPr>
        <w:t xml:space="preserve"> وفي أي من الحالتين، فإنه لا يمكن إغفال الصلة باسم المكان </w:t>
      </w:r>
      <w:r w:rsidRPr="00D46115">
        <w:rPr>
          <w:rFonts w:ascii="Ezra SIL" w:hAnsi="Ezra SIL" w:cs="Ezra SIL" w:hint="cs"/>
          <w:szCs w:val="18"/>
          <w:rtl/>
          <w:lang w:bidi="he-IL"/>
        </w:rPr>
        <w:t>עֵין חֲרֹד</w:t>
      </w:r>
      <w:r>
        <w:rPr>
          <w:rFonts w:ascii="Hebrew" w:hAnsi="Hebrew"/>
        </w:rPr>
        <w:t xml:space="preserve"> @</w:t>
      </w:r>
      <w:r>
        <w:rPr>
          <w:rFonts w:hint="cs"/>
          <w:rtl/>
        </w:rPr>
        <w:t xml:space="preserve"> في 7: 1</w:t>
      </w:r>
      <w:r>
        <w:rPr>
          <w:rFonts w:hint="cs"/>
          <w:rtl/>
          <w:lang w:bidi="ar-SA"/>
        </w:rPr>
        <w:t xml:space="preserve">. كاسم علم يرد </w:t>
      </w:r>
      <w:r w:rsidRPr="00D46115">
        <w:rPr>
          <w:rFonts w:ascii="Ezra SIL" w:hAnsi="Ezra SIL" w:cs="Ezra SIL" w:hint="cs"/>
          <w:szCs w:val="18"/>
          <w:rtl/>
          <w:lang w:bidi="he-IL"/>
        </w:rPr>
        <w:t>חֲרֹד</w:t>
      </w:r>
      <w:r>
        <w:rPr>
          <w:rFonts w:ascii="Hebrew" w:hAnsi="Hebrew"/>
        </w:rPr>
        <w:t xml:space="preserve"> &amp;</w:t>
      </w:r>
      <w:r>
        <w:rPr>
          <w:rFonts w:hint="cs"/>
          <w:rtl/>
        </w:rPr>
        <w:t xml:space="preserve"> مرة واحدة فقط.  ومهما كانت الصلة المعجمية (المتعلقة بالمفردات) بالآية 3 (يترجم بولنغ </w:t>
      </w:r>
      <w:r w:rsidRPr="00D46115">
        <w:rPr>
          <w:rFonts w:ascii="Ezra SIL" w:hAnsi="Ezra SIL" w:cs="Ezra SIL" w:hint="cs"/>
          <w:szCs w:val="18"/>
          <w:rtl/>
          <w:lang w:bidi="he-IL"/>
        </w:rPr>
        <w:t>עֵין חֲרֹד</w:t>
      </w:r>
      <w:r>
        <w:rPr>
          <w:rFonts w:ascii="Hebrew" w:hAnsi="Hebrew"/>
          <w:lang w:bidi="ar-SA"/>
        </w:rPr>
        <w:t xml:space="preserve"> @</w:t>
      </w:r>
      <w:r>
        <w:rPr>
          <w:rFonts w:hint="cs"/>
          <w:rtl/>
        </w:rPr>
        <w:t xml:space="preserve"> إلى "عين حرود" [المرجع السابق، 142])، فإنه يبدو أن </w:t>
      </w:r>
      <w:r>
        <w:rPr>
          <w:rFonts w:hint="cs"/>
          <w:u w:val="single"/>
          <w:rtl/>
        </w:rPr>
        <w:t>الراوي</w:t>
      </w:r>
      <w:r>
        <w:rPr>
          <w:rFonts w:hint="cs"/>
          <w:rtl/>
        </w:rPr>
        <w:t xml:space="preserve"> يقصد التلاعب بالكلمات، أي أن نفس اسم المكان يذكّر القراء بـ "الارتعاد المخيف" الذي جعلهم يتراجعون عن المعركة.  يلاحظ جـ. ر. درايفر التلاعب بالاسم، لكن يرفض فكرة أن </w:t>
      </w:r>
      <w:r w:rsidRPr="00D46115">
        <w:rPr>
          <w:rFonts w:ascii="Ezra SIL" w:hAnsi="Ezra SIL" w:cs="Ezra SIL" w:hint="cs"/>
          <w:szCs w:val="18"/>
          <w:rtl/>
          <w:lang w:bidi="he-IL"/>
        </w:rPr>
        <w:t>עֵין חֲרֹד</w:t>
      </w:r>
      <w:r>
        <w:rPr>
          <w:rFonts w:ascii="Hebrew" w:hAnsi="Hebrew"/>
          <w:lang w:bidi="ar-SA"/>
        </w:rPr>
        <w:t xml:space="preserve"> @</w:t>
      </w:r>
      <w:r>
        <w:rPr>
          <w:rFonts w:hint="cs"/>
          <w:rtl/>
        </w:rPr>
        <w:t xml:space="preserve"> يسمّى بهذا الاسم بسبب إعلان جدعون أن على الخائفين أن يغادروا المكان  </w:t>
      </w:r>
      <w:r>
        <w:t>“</w:t>
      </w:r>
      <w:r>
        <w:rPr>
          <w:lang w:bidi="ar-SA"/>
        </w:rPr>
        <w:t xml:space="preserve">Hebrew Homonyms,” </w:t>
      </w:r>
      <w:r w:rsidRPr="00E0256D">
        <w:rPr>
          <w:i/>
          <w:iCs/>
          <w:lang w:bidi="ar-SA"/>
        </w:rPr>
        <w:t>Vetus</w:t>
      </w:r>
      <w:r>
        <w:rPr>
          <w:lang w:bidi="ar-SA"/>
        </w:rPr>
        <w:t xml:space="preserve"> </w:t>
      </w:r>
      <w:r w:rsidRPr="00E0256D">
        <w:rPr>
          <w:i/>
          <w:iCs/>
          <w:lang w:bidi="ar-SA"/>
        </w:rPr>
        <w:t>Testamentum Supplement</w:t>
      </w:r>
      <w:r>
        <w:rPr>
          <w:lang w:bidi="ar-SA"/>
        </w:rPr>
        <w:t xml:space="preserve"> 16 [1967]: 54-56).</w:t>
      </w:r>
      <w:r>
        <w:rPr>
          <w:rFonts w:hint="cs"/>
          <w:rtl/>
        </w:rPr>
        <w:t xml:space="preserve"> ويقول درايفر أن هنالك ثلاثة أو أربعة أصول مختلفة خلف الفعل العبري </w:t>
      </w:r>
      <w:r w:rsidRPr="00CC00CB">
        <w:rPr>
          <w:rFonts w:ascii="Ezra SIL" w:hAnsi="Ezra SIL" w:cs="Ezra SIL" w:hint="cs"/>
          <w:szCs w:val="18"/>
          <w:rtl/>
          <w:lang w:bidi="he-IL"/>
        </w:rPr>
        <w:t>חרד</w:t>
      </w:r>
      <w:r>
        <w:rPr>
          <w:rFonts w:hint="cs"/>
          <w:rtl/>
        </w:rPr>
        <w:t>.</w:t>
      </w:r>
      <w:r>
        <w:rPr>
          <w:lang w:bidi="ar-SA"/>
        </w:rPr>
        <w:t xml:space="preserve"> </w:t>
      </w:r>
    </w:p>
  </w:footnote>
  <w:footnote w:id="208">
    <w:p w14:paraId="2133CA63" w14:textId="77777777" w:rsidR="006A7C83" w:rsidRDefault="006A7C83" w:rsidP="006A7C83">
      <w:pPr>
        <w:pStyle w:val="FootnoteTxtNewParag"/>
        <w:rPr>
          <w:rtl/>
        </w:rPr>
      </w:pPr>
      <w:r>
        <w:rPr>
          <w:rStyle w:val="FootnoteReference"/>
          <w:rFonts w:hint="cs"/>
          <w:sz w:val="26"/>
          <w:szCs w:val="24"/>
          <w:rtl/>
        </w:rPr>
        <w:t>2</w:t>
      </w:r>
      <w:r>
        <w:rPr>
          <w:rFonts w:hint="cs"/>
          <w:sz w:val="26"/>
          <w:szCs w:val="24"/>
          <w:vertAlign w:val="superscript"/>
          <w:rtl/>
        </w:rPr>
        <w:t>8</w:t>
      </w:r>
      <w:r>
        <w:rPr>
          <w:rFonts w:hint="cs"/>
          <w:rtl/>
        </w:rPr>
        <w:t xml:space="preserve"> يحتوي عنصرا جـ و جـ َ من النمط الموحّد المراكز لـ (6: 33-7: 18) على تكرار لكلمة خوف </w:t>
      </w:r>
      <w:r w:rsidRPr="00D46115">
        <w:rPr>
          <w:rFonts w:ascii="Ezra SIL" w:hAnsi="Ezra SIL" w:cs="Ezra SIL" w:hint="cs"/>
          <w:szCs w:val="18"/>
          <w:rtl/>
          <w:lang w:bidi="he-IL"/>
        </w:rPr>
        <w:t>ירא</w:t>
      </w:r>
      <w:r>
        <w:rPr>
          <w:rFonts w:hint="cs"/>
          <w:rtl/>
        </w:rPr>
        <w:t xml:space="preserve"> من شأنه أن يكشف مشكلة جدعون الشخصية بشكل فنّي رائع.</w:t>
      </w:r>
    </w:p>
  </w:footnote>
  <w:footnote w:id="209">
    <w:p w14:paraId="18494E02" w14:textId="77777777" w:rsidR="006A7C83" w:rsidRDefault="006A7C83" w:rsidP="006A7C83">
      <w:pPr>
        <w:pStyle w:val="FootnoteTxtNewParag"/>
      </w:pPr>
      <w:r>
        <w:rPr>
          <w:rStyle w:val="FootnoteReference"/>
          <w:rFonts w:hint="cs"/>
          <w:sz w:val="26"/>
          <w:szCs w:val="24"/>
          <w:rtl/>
        </w:rPr>
        <w:t>1</w:t>
      </w:r>
      <w:r>
        <w:rPr>
          <w:rFonts w:hint="cs"/>
          <w:rtl/>
        </w:rPr>
        <w:t xml:space="preserve"> تقول </w:t>
      </w:r>
      <w:r>
        <w:rPr>
          <w:i/>
          <w:iCs/>
          <w:lang w:bidi="ar-SA"/>
        </w:rPr>
        <w:t>Baba Bathra</w:t>
      </w:r>
      <w:r>
        <w:rPr>
          <w:rFonts w:hint="cs"/>
          <w:rtl/>
          <w:lang w:bidi="ar-SA"/>
        </w:rPr>
        <w:t xml:space="preserve"> في 14 ب</w:t>
      </w:r>
      <w:r>
        <w:rPr>
          <w:rFonts w:hint="cs"/>
          <w:rtl/>
        </w:rPr>
        <w:t xml:space="preserve">، "كتب صموئيل السفر الذي يحمل اسمه وسفر [مفرد] القضاة وراعوث". </w:t>
      </w:r>
      <w:r>
        <w:t xml:space="preserve">(D. R. G. Beattie, </w:t>
      </w:r>
      <w:r>
        <w:rPr>
          <w:i/>
          <w:iCs/>
        </w:rPr>
        <w:t>Jewish Exegesis of the Book of Ruth</w:t>
      </w:r>
      <w:r>
        <w:t xml:space="preserve"> [Sheffield: Journal for the Study of the Old Testament, 1977], 5, n 3).</w:t>
      </w:r>
    </w:p>
  </w:footnote>
  <w:footnote w:id="210">
    <w:p w14:paraId="4F4257D0" w14:textId="77777777" w:rsidR="006A7C83" w:rsidRDefault="006A7C83" w:rsidP="006A7C83">
      <w:pPr>
        <w:pStyle w:val="FootnoteTxtNewParag"/>
        <w:bidi w:val="0"/>
        <w:rPr>
          <w:rtl/>
          <w:lang w:bidi="ar-SA"/>
        </w:rPr>
      </w:pPr>
      <w:r>
        <w:rPr>
          <w:rStyle w:val="FootnoteReference"/>
          <w:rFonts w:hint="cs"/>
          <w:sz w:val="26"/>
          <w:szCs w:val="24"/>
          <w:rtl/>
        </w:rPr>
        <w:t>2</w:t>
      </w:r>
      <w:r>
        <w:rPr>
          <w:rFonts w:hint="cs"/>
          <w:sz w:val="22"/>
          <w:rtl/>
        </w:rPr>
        <w:t xml:space="preserve"> </w:t>
      </w:r>
      <w:r>
        <w:t xml:space="preserve">Eugene H. Merrill, “The Book of Ruth: Narration and Shared Themes,” </w:t>
      </w:r>
      <w:r>
        <w:rPr>
          <w:i/>
          <w:iCs/>
        </w:rPr>
        <w:t xml:space="preserve">Bibliotheca Sacra </w:t>
      </w:r>
      <w:r>
        <w:t>142: 566 (Apr-Jun 1985), 133.</w:t>
      </w:r>
    </w:p>
  </w:footnote>
  <w:footnote w:id="211">
    <w:p w14:paraId="3F2FA7C8" w14:textId="77777777" w:rsidR="006A7C83" w:rsidRDefault="006A7C83" w:rsidP="006A7C83">
      <w:pPr>
        <w:pStyle w:val="FootnoteTxtNewParag"/>
        <w:rPr>
          <w:rtl/>
        </w:rPr>
      </w:pPr>
      <w:r>
        <w:rPr>
          <w:rStyle w:val="FootnoteReference"/>
          <w:rFonts w:hint="cs"/>
          <w:sz w:val="26"/>
          <w:szCs w:val="24"/>
          <w:rtl/>
        </w:rPr>
        <w:t>3</w:t>
      </w:r>
      <w:r>
        <w:rPr>
          <w:rFonts w:hint="cs"/>
          <w:rtl/>
        </w:rPr>
        <w:t xml:space="preserve"> لتحليل معمّق لحبكة القصّة، انظر </w:t>
      </w:r>
      <w:r>
        <w:t xml:space="preserve">Reg Grant, “Literary Structure in the Book of Ruth,” </w:t>
      </w:r>
      <w:r>
        <w:rPr>
          <w:i/>
          <w:iCs/>
        </w:rPr>
        <w:t>Bibliotheca Sacra</w:t>
      </w:r>
      <w:r>
        <w:t xml:space="preserve"> 148: 592 (Oct-Dec 1991): 424-41.   </w:t>
      </w:r>
    </w:p>
  </w:footnote>
  <w:footnote w:id="212">
    <w:p w14:paraId="22448451" w14:textId="77777777" w:rsidR="006A7C83" w:rsidRDefault="006A7C83" w:rsidP="006A7C83">
      <w:pPr>
        <w:pStyle w:val="FootnoteTxtNewParag"/>
        <w:bidi w:val="0"/>
      </w:pPr>
      <w:r>
        <w:rPr>
          <w:rStyle w:val="FootnoteReference"/>
          <w:rFonts w:hint="cs"/>
          <w:sz w:val="26"/>
          <w:szCs w:val="24"/>
          <w:rtl/>
        </w:rPr>
        <w:t>4</w:t>
      </w:r>
      <w:r>
        <w:rPr>
          <w:rFonts w:hint="cs"/>
          <w:sz w:val="22"/>
          <w:rtl/>
        </w:rPr>
        <w:t xml:space="preserve"> </w:t>
      </w:r>
      <w:r>
        <w:t xml:space="preserve">Grant, 438; cf Merrill, 133-35. </w:t>
      </w:r>
    </w:p>
  </w:footnote>
  <w:footnote w:id="213">
    <w:p w14:paraId="01971C96" w14:textId="77777777" w:rsidR="000C14E0" w:rsidRDefault="000C14E0" w:rsidP="000C14E0">
      <w:pPr>
        <w:pStyle w:val="Footnote"/>
      </w:pPr>
      <w:r w:rsidRPr="007109B2">
        <w:rPr>
          <w:rStyle w:val="FootnoteReference"/>
          <w:color w:val="C00000"/>
        </w:rPr>
        <w:footnoteRef/>
      </w:r>
      <w:r w:rsidRPr="007109B2">
        <w:rPr>
          <w:color w:val="C00000"/>
        </w:rPr>
        <w:t xml:space="preserve"> Randall Price, “The Messianic Interpretation of Genesis 3:15.” Paper delivered at the Pre-Trib Research Center Annual Conference, Irving, Texas, December 11, 2019.</w:t>
      </w:r>
    </w:p>
  </w:footnote>
  <w:footnote w:id="214">
    <w:p w14:paraId="62AD44F9" w14:textId="179043A7" w:rsidR="000C14E0" w:rsidRPr="000943D8" w:rsidRDefault="000C14E0" w:rsidP="000C14E0">
      <w:pPr>
        <w:pStyle w:val="FootnoteText"/>
        <w:bidi/>
        <w:rPr>
          <w:rFonts w:ascii="Simplified Arabic" w:hAnsi="Simplified Arabic" w:cs="Simplified Arabic"/>
          <w:rtl/>
          <w:lang w:bidi="ar-JO"/>
        </w:rPr>
      </w:pPr>
      <w:r>
        <w:rPr>
          <w:rStyle w:val="FootnoteReference"/>
        </w:rPr>
        <w:footnoteRef/>
      </w:r>
      <w:r>
        <w:t xml:space="preserve"> </w:t>
      </w:r>
      <w:r w:rsidRPr="000943D8">
        <w:rPr>
          <w:rFonts w:ascii="Simplified Arabic" w:hAnsi="Simplified Arabic" w:cs="Simplified Arabic"/>
          <w:rtl/>
          <w:lang w:bidi="ar-JO"/>
        </w:rPr>
        <w:t xml:space="preserve">الفعل العبري المُترجَم إلى "سحق" تعبير نادر غير كثير الورود (في العبريّة </w:t>
      </w:r>
      <w:r w:rsidRPr="000943D8">
        <w:rPr>
          <w:rFonts w:cs="Times New Roman" w:hint="cs"/>
          <w:rtl/>
          <w:lang w:bidi="he-IL"/>
        </w:rPr>
        <w:t>שׁוּף</w:t>
      </w:r>
      <w:r w:rsidRPr="000943D8">
        <w:rPr>
          <w:rFonts w:ascii="Simplified Arabic" w:hAnsi="Simplified Arabic" w:cs="Simplified Arabic"/>
          <w:rtl/>
          <w:lang w:bidi="ar-JO"/>
        </w:rPr>
        <w:t xml:space="preserve">؛ "شوف")، يجاهد العلماء في سعيهم لتحديدهم المعنى الدقيق لهذا الفعل. </w:t>
      </w:r>
      <w:r w:rsidR="000943D8" w:rsidRPr="000943D8">
        <w:rPr>
          <w:rFonts w:ascii="Simplified Arabic" w:hAnsi="Simplified Arabic" w:cs="Simplified Arabic"/>
          <w:rtl/>
          <w:lang w:bidi="ar-JO"/>
        </w:rPr>
        <w:t xml:space="preserve">تنقل ترجمة </w:t>
      </w:r>
      <w:r w:rsidR="000943D8" w:rsidRPr="000943D8">
        <w:rPr>
          <w:rFonts w:ascii="Simplified Arabic" w:hAnsi="Simplified Arabic" w:cs="Simplified Arabic"/>
          <w:lang w:bidi="ar-JO"/>
        </w:rPr>
        <w:t>NET2 Bible</w:t>
      </w:r>
      <w:r w:rsidR="000943D8" w:rsidRPr="000943D8">
        <w:rPr>
          <w:rFonts w:ascii="Simplified Arabic" w:hAnsi="Simplified Arabic" w:cs="Simplified Arabic"/>
          <w:rtl/>
          <w:lang w:bidi="ar-JO"/>
        </w:rPr>
        <w:t xml:space="preserve"> هذا الفعل بمعنى "ضرب" (سيضرب رأسك).</w:t>
      </w:r>
    </w:p>
  </w:footnote>
  <w:footnote w:id="215">
    <w:p w14:paraId="403BA765" w14:textId="243A9DB0" w:rsidR="000608C5" w:rsidRPr="000608C5" w:rsidRDefault="000608C5" w:rsidP="000608C5">
      <w:pPr>
        <w:pStyle w:val="FootnoteText"/>
        <w:bidi/>
        <w:rPr>
          <w:rtl/>
          <w:lang w:bidi="ar-JO"/>
        </w:rPr>
      </w:pPr>
      <w:r>
        <w:rPr>
          <w:rStyle w:val="FootnoteReference"/>
        </w:rPr>
        <w:footnoteRef/>
      </w:r>
      <w:r>
        <w:t xml:space="preserve"> </w:t>
      </w:r>
      <w:r>
        <w:rPr>
          <w:rFonts w:hint="cs"/>
          <w:rtl/>
          <w:lang w:bidi="ar-JO"/>
        </w:rPr>
        <w:t xml:space="preserve">ثمّة مزيدٌ من الدعم </w:t>
      </w:r>
      <w:r w:rsidR="003C6B11">
        <w:rPr>
          <w:rFonts w:hint="cs"/>
          <w:rtl/>
          <w:lang w:bidi="ar-JO"/>
        </w:rPr>
        <w:t xml:space="preserve">لفكرة أنّ </w:t>
      </w:r>
      <w:r>
        <w:rPr>
          <w:rFonts w:hint="cs"/>
          <w:rtl/>
          <w:lang w:bidi="ar-JO"/>
        </w:rPr>
        <w:t>"الم</w:t>
      </w:r>
      <w:r w:rsidR="003C6B11">
        <w:rPr>
          <w:rFonts w:hint="cs"/>
          <w:rtl/>
          <w:lang w:bidi="ar-JO"/>
        </w:rPr>
        <w:t>ر</w:t>
      </w:r>
      <w:r>
        <w:rPr>
          <w:rFonts w:hint="cs"/>
          <w:rtl/>
          <w:lang w:bidi="ar-JO"/>
        </w:rPr>
        <w:t>ي</w:t>
      </w:r>
      <w:r w:rsidR="003C6B11">
        <w:rPr>
          <w:rFonts w:hint="cs"/>
          <w:rtl/>
          <w:lang w:bidi="ar-JO"/>
        </w:rPr>
        <w:t>ّ</w:t>
      </w:r>
      <w:r>
        <w:rPr>
          <w:rFonts w:hint="cs"/>
          <w:rtl/>
          <w:lang w:bidi="ar-JO"/>
        </w:rPr>
        <w:t xml:space="preserve">ا" هو الجبل الذي بُني عليه لاحقًا هيكل أورشليم في 2أخبار 3: 1 وكتاب اليوبيلات" 18: 13 من الأسفار اليهوديّة المنحولة.  </w:t>
      </w:r>
    </w:p>
  </w:footnote>
  <w:footnote w:id="216">
    <w:p w14:paraId="08139ACB" w14:textId="58E2542F" w:rsidR="00471074" w:rsidRPr="00471074" w:rsidRDefault="00471074" w:rsidP="00471074">
      <w:pPr>
        <w:pStyle w:val="FootnoteText"/>
        <w:bidi/>
        <w:rPr>
          <w:rtl/>
          <w:lang w:bidi="ar-JO"/>
        </w:rPr>
      </w:pPr>
      <w:r>
        <w:rPr>
          <w:rStyle w:val="FootnoteReference"/>
        </w:rPr>
        <w:footnoteRef/>
      </w:r>
      <w:r>
        <w:t xml:space="preserve"> </w:t>
      </w:r>
      <w:r>
        <w:rPr>
          <w:rFonts w:hint="cs"/>
          <w:rtl/>
          <w:lang w:bidi="ar-JO"/>
        </w:rPr>
        <w:t xml:space="preserve">تحديد أفضل طريقة لترجمة الكلمة </w:t>
      </w:r>
      <w:r w:rsidRPr="00FE5AF2">
        <w:rPr>
          <w:rFonts w:ascii="Ezra SIL" w:hAnsi="Ezra SIL" w:cs="Ezra SIL"/>
          <w:rtl/>
          <w:lang w:bidi="he-IL"/>
        </w:rPr>
        <w:t>שִׁילֹה</w:t>
      </w:r>
      <w:r>
        <w:rPr>
          <w:rFonts w:ascii="Ezra SIL" w:hAnsi="Ezra SIL" w:hint="cs"/>
          <w:rtl/>
          <w:lang w:bidi="ar-JO"/>
        </w:rPr>
        <w:t xml:space="preserve"> (شيلوه) يتضمّن نقاشًا تقنيًا، ولكن</w:t>
      </w:r>
      <w:r w:rsidR="003D0DFE">
        <w:rPr>
          <w:rFonts w:ascii="Ezra SIL" w:hAnsi="Ezra SIL" w:hint="cs"/>
          <w:rtl/>
          <w:lang w:bidi="ar-JO"/>
        </w:rPr>
        <w:t xml:space="preserve">ْ نقول هنا إنّه </w:t>
      </w:r>
      <w:r>
        <w:rPr>
          <w:rFonts w:ascii="Ezra SIL" w:hAnsi="Ezra SIL" w:hint="cs"/>
          <w:rtl/>
          <w:lang w:bidi="ar-JO"/>
        </w:rPr>
        <w:t>قد يكون الحرف الأول (</w:t>
      </w:r>
      <w:r w:rsidRPr="00C92F19">
        <w:rPr>
          <w:rFonts w:ascii="Ezra SIL" w:hAnsi="Ezra SIL" w:cs="Ezra SIL"/>
          <w:rtl/>
          <w:lang w:bidi="he-IL"/>
        </w:rPr>
        <w:t>שׁ</w:t>
      </w:r>
      <w:r>
        <w:rPr>
          <w:rFonts w:ascii="Ezra SIL" w:hAnsi="Ezra SIL" w:hint="cs"/>
          <w:rtl/>
          <w:lang w:bidi="ar-JO"/>
        </w:rPr>
        <w:t xml:space="preserve">) اسم موصول، وهو الشكل القصير للاسم الموصول </w:t>
      </w:r>
      <w:r w:rsidRPr="00C92F19">
        <w:rPr>
          <w:rFonts w:cs="Ezra SIL"/>
          <w:rtl/>
          <w:lang w:bidi="he-IL"/>
        </w:rPr>
        <w:t>אֲשֶׁר</w:t>
      </w:r>
      <w:r>
        <w:rPr>
          <w:rFonts w:hint="cs"/>
          <w:rtl/>
          <w:lang w:bidi="ar-JO"/>
        </w:rPr>
        <w:t xml:space="preserve">. انظر قاموس </w:t>
      </w:r>
      <w:r>
        <w:rPr>
          <w:lang w:bidi="ar-JO"/>
        </w:rPr>
        <w:t>BDB, 979</w:t>
      </w:r>
      <w:r>
        <w:rPr>
          <w:rFonts w:hint="cs"/>
          <w:rtl/>
          <w:lang w:bidi="ar-JO"/>
        </w:rPr>
        <w:t xml:space="preserve"> للاطّلاع على نقاشٍ بشأن هذه المسألة. </w:t>
      </w:r>
    </w:p>
  </w:footnote>
  <w:footnote w:id="217">
    <w:p w14:paraId="10A9C6E8" w14:textId="1ADBCAD8" w:rsidR="00536BAB" w:rsidRDefault="00536BAB" w:rsidP="00536BAB">
      <w:pPr>
        <w:pStyle w:val="FootnoteText"/>
        <w:bidi/>
        <w:rPr>
          <w:rtl/>
          <w:lang w:bidi="ar-JO"/>
        </w:rPr>
      </w:pPr>
      <w:r>
        <w:rPr>
          <w:rStyle w:val="FootnoteReference"/>
        </w:rPr>
        <w:footnoteRef/>
      </w:r>
      <w:r>
        <w:t xml:space="preserve"> </w:t>
      </w:r>
      <w:r>
        <w:rPr>
          <w:rFonts w:hint="cs"/>
          <w:rtl/>
          <w:lang w:bidi="ar-JO"/>
        </w:rPr>
        <w:t xml:space="preserve">قارن مع مزمور 72 ومزمور 110: 2. </w:t>
      </w:r>
    </w:p>
  </w:footnote>
  <w:footnote w:id="218">
    <w:p w14:paraId="3AED5D4B" w14:textId="77777777" w:rsidR="00263246" w:rsidRPr="00CD63FA" w:rsidRDefault="00263246" w:rsidP="00263246">
      <w:pPr>
        <w:pStyle w:val="FootnoteText"/>
        <w:bidi/>
        <w:rPr>
          <w:rFonts w:cs="Times New Roman"/>
          <w:color w:val="000000" w:themeColor="text1"/>
          <w:rtl/>
          <w:lang w:bidi="ar-JO"/>
        </w:rPr>
      </w:pPr>
      <w:r w:rsidRPr="00CD63FA">
        <w:rPr>
          <w:rStyle w:val="FootnoteReference"/>
          <w:rFonts w:cs="Times New Roman"/>
          <w:color w:val="000000" w:themeColor="text1"/>
        </w:rPr>
        <w:footnoteRef/>
      </w:r>
      <w:r w:rsidRPr="00CD63FA">
        <w:rPr>
          <w:rFonts w:cs="Times New Roman"/>
          <w:color w:val="000000" w:themeColor="text1"/>
        </w:rPr>
        <w:t xml:space="preserve"> </w:t>
      </w:r>
      <w:r w:rsidRPr="00CD63FA">
        <w:rPr>
          <w:rFonts w:cs="Times New Roman"/>
          <w:color w:val="000000" w:themeColor="text1"/>
          <w:rtl/>
        </w:rPr>
        <w:t xml:space="preserve"> ج. بول تانر، "التسلسل الزمني للعهد القديم وآثاره على حسابات الخلق والطوفان، </w:t>
      </w:r>
      <w:r w:rsidRPr="00CD63FA">
        <w:rPr>
          <w:rFonts w:cs="Times New Roman"/>
          <w:i/>
          <w:iCs/>
          <w:color w:val="000000" w:themeColor="text1"/>
        </w:rPr>
        <w:t>BibSac</w:t>
      </w:r>
      <w:r w:rsidRPr="00CD63FA">
        <w:rPr>
          <w:rFonts w:cs="Times New Roman"/>
          <w:color w:val="000000" w:themeColor="text1"/>
        </w:rPr>
        <w:t xml:space="preserve"> 172</w:t>
      </w:r>
      <w:r w:rsidRPr="00CD63FA">
        <w:rPr>
          <w:rFonts w:cs="Times New Roman"/>
          <w:color w:val="000000" w:themeColor="text1"/>
          <w:rtl/>
        </w:rPr>
        <w:t xml:space="preserve"> (يناير-مارس 2015)، 38-39</w:t>
      </w:r>
      <w:r w:rsidRPr="00CD63FA">
        <w:rPr>
          <w:rFonts w:cs="Times New Roman" w:hint="cs"/>
          <w:color w:val="000000" w:themeColor="text1"/>
          <w:rtl/>
        </w:rPr>
        <w:t xml:space="preserve">. </w:t>
      </w:r>
      <w:r w:rsidRPr="00CD63FA">
        <w:rPr>
          <w:rFonts w:cs="Times New Roman"/>
          <w:color w:val="000000" w:themeColor="text1"/>
          <w:rtl/>
        </w:rPr>
        <w:t xml:space="preserve">معظم التواريخ المذكورة هنا مبينة حيثما أمكن على  </w:t>
      </w:r>
      <w:r w:rsidRPr="00CD63FA">
        <w:rPr>
          <w:rFonts w:cs="Times New Roman"/>
          <w:i/>
          <w:iCs/>
          <w:color w:val="000000" w:themeColor="text1"/>
        </w:rPr>
        <w:t xml:space="preserve">The Cambridge Ancient History </w:t>
      </w:r>
      <w:r w:rsidRPr="00CD63FA">
        <w:rPr>
          <w:rFonts w:cs="Times New Roman"/>
          <w:i/>
          <w:iCs/>
          <w:color w:val="000000" w:themeColor="text1"/>
          <w:rtl/>
          <w:lang w:bidi="ar-KW"/>
        </w:rPr>
        <w:t xml:space="preserve">. </w:t>
      </w:r>
    </w:p>
  </w:footnote>
  <w:footnote w:id="219">
    <w:p w14:paraId="3F20E089" w14:textId="77777777" w:rsidR="00263246" w:rsidRPr="00CD63FA" w:rsidRDefault="00263246" w:rsidP="00263246">
      <w:pPr>
        <w:pStyle w:val="FootnoteText"/>
        <w:rPr>
          <w:rFonts w:cs="Times New Roman"/>
          <w:color w:val="000000" w:themeColor="text1"/>
          <w:rtl/>
          <w:lang w:bidi="ar-JO"/>
        </w:rPr>
      </w:pPr>
      <w:r w:rsidRPr="00CD63FA">
        <w:rPr>
          <w:rStyle w:val="FootnoteReference"/>
          <w:rFonts w:cs="Times New Roman"/>
          <w:color w:val="000000" w:themeColor="text1"/>
        </w:rPr>
        <w:footnoteRef/>
      </w:r>
      <w:r w:rsidRPr="00CD63FA">
        <w:rPr>
          <w:rFonts w:cs="Times New Roman"/>
          <w:color w:val="000000" w:themeColor="text1"/>
        </w:rPr>
        <w:t xml:space="preserve"> Merrill, </w:t>
      </w:r>
      <w:r w:rsidRPr="00CD63FA">
        <w:rPr>
          <w:rFonts w:cs="Times New Roman"/>
          <w:i/>
          <w:iCs/>
          <w:color w:val="000000" w:themeColor="text1"/>
        </w:rPr>
        <w:t>The World of the Word</w:t>
      </w:r>
      <w:r w:rsidRPr="00CD63FA">
        <w:rPr>
          <w:rFonts w:cs="Times New Roman"/>
          <w:color w:val="000000" w:themeColor="text1"/>
        </w:rPr>
        <w:t>, 21.</w:t>
      </w:r>
    </w:p>
  </w:footnote>
  <w:footnote w:id="220">
    <w:p w14:paraId="6B52BCE3" w14:textId="77777777" w:rsidR="00263246" w:rsidRPr="00CD63FA" w:rsidRDefault="00263246" w:rsidP="00263246">
      <w:pPr>
        <w:pStyle w:val="FootnoteText"/>
        <w:rPr>
          <w:rFonts w:cs="Times New Roman"/>
          <w:color w:val="000000" w:themeColor="text1"/>
          <w:lang w:bidi="ar-JO"/>
        </w:rPr>
      </w:pPr>
      <w:r w:rsidRPr="00CD63FA">
        <w:rPr>
          <w:rStyle w:val="FootnoteReference"/>
          <w:rFonts w:cs="Times New Roman"/>
          <w:color w:val="000000" w:themeColor="text1"/>
        </w:rPr>
        <w:footnoteRef/>
      </w:r>
      <w:r w:rsidRPr="00CD63FA">
        <w:rPr>
          <w:rFonts w:cs="Times New Roman"/>
          <w:color w:val="000000" w:themeColor="text1"/>
        </w:rPr>
        <w:t xml:space="preserve"> Siegfried J. Schwantes, </w:t>
      </w:r>
      <w:r w:rsidRPr="00CD63FA">
        <w:rPr>
          <w:rFonts w:cs="Times New Roman"/>
          <w:i/>
          <w:iCs/>
          <w:color w:val="000000" w:themeColor="text1"/>
        </w:rPr>
        <w:t>A History of The Ancient Near East</w:t>
      </w:r>
      <w:r w:rsidRPr="00CD63FA">
        <w:rPr>
          <w:rFonts w:cs="Times New Roman"/>
          <w:color w:val="000000" w:themeColor="text1"/>
        </w:rPr>
        <w:t xml:space="preserve"> (Grand Rapids, MI: Baker House, 1965), 22. </w:t>
      </w:r>
    </w:p>
  </w:footnote>
  <w:footnote w:id="221">
    <w:p w14:paraId="6025377D" w14:textId="77777777" w:rsidR="00263246" w:rsidRPr="00CD63FA" w:rsidRDefault="00263246" w:rsidP="00263246">
      <w:pPr>
        <w:pStyle w:val="FootnoteText"/>
        <w:bidi/>
        <w:rPr>
          <w:rFonts w:cs="Times New Roman"/>
          <w:color w:val="000000" w:themeColor="text1"/>
          <w:rtl/>
          <w:lang w:bidi="ar-JO"/>
        </w:rPr>
      </w:pPr>
      <w:r w:rsidRPr="00CD63FA">
        <w:rPr>
          <w:rStyle w:val="FootnoteReference"/>
          <w:rFonts w:cs="Times New Roman"/>
          <w:color w:val="000000" w:themeColor="text1"/>
        </w:rPr>
        <w:footnoteRef/>
      </w:r>
      <w:r w:rsidRPr="00CD63FA">
        <w:rPr>
          <w:rFonts w:cs="Times New Roman"/>
          <w:color w:val="000000" w:themeColor="text1"/>
        </w:rPr>
        <w:t xml:space="preserve"> </w:t>
      </w:r>
      <w:r w:rsidRPr="00CD63FA">
        <w:rPr>
          <w:rFonts w:cs="Times New Roman"/>
          <w:color w:val="000000" w:themeColor="text1"/>
          <w:rtl/>
        </w:rPr>
        <w:t xml:space="preserve"> </w:t>
      </w:r>
      <w:r w:rsidRPr="00CD63FA">
        <w:rPr>
          <w:rFonts w:cs="Times New Roman"/>
          <w:color w:val="000000" w:themeColor="text1"/>
          <w:rtl/>
          <w:lang w:bidi="ar-JO"/>
        </w:rPr>
        <w:t xml:space="preserve">الكتاب الذي يُعتبَر المصدر الرئيسي والأشهر بشأن حضارة سومر هو </w:t>
      </w:r>
      <w:r w:rsidRPr="00CD63FA">
        <w:rPr>
          <w:rFonts w:cs="Times New Roman"/>
          <w:color w:val="000000" w:themeColor="text1"/>
          <w:lang w:bidi="ar-JO"/>
        </w:rPr>
        <w:t xml:space="preserve">Samuel N. Kramer, </w:t>
      </w:r>
      <w:r w:rsidRPr="00CD63FA">
        <w:rPr>
          <w:rFonts w:cs="Times New Roman"/>
          <w:i/>
          <w:iCs/>
          <w:color w:val="000000" w:themeColor="text1"/>
          <w:lang w:bidi="ar-JO"/>
        </w:rPr>
        <w:t>The Sumerians: Their History, Culture, and Character</w:t>
      </w:r>
      <w:r w:rsidRPr="00CD63FA">
        <w:rPr>
          <w:rFonts w:cs="Times New Roman"/>
          <w:color w:val="000000" w:themeColor="text1"/>
          <w:lang w:bidi="ar-JO"/>
        </w:rPr>
        <w:t xml:space="preserve"> (Chicago: University of Chicago Press, 1963)</w:t>
      </w:r>
      <w:r w:rsidRPr="00CD63FA">
        <w:rPr>
          <w:rFonts w:cs="Times New Roman"/>
          <w:color w:val="000000" w:themeColor="text1"/>
          <w:rtl/>
          <w:lang w:bidi="ar-JO"/>
        </w:rPr>
        <w:t xml:space="preserve">. انظر أيضاً </w:t>
      </w:r>
      <w:r w:rsidRPr="00CD63FA">
        <w:rPr>
          <w:rFonts w:cs="Times New Roman"/>
          <w:color w:val="000000" w:themeColor="text1"/>
          <w:lang w:bidi="ar-JO"/>
        </w:rPr>
        <w:t xml:space="preserve">D. Schmandt-Bessarat and S. M. Alexander, </w:t>
      </w:r>
      <w:r w:rsidRPr="00CD63FA">
        <w:rPr>
          <w:rFonts w:cs="Times New Roman"/>
          <w:i/>
          <w:iCs/>
          <w:color w:val="000000" w:themeColor="text1"/>
          <w:lang w:bidi="ar-JO"/>
        </w:rPr>
        <w:t>The First Civilization: The Legacy of Sumer</w:t>
      </w:r>
      <w:r w:rsidRPr="00CD63FA">
        <w:rPr>
          <w:rFonts w:cs="Times New Roman"/>
          <w:color w:val="000000" w:themeColor="text1"/>
          <w:lang w:bidi="ar-JO"/>
        </w:rPr>
        <w:t xml:space="preserve"> (Austin, TX: University of Texas Press, 1975)</w:t>
      </w:r>
      <w:r w:rsidRPr="00CD63FA">
        <w:rPr>
          <w:rFonts w:cs="Times New Roman"/>
          <w:color w:val="000000" w:themeColor="text1"/>
          <w:rtl/>
          <w:lang w:bidi="ar-JO"/>
        </w:rPr>
        <w:t xml:space="preserve">. </w:t>
      </w:r>
    </w:p>
  </w:footnote>
  <w:footnote w:id="222">
    <w:p w14:paraId="0ECEAD53" w14:textId="77777777" w:rsidR="00263246" w:rsidRPr="00CA1692" w:rsidRDefault="00263246" w:rsidP="00263246">
      <w:pPr>
        <w:pStyle w:val="FootnoteText"/>
        <w:bidi/>
        <w:rPr>
          <w:rFonts w:cs="Times New Roman"/>
          <w:rtl/>
          <w:lang w:bidi="ar-JO"/>
        </w:rPr>
      </w:pPr>
      <w:r w:rsidRPr="00CD63FA">
        <w:rPr>
          <w:rStyle w:val="FootnoteReference"/>
          <w:rFonts w:cs="Times New Roman"/>
          <w:color w:val="000000" w:themeColor="text1"/>
        </w:rPr>
        <w:footnoteRef/>
      </w:r>
      <w:r w:rsidRPr="00CD63FA">
        <w:rPr>
          <w:rFonts w:cs="Times New Roman"/>
          <w:color w:val="000000" w:themeColor="text1"/>
        </w:rPr>
        <w:t xml:space="preserve"> </w:t>
      </w:r>
      <w:r w:rsidRPr="00CD63FA">
        <w:rPr>
          <w:rFonts w:cs="Times New Roman"/>
          <w:color w:val="000000" w:themeColor="text1"/>
          <w:rtl/>
          <w:lang w:bidi="ar-JO"/>
        </w:rPr>
        <w:t xml:space="preserve"> </w:t>
      </w:r>
      <w:r w:rsidRPr="00CD63FA">
        <w:rPr>
          <w:rFonts w:cs="Times New Roman"/>
          <w:color w:val="000000" w:themeColor="text1"/>
          <w:rtl/>
        </w:rPr>
        <w:t xml:space="preserve">وفضلاً عن ذلك كانت القواعد اللغوية للغات الساميّة تختلف.  يقول و. فون سودن، "اللغات السامية لغات متغيرة التصريف، أي أنها تغير جذور كلماتها.  ولا تشترك اللغات السامية في هذه السّمة إلاّ مع اللغات الحامية في إفريقيا والإندو – جرمانية أو اللغات الإندو -  أوروبية في وأوروبا وآسيا" </w:t>
      </w:r>
      <w:r w:rsidRPr="00CD63FA">
        <w:rPr>
          <w:rFonts w:cs="Times New Roman"/>
          <w:color w:val="000000" w:themeColor="text1"/>
        </w:rPr>
        <w:t>(</w:t>
      </w:r>
      <w:r w:rsidRPr="00CD63FA">
        <w:rPr>
          <w:rFonts w:cs="Times New Roman"/>
          <w:i/>
          <w:iCs/>
          <w:color w:val="000000" w:themeColor="text1"/>
        </w:rPr>
        <w:t>The Ancient Orient, 18</w:t>
      </w:r>
      <w:r w:rsidRPr="00CD63FA">
        <w:rPr>
          <w:rFonts w:cs="Times New Roman"/>
          <w:color w:val="000000" w:themeColor="text1"/>
        </w:rPr>
        <w:t xml:space="preserve">) </w:t>
      </w:r>
      <w:r w:rsidRPr="00CD63FA">
        <w:rPr>
          <w:rFonts w:cs="Times New Roman"/>
          <w:color w:val="000000" w:themeColor="text1"/>
          <w:rtl/>
        </w:rPr>
        <w:t xml:space="preserve"> وبالمقابلة فإن اللغة السومرية غير متغيرة التصريف، أي أنها لا تغيّر جذور كلماتها). </w:t>
      </w:r>
    </w:p>
  </w:footnote>
  <w:footnote w:id="223">
    <w:p w14:paraId="29DC06BF" w14:textId="77777777" w:rsidR="00263246" w:rsidRPr="00CD63FA" w:rsidRDefault="00263246" w:rsidP="00263246">
      <w:pPr>
        <w:pStyle w:val="FootnoteText"/>
        <w:bidi/>
        <w:rPr>
          <w:rFonts w:cs="Times New Roman"/>
          <w:color w:val="000000" w:themeColor="text1"/>
          <w:rtl/>
          <w:lang w:bidi="ar-JO"/>
        </w:rPr>
      </w:pPr>
      <w:r w:rsidRPr="00CD63FA">
        <w:rPr>
          <w:rStyle w:val="FootnoteReference"/>
          <w:rFonts w:cs="Times New Roman"/>
          <w:color w:val="000000" w:themeColor="text1"/>
        </w:rPr>
        <w:footnoteRef/>
      </w:r>
      <w:r w:rsidRPr="00CD63FA">
        <w:rPr>
          <w:rFonts w:cs="Times New Roman"/>
          <w:color w:val="000000" w:themeColor="text1"/>
        </w:rPr>
        <w:t xml:space="preserve"> </w:t>
      </w:r>
      <w:r w:rsidRPr="00CD63FA">
        <w:rPr>
          <w:rFonts w:cs="Times New Roman"/>
          <w:color w:val="000000" w:themeColor="text1"/>
          <w:rtl/>
          <w:lang w:bidi="ar-JO"/>
        </w:rPr>
        <w:t xml:space="preserve"> </w:t>
      </w:r>
      <w:r w:rsidRPr="00CD63FA">
        <w:rPr>
          <w:rFonts w:cs="Times New Roman"/>
          <w:color w:val="000000" w:themeColor="text1"/>
          <w:rtl/>
        </w:rPr>
        <w:t xml:space="preserve">أصبحت الكتابة المسمارية اعتباراً من حوالي 2500ق م (التي تمتاز بالأشكال الوتدية المحفورة على ألواح طينية بواسطة المرقم (أو قلم السِّمَة) الواسطة القياسية للكتابة في العالم البابلي-الأشوري (الذي يشار إليه عادة على أنه أكّادي).  ولأن هذا النظام استخدم عدة "إشارات"، أو "علامات"، فإنه كان يُستخدم بشكل رئيسي من قبل مجموعة خاصة من الكتبة أو الأشخاص المدربين تدريباً عالياً.  ولم تظهر الكتابة بالحروف الأبجدية الفينيقية في سورية – فلسطين إلاّ في حوالي 1200ق م.  وقد أدّى هذا النظام المقتصد في استخدام الرموز (حيث استخدم 22 حرفاً فقط) إلى تعزيز الكتابة والقراءة إلى حد كبير.  وقد جاء نظام الحروف الأبجدية العبرية من الكتابة الفينيقية. </w:t>
      </w:r>
      <w:r w:rsidRPr="00CD63FA">
        <w:rPr>
          <w:rFonts w:cs="Times New Roman"/>
          <w:color w:val="000000" w:themeColor="text1"/>
        </w:rPr>
        <w:t xml:space="preserve">Cf. Joseph Naveh, </w:t>
      </w:r>
      <w:r w:rsidRPr="00CD63FA">
        <w:rPr>
          <w:rFonts w:cs="Times New Roman"/>
          <w:i/>
          <w:iCs/>
          <w:color w:val="000000" w:themeColor="text1"/>
        </w:rPr>
        <w:t>Origins of the Alphabets; Introduction to Archaeology</w:t>
      </w:r>
      <w:r w:rsidRPr="00CD63FA">
        <w:rPr>
          <w:rFonts w:cs="Times New Roman"/>
          <w:color w:val="000000" w:themeColor="text1"/>
        </w:rPr>
        <w:t xml:space="preserve"> (Jerusalem, Israel: The Jerusalem Publishing House, Ltd., n. d.)</w:t>
      </w:r>
      <w:r w:rsidRPr="00CD63FA">
        <w:rPr>
          <w:rFonts w:cs="Times New Roman"/>
          <w:color w:val="000000" w:themeColor="text1"/>
          <w:rtl/>
        </w:rPr>
        <w:t>.</w:t>
      </w:r>
    </w:p>
  </w:footnote>
  <w:footnote w:id="224">
    <w:p w14:paraId="78FB8CB3" w14:textId="77777777" w:rsidR="00263246" w:rsidRPr="00CD63FA" w:rsidRDefault="00263246" w:rsidP="00263246">
      <w:pPr>
        <w:pStyle w:val="FootnoteText"/>
        <w:bidi/>
        <w:rPr>
          <w:rFonts w:cs="Times New Roman"/>
          <w:color w:val="000000" w:themeColor="text1"/>
          <w:rtl/>
          <w:lang w:bidi="ar-JO"/>
        </w:rPr>
      </w:pPr>
      <w:r w:rsidRPr="00CD63FA">
        <w:rPr>
          <w:rStyle w:val="FootnoteReference"/>
          <w:rFonts w:cs="Times New Roman"/>
          <w:color w:val="000000" w:themeColor="text1"/>
        </w:rPr>
        <w:footnoteRef/>
      </w:r>
      <w:r w:rsidRPr="00CD63FA">
        <w:rPr>
          <w:rFonts w:cs="Times New Roman"/>
          <w:color w:val="000000" w:themeColor="text1"/>
        </w:rPr>
        <w:t xml:space="preserve"> </w:t>
      </w:r>
      <w:r w:rsidRPr="00CD63FA">
        <w:rPr>
          <w:rFonts w:cs="Times New Roman"/>
          <w:color w:val="000000" w:themeColor="text1"/>
          <w:rtl/>
          <w:lang w:bidi="ar-JO"/>
        </w:rPr>
        <w:t xml:space="preserve"> الكلمة الإنجليزية "ميسوبوتيميا" (</w:t>
      </w:r>
      <w:r w:rsidRPr="00CD63FA">
        <w:rPr>
          <w:rFonts w:cs="Times New Roman"/>
          <w:color w:val="000000" w:themeColor="text1"/>
          <w:lang w:bidi="ar-JO"/>
        </w:rPr>
        <w:t>Mesopotamia</w:t>
      </w:r>
      <w:r w:rsidRPr="00CD63FA">
        <w:rPr>
          <w:rFonts w:cs="Times New Roman"/>
          <w:color w:val="000000" w:themeColor="text1"/>
          <w:rtl/>
          <w:lang w:bidi="ar-JO"/>
        </w:rPr>
        <w:t>) تعني "بين النهرين".</w:t>
      </w:r>
    </w:p>
  </w:footnote>
  <w:footnote w:id="225">
    <w:p w14:paraId="65519B86" w14:textId="77777777" w:rsidR="00263246" w:rsidRPr="00CD63FA" w:rsidRDefault="00263246" w:rsidP="00263246">
      <w:pPr>
        <w:pStyle w:val="FootnoteText"/>
        <w:bidi/>
        <w:rPr>
          <w:rFonts w:cs="Times New Roman"/>
          <w:color w:val="000000" w:themeColor="text1"/>
          <w:rtl/>
          <w:lang w:bidi="ar-JO"/>
        </w:rPr>
      </w:pPr>
      <w:r w:rsidRPr="00CD63FA">
        <w:rPr>
          <w:rStyle w:val="FootnoteReference"/>
          <w:rFonts w:cs="Times New Roman"/>
          <w:color w:val="000000" w:themeColor="text1"/>
        </w:rPr>
        <w:footnoteRef/>
      </w:r>
      <w:r w:rsidRPr="00CD63FA">
        <w:rPr>
          <w:rFonts w:cs="Times New Roman"/>
          <w:color w:val="000000" w:themeColor="text1"/>
        </w:rPr>
        <w:t xml:space="preserve"> </w:t>
      </w:r>
      <w:r w:rsidRPr="00CD63FA">
        <w:rPr>
          <w:rFonts w:cs="Times New Roman"/>
          <w:color w:val="000000" w:themeColor="text1"/>
          <w:rtl/>
          <w:lang w:bidi="ar-JO"/>
        </w:rPr>
        <w:t xml:space="preserve"> </w:t>
      </w:r>
      <w:r w:rsidRPr="00CD63FA">
        <w:rPr>
          <w:rFonts w:cs="Times New Roman"/>
          <w:color w:val="000000" w:themeColor="text1"/>
          <w:rtl/>
        </w:rPr>
        <w:t xml:space="preserve">يحدد بي. فان دير مير التاريخين على أنهما 2342-2186 </w:t>
      </w:r>
      <w:r w:rsidRPr="00CD63FA">
        <w:rPr>
          <w:rFonts w:cs="Times New Roman"/>
          <w:color w:val="000000" w:themeColor="text1"/>
        </w:rPr>
        <w:t>(</w:t>
      </w:r>
      <w:r w:rsidRPr="00CD63FA">
        <w:rPr>
          <w:rFonts w:cs="Times New Roman"/>
          <w:i/>
          <w:iCs/>
          <w:color w:val="000000" w:themeColor="text1"/>
        </w:rPr>
        <w:t>Chronology of Western Asia and Egypt; 1955</w:t>
      </w:r>
      <w:r w:rsidRPr="00CD63FA">
        <w:rPr>
          <w:rFonts w:cs="Times New Roman"/>
          <w:color w:val="000000" w:themeColor="text1"/>
        </w:rPr>
        <w:t xml:space="preserve">). </w:t>
      </w:r>
      <w:r w:rsidRPr="00CD63FA">
        <w:rPr>
          <w:rFonts w:cs="Times New Roman"/>
          <w:color w:val="000000" w:themeColor="text1"/>
          <w:rtl/>
        </w:rPr>
        <w:t xml:space="preserve"> غير أن و. فون سودن يحدد تاريخي سارجون على أنهما 2330-2274 (</w:t>
      </w:r>
      <w:r w:rsidRPr="00CD63FA">
        <w:rPr>
          <w:rFonts w:cs="Times New Roman"/>
          <w:i/>
          <w:iCs/>
          <w:color w:val="000000" w:themeColor="text1"/>
        </w:rPr>
        <w:t>The Ancient Orient</w:t>
      </w:r>
      <w:r w:rsidRPr="00CD63FA">
        <w:rPr>
          <w:rFonts w:cs="Times New Roman"/>
          <w:color w:val="000000" w:themeColor="text1"/>
        </w:rPr>
        <w:t>, 48</w:t>
      </w:r>
      <w:r w:rsidRPr="00CD63FA">
        <w:rPr>
          <w:rFonts w:cs="Times New Roman"/>
          <w:color w:val="000000" w:themeColor="text1"/>
          <w:rtl/>
        </w:rPr>
        <w:t>).</w:t>
      </w:r>
      <w:r w:rsidRPr="00CD63FA">
        <w:rPr>
          <w:rFonts w:cs="Times New Roman"/>
          <w:color w:val="000000" w:themeColor="text1"/>
        </w:rPr>
        <w:t xml:space="preserve"> </w:t>
      </w:r>
      <w:r w:rsidRPr="00CD63FA">
        <w:rPr>
          <w:rFonts w:cs="Times New Roman"/>
          <w:color w:val="000000" w:themeColor="text1"/>
          <w:rtl/>
        </w:rPr>
        <w:t>يقترح بتروفيتش حوالي 2320-2265 ("تحديد النمرود،" 282).</w:t>
      </w:r>
    </w:p>
  </w:footnote>
  <w:footnote w:id="226">
    <w:p w14:paraId="06C83E1F" w14:textId="77777777" w:rsidR="00263246" w:rsidRPr="00CD63FA" w:rsidRDefault="00263246" w:rsidP="00263246">
      <w:pPr>
        <w:pStyle w:val="FootnoteText"/>
        <w:bidi/>
        <w:rPr>
          <w:rFonts w:cs="Times New Roman"/>
          <w:color w:val="000000" w:themeColor="text1"/>
          <w:rtl/>
          <w:lang w:bidi="ar-JO"/>
        </w:rPr>
      </w:pPr>
      <w:r w:rsidRPr="00CD63FA">
        <w:rPr>
          <w:rStyle w:val="FootnoteReference"/>
          <w:rFonts w:cs="Times New Roman"/>
          <w:color w:val="000000" w:themeColor="text1"/>
        </w:rPr>
        <w:footnoteRef/>
      </w:r>
      <w:r w:rsidRPr="00CD63FA">
        <w:rPr>
          <w:rFonts w:cs="Times New Roman"/>
          <w:color w:val="000000" w:themeColor="text1"/>
        </w:rPr>
        <w:t xml:space="preserve"> </w:t>
      </w:r>
      <w:r w:rsidRPr="00CD63FA">
        <w:rPr>
          <w:rFonts w:cs="Times New Roman"/>
          <w:color w:val="000000" w:themeColor="text1"/>
          <w:rtl/>
          <w:lang w:bidi="ar-JO"/>
        </w:rPr>
        <w:t xml:space="preserve"> </w:t>
      </w:r>
      <w:r w:rsidRPr="00CD63FA">
        <w:rPr>
          <w:rFonts w:cs="Times New Roman"/>
          <w:color w:val="000000" w:themeColor="text1"/>
          <w:rtl/>
        </w:rPr>
        <w:t xml:space="preserve">حسب </w:t>
      </w:r>
      <w:r w:rsidRPr="00CD63FA">
        <w:rPr>
          <w:rFonts w:cs="Times New Roman"/>
          <w:color w:val="000000" w:themeColor="text1"/>
        </w:rPr>
        <w:t xml:space="preserve">Waltke, </w:t>
      </w:r>
      <w:r w:rsidRPr="00CD63FA">
        <w:rPr>
          <w:rFonts w:cs="Times New Roman"/>
          <w:i/>
          <w:iCs/>
          <w:color w:val="000000" w:themeColor="text1"/>
        </w:rPr>
        <w:t>Genesis</w:t>
      </w:r>
      <w:r w:rsidRPr="00CD63FA">
        <w:rPr>
          <w:rFonts w:cs="Times New Roman"/>
          <w:color w:val="000000" w:themeColor="text1"/>
        </w:rPr>
        <w:t>, 169</w:t>
      </w:r>
      <w:r w:rsidRPr="00CD63FA">
        <w:rPr>
          <w:rFonts w:cs="Times New Roman"/>
          <w:color w:val="000000" w:themeColor="text1"/>
          <w:rtl/>
          <w:lang w:bidi="ar-JO"/>
        </w:rPr>
        <w:t xml:space="preserve">، و </w:t>
      </w:r>
      <w:r w:rsidRPr="00CD63FA">
        <w:rPr>
          <w:rFonts w:cs="Times New Roman"/>
          <w:color w:val="000000" w:themeColor="text1"/>
          <w:lang w:bidi="ar-JO"/>
        </w:rPr>
        <w:t xml:space="preserve">D. J. Wiseman, </w:t>
      </w:r>
      <w:r w:rsidRPr="00CD63FA">
        <w:rPr>
          <w:rFonts w:cs="Times New Roman"/>
          <w:i/>
          <w:iCs/>
          <w:color w:val="000000" w:themeColor="text1"/>
          <w:lang w:bidi="ar-JO"/>
        </w:rPr>
        <w:t>NBD</w:t>
      </w:r>
      <w:r w:rsidRPr="00CD63FA">
        <w:rPr>
          <w:rFonts w:cs="Times New Roman"/>
          <w:color w:val="000000" w:themeColor="text1"/>
          <w:lang w:bidi="ar-JO"/>
        </w:rPr>
        <w:t xml:space="preserve"> 888</w:t>
      </w:r>
      <w:r w:rsidRPr="00CD63FA">
        <w:rPr>
          <w:rFonts w:cs="Times New Roman"/>
          <w:color w:val="000000" w:themeColor="text1"/>
          <w:rtl/>
          <w:lang w:bidi="ar-JO"/>
        </w:rPr>
        <w:t xml:space="preserve">.  وحديثاً، قدّم دوغلاس بيتروفيتش أدلةً تظهِر أن نمرود هو سرجون الكبير. انظر </w:t>
      </w:r>
      <w:r w:rsidRPr="00CD63FA">
        <w:rPr>
          <w:rFonts w:cs="Times New Roman"/>
          <w:color w:val="000000" w:themeColor="text1"/>
          <w:lang w:bidi="ar-JO"/>
        </w:rPr>
        <w:t xml:space="preserve">Douglas Petrovich, “Identifying Nimrod of Genesis 10 with Sargon of Akkad by Exegetical and Archaeological Means,” </w:t>
      </w:r>
      <w:r w:rsidRPr="00CD63FA">
        <w:rPr>
          <w:rFonts w:cs="Times New Roman"/>
          <w:i/>
          <w:iCs/>
          <w:color w:val="000000" w:themeColor="text1"/>
          <w:lang w:bidi="ar-JO"/>
        </w:rPr>
        <w:t>JETS</w:t>
      </w:r>
      <w:r w:rsidRPr="00CD63FA">
        <w:rPr>
          <w:rFonts w:cs="Times New Roman"/>
          <w:color w:val="000000" w:themeColor="text1"/>
          <w:lang w:bidi="ar-JO"/>
        </w:rPr>
        <w:t xml:space="preserve"> 562 (June 2013), 273-305</w:t>
      </w:r>
      <w:r w:rsidRPr="00CD63FA">
        <w:rPr>
          <w:rFonts w:cs="Times New Roman"/>
          <w:color w:val="000000" w:themeColor="text1"/>
          <w:rtl/>
          <w:lang w:bidi="ar-JO"/>
        </w:rPr>
        <w:t xml:space="preserve">. قد لا يكون الاسم "نمرود" هو اسمه الملكي، ولكنه اسمٌ أُعطي له في الكتاب المُقدَّس ليصف طبيعته ومقاصده (فمعنى "نمرود" هو "المتمرد"، حسب </w:t>
      </w:r>
      <w:r w:rsidRPr="00CD63FA">
        <w:rPr>
          <w:rFonts w:cs="Times New Roman"/>
          <w:color w:val="000000" w:themeColor="text1"/>
          <w:lang w:bidi="ar-JO"/>
        </w:rPr>
        <w:t xml:space="preserve">Wenham, </w:t>
      </w:r>
      <w:r w:rsidRPr="00CD63FA">
        <w:rPr>
          <w:rFonts w:cs="Times New Roman"/>
          <w:i/>
          <w:iCs/>
          <w:color w:val="000000" w:themeColor="text1"/>
          <w:lang w:bidi="ar-JO"/>
        </w:rPr>
        <w:t>Genesis</w:t>
      </w:r>
      <w:r w:rsidRPr="00CD63FA">
        <w:rPr>
          <w:rFonts w:cs="Times New Roman"/>
          <w:color w:val="000000" w:themeColor="text1"/>
          <w:lang w:bidi="ar-JO"/>
        </w:rPr>
        <w:t>, 222</w:t>
      </w:r>
      <w:r w:rsidRPr="00CD63FA">
        <w:rPr>
          <w:rFonts w:cs="Times New Roman"/>
          <w:color w:val="000000" w:themeColor="text1"/>
          <w:rtl/>
          <w:lang w:bidi="ar-JO"/>
        </w:rPr>
        <w:t>).</w:t>
      </w:r>
    </w:p>
  </w:footnote>
  <w:footnote w:id="227">
    <w:p w14:paraId="4B03E7F4" w14:textId="77777777" w:rsidR="00263246" w:rsidRPr="00CA1692" w:rsidRDefault="00263246" w:rsidP="00263246">
      <w:pPr>
        <w:pStyle w:val="FootnoteText"/>
        <w:bidi/>
        <w:rPr>
          <w:rFonts w:cs="Times New Roman"/>
          <w:rtl/>
          <w:lang w:bidi="ar-JO"/>
        </w:rPr>
      </w:pPr>
      <w:r w:rsidRPr="00CD63FA">
        <w:rPr>
          <w:rStyle w:val="FootnoteReference"/>
          <w:rFonts w:cs="Times New Roman"/>
          <w:color w:val="000000" w:themeColor="text1"/>
        </w:rPr>
        <w:footnoteRef/>
      </w:r>
      <w:r w:rsidRPr="00CD63FA">
        <w:rPr>
          <w:rFonts w:cs="Times New Roman"/>
          <w:color w:val="000000" w:themeColor="text1"/>
        </w:rPr>
        <w:t xml:space="preserve"> </w:t>
      </w:r>
      <w:r w:rsidRPr="00CD63FA">
        <w:rPr>
          <w:rFonts w:cs="Times New Roman"/>
          <w:color w:val="000000" w:themeColor="text1"/>
          <w:rtl/>
          <w:lang w:bidi="ar-JO"/>
        </w:rPr>
        <w:t xml:space="preserve"> </w:t>
      </w:r>
      <w:r w:rsidRPr="00CD63FA">
        <w:rPr>
          <w:rFonts w:cs="Times New Roman"/>
          <w:color w:val="000000" w:themeColor="text1"/>
          <w:rtl/>
        </w:rPr>
        <w:t xml:space="preserve">يحدد و. فون سودن فترة حمورابي على أنَّها 1729-1686ق م. </w:t>
      </w:r>
    </w:p>
  </w:footnote>
  <w:footnote w:id="228">
    <w:p w14:paraId="6FE65A6C" w14:textId="77777777" w:rsidR="00263246" w:rsidRPr="00CD63FA" w:rsidRDefault="00263246" w:rsidP="00263246">
      <w:pPr>
        <w:pStyle w:val="FootnoteText"/>
        <w:bidi/>
        <w:rPr>
          <w:rFonts w:cs="Times New Roman"/>
          <w:color w:val="000000" w:themeColor="text1"/>
          <w:rtl/>
          <w:lang w:bidi="ar-JO"/>
        </w:rPr>
      </w:pPr>
      <w:r w:rsidRPr="00CD63FA">
        <w:rPr>
          <w:rStyle w:val="FootnoteReference"/>
          <w:rFonts w:cs="Times New Roman"/>
          <w:color w:val="000000" w:themeColor="text1"/>
        </w:rPr>
        <w:footnoteRef/>
      </w:r>
      <w:r w:rsidRPr="00CD63FA">
        <w:rPr>
          <w:rFonts w:cs="Times New Roman"/>
          <w:color w:val="000000" w:themeColor="text1"/>
        </w:rPr>
        <w:t xml:space="preserve"> </w:t>
      </w:r>
      <w:r w:rsidRPr="00CD63FA">
        <w:rPr>
          <w:rFonts w:cs="Times New Roman"/>
          <w:color w:val="000000" w:themeColor="text1"/>
          <w:rtl/>
          <w:lang w:bidi="ar-JO"/>
        </w:rPr>
        <w:t xml:space="preserve"> </w:t>
      </w:r>
      <w:r w:rsidRPr="00CD63FA">
        <w:rPr>
          <w:rFonts w:cs="Times New Roman"/>
          <w:color w:val="000000" w:themeColor="text1"/>
          <w:rtl/>
        </w:rPr>
        <w:t xml:space="preserve">للاطلاع على مُقدّمة ممتازة إلى مقارنة المواد الأدبية المكتوبة التي تعود للشرق الأدنى القديم، انظر </w:t>
      </w:r>
      <w:r w:rsidRPr="00CD63FA">
        <w:rPr>
          <w:rFonts w:cs="Times New Roman"/>
          <w:color w:val="000000" w:themeColor="text1"/>
        </w:rPr>
        <w:t xml:space="preserve">Michael A. Grisanti, “Ancient Near Eastern Literature and the Old Testament,” in </w:t>
      </w:r>
      <w:r w:rsidRPr="00CD63FA">
        <w:rPr>
          <w:rFonts w:cs="Times New Roman"/>
          <w:i/>
          <w:iCs/>
          <w:color w:val="000000" w:themeColor="text1"/>
        </w:rPr>
        <w:t>The World and the Word</w:t>
      </w:r>
      <w:r w:rsidRPr="00CD63FA">
        <w:rPr>
          <w:rFonts w:cs="Times New Roman"/>
          <w:color w:val="000000" w:themeColor="text1"/>
        </w:rPr>
        <w:t>, 53-78</w:t>
      </w:r>
      <w:r w:rsidRPr="00CD63FA">
        <w:rPr>
          <w:rFonts w:cs="Times New Roman"/>
          <w:color w:val="000000" w:themeColor="text1"/>
          <w:rtl/>
          <w:lang w:bidi="ar-JO"/>
        </w:rPr>
        <w:t xml:space="preserve">. يُعتبَر المصدر الأساسي والأشهر لنصوص الشرق الأدنى القديم </w:t>
      </w:r>
      <w:r w:rsidRPr="00CD63FA">
        <w:rPr>
          <w:rFonts w:cs="Times New Roman"/>
          <w:color w:val="000000" w:themeColor="text1"/>
          <w:lang w:bidi="ar-JO"/>
        </w:rPr>
        <w:t xml:space="preserve">J. B. Pritchard, ed., </w:t>
      </w:r>
      <w:r w:rsidRPr="00CD63FA">
        <w:rPr>
          <w:rFonts w:cs="Times New Roman"/>
          <w:i/>
          <w:iCs/>
          <w:color w:val="000000" w:themeColor="text1"/>
          <w:lang w:bidi="ar-JO"/>
        </w:rPr>
        <w:t>Ancient Near Eastern Texts Relating to the Old Testament</w:t>
      </w:r>
      <w:r w:rsidRPr="00CD63FA">
        <w:rPr>
          <w:rFonts w:cs="Times New Roman"/>
          <w:color w:val="000000" w:themeColor="text1"/>
          <w:lang w:bidi="ar-JO"/>
        </w:rPr>
        <w:t>, 3</w:t>
      </w:r>
      <w:r w:rsidRPr="00CD63FA">
        <w:rPr>
          <w:rFonts w:cs="Times New Roman"/>
          <w:color w:val="000000" w:themeColor="text1"/>
          <w:vertAlign w:val="superscript"/>
          <w:lang w:bidi="ar-JO"/>
        </w:rPr>
        <w:t>rd</w:t>
      </w:r>
      <w:r w:rsidRPr="00CD63FA">
        <w:rPr>
          <w:rFonts w:cs="Times New Roman"/>
          <w:color w:val="000000" w:themeColor="text1"/>
          <w:lang w:bidi="ar-JO"/>
        </w:rPr>
        <w:t xml:space="preserve"> ed. (Princeton, NJ: Princeton University Press, 1969)</w:t>
      </w:r>
      <w:r w:rsidRPr="00CD63FA">
        <w:rPr>
          <w:rFonts w:cs="Times New Roman"/>
          <w:color w:val="000000" w:themeColor="text1"/>
          <w:rtl/>
          <w:lang w:bidi="ar-JO"/>
        </w:rPr>
        <w:t xml:space="preserve">. من الأدوات المفيدة في تقييم كتابات ووثائق الشرق الأدنى القديم: </w:t>
      </w:r>
      <w:r w:rsidRPr="00CD63FA">
        <w:rPr>
          <w:rFonts w:cs="Times New Roman"/>
          <w:color w:val="000000" w:themeColor="text1"/>
          <w:lang w:bidi="ar-JO"/>
        </w:rPr>
        <w:t xml:space="preserve">Bill T. Arnold and Bryan E. Beyer, </w:t>
      </w:r>
      <w:r w:rsidRPr="00CD63FA">
        <w:rPr>
          <w:rFonts w:cs="Times New Roman"/>
          <w:i/>
          <w:iCs/>
          <w:color w:val="000000" w:themeColor="text1"/>
          <w:lang w:bidi="ar-JO"/>
        </w:rPr>
        <w:t>Reading from the Ancient Near East: Primary Sources for Old Testament Study</w:t>
      </w:r>
      <w:r w:rsidRPr="00CD63FA">
        <w:rPr>
          <w:rFonts w:cs="Times New Roman"/>
          <w:color w:val="000000" w:themeColor="text1"/>
          <w:lang w:bidi="ar-JO"/>
        </w:rPr>
        <w:t xml:space="preserve"> (Grand Rapids: Baker, 2002)</w:t>
      </w:r>
      <w:r w:rsidRPr="00CD63FA">
        <w:rPr>
          <w:rFonts w:cs="Times New Roman"/>
          <w:color w:val="000000" w:themeColor="text1"/>
          <w:rtl/>
          <w:lang w:bidi="ar-JO"/>
        </w:rPr>
        <w:t xml:space="preserve">؛ و </w:t>
      </w:r>
      <w:r w:rsidRPr="00CD63FA">
        <w:rPr>
          <w:rFonts w:cs="Times New Roman"/>
          <w:color w:val="000000" w:themeColor="text1"/>
          <w:lang w:bidi="ar-JO"/>
        </w:rPr>
        <w:t xml:space="preserve">John H. Walton, </w:t>
      </w:r>
      <w:r w:rsidRPr="00CD63FA">
        <w:rPr>
          <w:rFonts w:cs="Times New Roman"/>
          <w:i/>
          <w:iCs/>
          <w:color w:val="000000" w:themeColor="text1"/>
          <w:lang w:bidi="ar-JO"/>
        </w:rPr>
        <w:t>Ancient Near Eastern Thought and the Old Testament</w:t>
      </w:r>
      <w:r w:rsidRPr="00CD63FA">
        <w:rPr>
          <w:rFonts w:cs="Times New Roman"/>
          <w:color w:val="000000" w:themeColor="text1"/>
          <w:lang w:bidi="ar-JO"/>
        </w:rPr>
        <w:t xml:space="preserve"> (Grand Rapids: Baker, 2006)</w:t>
      </w:r>
      <w:r w:rsidRPr="00CD63FA">
        <w:rPr>
          <w:rFonts w:cs="Times New Roman"/>
          <w:color w:val="000000" w:themeColor="text1"/>
          <w:rtl/>
          <w:lang w:bidi="ar-JO"/>
        </w:rPr>
        <w:t xml:space="preserve">؛ و </w:t>
      </w:r>
      <w:r w:rsidRPr="00CD63FA">
        <w:rPr>
          <w:rFonts w:cs="Times New Roman"/>
          <w:color w:val="000000" w:themeColor="text1"/>
          <w:lang w:bidi="ar-JO"/>
        </w:rPr>
        <w:t xml:space="preserve">Victor H. Matthews and D. C. Benjamin, </w:t>
      </w:r>
      <w:r w:rsidRPr="00CD63FA">
        <w:rPr>
          <w:rFonts w:cs="Times New Roman"/>
          <w:i/>
          <w:iCs/>
          <w:color w:val="000000" w:themeColor="text1"/>
          <w:lang w:bidi="ar-JO"/>
        </w:rPr>
        <w:t>Old Testament Parallels: Laws and Stories from the Ancient Near East</w:t>
      </w:r>
      <w:r w:rsidRPr="00CD63FA">
        <w:rPr>
          <w:rFonts w:cs="Times New Roman"/>
          <w:color w:val="000000" w:themeColor="text1"/>
          <w:lang w:bidi="ar-JO"/>
        </w:rPr>
        <w:t>, 3</w:t>
      </w:r>
      <w:r w:rsidRPr="00CD63FA">
        <w:rPr>
          <w:rFonts w:cs="Times New Roman"/>
          <w:color w:val="000000" w:themeColor="text1"/>
          <w:vertAlign w:val="superscript"/>
          <w:lang w:bidi="ar-JO"/>
        </w:rPr>
        <w:t>rd</w:t>
      </w:r>
      <w:r w:rsidRPr="00CD63FA">
        <w:rPr>
          <w:rFonts w:cs="Times New Roman"/>
          <w:color w:val="000000" w:themeColor="text1"/>
          <w:lang w:bidi="ar-JO"/>
        </w:rPr>
        <w:t xml:space="preserve"> ed. (NJ: Paulist Press, 2007)</w:t>
      </w:r>
      <w:r w:rsidRPr="00CD63FA">
        <w:rPr>
          <w:rFonts w:cs="Times New Roman"/>
          <w:color w:val="000000" w:themeColor="text1"/>
          <w:rtl/>
          <w:lang w:bidi="ar-JO"/>
        </w:rPr>
        <w:t>.</w:t>
      </w:r>
    </w:p>
  </w:footnote>
  <w:footnote w:id="229">
    <w:p w14:paraId="7327D8D1" w14:textId="77777777" w:rsidR="00263246" w:rsidRPr="00CD63FA" w:rsidRDefault="00263246" w:rsidP="00263246">
      <w:pPr>
        <w:pStyle w:val="FootnoteText"/>
        <w:rPr>
          <w:rFonts w:cs="Times New Roman"/>
          <w:color w:val="000000" w:themeColor="text1"/>
          <w:rtl/>
          <w:lang w:bidi="ar-JO"/>
        </w:rPr>
      </w:pPr>
      <w:r w:rsidRPr="00CD63FA">
        <w:rPr>
          <w:rStyle w:val="FootnoteReference"/>
          <w:rFonts w:cs="Times New Roman"/>
          <w:color w:val="000000" w:themeColor="text1"/>
        </w:rPr>
        <w:footnoteRef/>
      </w:r>
      <w:r w:rsidRPr="00CD63FA">
        <w:rPr>
          <w:rFonts w:cs="Times New Roman"/>
          <w:color w:val="000000" w:themeColor="text1"/>
        </w:rPr>
        <w:t xml:space="preserve"> Siegfried J. Schwantes, 40.</w:t>
      </w:r>
    </w:p>
  </w:footnote>
  <w:footnote w:id="230">
    <w:p w14:paraId="75508BC7" w14:textId="274CF0B9" w:rsidR="00745F4B" w:rsidRPr="00745F4B" w:rsidRDefault="00745F4B" w:rsidP="00745F4B">
      <w:pPr>
        <w:pStyle w:val="FootnoteText"/>
        <w:bidi/>
        <w:rPr>
          <w:rtl/>
          <w:lang w:bidi="ar-JO"/>
        </w:rPr>
      </w:pPr>
      <w:r>
        <w:rPr>
          <w:rStyle w:val="FootnoteReference"/>
        </w:rPr>
        <w:footnoteRef/>
      </w:r>
      <w:r>
        <w:t xml:space="preserve"> </w:t>
      </w:r>
      <w:r>
        <w:rPr>
          <w:rFonts w:hint="cs"/>
          <w:rtl/>
        </w:rPr>
        <w:t>هناك مدافعون كثيرون عن هذا الرأي</w:t>
      </w:r>
      <w:r w:rsidR="00881AA8">
        <w:rPr>
          <w:rFonts w:hint="cs"/>
          <w:rtl/>
        </w:rPr>
        <w:t>.</w:t>
      </w:r>
      <w:r>
        <w:rPr>
          <w:rFonts w:hint="cs"/>
          <w:rtl/>
        </w:rPr>
        <w:t xml:space="preserve"> انظر بصورة خاصّة </w:t>
      </w:r>
      <w:r w:rsidRPr="00894252">
        <w:t xml:space="preserve">Mark Rooker, "Genesis 1:1-3: Creation or Re-Creation?  Part 1," </w:t>
      </w:r>
      <w:r w:rsidRPr="00894252">
        <w:rPr>
          <w:i/>
          <w:iCs/>
        </w:rPr>
        <w:t>BibSac</w:t>
      </w:r>
      <w:r w:rsidRPr="00894252">
        <w:t xml:space="preserve"> 149:595 (Jul-Sep 1992): 316-23</w:t>
      </w:r>
      <w:r>
        <w:rPr>
          <w:rFonts w:hint="cs"/>
          <w:rtl/>
        </w:rPr>
        <w:t xml:space="preserve">؛ والجزء الثاني في </w:t>
      </w:r>
      <w:r w:rsidRPr="00894252">
        <w:rPr>
          <w:i/>
          <w:iCs/>
        </w:rPr>
        <w:t>BibSac</w:t>
      </w:r>
      <w:r w:rsidRPr="00894252">
        <w:t xml:space="preserve"> 149:596 (Oct-Dec 1992): 411-27</w:t>
      </w:r>
      <w:r>
        <w:rPr>
          <w:rFonts w:hint="cs"/>
          <w:rtl/>
        </w:rPr>
        <w:t xml:space="preserve">؛ و </w:t>
      </w:r>
      <w:r w:rsidRPr="00894252">
        <w:t xml:space="preserve">Todd Beall, “Reading Genesis 1-2: A Literal Approach,” in </w:t>
      </w:r>
      <w:r w:rsidRPr="00894252">
        <w:rPr>
          <w:i/>
          <w:iCs/>
        </w:rPr>
        <w:t>Reading Genesis 1-2; An Evangelical Conversation</w:t>
      </w:r>
      <w:r w:rsidRPr="00894252">
        <w:t>, ed. J. Daryl Charles (Peabody, Mass: Hendrickson, 2013), 45-59</w:t>
      </w:r>
      <w:r>
        <w:rPr>
          <w:rFonts w:hint="cs"/>
          <w:rtl/>
        </w:rPr>
        <w:t xml:space="preserve">؛ و </w:t>
      </w:r>
      <w:r w:rsidRPr="00894252">
        <w:t xml:space="preserve">H. C. Leupold, </w:t>
      </w:r>
      <w:r w:rsidRPr="00894252">
        <w:rPr>
          <w:i/>
          <w:iCs/>
        </w:rPr>
        <w:t>Exposition of Genesis</w:t>
      </w:r>
      <w:r w:rsidRPr="00894252">
        <w:t xml:space="preserve"> (Grand Rapids: Baker, 1942)</w:t>
      </w:r>
      <w:r>
        <w:rPr>
          <w:rFonts w:hint="cs"/>
          <w:rtl/>
        </w:rPr>
        <w:t xml:space="preserve">؛ و </w:t>
      </w:r>
      <w:r w:rsidRPr="00894252">
        <w:t xml:space="preserve">J. Ligon Duncan III and David. W. Hall, “The 24-Hour View,” in </w:t>
      </w:r>
      <w:r w:rsidRPr="00894252">
        <w:rPr>
          <w:i/>
          <w:iCs/>
        </w:rPr>
        <w:t>The G3N3SIS Debate</w:t>
      </w:r>
      <w:r w:rsidRPr="00894252">
        <w:t>, ed. David G. Hagopian (Mission Viejo, CA: Crux Press, 2001), 21-66</w:t>
      </w:r>
      <w:r>
        <w:rPr>
          <w:rFonts w:hint="cs"/>
          <w:rtl/>
        </w:rPr>
        <w:t xml:space="preserve">؛ و </w:t>
      </w:r>
      <w:r w:rsidRPr="00894252">
        <w:t xml:space="preserve">Terry Mortenson and Thane H. Ury, eds., </w:t>
      </w:r>
      <w:r w:rsidRPr="00894252">
        <w:rPr>
          <w:i/>
          <w:iCs/>
        </w:rPr>
        <w:t>Coming to Grips with Genesis; Biblical Authority and the Age of the Earth</w:t>
      </w:r>
      <w:r w:rsidRPr="00894252">
        <w:t xml:space="preserve"> (Green Forest, AR: Master Books, 2008)</w:t>
      </w:r>
      <w:r>
        <w:rPr>
          <w:rFonts w:hint="cs"/>
          <w:rtl/>
        </w:rPr>
        <w:t xml:space="preserve">؛ و </w:t>
      </w:r>
      <w:r w:rsidRPr="00894252">
        <w:t xml:space="preserve">and Jeremy D. Lyon, “Genesis 1:1-3 and the Literary Boundary of Day One,” </w:t>
      </w:r>
      <w:r w:rsidRPr="00894252">
        <w:rPr>
          <w:i/>
          <w:iCs/>
        </w:rPr>
        <w:t>JETS</w:t>
      </w:r>
      <w:r w:rsidRPr="00894252">
        <w:t xml:space="preserve"> 62.2 (2019): 269-85</w:t>
      </w:r>
      <w:r>
        <w:rPr>
          <w:rFonts w:hint="cs"/>
          <w:rtl/>
        </w:rPr>
        <w:t>. ومع أنّ كاسوتو (</w:t>
      </w:r>
      <w:r>
        <w:t>Cassuto</w:t>
      </w:r>
      <w:r>
        <w:rPr>
          <w:rFonts w:hint="cs"/>
          <w:rtl/>
        </w:rPr>
        <w:t xml:space="preserve">) يفهم تكوين 1: 1 بوصفها مُقدِّمة إلى كامل الأصحاح، فإنّه يعتقد بالرأي التقليدي </w:t>
      </w:r>
      <w:r>
        <w:rPr>
          <w:rtl/>
        </w:rPr>
        <w:t>–</w:t>
      </w:r>
      <w:r>
        <w:rPr>
          <w:rFonts w:hint="cs"/>
          <w:rtl/>
        </w:rPr>
        <w:t xml:space="preserve"> ستة أيّام حرفيّة.</w:t>
      </w:r>
    </w:p>
  </w:footnote>
  <w:footnote w:id="231">
    <w:p w14:paraId="0FAAFBCE" w14:textId="1FEC8087" w:rsidR="00AD2040" w:rsidRPr="00780E87" w:rsidRDefault="00AD2040" w:rsidP="00AD2040">
      <w:pPr>
        <w:pStyle w:val="FootnoteText"/>
        <w:bidi/>
        <w:rPr>
          <w:color w:val="FF0000"/>
          <w:rtl/>
          <w:lang w:bidi="ar-JO"/>
        </w:rPr>
      </w:pPr>
      <w:r>
        <w:rPr>
          <w:rStyle w:val="FootnoteReference"/>
        </w:rPr>
        <w:footnoteRef/>
      </w:r>
      <w:r>
        <w:t xml:space="preserve"> </w:t>
      </w:r>
      <w:r>
        <w:rPr>
          <w:rFonts w:hint="cs"/>
          <w:rtl/>
        </w:rPr>
        <w:t>ل</w:t>
      </w:r>
      <w:r>
        <w:rPr>
          <w:rFonts w:hint="cs"/>
          <w:rtl/>
          <w:lang w:bidi="ar-JO"/>
        </w:rPr>
        <w:t xml:space="preserve">حقيقة أن الآيات الخمسة الأولى تشكِّل أحداث اليوم الأولى دعمٌ ثانوي في </w:t>
      </w:r>
      <w:r w:rsidR="00C10710">
        <w:rPr>
          <w:rFonts w:hint="cs"/>
          <w:rtl/>
          <w:lang w:bidi="ar-JO"/>
        </w:rPr>
        <w:t>الطريقة التي تُميَّز بها أيّام الخلق في</w:t>
      </w:r>
      <w:r w:rsidR="00306150">
        <w:rPr>
          <w:rFonts w:hint="cs"/>
          <w:rtl/>
          <w:lang w:bidi="ar-JO"/>
        </w:rPr>
        <w:t xml:space="preserve"> قطع مخطوطات البحر الميت (بصورة خاصّة المخطوطتان </w:t>
      </w:r>
      <w:r w:rsidR="00306150">
        <w:rPr>
          <w:lang w:bidi="ar-JO"/>
        </w:rPr>
        <w:t>4QGen</w:t>
      </w:r>
      <w:r w:rsidR="00306150" w:rsidRPr="00306150">
        <w:rPr>
          <w:vertAlign w:val="superscript"/>
          <w:lang w:bidi="ar-JO"/>
        </w:rPr>
        <w:t>b</w:t>
      </w:r>
      <w:r w:rsidR="00306150">
        <w:rPr>
          <w:rFonts w:hint="cs"/>
          <w:rtl/>
          <w:lang w:bidi="ar-JO"/>
        </w:rPr>
        <w:t xml:space="preserve"> و </w:t>
      </w:r>
      <w:r w:rsidR="00306150" w:rsidRPr="00780E87">
        <w:rPr>
          <w:color w:val="FF0000"/>
          <w:lang w:bidi="ar-JO"/>
        </w:rPr>
        <w:t>4QGen</w:t>
      </w:r>
      <w:r w:rsidR="00306150" w:rsidRPr="00780E87">
        <w:rPr>
          <w:color w:val="FF0000"/>
          <w:vertAlign w:val="superscript"/>
          <w:lang w:bidi="ar-JO"/>
        </w:rPr>
        <w:t>g</w:t>
      </w:r>
      <w:r w:rsidR="00306150" w:rsidRPr="00780E87">
        <w:rPr>
          <w:rFonts w:hint="cs"/>
          <w:color w:val="FF0000"/>
          <w:rtl/>
          <w:lang w:bidi="ar-JO"/>
        </w:rPr>
        <w:t xml:space="preserve">). ففي هذه القطع هناك فراغ بعد كل يوم، ولكنّ الفراغ الأول لا يرد إلا بعد الآية 5. انظر </w:t>
      </w:r>
      <w:r w:rsidR="0047731A" w:rsidRPr="00780E87">
        <w:rPr>
          <w:color w:val="FF0000"/>
        </w:rPr>
        <w:t>Jeremy Lyon (“Genesis 1:1-3 and the Literary Boundary of Day One,” 281-84)</w:t>
      </w:r>
      <w:r w:rsidR="0047731A" w:rsidRPr="00780E87">
        <w:rPr>
          <w:rFonts w:hint="cs"/>
          <w:color w:val="FF0000"/>
          <w:rtl/>
          <w:lang w:bidi="ar-JO"/>
        </w:rPr>
        <w:t>، الذي يؤكِّد على هذه الفكرة. قارن مع كتاب "اليوبيلات" 2: 14، الذي يسمي سبعة أعمال عظيمة لله عملها في اليوم الأول، ومنها خل</w:t>
      </w:r>
      <w:r w:rsidR="00881AA8">
        <w:rPr>
          <w:rFonts w:hint="cs"/>
          <w:color w:val="FF0000"/>
          <w:rtl/>
          <w:lang w:bidi="ar-JO"/>
        </w:rPr>
        <w:t>ْ</w:t>
      </w:r>
      <w:r w:rsidR="0047731A" w:rsidRPr="00780E87">
        <w:rPr>
          <w:rFonts w:hint="cs"/>
          <w:color w:val="FF0000"/>
          <w:rtl/>
          <w:lang w:bidi="ar-JO"/>
        </w:rPr>
        <w:t>ق السماوات والأرض. (</w:t>
      </w:r>
      <w:r w:rsidR="00780E87" w:rsidRPr="00780E87">
        <w:rPr>
          <w:color w:val="FF0000"/>
        </w:rPr>
        <w:t xml:space="preserve">James C. VanderKam, </w:t>
      </w:r>
      <w:r w:rsidR="00780E87" w:rsidRPr="00780E87">
        <w:rPr>
          <w:i/>
          <w:iCs/>
          <w:color w:val="FF0000"/>
        </w:rPr>
        <w:t>Jubilees: A Commentary on the Book of Jubilees, Chapters 1-50</w:t>
      </w:r>
      <w:r w:rsidR="00780E87" w:rsidRPr="00780E87">
        <w:rPr>
          <w:color w:val="FF0000"/>
        </w:rPr>
        <w:t>, ed. Sidnie W. Crawford, Hermeneia [Minneapolis, MN: Fortress Press, 2018], 1:167</w:t>
      </w:r>
      <w:r w:rsidR="0047731A" w:rsidRPr="00780E87">
        <w:rPr>
          <w:rFonts w:hint="cs"/>
          <w:color w:val="FF0000"/>
          <w:rtl/>
          <w:lang w:bidi="ar-JO"/>
        </w:rPr>
        <w:t>).</w:t>
      </w:r>
    </w:p>
  </w:footnote>
  <w:footnote w:id="232">
    <w:p w14:paraId="110AC3E6" w14:textId="77777777" w:rsidR="00780E87" w:rsidRPr="003B5484" w:rsidRDefault="00780E87" w:rsidP="00780E87">
      <w:pPr>
        <w:pStyle w:val="Footnote"/>
      </w:pPr>
      <w:r w:rsidRPr="00894252">
        <w:rPr>
          <w:rStyle w:val="FootnoteReference"/>
          <w:color w:val="C00000"/>
        </w:rPr>
        <w:footnoteRef/>
      </w:r>
      <w:r w:rsidRPr="00894252">
        <w:rPr>
          <w:color w:val="C00000"/>
        </w:rPr>
        <w:t xml:space="preserve"> Umberto Cassuto, </w:t>
      </w:r>
      <w:r w:rsidRPr="00894252">
        <w:rPr>
          <w:i/>
          <w:iCs/>
          <w:color w:val="C00000"/>
        </w:rPr>
        <w:t>A Commentary on the Book of Genesis: Part One, From Adam to Noah</w:t>
      </w:r>
      <w:r w:rsidRPr="00894252">
        <w:rPr>
          <w:color w:val="C00000"/>
        </w:rPr>
        <w:t xml:space="preserve"> (Hebrew Univ Jerusalem: Magnes Press, 1989), 19-20.</w:t>
      </w:r>
    </w:p>
  </w:footnote>
  <w:footnote w:id="233">
    <w:p w14:paraId="3AAD384C" w14:textId="77777777" w:rsidR="00881BFF" w:rsidRPr="00894252" w:rsidRDefault="00881BFF" w:rsidP="00881BFF">
      <w:pPr>
        <w:pStyle w:val="Footnote"/>
        <w:rPr>
          <w:rFonts w:asciiTheme="majorBidi" w:hAnsiTheme="majorBidi" w:cstheme="majorBidi"/>
          <w:color w:val="C00000"/>
        </w:rPr>
      </w:pPr>
      <w:r w:rsidRPr="00894252">
        <w:rPr>
          <w:rStyle w:val="FootnoteReference"/>
          <w:color w:val="C00000"/>
        </w:rPr>
        <w:footnoteRef/>
      </w:r>
      <w:r w:rsidRPr="00894252">
        <w:rPr>
          <w:color w:val="C00000"/>
        </w:rPr>
        <w:t xml:space="preserve"> John H. Sailhamer, “Genesis,” in </w:t>
      </w:r>
      <w:r w:rsidRPr="00894252">
        <w:rPr>
          <w:i/>
          <w:iCs/>
          <w:color w:val="C00000"/>
        </w:rPr>
        <w:t>The Expositor’s Bible Commentary</w:t>
      </w:r>
      <w:r w:rsidRPr="00894252">
        <w:rPr>
          <w:color w:val="C00000"/>
        </w:rPr>
        <w:t xml:space="preserve">, rev ed., Vol. 1: Genesis-Leviticus (Grand Rapids, MI: Zondervan Pub. House, 2008); and </w:t>
      </w:r>
      <w:r w:rsidRPr="00894252">
        <w:rPr>
          <w:i/>
          <w:iCs/>
          <w:color w:val="C00000"/>
        </w:rPr>
        <w:t>Genesis Unbound</w:t>
      </w:r>
      <w:r w:rsidRPr="00894252">
        <w:rPr>
          <w:color w:val="C00000"/>
        </w:rPr>
        <w:t>, 2</w:t>
      </w:r>
      <w:r w:rsidRPr="00894252">
        <w:rPr>
          <w:color w:val="C00000"/>
          <w:vertAlign w:val="superscript"/>
        </w:rPr>
        <w:t>nd</w:t>
      </w:r>
      <w:r w:rsidRPr="00894252">
        <w:rPr>
          <w:color w:val="C00000"/>
        </w:rPr>
        <w:t xml:space="preserve"> ed. (2011).</w:t>
      </w:r>
    </w:p>
  </w:footnote>
  <w:footnote w:id="234">
    <w:p w14:paraId="42277BA7" w14:textId="7AD3DC29" w:rsidR="00894252" w:rsidRPr="00894252" w:rsidRDefault="00894252" w:rsidP="000B0134">
      <w:pPr>
        <w:pStyle w:val="Footnote"/>
        <w:bidi/>
        <w:rPr>
          <w:color w:val="C00000"/>
        </w:rPr>
      </w:pPr>
      <w:r w:rsidRPr="00894252">
        <w:rPr>
          <w:rStyle w:val="FootnoteReference"/>
          <w:color w:val="C00000"/>
        </w:rPr>
        <w:footnoteRef/>
      </w:r>
      <w:r w:rsidRPr="00894252">
        <w:rPr>
          <w:color w:val="C00000"/>
        </w:rPr>
        <w:t xml:space="preserve"> </w:t>
      </w:r>
      <w:r w:rsidR="001C7EC4">
        <w:rPr>
          <w:rFonts w:hint="cs"/>
          <w:color w:val="C00000"/>
          <w:rtl/>
        </w:rPr>
        <w:t>نرى دفاعًا عن نظرية الخلق بعد الفجوة في نسخة سكوفيلد للكتاب المُقدَّس الدراسي (</w:t>
      </w:r>
      <w:r w:rsidR="000B0134" w:rsidRPr="00894252">
        <w:rPr>
          <w:i/>
          <w:iCs/>
          <w:color w:val="C00000"/>
        </w:rPr>
        <w:t>Scofield Reference Bible</w:t>
      </w:r>
      <w:r w:rsidR="000B0134">
        <w:rPr>
          <w:rFonts w:hint="cs"/>
          <w:i/>
          <w:iCs/>
          <w:color w:val="C00000"/>
          <w:rtl/>
          <w:lang w:bidi="ar-JO"/>
        </w:rPr>
        <w:t>، 1917</w:t>
      </w:r>
      <w:r w:rsidR="001C7EC4">
        <w:rPr>
          <w:rFonts w:hint="cs"/>
          <w:color w:val="C00000"/>
          <w:rtl/>
        </w:rPr>
        <w:t>)، ومن ثمّ نرى دفاعًا ع</w:t>
      </w:r>
      <w:r w:rsidR="000B0134">
        <w:rPr>
          <w:rFonts w:hint="cs"/>
          <w:color w:val="C00000"/>
          <w:rtl/>
        </w:rPr>
        <w:t>ن</w:t>
      </w:r>
      <w:r w:rsidR="001C7EC4">
        <w:rPr>
          <w:rFonts w:hint="cs"/>
          <w:color w:val="C00000"/>
          <w:rtl/>
        </w:rPr>
        <w:t xml:space="preserve">ها في </w:t>
      </w:r>
      <w:r w:rsidR="000B0134" w:rsidRPr="00894252">
        <w:rPr>
          <w:color w:val="C00000"/>
        </w:rPr>
        <w:t xml:space="preserve">Arthur C. Custance, </w:t>
      </w:r>
      <w:r w:rsidR="000B0134" w:rsidRPr="00894252">
        <w:rPr>
          <w:i/>
          <w:iCs/>
          <w:color w:val="C00000"/>
        </w:rPr>
        <w:t>Without Form and Void</w:t>
      </w:r>
      <w:r w:rsidR="000B0134" w:rsidRPr="00894252">
        <w:rPr>
          <w:color w:val="C00000"/>
        </w:rPr>
        <w:t xml:space="preserve"> (Brockville, Ontario: n.p., 1970)</w:t>
      </w:r>
      <w:r w:rsidR="000B0134">
        <w:rPr>
          <w:rFonts w:hint="cs"/>
          <w:color w:val="C00000"/>
          <w:rtl/>
        </w:rPr>
        <w:t xml:space="preserve">؛ و </w:t>
      </w:r>
      <w:r w:rsidR="000B0134" w:rsidRPr="00894252">
        <w:rPr>
          <w:color w:val="C00000"/>
        </w:rPr>
        <w:t xml:space="preserve">Merrill F. Unger, </w:t>
      </w:r>
      <w:r w:rsidR="000B0134" w:rsidRPr="00894252">
        <w:rPr>
          <w:i/>
          <w:iCs/>
          <w:color w:val="C00000"/>
        </w:rPr>
        <w:t>Unger’s Commentary on the Old Testament; Volume 1, Genesis—Song of Solomon</w:t>
      </w:r>
      <w:r w:rsidR="000B0134" w:rsidRPr="00894252">
        <w:rPr>
          <w:color w:val="C00000"/>
        </w:rPr>
        <w:t xml:space="preserve"> (Chicago: Moody Press, 1981), 5</w:t>
      </w:r>
      <w:r w:rsidR="001C7EC4">
        <w:rPr>
          <w:rFonts w:hint="cs"/>
          <w:color w:val="C00000"/>
          <w:rtl/>
        </w:rPr>
        <w:t>.</w:t>
      </w:r>
    </w:p>
  </w:footnote>
  <w:footnote w:id="235">
    <w:p w14:paraId="7FBF852A" w14:textId="182635B1" w:rsidR="00894252" w:rsidRDefault="00894252" w:rsidP="00423A21">
      <w:pPr>
        <w:pStyle w:val="Footnote"/>
        <w:bidi/>
      </w:pPr>
      <w:r w:rsidRPr="00894252">
        <w:rPr>
          <w:rStyle w:val="FootnoteReference"/>
          <w:color w:val="C00000"/>
        </w:rPr>
        <w:footnoteRef/>
      </w:r>
      <w:r w:rsidRPr="00894252">
        <w:rPr>
          <w:color w:val="C00000"/>
        </w:rPr>
        <w:t xml:space="preserve"> C. John Collins, “Reading Genesis 1–2 with the Grain: Analogical Days,” in </w:t>
      </w:r>
      <w:bookmarkStart w:id="172" w:name="_Hlk39241840"/>
      <w:bookmarkStart w:id="173" w:name="_Hlk39068132"/>
      <w:r w:rsidRPr="00894252">
        <w:rPr>
          <w:i/>
          <w:iCs/>
          <w:color w:val="C00000"/>
        </w:rPr>
        <w:t>Reading Genesis 1-2; An Evangelical Conversation</w:t>
      </w:r>
      <w:bookmarkEnd w:id="172"/>
      <w:r w:rsidRPr="00894252">
        <w:rPr>
          <w:color w:val="C00000"/>
        </w:rPr>
        <w:t xml:space="preserve">, ed. J. Daryl Charles </w:t>
      </w:r>
      <w:r w:rsidRPr="00894252">
        <w:rPr>
          <w:rFonts w:asciiTheme="majorBidi" w:hAnsiTheme="majorBidi" w:cstheme="majorBidi"/>
          <w:color w:val="C00000"/>
        </w:rPr>
        <w:t>(Peabody, Mass: Hendrickson, 2013), 73-92</w:t>
      </w:r>
      <w:bookmarkEnd w:id="173"/>
      <w:r w:rsidR="00423A21">
        <w:rPr>
          <w:rFonts w:asciiTheme="majorBidi" w:hAnsiTheme="majorBidi" w:cstheme="majorBidi" w:hint="cs"/>
          <w:color w:val="C00000"/>
          <w:rtl/>
        </w:rPr>
        <w:t xml:space="preserve">. قارن مع </w:t>
      </w:r>
      <w:r w:rsidRPr="00894252">
        <w:rPr>
          <w:rFonts w:asciiTheme="majorBidi" w:hAnsiTheme="majorBidi" w:cstheme="majorBidi"/>
          <w:color w:val="C00000"/>
        </w:rPr>
        <w:t xml:space="preserve">Collins, </w:t>
      </w:r>
      <w:r w:rsidRPr="00894252">
        <w:rPr>
          <w:rFonts w:asciiTheme="majorBidi" w:hAnsiTheme="majorBidi" w:cstheme="majorBidi"/>
          <w:i/>
          <w:iCs/>
          <w:color w:val="C00000"/>
        </w:rPr>
        <w:t>Genesis 1–4: A Linguistic, Literary, and Theological Commentary</w:t>
      </w:r>
      <w:r w:rsidRPr="00894252">
        <w:rPr>
          <w:rFonts w:asciiTheme="majorBidi" w:hAnsiTheme="majorBidi" w:cstheme="majorBidi"/>
          <w:color w:val="C00000"/>
        </w:rPr>
        <w:t xml:space="preserve"> (Phillipsburg, NJ: P&amp;R, 2006).</w:t>
      </w:r>
    </w:p>
  </w:footnote>
  <w:footnote w:id="236">
    <w:p w14:paraId="7CACE896" w14:textId="5F9642DF" w:rsidR="00C33ECE" w:rsidRPr="00C33ECE" w:rsidRDefault="00C33ECE" w:rsidP="00C33ECE">
      <w:pPr>
        <w:pStyle w:val="FootnoteText"/>
        <w:bidi/>
        <w:rPr>
          <w:rtl/>
          <w:lang w:bidi="ar-JO"/>
        </w:rPr>
      </w:pPr>
      <w:r>
        <w:rPr>
          <w:rStyle w:val="FootnoteReference"/>
        </w:rPr>
        <w:footnoteRef/>
      </w:r>
      <w:r>
        <w:t xml:space="preserve"> </w:t>
      </w:r>
      <w:r>
        <w:rPr>
          <w:rFonts w:hint="cs"/>
          <w:rtl/>
        </w:rPr>
        <w:t>يقدِّم تود بيل (</w:t>
      </w:r>
      <w:r w:rsidR="009C6DD2">
        <w:t>Todd Beall</w:t>
      </w:r>
      <w:r>
        <w:rPr>
          <w:rFonts w:hint="cs"/>
          <w:rtl/>
        </w:rPr>
        <w:t xml:space="preserve">) </w:t>
      </w:r>
      <w:r w:rsidR="009C6DD2">
        <w:rPr>
          <w:rFonts w:hint="cs"/>
          <w:rtl/>
          <w:lang w:bidi="ar-JO"/>
        </w:rPr>
        <w:t>حجّة جيدة ضدّ فكرة أن أيّام تكوين 1 أيّام عملٍ لله: "تُستخدَم الكلمة العبرية ’يوم‘ ستّ مرّات في خروج 20: 8-11. هل علينا حقًّا أن نعتقد أنّها أيّام حرفي</w:t>
      </w:r>
      <w:r w:rsidR="00F54216">
        <w:rPr>
          <w:rFonts w:hint="cs"/>
          <w:rtl/>
          <w:lang w:bidi="ar-JO"/>
        </w:rPr>
        <w:t>ّة</w:t>
      </w:r>
      <w:r w:rsidR="009C6DD2">
        <w:rPr>
          <w:rFonts w:hint="cs"/>
          <w:rtl/>
          <w:lang w:bidi="ar-JO"/>
        </w:rPr>
        <w:t xml:space="preserve"> في أربعةٍ من هذه الاستخدامات (خروج 20: 8، 9، 10، 11ب)، بينما نفهمها بمعنى مدة زمنية غير محدّدة في الاستخدامَين الآخرين (خروج 20: 11)، مع أن</w:t>
      </w:r>
      <w:r w:rsidR="00F54216">
        <w:rPr>
          <w:rFonts w:hint="cs"/>
          <w:rtl/>
          <w:lang w:bidi="ar-JO"/>
        </w:rPr>
        <w:t>ّ</w:t>
      </w:r>
      <w:r w:rsidR="009C6DD2">
        <w:rPr>
          <w:rFonts w:hint="cs"/>
          <w:rtl/>
          <w:lang w:bidi="ar-JO"/>
        </w:rPr>
        <w:t xml:space="preserve"> كل هذه الاستخدامات ترد في السياق نفسه؟ كل</w:t>
      </w:r>
      <w:r w:rsidR="00F54216">
        <w:rPr>
          <w:rFonts w:hint="cs"/>
          <w:rtl/>
          <w:lang w:bidi="ar-JO"/>
        </w:rPr>
        <w:t>ّ</w:t>
      </w:r>
      <w:r w:rsidR="009C6DD2">
        <w:rPr>
          <w:rFonts w:hint="cs"/>
          <w:rtl/>
          <w:lang w:bidi="ar-JO"/>
        </w:rPr>
        <w:t>ا، فأسبوع الأيّام السبعة والسبت فكرة مبنية على أسبوع الخلق الفعلي، وليس من شيءٍ في نصّ تكوين 1 أو خروج 20 (أو خروج 31) يُشير إلى أن هذه ’أيّام عمل‘ لله، لا أيَّام فعليّة" (</w:t>
      </w:r>
      <w:r w:rsidR="009C6DD2" w:rsidRPr="00894252">
        <w:t xml:space="preserve">(“Responses to Chapter Three; Todd S. Beall,” in </w:t>
      </w:r>
      <w:r w:rsidR="009C6DD2" w:rsidRPr="00894252">
        <w:rPr>
          <w:i/>
          <w:iCs/>
        </w:rPr>
        <w:t>Reading Genesis 1-2; An Evangelical Conversation</w:t>
      </w:r>
      <w:r w:rsidR="009C6DD2" w:rsidRPr="00894252">
        <w:t>, 98</w:t>
      </w:r>
      <w:r w:rsidR="009C6DD2">
        <w:rPr>
          <w:rFonts w:hint="cs"/>
          <w:rtl/>
          <w:lang w:bidi="ar-JO"/>
        </w:rPr>
        <w:t>).</w:t>
      </w:r>
    </w:p>
  </w:footnote>
  <w:footnote w:id="237">
    <w:p w14:paraId="538B0863" w14:textId="730923A9" w:rsidR="009C6DD2" w:rsidRPr="009C6DD2" w:rsidRDefault="009C6DD2" w:rsidP="009C6DD2">
      <w:pPr>
        <w:pStyle w:val="FootnoteText"/>
        <w:bidi/>
        <w:rPr>
          <w:lang w:bidi="ar-JO"/>
        </w:rPr>
      </w:pPr>
      <w:r>
        <w:rPr>
          <w:rStyle w:val="FootnoteReference"/>
        </w:rPr>
        <w:footnoteRef/>
      </w:r>
      <w:r>
        <w:t xml:space="preserve"> </w:t>
      </w:r>
      <w:r>
        <w:rPr>
          <w:rFonts w:hint="cs"/>
          <w:rtl/>
          <w:lang w:bidi="ar-JO"/>
        </w:rPr>
        <w:t xml:space="preserve">هذا هو الرأي الذي يتبناها راشي وأبراهام ابن عزرا (رابيّين من القرون الوسطى؛ انظر كاسوتو [19] للاطّلاع على نقاشٍ لهذا الرأي، وبعض المُفسِّرين المعاصرين. يبدون أن ديرك كيدنر يتبنّى رأيًا شبيهًا برأي راشي. انظر </w:t>
      </w:r>
      <w:r>
        <w:rPr>
          <w:lang w:bidi="ar-JO"/>
        </w:rPr>
        <w:t xml:space="preserve">Derek Kidner, </w:t>
      </w:r>
      <w:r w:rsidRPr="00894252">
        <w:rPr>
          <w:i/>
          <w:iCs/>
        </w:rPr>
        <w:t>Genesis; An Introduction &amp; Commentary</w:t>
      </w:r>
      <w:r w:rsidRPr="00894252">
        <w:t>, Tyndale (Downers Grove, IL: Inter-Varsity, 1967), 44</w:t>
      </w:r>
    </w:p>
  </w:footnote>
  <w:footnote w:id="238">
    <w:p w14:paraId="6806D452" w14:textId="77777777" w:rsidR="00174663" w:rsidRDefault="00174663" w:rsidP="00174663">
      <w:pPr>
        <w:pStyle w:val="Footnote"/>
      </w:pPr>
      <w:r w:rsidRPr="00894252">
        <w:rPr>
          <w:rStyle w:val="FootnoteReference"/>
          <w:color w:val="C00000"/>
        </w:rPr>
        <w:footnoteRef/>
      </w:r>
      <w:r w:rsidRPr="00894252">
        <w:rPr>
          <w:color w:val="C00000"/>
        </w:rPr>
        <w:t xml:space="preserve"> B. K. Waltke, </w:t>
      </w:r>
      <w:bookmarkStart w:id="174" w:name="_Hlk38635301"/>
      <w:r w:rsidRPr="00894252">
        <w:rPr>
          <w:color w:val="C00000"/>
        </w:rPr>
        <w:t xml:space="preserve">“The Creation Account in Genesis 1:1–3: Part III: The Initial Chaos Theory and the Precreation Chaos Theory,” </w:t>
      </w:r>
      <w:r w:rsidRPr="00894252">
        <w:rPr>
          <w:i/>
          <w:iCs/>
          <w:color w:val="C00000"/>
        </w:rPr>
        <w:t>BibSac</w:t>
      </w:r>
      <w:r w:rsidRPr="00894252">
        <w:rPr>
          <w:color w:val="C00000"/>
        </w:rPr>
        <w:t xml:space="preserve"> 132 (Jul-Sep 1975)</w:t>
      </w:r>
      <w:bookmarkEnd w:id="174"/>
      <w:r w:rsidRPr="00894252">
        <w:rPr>
          <w:color w:val="C00000"/>
        </w:rPr>
        <w:t xml:space="preserve">, 216-28; and Allen P. Ross </w:t>
      </w:r>
      <w:r w:rsidRPr="00894252">
        <w:rPr>
          <w:i/>
          <w:iCs/>
          <w:color w:val="C00000"/>
        </w:rPr>
        <w:t>Creation and Blessing; A Guide to the Study and Exposition of Genesis</w:t>
      </w:r>
      <w:r w:rsidRPr="00894252">
        <w:rPr>
          <w:color w:val="C00000"/>
        </w:rPr>
        <w:t xml:space="preserve"> (Grand Rapids: Baker, 1988), 105-07.</w:t>
      </w:r>
    </w:p>
  </w:footnote>
  <w:footnote w:id="239">
    <w:p w14:paraId="48E089BC" w14:textId="77777777" w:rsidR="00D240A6" w:rsidRPr="00894252" w:rsidRDefault="00D240A6" w:rsidP="00D240A6">
      <w:pPr>
        <w:pStyle w:val="Footnote"/>
        <w:rPr>
          <w:color w:val="C00000"/>
        </w:rPr>
      </w:pPr>
      <w:r w:rsidRPr="00894252">
        <w:rPr>
          <w:rStyle w:val="FootnoteReference"/>
          <w:color w:val="C00000"/>
        </w:rPr>
        <w:footnoteRef/>
      </w:r>
      <w:r w:rsidRPr="00894252">
        <w:rPr>
          <w:color w:val="C00000"/>
        </w:rPr>
        <w:t xml:space="preserve"> </w:t>
      </w:r>
      <w:bookmarkStart w:id="175" w:name="_Hlk39067538"/>
      <w:r w:rsidRPr="00894252">
        <w:rPr>
          <w:color w:val="C00000"/>
        </w:rPr>
        <w:t xml:space="preserve">Richard E. Averbeck, “A Literary Day, Inter-Textual, and Contextual Reading of Genesis 1–2,” in </w:t>
      </w:r>
      <w:r w:rsidRPr="00894252">
        <w:rPr>
          <w:i/>
          <w:iCs/>
          <w:color w:val="C00000"/>
        </w:rPr>
        <w:t>Reading Genesis 1-2; An Evangelical Conversation</w:t>
      </w:r>
      <w:r w:rsidRPr="00894252">
        <w:rPr>
          <w:color w:val="C00000"/>
        </w:rPr>
        <w:t xml:space="preserve">, ed. J. Daryl Charles </w:t>
      </w:r>
      <w:r w:rsidRPr="00894252">
        <w:rPr>
          <w:rFonts w:asciiTheme="majorBidi" w:hAnsiTheme="majorBidi" w:cstheme="majorBidi"/>
          <w:color w:val="C00000"/>
        </w:rPr>
        <w:t>(Peabody, Mass: Hendrickson, 2013), 7-34.</w:t>
      </w:r>
      <w:bookmarkEnd w:id="175"/>
    </w:p>
  </w:footnote>
  <w:footnote w:id="240">
    <w:p w14:paraId="1C30D208" w14:textId="161BD846" w:rsidR="00BF3164" w:rsidRPr="00BA3E20" w:rsidRDefault="00BA3E20" w:rsidP="00BF3164">
      <w:pPr>
        <w:pStyle w:val="FootnoteText"/>
        <w:bidi/>
        <w:rPr>
          <w:rtl/>
          <w:lang w:bidi="ar-JO"/>
        </w:rPr>
      </w:pPr>
      <w:r>
        <w:rPr>
          <w:rStyle w:val="FootnoteReference"/>
        </w:rPr>
        <w:footnoteRef/>
      </w:r>
      <w:r>
        <w:rPr>
          <w:rFonts w:hint="cs"/>
          <w:rtl/>
          <w:lang w:bidi="ar-JO"/>
        </w:rPr>
        <w:t xml:space="preserve"> </w:t>
      </w:r>
      <w:r w:rsidR="00BF3164" w:rsidRPr="00894252">
        <w:t xml:space="preserve">Tremper Longman III, “What Genesis 1–2 Teaches (and What It Doesn’t),” in </w:t>
      </w:r>
      <w:r w:rsidR="00BF3164" w:rsidRPr="00894252">
        <w:rPr>
          <w:i/>
          <w:iCs/>
        </w:rPr>
        <w:t>Reading Genesis 1-2; An Evangelical Conversation</w:t>
      </w:r>
      <w:r w:rsidR="00BF3164" w:rsidRPr="00894252">
        <w:t xml:space="preserve">, ed. J. Daryl Charles </w:t>
      </w:r>
      <w:r w:rsidR="00BF3164" w:rsidRPr="00894252">
        <w:rPr>
          <w:rFonts w:asciiTheme="majorBidi" w:hAnsiTheme="majorBidi" w:cstheme="majorBidi"/>
        </w:rPr>
        <w:t>(Peabody, Mass: Hendrickson, 2013), 103-128</w:t>
      </w:r>
      <w:r>
        <w:rPr>
          <w:rFonts w:hint="cs"/>
          <w:rtl/>
          <w:lang w:bidi="ar-JO"/>
        </w:rPr>
        <w:t>.</w:t>
      </w:r>
      <w:r w:rsidR="00BF3164">
        <w:rPr>
          <w:rFonts w:hint="cs"/>
          <w:rtl/>
          <w:lang w:bidi="ar-JO"/>
        </w:rPr>
        <w:t xml:space="preserve"> من بين الذين يدافعون عن التطوُّر الإلهي أيضاً فران</w:t>
      </w:r>
      <w:r w:rsidR="003A1CED">
        <w:rPr>
          <w:rFonts w:hint="cs"/>
          <w:rtl/>
          <w:lang w:bidi="ar-JO"/>
        </w:rPr>
        <w:t>س</w:t>
      </w:r>
      <w:r w:rsidR="00BF3164">
        <w:rPr>
          <w:rFonts w:hint="cs"/>
          <w:rtl/>
          <w:lang w:bidi="ar-JO"/>
        </w:rPr>
        <w:t>يس كولينز (</w:t>
      </w:r>
      <w:r w:rsidR="00BF3164">
        <w:rPr>
          <w:lang w:bidi="ar-JO"/>
        </w:rPr>
        <w:t xml:space="preserve">Francis Collins, </w:t>
      </w:r>
      <w:r w:rsidR="00BF3164" w:rsidRPr="002371DD">
        <w:rPr>
          <w:rFonts w:asciiTheme="majorBidi" w:hAnsiTheme="majorBidi" w:cstheme="majorBidi"/>
          <w:i/>
          <w:iCs/>
        </w:rPr>
        <w:t>The Language of God</w:t>
      </w:r>
      <w:r w:rsidR="00BF3164" w:rsidRPr="00894252">
        <w:rPr>
          <w:rFonts w:asciiTheme="majorBidi" w:hAnsiTheme="majorBidi" w:cstheme="majorBidi"/>
        </w:rPr>
        <w:t xml:space="preserve"> [New York: Free Press, 2006]</w:t>
      </w:r>
      <w:r w:rsidR="00BF3164">
        <w:rPr>
          <w:rFonts w:hint="cs"/>
          <w:rtl/>
          <w:lang w:bidi="ar-JO"/>
        </w:rPr>
        <w:t>)؛ ون. ت. رايت (</w:t>
      </w:r>
      <w:r w:rsidR="00BF3164">
        <w:rPr>
          <w:lang w:bidi="ar-JO"/>
        </w:rPr>
        <w:t xml:space="preserve">N. T. Wright, </w:t>
      </w:r>
      <w:r w:rsidR="00BF3164" w:rsidRPr="00894252">
        <w:rPr>
          <w:rFonts w:asciiTheme="majorBidi" w:hAnsiTheme="majorBidi" w:cstheme="majorBidi"/>
          <w:i/>
          <w:iCs/>
        </w:rPr>
        <w:t>Surprised by Scripture: Engaging with Contemporary Issues</w:t>
      </w:r>
      <w:r w:rsidR="00BF3164" w:rsidRPr="00894252">
        <w:rPr>
          <w:rFonts w:asciiTheme="majorBidi" w:hAnsiTheme="majorBidi" w:cstheme="majorBidi"/>
        </w:rPr>
        <w:t xml:space="preserve"> [Great Britain: SPCK, 2014], 1-40</w:t>
      </w:r>
      <w:r w:rsidR="00BF3164">
        <w:rPr>
          <w:rFonts w:hint="cs"/>
          <w:rtl/>
          <w:lang w:bidi="ar-JO"/>
        </w:rPr>
        <w:t>)؛  ومنظمة "بيولوغوس" (</w:t>
      </w:r>
      <w:r w:rsidR="00BF3164">
        <w:rPr>
          <w:lang w:bidi="ar-JO"/>
        </w:rPr>
        <w:t>Biologos</w:t>
      </w:r>
      <w:r w:rsidR="00BF3164">
        <w:rPr>
          <w:rFonts w:hint="cs"/>
          <w:rtl/>
          <w:lang w:bidi="ar-JO"/>
        </w:rPr>
        <w:t>)؛ وبروس وا</w:t>
      </w:r>
      <w:r w:rsidR="003A1CED">
        <w:rPr>
          <w:rFonts w:hint="cs"/>
          <w:rtl/>
          <w:lang w:bidi="ar-JO"/>
        </w:rPr>
        <w:t>ل</w:t>
      </w:r>
      <w:r w:rsidR="00BF3164">
        <w:rPr>
          <w:rFonts w:hint="cs"/>
          <w:rtl/>
          <w:lang w:bidi="ar-JO"/>
        </w:rPr>
        <w:t>كي (</w:t>
      </w:r>
      <w:r w:rsidR="00BF3164">
        <w:rPr>
          <w:lang w:bidi="ar-JO"/>
        </w:rPr>
        <w:t xml:space="preserve">Bruce K. Waltke, </w:t>
      </w:r>
      <w:r w:rsidR="00BF3164" w:rsidRPr="00894252">
        <w:rPr>
          <w:rFonts w:asciiTheme="majorBidi" w:hAnsiTheme="majorBidi" w:cstheme="majorBidi"/>
          <w:i/>
          <w:iCs/>
        </w:rPr>
        <w:t>An Old Testament Theology</w:t>
      </w:r>
      <w:r w:rsidR="00BF3164" w:rsidRPr="00894252">
        <w:rPr>
          <w:rFonts w:asciiTheme="majorBidi" w:hAnsiTheme="majorBidi" w:cstheme="majorBidi"/>
        </w:rPr>
        <w:t xml:space="preserve"> [Grand Rapids: Zondervan, 2007], 202</w:t>
      </w:r>
      <w:r w:rsidR="00BF3164">
        <w:rPr>
          <w:rFonts w:hint="cs"/>
          <w:rtl/>
          <w:lang w:bidi="ar-JO"/>
        </w:rPr>
        <w:t>)؛ وكيث ب. ميلر ومار نول وآخرون (</w:t>
      </w:r>
      <w:r w:rsidR="00BF3164">
        <w:rPr>
          <w:lang w:bidi="ar-JO"/>
        </w:rPr>
        <w:t xml:space="preserve">Keith B. Miller, Mark Noll, et al, </w:t>
      </w:r>
      <w:r w:rsidR="00BF3164" w:rsidRPr="00894252">
        <w:rPr>
          <w:rFonts w:asciiTheme="majorBidi" w:hAnsiTheme="majorBidi" w:cstheme="majorBidi"/>
          <w:i/>
          <w:iCs/>
        </w:rPr>
        <w:t>Perspectives on an Evolving Creation</w:t>
      </w:r>
      <w:r w:rsidR="00BF3164" w:rsidRPr="00894252">
        <w:rPr>
          <w:rFonts w:asciiTheme="majorBidi" w:hAnsiTheme="majorBidi" w:cstheme="majorBidi"/>
        </w:rPr>
        <w:t xml:space="preserve"> (Grand Rapids: Eerdmans, 2003</w:t>
      </w:r>
      <w:r w:rsidR="00BF3164">
        <w:rPr>
          <w:rFonts w:hint="cs"/>
          <w:rtl/>
          <w:lang w:bidi="ar-JO"/>
        </w:rPr>
        <w:t>)</w:t>
      </w:r>
    </w:p>
  </w:footnote>
  <w:footnote w:id="241">
    <w:p w14:paraId="652D583E" w14:textId="77777777" w:rsidR="00263246" w:rsidRDefault="00263246" w:rsidP="00263246">
      <w:pPr>
        <w:pStyle w:val="FootnoteTxtNewParag"/>
        <w:rPr>
          <w:rtl/>
          <w:lang w:bidi="ar-SA"/>
        </w:rPr>
      </w:pPr>
      <w:r>
        <w:rPr>
          <w:rStyle w:val="FootnoteReference"/>
          <w:sz w:val="22"/>
          <w:szCs w:val="24"/>
        </w:rPr>
        <w:footnoteRef/>
      </w:r>
      <w:r>
        <w:t xml:space="preserve"> </w:t>
      </w:r>
      <w:r>
        <w:rPr>
          <w:rFonts w:hint="cs"/>
          <w:rtl/>
        </w:rPr>
        <w:t xml:space="preserve"> </w:t>
      </w:r>
      <w:r>
        <w:rPr>
          <w:rFonts w:hint="cs"/>
          <w:rtl/>
          <w:lang w:bidi="ar-KW"/>
        </w:rPr>
        <w:t>من أجل مسح مفيد للعلماء اليهود والمسيحيين الذين شككوا في نواحٍ مختلفة للتأليف الموسوي، انظر</w:t>
      </w:r>
      <w:r>
        <w:t xml:space="preserve">Herbert Wolf, </w:t>
      </w:r>
      <w:r>
        <w:rPr>
          <w:i/>
          <w:iCs/>
        </w:rPr>
        <w:t>An Introduction to the Old Testament Pentateuch</w:t>
      </w:r>
      <w:r>
        <w:t xml:space="preserve"> (Chicago:  Moody Press, 1991), 60-62</w:t>
      </w:r>
      <w:r>
        <w:rPr>
          <w:rFonts w:hint="cs"/>
          <w:rtl/>
        </w:rPr>
        <w:t>.</w:t>
      </w:r>
    </w:p>
  </w:footnote>
  <w:footnote w:id="242">
    <w:p w14:paraId="179F3D8F" w14:textId="77777777" w:rsidR="00263246" w:rsidRDefault="00263246" w:rsidP="00263246">
      <w:pPr>
        <w:pStyle w:val="FootnoteTxtNewParag"/>
        <w:bidi w:val="0"/>
        <w:rPr>
          <w:rtl/>
          <w:lang w:bidi="ar-SA"/>
        </w:rPr>
      </w:pPr>
      <w:r>
        <w:rPr>
          <w:rStyle w:val="FootnoteReference"/>
          <w:sz w:val="22"/>
          <w:szCs w:val="24"/>
        </w:rPr>
        <w:footnoteRef/>
      </w:r>
      <w:r>
        <w:t xml:space="preserve"> </w:t>
      </w:r>
      <w:r>
        <w:rPr>
          <w:rFonts w:hint="cs"/>
          <w:rtl/>
        </w:rPr>
        <w:t xml:space="preserve"> </w:t>
      </w:r>
      <w:r>
        <w:t xml:space="preserve">R. K. Harrison, </w:t>
      </w:r>
      <w:r>
        <w:rPr>
          <w:i/>
          <w:iCs/>
        </w:rPr>
        <w:t>Introduction to the Old Testament</w:t>
      </w:r>
      <w:r>
        <w:t xml:space="preserve"> (Grand Rapids, MI:  Wm. B. Eerdmans Pub. Co., 1969), 14.</w:t>
      </w:r>
    </w:p>
  </w:footnote>
  <w:footnote w:id="243">
    <w:p w14:paraId="5309542A" w14:textId="77777777" w:rsidR="00263246" w:rsidRDefault="00263246" w:rsidP="00263246">
      <w:pPr>
        <w:pStyle w:val="FootnoteTxtNewParag"/>
        <w:bidi w:val="0"/>
        <w:rPr>
          <w:rtl/>
          <w:lang w:bidi="ar-SA"/>
        </w:rPr>
      </w:pPr>
      <w:r>
        <w:rPr>
          <w:rStyle w:val="FootnoteReference"/>
          <w:sz w:val="22"/>
          <w:szCs w:val="24"/>
        </w:rPr>
        <w:footnoteRef/>
      </w:r>
      <w:r>
        <w:t xml:space="preserve"> </w:t>
      </w:r>
      <w:r>
        <w:rPr>
          <w:rFonts w:hint="cs"/>
          <w:rtl/>
        </w:rPr>
        <w:t xml:space="preserve"> </w:t>
      </w:r>
      <w:r>
        <w:t>Ewald, The Composition of Genesis Critically Examined.</w:t>
      </w:r>
    </w:p>
  </w:footnote>
  <w:footnote w:id="244">
    <w:p w14:paraId="27EEB875" w14:textId="77777777" w:rsidR="00263246" w:rsidRDefault="00263246" w:rsidP="00263246">
      <w:pPr>
        <w:pStyle w:val="FootnoteTxtNewParag"/>
        <w:bidi w:val="0"/>
        <w:rPr>
          <w:rtl/>
          <w:lang w:bidi="ar-SA"/>
        </w:rPr>
      </w:pPr>
      <w:r>
        <w:rPr>
          <w:rStyle w:val="FootnoteReference"/>
          <w:sz w:val="22"/>
          <w:szCs w:val="24"/>
        </w:rPr>
        <w:footnoteRef/>
      </w:r>
      <w:r>
        <w:t xml:space="preserve"> </w:t>
      </w:r>
      <w:r>
        <w:rPr>
          <w:rFonts w:hint="cs"/>
          <w:rtl/>
        </w:rPr>
        <w:t xml:space="preserve"> </w:t>
      </w:r>
      <w:r>
        <w:t>Hupfeld, The Sources of Genesis.</w:t>
      </w:r>
    </w:p>
  </w:footnote>
  <w:footnote w:id="245">
    <w:p w14:paraId="0C273B3F" w14:textId="77777777" w:rsidR="00263246" w:rsidRDefault="00263246" w:rsidP="00263246">
      <w:pPr>
        <w:pStyle w:val="FootnoteTxtNewParag"/>
        <w:bidi w:val="0"/>
        <w:rPr>
          <w:rtl/>
          <w:lang w:bidi="ar-KW"/>
        </w:rPr>
      </w:pPr>
      <w:r>
        <w:rPr>
          <w:rStyle w:val="FootnoteReference"/>
          <w:sz w:val="22"/>
          <w:szCs w:val="24"/>
        </w:rPr>
        <w:footnoteRef/>
      </w:r>
      <w:r>
        <w:t xml:space="preserve"> </w:t>
      </w:r>
      <w:r>
        <w:rPr>
          <w:rFonts w:hint="cs"/>
          <w:rtl/>
        </w:rPr>
        <w:t xml:space="preserve"> </w:t>
      </w:r>
      <w:r>
        <w:t>Harrison, 22.</w:t>
      </w:r>
    </w:p>
  </w:footnote>
  <w:footnote w:id="246">
    <w:p w14:paraId="58189216" w14:textId="77777777" w:rsidR="00263246" w:rsidRDefault="00263246" w:rsidP="00263246">
      <w:pPr>
        <w:pStyle w:val="FootnoteTxtNewParag"/>
        <w:bidi w:val="0"/>
        <w:rPr>
          <w:rtl/>
          <w:lang w:bidi="ar-SA"/>
        </w:rPr>
      </w:pPr>
      <w:r>
        <w:rPr>
          <w:rStyle w:val="FootnoteReference"/>
          <w:sz w:val="22"/>
          <w:szCs w:val="24"/>
        </w:rPr>
        <w:footnoteRef/>
      </w:r>
      <w:r>
        <w:t xml:space="preserve"> </w:t>
      </w:r>
      <w:r>
        <w:rPr>
          <w:rFonts w:hint="cs"/>
          <w:rtl/>
        </w:rPr>
        <w:t xml:space="preserve"> </w:t>
      </w:r>
      <w:r>
        <w:t>G. Herbert Livingston, The Pentateuch in its Cultural Environment, 229.</w:t>
      </w:r>
    </w:p>
  </w:footnote>
  <w:footnote w:id="247">
    <w:p w14:paraId="41A94AA8" w14:textId="77777777" w:rsidR="00263246" w:rsidRDefault="00263246" w:rsidP="00263246">
      <w:pPr>
        <w:pStyle w:val="FootnoteTxtNewParag"/>
        <w:bidi w:val="0"/>
        <w:rPr>
          <w:rtl/>
          <w:lang w:bidi="ar-SA"/>
        </w:rPr>
      </w:pPr>
      <w:r>
        <w:rPr>
          <w:rStyle w:val="FootnoteReference"/>
          <w:sz w:val="22"/>
          <w:szCs w:val="24"/>
        </w:rPr>
        <w:footnoteRef/>
      </w:r>
      <w:r>
        <w:t xml:space="preserve"> </w:t>
      </w:r>
      <w:r>
        <w:rPr>
          <w:rFonts w:hint="cs"/>
          <w:rtl/>
        </w:rPr>
        <w:t xml:space="preserve"> </w:t>
      </w:r>
      <w:r>
        <w:t>Gerhard von Rad, Deuteronomy:  A Commentary, 23.</w:t>
      </w:r>
    </w:p>
  </w:footnote>
  <w:footnote w:id="248">
    <w:p w14:paraId="16A1E1C1" w14:textId="3D42DC2B" w:rsidR="00263246" w:rsidRDefault="00263246" w:rsidP="00902A44">
      <w:pPr>
        <w:pStyle w:val="FootnoteTxtNewParag"/>
        <w:rPr>
          <w:rtl/>
          <w:lang w:bidi="ar-SA"/>
        </w:rPr>
      </w:pPr>
      <w:r>
        <w:rPr>
          <w:rStyle w:val="FootnoteReference"/>
          <w:sz w:val="22"/>
          <w:szCs w:val="24"/>
        </w:rPr>
        <w:footnoteRef/>
      </w:r>
      <w:r>
        <w:t xml:space="preserve"> </w:t>
      </w:r>
      <w:r w:rsidR="00526A9F">
        <w:rPr>
          <w:rFonts w:hint="cs"/>
          <w:rtl/>
        </w:rPr>
        <w:t xml:space="preserve">للاطّلاع على عرضٍ للحجج </w:t>
      </w:r>
      <w:r w:rsidR="00902A44">
        <w:rPr>
          <w:rFonts w:hint="cs"/>
          <w:rtl/>
        </w:rPr>
        <w:t xml:space="preserve">على عدم كون موسى كاتب الأسفار الخمسة، يقدِّمها عالمٌ نقديٌّ، انظر </w:t>
      </w:r>
      <w:r w:rsidR="00902A44">
        <w:t xml:space="preserve">J. Alberto Soggin, </w:t>
      </w:r>
      <w:r w:rsidR="00902A44">
        <w:rPr>
          <w:i/>
          <w:iCs/>
        </w:rPr>
        <w:t>Introduction</w:t>
      </w:r>
      <w:r w:rsidR="00902A44">
        <w:t>, 80-83</w:t>
      </w:r>
      <w:r w:rsidR="00902A44">
        <w:rPr>
          <w:rFonts w:hint="cs"/>
          <w:rtl/>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CA2FB7"/>
    <w:multiLevelType w:val="hybridMultilevel"/>
    <w:tmpl w:val="7BBC4EF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893494"/>
    <w:multiLevelType w:val="hybridMultilevel"/>
    <w:tmpl w:val="88E89374"/>
    <w:lvl w:ilvl="0" w:tplc="EE8E4F38">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5B1947"/>
    <w:multiLevelType w:val="hybridMultilevel"/>
    <w:tmpl w:val="8D127A42"/>
    <w:lvl w:ilvl="0" w:tplc="B5DC307C">
      <w:numFmt w:val="bullet"/>
      <w:lvlText w:val="-"/>
      <w:lvlJc w:val="left"/>
      <w:pPr>
        <w:ind w:left="720" w:hanging="360"/>
      </w:pPr>
      <w:rPr>
        <w:rFonts w:ascii="Simplified Arabic" w:eastAsia="Calibri" w:hAnsi="Simplified Arabic"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A24039"/>
    <w:multiLevelType w:val="hybridMultilevel"/>
    <w:tmpl w:val="21D2F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057D9C"/>
    <w:multiLevelType w:val="hybridMultilevel"/>
    <w:tmpl w:val="52A8735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BC2C5D"/>
    <w:multiLevelType w:val="hybridMultilevel"/>
    <w:tmpl w:val="6E6E0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72778E"/>
    <w:multiLevelType w:val="hybridMultilevel"/>
    <w:tmpl w:val="B6265D96"/>
    <w:lvl w:ilvl="0" w:tplc="C1BE4C6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58512D"/>
    <w:multiLevelType w:val="hybridMultilevel"/>
    <w:tmpl w:val="C6486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28783F"/>
    <w:multiLevelType w:val="hybridMultilevel"/>
    <w:tmpl w:val="30021306"/>
    <w:lvl w:ilvl="0" w:tplc="91944F64">
      <w:start w:val="1"/>
      <w:numFmt w:val="decimal"/>
      <w:lvlText w:val="%1."/>
      <w:lvlJc w:val="left"/>
      <w:pPr>
        <w:ind w:left="900" w:hanging="360"/>
      </w:pPr>
      <w:rPr>
        <w:rFonts w:asciiTheme="majorBidi" w:hAnsiTheme="majorBidi" w:cstheme="majorBidi" w:hint="default"/>
        <w:sz w:val="24"/>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9" w15:restartNumberingAfterBreak="0">
    <w:nsid w:val="143C66F7"/>
    <w:multiLevelType w:val="hybridMultilevel"/>
    <w:tmpl w:val="52980B3C"/>
    <w:lvl w:ilvl="0" w:tplc="24D8C3B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5BE3FBA"/>
    <w:multiLevelType w:val="hybridMultilevel"/>
    <w:tmpl w:val="48FAF748"/>
    <w:lvl w:ilvl="0" w:tplc="79A41718">
      <w:start w:val="1"/>
      <w:numFmt w:val="arabicAlpha"/>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95F79AF"/>
    <w:multiLevelType w:val="hybridMultilevel"/>
    <w:tmpl w:val="7578EE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9ED3CA0"/>
    <w:multiLevelType w:val="hybridMultilevel"/>
    <w:tmpl w:val="2090978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CAD5DF4"/>
    <w:multiLevelType w:val="hybridMultilevel"/>
    <w:tmpl w:val="787C959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DF150ED"/>
    <w:multiLevelType w:val="hybridMultilevel"/>
    <w:tmpl w:val="A5AAE142"/>
    <w:lvl w:ilvl="0" w:tplc="FFFFFFFF">
      <w:start w:val="1"/>
      <w:numFmt w:val="decimal"/>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5" w15:restartNumberingAfterBreak="0">
    <w:nsid w:val="200222F5"/>
    <w:multiLevelType w:val="hybridMultilevel"/>
    <w:tmpl w:val="13C2608E"/>
    <w:lvl w:ilvl="0" w:tplc="01DCA6C2">
      <w:start w:val="1"/>
      <w:numFmt w:val="upperRoman"/>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D537A18"/>
    <w:multiLevelType w:val="hybridMultilevel"/>
    <w:tmpl w:val="856AAAAA"/>
    <w:lvl w:ilvl="0" w:tplc="13DAD7C6">
      <w:start w:val="9"/>
      <w:numFmt w:val="decimal"/>
      <w:lvlText w:val="%1."/>
      <w:lvlJc w:val="left"/>
      <w:pPr>
        <w:tabs>
          <w:tab w:val="num" w:pos="1576"/>
        </w:tabs>
        <w:ind w:left="1576" w:right="1576" w:hanging="555"/>
      </w:pPr>
      <w:rPr>
        <w:rFonts w:hint="default"/>
      </w:rPr>
    </w:lvl>
    <w:lvl w:ilvl="1" w:tplc="04010019" w:tentative="1">
      <w:start w:val="1"/>
      <w:numFmt w:val="lowerLetter"/>
      <w:lvlText w:val="%2."/>
      <w:lvlJc w:val="left"/>
      <w:pPr>
        <w:tabs>
          <w:tab w:val="num" w:pos="2101"/>
        </w:tabs>
        <w:ind w:left="2101" w:right="2101" w:hanging="360"/>
      </w:pPr>
    </w:lvl>
    <w:lvl w:ilvl="2" w:tplc="0401001B" w:tentative="1">
      <w:start w:val="1"/>
      <w:numFmt w:val="lowerRoman"/>
      <w:lvlText w:val="%3."/>
      <w:lvlJc w:val="right"/>
      <w:pPr>
        <w:tabs>
          <w:tab w:val="num" w:pos="2821"/>
        </w:tabs>
        <w:ind w:left="2821" w:right="2821" w:hanging="180"/>
      </w:pPr>
    </w:lvl>
    <w:lvl w:ilvl="3" w:tplc="0401000F" w:tentative="1">
      <w:start w:val="1"/>
      <w:numFmt w:val="decimal"/>
      <w:lvlText w:val="%4."/>
      <w:lvlJc w:val="left"/>
      <w:pPr>
        <w:tabs>
          <w:tab w:val="num" w:pos="3541"/>
        </w:tabs>
        <w:ind w:left="3541" w:right="3541" w:hanging="360"/>
      </w:pPr>
    </w:lvl>
    <w:lvl w:ilvl="4" w:tplc="04010019" w:tentative="1">
      <w:start w:val="1"/>
      <w:numFmt w:val="lowerLetter"/>
      <w:lvlText w:val="%5."/>
      <w:lvlJc w:val="left"/>
      <w:pPr>
        <w:tabs>
          <w:tab w:val="num" w:pos="4261"/>
        </w:tabs>
        <w:ind w:left="4261" w:right="4261" w:hanging="360"/>
      </w:pPr>
    </w:lvl>
    <w:lvl w:ilvl="5" w:tplc="0401001B" w:tentative="1">
      <w:start w:val="1"/>
      <w:numFmt w:val="lowerRoman"/>
      <w:lvlText w:val="%6."/>
      <w:lvlJc w:val="right"/>
      <w:pPr>
        <w:tabs>
          <w:tab w:val="num" w:pos="4981"/>
        </w:tabs>
        <w:ind w:left="4981" w:right="4981" w:hanging="180"/>
      </w:pPr>
    </w:lvl>
    <w:lvl w:ilvl="6" w:tplc="0401000F" w:tentative="1">
      <w:start w:val="1"/>
      <w:numFmt w:val="decimal"/>
      <w:lvlText w:val="%7."/>
      <w:lvlJc w:val="left"/>
      <w:pPr>
        <w:tabs>
          <w:tab w:val="num" w:pos="5701"/>
        </w:tabs>
        <w:ind w:left="5701" w:right="5701" w:hanging="360"/>
      </w:pPr>
    </w:lvl>
    <w:lvl w:ilvl="7" w:tplc="04010019" w:tentative="1">
      <w:start w:val="1"/>
      <w:numFmt w:val="lowerLetter"/>
      <w:lvlText w:val="%8."/>
      <w:lvlJc w:val="left"/>
      <w:pPr>
        <w:tabs>
          <w:tab w:val="num" w:pos="6421"/>
        </w:tabs>
        <w:ind w:left="6421" w:right="6421" w:hanging="360"/>
      </w:pPr>
    </w:lvl>
    <w:lvl w:ilvl="8" w:tplc="0401001B" w:tentative="1">
      <w:start w:val="1"/>
      <w:numFmt w:val="lowerRoman"/>
      <w:lvlText w:val="%9."/>
      <w:lvlJc w:val="right"/>
      <w:pPr>
        <w:tabs>
          <w:tab w:val="num" w:pos="7141"/>
        </w:tabs>
        <w:ind w:left="7141" w:right="7141" w:hanging="180"/>
      </w:pPr>
    </w:lvl>
  </w:abstractNum>
  <w:abstractNum w:abstractNumId="17" w15:restartNumberingAfterBreak="0">
    <w:nsid w:val="307124BC"/>
    <w:multiLevelType w:val="hybridMultilevel"/>
    <w:tmpl w:val="58B82200"/>
    <w:lvl w:ilvl="0" w:tplc="2C16A102">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3A627FD"/>
    <w:multiLevelType w:val="hybridMultilevel"/>
    <w:tmpl w:val="57D855E6"/>
    <w:lvl w:ilvl="0" w:tplc="964ED68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3FB6309"/>
    <w:multiLevelType w:val="hybridMultilevel"/>
    <w:tmpl w:val="B15A5E7A"/>
    <w:lvl w:ilvl="0" w:tplc="1582688E">
      <w:start w:val="3"/>
      <w:numFmt w:val="decimal"/>
      <w:lvlText w:val="(%1)"/>
      <w:lvlJc w:val="left"/>
      <w:pPr>
        <w:tabs>
          <w:tab w:val="num" w:pos="1576"/>
        </w:tabs>
        <w:ind w:left="1576" w:right="1576" w:hanging="555"/>
      </w:pPr>
      <w:rPr>
        <w:rFonts w:hint="default"/>
      </w:rPr>
    </w:lvl>
    <w:lvl w:ilvl="1" w:tplc="04010019" w:tentative="1">
      <w:start w:val="1"/>
      <w:numFmt w:val="lowerLetter"/>
      <w:lvlText w:val="%2."/>
      <w:lvlJc w:val="left"/>
      <w:pPr>
        <w:tabs>
          <w:tab w:val="num" w:pos="2101"/>
        </w:tabs>
        <w:ind w:left="2101" w:right="2101" w:hanging="360"/>
      </w:pPr>
    </w:lvl>
    <w:lvl w:ilvl="2" w:tplc="0401001B" w:tentative="1">
      <w:start w:val="1"/>
      <w:numFmt w:val="lowerRoman"/>
      <w:lvlText w:val="%3."/>
      <w:lvlJc w:val="right"/>
      <w:pPr>
        <w:tabs>
          <w:tab w:val="num" w:pos="2821"/>
        </w:tabs>
        <w:ind w:left="2821" w:right="2821" w:hanging="180"/>
      </w:pPr>
    </w:lvl>
    <w:lvl w:ilvl="3" w:tplc="0401000F" w:tentative="1">
      <w:start w:val="1"/>
      <w:numFmt w:val="decimal"/>
      <w:lvlText w:val="%4."/>
      <w:lvlJc w:val="left"/>
      <w:pPr>
        <w:tabs>
          <w:tab w:val="num" w:pos="3541"/>
        </w:tabs>
        <w:ind w:left="3541" w:right="3541" w:hanging="360"/>
      </w:pPr>
    </w:lvl>
    <w:lvl w:ilvl="4" w:tplc="04010019" w:tentative="1">
      <w:start w:val="1"/>
      <w:numFmt w:val="lowerLetter"/>
      <w:lvlText w:val="%5."/>
      <w:lvlJc w:val="left"/>
      <w:pPr>
        <w:tabs>
          <w:tab w:val="num" w:pos="4261"/>
        </w:tabs>
        <w:ind w:left="4261" w:right="4261" w:hanging="360"/>
      </w:pPr>
    </w:lvl>
    <w:lvl w:ilvl="5" w:tplc="0401001B" w:tentative="1">
      <w:start w:val="1"/>
      <w:numFmt w:val="lowerRoman"/>
      <w:lvlText w:val="%6."/>
      <w:lvlJc w:val="right"/>
      <w:pPr>
        <w:tabs>
          <w:tab w:val="num" w:pos="4981"/>
        </w:tabs>
        <w:ind w:left="4981" w:right="4981" w:hanging="180"/>
      </w:pPr>
    </w:lvl>
    <w:lvl w:ilvl="6" w:tplc="0401000F" w:tentative="1">
      <w:start w:val="1"/>
      <w:numFmt w:val="decimal"/>
      <w:lvlText w:val="%7."/>
      <w:lvlJc w:val="left"/>
      <w:pPr>
        <w:tabs>
          <w:tab w:val="num" w:pos="5701"/>
        </w:tabs>
        <w:ind w:left="5701" w:right="5701" w:hanging="360"/>
      </w:pPr>
    </w:lvl>
    <w:lvl w:ilvl="7" w:tplc="04010019" w:tentative="1">
      <w:start w:val="1"/>
      <w:numFmt w:val="lowerLetter"/>
      <w:lvlText w:val="%8."/>
      <w:lvlJc w:val="left"/>
      <w:pPr>
        <w:tabs>
          <w:tab w:val="num" w:pos="6421"/>
        </w:tabs>
        <w:ind w:left="6421" w:right="6421" w:hanging="360"/>
      </w:pPr>
    </w:lvl>
    <w:lvl w:ilvl="8" w:tplc="0401001B" w:tentative="1">
      <w:start w:val="1"/>
      <w:numFmt w:val="lowerRoman"/>
      <w:lvlText w:val="%9."/>
      <w:lvlJc w:val="right"/>
      <w:pPr>
        <w:tabs>
          <w:tab w:val="num" w:pos="7141"/>
        </w:tabs>
        <w:ind w:left="7141" w:right="7141" w:hanging="180"/>
      </w:pPr>
    </w:lvl>
  </w:abstractNum>
  <w:abstractNum w:abstractNumId="20" w15:restartNumberingAfterBreak="0">
    <w:nsid w:val="38EA30D9"/>
    <w:multiLevelType w:val="hybridMultilevel"/>
    <w:tmpl w:val="1010981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8EE456A"/>
    <w:multiLevelType w:val="hybridMultilevel"/>
    <w:tmpl w:val="D17C37F6"/>
    <w:lvl w:ilvl="0" w:tplc="FFFFFFFF">
      <w:start w:val="1"/>
      <w:numFmt w:val="decimal"/>
      <w:lvlText w:val="%1."/>
      <w:lvlJc w:val="left"/>
      <w:pPr>
        <w:ind w:left="153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2" w15:restartNumberingAfterBreak="0">
    <w:nsid w:val="40E012EC"/>
    <w:multiLevelType w:val="hybridMultilevel"/>
    <w:tmpl w:val="9D34814A"/>
    <w:lvl w:ilvl="0" w:tplc="04090001">
      <w:start w:val="1"/>
      <w:numFmt w:val="bullet"/>
      <w:lvlText w:val=""/>
      <w:lvlJc w:val="left"/>
      <w:pPr>
        <w:ind w:left="1263" w:hanging="360"/>
      </w:pPr>
      <w:rPr>
        <w:rFonts w:ascii="Symbol" w:hAnsi="Symbol" w:hint="default"/>
      </w:rPr>
    </w:lvl>
    <w:lvl w:ilvl="1" w:tplc="04090003" w:tentative="1">
      <w:start w:val="1"/>
      <w:numFmt w:val="bullet"/>
      <w:lvlText w:val="o"/>
      <w:lvlJc w:val="left"/>
      <w:pPr>
        <w:ind w:left="1983" w:hanging="360"/>
      </w:pPr>
      <w:rPr>
        <w:rFonts w:ascii="Courier New" w:hAnsi="Courier New" w:cs="Courier New" w:hint="default"/>
      </w:rPr>
    </w:lvl>
    <w:lvl w:ilvl="2" w:tplc="04090005" w:tentative="1">
      <w:start w:val="1"/>
      <w:numFmt w:val="bullet"/>
      <w:lvlText w:val=""/>
      <w:lvlJc w:val="left"/>
      <w:pPr>
        <w:ind w:left="2703" w:hanging="360"/>
      </w:pPr>
      <w:rPr>
        <w:rFonts w:ascii="Wingdings" w:hAnsi="Wingdings" w:hint="default"/>
      </w:rPr>
    </w:lvl>
    <w:lvl w:ilvl="3" w:tplc="04090001" w:tentative="1">
      <w:start w:val="1"/>
      <w:numFmt w:val="bullet"/>
      <w:lvlText w:val=""/>
      <w:lvlJc w:val="left"/>
      <w:pPr>
        <w:ind w:left="3423" w:hanging="360"/>
      </w:pPr>
      <w:rPr>
        <w:rFonts w:ascii="Symbol" w:hAnsi="Symbol" w:hint="default"/>
      </w:rPr>
    </w:lvl>
    <w:lvl w:ilvl="4" w:tplc="04090003" w:tentative="1">
      <w:start w:val="1"/>
      <w:numFmt w:val="bullet"/>
      <w:lvlText w:val="o"/>
      <w:lvlJc w:val="left"/>
      <w:pPr>
        <w:ind w:left="4143" w:hanging="360"/>
      </w:pPr>
      <w:rPr>
        <w:rFonts w:ascii="Courier New" w:hAnsi="Courier New" w:cs="Courier New" w:hint="default"/>
      </w:rPr>
    </w:lvl>
    <w:lvl w:ilvl="5" w:tplc="04090005" w:tentative="1">
      <w:start w:val="1"/>
      <w:numFmt w:val="bullet"/>
      <w:lvlText w:val=""/>
      <w:lvlJc w:val="left"/>
      <w:pPr>
        <w:ind w:left="4863" w:hanging="360"/>
      </w:pPr>
      <w:rPr>
        <w:rFonts w:ascii="Wingdings" w:hAnsi="Wingdings" w:hint="default"/>
      </w:rPr>
    </w:lvl>
    <w:lvl w:ilvl="6" w:tplc="04090001" w:tentative="1">
      <w:start w:val="1"/>
      <w:numFmt w:val="bullet"/>
      <w:lvlText w:val=""/>
      <w:lvlJc w:val="left"/>
      <w:pPr>
        <w:ind w:left="5583" w:hanging="360"/>
      </w:pPr>
      <w:rPr>
        <w:rFonts w:ascii="Symbol" w:hAnsi="Symbol" w:hint="default"/>
      </w:rPr>
    </w:lvl>
    <w:lvl w:ilvl="7" w:tplc="04090003" w:tentative="1">
      <w:start w:val="1"/>
      <w:numFmt w:val="bullet"/>
      <w:lvlText w:val="o"/>
      <w:lvlJc w:val="left"/>
      <w:pPr>
        <w:ind w:left="6303" w:hanging="360"/>
      </w:pPr>
      <w:rPr>
        <w:rFonts w:ascii="Courier New" w:hAnsi="Courier New" w:cs="Courier New" w:hint="default"/>
      </w:rPr>
    </w:lvl>
    <w:lvl w:ilvl="8" w:tplc="04090005" w:tentative="1">
      <w:start w:val="1"/>
      <w:numFmt w:val="bullet"/>
      <w:lvlText w:val=""/>
      <w:lvlJc w:val="left"/>
      <w:pPr>
        <w:ind w:left="7023" w:hanging="360"/>
      </w:pPr>
      <w:rPr>
        <w:rFonts w:ascii="Wingdings" w:hAnsi="Wingdings" w:hint="default"/>
      </w:rPr>
    </w:lvl>
  </w:abstractNum>
  <w:abstractNum w:abstractNumId="23" w15:restartNumberingAfterBreak="0">
    <w:nsid w:val="482E4592"/>
    <w:multiLevelType w:val="hybridMultilevel"/>
    <w:tmpl w:val="8292BB4E"/>
    <w:lvl w:ilvl="0" w:tplc="7852818E">
      <w:start w:val="1"/>
      <w:numFmt w:val="decimal"/>
      <w:lvlText w:val="%1."/>
      <w:lvlJc w:val="left"/>
      <w:pPr>
        <w:ind w:left="153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487617FA"/>
    <w:multiLevelType w:val="hybridMultilevel"/>
    <w:tmpl w:val="A4BC2BA8"/>
    <w:lvl w:ilvl="0" w:tplc="E93E7A7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B7C1F00"/>
    <w:multiLevelType w:val="hybridMultilevel"/>
    <w:tmpl w:val="2F1812A4"/>
    <w:lvl w:ilvl="0" w:tplc="2F600200">
      <w:start w:val="1"/>
      <w:numFmt w:val="arabicAlpha"/>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6" w15:restartNumberingAfterBreak="0">
    <w:nsid w:val="51EA5528"/>
    <w:multiLevelType w:val="hybridMultilevel"/>
    <w:tmpl w:val="9FD06040"/>
    <w:lvl w:ilvl="0" w:tplc="FB883522">
      <w:start w:val="2"/>
      <w:numFmt w:val="arabicAlpha"/>
      <w:lvlText w:val="%1."/>
      <w:lvlJc w:val="left"/>
      <w:pPr>
        <w:tabs>
          <w:tab w:val="num" w:pos="1576"/>
        </w:tabs>
        <w:ind w:left="1576" w:right="1576" w:hanging="555"/>
      </w:pPr>
      <w:rPr>
        <w:rFonts w:hint="default"/>
      </w:rPr>
    </w:lvl>
    <w:lvl w:ilvl="1" w:tplc="04010019" w:tentative="1">
      <w:start w:val="1"/>
      <w:numFmt w:val="lowerLetter"/>
      <w:lvlText w:val="%2."/>
      <w:lvlJc w:val="left"/>
      <w:pPr>
        <w:tabs>
          <w:tab w:val="num" w:pos="2101"/>
        </w:tabs>
        <w:ind w:left="2101" w:right="2101" w:hanging="360"/>
      </w:pPr>
    </w:lvl>
    <w:lvl w:ilvl="2" w:tplc="0401001B" w:tentative="1">
      <w:start w:val="1"/>
      <w:numFmt w:val="lowerRoman"/>
      <w:lvlText w:val="%3."/>
      <w:lvlJc w:val="right"/>
      <w:pPr>
        <w:tabs>
          <w:tab w:val="num" w:pos="2821"/>
        </w:tabs>
        <w:ind w:left="2821" w:right="2821" w:hanging="180"/>
      </w:pPr>
    </w:lvl>
    <w:lvl w:ilvl="3" w:tplc="0401000F" w:tentative="1">
      <w:start w:val="1"/>
      <w:numFmt w:val="decimal"/>
      <w:lvlText w:val="%4."/>
      <w:lvlJc w:val="left"/>
      <w:pPr>
        <w:tabs>
          <w:tab w:val="num" w:pos="3541"/>
        </w:tabs>
        <w:ind w:left="3541" w:right="3541" w:hanging="360"/>
      </w:pPr>
    </w:lvl>
    <w:lvl w:ilvl="4" w:tplc="04010019" w:tentative="1">
      <w:start w:val="1"/>
      <w:numFmt w:val="lowerLetter"/>
      <w:lvlText w:val="%5."/>
      <w:lvlJc w:val="left"/>
      <w:pPr>
        <w:tabs>
          <w:tab w:val="num" w:pos="4261"/>
        </w:tabs>
        <w:ind w:left="4261" w:right="4261" w:hanging="360"/>
      </w:pPr>
    </w:lvl>
    <w:lvl w:ilvl="5" w:tplc="0401001B" w:tentative="1">
      <w:start w:val="1"/>
      <w:numFmt w:val="lowerRoman"/>
      <w:lvlText w:val="%6."/>
      <w:lvlJc w:val="right"/>
      <w:pPr>
        <w:tabs>
          <w:tab w:val="num" w:pos="4981"/>
        </w:tabs>
        <w:ind w:left="4981" w:right="4981" w:hanging="180"/>
      </w:pPr>
    </w:lvl>
    <w:lvl w:ilvl="6" w:tplc="0401000F" w:tentative="1">
      <w:start w:val="1"/>
      <w:numFmt w:val="decimal"/>
      <w:lvlText w:val="%7."/>
      <w:lvlJc w:val="left"/>
      <w:pPr>
        <w:tabs>
          <w:tab w:val="num" w:pos="5701"/>
        </w:tabs>
        <w:ind w:left="5701" w:right="5701" w:hanging="360"/>
      </w:pPr>
    </w:lvl>
    <w:lvl w:ilvl="7" w:tplc="04010019" w:tentative="1">
      <w:start w:val="1"/>
      <w:numFmt w:val="lowerLetter"/>
      <w:lvlText w:val="%8."/>
      <w:lvlJc w:val="left"/>
      <w:pPr>
        <w:tabs>
          <w:tab w:val="num" w:pos="6421"/>
        </w:tabs>
        <w:ind w:left="6421" w:right="6421" w:hanging="360"/>
      </w:pPr>
    </w:lvl>
    <w:lvl w:ilvl="8" w:tplc="0401001B" w:tentative="1">
      <w:start w:val="1"/>
      <w:numFmt w:val="lowerRoman"/>
      <w:lvlText w:val="%9."/>
      <w:lvlJc w:val="right"/>
      <w:pPr>
        <w:tabs>
          <w:tab w:val="num" w:pos="7141"/>
        </w:tabs>
        <w:ind w:left="7141" w:right="7141" w:hanging="180"/>
      </w:pPr>
    </w:lvl>
  </w:abstractNum>
  <w:abstractNum w:abstractNumId="27" w15:restartNumberingAfterBreak="0">
    <w:nsid w:val="5AE41623"/>
    <w:multiLevelType w:val="hybridMultilevel"/>
    <w:tmpl w:val="88861C38"/>
    <w:lvl w:ilvl="0" w:tplc="EA24E92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2BF0105"/>
    <w:multiLevelType w:val="hybridMultilevel"/>
    <w:tmpl w:val="1F0A1A2A"/>
    <w:lvl w:ilvl="0" w:tplc="C360AD90">
      <w:start w:val="8"/>
      <w:numFmt w:val="arabicAlpha"/>
      <w:lvlText w:val="%1."/>
      <w:lvlJc w:val="left"/>
      <w:pPr>
        <w:tabs>
          <w:tab w:val="num" w:pos="1576"/>
        </w:tabs>
        <w:ind w:left="1576" w:right="1576" w:hanging="555"/>
      </w:pPr>
      <w:rPr>
        <w:rFonts w:hint="cs"/>
        <w:sz w:val="26"/>
      </w:rPr>
    </w:lvl>
    <w:lvl w:ilvl="1" w:tplc="04010019" w:tentative="1">
      <w:start w:val="1"/>
      <w:numFmt w:val="lowerLetter"/>
      <w:lvlText w:val="%2."/>
      <w:lvlJc w:val="left"/>
      <w:pPr>
        <w:tabs>
          <w:tab w:val="num" w:pos="2101"/>
        </w:tabs>
        <w:ind w:left="2101" w:right="2101" w:hanging="360"/>
      </w:pPr>
    </w:lvl>
    <w:lvl w:ilvl="2" w:tplc="0401001B" w:tentative="1">
      <w:start w:val="1"/>
      <w:numFmt w:val="lowerRoman"/>
      <w:lvlText w:val="%3."/>
      <w:lvlJc w:val="right"/>
      <w:pPr>
        <w:tabs>
          <w:tab w:val="num" w:pos="2821"/>
        </w:tabs>
        <w:ind w:left="2821" w:right="2821" w:hanging="180"/>
      </w:pPr>
    </w:lvl>
    <w:lvl w:ilvl="3" w:tplc="0401000F" w:tentative="1">
      <w:start w:val="1"/>
      <w:numFmt w:val="decimal"/>
      <w:lvlText w:val="%4."/>
      <w:lvlJc w:val="left"/>
      <w:pPr>
        <w:tabs>
          <w:tab w:val="num" w:pos="3541"/>
        </w:tabs>
        <w:ind w:left="3541" w:right="3541" w:hanging="360"/>
      </w:pPr>
    </w:lvl>
    <w:lvl w:ilvl="4" w:tplc="04010019" w:tentative="1">
      <w:start w:val="1"/>
      <w:numFmt w:val="lowerLetter"/>
      <w:lvlText w:val="%5."/>
      <w:lvlJc w:val="left"/>
      <w:pPr>
        <w:tabs>
          <w:tab w:val="num" w:pos="4261"/>
        </w:tabs>
        <w:ind w:left="4261" w:right="4261" w:hanging="360"/>
      </w:pPr>
    </w:lvl>
    <w:lvl w:ilvl="5" w:tplc="0401001B" w:tentative="1">
      <w:start w:val="1"/>
      <w:numFmt w:val="lowerRoman"/>
      <w:lvlText w:val="%6."/>
      <w:lvlJc w:val="right"/>
      <w:pPr>
        <w:tabs>
          <w:tab w:val="num" w:pos="4981"/>
        </w:tabs>
        <w:ind w:left="4981" w:right="4981" w:hanging="180"/>
      </w:pPr>
    </w:lvl>
    <w:lvl w:ilvl="6" w:tplc="0401000F" w:tentative="1">
      <w:start w:val="1"/>
      <w:numFmt w:val="decimal"/>
      <w:lvlText w:val="%7."/>
      <w:lvlJc w:val="left"/>
      <w:pPr>
        <w:tabs>
          <w:tab w:val="num" w:pos="5701"/>
        </w:tabs>
        <w:ind w:left="5701" w:right="5701" w:hanging="360"/>
      </w:pPr>
    </w:lvl>
    <w:lvl w:ilvl="7" w:tplc="04010019" w:tentative="1">
      <w:start w:val="1"/>
      <w:numFmt w:val="lowerLetter"/>
      <w:lvlText w:val="%8."/>
      <w:lvlJc w:val="left"/>
      <w:pPr>
        <w:tabs>
          <w:tab w:val="num" w:pos="6421"/>
        </w:tabs>
        <w:ind w:left="6421" w:right="6421" w:hanging="360"/>
      </w:pPr>
    </w:lvl>
    <w:lvl w:ilvl="8" w:tplc="0401001B" w:tentative="1">
      <w:start w:val="1"/>
      <w:numFmt w:val="lowerRoman"/>
      <w:lvlText w:val="%9."/>
      <w:lvlJc w:val="right"/>
      <w:pPr>
        <w:tabs>
          <w:tab w:val="num" w:pos="7141"/>
        </w:tabs>
        <w:ind w:left="7141" w:right="7141" w:hanging="180"/>
      </w:pPr>
    </w:lvl>
  </w:abstractNum>
  <w:abstractNum w:abstractNumId="29" w15:restartNumberingAfterBreak="0">
    <w:nsid w:val="63272570"/>
    <w:multiLevelType w:val="hybridMultilevel"/>
    <w:tmpl w:val="C29A47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9344568"/>
    <w:multiLevelType w:val="hybridMultilevel"/>
    <w:tmpl w:val="8292BB4E"/>
    <w:lvl w:ilvl="0" w:tplc="FFFFFFFF">
      <w:start w:val="1"/>
      <w:numFmt w:val="decimal"/>
      <w:lvlText w:val="%1."/>
      <w:lvlJc w:val="left"/>
      <w:pPr>
        <w:ind w:left="153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1" w15:restartNumberingAfterBreak="0">
    <w:nsid w:val="6CDB51A0"/>
    <w:multiLevelType w:val="hybridMultilevel"/>
    <w:tmpl w:val="3E5A7A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D825EA0"/>
    <w:multiLevelType w:val="hybridMultilevel"/>
    <w:tmpl w:val="7BD2A762"/>
    <w:lvl w:ilvl="0" w:tplc="706C751E">
      <w:start w:val="3"/>
      <w:numFmt w:val="decimal"/>
      <w:lvlText w:val="%1."/>
      <w:lvlJc w:val="left"/>
      <w:pPr>
        <w:tabs>
          <w:tab w:val="num" w:pos="1576"/>
        </w:tabs>
        <w:ind w:left="1576" w:right="1576" w:hanging="555"/>
      </w:pPr>
      <w:rPr>
        <w:rFonts w:hint="cs"/>
      </w:rPr>
    </w:lvl>
    <w:lvl w:ilvl="1" w:tplc="04010019" w:tentative="1">
      <w:start w:val="1"/>
      <w:numFmt w:val="lowerLetter"/>
      <w:lvlText w:val="%2."/>
      <w:lvlJc w:val="left"/>
      <w:pPr>
        <w:tabs>
          <w:tab w:val="num" w:pos="2101"/>
        </w:tabs>
        <w:ind w:left="2101" w:right="2101" w:hanging="360"/>
      </w:pPr>
    </w:lvl>
    <w:lvl w:ilvl="2" w:tplc="0401001B" w:tentative="1">
      <w:start w:val="1"/>
      <w:numFmt w:val="lowerRoman"/>
      <w:lvlText w:val="%3."/>
      <w:lvlJc w:val="right"/>
      <w:pPr>
        <w:tabs>
          <w:tab w:val="num" w:pos="2821"/>
        </w:tabs>
        <w:ind w:left="2821" w:right="2821" w:hanging="180"/>
      </w:pPr>
    </w:lvl>
    <w:lvl w:ilvl="3" w:tplc="0401000F" w:tentative="1">
      <w:start w:val="1"/>
      <w:numFmt w:val="decimal"/>
      <w:lvlText w:val="%4."/>
      <w:lvlJc w:val="left"/>
      <w:pPr>
        <w:tabs>
          <w:tab w:val="num" w:pos="3541"/>
        </w:tabs>
        <w:ind w:left="3541" w:right="3541" w:hanging="360"/>
      </w:pPr>
    </w:lvl>
    <w:lvl w:ilvl="4" w:tplc="04010019" w:tentative="1">
      <w:start w:val="1"/>
      <w:numFmt w:val="lowerLetter"/>
      <w:lvlText w:val="%5."/>
      <w:lvlJc w:val="left"/>
      <w:pPr>
        <w:tabs>
          <w:tab w:val="num" w:pos="4261"/>
        </w:tabs>
        <w:ind w:left="4261" w:right="4261" w:hanging="360"/>
      </w:pPr>
    </w:lvl>
    <w:lvl w:ilvl="5" w:tplc="0401001B" w:tentative="1">
      <w:start w:val="1"/>
      <w:numFmt w:val="lowerRoman"/>
      <w:lvlText w:val="%6."/>
      <w:lvlJc w:val="right"/>
      <w:pPr>
        <w:tabs>
          <w:tab w:val="num" w:pos="4981"/>
        </w:tabs>
        <w:ind w:left="4981" w:right="4981" w:hanging="180"/>
      </w:pPr>
    </w:lvl>
    <w:lvl w:ilvl="6" w:tplc="0401000F" w:tentative="1">
      <w:start w:val="1"/>
      <w:numFmt w:val="decimal"/>
      <w:lvlText w:val="%7."/>
      <w:lvlJc w:val="left"/>
      <w:pPr>
        <w:tabs>
          <w:tab w:val="num" w:pos="5701"/>
        </w:tabs>
        <w:ind w:left="5701" w:right="5701" w:hanging="360"/>
      </w:pPr>
    </w:lvl>
    <w:lvl w:ilvl="7" w:tplc="04010019" w:tentative="1">
      <w:start w:val="1"/>
      <w:numFmt w:val="lowerLetter"/>
      <w:lvlText w:val="%8."/>
      <w:lvlJc w:val="left"/>
      <w:pPr>
        <w:tabs>
          <w:tab w:val="num" w:pos="6421"/>
        </w:tabs>
        <w:ind w:left="6421" w:right="6421" w:hanging="360"/>
      </w:pPr>
    </w:lvl>
    <w:lvl w:ilvl="8" w:tplc="0401001B" w:tentative="1">
      <w:start w:val="1"/>
      <w:numFmt w:val="lowerRoman"/>
      <w:lvlText w:val="%9."/>
      <w:lvlJc w:val="right"/>
      <w:pPr>
        <w:tabs>
          <w:tab w:val="num" w:pos="7141"/>
        </w:tabs>
        <w:ind w:left="7141" w:right="7141" w:hanging="180"/>
      </w:pPr>
    </w:lvl>
  </w:abstractNum>
  <w:abstractNum w:abstractNumId="33" w15:restartNumberingAfterBreak="0">
    <w:nsid w:val="6E806209"/>
    <w:multiLevelType w:val="hybridMultilevel"/>
    <w:tmpl w:val="6BCAAEF4"/>
    <w:lvl w:ilvl="0" w:tplc="6E960A02">
      <w:start w:val="1"/>
      <w:numFmt w:val="decimal"/>
      <w:lvlText w:val="%1."/>
      <w:lvlJc w:val="left"/>
      <w:pPr>
        <w:ind w:left="1080" w:hanging="360"/>
      </w:pPr>
      <w:rPr>
        <w:rFonts w:hint="default"/>
        <w:sz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70623FFA"/>
    <w:multiLevelType w:val="hybridMultilevel"/>
    <w:tmpl w:val="8ADC9804"/>
    <w:lvl w:ilvl="0" w:tplc="2F60CEB4">
      <w:start w:val="2"/>
      <w:numFmt w:val="decimal"/>
      <w:lvlText w:val="%1)"/>
      <w:lvlJc w:val="left"/>
      <w:pPr>
        <w:tabs>
          <w:tab w:val="num" w:pos="2143"/>
        </w:tabs>
        <w:ind w:left="2143" w:right="2143" w:hanging="555"/>
      </w:pPr>
      <w:rPr>
        <w:rFonts w:hint="cs"/>
      </w:rPr>
    </w:lvl>
    <w:lvl w:ilvl="1" w:tplc="04010019" w:tentative="1">
      <w:start w:val="1"/>
      <w:numFmt w:val="lowerLetter"/>
      <w:lvlText w:val="%2."/>
      <w:lvlJc w:val="left"/>
      <w:pPr>
        <w:tabs>
          <w:tab w:val="num" w:pos="2668"/>
        </w:tabs>
        <w:ind w:left="2668" w:right="2668" w:hanging="360"/>
      </w:pPr>
    </w:lvl>
    <w:lvl w:ilvl="2" w:tplc="0401001B" w:tentative="1">
      <w:start w:val="1"/>
      <w:numFmt w:val="lowerRoman"/>
      <w:lvlText w:val="%3."/>
      <w:lvlJc w:val="right"/>
      <w:pPr>
        <w:tabs>
          <w:tab w:val="num" w:pos="3388"/>
        </w:tabs>
        <w:ind w:left="3388" w:right="3388" w:hanging="180"/>
      </w:pPr>
    </w:lvl>
    <w:lvl w:ilvl="3" w:tplc="0401000F" w:tentative="1">
      <w:start w:val="1"/>
      <w:numFmt w:val="decimal"/>
      <w:lvlText w:val="%4."/>
      <w:lvlJc w:val="left"/>
      <w:pPr>
        <w:tabs>
          <w:tab w:val="num" w:pos="4108"/>
        </w:tabs>
        <w:ind w:left="4108" w:right="4108" w:hanging="360"/>
      </w:pPr>
    </w:lvl>
    <w:lvl w:ilvl="4" w:tplc="04010019" w:tentative="1">
      <w:start w:val="1"/>
      <w:numFmt w:val="lowerLetter"/>
      <w:lvlText w:val="%5."/>
      <w:lvlJc w:val="left"/>
      <w:pPr>
        <w:tabs>
          <w:tab w:val="num" w:pos="4828"/>
        </w:tabs>
        <w:ind w:left="4828" w:right="4828" w:hanging="360"/>
      </w:pPr>
    </w:lvl>
    <w:lvl w:ilvl="5" w:tplc="0401001B" w:tentative="1">
      <w:start w:val="1"/>
      <w:numFmt w:val="lowerRoman"/>
      <w:lvlText w:val="%6."/>
      <w:lvlJc w:val="right"/>
      <w:pPr>
        <w:tabs>
          <w:tab w:val="num" w:pos="5548"/>
        </w:tabs>
        <w:ind w:left="5548" w:right="5548" w:hanging="180"/>
      </w:pPr>
    </w:lvl>
    <w:lvl w:ilvl="6" w:tplc="0401000F" w:tentative="1">
      <w:start w:val="1"/>
      <w:numFmt w:val="decimal"/>
      <w:lvlText w:val="%7."/>
      <w:lvlJc w:val="left"/>
      <w:pPr>
        <w:tabs>
          <w:tab w:val="num" w:pos="6268"/>
        </w:tabs>
        <w:ind w:left="6268" w:right="6268" w:hanging="360"/>
      </w:pPr>
    </w:lvl>
    <w:lvl w:ilvl="7" w:tplc="04010019" w:tentative="1">
      <w:start w:val="1"/>
      <w:numFmt w:val="lowerLetter"/>
      <w:lvlText w:val="%8."/>
      <w:lvlJc w:val="left"/>
      <w:pPr>
        <w:tabs>
          <w:tab w:val="num" w:pos="6988"/>
        </w:tabs>
        <w:ind w:left="6988" w:right="6988" w:hanging="360"/>
      </w:pPr>
    </w:lvl>
    <w:lvl w:ilvl="8" w:tplc="0401001B" w:tentative="1">
      <w:start w:val="1"/>
      <w:numFmt w:val="lowerRoman"/>
      <w:lvlText w:val="%9."/>
      <w:lvlJc w:val="right"/>
      <w:pPr>
        <w:tabs>
          <w:tab w:val="num" w:pos="7708"/>
        </w:tabs>
        <w:ind w:left="7708" w:right="7708" w:hanging="180"/>
      </w:pPr>
    </w:lvl>
  </w:abstractNum>
  <w:abstractNum w:abstractNumId="35" w15:restartNumberingAfterBreak="0">
    <w:nsid w:val="713C4ED1"/>
    <w:multiLevelType w:val="hybridMultilevel"/>
    <w:tmpl w:val="F07C8F3C"/>
    <w:lvl w:ilvl="0" w:tplc="6B806B2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3CE6499"/>
    <w:multiLevelType w:val="hybridMultilevel"/>
    <w:tmpl w:val="C9C880AE"/>
    <w:lvl w:ilvl="0" w:tplc="75CA622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4F76E4C"/>
    <w:multiLevelType w:val="hybridMultilevel"/>
    <w:tmpl w:val="8292BB4E"/>
    <w:lvl w:ilvl="0" w:tplc="FFFFFFFF">
      <w:start w:val="1"/>
      <w:numFmt w:val="decimal"/>
      <w:lvlText w:val="%1."/>
      <w:lvlJc w:val="left"/>
      <w:pPr>
        <w:ind w:left="153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8" w15:restartNumberingAfterBreak="0">
    <w:nsid w:val="76F14B4B"/>
    <w:multiLevelType w:val="hybridMultilevel"/>
    <w:tmpl w:val="2EB672B4"/>
    <w:lvl w:ilvl="0" w:tplc="70BC5A2E">
      <w:start w:val="1"/>
      <w:numFmt w:val="decimal"/>
      <w:lvlText w:val="%1."/>
      <w:lvlJc w:val="left"/>
      <w:pPr>
        <w:ind w:left="1545" w:hanging="360"/>
      </w:pPr>
      <w:rPr>
        <w:rFonts w:hint="default"/>
      </w:rPr>
    </w:lvl>
    <w:lvl w:ilvl="1" w:tplc="04090019" w:tentative="1">
      <w:start w:val="1"/>
      <w:numFmt w:val="lowerLetter"/>
      <w:lvlText w:val="%2."/>
      <w:lvlJc w:val="left"/>
      <w:pPr>
        <w:ind w:left="2265" w:hanging="360"/>
      </w:pPr>
    </w:lvl>
    <w:lvl w:ilvl="2" w:tplc="0409001B" w:tentative="1">
      <w:start w:val="1"/>
      <w:numFmt w:val="lowerRoman"/>
      <w:lvlText w:val="%3."/>
      <w:lvlJc w:val="right"/>
      <w:pPr>
        <w:ind w:left="2985" w:hanging="180"/>
      </w:pPr>
    </w:lvl>
    <w:lvl w:ilvl="3" w:tplc="0409000F" w:tentative="1">
      <w:start w:val="1"/>
      <w:numFmt w:val="decimal"/>
      <w:lvlText w:val="%4."/>
      <w:lvlJc w:val="left"/>
      <w:pPr>
        <w:ind w:left="3705" w:hanging="360"/>
      </w:pPr>
    </w:lvl>
    <w:lvl w:ilvl="4" w:tplc="04090019" w:tentative="1">
      <w:start w:val="1"/>
      <w:numFmt w:val="lowerLetter"/>
      <w:lvlText w:val="%5."/>
      <w:lvlJc w:val="left"/>
      <w:pPr>
        <w:ind w:left="4425" w:hanging="360"/>
      </w:pPr>
    </w:lvl>
    <w:lvl w:ilvl="5" w:tplc="0409001B" w:tentative="1">
      <w:start w:val="1"/>
      <w:numFmt w:val="lowerRoman"/>
      <w:lvlText w:val="%6."/>
      <w:lvlJc w:val="right"/>
      <w:pPr>
        <w:ind w:left="5145" w:hanging="180"/>
      </w:pPr>
    </w:lvl>
    <w:lvl w:ilvl="6" w:tplc="0409000F" w:tentative="1">
      <w:start w:val="1"/>
      <w:numFmt w:val="decimal"/>
      <w:lvlText w:val="%7."/>
      <w:lvlJc w:val="left"/>
      <w:pPr>
        <w:ind w:left="5865" w:hanging="360"/>
      </w:pPr>
    </w:lvl>
    <w:lvl w:ilvl="7" w:tplc="04090019" w:tentative="1">
      <w:start w:val="1"/>
      <w:numFmt w:val="lowerLetter"/>
      <w:lvlText w:val="%8."/>
      <w:lvlJc w:val="left"/>
      <w:pPr>
        <w:ind w:left="6585" w:hanging="360"/>
      </w:pPr>
    </w:lvl>
    <w:lvl w:ilvl="8" w:tplc="0409001B" w:tentative="1">
      <w:start w:val="1"/>
      <w:numFmt w:val="lowerRoman"/>
      <w:lvlText w:val="%9."/>
      <w:lvlJc w:val="right"/>
      <w:pPr>
        <w:ind w:left="7305" w:hanging="180"/>
      </w:pPr>
    </w:lvl>
  </w:abstractNum>
  <w:num w:numId="1" w16cid:durableId="1506751747">
    <w:abstractNumId w:val="17"/>
  </w:num>
  <w:num w:numId="2" w16cid:durableId="772672528">
    <w:abstractNumId w:val="3"/>
  </w:num>
  <w:num w:numId="3" w16cid:durableId="1365329081">
    <w:abstractNumId w:val="31"/>
  </w:num>
  <w:num w:numId="4" w16cid:durableId="53547361">
    <w:abstractNumId w:val="29"/>
  </w:num>
  <w:num w:numId="5" w16cid:durableId="865093894">
    <w:abstractNumId w:val="23"/>
  </w:num>
  <w:num w:numId="6" w16cid:durableId="1996914639">
    <w:abstractNumId w:val="9"/>
  </w:num>
  <w:num w:numId="7" w16cid:durableId="10306752">
    <w:abstractNumId w:val="24"/>
  </w:num>
  <w:num w:numId="8" w16cid:durableId="1523320836">
    <w:abstractNumId w:val="27"/>
  </w:num>
  <w:num w:numId="9" w16cid:durableId="516113819">
    <w:abstractNumId w:val="18"/>
  </w:num>
  <w:num w:numId="10" w16cid:durableId="771555533">
    <w:abstractNumId w:val="0"/>
  </w:num>
  <w:num w:numId="11" w16cid:durableId="2128309924">
    <w:abstractNumId w:val="13"/>
  </w:num>
  <w:num w:numId="12" w16cid:durableId="674696762">
    <w:abstractNumId w:val="20"/>
  </w:num>
  <w:num w:numId="13" w16cid:durableId="23754250">
    <w:abstractNumId w:val="12"/>
  </w:num>
  <w:num w:numId="14" w16cid:durableId="405037804">
    <w:abstractNumId w:val="4"/>
  </w:num>
  <w:num w:numId="15" w16cid:durableId="338586967">
    <w:abstractNumId w:val="6"/>
  </w:num>
  <w:num w:numId="16" w16cid:durableId="15080233">
    <w:abstractNumId w:val="36"/>
  </w:num>
  <w:num w:numId="17" w16cid:durableId="2039238030">
    <w:abstractNumId w:val="35"/>
  </w:num>
  <w:num w:numId="18" w16cid:durableId="1603683594">
    <w:abstractNumId w:val="15"/>
  </w:num>
  <w:num w:numId="19" w16cid:durableId="630130979">
    <w:abstractNumId w:val="14"/>
  </w:num>
  <w:num w:numId="20" w16cid:durableId="1443110916">
    <w:abstractNumId w:val="37"/>
  </w:num>
  <w:num w:numId="21" w16cid:durableId="2001695339">
    <w:abstractNumId w:val="21"/>
  </w:num>
  <w:num w:numId="22" w16cid:durableId="2067952846">
    <w:abstractNumId w:val="22"/>
  </w:num>
  <w:num w:numId="23" w16cid:durableId="1234464692">
    <w:abstractNumId w:val="30"/>
  </w:num>
  <w:num w:numId="24" w16cid:durableId="1287155392">
    <w:abstractNumId w:val="7"/>
  </w:num>
  <w:num w:numId="25" w16cid:durableId="1362783186">
    <w:abstractNumId w:val="5"/>
  </w:num>
  <w:num w:numId="26" w16cid:durableId="216935048">
    <w:abstractNumId w:val="28"/>
  </w:num>
  <w:num w:numId="27" w16cid:durableId="219486317">
    <w:abstractNumId w:val="34"/>
  </w:num>
  <w:num w:numId="28" w16cid:durableId="1104809596">
    <w:abstractNumId w:val="16"/>
  </w:num>
  <w:num w:numId="29" w16cid:durableId="110979300">
    <w:abstractNumId w:val="19"/>
  </w:num>
  <w:num w:numId="30" w16cid:durableId="243149876">
    <w:abstractNumId w:val="32"/>
  </w:num>
  <w:num w:numId="31" w16cid:durableId="1053654337">
    <w:abstractNumId w:val="26"/>
  </w:num>
  <w:num w:numId="32" w16cid:durableId="472527287">
    <w:abstractNumId w:val="2"/>
  </w:num>
  <w:num w:numId="33" w16cid:durableId="683941160">
    <w:abstractNumId w:val="38"/>
  </w:num>
  <w:num w:numId="34" w16cid:durableId="1821462595">
    <w:abstractNumId w:val="11"/>
  </w:num>
  <w:num w:numId="35" w16cid:durableId="1925412522">
    <w:abstractNumId w:val="33"/>
  </w:num>
  <w:num w:numId="36" w16cid:durableId="644891786">
    <w:abstractNumId w:val="1"/>
  </w:num>
  <w:num w:numId="37" w16cid:durableId="538662387">
    <w:abstractNumId w:val="25"/>
  </w:num>
  <w:num w:numId="38" w16cid:durableId="1552885640">
    <w:abstractNumId w:val="10"/>
  </w:num>
  <w:num w:numId="39" w16cid:durableId="133295425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0693"/>
    <w:rsid w:val="00000693"/>
    <w:rsid w:val="000013B0"/>
    <w:rsid w:val="00001AF1"/>
    <w:rsid w:val="00002345"/>
    <w:rsid w:val="00003420"/>
    <w:rsid w:val="0000596E"/>
    <w:rsid w:val="0000688C"/>
    <w:rsid w:val="000106AE"/>
    <w:rsid w:val="00010B4E"/>
    <w:rsid w:val="00011462"/>
    <w:rsid w:val="00012DCC"/>
    <w:rsid w:val="0001335B"/>
    <w:rsid w:val="000148DB"/>
    <w:rsid w:val="000169B2"/>
    <w:rsid w:val="00017885"/>
    <w:rsid w:val="00024DDB"/>
    <w:rsid w:val="00031330"/>
    <w:rsid w:val="00031DE3"/>
    <w:rsid w:val="00033C01"/>
    <w:rsid w:val="000351EC"/>
    <w:rsid w:val="00040420"/>
    <w:rsid w:val="000410CD"/>
    <w:rsid w:val="00045346"/>
    <w:rsid w:val="000467AC"/>
    <w:rsid w:val="00052515"/>
    <w:rsid w:val="00052EFE"/>
    <w:rsid w:val="000543E2"/>
    <w:rsid w:val="00054B8E"/>
    <w:rsid w:val="000608C5"/>
    <w:rsid w:val="00060AF9"/>
    <w:rsid w:val="00061FD9"/>
    <w:rsid w:val="0006219A"/>
    <w:rsid w:val="000706E7"/>
    <w:rsid w:val="00070B6E"/>
    <w:rsid w:val="00072E15"/>
    <w:rsid w:val="00074571"/>
    <w:rsid w:val="000747FF"/>
    <w:rsid w:val="00074C49"/>
    <w:rsid w:val="0007568B"/>
    <w:rsid w:val="00076790"/>
    <w:rsid w:val="000862C1"/>
    <w:rsid w:val="000871F4"/>
    <w:rsid w:val="00087B4C"/>
    <w:rsid w:val="00090148"/>
    <w:rsid w:val="00091A1A"/>
    <w:rsid w:val="000943D8"/>
    <w:rsid w:val="000A097B"/>
    <w:rsid w:val="000A24AD"/>
    <w:rsid w:val="000A4E78"/>
    <w:rsid w:val="000B0134"/>
    <w:rsid w:val="000C14E0"/>
    <w:rsid w:val="000C4B91"/>
    <w:rsid w:val="000C7DD7"/>
    <w:rsid w:val="000D006A"/>
    <w:rsid w:val="000D4B25"/>
    <w:rsid w:val="000D6760"/>
    <w:rsid w:val="000D6827"/>
    <w:rsid w:val="000E3425"/>
    <w:rsid w:val="000E711D"/>
    <w:rsid w:val="000F0D08"/>
    <w:rsid w:val="000F0D72"/>
    <w:rsid w:val="000F41A5"/>
    <w:rsid w:val="000F4D16"/>
    <w:rsid w:val="000F57FB"/>
    <w:rsid w:val="00100636"/>
    <w:rsid w:val="00112143"/>
    <w:rsid w:val="00115A8E"/>
    <w:rsid w:val="001216B5"/>
    <w:rsid w:val="00123E49"/>
    <w:rsid w:val="0013317B"/>
    <w:rsid w:val="00135CF7"/>
    <w:rsid w:val="0013717C"/>
    <w:rsid w:val="001426DA"/>
    <w:rsid w:val="00152632"/>
    <w:rsid w:val="0015557D"/>
    <w:rsid w:val="00157C23"/>
    <w:rsid w:val="00163F98"/>
    <w:rsid w:val="0016537C"/>
    <w:rsid w:val="00172E6D"/>
    <w:rsid w:val="00172F99"/>
    <w:rsid w:val="00174239"/>
    <w:rsid w:val="00174663"/>
    <w:rsid w:val="0017744A"/>
    <w:rsid w:val="00177884"/>
    <w:rsid w:val="00180958"/>
    <w:rsid w:val="0018244A"/>
    <w:rsid w:val="00182A5B"/>
    <w:rsid w:val="00187789"/>
    <w:rsid w:val="0019460A"/>
    <w:rsid w:val="001A1401"/>
    <w:rsid w:val="001A1FCD"/>
    <w:rsid w:val="001A3C29"/>
    <w:rsid w:val="001B18E8"/>
    <w:rsid w:val="001B42C1"/>
    <w:rsid w:val="001B462A"/>
    <w:rsid w:val="001C00A4"/>
    <w:rsid w:val="001C1995"/>
    <w:rsid w:val="001C7EC4"/>
    <w:rsid w:val="001C7F8D"/>
    <w:rsid w:val="001D0617"/>
    <w:rsid w:val="001D1405"/>
    <w:rsid w:val="001D1D85"/>
    <w:rsid w:val="001D3BE8"/>
    <w:rsid w:val="001D57A0"/>
    <w:rsid w:val="001E0CC1"/>
    <w:rsid w:val="001E1356"/>
    <w:rsid w:val="001E2C4C"/>
    <w:rsid w:val="001E42C4"/>
    <w:rsid w:val="001E4AE6"/>
    <w:rsid w:val="001E6B52"/>
    <w:rsid w:val="001F0875"/>
    <w:rsid w:val="001F1FA1"/>
    <w:rsid w:val="001F3314"/>
    <w:rsid w:val="001F4831"/>
    <w:rsid w:val="001F4CAD"/>
    <w:rsid w:val="001F5387"/>
    <w:rsid w:val="001F5A1B"/>
    <w:rsid w:val="001F66AB"/>
    <w:rsid w:val="0020079F"/>
    <w:rsid w:val="00202DA2"/>
    <w:rsid w:val="00205465"/>
    <w:rsid w:val="00207D08"/>
    <w:rsid w:val="00215972"/>
    <w:rsid w:val="002172E8"/>
    <w:rsid w:val="002248A1"/>
    <w:rsid w:val="00227002"/>
    <w:rsid w:val="00230836"/>
    <w:rsid w:val="002336BB"/>
    <w:rsid w:val="00236779"/>
    <w:rsid w:val="002371DD"/>
    <w:rsid w:val="00247387"/>
    <w:rsid w:val="00251550"/>
    <w:rsid w:val="00254090"/>
    <w:rsid w:val="00261ABE"/>
    <w:rsid w:val="002630DB"/>
    <w:rsid w:val="00263246"/>
    <w:rsid w:val="00265205"/>
    <w:rsid w:val="002658F4"/>
    <w:rsid w:val="00270560"/>
    <w:rsid w:val="00271A35"/>
    <w:rsid w:val="002723B1"/>
    <w:rsid w:val="002730FA"/>
    <w:rsid w:val="00281678"/>
    <w:rsid w:val="00281E2D"/>
    <w:rsid w:val="0028210C"/>
    <w:rsid w:val="0028476F"/>
    <w:rsid w:val="002852A5"/>
    <w:rsid w:val="002875A6"/>
    <w:rsid w:val="002907D3"/>
    <w:rsid w:val="002975BE"/>
    <w:rsid w:val="002A05D7"/>
    <w:rsid w:val="002A0B2B"/>
    <w:rsid w:val="002A457E"/>
    <w:rsid w:val="002A6484"/>
    <w:rsid w:val="002A733E"/>
    <w:rsid w:val="002B24E1"/>
    <w:rsid w:val="002B4D0E"/>
    <w:rsid w:val="002B555C"/>
    <w:rsid w:val="002B5EE3"/>
    <w:rsid w:val="002B659C"/>
    <w:rsid w:val="002C23D1"/>
    <w:rsid w:val="002C6C6A"/>
    <w:rsid w:val="002D1D19"/>
    <w:rsid w:val="002D6C54"/>
    <w:rsid w:val="002D74C8"/>
    <w:rsid w:val="002E0EDB"/>
    <w:rsid w:val="002E1332"/>
    <w:rsid w:val="002E1856"/>
    <w:rsid w:val="002E1CFC"/>
    <w:rsid w:val="002E4D7C"/>
    <w:rsid w:val="002E7216"/>
    <w:rsid w:val="002F0BF2"/>
    <w:rsid w:val="002F290C"/>
    <w:rsid w:val="002F2ED9"/>
    <w:rsid w:val="002F7D24"/>
    <w:rsid w:val="00301B31"/>
    <w:rsid w:val="0030358E"/>
    <w:rsid w:val="00306150"/>
    <w:rsid w:val="00310E38"/>
    <w:rsid w:val="00311C51"/>
    <w:rsid w:val="00315014"/>
    <w:rsid w:val="00321DC4"/>
    <w:rsid w:val="00322941"/>
    <w:rsid w:val="003403AE"/>
    <w:rsid w:val="0034120C"/>
    <w:rsid w:val="00341FEE"/>
    <w:rsid w:val="003441DC"/>
    <w:rsid w:val="003448FC"/>
    <w:rsid w:val="003472B2"/>
    <w:rsid w:val="00355D9E"/>
    <w:rsid w:val="00361C47"/>
    <w:rsid w:val="00363279"/>
    <w:rsid w:val="00366ECA"/>
    <w:rsid w:val="00390F80"/>
    <w:rsid w:val="003A1CEB"/>
    <w:rsid w:val="003A1CED"/>
    <w:rsid w:val="003A1D53"/>
    <w:rsid w:val="003A4CD9"/>
    <w:rsid w:val="003A5022"/>
    <w:rsid w:val="003B11CF"/>
    <w:rsid w:val="003B5F95"/>
    <w:rsid w:val="003B6580"/>
    <w:rsid w:val="003B6A6E"/>
    <w:rsid w:val="003C41A3"/>
    <w:rsid w:val="003C65B3"/>
    <w:rsid w:val="003C6B11"/>
    <w:rsid w:val="003D0DFE"/>
    <w:rsid w:val="003D138D"/>
    <w:rsid w:val="003D1B67"/>
    <w:rsid w:val="003D1DA6"/>
    <w:rsid w:val="003D46FC"/>
    <w:rsid w:val="003D4BE9"/>
    <w:rsid w:val="003D64C3"/>
    <w:rsid w:val="003D69AD"/>
    <w:rsid w:val="003D7DFA"/>
    <w:rsid w:val="003E0B4F"/>
    <w:rsid w:val="003E1A38"/>
    <w:rsid w:val="003E3929"/>
    <w:rsid w:val="003E6630"/>
    <w:rsid w:val="003E7119"/>
    <w:rsid w:val="003F1431"/>
    <w:rsid w:val="003F20D5"/>
    <w:rsid w:val="003F5CBA"/>
    <w:rsid w:val="003F7C90"/>
    <w:rsid w:val="00406CF1"/>
    <w:rsid w:val="00411EFF"/>
    <w:rsid w:val="004156DD"/>
    <w:rsid w:val="0042364C"/>
    <w:rsid w:val="00423A21"/>
    <w:rsid w:val="00425522"/>
    <w:rsid w:val="00432F08"/>
    <w:rsid w:val="0043414B"/>
    <w:rsid w:val="0043594D"/>
    <w:rsid w:val="00435F00"/>
    <w:rsid w:val="004360CC"/>
    <w:rsid w:val="00443660"/>
    <w:rsid w:val="00445DBD"/>
    <w:rsid w:val="00446A5F"/>
    <w:rsid w:val="00452F02"/>
    <w:rsid w:val="00455283"/>
    <w:rsid w:val="00463E7F"/>
    <w:rsid w:val="00464648"/>
    <w:rsid w:val="004704FB"/>
    <w:rsid w:val="00471045"/>
    <w:rsid w:val="00471074"/>
    <w:rsid w:val="00471953"/>
    <w:rsid w:val="004719EA"/>
    <w:rsid w:val="004723F7"/>
    <w:rsid w:val="0047288E"/>
    <w:rsid w:val="00474087"/>
    <w:rsid w:val="0047444D"/>
    <w:rsid w:val="00474BD9"/>
    <w:rsid w:val="00475B9B"/>
    <w:rsid w:val="00475F98"/>
    <w:rsid w:val="0047731A"/>
    <w:rsid w:val="004776FD"/>
    <w:rsid w:val="00481853"/>
    <w:rsid w:val="004839C3"/>
    <w:rsid w:val="004840C5"/>
    <w:rsid w:val="0048608E"/>
    <w:rsid w:val="004868EC"/>
    <w:rsid w:val="004939BC"/>
    <w:rsid w:val="0049523D"/>
    <w:rsid w:val="00496826"/>
    <w:rsid w:val="004A0003"/>
    <w:rsid w:val="004A2D91"/>
    <w:rsid w:val="004A5AFA"/>
    <w:rsid w:val="004A625F"/>
    <w:rsid w:val="004C0231"/>
    <w:rsid w:val="004C0BCD"/>
    <w:rsid w:val="004C0FC2"/>
    <w:rsid w:val="004C2B59"/>
    <w:rsid w:val="004C7B06"/>
    <w:rsid w:val="004D398B"/>
    <w:rsid w:val="004E0B35"/>
    <w:rsid w:val="004E506D"/>
    <w:rsid w:val="004F04B0"/>
    <w:rsid w:val="004F0CDC"/>
    <w:rsid w:val="004F4762"/>
    <w:rsid w:val="004F5F50"/>
    <w:rsid w:val="004F6EA2"/>
    <w:rsid w:val="005039F4"/>
    <w:rsid w:val="00503D96"/>
    <w:rsid w:val="00506F7C"/>
    <w:rsid w:val="00507BC4"/>
    <w:rsid w:val="005221F7"/>
    <w:rsid w:val="00523CDD"/>
    <w:rsid w:val="005246D5"/>
    <w:rsid w:val="0052581C"/>
    <w:rsid w:val="005266BC"/>
    <w:rsid w:val="00526A9F"/>
    <w:rsid w:val="0053119C"/>
    <w:rsid w:val="0053442C"/>
    <w:rsid w:val="00536200"/>
    <w:rsid w:val="00536BAB"/>
    <w:rsid w:val="00544B03"/>
    <w:rsid w:val="00555A4D"/>
    <w:rsid w:val="00560A0E"/>
    <w:rsid w:val="00561B12"/>
    <w:rsid w:val="00563F58"/>
    <w:rsid w:val="00564684"/>
    <w:rsid w:val="00564A07"/>
    <w:rsid w:val="005653D6"/>
    <w:rsid w:val="00566FC7"/>
    <w:rsid w:val="00567646"/>
    <w:rsid w:val="00567E83"/>
    <w:rsid w:val="00573D29"/>
    <w:rsid w:val="005755E0"/>
    <w:rsid w:val="005776DB"/>
    <w:rsid w:val="00583620"/>
    <w:rsid w:val="005878F7"/>
    <w:rsid w:val="00587CC3"/>
    <w:rsid w:val="00590CC1"/>
    <w:rsid w:val="00594A26"/>
    <w:rsid w:val="005A10DE"/>
    <w:rsid w:val="005A1B4F"/>
    <w:rsid w:val="005A2DA2"/>
    <w:rsid w:val="005A3B53"/>
    <w:rsid w:val="005A527B"/>
    <w:rsid w:val="005A61D7"/>
    <w:rsid w:val="005A6A45"/>
    <w:rsid w:val="005A7FF9"/>
    <w:rsid w:val="005B010A"/>
    <w:rsid w:val="005B0B5A"/>
    <w:rsid w:val="005B1911"/>
    <w:rsid w:val="005B28B7"/>
    <w:rsid w:val="005B452F"/>
    <w:rsid w:val="005B7F5A"/>
    <w:rsid w:val="005D0F93"/>
    <w:rsid w:val="005D2C35"/>
    <w:rsid w:val="005D651A"/>
    <w:rsid w:val="005D6C28"/>
    <w:rsid w:val="005E4339"/>
    <w:rsid w:val="005E7D26"/>
    <w:rsid w:val="005F171C"/>
    <w:rsid w:val="005F258D"/>
    <w:rsid w:val="005F25C9"/>
    <w:rsid w:val="005F31C7"/>
    <w:rsid w:val="005F34BF"/>
    <w:rsid w:val="00600007"/>
    <w:rsid w:val="00600158"/>
    <w:rsid w:val="006054FC"/>
    <w:rsid w:val="006056C6"/>
    <w:rsid w:val="006065DF"/>
    <w:rsid w:val="006111AE"/>
    <w:rsid w:val="0061142A"/>
    <w:rsid w:val="00613F52"/>
    <w:rsid w:val="00617A7C"/>
    <w:rsid w:val="00617CFD"/>
    <w:rsid w:val="006232DE"/>
    <w:rsid w:val="00624900"/>
    <w:rsid w:val="0062638A"/>
    <w:rsid w:val="006265BA"/>
    <w:rsid w:val="006311FA"/>
    <w:rsid w:val="00631924"/>
    <w:rsid w:val="00632C9F"/>
    <w:rsid w:val="00640FBA"/>
    <w:rsid w:val="006510ED"/>
    <w:rsid w:val="006549AE"/>
    <w:rsid w:val="0066135B"/>
    <w:rsid w:val="0066200B"/>
    <w:rsid w:val="006668C0"/>
    <w:rsid w:val="0067216B"/>
    <w:rsid w:val="00673151"/>
    <w:rsid w:val="00673832"/>
    <w:rsid w:val="00673F40"/>
    <w:rsid w:val="00674EFC"/>
    <w:rsid w:val="00677503"/>
    <w:rsid w:val="00680308"/>
    <w:rsid w:val="006815C9"/>
    <w:rsid w:val="006828EE"/>
    <w:rsid w:val="00683DAD"/>
    <w:rsid w:val="00684E95"/>
    <w:rsid w:val="00684F56"/>
    <w:rsid w:val="006904BD"/>
    <w:rsid w:val="00693925"/>
    <w:rsid w:val="00695483"/>
    <w:rsid w:val="00696860"/>
    <w:rsid w:val="006A0C12"/>
    <w:rsid w:val="006A0FE9"/>
    <w:rsid w:val="006A24CD"/>
    <w:rsid w:val="006A25EC"/>
    <w:rsid w:val="006A59E9"/>
    <w:rsid w:val="006A7197"/>
    <w:rsid w:val="006A7C83"/>
    <w:rsid w:val="006B0392"/>
    <w:rsid w:val="006B1BEA"/>
    <w:rsid w:val="006B3F4D"/>
    <w:rsid w:val="006B5847"/>
    <w:rsid w:val="006B5FA5"/>
    <w:rsid w:val="006B6486"/>
    <w:rsid w:val="006C5779"/>
    <w:rsid w:val="006C789F"/>
    <w:rsid w:val="006D1AD3"/>
    <w:rsid w:val="006D2D17"/>
    <w:rsid w:val="006D54CC"/>
    <w:rsid w:val="006E1FBD"/>
    <w:rsid w:val="006E2FFB"/>
    <w:rsid w:val="006E403C"/>
    <w:rsid w:val="006E476E"/>
    <w:rsid w:val="006F084C"/>
    <w:rsid w:val="006F4E6A"/>
    <w:rsid w:val="006F6A1E"/>
    <w:rsid w:val="00703B43"/>
    <w:rsid w:val="00704758"/>
    <w:rsid w:val="007109B2"/>
    <w:rsid w:val="00710AA5"/>
    <w:rsid w:val="007110CE"/>
    <w:rsid w:val="00711A21"/>
    <w:rsid w:val="007122AF"/>
    <w:rsid w:val="007128B3"/>
    <w:rsid w:val="00712BDC"/>
    <w:rsid w:val="00715080"/>
    <w:rsid w:val="00715A3A"/>
    <w:rsid w:val="00721165"/>
    <w:rsid w:val="0072116B"/>
    <w:rsid w:val="00723F77"/>
    <w:rsid w:val="007241F3"/>
    <w:rsid w:val="00724F98"/>
    <w:rsid w:val="007259B1"/>
    <w:rsid w:val="00725C0F"/>
    <w:rsid w:val="00726914"/>
    <w:rsid w:val="00727D64"/>
    <w:rsid w:val="00731ADB"/>
    <w:rsid w:val="00735194"/>
    <w:rsid w:val="00735291"/>
    <w:rsid w:val="00735294"/>
    <w:rsid w:val="00736F8C"/>
    <w:rsid w:val="00745BA1"/>
    <w:rsid w:val="00745EC7"/>
    <w:rsid w:val="00745F4B"/>
    <w:rsid w:val="007470D9"/>
    <w:rsid w:val="00750F7B"/>
    <w:rsid w:val="007518AA"/>
    <w:rsid w:val="00753D70"/>
    <w:rsid w:val="00754F86"/>
    <w:rsid w:val="00755E34"/>
    <w:rsid w:val="007578E2"/>
    <w:rsid w:val="00762241"/>
    <w:rsid w:val="00762500"/>
    <w:rsid w:val="00763BDE"/>
    <w:rsid w:val="007646B0"/>
    <w:rsid w:val="00764D61"/>
    <w:rsid w:val="00765636"/>
    <w:rsid w:val="00780E87"/>
    <w:rsid w:val="00781A9E"/>
    <w:rsid w:val="00784434"/>
    <w:rsid w:val="007900EE"/>
    <w:rsid w:val="00793DA2"/>
    <w:rsid w:val="007A0123"/>
    <w:rsid w:val="007A2814"/>
    <w:rsid w:val="007A2FA0"/>
    <w:rsid w:val="007A4B15"/>
    <w:rsid w:val="007A584F"/>
    <w:rsid w:val="007A5D4C"/>
    <w:rsid w:val="007A73F9"/>
    <w:rsid w:val="007B3CE2"/>
    <w:rsid w:val="007C043A"/>
    <w:rsid w:val="007C4B14"/>
    <w:rsid w:val="007C5927"/>
    <w:rsid w:val="007C74F8"/>
    <w:rsid w:val="007D0CF5"/>
    <w:rsid w:val="007D1F3B"/>
    <w:rsid w:val="007D2F35"/>
    <w:rsid w:val="007D39BF"/>
    <w:rsid w:val="007D50F1"/>
    <w:rsid w:val="007E12EF"/>
    <w:rsid w:val="007E1B23"/>
    <w:rsid w:val="007E1B55"/>
    <w:rsid w:val="007E1F3A"/>
    <w:rsid w:val="007E6CF9"/>
    <w:rsid w:val="007E6EB4"/>
    <w:rsid w:val="007E7F59"/>
    <w:rsid w:val="007F18C6"/>
    <w:rsid w:val="007F3DB3"/>
    <w:rsid w:val="007F7100"/>
    <w:rsid w:val="0080070E"/>
    <w:rsid w:val="00801F93"/>
    <w:rsid w:val="00802357"/>
    <w:rsid w:val="00805405"/>
    <w:rsid w:val="008102F8"/>
    <w:rsid w:val="00811C49"/>
    <w:rsid w:val="008122D5"/>
    <w:rsid w:val="00813D5E"/>
    <w:rsid w:val="00815E1E"/>
    <w:rsid w:val="00820B3D"/>
    <w:rsid w:val="00825859"/>
    <w:rsid w:val="00834500"/>
    <w:rsid w:val="00835AEB"/>
    <w:rsid w:val="00835DA5"/>
    <w:rsid w:val="0084304E"/>
    <w:rsid w:val="00845B64"/>
    <w:rsid w:val="00847595"/>
    <w:rsid w:val="008516DE"/>
    <w:rsid w:val="00851CEE"/>
    <w:rsid w:val="00852C62"/>
    <w:rsid w:val="00857A90"/>
    <w:rsid w:val="008607AE"/>
    <w:rsid w:val="00863244"/>
    <w:rsid w:val="00865E2C"/>
    <w:rsid w:val="008719A6"/>
    <w:rsid w:val="00871CE6"/>
    <w:rsid w:val="00873601"/>
    <w:rsid w:val="00876550"/>
    <w:rsid w:val="0087706E"/>
    <w:rsid w:val="008813B1"/>
    <w:rsid w:val="008815B7"/>
    <w:rsid w:val="00881AA8"/>
    <w:rsid w:val="00881BFF"/>
    <w:rsid w:val="00881C88"/>
    <w:rsid w:val="00881D9A"/>
    <w:rsid w:val="00884630"/>
    <w:rsid w:val="00890177"/>
    <w:rsid w:val="00894079"/>
    <w:rsid w:val="00894252"/>
    <w:rsid w:val="008954D0"/>
    <w:rsid w:val="00896D12"/>
    <w:rsid w:val="008A131C"/>
    <w:rsid w:val="008A15CE"/>
    <w:rsid w:val="008A1EC2"/>
    <w:rsid w:val="008A1F57"/>
    <w:rsid w:val="008A4CE0"/>
    <w:rsid w:val="008A4F92"/>
    <w:rsid w:val="008A74DA"/>
    <w:rsid w:val="008A7A06"/>
    <w:rsid w:val="008A7D5B"/>
    <w:rsid w:val="008A7FC4"/>
    <w:rsid w:val="008B07C5"/>
    <w:rsid w:val="008B149F"/>
    <w:rsid w:val="008B4BA1"/>
    <w:rsid w:val="008B57F6"/>
    <w:rsid w:val="008B5EA9"/>
    <w:rsid w:val="008B6A9F"/>
    <w:rsid w:val="008B783C"/>
    <w:rsid w:val="008C4556"/>
    <w:rsid w:val="008C5865"/>
    <w:rsid w:val="008D19ED"/>
    <w:rsid w:val="008D1BEF"/>
    <w:rsid w:val="008D3B26"/>
    <w:rsid w:val="008D4481"/>
    <w:rsid w:val="008E0F07"/>
    <w:rsid w:val="008E3DD6"/>
    <w:rsid w:val="008E6BA9"/>
    <w:rsid w:val="008E7174"/>
    <w:rsid w:val="008F4151"/>
    <w:rsid w:val="008F65AF"/>
    <w:rsid w:val="009022CC"/>
    <w:rsid w:val="00902A44"/>
    <w:rsid w:val="00905292"/>
    <w:rsid w:val="00905D60"/>
    <w:rsid w:val="009064C5"/>
    <w:rsid w:val="00910186"/>
    <w:rsid w:val="00910E0E"/>
    <w:rsid w:val="00913DF0"/>
    <w:rsid w:val="00914070"/>
    <w:rsid w:val="00914C7A"/>
    <w:rsid w:val="00915244"/>
    <w:rsid w:val="0092020F"/>
    <w:rsid w:val="00920461"/>
    <w:rsid w:val="009245D8"/>
    <w:rsid w:val="009249B3"/>
    <w:rsid w:val="00931144"/>
    <w:rsid w:val="00933F90"/>
    <w:rsid w:val="00942124"/>
    <w:rsid w:val="009421D6"/>
    <w:rsid w:val="009442EA"/>
    <w:rsid w:val="00946A6A"/>
    <w:rsid w:val="009477BE"/>
    <w:rsid w:val="00951E40"/>
    <w:rsid w:val="009530DE"/>
    <w:rsid w:val="00956053"/>
    <w:rsid w:val="00956AC9"/>
    <w:rsid w:val="0095700B"/>
    <w:rsid w:val="009579C7"/>
    <w:rsid w:val="009625E2"/>
    <w:rsid w:val="00962F6D"/>
    <w:rsid w:val="009647E9"/>
    <w:rsid w:val="0096617F"/>
    <w:rsid w:val="00971100"/>
    <w:rsid w:val="009714FF"/>
    <w:rsid w:val="0097261B"/>
    <w:rsid w:val="0097655E"/>
    <w:rsid w:val="00976D5E"/>
    <w:rsid w:val="009810D1"/>
    <w:rsid w:val="00981125"/>
    <w:rsid w:val="0098171B"/>
    <w:rsid w:val="00981812"/>
    <w:rsid w:val="00982D83"/>
    <w:rsid w:val="00993138"/>
    <w:rsid w:val="0099453C"/>
    <w:rsid w:val="00995100"/>
    <w:rsid w:val="009B0375"/>
    <w:rsid w:val="009B4505"/>
    <w:rsid w:val="009B50BD"/>
    <w:rsid w:val="009B5D5B"/>
    <w:rsid w:val="009C0F8E"/>
    <w:rsid w:val="009C1EE1"/>
    <w:rsid w:val="009C3BC8"/>
    <w:rsid w:val="009C4399"/>
    <w:rsid w:val="009C6D6F"/>
    <w:rsid w:val="009C6DD2"/>
    <w:rsid w:val="009C722A"/>
    <w:rsid w:val="009C79F5"/>
    <w:rsid w:val="009D0995"/>
    <w:rsid w:val="009D09BC"/>
    <w:rsid w:val="009D0E18"/>
    <w:rsid w:val="009D202A"/>
    <w:rsid w:val="009D369B"/>
    <w:rsid w:val="009D3B46"/>
    <w:rsid w:val="009D4EAB"/>
    <w:rsid w:val="009D5857"/>
    <w:rsid w:val="009D64BF"/>
    <w:rsid w:val="009E05A6"/>
    <w:rsid w:val="009E086A"/>
    <w:rsid w:val="009E3A1E"/>
    <w:rsid w:val="009E3CB8"/>
    <w:rsid w:val="009E4946"/>
    <w:rsid w:val="009E54CD"/>
    <w:rsid w:val="009E5AB3"/>
    <w:rsid w:val="009E644A"/>
    <w:rsid w:val="009E6C35"/>
    <w:rsid w:val="009E7795"/>
    <w:rsid w:val="009F14C1"/>
    <w:rsid w:val="009F316E"/>
    <w:rsid w:val="009F556D"/>
    <w:rsid w:val="00A026AE"/>
    <w:rsid w:val="00A02974"/>
    <w:rsid w:val="00A04D56"/>
    <w:rsid w:val="00A05893"/>
    <w:rsid w:val="00A131ED"/>
    <w:rsid w:val="00A170DD"/>
    <w:rsid w:val="00A17250"/>
    <w:rsid w:val="00A17686"/>
    <w:rsid w:val="00A1782B"/>
    <w:rsid w:val="00A21E39"/>
    <w:rsid w:val="00A32F29"/>
    <w:rsid w:val="00A41124"/>
    <w:rsid w:val="00A41C9F"/>
    <w:rsid w:val="00A43084"/>
    <w:rsid w:val="00A444C2"/>
    <w:rsid w:val="00A446B6"/>
    <w:rsid w:val="00A50985"/>
    <w:rsid w:val="00A5238B"/>
    <w:rsid w:val="00A5655F"/>
    <w:rsid w:val="00A56CF3"/>
    <w:rsid w:val="00A57715"/>
    <w:rsid w:val="00A57E45"/>
    <w:rsid w:val="00A62D1F"/>
    <w:rsid w:val="00A65807"/>
    <w:rsid w:val="00A72BF8"/>
    <w:rsid w:val="00A73A88"/>
    <w:rsid w:val="00A74161"/>
    <w:rsid w:val="00A800A8"/>
    <w:rsid w:val="00A81554"/>
    <w:rsid w:val="00A834DF"/>
    <w:rsid w:val="00A84A29"/>
    <w:rsid w:val="00A8569F"/>
    <w:rsid w:val="00A859D9"/>
    <w:rsid w:val="00A86DD2"/>
    <w:rsid w:val="00A87ED5"/>
    <w:rsid w:val="00A9760A"/>
    <w:rsid w:val="00AA0576"/>
    <w:rsid w:val="00AA7F6D"/>
    <w:rsid w:val="00AB5628"/>
    <w:rsid w:val="00AB65A1"/>
    <w:rsid w:val="00AC0518"/>
    <w:rsid w:val="00AC0FAD"/>
    <w:rsid w:val="00AC1F9D"/>
    <w:rsid w:val="00AC22AB"/>
    <w:rsid w:val="00AD1385"/>
    <w:rsid w:val="00AD2040"/>
    <w:rsid w:val="00AD2B77"/>
    <w:rsid w:val="00AD3B12"/>
    <w:rsid w:val="00AD7FFD"/>
    <w:rsid w:val="00AE237A"/>
    <w:rsid w:val="00AF2E73"/>
    <w:rsid w:val="00AF3B19"/>
    <w:rsid w:val="00AF57C0"/>
    <w:rsid w:val="00AF5AC6"/>
    <w:rsid w:val="00B010C4"/>
    <w:rsid w:val="00B01458"/>
    <w:rsid w:val="00B06F6A"/>
    <w:rsid w:val="00B07864"/>
    <w:rsid w:val="00B11EAB"/>
    <w:rsid w:val="00B13BC2"/>
    <w:rsid w:val="00B20F86"/>
    <w:rsid w:val="00B30B60"/>
    <w:rsid w:val="00B3103C"/>
    <w:rsid w:val="00B32433"/>
    <w:rsid w:val="00B32DF9"/>
    <w:rsid w:val="00B33719"/>
    <w:rsid w:val="00B34A2D"/>
    <w:rsid w:val="00B35650"/>
    <w:rsid w:val="00B36590"/>
    <w:rsid w:val="00B36DA3"/>
    <w:rsid w:val="00B372E7"/>
    <w:rsid w:val="00B3744F"/>
    <w:rsid w:val="00B45DBE"/>
    <w:rsid w:val="00B46125"/>
    <w:rsid w:val="00B466FC"/>
    <w:rsid w:val="00B51C01"/>
    <w:rsid w:val="00B5299D"/>
    <w:rsid w:val="00B560F9"/>
    <w:rsid w:val="00B56BE4"/>
    <w:rsid w:val="00B611E3"/>
    <w:rsid w:val="00B61F13"/>
    <w:rsid w:val="00B64561"/>
    <w:rsid w:val="00B6510D"/>
    <w:rsid w:val="00B65F48"/>
    <w:rsid w:val="00B67B45"/>
    <w:rsid w:val="00B67C8F"/>
    <w:rsid w:val="00B70B57"/>
    <w:rsid w:val="00B74A7B"/>
    <w:rsid w:val="00B82592"/>
    <w:rsid w:val="00B847E7"/>
    <w:rsid w:val="00B94A99"/>
    <w:rsid w:val="00B94DF7"/>
    <w:rsid w:val="00B96242"/>
    <w:rsid w:val="00B965B2"/>
    <w:rsid w:val="00B96793"/>
    <w:rsid w:val="00B97D1C"/>
    <w:rsid w:val="00BA3E20"/>
    <w:rsid w:val="00BA475F"/>
    <w:rsid w:val="00BA553C"/>
    <w:rsid w:val="00BB54DC"/>
    <w:rsid w:val="00BC0BC2"/>
    <w:rsid w:val="00BC1AF9"/>
    <w:rsid w:val="00BC7B74"/>
    <w:rsid w:val="00BD2389"/>
    <w:rsid w:val="00BD2E1C"/>
    <w:rsid w:val="00BD30D2"/>
    <w:rsid w:val="00BD35FC"/>
    <w:rsid w:val="00BD3CD9"/>
    <w:rsid w:val="00BD405E"/>
    <w:rsid w:val="00BD4CB3"/>
    <w:rsid w:val="00BD6E10"/>
    <w:rsid w:val="00BE411E"/>
    <w:rsid w:val="00BE4756"/>
    <w:rsid w:val="00BF07C2"/>
    <w:rsid w:val="00BF13D5"/>
    <w:rsid w:val="00BF156F"/>
    <w:rsid w:val="00BF3164"/>
    <w:rsid w:val="00BF6129"/>
    <w:rsid w:val="00C0114D"/>
    <w:rsid w:val="00C03403"/>
    <w:rsid w:val="00C04279"/>
    <w:rsid w:val="00C05506"/>
    <w:rsid w:val="00C05A3D"/>
    <w:rsid w:val="00C05BB3"/>
    <w:rsid w:val="00C10421"/>
    <w:rsid w:val="00C10710"/>
    <w:rsid w:val="00C1309E"/>
    <w:rsid w:val="00C16362"/>
    <w:rsid w:val="00C2211C"/>
    <w:rsid w:val="00C22168"/>
    <w:rsid w:val="00C24023"/>
    <w:rsid w:val="00C252DA"/>
    <w:rsid w:val="00C338EA"/>
    <w:rsid w:val="00C33ECE"/>
    <w:rsid w:val="00C41E0E"/>
    <w:rsid w:val="00C43CD1"/>
    <w:rsid w:val="00C471E9"/>
    <w:rsid w:val="00C478C2"/>
    <w:rsid w:val="00C47AD3"/>
    <w:rsid w:val="00C54013"/>
    <w:rsid w:val="00C541F8"/>
    <w:rsid w:val="00C55F9F"/>
    <w:rsid w:val="00C567C5"/>
    <w:rsid w:val="00C603F8"/>
    <w:rsid w:val="00C61389"/>
    <w:rsid w:val="00C6215E"/>
    <w:rsid w:val="00C63FD6"/>
    <w:rsid w:val="00C64D99"/>
    <w:rsid w:val="00C67DC7"/>
    <w:rsid w:val="00C727FD"/>
    <w:rsid w:val="00C738BB"/>
    <w:rsid w:val="00C73F91"/>
    <w:rsid w:val="00C7791E"/>
    <w:rsid w:val="00C77A75"/>
    <w:rsid w:val="00C82138"/>
    <w:rsid w:val="00C85EFB"/>
    <w:rsid w:val="00C865DC"/>
    <w:rsid w:val="00C90262"/>
    <w:rsid w:val="00C923FF"/>
    <w:rsid w:val="00C92F19"/>
    <w:rsid w:val="00C930C8"/>
    <w:rsid w:val="00C94313"/>
    <w:rsid w:val="00C95878"/>
    <w:rsid w:val="00C95ED2"/>
    <w:rsid w:val="00C96BCA"/>
    <w:rsid w:val="00CA4EB3"/>
    <w:rsid w:val="00CB0542"/>
    <w:rsid w:val="00CB2DC7"/>
    <w:rsid w:val="00CB3027"/>
    <w:rsid w:val="00CC1D14"/>
    <w:rsid w:val="00CC4D5D"/>
    <w:rsid w:val="00CD052B"/>
    <w:rsid w:val="00CD0896"/>
    <w:rsid w:val="00CD4BE9"/>
    <w:rsid w:val="00CD4DE1"/>
    <w:rsid w:val="00CD63FA"/>
    <w:rsid w:val="00CD6D28"/>
    <w:rsid w:val="00CD7BE2"/>
    <w:rsid w:val="00CD7F7C"/>
    <w:rsid w:val="00CE2100"/>
    <w:rsid w:val="00CE2C1E"/>
    <w:rsid w:val="00CE43EB"/>
    <w:rsid w:val="00CE6DA9"/>
    <w:rsid w:val="00CF1F10"/>
    <w:rsid w:val="00CF46FF"/>
    <w:rsid w:val="00CF5CE5"/>
    <w:rsid w:val="00CF6E2A"/>
    <w:rsid w:val="00D0015D"/>
    <w:rsid w:val="00D0479B"/>
    <w:rsid w:val="00D063DB"/>
    <w:rsid w:val="00D06E49"/>
    <w:rsid w:val="00D12AA9"/>
    <w:rsid w:val="00D15745"/>
    <w:rsid w:val="00D20F03"/>
    <w:rsid w:val="00D21EFD"/>
    <w:rsid w:val="00D240A6"/>
    <w:rsid w:val="00D257F1"/>
    <w:rsid w:val="00D3083D"/>
    <w:rsid w:val="00D30C23"/>
    <w:rsid w:val="00D32D11"/>
    <w:rsid w:val="00D34487"/>
    <w:rsid w:val="00D34955"/>
    <w:rsid w:val="00D42032"/>
    <w:rsid w:val="00D42462"/>
    <w:rsid w:val="00D523A1"/>
    <w:rsid w:val="00D61518"/>
    <w:rsid w:val="00D626EA"/>
    <w:rsid w:val="00D6318E"/>
    <w:rsid w:val="00D637BC"/>
    <w:rsid w:val="00D67671"/>
    <w:rsid w:val="00D7231E"/>
    <w:rsid w:val="00D76A93"/>
    <w:rsid w:val="00D77AD6"/>
    <w:rsid w:val="00D83221"/>
    <w:rsid w:val="00D87AB4"/>
    <w:rsid w:val="00D87FBF"/>
    <w:rsid w:val="00D91129"/>
    <w:rsid w:val="00D94C6A"/>
    <w:rsid w:val="00D953F6"/>
    <w:rsid w:val="00D95E66"/>
    <w:rsid w:val="00DA64A0"/>
    <w:rsid w:val="00DB2474"/>
    <w:rsid w:val="00DB2E57"/>
    <w:rsid w:val="00DB3453"/>
    <w:rsid w:val="00DB62B6"/>
    <w:rsid w:val="00DB66ED"/>
    <w:rsid w:val="00DC6264"/>
    <w:rsid w:val="00DC7FD4"/>
    <w:rsid w:val="00DD12B0"/>
    <w:rsid w:val="00DD15FF"/>
    <w:rsid w:val="00DD5614"/>
    <w:rsid w:val="00DD6E58"/>
    <w:rsid w:val="00DE116E"/>
    <w:rsid w:val="00DE4095"/>
    <w:rsid w:val="00DE5975"/>
    <w:rsid w:val="00DE7B8A"/>
    <w:rsid w:val="00DF2A0C"/>
    <w:rsid w:val="00DF2A83"/>
    <w:rsid w:val="00DF3B06"/>
    <w:rsid w:val="00DF67F2"/>
    <w:rsid w:val="00DF6E22"/>
    <w:rsid w:val="00DF784C"/>
    <w:rsid w:val="00E00FC0"/>
    <w:rsid w:val="00E01079"/>
    <w:rsid w:val="00E0144D"/>
    <w:rsid w:val="00E02A35"/>
    <w:rsid w:val="00E033C4"/>
    <w:rsid w:val="00E07E64"/>
    <w:rsid w:val="00E10968"/>
    <w:rsid w:val="00E12C21"/>
    <w:rsid w:val="00E13E41"/>
    <w:rsid w:val="00E14261"/>
    <w:rsid w:val="00E166B2"/>
    <w:rsid w:val="00E16BAB"/>
    <w:rsid w:val="00E22190"/>
    <w:rsid w:val="00E22EC9"/>
    <w:rsid w:val="00E23A85"/>
    <w:rsid w:val="00E26173"/>
    <w:rsid w:val="00E26831"/>
    <w:rsid w:val="00E317EC"/>
    <w:rsid w:val="00E32D81"/>
    <w:rsid w:val="00E32DB7"/>
    <w:rsid w:val="00E33440"/>
    <w:rsid w:val="00E3671E"/>
    <w:rsid w:val="00E41548"/>
    <w:rsid w:val="00E42462"/>
    <w:rsid w:val="00E42FBE"/>
    <w:rsid w:val="00E46BB1"/>
    <w:rsid w:val="00E50694"/>
    <w:rsid w:val="00E5619A"/>
    <w:rsid w:val="00E71FF9"/>
    <w:rsid w:val="00E741E1"/>
    <w:rsid w:val="00E7587E"/>
    <w:rsid w:val="00E823AD"/>
    <w:rsid w:val="00E82C1B"/>
    <w:rsid w:val="00E83954"/>
    <w:rsid w:val="00E84DB1"/>
    <w:rsid w:val="00E872E2"/>
    <w:rsid w:val="00E92B3E"/>
    <w:rsid w:val="00E92F6C"/>
    <w:rsid w:val="00E94098"/>
    <w:rsid w:val="00E96404"/>
    <w:rsid w:val="00E9703D"/>
    <w:rsid w:val="00E971E7"/>
    <w:rsid w:val="00EA6A7D"/>
    <w:rsid w:val="00EA6F78"/>
    <w:rsid w:val="00EB5841"/>
    <w:rsid w:val="00EB5D57"/>
    <w:rsid w:val="00EB7778"/>
    <w:rsid w:val="00EC06D5"/>
    <w:rsid w:val="00EC1363"/>
    <w:rsid w:val="00EC1C1C"/>
    <w:rsid w:val="00EC3F3A"/>
    <w:rsid w:val="00EC4DE5"/>
    <w:rsid w:val="00ED03A3"/>
    <w:rsid w:val="00ED33B1"/>
    <w:rsid w:val="00ED3A0B"/>
    <w:rsid w:val="00ED6082"/>
    <w:rsid w:val="00EE2435"/>
    <w:rsid w:val="00EE2C62"/>
    <w:rsid w:val="00EF5294"/>
    <w:rsid w:val="00F00728"/>
    <w:rsid w:val="00F0181F"/>
    <w:rsid w:val="00F02DD5"/>
    <w:rsid w:val="00F04371"/>
    <w:rsid w:val="00F04B36"/>
    <w:rsid w:val="00F05A86"/>
    <w:rsid w:val="00F0606D"/>
    <w:rsid w:val="00F11BA1"/>
    <w:rsid w:val="00F15553"/>
    <w:rsid w:val="00F15831"/>
    <w:rsid w:val="00F2430D"/>
    <w:rsid w:val="00F3339D"/>
    <w:rsid w:val="00F34835"/>
    <w:rsid w:val="00F34FF0"/>
    <w:rsid w:val="00F375D9"/>
    <w:rsid w:val="00F408F4"/>
    <w:rsid w:val="00F40A90"/>
    <w:rsid w:val="00F44147"/>
    <w:rsid w:val="00F4705D"/>
    <w:rsid w:val="00F53C81"/>
    <w:rsid w:val="00F54216"/>
    <w:rsid w:val="00F55A83"/>
    <w:rsid w:val="00F56588"/>
    <w:rsid w:val="00F57108"/>
    <w:rsid w:val="00F571DA"/>
    <w:rsid w:val="00F62F3D"/>
    <w:rsid w:val="00F66F74"/>
    <w:rsid w:val="00F67267"/>
    <w:rsid w:val="00F67B20"/>
    <w:rsid w:val="00F74644"/>
    <w:rsid w:val="00F74D26"/>
    <w:rsid w:val="00F756E7"/>
    <w:rsid w:val="00F76246"/>
    <w:rsid w:val="00F82CB0"/>
    <w:rsid w:val="00F9382A"/>
    <w:rsid w:val="00F942C7"/>
    <w:rsid w:val="00F946C6"/>
    <w:rsid w:val="00F954DD"/>
    <w:rsid w:val="00F959E7"/>
    <w:rsid w:val="00F96D7D"/>
    <w:rsid w:val="00FA10F8"/>
    <w:rsid w:val="00FA3F55"/>
    <w:rsid w:val="00FA4281"/>
    <w:rsid w:val="00FA6819"/>
    <w:rsid w:val="00FB54CF"/>
    <w:rsid w:val="00FC06C0"/>
    <w:rsid w:val="00FC3065"/>
    <w:rsid w:val="00FC3FB7"/>
    <w:rsid w:val="00FD0457"/>
    <w:rsid w:val="00FD0F16"/>
    <w:rsid w:val="00FD25E2"/>
    <w:rsid w:val="00FD4B8C"/>
    <w:rsid w:val="00FD6417"/>
    <w:rsid w:val="00FD79AD"/>
    <w:rsid w:val="00FD79D7"/>
    <w:rsid w:val="00FE004C"/>
    <w:rsid w:val="00FE0181"/>
    <w:rsid w:val="00FE303F"/>
    <w:rsid w:val="00FE3236"/>
    <w:rsid w:val="00FE4B0F"/>
    <w:rsid w:val="00FE5AF2"/>
    <w:rsid w:val="00FE5E8F"/>
    <w:rsid w:val="00FE5ECB"/>
    <w:rsid w:val="00FE684E"/>
    <w:rsid w:val="00FF343D"/>
    <w:rsid w:val="00FF3AD1"/>
    <w:rsid w:val="00FF57E1"/>
    <w:rsid w:val="00FF6CE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1C1F61"/>
  <w15:docId w15:val="{F519C66F-EC16-4768-B522-1558AC5CE7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6A6E"/>
    <w:rPr>
      <w:rFonts w:ascii="Times New Roman" w:hAnsi="Times New Roman"/>
      <w:color w:val="C00000"/>
      <w:sz w:val="24"/>
    </w:rPr>
  </w:style>
  <w:style w:type="paragraph" w:styleId="Heading1">
    <w:name w:val="heading 1"/>
    <w:basedOn w:val="Normal"/>
    <w:next w:val="Normal"/>
    <w:link w:val="Heading1Char"/>
    <w:qFormat/>
    <w:rsid w:val="000D676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nhideWhenUsed/>
    <w:qFormat/>
    <w:rsid w:val="003D7DFA"/>
    <w:pPr>
      <w:pBdr>
        <w:bottom w:val="thickThinSmallGap" w:sz="24" w:space="1" w:color="auto"/>
      </w:pBdr>
      <w:spacing w:before="120" w:after="0" w:line="240" w:lineRule="auto"/>
      <w:contextualSpacing/>
      <w:jc w:val="center"/>
      <w:outlineLvl w:val="1"/>
    </w:pPr>
    <w:rPr>
      <w:rFonts w:ascii="Verdana" w:hAnsi="Verdana" w:cs="Times New Roman"/>
      <w:b/>
      <w:bCs/>
      <w:kern w:val="0"/>
      <w:sz w:val="40"/>
      <w:szCs w:val="40"/>
    </w:rPr>
  </w:style>
  <w:style w:type="paragraph" w:styleId="Heading3">
    <w:name w:val="heading 3"/>
    <w:basedOn w:val="Normal"/>
    <w:next w:val="Normal"/>
    <w:link w:val="Heading3Char"/>
    <w:unhideWhenUsed/>
    <w:qFormat/>
    <w:rsid w:val="00835DA5"/>
    <w:pPr>
      <w:spacing w:before="120" w:after="80" w:line="300" w:lineRule="exact"/>
      <w:ind w:left="720" w:hanging="720"/>
      <w:outlineLvl w:val="2"/>
    </w:pPr>
    <w:rPr>
      <w:rFonts w:ascii="Verdana" w:hAnsi="Verdana" w:cs="Times New Roman"/>
      <w:b/>
      <w:bCs/>
      <w:kern w:val="0"/>
      <w:sz w:val="28"/>
      <w:szCs w:val="28"/>
    </w:rPr>
  </w:style>
  <w:style w:type="paragraph" w:styleId="Heading4">
    <w:name w:val="heading 4"/>
    <w:basedOn w:val="Normal"/>
    <w:next w:val="Normal"/>
    <w:link w:val="Heading4Char"/>
    <w:unhideWhenUsed/>
    <w:qFormat/>
    <w:rsid w:val="00835DA5"/>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480" w:after="0" w:line="276" w:lineRule="auto"/>
      <w:ind w:left="547" w:hanging="547"/>
      <w:outlineLvl w:val="3"/>
    </w:pPr>
    <w:rPr>
      <w:rFonts w:eastAsia="Calibri" w:cs="Times New Roman"/>
      <w:b/>
      <w:bCs/>
      <w:color w:val="000000" w:themeColor="text1"/>
      <w:kern w:val="0"/>
      <w:sz w:val="26"/>
      <w:szCs w:val="28"/>
    </w:rPr>
  </w:style>
  <w:style w:type="paragraph" w:styleId="Heading5">
    <w:name w:val="heading 5"/>
    <w:basedOn w:val="Normal"/>
    <w:next w:val="Normal"/>
    <w:link w:val="Heading5Char"/>
    <w:unhideWhenUsed/>
    <w:qFormat/>
    <w:rsid w:val="00D34487"/>
    <w:pPr>
      <w:keepNext/>
      <w:keepLines/>
      <w:spacing w:before="40" w:after="40"/>
      <w:outlineLvl w:val="4"/>
    </w:pPr>
    <w:rPr>
      <w:rFonts w:eastAsiaTheme="majorEastAsia" w:cstheme="majorBidi"/>
      <w:b/>
      <w:color w:val="000000" w:themeColor="text1"/>
    </w:rPr>
  </w:style>
  <w:style w:type="paragraph" w:styleId="Heading6">
    <w:name w:val="heading 6"/>
    <w:basedOn w:val="Normal"/>
    <w:next w:val="Normal"/>
    <w:link w:val="Heading6Char"/>
    <w:uiPriority w:val="9"/>
    <w:unhideWhenUsed/>
    <w:qFormat/>
    <w:rsid w:val="00D34487"/>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unhideWhenUsed/>
    <w:qFormat/>
    <w:rsid w:val="00BE411E"/>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IntenseEmphasis">
    <w:name w:val="Intense Emphasis"/>
    <w:basedOn w:val="DefaultParagraphFont"/>
    <w:uiPriority w:val="21"/>
    <w:qFormat/>
    <w:rsid w:val="00E32DB7"/>
    <w:rPr>
      <w:i/>
      <w:iCs/>
      <w:color w:val="4472C4" w:themeColor="accent1"/>
    </w:rPr>
  </w:style>
  <w:style w:type="character" w:customStyle="1" w:styleId="Heading2Char">
    <w:name w:val="Heading 2 Char"/>
    <w:basedOn w:val="DefaultParagraphFont"/>
    <w:link w:val="Heading2"/>
    <w:uiPriority w:val="9"/>
    <w:rsid w:val="003D7DFA"/>
    <w:rPr>
      <w:rFonts w:ascii="Verdana" w:hAnsi="Verdana" w:cs="Times New Roman"/>
      <w:b/>
      <w:bCs/>
      <w:color w:val="C00000"/>
      <w:kern w:val="0"/>
      <w:sz w:val="40"/>
      <w:szCs w:val="40"/>
    </w:rPr>
  </w:style>
  <w:style w:type="character" w:customStyle="1" w:styleId="Heading3Char">
    <w:name w:val="Heading 3 Char"/>
    <w:basedOn w:val="DefaultParagraphFont"/>
    <w:link w:val="Heading3"/>
    <w:uiPriority w:val="9"/>
    <w:rsid w:val="00835DA5"/>
    <w:rPr>
      <w:rFonts w:ascii="Verdana" w:hAnsi="Verdana" w:cs="Times New Roman"/>
      <w:b/>
      <w:bCs/>
      <w:color w:val="C00000"/>
      <w:kern w:val="0"/>
      <w:sz w:val="28"/>
      <w:szCs w:val="28"/>
    </w:rPr>
  </w:style>
  <w:style w:type="character" w:customStyle="1" w:styleId="Heading1Char">
    <w:name w:val="Heading 1 Char"/>
    <w:basedOn w:val="DefaultParagraphFont"/>
    <w:link w:val="Heading1"/>
    <w:uiPriority w:val="9"/>
    <w:rsid w:val="000D6760"/>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0D6760"/>
    <w:pPr>
      <w:outlineLvl w:val="9"/>
    </w:pPr>
    <w:rPr>
      <w:kern w:val="0"/>
    </w:rPr>
  </w:style>
  <w:style w:type="paragraph" w:styleId="TOC2">
    <w:name w:val="toc 2"/>
    <w:basedOn w:val="Normal"/>
    <w:next w:val="Normal"/>
    <w:autoRedefine/>
    <w:uiPriority w:val="39"/>
    <w:unhideWhenUsed/>
    <w:rsid w:val="000D6760"/>
    <w:pPr>
      <w:spacing w:after="100"/>
      <w:ind w:left="220"/>
    </w:pPr>
  </w:style>
  <w:style w:type="paragraph" w:styleId="TOC3">
    <w:name w:val="toc 3"/>
    <w:basedOn w:val="Normal"/>
    <w:next w:val="Normal"/>
    <w:autoRedefine/>
    <w:uiPriority w:val="39"/>
    <w:unhideWhenUsed/>
    <w:rsid w:val="000D6760"/>
    <w:pPr>
      <w:spacing w:after="100"/>
      <w:ind w:left="440"/>
    </w:pPr>
  </w:style>
  <w:style w:type="character" w:styleId="Hyperlink">
    <w:name w:val="Hyperlink"/>
    <w:basedOn w:val="DefaultParagraphFont"/>
    <w:uiPriority w:val="99"/>
    <w:unhideWhenUsed/>
    <w:rsid w:val="000D6760"/>
    <w:rPr>
      <w:color w:val="0563C1" w:themeColor="hyperlink"/>
      <w:u w:val="single"/>
    </w:rPr>
  </w:style>
  <w:style w:type="paragraph" w:styleId="Footer">
    <w:name w:val="footer"/>
    <w:basedOn w:val="Normal"/>
    <w:link w:val="FooterChar"/>
    <w:uiPriority w:val="99"/>
    <w:unhideWhenUsed/>
    <w:rsid w:val="007A4B15"/>
    <w:pPr>
      <w:tabs>
        <w:tab w:val="center" w:pos="4680"/>
        <w:tab w:val="right" w:pos="9360"/>
      </w:tabs>
      <w:spacing w:after="0" w:line="240" w:lineRule="auto"/>
    </w:pPr>
  </w:style>
  <w:style w:type="character" w:customStyle="1" w:styleId="FooterChar">
    <w:name w:val="Footer Char"/>
    <w:basedOn w:val="DefaultParagraphFont"/>
    <w:link w:val="Footer"/>
    <w:uiPriority w:val="99"/>
    <w:rsid w:val="007A4B15"/>
  </w:style>
  <w:style w:type="paragraph" w:styleId="Title">
    <w:name w:val="Title"/>
    <w:basedOn w:val="Normal"/>
    <w:next w:val="Normal"/>
    <w:link w:val="TitleChar"/>
    <w:uiPriority w:val="10"/>
    <w:qFormat/>
    <w:rsid w:val="007A4B15"/>
    <w:pPr>
      <w:pBdr>
        <w:bottom w:val="thickThinMediumGap" w:sz="24" w:space="4" w:color="5B9BD5"/>
      </w:pBdr>
      <w:tabs>
        <w:tab w:val="left" w:pos="0"/>
        <w:tab w:val="left" w:pos="540"/>
        <w:tab w:val="left" w:pos="1080"/>
        <w:tab w:val="left" w:pos="1620"/>
        <w:tab w:val="left" w:pos="2160"/>
        <w:tab w:val="left" w:pos="2700"/>
        <w:tab w:val="left" w:pos="3240"/>
        <w:tab w:val="left" w:pos="3780"/>
        <w:tab w:val="left" w:pos="4320"/>
        <w:tab w:val="left" w:pos="4860"/>
      </w:tabs>
      <w:spacing w:before="120" w:after="300" w:line="240" w:lineRule="auto"/>
      <w:contextualSpacing/>
      <w:jc w:val="center"/>
      <w:outlineLvl w:val="0"/>
    </w:pPr>
    <w:rPr>
      <w:rFonts w:ascii="Verdana" w:eastAsia="Times New Roman" w:hAnsi="Verdana" w:cs="Times New Roman"/>
      <w:b/>
      <w:bCs/>
      <w:color w:val="0070C0"/>
      <w:spacing w:val="5"/>
      <w:kern w:val="28"/>
      <w:sz w:val="40"/>
      <w:szCs w:val="40"/>
    </w:rPr>
  </w:style>
  <w:style w:type="character" w:customStyle="1" w:styleId="TitleChar">
    <w:name w:val="Title Char"/>
    <w:basedOn w:val="DefaultParagraphFont"/>
    <w:link w:val="Title"/>
    <w:uiPriority w:val="10"/>
    <w:rsid w:val="007A4B15"/>
    <w:rPr>
      <w:rFonts w:ascii="Verdana" w:eastAsia="Times New Roman" w:hAnsi="Verdana" w:cs="Times New Roman"/>
      <w:b/>
      <w:bCs/>
      <w:color w:val="0070C0"/>
      <w:spacing w:val="5"/>
      <w:kern w:val="28"/>
      <w:sz w:val="40"/>
      <w:szCs w:val="40"/>
    </w:rPr>
  </w:style>
  <w:style w:type="character" w:customStyle="1" w:styleId="Heading4Char">
    <w:name w:val="Heading 4 Char"/>
    <w:basedOn w:val="DefaultParagraphFont"/>
    <w:link w:val="Heading4"/>
    <w:uiPriority w:val="9"/>
    <w:rsid w:val="00835DA5"/>
    <w:rPr>
      <w:rFonts w:ascii="Times New Roman" w:eastAsia="Calibri" w:hAnsi="Times New Roman" w:cs="Times New Roman"/>
      <w:b/>
      <w:bCs/>
      <w:color w:val="000000" w:themeColor="text1"/>
      <w:kern w:val="0"/>
      <w:sz w:val="26"/>
      <w:szCs w:val="28"/>
    </w:rPr>
  </w:style>
  <w:style w:type="paragraph" w:styleId="Subtitle">
    <w:name w:val="Subtitle"/>
    <w:basedOn w:val="Normal"/>
    <w:next w:val="Normal"/>
    <w:link w:val="SubtitleChar"/>
    <w:uiPriority w:val="11"/>
    <w:qFormat/>
    <w:rsid w:val="007A4B15"/>
    <w:pPr>
      <w:keepNext/>
      <w:keepLines/>
      <w:tabs>
        <w:tab w:val="left" w:pos="0"/>
        <w:tab w:val="left" w:pos="540"/>
        <w:tab w:val="left" w:pos="1080"/>
        <w:tab w:val="left" w:pos="1620"/>
        <w:tab w:val="left" w:pos="2160"/>
        <w:tab w:val="left" w:pos="2700"/>
        <w:tab w:val="left" w:pos="3240"/>
        <w:tab w:val="left" w:pos="3780"/>
        <w:tab w:val="left" w:pos="4320"/>
        <w:tab w:val="left" w:pos="4860"/>
      </w:tabs>
      <w:spacing w:before="480" w:after="0" w:line="276" w:lineRule="auto"/>
      <w:ind w:left="547" w:hanging="547"/>
      <w:outlineLvl w:val="0"/>
    </w:pPr>
    <w:rPr>
      <w:rFonts w:ascii="Verdana" w:eastAsia="Calibri" w:hAnsi="Verdana" w:cs="Times New Roman"/>
      <w:b/>
      <w:bCs/>
      <w:color w:val="2E74B5"/>
      <w:kern w:val="0"/>
      <w:sz w:val="28"/>
      <w:szCs w:val="28"/>
    </w:rPr>
  </w:style>
  <w:style w:type="character" w:customStyle="1" w:styleId="SubtitleChar">
    <w:name w:val="Subtitle Char"/>
    <w:basedOn w:val="DefaultParagraphFont"/>
    <w:link w:val="Subtitle"/>
    <w:uiPriority w:val="11"/>
    <w:rsid w:val="007A4B15"/>
    <w:rPr>
      <w:rFonts w:ascii="Verdana" w:eastAsia="Calibri" w:hAnsi="Verdana" w:cs="Times New Roman"/>
      <w:b/>
      <w:bCs/>
      <w:color w:val="2E74B5"/>
      <w:kern w:val="0"/>
      <w:sz w:val="28"/>
      <w:szCs w:val="28"/>
    </w:rPr>
  </w:style>
  <w:style w:type="paragraph" w:styleId="TOC1">
    <w:name w:val="toc 1"/>
    <w:basedOn w:val="Normal"/>
    <w:next w:val="Normal"/>
    <w:autoRedefine/>
    <w:uiPriority w:val="39"/>
    <w:unhideWhenUsed/>
    <w:rsid w:val="00E41548"/>
    <w:pPr>
      <w:spacing w:after="100"/>
    </w:pPr>
  </w:style>
  <w:style w:type="paragraph" w:styleId="FootnoteText">
    <w:name w:val="footnote text"/>
    <w:basedOn w:val="Normal"/>
    <w:link w:val="FootnoteTextChar"/>
    <w:semiHidden/>
    <w:unhideWhenUsed/>
    <w:rsid w:val="005B452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B452F"/>
    <w:rPr>
      <w:sz w:val="20"/>
      <w:szCs w:val="20"/>
    </w:rPr>
  </w:style>
  <w:style w:type="character" w:styleId="FootnoteReference">
    <w:name w:val="footnote reference"/>
    <w:basedOn w:val="DefaultParagraphFont"/>
    <w:semiHidden/>
    <w:rsid w:val="005B452F"/>
    <w:rPr>
      <w:vertAlign w:val="superscript"/>
    </w:rPr>
  </w:style>
  <w:style w:type="paragraph" w:customStyle="1" w:styleId="OTNotes">
    <w:name w:val="OT Notes"/>
    <w:basedOn w:val="Normal"/>
    <w:link w:val="OTNotesChar"/>
    <w:qFormat/>
    <w:rsid w:val="00E33440"/>
    <w:rPr>
      <w:color w:val="000000" w:themeColor="text1"/>
    </w:rPr>
  </w:style>
  <w:style w:type="character" w:customStyle="1" w:styleId="OTNotesChar">
    <w:name w:val="OT Notes Char"/>
    <w:basedOn w:val="DefaultParagraphFont"/>
    <w:link w:val="OTNotes"/>
    <w:rsid w:val="00E33440"/>
    <w:rPr>
      <w:rFonts w:ascii="Times New Roman" w:hAnsi="Times New Roman"/>
      <w:color w:val="000000" w:themeColor="text1"/>
      <w:sz w:val="24"/>
    </w:rPr>
  </w:style>
  <w:style w:type="paragraph" w:styleId="Quote">
    <w:name w:val="Quote"/>
    <w:basedOn w:val="Normal"/>
    <w:next w:val="Normal"/>
    <w:link w:val="QuoteChar"/>
    <w:uiPriority w:val="29"/>
    <w:qFormat/>
    <w:rsid w:val="007A584F"/>
    <w:pPr>
      <w:spacing w:before="200" w:line="240" w:lineRule="auto"/>
      <w:ind w:left="547"/>
    </w:pPr>
    <w:rPr>
      <w:rFonts w:asciiTheme="majorBidi" w:hAnsiTheme="majorBidi" w:cstheme="majorBidi"/>
      <w:iCs/>
      <w:color w:val="404040" w:themeColor="text1" w:themeTint="BF"/>
      <w:sz w:val="22"/>
    </w:rPr>
  </w:style>
  <w:style w:type="character" w:customStyle="1" w:styleId="QuoteChar">
    <w:name w:val="Quote Char"/>
    <w:basedOn w:val="DefaultParagraphFont"/>
    <w:link w:val="Quote"/>
    <w:uiPriority w:val="29"/>
    <w:rsid w:val="007A584F"/>
    <w:rPr>
      <w:rFonts w:asciiTheme="majorBidi" w:hAnsiTheme="majorBidi" w:cstheme="majorBidi"/>
      <w:iCs/>
      <w:color w:val="404040" w:themeColor="text1" w:themeTint="BF"/>
    </w:rPr>
  </w:style>
  <w:style w:type="paragraph" w:customStyle="1" w:styleId="Footnote">
    <w:name w:val="Footnote"/>
    <w:basedOn w:val="FootnoteText"/>
    <w:link w:val="FootnoteChar"/>
    <w:qFormat/>
    <w:rsid w:val="00E33440"/>
    <w:pPr>
      <w:ind w:firstLine="547"/>
    </w:pPr>
    <w:rPr>
      <w:rFonts w:cs="Times New Roman"/>
      <w:color w:val="000000" w:themeColor="text1"/>
    </w:rPr>
  </w:style>
  <w:style w:type="character" w:customStyle="1" w:styleId="FootnoteChar">
    <w:name w:val="Footnote Char"/>
    <w:basedOn w:val="FootnoteTextChar"/>
    <w:link w:val="Footnote"/>
    <w:rsid w:val="00E33440"/>
    <w:rPr>
      <w:rFonts w:ascii="Times New Roman" w:hAnsi="Times New Roman" w:cs="Times New Roman"/>
      <w:color w:val="000000" w:themeColor="text1"/>
      <w:sz w:val="20"/>
      <w:szCs w:val="20"/>
    </w:rPr>
  </w:style>
  <w:style w:type="paragraph" w:customStyle="1" w:styleId="Heading4RED">
    <w:name w:val="Heading 4 RED"/>
    <w:basedOn w:val="Heading4"/>
    <w:link w:val="Heading4REDChar"/>
    <w:qFormat/>
    <w:rsid w:val="00DC7FD4"/>
    <w:pPr>
      <w:spacing w:before="240" w:line="240" w:lineRule="auto"/>
    </w:pPr>
    <w:rPr>
      <w:color w:val="C00000"/>
    </w:rPr>
  </w:style>
  <w:style w:type="character" w:customStyle="1" w:styleId="Heading4REDChar">
    <w:name w:val="Heading 4 RED Char"/>
    <w:basedOn w:val="DefaultParagraphFont"/>
    <w:link w:val="Heading4RED"/>
    <w:rsid w:val="00DC7FD4"/>
    <w:rPr>
      <w:rFonts w:ascii="Times New Roman" w:eastAsia="Calibri" w:hAnsi="Times New Roman" w:cs="Times New Roman"/>
      <w:b/>
      <w:bCs/>
      <w:color w:val="C00000"/>
      <w:kern w:val="0"/>
      <w:sz w:val="26"/>
      <w:szCs w:val="28"/>
    </w:rPr>
  </w:style>
  <w:style w:type="paragraph" w:customStyle="1" w:styleId="HebText">
    <w:name w:val="Heb Text"/>
    <w:basedOn w:val="OTNotes"/>
    <w:link w:val="HebTextChar"/>
    <w:qFormat/>
    <w:rsid w:val="00435F00"/>
    <w:rPr>
      <w:rFonts w:ascii="Ezra SIL" w:hAnsi="Ezra SIL" w:cs="Ezra SIL"/>
      <w:sz w:val="22"/>
      <w:lang w:bidi="he-IL"/>
    </w:rPr>
  </w:style>
  <w:style w:type="character" w:customStyle="1" w:styleId="HebTextChar">
    <w:name w:val="Heb Text Char"/>
    <w:basedOn w:val="OTNotesChar"/>
    <w:link w:val="HebText"/>
    <w:rsid w:val="00435F00"/>
    <w:rPr>
      <w:rFonts w:ascii="Ezra SIL" w:hAnsi="Ezra SIL" w:cs="Ezra SIL"/>
      <w:color w:val="000000" w:themeColor="text1"/>
      <w:sz w:val="24"/>
      <w:lang w:bidi="he-IL"/>
    </w:rPr>
  </w:style>
  <w:style w:type="character" w:styleId="FollowedHyperlink">
    <w:name w:val="FollowedHyperlink"/>
    <w:basedOn w:val="DefaultParagraphFont"/>
    <w:uiPriority w:val="99"/>
    <w:semiHidden/>
    <w:unhideWhenUsed/>
    <w:rsid w:val="007E6EB4"/>
    <w:rPr>
      <w:color w:val="954F72" w:themeColor="followedHyperlink"/>
      <w:u w:val="single"/>
    </w:rPr>
  </w:style>
  <w:style w:type="character" w:customStyle="1" w:styleId="Heading5Char">
    <w:name w:val="Heading 5 Char"/>
    <w:basedOn w:val="DefaultParagraphFont"/>
    <w:link w:val="Heading5"/>
    <w:rsid w:val="00D34487"/>
    <w:rPr>
      <w:rFonts w:ascii="Times New Roman" w:eastAsiaTheme="majorEastAsia" w:hAnsi="Times New Roman" w:cstheme="majorBidi"/>
      <w:b/>
      <w:color w:val="000000" w:themeColor="text1"/>
      <w:sz w:val="24"/>
    </w:rPr>
  </w:style>
  <w:style w:type="paragraph" w:styleId="Header">
    <w:name w:val="header"/>
    <w:basedOn w:val="Normal"/>
    <w:link w:val="HeaderChar"/>
    <w:rsid w:val="006311FA"/>
    <w:pPr>
      <w:tabs>
        <w:tab w:val="left" w:pos="547"/>
        <w:tab w:val="left" w:pos="1094"/>
        <w:tab w:val="left" w:pos="1642"/>
        <w:tab w:val="left" w:pos="2189"/>
        <w:tab w:val="left" w:pos="2736"/>
        <w:tab w:val="left" w:pos="3283"/>
        <w:tab w:val="left" w:pos="3830"/>
        <w:tab w:val="center" w:pos="4320"/>
        <w:tab w:val="left" w:pos="4378"/>
        <w:tab w:val="right" w:pos="8640"/>
      </w:tabs>
      <w:spacing w:after="120" w:line="240" w:lineRule="auto"/>
      <w:jc w:val="both"/>
    </w:pPr>
    <w:rPr>
      <w:rFonts w:eastAsia="Times New Roman" w:cs="Times New Roman"/>
      <w:color w:val="auto"/>
      <w:kern w:val="0"/>
      <w:szCs w:val="24"/>
    </w:rPr>
  </w:style>
  <w:style w:type="character" w:customStyle="1" w:styleId="HeaderChar">
    <w:name w:val="Header Char"/>
    <w:basedOn w:val="DefaultParagraphFont"/>
    <w:link w:val="Header"/>
    <w:rsid w:val="006311FA"/>
    <w:rPr>
      <w:rFonts w:ascii="Times New Roman" w:eastAsia="Times New Roman" w:hAnsi="Times New Roman" w:cs="Times New Roman"/>
      <w:kern w:val="0"/>
      <w:szCs w:val="24"/>
    </w:rPr>
  </w:style>
  <w:style w:type="paragraph" w:styleId="BodyText">
    <w:name w:val="Body Text"/>
    <w:basedOn w:val="Normal"/>
    <w:link w:val="BodyTextChar"/>
    <w:autoRedefine/>
    <w:rsid w:val="006311FA"/>
    <w:pPr>
      <w:tabs>
        <w:tab w:val="left" w:pos="547"/>
        <w:tab w:val="left" w:pos="1094"/>
        <w:tab w:val="left" w:pos="1642"/>
        <w:tab w:val="left" w:pos="2189"/>
        <w:tab w:val="left" w:pos="2736"/>
        <w:tab w:val="left" w:pos="3283"/>
        <w:tab w:val="left" w:pos="3830"/>
        <w:tab w:val="left" w:pos="4378"/>
      </w:tabs>
      <w:spacing w:after="120" w:line="240" w:lineRule="auto"/>
      <w:jc w:val="both"/>
    </w:pPr>
    <w:rPr>
      <w:rFonts w:eastAsia="Times New Roman" w:cs="Times New Roman"/>
      <w:bCs/>
      <w:color w:val="auto"/>
      <w:kern w:val="0"/>
      <w:szCs w:val="24"/>
    </w:rPr>
  </w:style>
  <w:style w:type="character" w:customStyle="1" w:styleId="BodyTextChar">
    <w:name w:val="Body Text Char"/>
    <w:basedOn w:val="DefaultParagraphFont"/>
    <w:link w:val="BodyText"/>
    <w:rsid w:val="006311FA"/>
    <w:rPr>
      <w:rFonts w:ascii="Times New Roman" w:eastAsia="Times New Roman" w:hAnsi="Times New Roman" w:cs="Times New Roman"/>
      <w:bCs/>
      <w:kern w:val="0"/>
      <w:szCs w:val="24"/>
    </w:rPr>
  </w:style>
  <w:style w:type="paragraph" w:styleId="BodyTextIndent">
    <w:name w:val="Body Text Indent"/>
    <w:basedOn w:val="Normal"/>
    <w:link w:val="BodyTextIndentChar"/>
    <w:autoRedefine/>
    <w:rsid w:val="00E16BAB"/>
    <w:pPr>
      <w:tabs>
        <w:tab w:val="left" w:pos="547"/>
        <w:tab w:val="left" w:pos="1094"/>
        <w:tab w:val="left" w:pos="1642"/>
        <w:tab w:val="left" w:pos="2189"/>
        <w:tab w:val="left" w:pos="2736"/>
        <w:tab w:val="left" w:pos="3283"/>
        <w:tab w:val="left" w:pos="3830"/>
        <w:tab w:val="left" w:pos="4378"/>
      </w:tabs>
      <w:spacing w:after="120" w:line="240" w:lineRule="auto"/>
      <w:jc w:val="both"/>
    </w:pPr>
    <w:rPr>
      <w:rFonts w:eastAsia="Times New Roman" w:cs="Times New Roman"/>
      <w:bCs/>
      <w:color w:val="auto"/>
      <w:kern w:val="0"/>
      <w:szCs w:val="24"/>
    </w:rPr>
  </w:style>
  <w:style w:type="character" w:customStyle="1" w:styleId="BodyTextIndentChar">
    <w:name w:val="Body Text Indent Char"/>
    <w:basedOn w:val="DefaultParagraphFont"/>
    <w:link w:val="BodyTextIndent"/>
    <w:rsid w:val="00E16BAB"/>
    <w:rPr>
      <w:rFonts w:ascii="Times New Roman" w:eastAsia="Times New Roman" w:hAnsi="Times New Roman" w:cs="Times New Roman"/>
      <w:bCs/>
      <w:kern w:val="0"/>
      <w:szCs w:val="24"/>
    </w:rPr>
  </w:style>
  <w:style w:type="paragraph" w:styleId="BodyTextIndent2">
    <w:name w:val="Body Text Indent 2"/>
    <w:basedOn w:val="Normal"/>
    <w:link w:val="BodyTextIndent2Char"/>
    <w:autoRedefine/>
    <w:rsid w:val="006311FA"/>
    <w:pPr>
      <w:tabs>
        <w:tab w:val="left" w:pos="547"/>
        <w:tab w:val="left" w:pos="1094"/>
        <w:tab w:val="left" w:pos="1642"/>
        <w:tab w:val="left" w:pos="2189"/>
        <w:tab w:val="left" w:pos="2736"/>
        <w:tab w:val="left" w:pos="3283"/>
        <w:tab w:val="left" w:pos="3830"/>
        <w:tab w:val="left" w:pos="4378"/>
      </w:tabs>
      <w:spacing w:after="120" w:line="240" w:lineRule="auto"/>
      <w:ind w:left="1094"/>
      <w:jc w:val="both"/>
    </w:pPr>
    <w:rPr>
      <w:rFonts w:eastAsia="Times New Roman" w:cs="Times New Roman"/>
      <w:color w:val="auto"/>
      <w:kern w:val="0"/>
      <w:szCs w:val="24"/>
    </w:rPr>
  </w:style>
  <w:style w:type="character" w:customStyle="1" w:styleId="BodyTextIndent2Char">
    <w:name w:val="Body Text Indent 2 Char"/>
    <w:basedOn w:val="DefaultParagraphFont"/>
    <w:link w:val="BodyTextIndent2"/>
    <w:rsid w:val="006311FA"/>
    <w:rPr>
      <w:rFonts w:ascii="Times New Roman" w:eastAsia="Times New Roman" w:hAnsi="Times New Roman" w:cs="Times New Roman"/>
      <w:kern w:val="0"/>
      <w:szCs w:val="24"/>
    </w:rPr>
  </w:style>
  <w:style w:type="paragraph" w:styleId="BodyTextIndent3">
    <w:name w:val="Body Text Indent 3"/>
    <w:basedOn w:val="Normal"/>
    <w:link w:val="BodyTextIndent3Char"/>
    <w:autoRedefine/>
    <w:rsid w:val="006311FA"/>
    <w:pPr>
      <w:tabs>
        <w:tab w:val="left" w:pos="547"/>
        <w:tab w:val="left" w:pos="1094"/>
        <w:tab w:val="left" w:pos="1642"/>
        <w:tab w:val="left" w:pos="2189"/>
        <w:tab w:val="left" w:pos="2736"/>
        <w:tab w:val="left" w:pos="3283"/>
        <w:tab w:val="left" w:pos="3830"/>
        <w:tab w:val="left" w:pos="4378"/>
      </w:tabs>
      <w:spacing w:after="120" w:line="240" w:lineRule="auto"/>
      <w:ind w:left="1642"/>
      <w:jc w:val="both"/>
    </w:pPr>
    <w:rPr>
      <w:rFonts w:eastAsia="Times New Roman" w:cs="Times New Roman"/>
      <w:color w:val="auto"/>
      <w:kern w:val="0"/>
      <w:szCs w:val="16"/>
    </w:rPr>
  </w:style>
  <w:style w:type="character" w:customStyle="1" w:styleId="BodyTextIndent3Char">
    <w:name w:val="Body Text Indent 3 Char"/>
    <w:basedOn w:val="DefaultParagraphFont"/>
    <w:link w:val="BodyTextIndent3"/>
    <w:rsid w:val="006311FA"/>
    <w:rPr>
      <w:rFonts w:ascii="Times New Roman" w:eastAsia="Times New Roman" w:hAnsi="Times New Roman" w:cs="Times New Roman"/>
      <w:kern w:val="0"/>
      <w:szCs w:val="16"/>
    </w:rPr>
  </w:style>
  <w:style w:type="paragraph" w:customStyle="1" w:styleId="Hang1">
    <w:name w:val="Hang 1"/>
    <w:basedOn w:val="BodyText"/>
    <w:autoRedefine/>
    <w:rsid w:val="006311FA"/>
    <w:pPr>
      <w:spacing w:after="60"/>
      <w:ind w:left="547" w:hanging="547"/>
    </w:pPr>
  </w:style>
  <w:style w:type="paragraph" w:customStyle="1" w:styleId="Hang2">
    <w:name w:val="Hang 2"/>
    <w:basedOn w:val="BodyText"/>
    <w:autoRedefine/>
    <w:rsid w:val="006311FA"/>
    <w:pPr>
      <w:spacing w:after="0"/>
      <w:ind w:left="1094" w:hanging="547"/>
    </w:pPr>
  </w:style>
  <w:style w:type="paragraph" w:customStyle="1" w:styleId="Hang3">
    <w:name w:val="Hang 3"/>
    <w:basedOn w:val="BodyText"/>
    <w:autoRedefine/>
    <w:rsid w:val="006311FA"/>
    <w:pPr>
      <w:spacing w:after="0"/>
      <w:ind w:left="1641" w:hanging="547"/>
    </w:pPr>
  </w:style>
  <w:style w:type="paragraph" w:customStyle="1" w:styleId="Hang4">
    <w:name w:val="Hang 4"/>
    <w:basedOn w:val="BodyText"/>
    <w:autoRedefine/>
    <w:rsid w:val="006311FA"/>
    <w:pPr>
      <w:ind w:left="2189" w:hanging="547"/>
    </w:pPr>
  </w:style>
  <w:style w:type="paragraph" w:customStyle="1" w:styleId="FootnoteTextIndent">
    <w:name w:val="Footnote Text Indent"/>
    <w:basedOn w:val="FootnoteText"/>
    <w:autoRedefine/>
    <w:rsid w:val="00683DAD"/>
    <w:pPr>
      <w:widowControl w:val="0"/>
      <w:tabs>
        <w:tab w:val="left" w:pos="547"/>
        <w:tab w:val="left" w:pos="1094"/>
        <w:tab w:val="left" w:pos="1642"/>
        <w:tab w:val="left" w:pos="2189"/>
        <w:tab w:val="left" w:pos="2736"/>
        <w:tab w:val="left" w:pos="3283"/>
        <w:tab w:val="left" w:pos="3830"/>
        <w:tab w:val="left" w:pos="4378"/>
      </w:tabs>
      <w:autoSpaceDE w:val="0"/>
      <w:autoSpaceDN w:val="0"/>
      <w:adjustRightInd w:val="0"/>
      <w:spacing w:after="120"/>
      <w:ind w:left="547"/>
      <w:jc w:val="both"/>
    </w:pPr>
    <w:rPr>
      <w:rFonts w:eastAsia="Times New Roman" w:cs="Times New Roman"/>
      <w:color w:val="auto"/>
      <w:kern w:val="0"/>
    </w:rPr>
  </w:style>
  <w:style w:type="character" w:customStyle="1" w:styleId="Heading6Char">
    <w:name w:val="Heading 6 Char"/>
    <w:basedOn w:val="DefaultParagraphFont"/>
    <w:link w:val="Heading6"/>
    <w:uiPriority w:val="9"/>
    <w:rsid w:val="00D34487"/>
    <w:rPr>
      <w:rFonts w:asciiTheme="majorHAnsi" w:eastAsiaTheme="majorEastAsia" w:hAnsiTheme="majorHAnsi" w:cstheme="majorBidi"/>
      <w:color w:val="1F3763" w:themeColor="accent1" w:themeShade="7F"/>
    </w:rPr>
  </w:style>
  <w:style w:type="paragraph" w:styleId="ListParagraph">
    <w:name w:val="List Paragraph"/>
    <w:basedOn w:val="Normal"/>
    <w:uiPriority w:val="34"/>
    <w:qFormat/>
    <w:rsid w:val="00B560F9"/>
    <w:pPr>
      <w:ind w:left="720"/>
      <w:contextualSpacing/>
    </w:pPr>
  </w:style>
  <w:style w:type="paragraph" w:customStyle="1" w:styleId="Footnote-NewParag">
    <w:name w:val="Footnote-New Parag."/>
    <w:basedOn w:val="FootnoteText"/>
    <w:autoRedefine/>
    <w:rsid w:val="00115A8E"/>
    <w:pPr>
      <w:widowControl w:val="0"/>
      <w:tabs>
        <w:tab w:val="left" w:pos="547"/>
        <w:tab w:val="left" w:pos="1094"/>
        <w:tab w:val="left" w:pos="1642"/>
        <w:tab w:val="left" w:pos="2189"/>
        <w:tab w:val="left" w:pos="2736"/>
        <w:tab w:val="left" w:pos="3283"/>
        <w:tab w:val="left" w:pos="3830"/>
        <w:tab w:val="left" w:pos="4378"/>
      </w:tabs>
      <w:autoSpaceDE w:val="0"/>
      <w:autoSpaceDN w:val="0"/>
      <w:adjustRightInd w:val="0"/>
      <w:spacing w:after="120"/>
      <w:ind w:left="547"/>
      <w:jc w:val="both"/>
    </w:pPr>
    <w:rPr>
      <w:rFonts w:eastAsia="Times New Roman" w:cs="Times New Roman"/>
      <w:color w:val="auto"/>
      <w:kern w:val="0"/>
    </w:rPr>
  </w:style>
  <w:style w:type="table" w:styleId="TableGrid">
    <w:name w:val="Table Grid"/>
    <w:basedOn w:val="TableNormal"/>
    <w:rsid w:val="00E5619A"/>
    <w:pPr>
      <w:spacing w:after="0" w:line="240" w:lineRule="auto"/>
    </w:pPr>
    <w:rPr>
      <w:rFonts w:ascii="Times New Roman" w:eastAsia="Times New Roman" w:hAnsi="Times New Roman"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215972"/>
    <w:pPr>
      <w:spacing w:after="100"/>
      <w:ind w:left="660"/>
    </w:pPr>
    <w:rPr>
      <w:rFonts w:asciiTheme="minorHAnsi" w:eastAsiaTheme="minorEastAsia" w:hAnsiTheme="minorHAnsi"/>
      <w:color w:val="auto"/>
      <w:sz w:val="22"/>
    </w:rPr>
  </w:style>
  <w:style w:type="paragraph" w:styleId="TOC5">
    <w:name w:val="toc 5"/>
    <w:basedOn w:val="Normal"/>
    <w:next w:val="Normal"/>
    <w:autoRedefine/>
    <w:uiPriority w:val="39"/>
    <w:unhideWhenUsed/>
    <w:rsid w:val="00215972"/>
    <w:pPr>
      <w:spacing w:after="100"/>
      <w:ind w:left="880"/>
    </w:pPr>
    <w:rPr>
      <w:rFonts w:asciiTheme="minorHAnsi" w:eastAsiaTheme="minorEastAsia" w:hAnsiTheme="minorHAnsi"/>
      <w:color w:val="auto"/>
      <w:sz w:val="22"/>
    </w:rPr>
  </w:style>
  <w:style w:type="paragraph" w:styleId="TOC6">
    <w:name w:val="toc 6"/>
    <w:basedOn w:val="Normal"/>
    <w:next w:val="Normal"/>
    <w:autoRedefine/>
    <w:uiPriority w:val="39"/>
    <w:unhideWhenUsed/>
    <w:rsid w:val="00215972"/>
    <w:pPr>
      <w:spacing w:after="100"/>
      <w:ind w:left="1100"/>
    </w:pPr>
    <w:rPr>
      <w:rFonts w:asciiTheme="minorHAnsi" w:eastAsiaTheme="minorEastAsia" w:hAnsiTheme="minorHAnsi"/>
      <w:color w:val="auto"/>
      <w:sz w:val="22"/>
    </w:rPr>
  </w:style>
  <w:style w:type="paragraph" w:styleId="TOC7">
    <w:name w:val="toc 7"/>
    <w:basedOn w:val="Normal"/>
    <w:next w:val="Normal"/>
    <w:autoRedefine/>
    <w:uiPriority w:val="39"/>
    <w:unhideWhenUsed/>
    <w:rsid w:val="00215972"/>
    <w:pPr>
      <w:spacing w:after="100"/>
      <w:ind w:left="1320"/>
    </w:pPr>
    <w:rPr>
      <w:rFonts w:asciiTheme="minorHAnsi" w:eastAsiaTheme="minorEastAsia" w:hAnsiTheme="minorHAnsi"/>
      <w:color w:val="auto"/>
      <w:sz w:val="22"/>
    </w:rPr>
  </w:style>
  <w:style w:type="paragraph" w:styleId="TOC8">
    <w:name w:val="toc 8"/>
    <w:basedOn w:val="Normal"/>
    <w:next w:val="Normal"/>
    <w:autoRedefine/>
    <w:uiPriority w:val="39"/>
    <w:unhideWhenUsed/>
    <w:rsid w:val="00215972"/>
    <w:pPr>
      <w:spacing w:after="100"/>
      <w:ind w:left="1540"/>
    </w:pPr>
    <w:rPr>
      <w:rFonts w:asciiTheme="minorHAnsi" w:eastAsiaTheme="minorEastAsia" w:hAnsiTheme="minorHAnsi"/>
      <w:color w:val="auto"/>
      <w:sz w:val="22"/>
    </w:rPr>
  </w:style>
  <w:style w:type="paragraph" w:styleId="TOC9">
    <w:name w:val="toc 9"/>
    <w:basedOn w:val="Normal"/>
    <w:next w:val="Normal"/>
    <w:autoRedefine/>
    <w:uiPriority w:val="39"/>
    <w:unhideWhenUsed/>
    <w:rsid w:val="00215972"/>
    <w:pPr>
      <w:spacing w:after="100"/>
      <w:ind w:left="1760"/>
    </w:pPr>
    <w:rPr>
      <w:rFonts w:asciiTheme="minorHAnsi" w:eastAsiaTheme="minorEastAsia" w:hAnsiTheme="minorHAnsi"/>
      <w:color w:val="auto"/>
      <w:sz w:val="22"/>
    </w:rPr>
  </w:style>
  <w:style w:type="character" w:styleId="UnresolvedMention">
    <w:name w:val="Unresolved Mention"/>
    <w:basedOn w:val="DefaultParagraphFont"/>
    <w:uiPriority w:val="99"/>
    <w:semiHidden/>
    <w:unhideWhenUsed/>
    <w:rsid w:val="00215972"/>
    <w:rPr>
      <w:color w:val="605E5C"/>
      <w:shd w:val="clear" w:color="auto" w:fill="E1DFDD"/>
    </w:rPr>
  </w:style>
  <w:style w:type="paragraph" w:customStyle="1" w:styleId="w2wENNormal">
    <w:name w:val="w2w_EN.Normal"/>
    <w:link w:val="w2wENNormalChar"/>
    <w:rsid w:val="00C54013"/>
    <w:pPr>
      <w:spacing w:before="120" w:after="80" w:line="260" w:lineRule="exact"/>
    </w:pPr>
    <w:rPr>
      <w:rFonts w:ascii="Times New Roman" w:hAnsi="Times New Roman" w:cs="Times New Roman"/>
      <w:bCs/>
      <w:kern w:val="0"/>
    </w:rPr>
  </w:style>
  <w:style w:type="character" w:customStyle="1" w:styleId="w2wENNormalChar">
    <w:name w:val="w2w_EN.Normal Char"/>
    <w:basedOn w:val="DefaultParagraphFont"/>
    <w:link w:val="w2wENNormal"/>
    <w:rsid w:val="00C54013"/>
    <w:rPr>
      <w:rFonts w:ascii="Times New Roman" w:hAnsi="Times New Roman" w:cs="Times New Roman"/>
      <w:bCs/>
      <w:kern w:val="0"/>
    </w:rPr>
  </w:style>
  <w:style w:type="paragraph" w:styleId="Caption">
    <w:name w:val="caption"/>
    <w:basedOn w:val="Normal"/>
    <w:next w:val="Normal"/>
    <w:uiPriority w:val="35"/>
    <w:unhideWhenUsed/>
    <w:qFormat/>
    <w:rsid w:val="00F375D9"/>
    <w:pPr>
      <w:spacing w:after="200" w:line="240" w:lineRule="auto"/>
    </w:pPr>
    <w:rPr>
      <w:i/>
      <w:iCs/>
      <w:color w:val="44546A" w:themeColor="text2"/>
      <w:sz w:val="18"/>
      <w:szCs w:val="18"/>
    </w:rPr>
  </w:style>
  <w:style w:type="character" w:customStyle="1" w:styleId="Heading7Char">
    <w:name w:val="Heading 7 Char"/>
    <w:basedOn w:val="DefaultParagraphFont"/>
    <w:link w:val="Heading7"/>
    <w:uiPriority w:val="9"/>
    <w:rsid w:val="00BE411E"/>
    <w:rPr>
      <w:rFonts w:asciiTheme="majorHAnsi" w:eastAsiaTheme="majorEastAsia" w:hAnsiTheme="majorHAnsi" w:cstheme="majorBidi"/>
      <w:i/>
      <w:iCs/>
      <w:color w:val="1F3763" w:themeColor="accent1" w:themeShade="7F"/>
      <w:sz w:val="24"/>
    </w:rPr>
  </w:style>
  <w:style w:type="paragraph" w:styleId="NormalWeb">
    <w:name w:val="Normal (Web)"/>
    <w:basedOn w:val="Normal"/>
    <w:uiPriority w:val="99"/>
    <w:unhideWhenUsed/>
    <w:rsid w:val="00FE5AF2"/>
    <w:pPr>
      <w:spacing w:before="100" w:beforeAutospacing="1" w:after="100" w:afterAutospacing="1" w:line="240" w:lineRule="auto"/>
    </w:pPr>
    <w:rPr>
      <w:rFonts w:eastAsia="Times New Roman" w:cs="Times New Roman"/>
      <w:color w:val="auto"/>
      <w:kern w:val="0"/>
      <w:szCs w:val="24"/>
    </w:rPr>
  </w:style>
  <w:style w:type="paragraph" w:customStyle="1" w:styleId="FootnoteTxtNewParag">
    <w:name w:val="Footnote Txt New Parag"/>
    <w:basedOn w:val="Normal"/>
    <w:autoRedefine/>
    <w:rsid w:val="00C252DA"/>
    <w:pPr>
      <w:tabs>
        <w:tab w:val="left" w:pos="550"/>
        <w:tab w:val="left" w:pos="1100"/>
        <w:tab w:val="left" w:pos="1650"/>
        <w:tab w:val="left" w:pos="2200"/>
        <w:tab w:val="left" w:pos="2750"/>
        <w:tab w:val="left" w:pos="3300"/>
        <w:tab w:val="left" w:pos="3850"/>
        <w:tab w:val="left" w:pos="4400"/>
      </w:tabs>
      <w:bidi/>
      <w:spacing w:after="0" w:line="240" w:lineRule="auto"/>
      <w:jc w:val="both"/>
    </w:pPr>
    <w:rPr>
      <w:rFonts w:eastAsia="Times New Roman" w:cs="DecoType Naskh"/>
      <w:color w:val="auto"/>
      <w:kern w:val="0"/>
      <w:sz w:val="18"/>
      <w:szCs w:val="20"/>
      <w:lang w:bidi="ar-JO"/>
      <w14:ligatures w14:val="none"/>
    </w:rPr>
  </w:style>
  <w:style w:type="paragraph" w:customStyle="1" w:styleId="Head3">
    <w:name w:val="Head 3"/>
    <w:basedOn w:val="Normal"/>
    <w:autoRedefine/>
    <w:rsid w:val="00E84DB1"/>
    <w:pPr>
      <w:bidi/>
      <w:spacing w:after="0" w:line="240" w:lineRule="auto"/>
      <w:jc w:val="center"/>
    </w:pPr>
    <w:rPr>
      <w:rFonts w:eastAsia="Times New Roman" w:cs="Traditional Arabic Backslanted"/>
      <w:bCs/>
      <w:color w:val="auto"/>
      <w:kern w:val="0"/>
      <w:szCs w:val="28"/>
      <w:lang w:bidi="ar-JO"/>
      <w14:ligatures w14:val="none"/>
    </w:rPr>
  </w:style>
  <w:style w:type="paragraph" w:customStyle="1" w:styleId="BodyTxt">
    <w:name w:val="Body Txt"/>
    <w:basedOn w:val="Normal"/>
    <w:autoRedefine/>
    <w:rsid w:val="00E84DB1"/>
    <w:pPr>
      <w:tabs>
        <w:tab w:val="left" w:pos="550"/>
        <w:tab w:val="left" w:pos="1100"/>
        <w:tab w:val="left" w:pos="1650"/>
        <w:tab w:val="left" w:pos="2200"/>
        <w:tab w:val="left" w:pos="2750"/>
        <w:tab w:val="left" w:pos="3300"/>
        <w:tab w:val="left" w:pos="3850"/>
        <w:tab w:val="left" w:pos="4400"/>
      </w:tabs>
      <w:bidi/>
      <w:spacing w:after="0" w:line="240" w:lineRule="auto"/>
      <w:ind w:left="454"/>
      <w:jc w:val="both"/>
    </w:pPr>
    <w:rPr>
      <w:rFonts w:eastAsia="Times New Roman" w:cs="DecoType Naskh"/>
      <w:color w:val="auto"/>
      <w:kern w:val="0"/>
      <w:szCs w:val="26"/>
      <w:lang w:bidi="ar-JO"/>
      <w14:ligatures w14:val="none"/>
    </w:rPr>
  </w:style>
  <w:style w:type="paragraph" w:customStyle="1" w:styleId="FootnoteTxtIndent">
    <w:name w:val="Footnote Txt Indent"/>
    <w:basedOn w:val="Normal"/>
    <w:autoRedefine/>
    <w:rsid w:val="00E84DB1"/>
    <w:pPr>
      <w:tabs>
        <w:tab w:val="left" w:pos="550"/>
        <w:tab w:val="left" w:pos="1100"/>
        <w:tab w:val="left" w:pos="1650"/>
        <w:tab w:val="left" w:pos="2200"/>
        <w:tab w:val="left" w:pos="2750"/>
        <w:tab w:val="left" w:pos="3300"/>
        <w:tab w:val="left" w:pos="3850"/>
        <w:tab w:val="left" w:pos="4400"/>
      </w:tabs>
      <w:bidi/>
      <w:spacing w:after="0" w:line="240" w:lineRule="auto"/>
      <w:ind w:left="550" w:right="550"/>
      <w:jc w:val="both"/>
    </w:pPr>
    <w:rPr>
      <w:rFonts w:eastAsia="Times New Roman" w:cs="DecoType Naskh"/>
      <w:color w:val="auto"/>
      <w:kern w:val="0"/>
      <w:sz w:val="18"/>
      <w:szCs w:val="20"/>
      <w:lang w:bidi="ar-JO"/>
    </w:rPr>
  </w:style>
  <w:style w:type="paragraph" w:customStyle="1" w:styleId="Head1">
    <w:name w:val="Head 1"/>
    <w:basedOn w:val="Normal"/>
    <w:autoRedefine/>
    <w:rsid w:val="00355D9E"/>
    <w:pPr>
      <w:bidi/>
      <w:spacing w:after="0" w:line="240" w:lineRule="auto"/>
      <w:jc w:val="center"/>
    </w:pPr>
    <w:rPr>
      <w:rFonts w:eastAsia="Times New Roman" w:cs="DecoType Naskh"/>
      <w:color w:val="A50021"/>
      <w:kern w:val="0"/>
      <w:szCs w:val="32"/>
      <w:lang w:bidi="ar-JO"/>
      <w14:ligatures w14:val="none"/>
    </w:rPr>
  </w:style>
  <w:style w:type="paragraph" w:customStyle="1" w:styleId="Head4">
    <w:name w:val="Head 4"/>
    <w:basedOn w:val="Normal"/>
    <w:autoRedefine/>
    <w:rsid w:val="00355D9E"/>
    <w:pPr>
      <w:tabs>
        <w:tab w:val="left" w:pos="454"/>
      </w:tabs>
      <w:bidi/>
      <w:spacing w:after="60" w:line="240" w:lineRule="auto"/>
      <w:jc w:val="lowKashida"/>
    </w:pPr>
    <w:rPr>
      <w:rFonts w:eastAsia="Times New Roman" w:cs="DecoType Naskh"/>
      <w:bCs/>
      <w:color w:val="auto"/>
      <w:kern w:val="0"/>
      <w:szCs w:val="28"/>
      <w:lang w:bidi="ar-JO"/>
      <w14:ligatures w14:val="none"/>
    </w:rPr>
  </w:style>
  <w:style w:type="paragraph" w:customStyle="1" w:styleId="Head5">
    <w:name w:val="Head 5"/>
    <w:basedOn w:val="Normal"/>
    <w:autoRedefine/>
    <w:rsid w:val="00355D9E"/>
    <w:pPr>
      <w:tabs>
        <w:tab w:val="left" w:pos="454"/>
      </w:tabs>
      <w:bidi/>
      <w:spacing w:after="60" w:line="240" w:lineRule="auto"/>
      <w:ind w:left="550" w:hanging="550"/>
      <w:jc w:val="lowKashida"/>
    </w:pPr>
    <w:rPr>
      <w:rFonts w:eastAsia="Times New Roman" w:cs="DecoType Naskh"/>
      <w:bCs/>
      <w:color w:val="auto"/>
      <w:kern w:val="0"/>
      <w:szCs w:val="26"/>
      <w14:ligatures w14:val="none"/>
    </w:rPr>
  </w:style>
  <w:style w:type="paragraph" w:customStyle="1" w:styleId="BodyInd1">
    <w:name w:val="Body Ind 1"/>
    <w:basedOn w:val="BodyTxt"/>
    <w:autoRedefine/>
    <w:rsid w:val="00355D9E"/>
    <w:pPr>
      <w:ind w:left="1021"/>
    </w:pPr>
  </w:style>
  <w:style w:type="paragraph" w:customStyle="1" w:styleId="BodyInd2">
    <w:name w:val="Body Ind 2"/>
    <w:basedOn w:val="BodyTxt"/>
    <w:autoRedefine/>
    <w:rsid w:val="00355D9E"/>
    <w:pPr>
      <w:ind w:left="1588"/>
    </w:pPr>
  </w:style>
  <w:style w:type="paragraph" w:customStyle="1" w:styleId="BodyInd3">
    <w:name w:val="Body Ind 3"/>
    <w:basedOn w:val="BodyTxt"/>
    <w:autoRedefine/>
    <w:rsid w:val="00355D9E"/>
    <w:pPr>
      <w:ind w:left="2155"/>
    </w:pPr>
  </w:style>
  <w:style w:type="paragraph" w:customStyle="1" w:styleId="BodyInd4">
    <w:name w:val="Body Ind 4"/>
    <w:basedOn w:val="BodyTxt"/>
    <w:autoRedefine/>
    <w:rsid w:val="00355D9E"/>
    <w:pPr>
      <w:ind w:left="2722"/>
    </w:pPr>
  </w:style>
  <w:style w:type="paragraph" w:customStyle="1" w:styleId="FootnoteTxt">
    <w:name w:val="Footnote Txt"/>
    <w:basedOn w:val="BodyTxt"/>
    <w:autoRedefine/>
    <w:rsid w:val="00355D9E"/>
    <w:pPr>
      <w:ind w:left="0" w:firstLine="550"/>
    </w:pPr>
    <w:rPr>
      <w:sz w:val="18"/>
      <w:szCs w:val="20"/>
    </w:rPr>
  </w:style>
  <w:style w:type="character" w:customStyle="1" w:styleId="Hyperlink1">
    <w:name w:val="Hyperlink1"/>
    <w:basedOn w:val="DefaultParagraphFont"/>
    <w:uiPriority w:val="99"/>
    <w:unhideWhenUsed/>
    <w:rsid w:val="00835AEB"/>
    <w:rPr>
      <w:color w:val="0563C1"/>
      <w:u w:val="single"/>
    </w:rPr>
  </w:style>
  <w:style w:type="character" w:styleId="CommentReference">
    <w:name w:val="annotation reference"/>
    <w:basedOn w:val="DefaultParagraphFont"/>
    <w:uiPriority w:val="99"/>
    <w:semiHidden/>
    <w:unhideWhenUsed/>
    <w:rsid w:val="008A15CE"/>
    <w:rPr>
      <w:sz w:val="16"/>
      <w:szCs w:val="16"/>
    </w:rPr>
  </w:style>
  <w:style w:type="paragraph" w:styleId="CommentText">
    <w:name w:val="annotation text"/>
    <w:basedOn w:val="Normal"/>
    <w:link w:val="CommentTextChar"/>
    <w:uiPriority w:val="99"/>
    <w:semiHidden/>
    <w:unhideWhenUsed/>
    <w:rsid w:val="008A15CE"/>
    <w:pPr>
      <w:spacing w:line="240" w:lineRule="auto"/>
    </w:pPr>
    <w:rPr>
      <w:sz w:val="20"/>
      <w:szCs w:val="20"/>
    </w:rPr>
  </w:style>
  <w:style w:type="character" w:customStyle="1" w:styleId="CommentTextChar">
    <w:name w:val="Comment Text Char"/>
    <w:basedOn w:val="DefaultParagraphFont"/>
    <w:link w:val="CommentText"/>
    <w:uiPriority w:val="99"/>
    <w:semiHidden/>
    <w:rsid w:val="008A15CE"/>
    <w:rPr>
      <w:rFonts w:ascii="Times New Roman" w:hAnsi="Times New Roman"/>
      <w:color w:val="C00000"/>
      <w:sz w:val="20"/>
      <w:szCs w:val="20"/>
    </w:rPr>
  </w:style>
  <w:style w:type="paragraph" w:styleId="CommentSubject">
    <w:name w:val="annotation subject"/>
    <w:basedOn w:val="CommentText"/>
    <w:next w:val="CommentText"/>
    <w:link w:val="CommentSubjectChar"/>
    <w:uiPriority w:val="99"/>
    <w:semiHidden/>
    <w:unhideWhenUsed/>
    <w:rsid w:val="008A15CE"/>
    <w:rPr>
      <w:b/>
      <w:bCs/>
    </w:rPr>
  </w:style>
  <w:style w:type="character" w:customStyle="1" w:styleId="CommentSubjectChar">
    <w:name w:val="Comment Subject Char"/>
    <w:basedOn w:val="CommentTextChar"/>
    <w:link w:val="CommentSubject"/>
    <w:uiPriority w:val="99"/>
    <w:semiHidden/>
    <w:rsid w:val="008A15CE"/>
    <w:rPr>
      <w:rFonts w:ascii="Times New Roman" w:hAnsi="Times New Roman"/>
      <w:b/>
      <w:bCs/>
      <w:color w:val="C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482338">
      <w:bodyDiv w:val="1"/>
      <w:marLeft w:val="0"/>
      <w:marRight w:val="0"/>
      <w:marTop w:val="0"/>
      <w:marBottom w:val="0"/>
      <w:divBdr>
        <w:top w:val="none" w:sz="0" w:space="0" w:color="auto"/>
        <w:left w:val="none" w:sz="0" w:space="0" w:color="auto"/>
        <w:bottom w:val="none" w:sz="0" w:space="0" w:color="auto"/>
        <w:right w:val="none" w:sz="0" w:space="0" w:color="auto"/>
      </w:divBdr>
    </w:div>
    <w:div w:id="81679981">
      <w:bodyDiv w:val="1"/>
      <w:marLeft w:val="0"/>
      <w:marRight w:val="0"/>
      <w:marTop w:val="0"/>
      <w:marBottom w:val="0"/>
      <w:divBdr>
        <w:top w:val="none" w:sz="0" w:space="0" w:color="auto"/>
        <w:left w:val="none" w:sz="0" w:space="0" w:color="auto"/>
        <w:bottom w:val="none" w:sz="0" w:space="0" w:color="auto"/>
        <w:right w:val="none" w:sz="0" w:space="0" w:color="auto"/>
      </w:divBdr>
    </w:div>
    <w:div w:id="413017000">
      <w:bodyDiv w:val="1"/>
      <w:marLeft w:val="0"/>
      <w:marRight w:val="0"/>
      <w:marTop w:val="0"/>
      <w:marBottom w:val="0"/>
      <w:divBdr>
        <w:top w:val="none" w:sz="0" w:space="0" w:color="auto"/>
        <w:left w:val="none" w:sz="0" w:space="0" w:color="auto"/>
        <w:bottom w:val="none" w:sz="0" w:space="0" w:color="auto"/>
        <w:right w:val="none" w:sz="0" w:space="0" w:color="auto"/>
      </w:divBdr>
    </w:div>
    <w:div w:id="632369957">
      <w:bodyDiv w:val="1"/>
      <w:marLeft w:val="0"/>
      <w:marRight w:val="0"/>
      <w:marTop w:val="0"/>
      <w:marBottom w:val="0"/>
      <w:divBdr>
        <w:top w:val="none" w:sz="0" w:space="0" w:color="auto"/>
        <w:left w:val="none" w:sz="0" w:space="0" w:color="auto"/>
        <w:bottom w:val="none" w:sz="0" w:space="0" w:color="auto"/>
        <w:right w:val="none" w:sz="0" w:space="0" w:color="auto"/>
      </w:divBdr>
    </w:div>
    <w:div w:id="723720773">
      <w:bodyDiv w:val="1"/>
      <w:marLeft w:val="0"/>
      <w:marRight w:val="0"/>
      <w:marTop w:val="0"/>
      <w:marBottom w:val="0"/>
      <w:divBdr>
        <w:top w:val="none" w:sz="0" w:space="0" w:color="auto"/>
        <w:left w:val="none" w:sz="0" w:space="0" w:color="auto"/>
        <w:bottom w:val="none" w:sz="0" w:space="0" w:color="auto"/>
        <w:right w:val="none" w:sz="0" w:space="0" w:color="auto"/>
      </w:divBdr>
    </w:div>
    <w:div w:id="780496249">
      <w:bodyDiv w:val="1"/>
      <w:marLeft w:val="0"/>
      <w:marRight w:val="0"/>
      <w:marTop w:val="0"/>
      <w:marBottom w:val="0"/>
      <w:divBdr>
        <w:top w:val="none" w:sz="0" w:space="0" w:color="auto"/>
        <w:left w:val="none" w:sz="0" w:space="0" w:color="auto"/>
        <w:bottom w:val="none" w:sz="0" w:space="0" w:color="auto"/>
        <w:right w:val="none" w:sz="0" w:space="0" w:color="auto"/>
      </w:divBdr>
    </w:div>
    <w:div w:id="842085688">
      <w:bodyDiv w:val="1"/>
      <w:marLeft w:val="0"/>
      <w:marRight w:val="0"/>
      <w:marTop w:val="0"/>
      <w:marBottom w:val="0"/>
      <w:divBdr>
        <w:top w:val="none" w:sz="0" w:space="0" w:color="auto"/>
        <w:left w:val="none" w:sz="0" w:space="0" w:color="auto"/>
        <w:bottom w:val="none" w:sz="0" w:space="0" w:color="auto"/>
        <w:right w:val="none" w:sz="0" w:space="0" w:color="auto"/>
      </w:divBdr>
    </w:div>
    <w:div w:id="926306806">
      <w:bodyDiv w:val="1"/>
      <w:marLeft w:val="0"/>
      <w:marRight w:val="0"/>
      <w:marTop w:val="0"/>
      <w:marBottom w:val="0"/>
      <w:divBdr>
        <w:top w:val="none" w:sz="0" w:space="0" w:color="auto"/>
        <w:left w:val="none" w:sz="0" w:space="0" w:color="auto"/>
        <w:bottom w:val="none" w:sz="0" w:space="0" w:color="auto"/>
        <w:right w:val="none" w:sz="0" w:space="0" w:color="auto"/>
      </w:divBdr>
    </w:div>
    <w:div w:id="989479493">
      <w:bodyDiv w:val="1"/>
      <w:marLeft w:val="0"/>
      <w:marRight w:val="0"/>
      <w:marTop w:val="0"/>
      <w:marBottom w:val="0"/>
      <w:divBdr>
        <w:top w:val="none" w:sz="0" w:space="0" w:color="auto"/>
        <w:left w:val="none" w:sz="0" w:space="0" w:color="auto"/>
        <w:bottom w:val="none" w:sz="0" w:space="0" w:color="auto"/>
        <w:right w:val="none" w:sz="0" w:space="0" w:color="auto"/>
      </w:divBdr>
    </w:div>
    <w:div w:id="1087992861">
      <w:bodyDiv w:val="1"/>
      <w:marLeft w:val="0"/>
      <w:marRight w:val="0"/>
      <w:marTop w:val="0"/>
      <w:marBottom w:val="0"/>
      <w:divBdr>
        <w:top w:val="none" w:sz="0" w:space="0" w:color="auto"/>
        <w:left w:val="none" w:sz="0" w:space="0" w:color="auto"/>
        <w:bottom w:val="none" w:sz="0" w:space="0" w:color="auto"/>
        <w:right w:val="none" w:sz="0" w:space="0" w:color="auto"/>
      </w:divBdr>
    </w:div>
    <w:div w:id="1094592074">
      <w:bodyDiv w:val="1"/>
      <w:marLeft w:val="0"/>
      <w:marRight w:val="0"/>
      <w:marTop w:val="0"/>
      <w:marBottom w:val="0"/>
      <w:divBdr>
        <w:top w:val="none" w:sz="0" w:space="0" w:color="auto"/>
        <w:left w:val="none" w:sz="0" w:space="0" w:color="auto"/>
        <w:bottom w:val="none" w:sz="0" w:space="0" w:color="auto"/>
        <w:right w:val="none" w:sz="0" w:space="0" w:color="auto"/>
      </w:divBdr>
    </w:div>
    <w:div w:id="1114596859">
      <w:bodyDiv w:val="1"/>
      <w:marLeft w:val="0"/>
      <w:marRight w:val="0"/>
      <w:marTop w:val="0"/>
      <w:marBottom w:val="0"/>
      <w:divBdr>
        <w:top w:val="none" w:sz="0" w:space="0" w:color="auto"/>
        <w:left w:val="none" w:sz="0" w:space="0" w:color="auto"/>
        <w:bottom w:val="none" w:sz="0" w:space="0" w:color="auto"/>
        <w:right w:val="none" w:sz="0" w:space="0" w:color="auto"/>
      </w:divBdr>
    </w:div>
    <w:div w:id="1120031428">
      <w:bodyDiv w:val="1"/>
      <w:marLeft w:val="0"/>
      <w:marRight w:val="0"/>
      <w:marTop w:val="0"/>
      <w:marBottom w:val="0"/>
      <w:divBdr>
        <w:top w:val="none" w:sz="0" w:space="0" w:color="auto"/>
        <w:left w:val="none" w:sz="0" w:space="0" w:color="auto"/>
        <w:bottom w:val="none" w:sz="0" w:space="0" w:color="auto"/>
        <w:right w:val="none" w:sz="0" w:space="0" w:color="auto"/>
      </w:divBdr>
    </w:div>
    <w:div w:id="1135222664">
      <w:bodyDiv w:val="1"/>
      <w:marLeft w:val="0"/>
      <w:marRight w:val="0"/>
      <w:marTop w:val="0"/>
      <w:marBottom w:val="0"/>
      <w:divBdr>
        <w:top w:val="none" w:sz="0" w:space="0" w:color="auto"/>
        <w:left w:val="none" w:sz="0" w:space="0" w:color="auto"/>
        <w:bottom w:val="none" w:sz="0" w:space="0" w:color="auto"/>
        <w:right w:val="none" w:sz="0" w:space="0" w:color="auto"/>
      </w:divBdr>
    </w:div>
    <w:div w:id="1608272139">
      <w:bodyDiv w:val="1"/>
      <w:marLeft w:val="0"/>
      <w:marRight w:val="0"/>
      <w:marTop w:val="0"/>
      <w:marBottom w:val="0"/>
      <w:divBdr>
        <w:top w:val="none" w:sz="0" w:space="0" w:color="auto"/>
        <w:left w:val="none" w:sz="0" w:space="0" w:color="auto"/>
        <w:bottom w:val="none" w:sz="0" w:space="0" w:color="auto"/>
        <w:right w:val="none" w:sz="0" w:space="0" w:color="auto"/>
      </w:divBdr>
    </w:div>
    <w:div w:id="1609895382">
      <w:bodyDiv w:val="1"/>
      <w:marLeft w:val="0"/>
      <w:marRight w:val="0"/>
      <w:marTop w:val="0"/>
      <w:marBottom w:val="0"/>
      <w:divBdr>
        <w:top w:val="none" w:sz="0" w:space="0" w:color="auto"/>
        <w:left w:val="none" w:sz="0" w:space="0" w:color="auto"/>
        <w:bottom w:val="none" w:sz="0" w:space="0" w:color="auto"/>
        <w:right w:val="none" w:sz="0" w:space="0" w:color="auto"/>
      </w:divBdr>
    </w:div>
    <w:div w:id="1627925705">
      <w:bodyDiv w:val="1"/>
      <w:marLeft w:val="0"/>
      <w:marRight w:val="0"/>
      <w:marTop w:val="0"/>
      <w:marBottom w:val="0"/>
      <w:divBdr>
        <w:top w:val="none" w:sz="0" w:space="0" w:color="auto"/>
        <w:left w:val="none" w:sz="0" w:space="0" w:color="auto"/>
        <w:bottom w:val="none" w:sz="0" w:space="0" w:color="auto"/>
        <w:right w:val="none" w:sz="0" w:space="0" w:color="auto"/>
      </w:divBdr>
    </w:div>
    <w:div w:id="1710445876">
      <w:bodyDiv w:val="1"/>
      <w:marLeft w:val="0"/>
      <w:marRight w:val="0"/>
      <w:marTop w:val="0"/>
      <w:marBottom w:val="0"/>
      <w:divBdr>
        <w:top w:val="none" w:sz="0" w:space="0" w:color="auto"/>
        <w:left w:val="none" w:sz="0" w:space="0" w:color="auto"/>
        <w:bottom w:val="none" w:sz="0" w:space="0" w:color="auto"/>
        <w:right w:val="none" w:sz="0" w:space="0" w:color="auto"/>
      </w:divBdr>
    </w:div>
    <w:div w:id="1746949558">
      <w:bodyDiv w:val="1"/>
      <w:marLeft w:val="0"/>
      <w:marRight w:val="0"/>
      <w:marTop w:val="0"/>
      <w:marBottom w:val="0"/>
      <w:divBdr>
        <w:top w:val="none" w:sz="0" w:space="0" w:color="auto"/>
        <w:left w:val="none" w:sz="0" w:space="0" w:color="auto"/>
        <w:bottom w:val="none" w:sz="0" w:space="0" w:color="auto"/>
        <w:right w:val="none" w:sz="0" w:space="0" w:color="auto"/>
      </w:divBdr>
    </w:div>
    <w:div w:id="1836922042">
      <w:bodyDiv w:val="1"/>
      <w:marLeft w:val="0"/>
      <w:marRight w:val="0"/>
      <w:marTop w:val="0"/>
      <w:marBottom w:val="0"/>
      <w:divBdr>
        <w:top w:val="none" w:sz="0" w:space="0" w:color="auto"/>
        <w:left w:val="none" w:sz="0" w:space="0" w:color="auto"/>
        <w:bottom w:val="none" w:sz="0" w:space="0" w:color="auto"/>
        <w:right w:val="none" w:sz="0" w:space="0" w:color="auto"/>
      </w:divBdr>
    </w:div>
    <w:div w:id="1869219907">
      <w:bodyDiv w:val="1"/>
      <w:marLeft w:val="0"/>
      <w:marRight w:val="0"/>
      <w:marTop w:val="0"/>
      <w:marBottom w:val="0"/>
      <w:divBdr>
        <w:top w:val="none" w:sz="0" w:space="0" w:color="auto"/>
        <w:left w:val="none" w:sz="0" w:space="0" w:color="auto"/>
        <w:bottom w:val="none" w:sz="0" w:space="0" w:color="auto"/>
        <w:right w:val="none" w:sz="0" w:space="0" w:color="auto"/>
      </w:divBdr>
    </w:div>
    <w:div w:id="1895849917">
      <w:bodyDiv w:val="1"/>
      <w:marLeft w:val="0"/>
      <w:marRight w:val="0"/>
      <w:marTop w:val="0"/>
      <w:marBottom w:val="0"/>
      <w:divBdr>
        <w:top w:val="none" w:sz="0" w:space="0" w:color="auto"/>
        <w:left w:val="none" w:sz="0" w:space="0" w:color="auto"/>
        <w:bottom w:val="none" w:sz="0" w:space="0" w:color="auto"/>
        <w:right w:val="none" w:sz="0" w:space="0" w:color="auto"/>
      </w:divBdr>
    </w:div>
    <w:div w:id="1976518348">
      <w:bodyDiv w:val="1"/>
      <w:marLeft w:val="0"/>
      <w:marRight w:val="0"/>
      <w:marTop w:val="0"/>
      <w:marBottom w:val="0"/>
      <w:divBdr>
        <w:top w:val="none" w:sz="0" w:space="0" w:color="auto"/>
        <w:left w:val="none" w:sz="0" w:space="0" w:color="auto"/>
        <w:bottom w:val="none" w:sz="0" w:space="0" w:color="auto"/>
        <w:right w:val="none" w:sz="0" w:space="0" w:color="auto"/>
      </w:divBdr>
    </w:div>
    <w:div w:id="20424390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answersingenesis.org/bios/nozomi-osanai/" TargetMode="External"/><Relationship Id="rId21" Type="http://schemas.openxmlformats.org/officeDocument/2006/relationships/image" Target="media/image9.jpeg"/><Relationship Id="rId34" Type="http://schemas.openxmlformats.org/officeDocument/2006/relationships/image" Target="media/image16.jpeg"/><Relationship Id="rId42" Type="http://schemas.openxmlformats.org/officeDocument/2006/relationships/image" Target="media/image23.jpg"/><Relationship Id="rId47" Type="http://schemas.openxmlformats.org/officeDocument/2006/relationships/image" Target="media/image27.png"/><Relationship Id="rId50" Type="http://schemas.openxmlformats.org/officeDocument/2006/relationships/image" Target="media/image30.jpeg"/><Relationship Id="rId55" Type="http://schemas.openxmlformats.org/officeDocument/2006/relationships/image" Target="media/image35.jpeg"/><Relationship Id="rId63" Type="http://schemas.openxmlformats.org/officeDocument/2006/relationships/oleObject" Target="embeddings/Microsoft_PowerPoint_97-2003_Presentation6.ppt"/><Relationship Id="rId68" Type="http://schemas.openxmlformats.org/officeDocument/2006/relationships/image" Target="media/image43.wmf"/><Relationship Id="rId76" Type="http://schemas.openxmlformats.org/officeDocument/2006/relationships/image" Target="media/image49.jpeg"/><Relationship Id="rId84" Type="http://schemas.openxmlformats.org/officeDocument/2006/relationships/image" Target="media/image55.wmf"/><Relationship Id="rId89" Type="http://schemas.openxmlformats.org/officeDocument/2006/relationships/image" Target="media/image58.jpe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5.jpeg"/><Relationship Id="rId92" Type="http://schemas.openxmlformats.org/officeDocument/2006/relationships/image" Target="media/image61.jpeg"/><Relationship Id="rId2" Type="http://schemas.openxmlformats.org/officeDocument/2006/relationships/numbering" Target="numbering.xml"/><Relationship Id="rId16" Type="http://schemas.openxmlformats.org/officeDocument/2006/relationships/oleObject" Target="embeddings/Microsoft_PowerPoint_97-2003_Presentation1.ppt"/><Relationship Id="rId29" Type="http://schemas.openxmlformats.org/officeDocument/2006/relationships/image" Target="media/image12.jpeg"/><Relationship Id="rId11" Type="http://schemas.openxmlformats.org/officeDocument/2006/relationships/image" Target="media/image3.emf"/><Relationship Id="rId24" Type="http://schemas.openxmlformats.org/officeDocument/2006/relationships/hyperlink" Target="https://answersingenesis.org/bios/troy-lacey/" TargetMode="External"/><Relationship Id="rId32" Type="http://schemas.openxmlformats.org/officeDocument/2006/relationships/image" Target="media/image15.wmf"/><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wmf"/><Relationship Id="rId53" Type="http://schemas.openxmlformats.org/officeDocument/2006/relationships/image" Target="media/image33.jpeg"/><Relationship Id="rId58" Type="http://schemas.openxmlformats.org/officeDocument/2006/relationships/image" Target="media/image37.emf"/><Relationship Id="rId66" Type="http://schemas.openxmlformats.org/officeDocument/2006/relationships/image" Target="media/image42.wmf"/><Relationship Id="rId74" Type="http://schemas.openxmlformats.org/officeDocument/2006/relationships/image" Target="media/image47.jpeg"/><Relationship Id="rId79" Type="http://schemas.openxmlformats.org/officeDocument/2006/relationships/oleObject" Target="embeddings/Microsoft_PowerPoint_97-2003_Presentation11.ppt"/><Relationship Id="rId87" Type="http://schemas.openxmlformats.org/officeDocument/2006/relationships/oleObject" Target="embeddings/Microsoft_PowerPoint_97-2003_Presentation14.ppt"/><Relationship Id="rId5" Type="http://schemas.openxmlformats.org/officeDocument/2006/relationships/webSettings" Target="webSettings.xml"/><Relationship Id="rId61" Type="http://schemas.openxmlformats.org/officeDocument/2006/relationships/image" Target="media/image39.jpeg"/><Relationship Id="rId82" Type="http://schemas.openxmlformats.org/officeDocument/2006/relationships/image" Target="media/image53.jpeg"/><Relationship Id="rId90" Type="http://schemas.openxmlformats.org/officeDocument/2006/relationships/image" Target="media/image59.jpeg"/><Relationship Id="rId95" Type="http://schemas.openxmlformats.org/officeDocument/2006/relationships/footer" Target="footer1.xml"/><Relationship Id="rId19" Type="http://schemas.openxmlformats.org/officeDocument/2006/relationships/image" Target="media/image8.emf"/><Relationship Id="rId14" Type="http://schemas.openxmlformats.org/officeDocument/2006/relationships/image" Target="media/image5.jpeg"/><Relationship Id="rId22" Type="http://schemas.openxmlformats.org/officeDocument/2006/relationships/image" Target="media/image10.png"/><Relationship Id="rId27" Type="http://schemas.openxmlformats.org/officeDocument/2006/relationships/hyperlink" Target="https://answersingenesis.org/the-flood/what-are-some-of-the-best-flood-evidences/" TargetMode="External"/><Relationship Id="rId30" Type="http://schemas.openxmlformats.org/officeDocument/2006/relationships/image" Target="media/image13.jpeg"/><Relationship Id="rId35" Type="http://schemas.openxmlformats.org/officeDocument/2006/relationships/image" Target="media/image17.emf"/><Relationship Id="rId43" Type="http://schemas.openxmlformats.org/officeDocument/2006/relationships/image" Target="media/image24.png"/><Relationship Id="rId48" Type="http://schemas.openxmlformats.org/officeDocument/2006/relationships/image" Target="media/image28.jpeg"/><Relationship Id="rId56" Type="http://schemas.openxmlformats.org/officeDocument/2006/relationships/image" Target="media/image36.wmf"/><Relationship Id="rId64" Type="http://schemas.openxmlformats.org/officeDocument/2006/relationships/image" Target="media/image41.wmf"/><Relationship Id="rId69" Type="http://schemas.openxmlformats.org/officeDocument/2006/relationships/oleObject" Target="embeddings/Microsoft_PowerPoint_97-2003_Presentation9.ppt"/><Relationship Id="rId77" Type="http://schemas.openxmlformats.org/officeDocument/2006/relationships/image" Target="media/image50.jpeg"/><Relationship Id="rId8" Type="http://schemas.openxmlformats.org/officeDocument/2006/relationships/image" Target="media/image1.gif"/><Relationship Id="rId51" Type="http://schemas.openxmlformats.org/officeDocument/2006/relationships/image" Target="media/image31.jpeg"/><Relationship Id="rId72" Type="http://schemas.openxmlformats.org/officeDocument/2006/relationships/image" Target="media/image46.wmf"/><Relationship Id="rId80" Type="http://schemas.openxmlformats.org/officeDocument/2006/relationships/image" Target="media/image52.wmf"/><Relationship Id="rId85" Type="http://schemas.openxmlformats.org/officeDocument/2006/relationships/oleObject" Target="embeddings/Microsoft_PowerPoint_97-2003_Presentation13.ppt"/><Relationship Id="rId93" Type="http://schemas.openxmlformats.org/officeDocument/2006/relationships/image" Target="media/image62.pn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oleObject" Target="embeddings/Microsoft_PowerPoint_97-2003_Presentation.ppt"/><Relationship Id="rId17" Type="http://schemas.openxmlformats.org/officeDocument/2006/relationships/image" Target="media/image7.wmf"/><Relationship Id="rId25" Type="http://schemas.openxmlformats.org/officeDocument/2006/relationships/hyperlink" Target="https://answersingenesis.org/the-flood/flood-legends/the-background-of-the-gilgamesh-epic/" TargetMode="External"/><Relationship Id="rId33" Type="http://schemas.openxmlformats.org/officeDocument/2006/relationships/oleObject" Target="embeddings/Microsoft_PowerPoint_97-2003_Presentation3.ppt"/><Relationship Id="rId38" Type="http://schemas.openxmlformats.org/officeDocument/2006/relationships/image" Target="media/image19.png"/><Relationship Id="rId46" Type="http://schemas.openxmlformats.org/officeDocument/2006/relationships/oleObject" Target="embeddings/Microsoft_PowerPoint_97-2003_Presentation4.ppt"/><Relationship Id="rId59" Type="http://schemas.openxmlformats.org/officeDocument/2006/relationships/package" Target="embeddings/Microsoft_PowerPoint_Presentation3.pptx"/><Relationship Id="rId67" Type="http://schemas.openxmlformats.org/officeDocument/2006/relationships/oleObject" Target="embeddings/Microsoft_PowerPoint_97-2003_Presentation8.ppt"/><Relationship Id="rId20" Type="http://schemas.openxmlformats.org/officeDocument/2006/relationships/package" Target="embeddings/Microsoft_PowerPoint_Presentation1.pptx"/><Relationship Id="rId41" Type="http://schemas.openxmlformats.org/officeDocument/2006/relationships/image" Target="media/image22.jpeg"/><Relationship Id="rId54" Type="http://schemas.openxmlformats.org/officeDocument/2006/relationships/image" Target="media/image34.jpeg"/><Relationship Id="rId62" Type="http://schemas.openxmlformats.org/officeDocument/2006/relationships/image" Target="media/image40.wmf"/><Relationship Id="rId70" Type="http://schemas.openxmlformats.org/officeDocument/2006/relationships/image" Target="media/image44.jpeg"/><Relationship Id="rId75" Type="http://schemas.openxmlformats.org/officeDocument/2006/relationships/image" Target="media/image48.jpeg"/><Relationship Id="rId83" Type="http://schemas.openxmlformats.org/officeDocument/2006/relationships/image" Target="media/image54.png"/><Relationship Id="rId88" Type="http://schemas.openxmlformats.org/officeDocument/2006/relationships/image" Target="media/image57.jpeg"/><Relationship Id="rId91" Type="http://schemas.openxmlformats.org/officeDocument/2006/relationships/image" Target="media/image60.png"/><Relationship Id="rId9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hyperlink" Target="https://answersingenesis.org/the-flood/flood-legends/the-genesis-flood-not-just-another-legend/" TargetMode="External"/><Relationship Id="rId28" Type="http://schemas.openxmlformats.org/officeDocument/2006/relationships/image" Target="media/image11.png"/><Relationship Id="rId36" Type="http://schemas.openxmlformats.org/officeDocument/2006/relationships/package" Target="embeddings/Microsoft_PowerPoint_Presentation2.pptx"/><Relationship Id="rId49" Type="http://schemas.openxmlformats.org/officeDocument/2006/relationships/image" Target="media/image29.jpeg"/><Relationship Id="rId57" Type="http://schemas.openxmlformats.org/officeDocument/2006/relationships/oleObject" Target="embeddings/Microsoft_PowerPoint_97-2003_Presentation5.ppt"/><Relationship Id="rId10" Type="http://schemas.openxmlformats.org/officeDocument/2006/relationships/package" Target="embeddings/Microsoft_PowerPoint_Presentation.pptx"/><Relationship Id="rId31" Type="http://schemas.openxmlformats.org/officeDocument/2006/relationships/image" Target="media/image14.png"/><Relationship Id="rId44" Type="http://schemas.openxmlformats.org/officeDocument/2006/relationships/image" Target="media/image25.png"/><Relationship Id="rId52" Type="http://schemas.openxmlformats.org/officeDocument/2006/relationships/image" Target="media/image32.jpeg"/><Relationship Id="rId60" Type="http://schemas.openxmlformats.org/officeDocument/2006/relationships/image" Target="media/image38.jpeg"/><Relationship Id="rId65" Type="http://schemas.openxmlformats.org/officeDocument/2006/relationships/oleObject" Target="embeddings/Microsoft_PowerPoint_97-2003_Presentation7.ppt"/><Relationship Id="rId73" Type="http://schemas.openxmlformats.org/officeDocument/2006/relationships/oleObject" Target="embeddings/Microsoft_PowerPoint_97-2003_Presentation10.ppt"/><Relationship Id="rId78" Type="http://schemas.openxmlformats.org/officeDocument/2006/relationships/image" Target="media/image51.wmf"/><Relationship Id="rId81" Type="http://schemas.openxmlformats.org/officeDocument/2006/relationships/oleObject" Target="embeddings/Microsoft_PowerPoint_97-2003_Presentation12.ppt"/><Relationship Id="rId86" Type="http://schemas.openxmlformats.org/officeDocument/2006/relationships/image" Target="media/image56.wmf"/><Relationship Id="rId94" Type="http://schemas.openxmlformats.org/officeDocument/2006/relationships/image" Target="media/image63.jpe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4.jpg"/><Relationship Id="rId18" Type="http://schemas.openxmlformats.org/officeDocument/2006/relationships/oleObject" Target="embeddings/Microsoft_PowerPoint_97-2003_Presentation2.ppt"/><Relationship Id="rId39" Type="http://schemas.openxmlformats.org/officeDocument/2006/relationships/image" Target="media/image20.png"/></Relationships>
</file>

<file path=word/_rels/footnotes.xml.rels><?xml version="1.0" encoding="UTF-8" standalone="yes"?>
<Relationships xmlns="http://schemas.openxmlformats.org/package/2006/relationships"><Relationship Id="rId2" Type="http://schemas.openxmlformats.org/officeDocument/2006/relationships/hyperlink" Target="https://bible.org/article/canaanites-genocide-or-judgment" TargetMode="External"/><Relationship Id="rId1" Type="http://schemas.openxmlformats.org/officeDocument/2006/relationships/hyperlink" Target="https://biblearchaeology.org/images/Genesis-5-and-11/Smith-Henry-The-Case-for-the-Septuagints-Chronology-in-Gen-5-and-11-ICC.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B220CB-82BF-409C-A1F0-6B566B633E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280</Pages>
  <Words>79849</Words>
  <Characters>455140</Characters>
  <Application>Microsoft Office Word</Application>
  <DocSecurity>0</DocSecurity>
  <Lines>3792</Lines>
  <Paragraphs>1067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533922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 Paul Tanner</dc:creator>
  <cp:keywords/>
  <dc:description/>
  <cp:lastModifiedBy>J. Paul Tanner</cp:lastModifiedBy>
  <cp:revision>2</cp:revision>
  <cp:lastPrinted>2024-01-17T20:58:00Z</cp:lastPrinted>
  <dcterms:created xsi:type="dcterms:W3CDTF">2025-02-27T16:25:00Z</dcterms:created>
  <dcterms:modified xsi:type="dcterms:W3CDTF">2025-02-27T16:25:00Z</dcterms:modified>
</cp:coreProperties>
</file>