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ppt" ContentType="application/vnd.ms-powerpoint"/>
  <Default Extension="pptx" ContentType="application/vnd.openxmlformats-officedocument.presentationml.presentation"/>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1F0F29" w14:textId="77777777" w:rsidR="00B74A7B" w:rsidRPr="00C7130A" w:rsidRDefault="00B74A7B" w:rsidP="00C7130A">
      <w:pPr>
        <w:pStyle w:val="Footnote"/>
        <w:rPr>
          <w:rFonts w:cs="Arabic Typesetting"/>
        </w:rPr>
      </w:pPr>
      <w:bookmarkStart w:id="0" w:name="_Hlk164688793"/>
      <w:bookmarkEnd w:id="0"/>
    </w:p>
    <w:p w14:paraId="6CA33AAC" w14:textId="77777777" w:rsidR="00B74A7B" w:rsidRPr="00C7130A" w:rsidRDefault="00B74A7B" w:rsidP="00C7130A">
      <w:pPr>
        <w:jc w:val="center"/>
        <w:rPr>
          <w:sz w:val="72"/>
          <w:szCs w:val="72"/>
        </w:rPr>
      </w:pPr>
    </w:p>
    <w:p w14:paraId="6936BEB5" w14:textId="4C3E95DE" w:rsidR="00D30C23" w:rsidRPr="00A3360F" w:rsidRDefault="00764D61" w:rsidP="00A3360F">
      <w:pPr>
        <w:spacing w:before="0"/>
        <w:jc w:val="center"/>
        <w:rPr>
          <w:b/>
          <w:bCs/>
          <w:sz w:val="220"/>
          <w:szCs w:val="220"/>
          <w:rtl/>
          <w:lang w:bidi="ar-JO"/>
        </w:rPr>
      </w:pPr>
      <w:bookmarkStart w:id="1" w:name="_Hlk178777638"/>
      <w:r w:rsidRPr="00A3360F">
        <w:rPr>
          <w:b/>
          <w:bCs/>
          <w:sz w:val="220"/>
          <w:szCs w:val="220"/>
          <w:rtl/>
          <w:lang w:bidi="ar-JO"/>
        </w:rPr>
        <w:t xml:space="preserve">أساس العهد القديم: </w:t>
      </w:r>
    </w:p>
    <w:p w14:paraId="18085119" w14:textId="16E93C2C" w:rsidR="00764D61" w:rsidRPr="00B93FCD" w:rsidRDefault="00764D61" w:rsidP="00A3360F">
      <w:pPr>
        <w:spacing w:before="0"/>
        <w:jc w:val="center"/>
        <w:rPr>
          <w:b/>
          <w:bCs/>
          <w:sz w:val="144"/>
          <w:szCs w:val="144"/>
          <w:rtl/>
          <w:lang w:bidi="ar-JO"/>
        </w:rPr>
      </w:pPr>
      <w:r w:rsidRPr="00B93FCD">
        <w:rPr>
          <w:b/>
          <w:bCs/>
          <w:sz w:val="144"/>
          <w:szCs w:val="144"/>
          <w:rtl/>
          <w:lang w:bidi="ar-JO"/>
        </w:rPr>
        <w:t>التكوين إلى راعوث</w:t>
      </w:r>
    </w:p>
    <w:bookmarkEnd w:id="1"/>
    <w:p w14:paraId="77FB652E" w14:textId="77777777" w:rsidR="00D30C23" w:rsidRPr="00C7130A" w:rsidRDefault="00D30C23" w:rsidP="00C7130A">
      <w:pPr>
        <w:jc w:val="center"/>
        <w:rPr>
          <w:b/>
          <w:bCs/>
          <w:color w:val="0070C0"/>
          <w:sz w:val="96"/>
          <w:szCs w:val="96"/>
        </w:rPr>
      </w:pPr>
    </w:p>
    <w:p w14:paraId="703EEFBA" w14:textId="77777777" w:rsidR="00BE6E0E" w:rsidRPr="00BE6E0E" w:rsidRDefault="00BE6E0E" w:rsidP="00BE6E0E">
      <w:pPr>
        <w:spacing w:before="0" w:after="160" w:line="360" w:lineRule="auto"/>
        <w:jc w:val="center"/>
        <w:rPr>
          <w:rFonts w:asciiTheme="minorHAnsi" w:hAnsiTheme="minorHAnsi" w:cs="Simplified Arabic"/>
          <w:kern w:val="0"/>
          <w:sz w:val="72"/>
          <w:szCs w:val="72"/>
          <w:rtl/>
          <w:lang w:bidi="ar-JO"/>
          <w14:ligatures w14:val="none"/>
        </w:rPr>
      </w:pPr>
      <w:r w:rsidRPr="00BE6E0E">
        <w:rPr>
          <w:rFonts w:asciiTheme="minorHAnsi" w:hAnsiTheme="minorHAnsi" w:cs="Simplified Arabic" w:hint="cs"/>
          <w:kern w:val="0"/>
          <w:sz w:val="72"/>
          <w:szCs w:val="72"/>
          <w:rtl/>
          <w:lang w:bidi="ar-JO"/>
          <w14:ligatures w14:val="none"/>
        </w:rPr>
        <w:t>ج. بوول تانر</w:t>
      </w:r>
    </w:p>
    <w:p w14:paraId="0814D135" w14:textId="77777777" w:rsidR="00D30C23" w:rsidRPr="00C7130A" w:rsidRDefault="00D30C23" w:rsidP="00C7130A">
      <w:pPr>
        <w:jc w:val="center"/>
        <w:rPr>
          <w:b/>
          <w:bCs/>
          <w:color w:val="0070C0"/>
          <w:sz w:val="96"/>
          <w:szCs w:val="96"/>
        </w:rPr>
      </w:pPr>
    </w:p>
    <w:p w14:paraId="14232CB6" w14:textId="0C0A08F5" w:rsidR="00C7130A" w:rsidRDefault="00C7130A" w:rsidP="00C7130A">
      <w:pPr>
        <w:jc w:val="center"/>
        <w:rPr>
          <w:kern w:val="0"/>
          <w:sz w:val="40"/>
          <w:szCs w:val="40"/>
          <w:rtl/>
          <w:lang w:bidi="ar-JO"/>
          <w14:ligatures w14:val="none"/>
        </w:rPr>
      </w:pPr>
    </w:p>
    <w:p w14:paraId="03F7AB8A" w14:textId="7806565F" w:rsidR="00A8499D" w:rsidRDefault="00A8499D">
      <w:pPr>
        <w:bidi w:val="0"/>
        <w:spacing w:before="0" w:after="160" w:line="259" w:lineRule="auto"/>
        <w:rPr>
          <w:kern w:val="0"/>
          <w:sz w:val="40"/>
          <w:szCs w:val="40"/>
          <w:rtl/>
          <w:lang w:bidi="ar-JO"/>
          <w14:ligatures w14:val="none"/>
        </w:rPr>
      </w:pPr>
      <w:r>
        <w:rPr>
          <w:kern w:val="0"/>
          <w:sz w:val="40"/>
          <w:szCs w:val="40"/>
          <w:rtl/>
          <w:lang w:bidi="ar-JO"/>
          <w14:ligatures w14:val="none"/>
        </w:rPr>
        <w:br w:type="page"/>
      </w:r>
    </w:p>
    <w:p w14:paraId="262C83A2" w14:textId="77777777" w:rsidR="00C7130A" w:rsidRDefault="00C7130A" w:rsidP="00C7130A">
      <w:pPr>
        <w:jc w:val="center"/>
        <w:rPr>
          <w:kern w:val="0"/>
          <w:sz w:val="40"/>
          <w:szCs w:val="40"/>
          <w:rtl/>
          <w:lang w:bidi="ar-JO"/>
          <w14:ligatures w14:val="none"/>
        </w:rPr>
      </w:pPr>
    </w:p>
    <w:p w14:paraId="00A7864C" w14:textId="6A4003B8" w:rsidR="00C54013" w:rsidRPr="00C7130A" w:rsidRDefault="00764D61" w:rsidP="00C7130A">
      <w:r w:rsidRPr="00C7130A">
        <w:rPr>
          <w:rtl/>
        </w:rPr>
        <w:t>أساس العهد القديم: التكوين إلى راعوث</w:t>
      </w:r>
    </w:p>
    <w:p w14:paraId="465AEB43" w14:textId="07FAC145" w:rsidR="00F76246" w:rsidRPr="00C7130A" w:rsidRDefault="00F76246" w:rsidP="00C7130A">
      <w:pPr>
        <w:rPr>
          <w:kern w:val="0"/>
          <w:rtl/>
          <w:lang w:bidi="ar-JO"/>
          <w14:ligatures w14:val="none"/>
        </w:rPr>
      </w:pPr>
      <w:r w:rsidRPr="00C7130A">
        <w:rPr>
          <w:kern w:val="0"/>
          <w:rtl/>
          <w:lang w:bidi="ar-JO"/>
          <w14:ligatures w14:val="none"/>
        </w:rPr>
        <w:t xml:space="preserve">حقوق النشر محفوظة لـ"ج. بول تانر"، 2024. </w:t>
      </w:r>
    </w:p>
    <w:p w14:paraId="6267CED3" w14:textId="77777777" w:rsidR="00C54013" w:rsidRPr="00C7130A" w:rsidRDefault="00C54013" w:rsidP="00C7130A">
      <w:pPr>
        <w:rPr>
          <w:bCs/>
        </w:rPr>
      </w:pPr>
    </w:p>
    <w:p w14:paraId="5FD1DC21" w14:textId="77777777" w:rsidR="00F76246" w:rsidRPr="00C7130A" w:rsidRDefault="00F76246" w:rsidP="00E80A44">
      <w:pPr>
        <w:rPr>
          <w:rtl/>
          <w:lang w:bidi="ar-JO"/>
        </w:rPr>
      </w:pPr>
      <w:r w:rsidRPr="00C7130A">
        <w:rPr>
          <w:rtl/>
          <w:lang w:bidi="ar-JO"/>
        </w:rPr>
        <w:t>تمّ بذل كل جهدٍ ممكن من أجل تقديم معلومات صحيحة في هذا الكتاب. ولكنّ النّاشر لا يضمن دقّة كلّ ما يرِد في هذا الكتاب، ولا يتحمَّل المسؤوليّة عن المعلومات التي ترِد أو لا ترِد في الكتاب.</w:t>
      </w:r>
    </w:p>
    <w:p w14:paraId="6F5C792C" w14:textId="1638BEC9" w:rsidR="005E7D26" w:rsidRPr="00C7130A" w:rsidRDefault="005E7D26" w:rsidP="00E80A44">
      <w:pPr>
        <w:rPr>
          <w:b/>
          <w:rtl/>
        </w:rPr>
      </w:pPr>
      <w:bookmarkStart w:id="2" w:name="_Hlk178777664"/>
      <w:r w:rsidRPr="00C7130A">
        <w:rPr>
          <w:b/>
          <w:rtl/>
        </w:rPr>
        <w:t>ك</w:t>
      </w:r>
      <w:r w:rsidR="006E2FFB" w:rsidRPr="00C7130A">
        <w:rPr>
          <w:b/>
          <w:rtl/>
        </w:rPr>
        <w:t>لّ</w:t>
      </w:r>
      <w:r w:rsidRPr="00C7130A">
        <w:rPr>
          <w:b/>
          <w:rtl/>
        </w:rPr>
        <w:t xml:space="preserve"> الاقتباسات الكتابيّة الواردة في هذه المادة الدراسيّة مأخوذة من ترجمة "فاندايك – البستاني"، إلا إذا أُشير إلى غير ذلك. </w:t>
      </w:r>
    </w:p>
    <w:bookmarkEnd w:id="2"/>
    <w:p w14:paraId="54AC974C" w14:textId="38E0CFFA" w:rsidR="00F76246" w:rsidRPr="00C7130A" w:rsidRDefault="00F76246" w:rsidP="00E80A44">
      <w:pPr>
        <w:rPr>
          <w:rtl/>
          <w:lang w:bidi="ar-JO"/>
        </w:rPr>
      </w:pPr>
      <w:r w:rsidRPr="00C7130A">
        <w:rPr>
          <w:rtl/>
          <w:lang w:bidi="ar-JO"/>
        </w:rPr>
        <w:t xml:space="preserve">جميع حقوق نشر هذا الكتاب محفوظة. هذا الكتاب محميّ بقوانين حقوق النّشر، وباستثناء الاقتباسات الصغيرة لغرض المراجعة والدراسة، ينبغي الحصول على إذن من النّاشر لطباعته أو تخزينه بأي شكلٍ يمكن استعادة الكتاب به، أو نقله بأي شكلٍ أو أيّ وسيلة، سواء </w:t>
      </w:r>
      <w:r w:rsidR="00C7130A" w:rsidRPr="00C7130A">
        <w:rPr>
          <w:rFonts w:hint="cs"/>
          <w:rtl/>
          <w:lang w:bidi="ar-JO"/>
        </w:rPr>
        <w:t>إلكترونيّة</w:t>
      </w:r>
      <w:r w:rsidR="00C7130A" w:rsidRPr="00C7130A">
        <w:rPr>
          <w:rFonts w:hint="eastAsia"/>
          <w:rtl/>
          <w:lang w:bidi="ar-JO"/>
        </w:rPr>
        <w:t>،</w:t>
      </w:r>
      <w:r w:rsidRPr="00C7130A">
        <w:rPr>
          <w:rtl/>
          <w:lang w:bidi="ar-JO"/>
        </w:rPr>
        <w:t xml:space="preserve"> أو آليّة أو بالتّصوير أو التّسجيل الصّوتي أو أيّ طريقة أخرى.</w:t>
      </w:r>
    </w:p>
    <w:p w14:paraId="032FCB3B" w14:textId="77777777" w:rsidR="00F76246" w:rsidRPr="00C7130A" w:rsidRDefault="00F76246" w:rsidP="00E80A44">
      <w:pPr>
        <w:rPr>
          <w:kern w:val="0"/>
          <w:rtl/>
          <w:lang w:bidi="ar-JO"/>
          <w14:ligatures w14:val="none"/>
        </w:rPr>
      </w:pPr>
      <w:r w:rsidRPr="00C7130A">
        <w:rPr>
          <w:kern w:val="0"/>
          <w:rtl/>
          <w:lang w:bidi="ar-JO"/>
          <w14:ligatures w14:val="none"/>
        </w:rPr>
        <w:t xml:space="preserve">للحصول على معلومات بشأن إذن استخدام المادة أو لطلب الكتاب، الرجاء التّواصل على العنوان التّالي: </w:t>
      </w:r>
    </w:p>
    <w:p w14:paraId="129D4EE5" w14:textId="77777777" w:rsidR="00C54013" w:rsidRPr="00C7130A" w:rsidRDefault="00C54013" w:rsidP="00C7130A">
      <w:pPr>
        <w:jc w:val="right"/>
        <w:rPr>
          <w:bCs/>
        </w:rPr>
      </w:pPr>
      <w:r w:rsidRPr="00C7130A">
        <w:rPr>
          <w:bCs/>
        </w:rPr>
        <w:t>Dr. J. Paul Tanner</w:t>
      </w:r>
      <w:r w:rsidRPr="00C7130A">
        <w:rPr>
          <w:bCs/>
        </w:rPr>
        <w:br/>
        <w:t>920 Cambridge Bend</w:t>
      </w:r>
      <w:r w:rsidRPr="00C7130A">
        <w:rPr>
          <w:bCs/>
        </w:rPr>
        <w:br/>
        <w:t>Tyler, TX  75703</w:t>
      </w:r>
    </w:p>
    <w:p w14:paraId="37E86D2D" w14:textId="77777777" w:rsidR="00C54013" w:rsidRPr="00C7130A" w:rsidRDefault="00C54013" w:rsidP="00C7130A">
      <w:pPr>
        <w:jc w:val="right"/>
        <w:rPr>
          <w:bCs/>
        </w:rPr>
      </w:pPr>
    </w:p>
    <w:p w14:paraId="75D425F1" w14:textId="77777777" w:rsidR="007C74F8" w:rsidRPr="00C7130A" w:rsidRDefault="007C74F8" w:rsidP="00C7130A">
      <w:pPr>
        <w:jc w:val="right"/>
        <w:rPr>
          <w:bCs/>
        </w:rPr>
      </w:pPr>
    </w:p>
    <w:p w14:paraId="28B92722" w14:textId="0BA5AD3A" w:rsidR="00C54013" w:rsidRPr="00C7130A" w:rsidRDefault="00C54013" w:rsidP="00C7130A">
      <w:pPr>
        <w:jc w:val="right"/>
        <w:rPr>
          <w:bCs/>
        </w:rPr>
      </w:pPr>
      <w:r w:rsidRPr="00C7130A">
        <w:rPr>
          <w:bCs/>
        </w:rPr>
        <w:t xml:space="preserve">ISBN: </w:t>
      </w:r>
      <w:r w:rsidR="00F76246" w:rsidRPr="00C7130A">
        <w:rPr>
          <w:bCs/>
        </w:rPr>
        <w:t xml:space="preserve"> </w:t>
      </w:r>
    </w:p>
    <w:p w14:paraId="621EFB06" w14:textId="18571E21" w:rsidR="00C54013" w:rsidRPr="00C7130A" w:rsidRDefault="00C54013" w:rsidP="00C7130A">
      <w:pPr>
        <w:jc w:val="right"/>
        <w:rPr>
          <w:bCs/>
        </w:rPr>
      </w:pPr>
      <w:r w:rsidRPr="00C7130A">
        <w:rPr>
          <w:bCs/>
        </w:rPr>
        <w:t xml:space="preserve">First Edition: </w:t>
      </w:r>
      <w:r w:rsidR="00091A1A" w:rsidRPr="00C7130A">
        <w:rPr>
          <w:bCs/>
        </w:rPr>
        <w:t>OT1</w:t>
      </w:r>
      <w:r w:rsidR="00F76246" w:rsidRPr="00C7130A">
        <w:rPr>
          <w:bCs/>
        </w:rPr>
        <w:t>_Tanner_Ar_2.</w:t>
      </w:r>
      <w:r w:rsidR="00091A1A" w:rsidRPr="00C7130A">
        <w:rPr>
          <w:bCs/>
        </w:rPr>
        <w:t>27</w:t>
      </w:r>
      <w:r w:rsidR="00F76246" w:rsidRPr="00C7130A">
        <w:rPr>
          <w:bCs/>
        </w:rPr>
        <w:t>.202</w:t>
      </w:r>
      <w:r w:rsidR="00091A1A" w:rsidRPr="00C7130A">
        <w:rPr>
          <w:bCs/>
        </w:rPr>
        <w:t>5</w:t>
      </w:r>
      <w:r w:rsidR="00F76246" w:rsidRPr="00C7130A">
        <w:rPr>
          <w:bCs/>
        </w:rPr>
        <w:t>.docx</w:t>
      </w:r>
    </w:p>
    <w:p w14:paraId="5990ED72" w14:textId="77777777" w:rsidR="00C54013" w:rsidRPr="00C7130A" w:rsidRDefault="00C54013" w:rsidP="00C7130A">
      <w:pPr>
        <w:jc w:val="right"/>
        <w:rPr>
          <w:bCs/>
        </w:rPr>
      </w:pPr>
      <w:r w:rsidRPr="00C7130A">
        <w:rPr>
          <w:bCs/>
        </w:rPr>
        <w:t xml:space="preserve">Printed in the United States of America </w:t>
      </w:r>
    </w:p>
    <w:p w14:paraId="27F20735" w14:textId="77777777" w:rsidR="00C54013" w:rsidRPr="00C7130A" w:rsidRDefault="00C54013" w:rsidP="00C7130A">
      <w:pPr>
        <w:jc w:val="right"/>
        <w:rPr>
          <w:bCs/>
        </w:rPr>
      </w:pPr>
      <w:r w:rsidRPr="00C7130A">
        <w:rPr>
          <w:bCs/>
        </w:rPr>
        <w:t xml:space="preserve">1 2 3 4 5 6 7 8 9 10 </w:t>
      </w:r>
    </w:p>
    <w:p w14:paraId="0B0B3919" w14:textId="4DC98EC2" w:rsidR="00C54013" w:rsidRPr="00C7130A" w:rsidRDefault="00F76246" w:rsidP="00C7130A">
      <w:pPr>
        <w:jc w:val="right"/>
        <w:rPr>
          <w:bCs/>
        </w:rPr>
      </w:pPr>
      <w:r w:rsidRPr="00C7130A">
        <w:rPr>
          <w:bCs/>
        </w:rPr>
        <w:t>9.25</w:t>
      </w:r>
      <w:r w:rsidR="007C74F8" w:rsidRPr="00C7130A">
        <w:rPr>
          <w:bCs/>
        </w:rPr>
        <w:t>.</w:t>
      </w:r>
      <w:r w:rsidR="00C54013" w:rsidRPr="00C7130A">
        <w:rPr>
          <w:bCs/>
        </w:rPr>
        <w:t>2024</w:t>
      </w:r>
    </w:p>
    <w:p w14:paraId="45615031" w14:textId="71B4C832" w:rsidR="00B74A7B" w:rsidRPr="00C7130A" w:rsidRDefault="00B74A7B" w:rsidP="00C7130A">
      <w:r w:rsidRPr="00C7130A">
        <w:br w:type="page"/>
      </w:r>
    </w:p>
    <w:p w14:paraId="6FC084BF" w14:textId="77777777" w:rsidR="00C7130A" w:rsidRPr="00E80A44" w:rsidRDefault="00C7130A" w:rsidP="00E80A44">
      <w:pPr>
        <w:pStyle w:val="Heading2"/>
      </w:pPr>
      <w:r w:rsidRPr="00E80A44">
        <w:rPr>
          <w:rtl/>
        </w:rPr>
        <w:lastRenderedPageBreak/>
        <w:t>قائمة المحتويات</w:t>
      </w:r>
    </w:p>
    <w:sdt>
      <w:sdtPr>
        <w:rPr>
          <w:rFonts w:eastAsiaTheme="minorHAnsi" w:cs="Arabic Typesetting"/>
          <w:b/>
          <w:bCs/>
          <w:noProof/>
          <w:kern w:val="2"/>
          <w:sz w:val="22"/>
          <w:szCs w:val="22"/>
          <w:rtl/>
          <w:lang w:bidi="ar-SA"/>
          <w14:ligatures w14:val="standardContextual"/>
        </w:rPr>
        <w:id w:val="-584379823"/>
        <w:docPartObj>
          <w:docPartGallery w:val="Table of Contents"/>
          <w:docPartUnique/>
        </w:docPartObj>
      </w:sdtPr>
      <w:sdtEndPr>
        <w:rPr>
          <w:sz w:val="32"/>
          <w:szCs w:val="32"/>
        </w:rPr>
      </w:sdtEndPr>
      <w:sdtContent>
        <w:p w14:paraId="2FFEB89B" w14:textId="452489F9" w:rsidR="000D6760" w:rsidRPr="00F56737" w:rsidRDefault="000D6760" w:rsidP="00F56737">
          <w:pPr>
            <w:pStyle w:val="TOCHeading"/>
            <w:spacing w:before="0"/>
            <w:rPr>
              <w:rFonts w:cs="Arabic Typesetting"/>
              <w:sz w:val="32"/>
            </w:rPr>
          </w:pPr>
        </w:p>
        <w:p w14:paraId="7870668D" w14:textId="6181F13D" w:rsidR="00F56737" w:rsidRPr="00F56737" w:rsidRDefault="000D6760" w:rsidP="006C2E6F">
          <w:pPr>
            <w:pStyle w:val="TOC2"/>
            <w:rPr>
              <w:rFonts w:asciiTheme="minorHAnsi" w:eastAsiaTheme="minorEastAsia" w:hAnsiTheme="minorHAnsi" w:cstheme="minorBidi"/>
            </w:rPr>
          </w:pPr>
          <w:r w:rsidRPr="00F56737">
            <w:rPr>
              <w:noProof w:val="0"/>
            </w:rPr>
            <w:fldChar w:fldCharType="begin"/>
          </w:r>
          <w:r w:rsidRPr="00F56737">
            <w:instrText xml:space="preserve"> TOC \o "1-3" \h \z \u </w:instrText>
          </w:r>
          <w:r w:rsidRPr="00F56737">
            <w:rPr>
              <w:noProof w:val="0"/>
            </w:rPr>
            <w:fldChar w:fldCharType="separate"/>
          </w:r>
          <w:hyperlink w:anchor="_Toc193030884" w:history="1">
            <w:r w:rsidR="00F56737" w:rsidRPr="00F56737">
              <w:rPr>
                <w:rStyle w:val="Hyperlink"/>
                <w:rFonts w:hint="eastAsia"/>
                <w:rtl/>
              </w:rPr>
              <w:t>مُقدِّمة</w:t>
            </w:r>
            <w:r w:rsidR="00F56737" w:rsidRPr="00F56737">
              <w:rPr>
                <w:rStyle w:val="Hyperlink"/>
                <w:rtl/>
              </w:rPr>
              <w:t xml:space="preserve"> </w:t>
            </w:r>
            <w:r w:rsidR="00F56737" w:rsidRPr="00F56737">
              <w:rPr>
                <w:rStyle w:val="Hyperlink"/>
                <w:rFonts w:hint="eastAsia"/>
                <w:rtl/>
              </w:rPr>
              <w:t>المساق</w:t>
            </w:r>
            <w:r w:rsidR="00F56737" w:rsidRPr="00F56737">
              <w:rPr>
                <w:webHidden/>
              </w:rPr>
              <w:tab/>
            </w:r>
            <w:r w:rsidR="00F56737" w:rsidRPr="00F56737">
              <w:rPr>
                <w:webHidden/>
              </w:rPr>
              <w:fldChar w:fldCharType="begin"/>
            </w:r>
            <w:r w:rsidR="00F56737" w:rsidRPr="00F56737">
              <w:rPr>
                <w:webHidden/>
              </w:rPr>
              <w:instrText xml:space="preserve"> PAGEREF _Toc193030884 \h </w:instrText>
            </w:r>
            <w:r w:rsidR="00F56737" w:rsidRPr="00F56737">
              <w:rPr>
                <w:webHidden/>
              </w:rPr>
            </w:r>
            <w:r w:rsidR="00F56737" w:rsidRPr="00F56737">
              <w:rPr>
                <w:webHidden/>
              </w:rPr>
              <w:fldChar w:fldCharType="separate"/>
            </w:r>
            <w:r w:rsidR="00F56737" w:rsidRPr="00F56737">
              <w:rPr>
                <w:webHidden/>
              </w:rPr>
              <w:t>17</w:t>
            </w:r>
            <w:r w:rsidR="00F56737" w:rsidRPr="00F56737">
              <w:rPr>
                <w:webHidden/>
              </w:rPr>
              <w:fldChar w:fldCharType="end"/>
            </w:r>
          </w:hyperlink>
        </w:p>
        <w:p w14:paraId="6FACCBDE" w14:textId="58D14A74" w:rsidR="00F56737" w:rsidRPr="00F56737" w:rsidRDefault="00F56737" w:rsidP="006C2E6F">
          <w:pPr>
            <w:pStyle w:val="TOC2"/>
            <w:rPr>
              <w:rFonts w:asciiTheme="minorHAnsi" w:eastAsiaTheme="minorEastAsia" w:hAnsiTheme="minorHAnsi" w:cstheme="minorBidi"/>
            </w:rPr>
          </w:pPr>
          <w:hyperlink w:anchor="_Toc193030893" w:history="1">
            <w:r w:rsidRPr="00F56737">
              <w:rPr>
                <w:rStyle w:val="Hyperlink"/>
                <w:rFonts w:hint="eastAsia"/>
                <w:rtl/>
              </w:rPr>
              <w:t>الوحدة</w:t>
            </w:r>
            <w:r w:rsidRPr="00F56737">
              <w:rPr>
                <w:rStyle w:val="Hyperlink"/>
                <w:rtl/>
              </w:rPr>
              <w:t xml:space="preserve"> 1: </w:t>
            </w:r>
            <w:r w:rsidRPr="00F56737">
              <w:rPr>
                <w:rStyle w:val="Hyperlink"/>
                <w:rFonts w:hint="eastAsia"/>
                <w:rtl/>
              </w:rPr>
              <w:t>مُقدِّمة</w:t>
            </w:r>
            <w:r w:rsidRPr="00F56737">
              <w:rPr>
                <w:rStyle w:val="Hyperlink"/>
                <w:rtl/>
              </w:rPr>
              <w:t xml:space="preserve"> </w:t>
            </w:r>
            <w:r w:rsidRPr="00F56737">
              <w:rPr>
                <w:rStyle w:val="Hyperlink"/>
                <w:rFonts w:hint="eastAsia"/>
                <w:rtl/>
              </w:rPr>
              <w:t>وخلفيّة</w:t>
            </w:r>
            <w:r w:rsidRPr="00F56737">
              <w:rPr>
                <w:rStyle w:val="Hyperlink"/>
                <w:rtl/>
              </w:rPr>
              <w:t xml:space="preserve"> </w:t>
            </w:r>
            <w:r w:rsidRPr="00F56737">
              <w:rPr>
                <w:rStyle w:val="Hyperlink"/>
                <w:rFonts w:hint="eastAsia"/>
                <w:rtl/>
              </w:rPr>
              <w:t>إلى</w:t>
            </w:r>
            <w:r w:rsidRPr="00F56737">
              <w:rPr>
                <w:rStyle w:val="Hyperlink"/>
                <w:rtl/>
              </w:rPr>
              <w:t xml:space="preserve"> </w:t>
            </w:r>
            <w:r w:rsidRPr="00F56737">
              <w:rPr>
                <w:rStyle w:val="Hyperlink"/>
                <w:rFonts w:hint="eastAsia"/>
                <w:rtl/>
              </w:rPr>
              <w:t>دعوة</w:t>
            </w:r>
            <w:r w:rsidRPr="00F56737">
              <w:rPr>
                <w:rStyle w:val="Hyperlink"/>
                <w:rtl/>
              </w:rPr>
              <w:t xml:space="preserve"> </w:t>
            </w:r>
            <w:r w:rsidRPr="00F56737">
              <w:rPr>
                <w:rStyle w:val="Hyperlink"/>
                <w:rFonts w:hint="eastAsia"/>
                <w:rtl/>
              </w:rPr>
              <w:t>إبراهيم</w:t>
            </w:r>
            <w:r w:rsidRPr="00F56737">
              <w:rPr>
                <w:webHidden/>
              </w:rPr>
              <w:tab/>
            </w:r>
            <w:r w:rsidRPr="00F56737">
              <w:rPr>
                <w:webHidden/>
              </w:rPr>
              <w:fldChar w:fldCharType="begin"/>
            </w:r>
            <w:r w:rsidRPr="00F56737">
              <w:rPr>
                <w:webHidden/>
              </w:rPr>
              <w:instrText xml:space="preserve"> PAGEREF _Toc193030893 \h </w:instrText>
            </w:r>
            <w:r w:rsidRPr="00F56737">
              <w:rPr>
                <w:webHidden/>
              </w:rPr>
            </w:r>
            <w:r w:rsidRPr="00F56737">
              <w:rPr>
                <w:webHidden/>
              </w:rPr>
              <w:fldChar w:fldCharType="separate"/>
            </w:r>
            <w:r w:rsidRPr="00F56737">
              <w:rPr>
                <w:webHidden/>
              </w:rPr>
              <w:t>23</w:t>
            </w:r>
            <w:r w:rsidRPr="00F56737">
              <w:rPr>
                <w:webHidden/>
              </w:rPr>
              <w:fldChar w:fldCharType="end"/>
            </w:r>
          </w:hyperlink>
        </w:p>
        <w:p w14:paraId="2CC0F536" w14:textId="34645C02" w:rsidR="00F56737" w:rsidRPr="00F56737" w:rsidRDefault="00F56737" w:rsidP="006C2E6F">
          <w:pPr>
            <w:pStyle w:val="TOC2"/>
            <w:rPr>
              <w:rFonts w:asciiTheme="minorHAnsi" w:eastAsiaTheme="minorEastAsia" w:hAnsiTheme="minorHAnsi" w:cstheme="minorBidi"/>
            </w:rPr>
          </w:pPr>
          <w:hyperlink w:anchor="_Toc193030897" w:history="1">
            <w:r w:rsidRPr="00F56737">
              <w:rPr>
                <w:rStyle w:val="Hyperlink"/>
                <w:rFonts w:hint="eastAsia"/>
                <w:rtl/>
              </w:rPr>
              <w:t>الدرس</w:t>
            </w:r>
            <w:r w:rsidRPr="00F56737">
              <w:rPr>
                <w:rStyle w:val="Hyperlink"/>
                <w:rtl/>
              </w:rPr>
              <w:t xml:space="preserve"> 1: </w:t>
            </w:r>
            <w:r w:rsidRPr="00F56737">
              <w:rPr>
                <w:rStyle w:val="Hyperlink"/>
                <w:rFonts w:hint="eastAsia"/>
                <w:rtl/>
              </w:rPr>
              <w:t>مُقدِّمة</w:t>
            </w:r>
            <w:r w:rsidRPr="00F56737">
              <w:rPr>
                <w:rStyle w:val="Hyperlink"/>
                <w:rtl/>
              </w:rPr>
              <w:t xml:space="preserve"> </w:t>
            </w:r>
            <w:r w:rsidRPr="00F56737">
              <w:rPr>
                <w:rStyle w:val="Hyperlink"/>
                <w:rFonts w:hint="eastAsia"/>
                <w:rtl/>
              </w:rPr>
              <w:t>إلى</w:t>
            </w:r>
            <w:r w:rsidRPr="00F56737">
              <w:rPr>
                <w:rStyle w:val="Hyperlink"/>
                <w:rtl/>
              </w:rPr>
              <w:t xml:space="preserve"> </w:t>
            </w:r>
            <w:r w:rsidRPr="00F56737">
              <w:rPr>
                <w:rStyle w:val="Hyperlink"/>
                <w:rFonts w:hint="eastAsia"/>
                <w:rtl/>
              </w:rPr>
              <w:t>العهد</w:t>
            </w:r>
            <w:r w:rsidRPr="00F56737">
              <w:rPr>
                <w:rStyle w:val="Hyperlink"/>
                <w:rtl/>
              </w:rPr>
              <w:t xml:space="preserve"> </w:t>
            </w:r>
            <w:r w:rsidRPr="00F56737">
              <w:rPr>
                <w:rStyle w:val="Hyperlink"/>
                <w:rFonts w:hint="eastAsia"/>
                <w:rtl/>
              </w:rPr>
              <w:t>القديم</w:t>
            </w:r>
            <w:r w:rsidRPr="00F56737">
              <w:rPr>
                <w:webHidden/>
              </w:rPr>
              <w:tab/>
            </w:r>
            <w:r w:rsidRPr="00F56737">
              <w:rPr>
                <w:webHidden/>
              </w:rPr>
              <w:fldChar w:fldCharType="begin"/>
            </w:r>
            <w:r w:rsidRPr="00F56737">
              <w:rPr>
                <w:webHidden/>
              </w:rPr>
              <w:instrText xml:space="preserve"> PAGEREF _Toc193030897 \h </w:instrText>
            </w:r>
            <w:r w:rsidRPr="00F56737">
              <w:rPr>
                <w:webHidden/>
              </w:rPr>
            </w:r>
            <w:r w:rsidRPr="00F56737">
              <w:rPr>
                <w:webHidden/>
              </w:rPr>
              <w:fldChar w:fldCharType="separate"/>
            </w:r>
            <w:r w:rsidRPr="00F56737">
              <w:rPr>
                <w:webHidden/>
              </w:rPr>
              <w:t>25</w:t>
            </w:r>
            <w:r w:rsidRPr="00F56737">
              <w:rPr>
                <w:webHidden/>
              </w:rPr>
              <w:fldChar w:fldCharType="end"/>
            </w:r>
          </w:hyperlink>
        </w:p>
        <w:p w14:paraId="7E1593F0" w14:textId="557968A6"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01"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مُقدِّمة</w:t>
            </w:r>
            <w:r w:rsidRPr="00F56737">
              <w:rPr>
                <w:rStyle w:val="Hyperlink"/>
                <w:noProof/>
                <w:sz w:val="32"/>
                <w:szCs w:val="32"/>
                <w:rtl/>
              </w:rPr>
              <w:t xml:space="preserve"> </w:t>
            </w:r>
            <w:r w:rsidRPr="00F56737">
              <w:rPr>
                <w:rStyle w:val="Hyperlink"/>
                <w:rFonts w:hint="eastAsia"/>
                <w:noProof/>
                <w:sz w:val="32"/>
                <w:szCs w:val="32"/>
                <w:rtl/>
              </w:rPr>
              <w:t>عامّة</w:t>
            </w:r>
            <w:r w:rsidRPr="00F56737">
              <w:rPr>
                <w:rStyle w:val="Hyperlink"/>
                <w:noProof/>
                <w:sz w:val="32"/>
                <w:szCs w:val="32"/>
                <w:rtl/>
              </w:rPr>
              <w:t xml:space="preserve"> </w:t>
            </w:r>
            <w:r w:rsidRPr="00F56737">
              <w:rPr>
                <w:rStyle w:val="Hyperlink"/>
                <w:rFonts w:hint="eastAsia"/>
                <w:noProof/>
                <w:sz w:val="32"/>
                <w:szCs w:val="32"/>
                <w:rtl/>
              </w:rPr>
              <w:t>إلى</w:t>
            </w:r>
            <w:r w:rsidRPr="00F56737">
              <w:rPr>
                <w:rStyle w:val="Hyperlink"/>
                <w:noProof/>
                <w:sz w:val="32"/>
                <w:szCs w:val="32"/>
                <w:rtl/>
              </w:rPr>
              <w:t xml:space="preserve"> </w:t>
            </w:r>
            <w:r w:rsidRPr="00F56737">
              <w:rPr>
                <w:rStyle w:val="Hyperlink"/>
                <w:rFonts w:hint="eastAsia"/>
                <w:noProof/>
                <w:sz w:val="32"/>
                <w:szCs w:val="32"/>
                <w:rtl/>
              </w:rPr>
              <w:t>العهد</w:t>
            </w:r>
            <w:r w:rsidRPr="00F56737">
              <w:rPr>
                <w:rStyle w:val="Hyperlink"/>
                <w:noProof/>
                <w:sz w:val="32"/>
                <w:szCs w:val="32"/>
                <w:rtl/>
              </w:rPr>
              <w:t xml:space="preserve"> </w:t>
            </w:r>
            <w:r w:rsidRPr="00F56737">
              <w:rPr>
                <w:rStyle w:val="Hyperlink"/>
                <w:rFonts w:hint="eastAsia"/>
                <w:noProof/>
                <w:sz w:val="32"/>
                <w:szCs w:val="32"/>
                <w:rtl/>
              </w:rPr>
              <w:t>القديم</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_Toc193030901 \h </w:instrText>
            </w:r>
            <w:r w:rsidRPr="00F56737">
              <w:rPr>
                <w:noProof/>
                <w:webHidden/>
                <w:sz w:val="32"/>
                <w:szCs w:val="32"/>
              </w:rPr>
            </w:r>
            <w:r w:rsidRPr="00F56737">
              <w:rPr>
                <w:noProof/>
                <w:webHidden/>
                <w:sz w:val="32"/>
                <w:szCs w:val="32"/>
              </w:rPr>
              <w:fldChar w:fldCharType="separate"/>
            </w:r>
            <w:r w:rsidRPr="00F56737">
              <w:rPr>
                <w:noProof/>
                <w:webHidden/>
                <w:sz w:val="32"/>
                <w:szCs w:val="32"/>
              </w:rPr>
              <w:t>26</w:t>
            </w:r>
            <w:r w:rsidRPr="00F56737">
              <w:rPr>
                <w:noProof/>
                <w:webHidden/>
                <w:sz w:val="32"/>
                <w:szCs w:val="32"/>
              </w:rPr>
              <w:fldChar w:fldCharType="end"/>
            </w:r>
          </w:hyperlink>
        </w:p>
        <w:p w14:paraId="1CD95C12" w14:textId="091CAFCF"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02"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الخط</w:t>
            </w:r>
            <w:r w:rsidRPr="00F56737">
              <w:rPr>
                <w:rStyle w:val="Hyperlink"/>
                <w:noProof/>
                <w:sz w:val="32"/>
                <w:szCs w:val="32"/>
                <w:rtl/>
              </w:rPr>
              <w:t xml:space="preserve"> </w:t>
            </w:r>
            <w:r w:rsidRPr="00F56737">
              <w:rPr>
                <w:rStyle w:val="Hyperlink"/>
                <w:rFonts w:hint="eastAsia"/>
                <w:noProof/>
                <w:sz w:val="32"/>
                <w:szCs w:val="32"/>
                <w:rtl/>
              </w:rPr>
              <w:t>الزمني</w:t>
            </w:r>
            <w:r w:rsidRPr="00F56737">
              <w:rPr>
                <w:rStyle w:val="Hyperlink"/>
                <w:noProof/>
                <w:sz w:val="32"/>
                <w:szCs w:val="32"/>
                <w:rtl/>
              </w:rPr>
              <w:t xml:space="preserve"> </w:t>
            </w:r>
            <w:r w:rsidRPr="00F56737">
              <w:rPr>
                <w:rStyle w:val="Hyperlink"/>
                <w:rFonts w:hint="eastAsia"/>
                <w:noProof/>
                <w:sz w:val="32"/>
                <w:szCs w:val="32"/>
                <w:rtl/>
              </w:rPr>
              <w:t>للعهد</w:t>
            </w:r>
            <w:r w:rsidRPr="00F56737">
              <w:rPr>
                <w:rStyle w:val="Hyperlink"/>
                <w:noProof/>
                <w:sz w:val="32"/>
                <w:szCs w:val="32"/>
                <w:rtl/>
              </w:rPr>
              <w:t xml:space="preserve"> </w:t>
            </w:r>
            <w:r w:rsidRPr="00F56737">
              <w:rPr>
                <w:rStyle w:val="Hyperlink"/>
                <w:rFonts w:hint="eastAsia"/>
                <w:noProof/>
                <w:sz w:val="32"/>
                <w:szCs w:val="32"/>
                <w:rtl/>
              </w:rPr>
              <w:t>القديم</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_Toc193030902 \h </w:instrText>
            </w:r>
            <w:r w:rsidRPr="00F56737">
              <w:rPr>
                <w:noProof/>
                <w:webHidden/>
                <w:sz w:val="32"/>
                <w:szCs w:val="32"/>
              </w:rPr>
            </w:r>
            <w:r w:rsidRPr="00F56737">
              <w:rPr>
                <w:noProof/>
                <w:webHidden/>
                <w:sz w:val="32"/>
                <w:szCs w:val="32"/>
              </w:rPr>
              <w:fldChar w:fldCharType="separate"/>
            </w:r>
            <w:r w:rsidRPr="00F56737">
              <w:rPr>
                <w:noProof/>
                <w:webHidden/>
                <w:sz w:val="32"/>
                <w:szCs w:val="32"/>
              </w:rPr>
              <w:t>26</w:t>
            </w:r>
            <w:r w:rsidRPr="00F56737">
              <w:rPr>
                <w:noProof/>
                <w:webHidden/>
                <w:sz w:val="32"/>
                <w:szCs w:val="32"/>
              </w:rPr>
              <w:fldChar w:fldCharType="end"/>
            </w:r>
          </w:hyperlink>
        </w:p>
        <w:p w14:paraId="33CA85FA" w14:textId="62ADA1F7"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06"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جغرافيّة</w:t>
            </w:r>
            <w:r w:rsidRPr="00F56737">
              <w:rPr>
                <w:rStyle w:val="Hyperlink"/>
                <w:noProof/>
                <w:sz w:val="32"/>
                <w:szCs w:val="32"/>
                <w:rtl/>
              </w:rPr>
              <w:t xml:space="preserve"> </w:t>
            </w:r>
            <w:r w:rsidRPr="00F56737">
              <w:rPr>
                <w:rStyle w:val="Hyperlink"/>
                <w:rFonts w:hint="eastAsia"/>
                <w:noProof/>
                <w:sz w:val="32"/>
                <w:szCs w:val="32"/>
                <w:rtl/>
              </w:rPr>
              <w:t>الشرق</w:t>
            </w:r>
            <w:r w:rsidRPr="00F56737">
              <w:rPr>
                <w:rStyle w:val="Hyperlink"/>
                <w:noProof/>
                <w:sz w:val="32"/>
                <w:szCs w:val="32"/>
                <w:rtl/>
              </w:rPr>
              <w:t xml:space="preserve"> </w:t>
            </w:r>
            <w:r w:rsidRPr="00F56737">
              <w:rPr>
                <w:rStyle w:val="Hyperlink"/>
                <w:rFonts w:hint="eastAsia"/>
                <w:noProof/>
                <w:sz w:val="32"/>
                <w:szCs w:val="32"/>
                <w:rtl/>
              </w:rPr>
              <w:t>الأدنى</w:t>
            </w:r>
            <w:r w:rsidRPr="00F56737">
              <w:rPr>
                <w:rStyle w:val="Hyperlink"/>
                <w:noProof/>
                <w:sz w:val="32"/>
                <w:szCs w:val="32"/>
                <w:rtl/>
              </w:rPr>
              <w:t xml:space="preserve"> </w:t>
            </w:r>
            <w:r w:rsidRPr="00F56737">
              <w:rPr>
                <w:rStyle w:val="Hyperlink"/>
                <w:rFonts w:hint="eastAsia"/>
                <w:noProof/>
                <w:sz w:val="32"/>
                <w:szCs w:val="32"/>
                <w:rtl/>
              </w:rPr>
              <w:t>القديم</w:t>
            </w:r>
            <w:r w:rsidRPr="00F56737">
              <w:rPr>
                <w:rStyle w:val="Hyperlink"/>
                <w:noProof/>
                <w:sz w:val="32"/>
                <w:szCs w:val="32"/>
                <w:rtl/>
              </w:rPr>
              <w:t xml:space="preserve"> </w:t>
            </w:r>
            <w:r w:rsidRPr="00F56737">
              <w:rPr>
                <w:rStyle w:val="Hyperlink"/>
                <w:rFonts w:hint="eastAsia"/>
                <w:noProof/>
                <w:sz w:val="32"/>
                <w:szCs w:val="32"/>
                <w:rtl/>
              </w:rPr>
              <w:t>وخارطته</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_Toc193030906 \h </w:instrText>
            </w:r>
            <w:r w:rsidRPr="00F56737">
              <w:rPr>
                <w:noProof/>
                <w:webHidden/>
                <w:sz w:val="32"/>
                <w:szCs w:val="32"/>
              </w:rPr>
            </w:r>
            <w:r w:rsidRPr="00F56737">
              <w:rPr>
                <w:noProof/>
                <w:webHidden/>
                <w:sz w:val="32"/>
                <w:szCs w:val="32"/>
              </w:rPr>
              <w:fldChar w:fldCharType="separate"/>
            </w:r>
            <w:r w:rsidRPr="00F56737">
              <w:rPr>
                <w:noProof/>
                <w:webHidden/>
                <w:sz w:val="32"/>
                <w:szCs w:val="32"/>
              </w:rPr>
              <w:t>33</w:t>
            </w:r>
            <w:r w:rsidRPr="00F56737">
              <w:rPr>
                <w:noProof/>
                <w:webHidden/>
                <w:sz w:val="32"/>
                <w:szCs w:val="32"/>
              </w:rPr>
              <w:fldChar w:fldCharType="end"/>
            </w:r>
          </w:hyperlink>
        </w:p>
        <w:p w14:paraId="5A75A51D" w14:textId="72FFA210" w:rsidR="00F56737" w:rsidRPr="00F56737" w:rsidRDefault="00F56737" w:rsidP="006C2E6F">
          <w:pPr>
            <w:pStyle w:val="TOC2"/>
            <w:rPr>
              <w:rFonts w:asciiTheme="minorHAnsi" w:eastAsiaTheme="minorEastAsia" w:hAnsiTheme="minorHAnsi" w:cstheme="minorBidi"/>
            </w:rPr>
          </w:pPr>
          <w:hyperlink w:anchor="_Toc193030908" w:history="1">
            <w:r w:rsidRPr="00F56737">
              <w:rPr>
                <w:rStyle w:val="Hyperlink"/>
                <w:rFonts w:hint="eastAsia"/>
                <w:rtl/>
              </w:rPr>
              <w:t>الدرس</w:t>
            </w:r>
            <w:r w:rsidRPr="00F56737">
              <w:rPr>
                <w:rStyle w:val="Hyperlink"/>
                <w:rtl/>
              </w:rPr>
              <w:t xml:space="preserve"> 2: </w:t>
            </w:r>
            <w:r w:rsidRPr="00F56737">
              <w:rPr>
                <w:rStyle w:val="Hyperlink"/>
                <w:rFonts w:hint="eastAsia"/>
                <w:rtl/>
              </w:rPr>
              <w:t>رواية</w:t>
            </w:r>
            <w:r w:rsidRPr="00F56737">
              <w:rPr>
                <w:rStyle w:val="Hyperlink"/>
                <w:rtl/>
              </w:rPr>
              <w:t xml:space="preserve"> </w:t>
            </w:r>
            <w:r w:rsidRPr="00F56737">
              <w:rPr>
                <w:rStyle w:val="Hyperlink"/>
                <w:rFonts w:hint="eastAsia"/>
                <w:rtl/>
              </w:rPr>
              <w:t>الخلق</w:t>
            </w:r>
            <w:r w:rsidRPr="00F56737">
              <w:rPr>
                <w:webHidden/>
              </w:rPr>
              <w:tab/>
            </w:r>
            <w:r w:rsidRPr="00F56737">
              <w:rPr>
                <w:webHidden/>
              </w:rPr>
              <w:fldChar w:fldCharType="begin"/>
            </w:r>
            <w:r w:rsidRPr="00F56737">
              <w:rPr>
                <w:webHidden/>
              </w:rPr>
              <w:instrText xml:space="preserve"> PAGEREF _Toc193030908 \h </w:instrText>
            </w:r>
            <w:r w:rsidRPr="00F56737">
              <w:rPr>
                <w:webHidden/>
              </w:rPr>
            </w:r>
            <w:r w:rsidRPr="00F56737">
              <w:rPr>
                <w:webHidden/>
              </w:rPr>
              <w:fldChar w:fldCharType="separate"/>
            </w:r>
            <w:r w:rsidRPr="00F56737">
              <w:rPr>
                <w:webHidden/>
              </w:rPr>
              <w:t>36</w:t>
            </w:r>
            <w:r w:rsidRPr="00F56737">
              <w:rPr>
                <w:webHidden/>
              </w:rPr>
              <w:fldChar w:fldCharType="end"/>
            </w:r>
          </w:hyperlink>
        </w:p>
        <w:p w14:paraId="1FF442EA" w14:textId="4A13016A"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13"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مُقدِّمة</w:t>
            </w:r>
            <w:r w:rsidRPr="00F56737">
              <w:rPr>
                <w:rStyle w:val="Hyperlink"/>
                <w:noProof/>
                <w:sz w:val="32"/>
                <w:szCs w:val="32"/>
                <w:rtl/>
              </w:rPr>
              <w:t xml:space="preserve"> </w:t>
            </w:r>
            <w:r w:rsidRPr="00F56737">
              <w:rPr>
                <w:rStyle w:val="Hyperlink"/>
                <w:rFonts w:hint="eastAsia"/>
                <w:noProof/>
                <w:sz w:val="32"/>
                <w:szCs w:val="32"/>
                <w:rtl/>
              </w:rPr>
              <w:t>إلى</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التكوين</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_Toc193030913 \h </w:instrText>
            </w:r>
            <w:r w:rsidRPr="00F56737">
              <w:rPr>
                <w:noProof/>
                <w:webHidden/>
                <w:sz w:val="32"/>
                <w:szCs w:val="32"/>
              </w:rPr>
            </w:r>
            <w:r w:rsidRPr="00F56737">
              <w:rPr>
                <w:noProof/>
                <w:webHidden/>
                <w:sz w:val="32"/>
                <w:szCs w:val="32"/>
              </w:rPr>
              <w:fldChar w:fldCharType="separate"/>
            </w:r>
            <w:r w:rsidRPr="00F56737">
              <w:rPr>
                <w:noProof/>
                <w:webHidden/>
                <w:sz w:val="32"/>
                <w:szCs w:val="32"/>
              </w:rPr>
              <w:t>37</w:t>
            </w:r>
            <w:r w:rsidRPr="00F56737">
              <w:rPr>
                <w:noProof/>
                <w:webHidden/>
                <w:sz w:val="32"/>
                <w:szCs w:val="32"/>
              </w:rPr>
              <w:fldChar w:fldCharType="end"/>
            </w:r>
          </w:hyperlink>
        </w:p>
        <w:p w14:paraId="6ABC1378" w14:textId="06C89DDC"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20"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البداية</w:t>
            </w:r>
            <w:r w:rsidRPr="00F56737">
              <w:rPr>
                <w:rStyle w:val="Hyperlink"/>
                <w:noProof/>
                <w:sz w:val="32"/>
                <w:szCs w:val="32"/>
                <w:rtl/>
              </w:rPr>
              <w:t xml:space="preserve"> </w:t>
            </w:r>
            <w:r w:rsidRPr="00F56737">
              <w:rPr>
                <w:rStyle w:val="Hyperlink"/>
                <w:rFonts w:hint="eastAsia"/>
                <w:noProof/>
                <w:sz w:val="32"/>
                <w:szCs w:val="32"/>
                <w:rtl/>
              </w:rPr>
              <w:t>في</w:t>
            </w:r>
            <w:r w:rsidRPr="00F56737">
              <w:rPr>
                <w:rStyle w:val="Hyperlink"/>
                <w:noProof/>
                <w:sz w:val="32"/>
                <w:szCs w:val="32"/>
                <w:rtl/>
              </w:rPr>
              <w:t xml:space="preserve"> </w:t>
            </w:r>
            <w:r w:rsidRPr="00F56737">
              <w:rPr>
                <w:rStyle w:val="Hyperlink"/>
                <w:rFonts w:hint="eastAsia"/>
                <w:noProof/>
                <w:sz w:val="32"/>
                <w:szCs w:val="32"/>
                <w:rtl/>
              </w:rPr>
              <w:t>البركة</w:t>
            </w:r>
            <w:r w:rsidRPr="00F56737">
              <w:rPr>
                <w:rStyle w:val="Hyperlink"/>
                <w:noProof/>
                <w:sz w:val="32"/>
                <w:szCs w:val="32"/>
                <w:rtl/>
              </w:rPr>
              <w:t xml:space="preserve"> (</w:t>
            </w:r>
            <w:r w:rsidRPr="00F56737">
              <w:rPr>
                <w:rStyle w:val="Hyperlink"/>
                <w:rFonts w:hint="eastAsia"/>
                <w:noProof/>
                <w:sz w:val="32"/>
                <w:szCs w:val="32"/>
                <w:rtl/>
              </w:rPr>
              <w:t>تكوين</w:t>
            </w:r>
            <w:r w:rsidRPr="00F56737">
              <w:rPr>
                <w:rStyle w:val="Hyperlink"/>
                <w:noProof/>
                <w:sz w:val="32"/>
                <w:szCs w:val="32"/>
                <w:rtl/>
              </w:rPr>
              <w:t xml:space="preserve"> 1: 1 – 2: 3)</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_Toc193030920 \h </w:instrText>
            </w:r>
            <w:r w:rsidRPr="00F56737">
              <w:rPr>
                <w:noProof/>
                <w:webHidden/>
                <w:sz w:val="32"/>
                <w:szCs w:val="32"/>
              </w:rPr>
            </w:r>
            <w:r w:rsidRPr="00F56737">
              <w:rPr>
                <w:noProof/>
                <w:webHidden/>
                <w:sz w:val="32"/>
                <w:szCs w:val="32"/>
              </w:rPr>
              <w:fldChar w:fldCharType="separate"/>
            </w:r>
            <w:r w:rsidRPr="00F56737">
              <w:rPr>
                <w:noProof/>
                <w:webHidden/>
                <w:sz w:val="32"/>
                <w:szCs w:val="32"/>
              </w:rPr>
              <w:t>44</w:t>
            </w:r>
            <w:r w:rsidRPr="00F56737">
              <w:rPr>
                <w:noProof/>
                <w:webHidden/>
                <w:sz w:val="32"/>
                <w:szCs w:val="32"/>
              </w:rPr>
              <w:fldChar w:fldCharType="end"/>
            </w:r>
          </w:hyperlink>
        </w:p>
        <w:p w14:paraId="3C84FFDA" w14:textId="24758966"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24"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منهجيات</w:t>
            </w:r>
            <w:r w:rsidRPr="00F56737">
              <w:rPr>
                <w:rStyle w:val="Hyperlink"/>
                <w:noProof/>
                <w:sz w:val="32"/>
                <w:szCs w:val="32"/>
                <w:rtl/>
              </w:rPr>
              <w:t xml:space="preserve"> </w:t>
            </w:r>
            <w:r w:rsidRPr="00F56737">
              <w:rPr>
                <w:rStyle w:val="Hyperlink"/>
                <w:rFonts w:hint="eastAsia"/>
                <w:noProof/>
                <w:sz w:val="32"/>
                <w:szCs w:val="32"/>
                <w:rtl/>
              </w:rPr>
              <w:t>يتبنّاها</w:t>
            </w:r>
            <w:r w:rsidRPr="00F56737">
              <w:rPr>
                <w:rStyle w:val="Hyperlink"/>
                <w:noProof/>
                <w:sz w:val="32"/>
                <w:szCs w:val="32"/>
                <w:rtl/>
              </w:rPr>
              <w:t xml:space="preserve"> </w:t>
            </w:r>
            <w:r w:rsidRPr="00F56737">
              <w:rPr>
                <w:rStyle w:val="Hyperlink"/>
                <w:rFonts w:hint="eastAsia"/>
                <w:noProof/>
                <w:sz w:val="32"/>
                <w:szCs w:val="32"/>
                <w:rtl/>
              </w:rPr>
              <w:t>إنجيليون</w:t>
            </w:r>
            <w:r w:rsidRPr="00F56737">
              <w:rPr>
                <w:rStyle w:val="Hyperlink"/>
                <w:noProof/>
                <w:sz w:val="32"/>
                <w:szCs w:val="32"/>
                <w:rtl/>
              </w:rPr>
              <w:t xml:space="preserve"> </w:t>
            </w:r>
            <w:r w:rsidRPr="00F56737">
              <w:rPr>
                <w:rStyle w:val="Hyperlink"/>
                <w:rFonts w:hint="eastAsia"/>
                <w:noProof/>
                <w:sz w:val="32"/>
                <w:szCs w:val="32"/>
                <w:rtl/>
              </w:rPr>
              <w:t>في</w:t>
            </w:r>
            <w:r w:rsidRPr="00F56737">
              <w:rPr>
                <w:rStyle w:val="Hyperlink"/>
                <w:noProof/>
                <w:sz w:val="32"/>
                <w:szCs w:val="32"/>
                <w:rtl/>
              </w:rPr>
              <w:t xml:space="preserve"> </w:t>
            </w:r>
            <w:r w:rsidRPr="00F56737">
              <w:rPr>
                <w:rStyle w:val="Hyperlink"/>
                <w:rFonts w:hint="eastAsia"/>
                <w:noProof/>
                <w:sz w:val="32"/>
                <w:szCs w:val="32"/>
                <w:rtl/>
              </w:rPr>
              <w:t>النظر</w:t>
            </w:r>
            <w:r w:rsidRPr="00F56737">
              <w:rPr>
                <w:rStyle w:val="Hyperlink"/>
                <w:noProof/>
                <w:sz w:val="32"/>
                <w:szCs w:val="32"/>
                <w:rtl/>
              </w:rPr>
              <w:t xml:space="preserve"> </w:t>
            </w:r>
            <w:r w:rsidRPr="00F56737">
              <w:rPr>
                <w:rStyle w:val="Hyperlink"/>
                <w:rFonts w:hint="eastAsia"/>
                <w:noProof/>
                <w:sz w:val="32"/>
                <w:szCs w:val="32"/>
                <w:rtl/>
              </w:rPr>
              <w:t>إلى</w:t>
            </w:r>
            <w:r w:rsidRPr="00F56737">
              <w:rPr>
                <w:rStyle w:val="Hyperlink"/>
                <w:noProof/>
                <w:sz w:val="32"/>
                <w:szCs w:val="32"/>
                <w:rtl/>
              </w:rPr>
              <w:t xml:space="preserve"> </w:t>
            </w:r>
            <w:r w:rsidRPr="00F56737">
              <w:rPr>
                <w:rStyle w:val="Hyperlink"/>
                <w:rFonts w:hint="eastAsia"/>
                <w:noProof/>
                <w:sz w:val="32"/>
                <w:szCs w:val="32"/>
                <w:rtl/>
              </w:rPr>
              <w:t>رواية</w:t>
            </w:r>
            <w:r w:rsidRPr="00F56737">
              <w:rPr>
                <w:rStyle w:val="Hyperlink"/>
                <w:noProof/>
                <w:sz w:val="32"/>
                <w:szCs w:val="32"/>
                <w:rtl/>
              </w:rPr>
              <w:t xml:space="preserve"> </w:t>
            </w:r>
            <w:r w:rsidRPr="00F56737">
              <w:rPr>
                <w:rStyle w:val="Hyperlink"/>
                <w:rFonts w:hint="eastAsia"/>
                <w:noProof/>
                <w:sz w:val="32"/>
                <w:szCs w:val="32"/>
                <w:rtl/>
              </w:rPr>
              <w:t>الخلق</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_Toc193030924 \h </w:instrText>
            </w:r>
            <w:r w:rsidRPr="00F56737">
              <w:rPr>
                <w:noProof/>
                <w:webHidden/>
                <w:sz w:val="32"/>
                <w:szCs w:val="32"/>
              </w:rPr>
            </w:r>
            <w:r w:rsidRPr="00F56737">
              <w:rPr>
                <w:noProof/>
                <w:webHidden/>
                <w:sz w:val="32"/>
                <w:szCs w:val="32"/>
              </w:rPr>
              <w:fldChar w:fldCharType="separate"/>
            </w:r>
            <w:r w:rsidRPr="00F56737">
              <w:rPr>
                <w:noProof/>
                <w:webHidden/>
                <w:sz w:val="32"/>
                <w:szCs w:val="32"/>
              </w:rPr>
              <w:t>53</w:t>
            </w:r>
            <w:r w:rsidRPr="00F56737">
              <w:rPr>
                <w:noProof/>
                <w:webHidden/>
                <w:sz w:val="32"/>
                <w:szCs w:val="32"/>
              </w:rPr>
              <w:fldChar w:fldCharType="end"/>
            </w:r>
          </w:hyperlink>
        </w:p>
        <w:p w14:paraId="447ADB77" w14:textId="0A1805DF" w:rsidR="00F56737" w:rsidRPr="00F56737" w:rsidRDefault="00F56737" w:rsidP="006C2E6F">
          <w:pPr>
            <w:pStyle w:val="TOC2"/>
            <w:rPr>
              <w:rFonts w:asciiTheme="minorHAnsi" w:eastAsiaTheme="minorEastAsia" w:hAnsiTheme="minorHAnsi" w:cstheme="minorBidi"/>
            </w:rPr>
          </w:pPr>
          <w:hyperlink w:anchor="_Toc193030930" w:history="1">
            <w:r w:rsidRPr="00F56737">
              <w:rPr>
                <w:rStyle w:val="Hyperlink"/>
                <w:rFonts w:hint="eastAsia"/>
                <w:rtl/>
              </w:rPr>
              <w:t>الدرس</w:t>
            </w:r>
            <w:r w:rsidRPr="00F56737">
              <w:rPr>
                <w:rStyle w:val="Hyperlink"/>
                <w:rtl/>
              </w:rPr>
              <w:t xml:space="preserve"> 3: </w:t>
            </w:r>
            <w:r w:rsidRPr="00F56737">
              <w:rPr>
                <w:rStyle w:val="Hyperlink"/>
                <w:rFonts w:hint="eastAsia"/>
                <w:rtl/>
                <w:lang w:bidi="ar-JO"/>
              </w:rPr>
              <w:t>قصّة</w:t>
            </w:r>
            <w:r w:rsidRPr="00F56737">
              <w:rPr>
                <w:rStyle w:val="Hyperlink"/>
                <w:rtl/>
              </w:rPr>
              <w:t xml:space="preserve"> </w:t>
            </w:r>
            <w:r w:rsidRPr="00F56737">
              <w:rPr>
                <w:rStyle w:val="Hyperlink"/>
                <w:rFonts w:hint="eastAsia"/>
                <w:rtl/>
              </w:rPr>
              <w:t>السقوط</w:t>
            </w:r>
            <w:r w:rsidRPr="00F56737">
              <w:rPr>
                <w:rStyle w:val="Hyperlink"/>
                <w:rtl/>
              </w:rPr>
              <w:t xml:space="preserve"> </w:t>
            </w:r>
            <w:r w:rsidRPr="00F56737">
              <w:rPr>
                <w:rStyle w:val="Hyperlink"/>
                <w:rFonts w:hint="eastAsia"/>
                <w:rtl/>
              </w:rPr>
              <w:t>وانتشار</w:t>
            </w:r>
            <w:r w:rsidRPr="00F56737">
              <w:rPr>
                <w:rStyle w:val="Hyperlink"/>
                <w:rtl/>
              </w:rPr>
              <w:t xml:space="preserve"> </w:t>
            </w:r>
            <w:r w:rsidRPr="00F56737">
              <w:rPr>
                <w:rStyle w:val="Hyperlink"/>
                <w:rFonts w:hint="eastAsia"/>
                <w:rtl/>
              </w:rPr>
              <w:t>الخطية</w:t>
            </w:r>
            <w:r w:rsidRPr="00F56737">
              <w:rPr>
                <w:rStyle w:val="Hyperlink"/>
                <w:rtl/>
              </w:rPr>
              <w:t xml:space="preserve"> </w:t>
            </w:r>
            <w:r w:rsidRPr="00F56737">
              <w:rPr>
                <w:rStyle w:val="Hyperlink"/>
                <w:rFonts w:hint="eastAsia"/>
                <w:rtl/>
              </w:rPr>
              <w:t>والطوفان</w:t>
            </w:r>
            <w:r w:rsidRPr="00F56737">
              <w:rPr>
                <w:webHidden/>
              </w:rPr>
              <w:tab/>
            </w:r>
            <w:r w:rsidRPr="00F56737">
              <w:rPr>
                <w:webHidden/>
              </w:rPr>
              <w:fldChar w:fldCharType="begin"/>
            </w:r>
            <w:r w:rsidRPr="00F56737">
              <w:rPr>
                <w:webHidden/>
              </w:rPr>
              <w:instrText xml:space="preserve"> PAGEREF _Toc193030930 \h </w:instrText>
            </w:r>
            <w:r w:rsidRPr="00F56737">
              <w:rPr>
                <w:webHidden/>
              </w:rPr>
            </w:r>
            <w:r w:rsidRPr="00F56737">
              <w:rPr>
                <w:webHidden/>
              </w:rPr>
              <w:fldChar w:fldCharType="separate"/>
            </w:r>
            <w:r w:rsidRPr="00F56737">
              <w:rPr>
                <w:webHidden/>
              </w:rPr>
              <w:t>67</w:t>
            </w:r>
            <w:r w:rsidRPr="00F56737">
              <w:rPr>
                <w:webHidden/>
              </w:rPr>
              <w:fldChar w:fldCharType="end"/>
            </w:r>
          </w:hyperlink>
        </w:p>
        <w:p w14:paraId="502735A6" w14:textId="4FC5CF86"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35"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لوحة</w:t>
            </w:r>
            <w:r w:rsidRPr="00F56737">
              <w:rPr>
                <w:rStyle w:val="Hyperlink"/>
                <w:noProof/>
                <w:sz w:val="32"/>
                <w:szCs w:val="32"/>
                <w:rtl/>
              </w:rPr>
              <w:t xml:space="preserve"> </w:t>
            </w:r>
            <w:r w:rsidRPr="00F56737">
              <w:rPr>
                <w:rStyle w:val="Hyperlink"/>
                <w:rFonts w:hint="eastAsia"/>
                <w:noProof/>
                <w:sz w:val="32"/>
                <w:szCs w:val="32"/>
                <w:rtl/>
              </w:rPr>
              <w:t>توضيحيّة</w:t>
            </w:r>
            <w:r w:rsidRPr="00F56737">
              <w:rPr>
                <w:rStyle w:val="Hyperlink"/>
                <w:noProof/>
                <w:sz w:val="32"/>
                <w:szCs w:val="32"/>
                <w:rtl/>
              </w:rPr>
              <w:t xml:space="preserve"> </w:t>
            </w:r>
            <w:r w:rsidRPr="00F56737">
              <w:rPr>
                <w:rStyle w:val="Hyperlink"/>
                <w:rFonts w:hint="eastAsia"/>
                <w:noProof/>
                <w:sz w:val="32"/>
                <w:szCs w:val="32"/>
                <w:rtl/>
              </w:rPr>
              <w:t>لتكوين</w:t>
            </w:r>
            <w:r w:rsidRPr="00F56737">
              <w:rPr>
                <w:rStyle w:val="Hyperlink"/>
                <w:noProof/>
                <w:sz w:val="32"/>
                <w:szCs w:val="32"/>
                <w:rtl/>
              </w:rPr>
              <w:t xml:space="preserve"> 2: 4 – 11: 26</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_Toc193030935 \h </w:instrText>
            </w:r>
            <w:r w:rsidRPr="00F56737">
              <w:rPr>
                <w:noProof/>
                <w:webHidden/>
                <w:sz w:val="32"/>
                <w:szCs w:val="32"/>
              </w:rPr>
            </w:r>
            <w:r w:rsidRPr="00F56737">
              <w:rPr>
                <w:noProof/>
                <w:webHidden/>
                <w:sz w:val="32"/>
                <w:szCs w:val="32"/>
              </w:rPr>
              <w:fldChar w:fldCharType="separate"/>
            </w:r>
            <w:r w:rsidRPr="00F56737">
              <w:rPr>
                <w:noProof/>
                <w:webHidden/>
                <w:sz w:val="32"/>
                <w:szCs w:val="32"/>
              </w:rPr>
              <w:t>69</w:t>
            </w:r>
            <w:r w:rsidRPr="00F56737">
              <w:rPr>
                <w:noProof/>
                <w:webHidden/>
                <w:sz w:val="32"/>
                <w:szCs w:val="32"/>
              </w:rPr>
              <w:fldChar w:fldCharType="end"/>
            </w:r>
          </w:hyperlink>
        </w:p>
        <w:p w14:paraId="0B421200" w14:textId="115D1C34"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36"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دخول</w:t>
            </w:r>
            <w:r w:rsidRPr="00F56737">
              <w:rPr>
                <w:rStyle w:val="Hyperlink"/>
                <w:noProof/>
                <w:sz w:val="32"/>
                <w:szCs w:val="32"/>
                <w:rtl/>
              </w:rPr>
              <w:t xml:space="preserve"> </w:t>
            </w:r>
            <w:r w:rsidRPr="00F56737">
              <w:rPr>
                <w:rStyle w:val="Hyperlink"/>
                <w:rFonts w:hint="eastAsia"/>
                <w:noProof/>
                <w:sz w:val="32"/>
                <w:szCs w:val="32"/>
                <w:rtl/>
              </w:rPr>
              <w:t>الخطية</w:t>
            </w:r>
            <w:r w:rsidRPr="00F56737">
              <w:rPr>
                <w:rStyle w:val="Hyperlink"/>
                <w:noProof/>
                <w:sz w:val="32"/>
                <w:szCs w:val="32"/>
                <w:rtl/>
              </w:rPr>
              <w:t xml:space="preserve"> </w:t>
            </w:r>
            <w:r w:rsidRPr="00F56737">
              <w:rPr>
                <w:rStyle w:val="Hyperlink"/>
                <w:rFonts w:hint="eastAsia"/>
                <w:noProof/>
                <w:sz w:val="32"/>
                <w:szCs w:val="32"/>
                <w:rtl/>
              </w:rPr>
              <w:t>وفساد</w:t>
            </w:r>
            <w:r w:rsidRPr="00F56737">
              <w:rPr>
                <w:rStyle w:val="Hyperlink"/>
                <w:noProof/>
                <w:sz w:val="32"/>
                <w:szCs w:val="32"/>
                <w:rtl/>
              </w:rPr>
              <w:t xml:space="preserve"> </w:t>
            </w:r>
            <w:r w:rsidRPr="00F56737">
              <w:rPr>
                <w:rStyle w:val="Hyperlink"/>
                <w:rFonts w:hint="eastAsia"/>
                <w:noProof/>
                <w:sz w:val="32"/>
                <w:szCs w:val="32"/>
                <w:rtl/>
              </w:rPr>
              <w:t>الجنس</w:t>
            </w:r>
            <w:r w:rsidRPr="00F56737">
              <w:rPr>
                <w:rStyle w:val="Hyperlink"/>
                <w:noProof/>
                <w:sz w:val="32"/>
                <w:szCs w:val="32"/>
                <w:rtl/>
              </w:rPr>
              <w:t xml:space="preserve"> </w:t>
            </w:r>
            <w:r w:rsidRPr="00F56737">
              <w:rPr>
                <w:rStyle w:val="Hyperlink"/>
                <w:rFonts w:hint="eastAsia"/>
                <w:noProof/>
                <w:sz w:val="32"/>
                <w:szCs w:val="32"/>
                <w:rtl/>
              </w:rPr>
              <w:t>البشري</w:t>
            </w:r>
            <w:r w:rsidRPr="00F56737">
              <w:rPr>
                <w:rStyle w:val="Hyperlink"/>
                <w:noProof/>
                <w:sz w:val="32"/>
                <w:szCs w:val="32"/>
                <w:rtl/>
              </w:rPr>
              <w:t xml:space="preserve"> (</w:t>
            </w:r>
            <w:r w:rsidRPr="00F56737">
              <w:rPr>
                <w:rStyle w:val="Hyperlink"/>
                <w:rFonts w:hint="eastAsia"/>
                <w:noProof/>
                <w:sz w:val="32"/>
                <w:szCs w:val="32"/>
                <w:rtl/>
              </w:rPr>
              <w:t>تكوين</w:t>
            </w:r>
            <w:r w:rsidRPr="00F56737">
              <w:rPr>
                <w:rStyle w:val="Hyperlink"/>
                <w:noProof/>
                <w:sz w:val="32"/>
                <w:szCs w:val="32"/>
                <w:rtl/>
              </w:rPr>
              <w:t xml:space="preserve"> 2: 4 – 11: 26)</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_Toc193030936 \h </w:instrText>
            </w:r>
            <w:r w:rsidRPr="00F56737">
              <w:rPr>
                <w:noProof/>
                <w:webHidden/>
                <w:sz w:val="32"/>
                <w:szCs w:val="32"/>
              </w:rPr>
            </w:r>
            <w:r w:rsidRPr="00F56737">
              <w:rPr>
                <w:noProof/>
                <w:webHidden/>
                <w:sz w:val="32"/>
                <w:szCs w:val="32"/>
              </w:rPr>
              <w:fldChar w:fldCharType="separate"/>
            </w:r>
            <w:r w:rsidRPr="00F56737">
              <w:rPr>
                <w:noProof/>
                <w:webHidden/>
                <w:sz w:val="32"/>
                <w:szCs w:val="32"/>
              </w:rPr>
              <w:t>69</w:t>
            </w:r>
            <w:r w:rsidRPr="00F56737">
              <w:rPr>
                <w:noProof/>
                <w:webHidden/>
                <w:sz w:val="32"/>
                <w:szCs w:val="32"/>
              </w:rPr>
              <w:fldChar w:fldCharType="end"/>
            </w:r>
          </w:hyperlink>
        </w:p>
        <w:p w14:paraId="6359D73D" w14:textId="08A7D6F2"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42"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تاريخيّة</w:t>
            </w:r>
            <w:r w:rsidRPr="00F56737">
              <w:rPr>
                <w:rStyle w:val="Hyperlink"/>
                <w:noProof/>
                <w:sz w:val="32"/>
                <w:szCs w:val="32"/>
                <w:rtl/>
              </w:rPr>
              <w:t xml:space="preserve"> </w:t>
            </w:r>
            <w:r w:rsidRPr="00F56737">
              <w:rPr>
                <w:rStyle w:val="Hyperlink"/>
                <w:rFonts w:hint="eastAsia"/>
                <w:noProof/>
                <w:sz w:val="32"/>
                <w:szCs w:val="32"/>
                <w:rtl/>
              </w:rPr>
              <w:t>قصّة</w:t>
            </w:r>
            <w:r w:rsidRPr="00F56737">
              <w:rPr>
                <w:rStyle w:val="Hyperlink"/>
                <w:noProof/>
                <w:sz w:val="32"/>
                <w:szCs w:val="32"/>
                <w:rtl/>
              </w:rPr>
              <w:t xml:space="preserve"> </w:t>
            </w:r>
            <w:r w:rsidRPr="00F56737">
              <w:rPr>
                <w:rStyle w:val="Hyperlink"/>
                <w:rFonts w:hint="eastAsia"/>
                <w:noProof/>
                <w:sz w:val="32"/>
                <w:szCs w:val="32"/>
                <w:rtl/>
              </w:rPr>
              <w:t>الطوفان</w:t>
            </w:r>
            <w:r w:rsidRPr="00F56737">
              <w:rPr>
                <w:rStyle w:val="Hyperlink"/>
                <w:noProof/>
                <w:sz w:val="32"/>
                <w:szCs w:val="32"/>
                <w:rtl/>
              </w:rPr>
              <w:t xml:space="preserve"> </w:t>
            </w:r>
            <w:r w:rsidRPr="00F56737">
              <w:rPr>
                <w:rStyle w:val="Hyperlink"/>
                <w:rFonts w:hint="eastAsia"/>
                <w:noProof/>
                <w:sz w:val="32"/>
                <w:szCs w:val="32"/>
                <w:rtl/>
              </w:rPr>
              <w:t>الكتابي</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_Toc193030942 \h </w:instrText>
            </w:r>
            <w:r w:rsidRPr="00F56737">
              <w:rPr>
                <w:noProof/>
                <w:webHidden/>
                <w:sz w:val="32"/>
                <w:szCs w:val="32"/>
              </w:rPr>
            </w:r>
            <w:r w:rsidRPr="00F56737">
              <w:rPr>
                <w:noProof/>
                <w:webHidden/>
                <w:sz w:val="32"/>
                <w:szCs w:val="32"/>
              </w:rPr>
              <w:fldChar w:fldCharType="separate"/>
            </w:r>
            <w:r w:rsidRPr="00F56737">
              <w:rPr>
                <w:noProof/>
                <w:webHidden/>
                <w:sz w:val="32"/>
                <w:szCs w:val="32"/>
              </w:rPr>
              <w:t>85</w:t>
            </w:r>
            <w:r w:rsidRPr="00F56737">
              <w:rPr>
                <w:noProof/>
                <w:webHidden/>
                <w:sz w:val="32"/>
                <w:szCs w:val="32"/>
              </w:rPr>
              <w:fldChar w:fldCharType="end"/>
            </w:r>
          </w:hyperlink>
        </w:p>
        <w:p w14:paraId="440809B3" w14:textId="361E6A54" w:rsidR="00F56737" w:rsidRPr="00F56737" w:rsidRDefault="00F56737" w:rsidP="006C2E6F">
          <w:pPr>
            <w:pStyle w:val="TOC2"/>
            <w:rPr>
              <w:rFonts w:asciiTheme="minorHAnsi" w:eastAsiaTheme="minorEastAsia" w:hAnsiTheme="minorHAnsi" w:cstheme="minorBidi"/>
            </w:rPr>
          </w:pPr>
          <w:hyperlink w:anchor="_Toc193030947" w:history="1">
            <w:r w:rsidRPr="00F56737">
              <w:rPr>
                <w:rStyle w:val="Hyperlink"/>
                <w:rFonts w:hint="eastAsia"/>
                <w:rtl/>
              </w:rPr>
              <w:t>الوحدة</w:t>
            </w:r>
            <w:r w:rsidRPr="00F56737">
              <w:rPr>
                <w:rStyle w:val="Hyperlink"/>
                <w:rtl/>
              </w:rPr>
              <w:t xml:space="preserve"> 2: </w:t>
            </w:r>
            <w:r w:rsidRPr="00F56737">
              <w:rPr>
                <w:rStyle w:val="Hyperlink"/>
                <w:rFonts w:hint="eastAsia"/>
                <w:rtl/>
              </w:rPr>
              <w:t>أساس</w:t>
            </w:r>
            <w:r w:rsidRPr="00F56737">
              <w:rPr>
                <w:rStyle w:val="Hyperlink"/>
                <w:rtl/>
              </w:rPr>
              <w:t xml:space="preserve"> </w:t>
            </w:r>
            <w:r w:rsidRPr="00F56737">
              <w:rPr>
                <w:rStyle w:val="Hyperlink"/>
                <w:rFonts w:hint="eastAsia"/>
                <w:rtl/>
              </w:rPr>
              <w:t>إسرائيل</w:t>
            </w:r>
            <w:r w:rsidRPr="00F56737">
              <w:rPr>
                <w:rStyle w:val="Hyperlink"/>
                <w:rtl/>
              </w:rPr>
              <w:t xml:space="preserve"> </w:t>
            </w:r>
            <w:r w:rsidRPr="00F56737">
              <w:rPr>
                <w:rStyle w:val="Hyperlink"/>
                <w:rFonts w:hint="eastAsia"/>
                <w:rtl/>
              </w:rPr>
              <w:t>في</w:t>
            </w:r>
            <w:r w:rsidRPr="00F56737">
              <w:rPr>
                <w:rStyle w:val="Hyperlink"/>
                <w:rtl/>
              </w:rPr>
              <w:t xml:space="preserve"> </w:t>
            </w:r>
            <w:r w:rsidRPr="00F56737">
              <w:rPr>
                <w:rStyle w:val="Hyperlink"/>
                <w:rFonts w:hint="eastAsia"/>
                <w:rtl/>
              </w:rPr>
              <w:t>العهد</w:t>
            </w:r>
            <w:r w:rsidRPr="00F56737">
              <w:rPr>
                <w:rStyle w:val="Hyperlink"/>
                <w:rtl/>
              </w:rPr>
              <w:t xml:space="preserve"> </w:t>
            </w:r>
            <w:r w:rsidRPr="00F56737">
              <w:rPr>
                <w:rStyle w:val="Hyperlink"/>
                <w:rFonts w:hint="eastAsia"/>
                <w:rtl/>
              </w:rPr>
              <w:t>والشريعة</w:t>
            </w:r>
            <w:r w:rsidRPr="00F56737">
              <w:rPr>
                <w:webHidden/>
              </w:rPr>
              <w:tab/>
            </w:r>
            <w:r w:rsidRPr="00F56737">
              <w:rPr>
                <w:webHidden/>
              </w:rPr>
              <w:fldChar w:fldCharType="begin"/>
            </w:r>
            <w:r w:rsidRPr="00F56737">
              <w:rPr>
                <w:webHidden/>
              </w:rPr>
              <w:instrText xml:space="preserve"> PAGEREF _Toc193030947 \h </w:instrText>
            </w:r>
            <w:r w:rsidRPr="00F56737">
              <w:rPr>
                <w:webHidden/>
              </w:rPr>
            </w:r>
            <w:r w:rsidRPr="00F56737">
              <w:rPr>
                <w:webHidden/>
              </w:rPr>
              <w:fldChar w:fldCharType="separate"/>
            </w:r>
            <w:r w:rsidRPr="00F56737">
              <w:rPr>
                <w:webHidden/>
              </w:rPr>
              <w:t>89</w:t>
            </w:r>
            <w:r w:rsidRPr="00F56737">
              <w:rPr>
                <w:webHidden/>
              </w:rPr>
              <w:fldChar w:fldCharType="end"/>
            </w:r>
          </w:hyperlink>
        </w:p>
        <w:p w14:paraId="7D29FA18" w14:textId="36AB915D" w:rsidR="00F56737" w:rsidRPr="006C2E6F" w:rsidRDefault="00F56737" w:rsidP="006C2E6F">
          <w:pPr>
            <w:pStyle w:val="TOC2"/>
            <w:rPr>
              <w:rFonts w:asciiTheme="minorHAnsi" w:eastAsiaTheme="minorEastAsia" w:hAnsiTheme="minorHAnsi" w:cstheme="minorBidi"/>
            </w:rPr>
          </w:pPr>
          <w:hyperlink w:anchor="_Toc193030951" w:history="1">
            <w:r w:rsidRPr="006C2E6F">
              <w:rPr>
                <w:rStyle w:val="Hyperlink"/>
                <w:rFonts w:hint="eastAsia"/>
                <w:rtl/>
              </w:rPr>
              <w:t>الدرس</w:t>
            </w:r>
            <w:r w:rsidRPr="006C2E6F">
              <w:rPr>
                <w:rStyle w:val="Hyperlink"/>
                <w:rtl/>
              </w:rPr>
              <w:t xml:space="preserve"> 4: </w:t>
            </w:r>
            <w:r w:rsidRPr="006C2E6F">
              <w:rPr>
                <w:rStyle w:val="Hyperlink"/>
                <w:rFonts w:hint="eastAsia"/>
                <w:rtl/>
              </w:rPr>
              <w:t>عهد</w:t>
            </w:r>
            <w:r w:rsidRPr="006C2E6F">
              <w:rPr>
                <w:rStyle w:val="Hyperlink"/>
                <w:rtl/>
              </w:rPr>
              <w:t xml:space="preserve"> </w:t>
            </w:r>
            <w:r w:rsidRPr="006C2E6F">
              <w:rPr>
                <w:rStyle w:val="Hyperlink"/>
                <w:rFonts w:hint="eastAsia"/>
                <w:rtl/>
              </w:rPr>
              <w:t>الله</w:t>
            </w:r>
            <w:r w:rsidRPr="006C2E6F">
              <w:rPr>
                <w:rStyle w:val="Hyperlink"/>
                <w:rtl/>
              </w:rPr>
              <w:t xml:space="preserve"> </w:t>
            </w:r>
            <w:r w:rsidRPr="006C2E6F">
              <w:rPr>
                <w:rStyle w:val="Hyperlink"/>
                <w:rFonts w:hint="eastAsia"/>
                <w:rtl/>
              </w:rPr>
              <w:t>مع</w:t>
            </w:r>
            <w:r w:rsidRPr="006C2E6F">
              <w:rPr>
                <w:rStyle w:val="Hyperlink"/>
                <w:rtl/>
              </w:rPr>
              <w:t xml:space="preserve"> </w:t>
            </w:r>
            <w:r w:rsidRPr="006C2E6F">
              <w:rPr>
                <w:rStyle w:val="Hyperlink"/>
                <w:rFonts w:hint="eastAsia"/>
                <w:rtl/>
              </w:rPr>
              <w:t>إبراهيم</w:t>
            </w:r>
            <w:r w:rsidRPr="006C2E6F">
              <w:rPr>
                <w:rStyle w:val="Hyperlink"/>
                <w:rtl/>
              </w:rPr>
              <w:t xml:space="preserve"> </w:t>
            </w:r>
            <w:r w:rsidRPr="006C2E6F">
              <w:rPr>
                <w:rStyle w:val="Hyperlink"/>
                <w:rFonts w:hint="eastAsia"/>
                <w:rtl/>
              </w:rPr>
              <w:t>وصراعات</w:t>
            </w:r>
            <w:r w:rsidRPr="006C2E6F">
              <w:rPr>
                <w:rStyle w:val="Hyperlink"/>
                <w:rtl/>
              </w:rPr>
              <w:t xml:space="preserve"> </w:t>
            </w:r>
            <w:r w:rsidRPr="006C2E6F">
              <w:rPr>
                <w:rStyle w:val="Hyperlink"/>
                <w:rFonts w:hint="eastAsia"/>
                <w:rtl/>
              </w:rPr>
              <w:t>الآباء</w:t>
            </w:r>
            <w:r w:rsidRPr="006C2E6F">
              <w:rPr>
                <w:webHidden/>
              </w:rPr>
              <w:tab/>
            </w:r>
            <w:r w:rsidRPr="006C2E6F">
              <w:rPr>
                <w:webHidden/>
              </w:rPr>
              <w:fldChar w:fldCharType="begin"/>
            </w:r>
            <w:r w:rsidRPr="006C2E6F">
              <w:rPr>
                <w:webHidden/>
              </w:rPr>
              <w:instrText xml:space="preserve"> PAGEREF _Toc193030951 \h </w:instrText>
            </w:r>
            <w:r w:rsidRPr="006C2E6F">
              <w:rPr>
                <w:webHidden/>
              </w:rPr>
            </w:r>
            <w:r w:rsidRPr="006C2E6F">
              <w:rPr>
                <w:webHidden/>
              </w:rPr>
              <w:fldChar w:fldCharType="separate"/>
            </w:r>
            <w:r w:rsidRPr="006C2E6F">
              <w:rPr>
                <w:webHidden/>
              </w:rPr>
              <w:t>91</w:t>
            </w:r>
            <w:r w:rsidRPr="006C2E6F">
              <w:rPr>
                <w:webHidden/>
              </w:rPr>
              <w:fldChar w:fldCharType="end"/>
            </w:r>
          </w:hyperlink>
        </w:p>
        <w:p w14:paraId="456FCEEC" w14:textId="1A9251F8" w:rsidR="00F56737" w:rsidRPr="00F56737" w:rsidRDefault="00F56737" w:rsidP="00F56737">
          <w:pPr>
            <w:pStyle w:val="TOC3"/>
            <w:tabs>
              <w:tab w:val="left" w:pos="2350"/>
              <w:tab w:val="right" w:leader="dot" w:pos="9350"/>
            </w:tabs>
            <w:spacing w:before="0"/>
            <w:rPr>
              <w:rFonts w:asciiTheme="minorHAnsi" w:eastAsiaTheme="minorEastAsia" w:hAnsiTheme="minorHAnsi" w:cstheme="minorBidi"/>
              <w:noProof/>
              <w:sz w:val="32"/>
              <w:szCs w:val="32"/>
            </w:rPr>
          </w:pPr>
          <w:hyperlink w:anchor="_Toc193030956"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إعطاء</w:t>
            </w:r>
            <w:r w:rsidRPr="00F56737">
              <w:rPr>
                <w:rStyle w:val="Hyperlink"/>
                <w:noProof/>
                <w:sz w:val="32"/>
                <w:szCs w:val="32"/>
                <w:rtl/>
              </w:rPr>
              <w:t xml:space="preserve"> </w:t>
            </w:r>
            <w:r w:rsidRPr="00F56737">
              <w:rPr>
                <w:rStyle w:val="Hyperlink"/>
                <w:rFonts w:hint="eastAsia"/>
                <w:noProof/>
                <w:sz w:val="32"/>
                <w:szCs w:val="32"/>
                <w:rtl/>
              </w:rPr>
              <w:t>توجيهات</w:t>
            </w:r>
            <w:r w:rsidRPr="00F56737">
              <w:rPr>
                <w:rStyle w:val="Hyperlink"/>
                <w:noProof/>
                <w:sz w:val="32"/>
                <w:szCs w:val="32"/>
                <w:rtl/>
              </w:rPr>
              <w:t xml:space="preserve"> </w:t>
            </w:r>
            <w:r w:rsidRPr="00F56737">
              <w:rPr>
                <w:rStyle w:val="Hyperlink"/>
                <w:rFonts w:hint="eastAsia"/>
                <w:noProof/>
                <w:sz w:val="32"/>
                <w:szCs w:val="32"/>
                <w:rtl/>
              </w:rPr>
              <w:t>للآباء</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_Toc193030956 \h </w:instrText>
            </w:r>
            <w:r w:rsidRPr="00F56737">
              <w:rPr>
                <w:noProof/>
                <w:webHidden/>
                <w:sz w:val="32"/>
                <w:szCs w:val="32"/>
              </w:rPr>
            </w:r>
            <w:r w:rsidRPr="00F56737">
              <w:rPr>
                <w:noProof/>
                <w:webHidden/>
                <w:sz w:val="32"/>
                <w:szCs w:val="32"/>
              </w:rPr>
              <w:fldChar w:fldCharType="separate"/>
            </w:r>
            <w:r w:rsidRPr="00F56737">
              <w:rPr>
                <w:noProof/>
                <w:webHidden/>
                <w:sz w:val="32"/>
                <w:szCs w:val="32"/>
              </w:rPr>
              <w:t>93</w:t>
            </w:r>
            <w:r w:rsidRPr="00F56737">
              <w:rPr>
                <w:noProof/>
                <w:webHidden/>
                <w:sz w:val="32"/>
                <w:szCs w:val="32"/>
              </w:rPr>
              <w:fldChar w:fldCharType="end"/>
            </w:r>
          </w:hyperlink>
        </w:p>
        <w:p w14:paraId="66000E73" w14:textId="70111412"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58"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العهد</w:t>
            </w:r>
            <w:r w:rsidRPr="00F56737">
              <w:rPr>
                <w:rStyle w:val="Hyperlink"/>
                <w:noProof/>
                <w:sz w:val="32"/>
                <w:szCs w:val="32"/>
                <w:rtl/>
              </w:rPr>
              <w:t xml:space="preserve"> </w:t>
            </w:r>
            <w:r w:rsidRPr="00F56737">
              <w:rPr>
                <w:rStyle w:val="Hyperlink"/>
                <w:rFonts w:hint="eastAsia"/>
                <w:noProof/>
                <w:sz w:val="32"/>
                <w:szCs w:val="32"/>
                <w:rtl/>
              </w:rPr>
              <w:t>مع</w:t>
            </w:r>
            <w:r w:rsidRPr="00F56737">
              <w:rPr>
                <w:rStyle w:val="Hyperlink"/>
                <w:noProof/>
                <w:sz w:val="32"/>
                <w:szCs w:val="32"/>
                <w:rtl/>
              </w:rPr>
              <w:t xml:space="preserve"> </w:t>
            </w:r>
            <w:r w:rsidRPr="00F56737">
              <w:rPr>
                <w:rStyle w:val="Hyperlink"/>
                <w:rFonts w:hint="eastAsia"/>
                <w:noProof/>
                <w:sz w:val="32"/>
                <w:szCs w:val="32"/>
                <w:rtl/>
              </w:rPr>
              <w:t>إبراهيم</w:t>
            </w:r>
            <w:r w:rsidRPr="00F56737">
              <w:rPr>
                <w:rStyle w:val="Hyperlink"/>
                <w:noProof/>
                <w:sz w:val="32"/>
                <w:szCs w:val="32"/>
                <w:rtl/>
              </w:rPr>
              <w:t xml:space="preserve"> (</w:t>
            </w:r>
            <w:r w:rsidRPr="00F56737">
              <w:rPr>
                <w:rStyle w:val="Hyperlink"/>
                <w:rFonts w:hint="eastAsia"/>
                <w:noProof/>
                <w:sz w:val="32"/>
                <w:szCs w:val="32"/>
                <w:rtl/>
              </w:rPr>
              <w:t>تكوين</w:t>
            </w:r>
            <w:r w:rsidRPr="00F56737">
              <w:rPr>
                <w:rStyle w:val="Hyperlink"/>
                <w:noProof/>
                <w:sz w:val="32"/>
                <w:szCs w:val="32"/>
                <w:rtl/>
              </w:rPr>
              <w:t xml:space="preserve"> 11: 27 – 25: 11)</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_Toc193030958 \h </w:instrText>
            </w:r>
            <w:r w:rsidRPr="00F56737">
              <w:rPr>
                <w:noProof/>
                <w:webHidden/>
                <w:sz w:val="32"/>
                <w:szCs w:val="32"/>
              </w:rPr>
            </w:r>
            <w:r w:rsidRPr="00F56737">
              <w:rPr>
                <w:noProof/>
                <w:webHidden/>
                <w:sz w:val="32"/>
                <w:szCs w:val="32"/>
              </w:rPr>
              <w:fldChar w:fldCharType="separate"/>
            </w:r>
            <w:r w:rsidRPr="00F56737">
              <w:rPr>
                <w:noProof/>
                <w:webHidden/>
                <w:sz w:val="32"/>
                <w:szCs w:val="32"/>
              </w:rPr>
              <w:t>97</w:t>
            </w:r>
            <w:r w:rsidRPr="00F56737">
              <w:rPr>
                <w:noProof/>
                <w:webHidden/>
                <w:sz w:val="32"/>
                <w:szCs w:val="32"/>
              </w:rPr>
              <w:fldChar w:fldCharType="end"/>
            </w:r>
          </w:hyperlink>
        </w:p>
        <w:p w14:paraId="3A537EAA" w14:textId="138A219D"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63"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قصتا</w:t>
            </w:r>
            <w:r w:rsidRPr="00F56737">
              <w:rPr>
                <w:rStyle w:val="Hyperlink"/>
                <w:noProof/>
                <w:sz w:val="32"/>
                <w:szCs w:val="32"/>
                <w:rtl/>
              </w:rPr>
              <w:t xml:space="preserve"> </w:t>
            </w:r>
            <w:r w:rsidRPr="00F56737">
              <w:rPr>
                <w:rStyle w:val="Hyperlink"/>
                <w:rFonts w:hint="eastAsia"/>
                <w:noProof/>
                <w:sz w:val="32"/>
                <w:szCs w:val="32"/>
                <w:rtl/>
              </w:rPr>
              <w:t>يعقوب</w:t>
            </w:r>
            <w:r w:rsidRPr="00F56737">
              <w:rPr>
                <w:rStyle w:val="Hyperlink"/>
                <w:noProof/>
                <w:sz w:val="32"/>
                <w:szCs w:val="32"/>
                <w:rtl/>
              </w:rPr>
              <w:t xml:space="preserve"> </w:t>
            </w:r>
            <w:r w:rsidRPr="00F56737">
              <w:rPr>
                <w:rStyle w:val="Hyperlink"/>
                <w:rFonts w:hint="eastAsia"/>
                <w:noProof/>
                <w:sz w:val="32"/>
                <w:szCs w:val="32"/>
                <w:rtl/>
              </w:rPr>
              <w:t>ويوسف</w:t>
            </w:r>
            <w:r w:rsidRPr="00F56737">
              <w:rPr>
                <w:rStyle w:val="Hyperlink"/>
                <w:noProof/>
                <w:sz w:val="32"/>
                <w:szCs w:val="32"/>
                <w:rtl/>
              </w:rPr>
              <w:t xml:space="preserve"> (</w:t>
            </w:r>
            <w:r w:rsidRPr="00F56737">
              <w:rPr>
                <w:rStyle w:val="Hyperlink"/>
                <w:rFonts w:hint="eastAsia"/>
                <w:noProof/>
                <w:sz w:val="32"/>
                <w:szCs w:val="32"/>
                <w:rtl/>
              </w:rPr>
              <w:t>تكوين</w:t>
            </w:r>
            <w:r w:rsidRPr="00F56737">
              <w:rPr>
                <w:rStyle w:val="Hyperlink"/>
                <w:noProof/>
                <w:sz w:val="32"/>
                <w:szCs w:val="32"/>
                <w:rtl/>
              </w:rPr>
              <w:t xml:space="preserve"> 25: 12 – 50: 26)</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_Toc193030963 \h </w:instrText>
            </w:r>
            <w:r w:rsidRPr="00F56737">
              <w:rPr>
                <w:noProof/>
                <w:webHidden/>
                <w:sz w:val="32"/>
                <w:szCs w:val="32"/>
              </w:rPr>
            </w:r>
            <w:r w:rsidRPr="00F56737">
              <w:rPr>
                <w:noProof/>
                <w:webHidden/>
                <w:sz w:val="32"/>
                <w:szCs w:val="32"/>
              </w:rPr>
              <w:fldChar w:fldCharType="separate"/>
            </w:r>
            <w:r w:rsidRPr="00F56737">
              <w:rPr>
                <w:noProof/>
                <w:webHidden/>
                <w:sz w:val="32"/>
                <w:szCs w:val="32"/>
              </w:rPr>
              <w:t>110</w:t>
            </w:r>
            <w:r w:rsidRPr="00F56737">
              <w:rPr>
                <w:noProof/>
                <w:webHidden/>
                <w:sz w:val="32"/>
                <w:szCs w:val="32"/>
              </w:rPr>
              <w:fldChar w:fldCharType="end"/>
            </w:r>
          </w:hyperlink>
        </w:p>
        <w:p w14:paraId="4FC8F49C" w14:textId="41F1826F" w:rsidR="00F56737" w:rsidRPr="00F56737" w:rsidRDefault="00F56737" w:rsidP="006C2E6F">
          <w:pPr>
            <w:pStyle w:val="TOC2"/>
            <w:rPr>
              <w:rFonts w:asciiTheme="minorHAnsi" w:eastAsiaTheme="minorEastAsia" w:hAnsiTheme="minorHAnsi" w:cstheme="minorBidi"/>
            </w:rPr>
          </w:pPr>
          <w:hyperlink w:anchor="_Toc193030966" w:history="1">
            <w:r w:rsidRPr="00F56737">
              <w:rPr>
                <w:rStyle w:val="Hyperlink"/>
                <w:rFonts w:hint="eastAsia"/>
                <w:rtl/>
              </w:rPr>
              <w:t>الدرس</w:t>
            </w:r>
            <w:r w:rsidRPr="00F56737">
              <w:rPr>
                <w:rStyle w:val="Hyperlink"/>
                <w:rtl/>
              </w:rPr>
              <w:t xml:space="preserve"> 5: </w:t>
            </w:r>
            <w:r w:rsidRPr="00F56737">
              <w:rPr>
                <w:rStyle w:val="Hyperlink"/>
                <w:rFonts w:hint="eastAsia"/>
                <w:rtl/>
              </w:rPr>
              <w:t>تحرير</w:t>
            </w:r>
            <w:r w:rsidRPr="00F56737">
              <w:rPr>
                <w:rStyle w:val="Hyperlink"/>
                <w:rtl/>
              </w:rPr>
              <w:t xml:space="preserve"> </w:t>
            </w:r>
            <w:r w:rsidRPr="00F56737">
              <w:rPr>
                <w:rStyle w:val="Hyperlink"/>
                <w:rFonts w:hint="eastAsia"/>
                <w:rtl/>
              </w:rPr>
              <w:t>إسرائيل</w:t>
            </w:r>
            <w:r w:rsidRPr="00F56737">
              <w:rPr>
                <w:rStyle w:val="Hyperlink"/>
                <w:rtl/>
              </w:rPr>
              <w:t xml:space="preserve"> </w:t>
            </w:r>
            <w:r w:rsidRPr="00F56737">
              <w:rPr>
                <w:rStyle w:val="Hyperlink"/>
                <w:rFonts w:hint="eastAsia"/>
                <w:rtl/>
              </w:rPr>
              <w:t>من</w:t>
            </w:r>
            <w:r w:rsidRPr="00F56737">
              <w:rPr>
                <w:rStyle w:val="Hyperlink"/>
                <w:rtl/>
              </w:rPr>
              <w:t xml:space="preserve"> </w:t>
            </w:r>
            <w:r w:rsidRPr="00F56737">
              <w:rPr>
                <w:rStyle w:val="Hyperlink"/>
                <w:rFonts w:hint="eastAsia"/>
                <w:rtl/>
              </w:rPr>
              <w:t>مصر</w:t>
            </w:r>
            <w:r w:rsidRPr="00F56737">
              <w:rPr>
                <w:webHidden/>
              </w:rPr>
              <w:tab/>
            </w:r>
            <w:r w:rsidRPr="00F56737">
              <w:rPr>
                <w:webHidden/>
              </w:rPr>
              <w:fldChar w:fldCharType="begin"/>
            </w:r>
            <w:r w:rsidRPr="00F56737">
              <w:rPr>
                <w:webHidden/>
              </w:rPr>
              <w:instrText xml:space="preserve"> PAGEREF _Toc193030966 \h </w:instrText>
            </w:r>
            <w:r w:rsidRPr="00F56737">
              <w:rPr>
                <w:webHidden/>
              </w:rPr>
            </w:r>
            <w:r w:rsidRPr="00F56737">
              <w:rPr>
                <w:webHidden/>
              </w:rPr>
              <w:fldChar w:fldCharType="separate"/>
            </w:r>
            <w:r w:rsidRPr="00F56737">
              <w:rPr>
                <w:webHidden/>
              </w:rPr>
              <w:t>121</w:t>
            </w:r>
            <w:r w:rsidRPr="00F56737">
              <w:rPr>
                <w:webHidden/>
              </w:rPr>
              <w:fldChar w:fldCharType="end"/>
            </w:r>
          </w:hyperlink>
        </w:p>
        <w:p w14:paraId="53BB076D" w14:textId="2F304677"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71"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نظرة</w:t>
            </w:r>
            <w:r w:rsidRPr="00F56737">
              <w:rPr>
                <w:rStyle w:val="Hyperlink"/>
                <w:noProof/>
                <w:sz w:val="32"/>
                <w:szCs w:val="32"/>
                <w:rtl/>
              </w:rPr>
              <w:t xml:space="preserve"> </w:t>
            </w:r>
            <w:r w:rsidRPr="00F56737">
              <w:rPr>
                <w:rStyle w:val="Hyperlink"/>
                <w:rFonts w:hint="eastAsia"/>
                <w:noProof/>
                <w:sz w:val="32"/>
                <w:szCs w:val="32"/>
                <w:rtl/>
              </w:rPr>
              <w:t>عامّة</w:t>
            </w:r>
            <w:r w:rsidRPr="00F56737">
              <w:rPr>
                <w:rStyle w:val="Hyperlink"/>
                <w:noProof/>
                <w:sz w:val="32"/>
                <w:szCs w:val="32"/>
                <w:rtl/>
              </w:rPr>
              <w:t xml:space="preserve"> </w:t>
            </w:r>
            <w:r w:rsidRPr="00F56737">
              <w:rPr>
                <w:rStyle w:val="Hyperlink"/>
                <w:rFonts w:hint="eastAsia"/>
                <w:noProof/>
                <w:sz w:val="32"/>
                <w:szCs w:val="32"/>
                <w:rtl/>
              </w:rPr>
              <w:t>إلى</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الخروج</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_Toc193030971 \h </w:instrText>
            </w:r>
            <w:r w:rsidRPr="00F56737">
              <w:rPr>
                <w:noProof/>
                <w:webHidden/>
                <w:sz w:val="32"/>
                <w:szCs w:val="32"/>
              </w:rPr>
            </w:r>
            <w:r w:rsidRPr="00F56737">
              <w:rPr>
                <w:noProof/>
                <w:webHidden/>
                <w:sz w:val="32"/>
                <w:szCs w:val="32"/>
              </w:rPr>
              <w:fldChar w:fldCharType="separate"/>
            </w:r>
            <w:r w:rsidRPr="00F56737">
              <w:rPr>
                <w:noProof/>
                <w:webHidden/>
                <w:sz w:val="32"/>
                <w:szCs w:val="32"/>
              </w:rPr>
              <w:t>123</w:t>
            </w:r>
            <w:r w:rsidRPr="00F56737">
              <w:rPr>
                <w:noProof/>
                <w:webHidden/>
                <w:sz w:val="32"/>
                <w:szCs w:val="32"/>
              </w:rPr>
              <w:fldChar w:fldCharType="end"/>
            </w:r>
          </w:hyperlink>
        </w:p>
        <w:p w14:paraId="36E30D25" w14:textId="5F8F08B4"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75"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عبوديّة</w:t>
            </w:r>
            <w:r w:rsidRPr="00F56737">
              <w:rPr>
                <w:rStyle w:val="Hyperlink"/>
                <w:noProof/>
                <w:sz w:val="32"/>
                <w:szCs w:val="32"/>
                <w:rtl/>
              </w:rPr>
              <w:t xml:space="preserve"> </w:t>
            </w:r>
            <w:r w:rsidRPr="00F56737">
              <w:rPr>
                <w:rStyle w:val="Hyperlink"/>
                <w:rFonts w:hint="eastAsia"/>
                <w:noProof/>
                <w:sz w:val="32"/>
                <w:szCs w:val="32"/>
                <w:rtl/>
              </w:rPr>
              <w:t>الشعب</w:t>
            </w:r>
            <w:r w:rsidRPr="00F56737">
              <w:rPr>
                <w:rStyle w:val="Hyperlink"/>
                <w:noProof/>
                <w:sz w:val="32"/>
                <w:szCs w:val="32"/>
                <w:rtl/>
              </w:rPr>
              <w:t xml:space="preserve"> </w:t>
            </w:r>
            <w:r w:rsidRPr="00F56737">
              <w:rPr>
                <w:rStyle w:val="Hyperlink"/>
                <w:rFonts w:hint="eastAsia"/>
                <w:noProof/>
                <w:sz w:val="32"/>
                <w:szCs w:val="32"/>
                <w:rtl/>
              </w:rPr>
              <w:t>في</w:t>
            </w:r>
            <w:r w:rsidRPr="00F56737">
              <w:rPr>
                <w:rStyle w:val="Hyperlink"/>
                <w:noProof/>
                <w:sz w:val="32"/>
                <w:szCs w:val="32"/>
                <w:rtl/>
              </w:rPr>
              <w:t xml:space="preserve"> </w:t>
            </w:r>
            <w:r w:rsidRPr="00F56737">
              <w:rPr>
                <w:rStyle w:val="Hyperlink"/>
                <w:rFonts w:hint="eastAsia"/>
                <w:noProof/>
                <w:sz w:val="32"/>
                <w:szCs w:val="32"/>
                <w:rtl/>
              </w:rPr>
              <w:t>مصر</w:t>
            </w:r>
            <w:r w:rsidRPr="00F56737">
              <w:rPr>
                <w:rStyle w:val="Hyperlink"/>
                <w:noProof/>
                <w:sz w:val="32"/>
                <w:szCs w:val="32"/>
                <w:rtl/>
              </w:rPr>
              <w:t xml:space="preserve"> (</w:t>
            </w:r>
            <w:r w:rsidRPr="00F56737">
              <w:rPr>
                <w:rStyle w:val="Hyperlink"/>
                <w:rFonts w:hint="eastAsia"/>
                <w:noProof/>
                <w:sz w:val="32"/>
                <w:szCs w:val="32"/>
                <w:rtl/>
              </w:rPr>
              <w:t>خروج</w:t>
            </w:r>
            <w:r w:rsidRPr="00F56737">
              <w:rPr>
                <w:rStyle w:val="Hyperlink"/>
                <w:noProof/>
                <w:sz w:val="32"/>
                <w:szCs w:val="32"/>
                <w:rtl/>
              </w:rPr>
              <w:t xml:space="preserve"> 1-11)</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_Toc193030975 \h </w:instrText>
            </w:r>
            <w:r w:rsidRPr="00F56737">
              <w:rPr>
                <w:noProof/>
                <w:webHidden/>
                <w:sz w:val="32"/>
                <w:szCs w:val="32"/>
              </w:rPr>
            </w:r>
            <w:r w:rsidRPr="00F56737">
              <w:rPr>
                <w:noProof/>
                <w:webHidden/>
                <w:sz w:val="32"/>
                <w:szCs w:val="32"/>
              </w:rPr>
              <w:fldChar w:fldCharType="separate"/>
            </w:r>
            <w:r w:rsidRPr="00F56737">
              <w:rPr>
                <w:noProof/>
                <w:webHidden/>
                <w:sz w:val="32"/>
                <w:szCs w:val="32"/>
              </w:rPr>
              <w:t>126</w:t>
            </w:r>
            <w:r w:rsidRPr="00F56737">
              <w:rPr>
                <w:noProof/>
                <w:webHidden/>
                <w:sz w:val="32"/>
                <w:szCs w:val="32"/>
              </w:rPr>
              <w:fldChar w:fldCharType="end"/>
            </w:r>
          </w:hyperlink>
        </w:p>
        <w:p w14:paraId="1C4E27FC" w14:textId="6DEBA077"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79"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الافتداء</w:t>
            </w:r>
            <w:r w:rsidRPr="00F56737">
              <w:rPr>
                <w:rStyle w:val="Hyperlink"/>
                <w:noProof/>
                <w:sz w:val="32"/>
                <w:szCs w:val="32"/>
                <w:rtl/>
              </w:rPr>
              <w:t xml:space="preserve"> </w:t>
            </w:r>
            <w:r w:rsidRPr="00F56737">
              <w:rPr>
                <w:rStyle w:val="Hyperlink"/>
                <w:rFonts w:hint="eastAsia"/>
                <w:noProof/>
                <w:sz w:val="32"/>
                <w:szCs w:val="32"/>
                <w:rtl/>
              </w:rPr>
              <w:t>من</w:t>
            </w:r>
            <w:r w:rsidRPr="00F56737">
              <w:rPr>
                <w:rStyle w:val="Hyperlink"/>
                <w:noProof/>
                <w:sz w:val="32"/>
                <w:szCs w:val="32"/>
                <w:rtl/>
              </w:rPr>
              <w:t xml:space="preserve"> </w:t>
            </w:r>
            <w:r w:rsidRPr="00F56737">
              <w:rPr>
                <w:rStyle w:val="Hyperlink"/>
                <w:rFonts w:hint="eastAsia"/>
                <w:noProof/>
                <w:sz w:val="32"/>
                <w:szCs w:val="32"/>
                <w:rtl/>
              </w:rPr>
              <w:t>العبودية</w:t>
            </w:r>
            <w:r w:rsidRPr="00F56737">
              <w:rPr>
                <w:rStyle w:val="Hyperlink"/>
                <w:noProof/>
                <w:sz w:val="32"/>
                <w:szCs w:val="32"/>
                <w:rtl/>
              </w:rPr>
              <w:t xml:space="preserve"> (</w:t>
            </w:r>
            <w:r w:rsidRPr="00F56737">
              <w:rPr>
                <w:rStyle w:val="Hyperlink"/>
                <w:rFonts w:hint="eastAsia"/>
                <w:noProof/>
                <w:sz w:val="32"/>
                <w:szCs w:val="32"/>
                <w:rtl/>
              </w:rPr>
              <w:t>خروج</w:t>
            </w:r>
            <w:r w:rsidRPr="00F56737">
              <w:rPr>
                <w:rStyle w:val="Hyperlink"/>
                <w:noProof/>
                <w:sz w:val="32"/>
                <w:szCs w:val="32"/>
                <w:rtl/>
              </w:rPr>
              <w:t xml:space="preserve"> 12: 1 – 18: 27)</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_Toc193030979 \h </w:instrText>
            </w:r>
            <w:r w:rsidRPr="00F56737">
              <w:rPr>
                <w:noProof/>
                <w:webHidden/>
                <w:sz w:val="32"/>
                <w:szCs w:val="32"/>
              </w:rPr>
            </w:r>
            <w:r w:rsidRPr="00F56737">
              <w:rPr>
                <w:noProof/>
                <w:webHidden/>
                <w:sz w:val="32"/>
                <w:szCs w:val="32"/>
              </w:rPr>
              <w:fldChar w:fldCharType="separate"/>
            </w:r>
            <w:r w:rsidRPr="00F56737">
              <w:rPr>
                <w:noProof/>
                <w:webHidden/>
                <w:sz w:val="32"/>
                <w:szCs w:val="32"/>
              </w:rPr>
              <w:t>139</w:t>
            </w:r>
            <w:r w:rsidRPr="00F56737">
              <w:rPr>
                <w:noProof/>
                <w:webHidden/>
                <w:sz w:val="32"/>
                <w:szCs w:val="32"/>
              </w:rPr>
              <w:fldChar w:fldCharType="end"/>
            </w:r>
          </w:hyperlink>
        </w:p>
        <w:p w14:paraId="07390809" w14:textId="74DA63DB" w:rsidR="00F56737" w:rsidRPr="00F56737" w:rsidRDefault="00F56737" w:rsidP="00F56737">
          <w:pPr>
            <w:pStyle w:val="TOC3"/>
            <w:tabs>
              <w:tab w:val="left" w:pos="4142"/>
              <w:tab w:val="right" w:leader="dot" w:pos="9350"/>
            </w:tabs>
            <w:spacing w:before="0"/>
            <w:rPr>
              <w:rFonts w:asciiTheme="minorHAnsi" w:eastAsiaTheme="minorEastAsia" w:hAnsiTheme="minorHAnsi" w:cstheme="minorBidi"/>
              <w:noProof/>
              <w:sz w:val="32"/>
              <w:szCs w:val="32"/>
            </w:rPr>
          </w:pPr>
        </w:p>
        <w:p w14:paraId="31F5F472" w14:textId="4D23D9BE" w:rsidR="00F56737" w:rsidRPr="00F56737" w:rsidRDefault="00F56737" w:rsidP="006C2E6F">
          <w:pPr>
            <w:pStyle w:val="TOC2"/>
            <w:rPr>
              <w:rFonts w:asciiTheme="minorHAnsi" w:eastAsiaTheme="minorEastAsia" w:hAnsiTheme="minorHAnsi" w:cstheme="minorBidi"/>
            </w:rPr>
          </w:pPr>
          <w:hyperlink w:anchor="_Toc193030985" w:history="1">
            <w:r w:rsidRPr="00F56737">
              <w:rPr>
                <w:rStyle w:val="Hyperlink"/>
                <w:rFonts w:hint="eastAsia"/>
                <w:rtl/>
              </w:rPr>
              <w:t>الدرس</w:t>
            </w:r>
            <w:r w:rsidRPr="00F56737">
              <w:rPr>
                <w:rStyle w:val="Hyperlink"/>
                <w:rtl/>
              </w:rPr>
              <w:t xml:space="preserve"> 6: </w:t>
            </w:r>
            <w:r w:rsidRPr="00F56737">
              <w:rPr>
                <w:rStyle w:val="Hyperlink"/>
                <w:rFonts w:hint="eastAsia"/>
                <w:rtl/>
              </w:rPr>
              <w:t>إعطاء</w:t>
            </w:r>
            <w:r w:rsidRPr="00F56737">
              <w:rPr>
                <w:rStyle w:val="Hyperlink"/>
                <w:rtl/>
              </w:rPr>
              <w:t xml:space="preserve"> </w:t>
            </w:r>
            <w:r w:rsidRPr="00F56737">
              <w:rPr>
                <w:rStyle w:val="Hyperlink"/>
                <w:rFonts w:hint="eastAsia"/>
                <w:rtl/>
              </w:rPr>
              <w:t>الشريعة</w:t>
            </w:r>
            <w:r w:rsidRPr="00F56737">
              <w:rPr>
                <w:rStyle w:val="Hyperlink"/>
                <w:rtl/>
              </w:rPr>
              <w:t xml:space="preserve"> </w:t>
            </w:r>
            <w:r w:rsidRPr="00F56737">
              <w:rPr>
                <w:rStyle w:val="Hyperlink"/>
                <w:rFonts w:hint="eastAsia"/>
                <w:rtl/>
              </w:rPr>
              <w:t>وصنع</w:t>
            </w:r>
            <w:r w:rsidRPr="00F56737">
              <w:rPr>
                <w:rStyle w:val="Hyperlink"/>
                <w:rtl/>
              </w:rPr>
              <w:t xml:space="preserve"> </w:t>
            </w:r>
            <w:r w:rsidRPr="00F56737">
              <w:rPr>
                <w:rStyle w:val="Hyperlink"/>
                <w:rFonts w:hint="eastAsia"/>
                <w:rtl/>
              </w:rPr>
              <w:t>خيمة</w:t>
            </w:r>
            <w:r w:rsidRPr="00F56737">
              <w:rPr>
                <w:rStyle w:val="Hyperlink"/>
                <w:rtl/>
              </w:rPr>
              <w:t xml:space="preserve"> </w:t>
            </w:r>
            <w:r w:rsidRPr="00F56737">
              <w:rPr>
                <w:rStyle w:val="Hyperlink"/>
                <w:rFonts w:hint="eastAsia"/>
                <w:rtl/>
              </w:rPr>
              <w:t>الاجتماع</w:t>
            </w:r>
            <w:r w:rsidRPr="00F56737">
              <w:rPr>
                <w:webHidden/>
              </w:rPr>
              <w:tab/>
            </w:r>
            <w:r w:rsidRPr="00F56737">
              <w:rPr>
                <w:webHidden/>
              </w:rPr>
              <w:fldChar w:fldCharType="begin"/>
            </w:r>
            <w:r w:rsidRPr="00F56737">
              <w:rPr>
                <w:webHidden/>
              </w:rPr>
              <w:instrText xml:space="preserve"> PAGEREF _Toc193030985 \h </w:instrText>
            </w:r>
            <w:r w:rsidRPr="00F56737">
              <w:rPr>
                <w:webHidden/>
              </w:rPr>
            </w:r>
            <w:r w:rsidRPr="00F56737">
              <w:rPr>
                <w:webHidden/>
              </w:rPr>
              <w:fldChar w:fldCharType="separate"/>
            </w:r>
            <w:r w:rsidRPr="00F56737">
              <w:rPr>
                <w:webHidden/>
              </w:rPr>
              <w:t>151</w:t>
            </w:r>
            <w:r w:rsidRPr="00F56737">
              <w:rPr>
                <w:webHidden/>
              </w:rPr>
              <w:fldChar w:fldCharType="end"/>
            </w:r>
          </w:hyperlink>
        </w:p>
        <w:p w14:paraId="43AF9593" w14:textId="4782BA4B" w:rsidR="00F56737" w:rsidRPr="00F56737" w:rsidRDefault="00F56737" w:rsidP="006C2E6F">
          <w:pPr>
            <w:pStyle w:val="TOC2"/>
            <w:rPr>
              <w:rFonts w:asciiTheme="minorHAnsi" w:eastAsiaTheme="minorEastAsia" w:hAnsiTheme="minorHAnsi" w:cstheme="minorBidi"/>
            </w:rPr>
          </w:pPr>
          <w:hyperlink w:anchor="_Toc193030986" w:history="1">
            <w:r w:rsidRPr="00F56737">
              <w:rPr>
                <w:rStyle w:val="Hyperlink"/>
                <w:rtl/>
              </w:rPr>
              <w:t>(</w:t>
            </w:r>
            <w:r w:rsidRPr="00F56737">
              <w:rPr>
                <w:rStyle w:val="Hyperlink"/>
                <w:rFonts w:hint="eastAsia"/>
                <w:rtl/>
              </w:rPr>
              <w:t>خروج</w:t>
            </w:r>
            <w:r w:rsidRPr="00F56737">
              <w:rPr>
                <w:rStyle w:val="Hyperlink"/>
                <w:rtl/>
              </w:rPr>
              <w:t xml:space="preserve"> 19: 1-40: 38)</w:t>
            </w:r>
            <w:r w:rsidRPr="00F56737">
              <w:rPr>
                <w:webHidden/>
              </w:rPr>
              <w:tab/>
            </w:r>
            <w:r w:rsidRPr="00F56737">
              <w:rPr>
                <w:webHidden/>
              </w:rPr>
              <w:fldChar w:fldCharType="begin"/>
            </w:r>
            <w:r w:rsidRPr="00F56737">
              <w:rPr>
                <w:webHidden/>
              </w:rPr>
              <w:instrText xml:space="preserve"> PAGEREF _Toc193030986 \h </w:instrText>
            </w:r>
            <w:r w:rsidRPr="00F56737">
              <w:rPr>
                <w:webHidden/>
              </w:rPr>
            </w:r>
            <w:r w:rsidRPr="00F56737">
              <w:rPr>
                <w:webHidden/>
              </w:rPr>
              <w:fldChar w:fldCharType="separate"/>
            </w:r>
            <w:r w:rsidRPr="00F56737">
              <w:rPr>
                <w:webHidden/>
              </w:rPr>
              <w:t>151</w:t>
            </w:r>
            <w:r w:rsidRPr="00F56737">
              <w:rPr>
                <w:webHidden/>
              </w:rPr>
              <w:fldChar w:fldCharType="end"/>
            </w:r>
          </w:hyperlink>
        </w:p>
        <w:p w14:paraId="7504C233" w14:textId="2DAAD51C"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90"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العهد</w:t>
            </w:r>
            <w:r w:rsidRPr="00F56737">
              <w:rPr>
                <w:rStyle w:val="Hyperlink"/>
                <w:noProof/>
                <w:sz w:val="32"/>
                <w:szCs w:val="32"/>
                <w:rtl/>
              </w:rPr>
              <w:t xml:space="preserve"> </w:t>
            </w:r>
            <w:r w:rsidRPr="00F56737">
              <w:rPr>
                <w:rStyle w:val="Hyperlink"/>
                <w:rFonts w:hint="eastAsia"/>
                <w:noProof/>
                <w:sz w:val="32"/>
                <w:szCs w:val="32"/>
                <w:rtl/>
              </w:rPr>
              <w:t>في</w:t>
            </w:r>
            <w:r w:rsidRPr="00F56737">
              <w:rPr>
                <w:rStyle w:val="Hyperlink"/>
                <w:noProof/>
                <w:sz w:val="32"/>
                <w:szCs w:val="32"/>
                <w:rtl/>
              </w:rPr>
              <w:t xml:space="preserve"> </w:t>
            </w:r>
            <w:r w:rsidRPr="00F56737">
              <w:rPr>
                <w:rStyle w:val="Hyperlink"/>
                <w:rFonts w:hint="eastAsia"/>
                <w:noProof/>
                <w:sz w:val="32"/>
                <w:szCs w:val="32"/>
                <w:rtl/>
              </w:rPr>
              <w:t>سيناء</w:t>
            </w:r>
            <w:r w:rsidRPr="00F56737">
              <w:rPr>
                <w:rStyle w:val="Hyperlink"/>
                <w:noProof/>
                <w:sz w:val="32"/>
                <w:szCs w:val="32"/>
                <w:rtl/>
              </w:rPr>
              <w:t xml:space="preserve"> (</w:t>
            </w:r>
            <w:r w:rsidRPr="00F56737">
              <w:rPr>
                <w:rStyle w:val="Hyperlink"/>
                <w:rFonts w:hint="eastAsia"/>
                <w:noProof/>
                <w:sz w:val="32"/>
                <w:szCs w:val="32"/>
                <w:rtl/>
              </w:rPr>
              <w:t>خروج</w:t>
            </w:r>
            <w:r w:rsidRPr="00F56737">
              <w:rPr>
                <w:rStyle w:val="Hyperlink"/>
                <w:noProof/>
                <w:sz w:val="32"/>
                <w:szCs w:val="32"/>
                <w:rtl/>
              </w:rPr>
              <w:t xml:space="preserve"> 19: 1 – 24: 18)</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_Toc193030990 \h </w:instrText>
            </w:r>
            <w:r w:rsidRPr="00F56737">
              <w:rPr>
                <w:noProof/>
                <w:webHidden/>
                <w:sz w:val="32"/>
                <w:szCs w:val="32"/>
              </w:rPr>
            </w:r>
            <w:r w:rsidRPr="00F56737">
              <w:rPr>
                <w:noProof/>
                <w:webHidden/>
                <w:sz w:val="32"/>
                <w:szCs w:val="32"/>
              </w:rPr>
              <w:fldChar w:fldCharType="separate"/>
            </w:r>
            <w:r w:rsidRPr="00F56737">
              <w:rPr>
                <w:noProof/>
                <w:webHidden/>
                <w:sz w:val="32"/>
                <w:szCs w:val="32"/>
              </w:rPr>
              <w:t>153</w:t>
            </w:r>
            <w:r w:rsidRPr="00F56737">
              <w:rPr>
                <w:noProof/>
                <w:webHidden/>
                <w:sz w:val="32"/>
                <w:szCs w:val="32"/>
              </w:rPr>
              <w:fldChar w:fldCharType="end"/>
            </w:r>
          </w:hyperlink>
        </w:p>
        <w:p w14:paraId="085C1A5E" w14:textId="533FF63A"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0998"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الخلاص</w:t>
            </w:r>
            <w:r w:rsidRPr="00F56737">
              <w:rPr>
                <w:rStyle w:val="Hyperlink"/>
                <w:noProof/>
                <w:sz w:val="32"/>
                <w:szCs w:val="32"/>
                <w:rtl/>
              </w:rPr>
              <w:t xml:space="preserve"> </w:t>
            </w:r>
            <w:r w:rsidRPr="00F56737">
              <w:rPr>
                <w:rStyle w:val="Hyperlink"/>
                <w:rFonts w:hint="eastAsia"/>
                <w:noProof/>
                <w:sz w:val="32"/>
                <w:szCs w:val="32"/>
                <w:rtl/>
              </w:rPr>
              <w:t>في</w:t>
            </w:r>
            <w:r w:rsidRPr="00F56737">
              <w:rPr>
                <w:rStyle w:val="Hyperlink"/>
                <w:noProof/>
                <w:sz w:val="32"/>
                <w:szCs w:val="32"/>
                <w:rtl/>
              </w:rPr>
              <w:t xml:space="preserve"> </w:t>
            </w:r>
            <w:r w:rsidRPr="00F56737">
              <w:rPr>
                <w:rStyle w:val="Hyperlink"/>
                <w:rFonts w:hint="eastAsia"/>
                <w:noProof/>
                <w:sz w:val="32"/>
                <w:szCs w:val="32"/>
                <w:rtl/>
              </w:rPr>
              <w:t>العهد</w:t>
            </w:r>
            <w:r w:rsidRPr="00F56737">
              <w:rPr>
                <w:rStyle w:val="Hyperlink"/>
                <w:noProof/>
                <w:sz w:val="32"/>
                <w:szCs w:val="32"/>
                <w:rtl/>
              </w:rPr>
              <w:t xml:space="preserve"> </w:t>
            </w:r>
            <w:r w:rsidRPr="00F56737">
              <w:rPr>
                <w:rStyle w:val="Hyperlink"/>
                <w:rFonts w:hint="eastAsia"/>
                <w:noProof/>
                <w:sz w:val="32"/>
                <w:szCs w:val="32"/>
                <w:rtl/>
              </w:rPr>
              <w:t>القديم</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_Toc193030998 \h </w:instrText>
            </w:r>
            <w:r w:rsidRPr="00F56737">
              <w:rPr>
                <w:noProof/>
                <w:webHidden/>
                <w:sz w:val="32"/>
                <w:szCs w:val="32"/>
              </w:rPr>
            </w:r>
            <w:r w:rsidRPr="00F56737">
              <w:rPr>
                <w:noProof/>
                <w:webHidden/>
                <w:sz w:val="32"/>
                <w:szCs w:val="32"/>
              </w:rPr>
              <w:fldChar w:fldCharType="separate"/>
            </w:r>
            <w:r w:rsidRPr="00F56737">
              <w:rPr>
                <w:noProof/>
                <w:webHidden/>
                <w:sz w:val="32"/>
                <w:szCs w:val="32"/>
              </w:rPr>
              <w:t>162</w:t>
            </w:r>
            <w:r w:rsidRPr="00F56737">
              <w:rPr>
                <w:noProof/>
                <w:webHidden/>
                <w:sz w:val="32"/>
                <w:szCs w:val="32"/>
              </w:rPr>
              <w:fldChar w:fldCharType="end"/>
            </w:r>
          </w:hyperlink>
        </w:p>
        <w:p w14:paraId="427E1D3B" w14:textId="6D2D877A"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07"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خيمة</w:t>
            </w:r>
            <w:r w:rsidRPr="00F56737">
              <w:rPr>
                <w:rStyle w:val="Hyperlink"/>
                <w:noProof/>
                <w:sz w:val="32"/>
                <w:szCs w:val="32"/>
                <w:rtl/>
              </w:rPr>
              <w:t xml:space="preserve"> </w:t>
            </w:r>
            <w:r w:rsidRPr="00F56737">
              <w:rPr>
                <w:rStyle w:val="Hyperlink"/>
                <w:rFonts w:hint="eastAsia"/>
                <w:noProof/>
                <w:sz w:val="32"/>
                <w:szCs w:val="32"/>
                <w:rtl/>
              </w:rPr>
              <w:t>الاجتماع</w:t>
            </w:r>
            <w:r w:rsidRPr="00F56737">
              <w:rPr>
                <w:rStyle w:val="Hyperlink"/>
                <w:noProof/>
                <w:sz w:val="32"/>
                <w:szCs w:val="32"/>
                <w:rtl/>
              </w:rPr>
              <w:t xml:space="preserve"> </w:t>
            </w:r>
            <w:r w:rsidRPr="00F56737">
              <w:rPr>
                <w:rStyle w:val="Hyperlink"/>
                <w:rFonts w:hint="eastAsia"/>
                <w:noProof/>
                <w:sz w:val="32"/>
                <w:szCs w:val="32"/>
                <w:rtl/>
              </w:rPr>
              <w:t>في</w:t>
            </w:r>
            <w:r w:rsidRPr="00F56737">
              <w:rPr>
                <w:rStyle w:val="Hyperlink"/>
                <w:noProof/>
                <w:sz w:val="32"/>
                <w:szCs w:val="32"/>
                <w:rtl/>
              </w:rPr>
              <w:t xml:space="preserve"> </w:t>
            </w:r>
            <w:r w:rsidRPr="00F56737">
              <w:rPr>
                <w:rStyle w:val="Hyperlink"/>
                <w:rFonts w:hint="eastAsia"/>
                <w:noProof/>
                <w:sz w:val="32"/>
                <w:szCs w:val="32"/>
                <w:rtl/>
              </w:rPr>
              <w:t>البرّيّة</w:t>
            </w:r>
            <w:r w:rsidRPr="00F56737">
              <w:rPr>
                <w:rStyle w:val="Hyperlink"/>
                <w:noProof/>
                <w:sz w:val="32"/>
                <w:szCs w:val="32"/>
                <w:rtl/>
              </w:rPr>
              <w:t xml:space="preserve"> (</w:t>
            </w:r>
            <w:r w:rsidRPr="00F56737">
              <w:rPr>
                <w:rStyle w:val="Hyperlink"/>
                <w:rFonts w:hint="eastAsia"/>
                <w:noProof/>
                <w:sz w:val="32"/>
                <w:szCs w:val="32"/>
                <w:rtl/>
              </w:rPr>
              <w:t>خروج</w:t>
            </w:r>
            <w:r w:rsidRPr="00F56737">
              <w:rPr>
                <w:rStyle w:val="Hyperlink"/>
                <w:noProof/>
                <w:sz w:val="32"/>
                <w:szCs w:val="32"/>
                <w:rtl/>
              </w:rPr>
              <w:t xml:space="preserve"> 25: 1 – 40: 38)</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_Toc193031007 \h </w:instrText>
            </w:r>
            <w:r w:rsidRPr="00F56737">
              <w:rPr>
                <w:noProof/>
                <w:webHidden/>
                <w:sz w:val="32"/>
                <w:szCs w:val="32"/>
              </w:rPr>
            </w:r>
            <w:r w:rsidRPr="00F56737">
              <w:rPr>
                <w:noProof/>
                <w:webHidden/>
                <w:sz w:val="32"/>
                <w:szCs w:val="32"/>
              </w:rPr>
              <w:fldChar w:fldCharType="separate"/>
            </w:r>
            <w:r w:rsidRPr="00F56737">
              <w:rPr>
                <w:noProof/>
                <w:webHidden/>
                <w:sz w:val="32"/>
                <w:szCs w:val="32"/>
              </w:rPr>
              <w:t>170</w:t>
            </w:r>
            <w:r w:rsidRPr="00F56737">
              <w:rPr>
                <w:noProof/>
                <w:webHidden/>
                <w:sz w:val="32"/>
                <w:szCs w:val="32"/>
              </w:rPr>
              <w:fldChar w:fldCharType="end"/>
            </w:r>
          </w:hyperlink>
        </w:p>
        <w:p w14:paraId="4A5305C9" w14:textId="6F550F39" w:rsidR="00F56737" w:rsidRPr="00F56737" w:rsidRDefault="00F56737" w:rsidP="006C2E6F">
          <w:pPr>
            <w:pStyle w:val="TOC2"/>
            <w:rPr>
              <w:rFonts w:asciiTheme="minorHAnsi" w:eastAsiaTheme="minorEastAsia" w:hAnsiTheme="minorHAnsi" w:cstheme="minorBidi"/>
            </w:rPr>
          </w:pPr>
          <w:hyperlink w:anchor="_Toc193031011" w:history="1">
            <w:r w:rsidRPr="00F56737">
              <w:rPr>
                <w:rStyle w:val="Hyperlink"/>
                <w:rFonts w:hint="eastAsia"/>
                <w:rtl/>
                <w:lang w:bidi="ar-JO"/>
              </w:rPr>
              <w:t>الوحدة</w:t>
            </w:r>
            <w:r w:rsidRPr="00F56737">
              <w:rPr>
                <w:rStyle w:val="Hyperlink"/>
                <w:rtl/>
                <w:lang w:bidi="ar-JO"/>
              </w:rPr>
              <w:t xml:space="preserve"> 3: </w:t>
            </w:r>
            <w:r w:rsidRPr="00F56737">
              <w:rPr>
                <w:rStyle w:val="Hyperlink"/>
                <w:rFonts w:hint="eastAsia"/>
                <w:rtl/>
              </w:rPr>
              <w:t>الإعداد</w:t>
            </w:r>
            <w:r w:rsidRPr="00F56737">
              <w:rPr>
                <w:rStyle w:val="Hyperlink"/>
                <w:rtl/>
              </w:rPr>
              <w:t xml:space="preserve"> </w:t>
            </w:r>
            <w:r w:rsidRPr="00F56737">
              <w:rPr>
                <w:rStyle w:val="Hyperlink"/>
                <w:rFonts w:hint="eastAsia"/>
                <w:rtl/>
              </w:rPr>
              <w:t>والتجهيز</w:t>
            </w:r>
            <w:r w:rsidRPr="00F56737">
              <w:rPr>
                <w:rStyle w:val="Hyperlink"/>
                <w:rtl/>
              </w:rPr>
              <w:t xml:space="preserve"> </w:t>
            </w:r>
            <w:r w:rsidRPr="00F56737">
              <w:rPr>
                <w:rStyle w:val="Hyperlink"/>
                <w:rFonts w:hint="eastAsia"/>
                <w:rtl/>
              </w:rPr>
              <w:t>لدخول</w:t>
            </w:r>
            <w:r w:rsidRPr="00F56737">
              <w:rPr>
                <w:rStyle w:val="Hyperlink"/>
                <w:rtl/>
              </w:rPr>
              <w:t xml:space="preserve"> </w:t>
            </w:r>
            <w:r w:rsidRPr="00F56737">
              <w:rPr>
                <w:rStyle w:val="Hyperlink"/>
                <w:rFonts w:hint="eastAsia"/>
                <w:rtl/>
              </w:rPr>
              <w:t>الأرض</w:t>
            </w:r>
            <w:r w:rsidRPr="00F56737">
              <w:rPr>
                <w:rStyle w:val="Hyperlink"/>
                <w:rtl/>
              </w:rPr>
              <w:t xml:space="preserve"> (</w:t>
            </w:r>
            <w:r w:rsidRPr="00F56737">
              <w:rPr>
                <w:rStyle w:val="Hyperlink"/>
                <w:rFonts w:hint="eastAsia"/>
                <w:rtl/>
              </w:rPr>
              <w:t>لاويّين</w:t>
            </w:r>
            <w:r w:rsidRPr="00F56737">
              <w:rPr>
                <w:rStyle w:val="Hyperlink"/>
                <w:rtl/>
              </w:rPr>
              <w:t xml:space="preserve"> – </w:t>
            </w:r>
            <w:r w:rsidRPr="00F56737">
              <w:rPr>
                <w:rStyle w:val="Hyperlink"/>
                <w:rFonts w:hint="eastAsia"/>
                <w:rtl/>
              </w:rPr>
              <w:t>تثنية</w:t>
            </w:r>
            <w:r w:rsidRPr="00F56737">
              <w:rPr>
                <w:rStyle w:val="Hyperlink"/>
                <w:rtl/>
              </w:rPr>
              <w:t>)</w:t>
            </w:r>
            <w:r w:rsidRPr="00F56737">
              <w:rPr>
                <w:webHidden/>
              </w:rPr>
              <w:tab/>
            </w:r>
            <w:r w:rsidRPr="00F56737">
              <w:rPr>
                <w:webHidden/>
              </w:rPr>
              <w:fldChar w:fldCharType="begin"/>
            </w:r>
            <w:r w:rsidRPr="00F56737">
              <w:rPr>
                <w:webHidden/>
              </w:rPr>
              <w:instrText xml:space="preserve"> PAGEREF _Toc193031011 \h </w:instrText>
            </w:r>
            <w:r w:rsidRPr="00F56737">
              <w:rPr>
                <w:webHidden/>
              </w:rPr>
            </w:r>
            <w:r w:rsidRPr="00F56737">
              <w:rPr>
                <w:webHidden/>
              </w:rPr>
              <w:fldChar w:fldCharType="separate"/>
            </w:r>
            <w:r w:rsidRPr="00F56737">
              <w:rPr>
                <w:webHidden/>
              </w:rPr>
              <w:t>179</w:t>
            </w:r>
            <w:r w:rsidRPr="00F56737">
              <w:rPr>
                <w:webHidden/>
              </w:rPr>
              <w:fldChar w:fldCharType="end"/>
            </w:r>
          </w:hyperlink>
        </w:p>
        <w:p w14:paraId="17544107" w14:textId="44B3AC24" w:rsidR="00F56737" w:rsidRPr="00F56737" w:rsidRDefault="00F56737" w:rsidP="006C2E6F">
          <w:pPr>
            <w:pStyle w:val="TOC2"/>
            <w:rPr>
              <w:rFonts w:asciiTheme="minorHAnsi" w:eastAsiaTheme="minorEastAsia" w:hAnsiTheme="minorHAnsi" w:cstheme="minorBidi"/>
            </w:rPr>
          </w:pPr>
          <w:hyperlink w:anchor="_Toc193031014" w:history="1">
            <w:r w:rsidRPr="00F56737">
              <w:rPr>
                <w:rStyle w:val="Hyperlink"/>
                <w:rFonts w:hint="eastAsia"/>
                <w:rtl/>
              </w:rPr>
              <w:t>الدرس</w:t>
            </w:r>
            <w:r w:rsidRPr="00F56737">
              <w:rPr>
                <w:rStyle w:val="Hyperlink"/>
                <w:rtl/>
              </w:rPr>
              <w:t xml:space="preserve"> 7: </w:t>
            </w:r>
            <w:r w:rsidRPr="00F56737">
              <w:rPr>
                <w:rStyle w:val="Hyperlink"/>
                <w:rFonts w:hint="eastAsia"/>
                <w:rtl/>
              </w:rPr>
              <w:t>ذبائح</w:t>
            </w:r>
            <w:r w:rsidRPr="00F56737">
              <w:rPr>
                <w:rStyle w:val="Hyperlink"/>
                <w:rtl/>
              </w:rPr>
              <w:t xml:space="preserve"> </w:t>
            </w:r>
            <w:r w:rsidRPr="00F56737">
              <w:rPr>
                <w:rStyle w:val="Hyperlink"/>
                <w:rFonts w:hint="eastAsia"/>
                <w:rtl/>
              </w:rPr>
              <w:t>وأعياد</w:t>
            </w:r>
            <w:r w:rsidRPr="00F56737">
              <w:rPr>
                <w:rStyle w:val="Hyperlink"/>
                <w:rtl/>
              </w:rPr>
              <w:t xml:space="preserve"> </w:t>
            </w:r>
            <w:r w:rsidRPr="00F56737">
              <w:rPr>
                <w:rStyle w:val="Hyperlink"/>
                <w:rFonts w:hint="eastAsia"/>
                <w:rtl/>
              </w:rPr>
              <w:t>عبادات</w:t>
            </w:r>
            <w:r w:rsidRPr="00F56737">
              <w:rPr>
                <w:rStyle w:val="Hyperlink"/>
                <w:rtl/>
              </w:rPr>
              <w:t xml:space="preserve"> </w:t>
            </w:r>
            <w:r w:rsidRPr="00F56737">
              <w:rPr>
                <w:rStyle w:val="Hyperlink"/>
                <w:rFonts w:hint="eastAsia"/>
                <w:rtl/>
              </w:rPr>
              <w:t>العهد</w:t>
            </w:r>
            <w:r w:rsidRPr="00F56737">
              <w:rPr>
                <w:rStyle w:val="Hyperlink"/>
                <w:rtl/>
              </w:rPr>
              <w:t xml:space="preserve"> </w:t>
            </w:r>
            <w:r w:rsidRPr="00F56737">
              <w:rPr>
                <w:rStyle w:val="Hyperlink"/>
                <w:rFonts w:hint="eastAsia"/>
                <w:rtl/>
              </w:rPr>
              <w:t>القديم</w:t>
            </w:r>
            <w:r w:rsidRPr="00F56737">
              <w:rPr>
                <w:rStyle w:val="Hyperlink"/>
                <w:rtl/>
              </w:rPr>
              <w:t xml:space="preserve"> (</w:t>
            </w:r>
            <w:r w:rsidRPr="00F56737">
              <w:rPr>
                <w:rStyle w:val="Hyperlink"/>
                <w:rFonts w:hint="eastAsia"/>
                <w:rtl/>
              </w:rPr>
              <w:t>لاويين</w:t>
            </w:r>
            <w:r w:rsidRPr="00F56737">
              <w:rPr>
                <w:rStyle w:val="Hyperlink"/>
                <w:rtl/>
              </w:rPr>
              <w:t xml:space="preserve"> 1-23)</w:t>
            </w:r>
            <w:r w:rsidRPr="00F56737">
              <w:rPr>
                <w:webHidden/>
              </w:rPr>
              <w:tab/>
            </w:r>
            <w:r w:rsidRPr="00F56737">
              <w:rPr>
                <w:webHidden/>
              </w:rPr>
              <w:fldChar w:fldCharType="begin"/>
            </w:r>
            <w:r w:rsidRPr="00F56737">
              <w:rPr>
                <w:webHidden/>
              </w:rPr>
              <w:instrText xml:space="preserve"> PAGEREF _Toc193031014 \h </w:instrText>
            </w:r>
            <w:r w:rsidRPr="00F56737">
              <w:rPr>
                <w:webHidden/>
              </w:rPr>
            </w:r>
            <w:r w:rsidRPr="00F56737">
              <w:rPr>
                <w:webHidden/>
              </w:rPr>
              <w:fldChar w:fldCharType="separate"/>
            </w:r>
            <w:r w:rsidRPr="00F56737">
              <w:rPr>
                <w:webHidden/>
              </w:rPr>
              <w:t>180</w:t>
            </w:r>
            <w:r w:rsidRPr="00F56737">
              <w:rPr>
                <w:webHidden/>
              </w:rPr>
              <w:fldChar w:fldCharType="end"/>
            </w:r>
          </w:hyperlink>
        </w:p>
        <w:p w14:paraId="0FD622E0" w14:textId="206F0C4D"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18"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العبادة</w:t>
            </w:r>
            <w:r w:rsidRPr="00F56737">
              <w:rPr>
                <w:rStyle w:val="Hyperlink"/>
                <w:noProof/>
                <w:sz w:val="32"/>
                <w:szCs w:val="32"/>
                <w:rtl/>
              </w:rPr>
              <w:t xml:space="preserve"> </w:t>
            </w:r>
            <w:r w:rsidRPr="00F56737">
              <w:rPr>
                <w:rStyle w:val="Hyperlink"/>
                <w:rFonts w:hint="eastAsia"/>
                <w:noProof/>
                <w:sz w:val="32"/>
                <w:szCs w:val="32"/>
                <w:rtl/>
              </w:rPr>
              <w:t>من</w:t>
            </w:r>
            <w:r w:rsidRPr="00F56737">
              <w:rPr>
                <w:rStyle w:val="Hyperlink"/>
                <w:noProof/>
                <w:sz w:val="32"/>
                <w:szCs w:val="32"/>
                <w:rtl/>
              </w:rPr>
              <w:t xml:space="preserve"> </w:t>
            </w:r>
            <w:r w:rsidRPr="00F56737">
              <w:rPr>
                <w:rStyle w:val="Hyperlink"/>
                <w:rFonts w:hint="eastAsia"/>
                <w:noProof/>
                <w:sz w:val="32"/>
                <w:szCs w:val="32"/>
                <w:rtl/>
              </w:rPr>
              <w:t>خلال</w:t>
            </w:r>
            <w:r w:rsidRPr="00F56737">
              <w:rPr>
                <w:rStyle w:val="Hyperlink"/>
                <w:noProof/>
                <w:sz w:val="32"/>
                <w:szCs w:val="32"/>
                <w:rtl/>
              </w:rPr>
              <w:t xml:space="preserve"> </w:t>
            </w:r>
            <w:r w:rsidRPr="00F56737">
              <w:rPr>
                <w:rStyle w:val="Hyperlink"/>
                <w:rFonts w:hint="eastAsia"/>
                <w:noProof/>
                <w:sz w:val="32"/>
                <w:szCs w:val="32"/>
                <w:rtl/>
              </w:rPr>
              <w:t>الذبيحة</w:t>
            </w:r>
            <w:r w:rsidRPr="00F56737">
              <w:rPr>
                <w:rStyle w:val="Hyperlink"/>
                <w:noProof/>
                <w:sz w:val="32"/>
                <w:szCs w:val="32"/>
                <w:rtl/>
              </w:rPr>
              <w:t xml:space="preserve"> (</w:t>
            </w:r>
            <w:r w:rsidRPr="00F56737">
              <w:rPr>
                <w:rStyle w:val="Hyperlink"/>
                <w:rFonts w:hint="eastAsia"/>
                <w:noProof/>
                <w:sz w:val="32"/>
                <w:szCs w:val="32"/>
                <w:rtl/>
              </w:rPr>
              <w:t>لاويين</w:t>
            </w:r>
            <w:r w:rsidRPr="00F56737">
              <w:rPr>
                <w:rStyle w:val="Hyperlink"/>
                <w:noProof/>
                <w:sz w:val="32"/>
                <w:szCs w:val="32"/>
                <w:rtl/>
              </w:rPr>
              <w:t xml:space="preserve"> 1: 1 – 10: 20)</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_Toc193031018 \h </w:instrText>
            </w:r>
            <w:r w:rsidRPr="00F56737">
              <w:rPr>
                <w:noProof/>
                <w:webHidden/>
                <w:sz w:val="32"/>
                <w:szCs w:val="32"/>
              </w:rPr>
            </w:r>
            <w:r w:rsidRPr="00F56737">
              <w:rPr>
                <w:noProof/>
                <w:webHidden/>
                <w:sz w:val="32"/>
                <w:szCs w:val="32"/>
              </w:rPr>
              <w:fldChar w:fldCharType="separate"/>
            </w:r>
            <w:r w:rsidRPr="00F56737">
              <w:rPr>
                <w:noProof/>
                <w:webHidden/>
                <w:sz w:val="32"/>
                <w:szCs w:val="32"/>
              </w:rPr>
              <w:t>181</w:t>
            </w:r>
            <w:r w:rsidRPr="00F56737">
              <w:rPr>
                <w:noProof/>
                <w:webHidden/>
                <w:sz w:val="32"/>
                <w:szCs w:val="32"/>
              </w:rPr>
              <w:fldChar w:fldCharType="end"/>
            </w:r>
          </w:hyperlink>
        </w:p>
        <w:p w14:paraId="581A4582" w14:textId="4F3E149F"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22"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يوم</w:t>
            </w:r>
            <w:r w:rsidRPr="00F56737">
              <w:rPr>
                <w:rStyle w:val="Hyperlink"/>
                <w:noProof/>
                <w:sz w:val="32"/>
                <w:szCs w:val="32"/>
                <w:rtl/>
              </w:rPr>
              <w:t xml:space="preserve"> </w:t>
            </w:r>
            <w:r w:rsidRPr="00F56737">
              <w:rPr>
                <w:rStyle w:val="Hyperlink"/>
                <w:rFonts w:hint="eastAsia"/>
                <w:noProof/>
                <w:sz w:val="32"/>
                <w:szCs w:val="32"/>
                <w:rtl/>
              </w:rPr>
              <w:t>الكفّارة</w:t>
            </w:r>
            <w:r w:rsidRPr="00F56737">
              <w:rPr>
                <w:rStyle w:val="Hyperlink"/>
                <w:noProof/>
                <w:sz w:val="32"/>
                <w:szCs w:val="32"/>
                <w:rtl/>
              </w:rPr>
              <w:t xml:space="preserve"> (</w:t>
            </w:r>
            <w:r w:rsidRPr="00F56737">
              <w:rPr>
                <w:rStyle w:val="Hyperlink"/>
                <w:rFonts w:hint="eastAsia"/>
                <w:noProof/>
                <w:sz w:val="32"/>
                <w:szCs w:val="32"/>
                <w:rtl/>
              </w:rPr>
              <w:t>لاويّين</w:t>
            </w:r>
            <w:r w:rsidRPr="00F56737">
              <w:rPr>
                <w:rStyle w:val="Hyperlink"/>
                <w:noProof/>
                <w:sz w:val="32"/>
                <w:szCs w:val="32"/>
                <w:rtl/>
              </w:rPr>
              <w:t xml:space="preserve"> 11: 1 – 16: 34)</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_Toc193031022 \h </w:instrText>
            </w:r>
            <w:r w:rsidRPr="00F56737">
              <w:rPr>
                <w:noProof/>
                <w:webHidden/>
                <w:sz w:val="32"/>
                <w:szCs w:val="32"/>
              </w:rPr>
            </w:r>
            <w:r w:rsidRPr="00F56737">
              <w:rPr>
                <w:noProof/>
                <w:webHidden/>
                <w:sz w:val="32"/>
                <w:szCs w:val="32"/>
              </w:rPr>
              <w:fldChar w:fldCharType="separate"/>
            </w:r>
            <w:r w:rsidRPr="00F56737">
              <w:rPr>
                <w:noProof/>
                <w:webHidden/>
                <w:sz w:val="32"/>
                <w:szCs w:val="32"/>
              </w:rPr>
              <w:t>190</w:t>
            </w:r>
            <w:r w:rsidRPr="00F56737">
              <w:rPr>
                <w:noProof/>
                <w:webHidden/>
                <w:sz w:val="32"/>
                <w:szCs w:val="32"/>
              </w:rPr>
              <w:fldChar w:fldCharType="end"/>
            </w:r>
          </w:hyperlink>
        </w:p>
        <w:p w14:paraId="0EBA4F39" w14:textId="3E1FB44C"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26"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شرائع</w:t>
            </w:r>
            <w:r w:rsidRPr="00F56737">
              <w:rPr>
                <w:rStyle w:val="Hyperlink"/>
                <w:noProof/>
                <w:sz w:val="32"/>
                <w:szCs w:val="32"/>
                <w:rtl/>
              </w:rPr>
              <w:t xml:space="preserve"> </w:t>
            </w:r>
            <w:r w:rsidRPr="00F56737">
              <w:rPr>
                <w:rStyle w:val="Hyperlink"/>
                <w:rFonts w:hint="eastAsia"/>
                <w:noProof/>
                <w:sz w:val="32"/>
                <w:szCs w:val="32"/>
                <w:rtl/>
              </w:rPr>
              <w:t>القداسة</w:t>
            </w:r>
            <w:r w:rsidRPr="00F56737">
              <w:rPr>
                <w:rStyle w:val="Hyperlink"/>
                <w:noProof/>
                <w:sz w:val="32"/>
                <w:szCs w:val="32"/>
                <w:rtl/>
              </w:rPr>
              <w:t xml:space="preserve"> </w:t>
            </w:r>
            <w:r w:rsidRPr="00F56737">
              <w:rPr>
                <w:rStyle w:val="Hyperlink"/>
                <w:rFonts w:hint="eastAsia"/>
                <w:noProof/>
                <w:sz w:val="32"/>
                <w:szCs w:val="32"/>
                <w:rtl/>
              </w:rPr>
              <w:t>والتقويم</w:t>
            </w:r>
            <w:r w:rsidRPr="00F56737">
              <w:rPr>
                <w:rStyle w:val="Hyperlink"/>
                <w:noProof/>
                <w:sz w:val="32"/>
                <w:szCs w:val="32"/>
                <w:rtl/>
              </w:rPr>
              <w:t xml:space="preserve"> </w:t>
            </w:r>
            <w:r w:rsidRPr="00F56737">
              <w:rPr>
                <w:rStyle w:val="Hyperlink"/>
                <w:rFonts w:hint="eastAsia"/>
                <w:noProof/>
                <w:sz w:val="32"/>
                <w:szCs w:val="32"/>
                <w:rtl/>
              </w:rPr>
              <w:t>الديني</w:t>
            </w:r>
            <w:r w:rsidRPr="00F56737">
              <w:rPr>
                <w:rStyle w:val="Hyperlink"/>
                <w:noProof/>
                <w:sz w:val="32"/>
                <w:szCs w:val="32"/>
                <w:rtl/>
              </w:rPr>
              <w:t xml:space="preserve"> </w:t>
            </w:r>
            <w:r w:rsidRPr="00F56737">
              <w:rPr>
                <w:rStyle w:val="Hyperlink"/>
                <w:rFonts w:hint="eastAsia"/>
                <w:noProof/>
                <w:sz w:val="32"/>
                <w:szCs w:val="32"/>
                <w:rtl/>
              </w:rPr>
              <w:t>لشعب</w:t>
            </w:r>
            <w:r w:rsidRPr="00F56737">
              <w:rPr>
                <w:rStyle w:val="Hyperlink"/>
                <w:noProof/>
                <w:sz w:val="32"/>
                <w:szCs w:val="32"/>
                <w:rtl/>
              </w:rPr>
              <w:t xml:space="preserve"> </w:t>
            </w:r>
            <w:r w:rsidRPr="00F56737">
              <w:rPr>
                <w:rStyle w:val="Hyperlink"/>
                <w:rFonts w:hint="eastAsia"/>
                <w:noProof/>
                <w:sz w:val="32"/>
                <w:szCs w:val="32"/>
                <w:rtl/>
              </w:rPr>
              <w:t>إسرائيل</w:t>
            </w:r>
            <w:r w:rsidRPr="00F56737">
              <w:rPr>
                <w:rStyle w:val="Hyperlink"/>
                <w:noProof/>
                <w:sz w:val="32"/>
                <w:szCs w:val="32"/>
                <w:rtl/>
              </w:rPr>
              <w:t xml:space="preserve"> (</w:t>
            </w:r>
            <w:r w:rsidRPr="00F56737">
              <w:rPr>
                <w:rStyle w:val="Hyperlink"/>
                <w:rFonts w:hint="eastAsia"/>
                <w:noProof/>
                <w:sz w:val="32"/>
                <w:szCs w:val="32"/>
                <w:rtl/>
              </w:rPr>
              <w:t>لاويّين</w:t>
            </w:r>
            <w:r w:rsidRPr="00F56737">
              <w:rPr>
                <w:rStyle w:val="Hyperlink"/>
                <w:noProof/>
                <w:sz w:val="32"/>
                <w:szCs w:val="32"/>
                <w:rtl/>
              </w:rPr>
              <w:t xml:space="preserve"> 17: 1 – 27: 34)</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_Toc193031026 \h </w:instrText>
            </w:r>
            <w:r w:rsidRPr="00F56737">
              <w:rPr>
                <w:noProof/>
                <w:webHidden/>
                <w:sz w:val="32"/>
                <w:szCs w:val="32"/>
              </w:rPr>
            </w:r>
            <w:r w:rsidRPr="00F56737">
              <w:rPr>
                <w:noProof/>
                <w:webHidden/>
                <w:sz w:val="32"/>
                <w:szCs w:val="32"/>
              </w:rPr>
              <w:fldChar w:fldCharType="separate"/>
            </w:r>
            <w:r w:rsidRPr="00F56737">
              <w:rPr>
                <w:noProof/>
                <w:webHidden/>
                <w:sz w:val="32"/>
                <w:szCs w:val="32"/>
              </w:rPr>
              <w:t>198</w:t>
            </w:r>
            <w:r w:rsidRPr="00F56737">
              <w:rPr>
                <w:noProof/>
                <w:webHidden/>
                <w:sz w:val="32"/>
                <w:szCs w:val="32"/>
              </w:rPr>
              <w:fldChar w:fldCharType="end"/>
            </w:r>
          </w:hyperlink>
        </w:p>
        <w:p w14:paraId="01BD5D21" w14:textId="7DFC2E1F" w:rsidR="00F56737" w:rsidRPr="00F56737" w:rsidRDefault="00F56737" w:rsidP="006C2E6F">
          <w:pPr>
            <w:pStyle w:val="TOC2"/>
            <w:rPr>
              <w:rFonts w:asciiTheme="minorHAnsi" w:eastAsiaTheme="minorEastAsia" w:hAnsiTheme="minorHAnsi" w:cstheme="minorBidi"/>
            </w:rPr>
          </w:pPr>
          <w:hyperlink w:anchor="_Toc193031031" w:history="1">
            <w:r w:rsidRPr="00F56737">
              <w:rPr>
                <w:rStyle w:val="Hyperlink"/>
                <w:rFonts w:hint="eastAsia"/>
                <w:rtl/>
              </w:rPr>
              <w:t>الدرس</w:t>
            </w:r>
            <w:r w:rsidRPr="00F56737">
              <w:rPr>
                <w:rStyle w:val="Hyperlink"/>
                <w:rtl/>
              </w:rPr>
              <w:t xml:space="preserve"> 8: </w:t>
            </w:r>
            <w:r w:rsidRPr="00F56737">
              <w:rPr>
                <w:rStyle w:val="Hyperlink"/>
                <w:rFonts w:hint="eastAsia"/>
                <w:rtl/>
              </w:rPr>
              <w:t>سنوات</w:t>
            </w:r>
            <w:r w:rsidRPr="00F56737">
              <w:rPr>
                <w:rStyle w:val="Hyperlink"/>
                <w:rtl/>
              </w:rPr>
              <w:t xml:space="preserve"> </w:t>
            </w:r>
            <w:r w:rsidRPr="00F56737">
              <w:rPr>
                <w:rStyle w:val="Hyperlink"/>
                <w:rFonts w:hint="eastAsia"/>
                <w:rtl/>
              </w:rPr>
              <w:t>البرّيّة</w:t>
            </w:r>
            <w:r w:rsidRPr="00F56737">
              <w:rPr>
                <w:rStyle w:val="Hyperlink"/>
                <w:rtl/>
              </w:rPr>
              <w:t xml:space="preserve"> </w:t>
            </w:r>
            <w:r w:rsidRPr="00F56737">
              <w:rPr>
                <w:rStyle w:val="Hyperlink"/>
                <w:rFonts w:hint="eastAsia"/>
                <w:rtl/>
              </w:rPr>
              <w:t>الأربعون</w:t>
            </w:r>
            <w:r w:rsidRPr="00F56737">
              <w:rPr>
                <w:webHidden/>
              </w:rPr>
              <w:tab/>
            </w:r>
            <w:r w:rsidRPr="00F56737">
              <w:rPr>
                <w:webHidden/>
              </w:rPr>
              <w:fldChar w:fldCharType="begin"/>
            </w:r>
            <w:r w:rsidRPr="00F56737">
              <w:rPr>
                <w:webHidden/>
              </w:rPr>
              <w:instrText xml:space="preserve"> PAGEREF _Toc193031031 \h </w:instrText>
            </w:r>
            <w:r w:rsidRPr="00F56737">
              <w:rPr>
                <w:webHidden/>
              </w:rPr>
            </w:r>
            <w:r w:rsidRPr="00F56737">
              <w:rPr>
                <w:webHidden/>
              </w:rPr>
              <w:fldChar w:fldCharType="separate"/>
            </w:r>
            <w:r w:rsidRPr="00F56737">
              <w:rPr>
                <w:webHidden/>
              </w:rPr>
              <w:t>209</w:t>
            </w:r>
            <w:r w:rsidRPr="00F56737">
              <w:rPr>
                <w:webHidden/>
              </w:rPr>
              <w:fldChar w:fldCharType="end"/>
            </w:r>
          </w:hyperlink>
        </w:p>
        <w:p w14:paraId="54A63B20" w14:textId="250E9041"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36"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نظرة</w:t>
            </w:r>
            <w:r w:rsidRPr="00F56737">
              <w:rPr>
                <w:rStyle w:val="Hyperlink"/>
                <w:noProof/>
                <w:sz w:val="32"/>
                <w:szCs w:val="32"/>
                <w:rtl/>
              </w:rPr>
              <w:t xml:space="preserve"> </w:t>
            </w:r>
            <w:r w:rsidRPr="00F56737">
              <w:rPr>
                <w:rStyle w:val="Hyperlink"/>
                <w:rFonts w:hint="eastAsia"/>
                <w:noProof/>
                <w:sz w:val="32"/>
                <w:szCs w:val="32"/>
                <w:rtl/>
              </w:rPr>
              <w:t>عامة</w:t>
            </w:r>
            <w:r w:rsidRPr="00F56737">
              <w:rPr>
                <w:rStyle w:val="Hyperlink"/>
                <w:noProof/>
                <w:sz w:val="32"/>
                <w:szCs w:val="32"/>
                <w:rtl/>
              </w:rPr>
              <w:t xml:space="preserve"> </w:t>
            </w:r>
            <w:r w:rsidRPr="00F56737">
              <w:rPr>
                <w:rStyle w:val="Hyperlink"/>
                <w:rFonts w:hint="eastAsia"/>
                <w:noProof/>
                <w:sz w:val="32"/>
                <w:szCs w:val="32"/>
                <w:rtl/>
              </w:rPr>
              <w:t>إلى</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العدد</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_Toc193031036 \h </w:instrText>
            </w:r>
            <w:r w:rsidRPr="00F56737">
              <w:rPr>
                <w:noProof/>
                <w:webHidden/>
                <w:sz w:val="32"/>
                <w:szCs w:val="32"/>
              </w:rPr>
            </w:r>
            <w:r w:rsidRPr="00F56737">
              <w:rPr>
                <w:noProof/>
                <w:webHidden/>
                <w:sz w:val="32"/>
                <w:szCs w:val="32"/>
              </w:rPr>
              <w:fldChar w:fldCharType="separate"/>
            </w:r>
            <w:r w:rsidRPr="00F56737">
              <w:rPr>
                <w:noProof/>
                <w:webHidden/>
                <w:sz w:val="32"/>
                <w:szCs w:val="32"/>
              </w:rPr>
              <w:t>211</w:t>
            </w:r>
            <w:r w:rsidRPr="00F56737">
              <w:rPr>
                <w:noProof/>
                <w:webHidden/>
                <w:sz w:val="32"/>
                <w:szCs w:val="32"/>
              </w:rPr>
              <w:fldChar w:fldCharType="end"/>
            </w:r>
          </w:hyperlink>
        </w:p>
        <w:p w14:paraId="6F4F1CD0" w14:textId="274352D1"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39"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الإعداد</w:t>
            </w:r>
            <w:r w:rsidRPr="00F56737">
              <w:rPr>
                <w:rStyle w:val="Hyperlink"/>
                <w:noProof/>
                <w:sz w:val="32"/>
                <w:szCs w:val="32"/>
                <w:rtl/>
              </w:rPr>
              <w:t xml:space="preserve"> </w:t>
            </w:r>
            <w:r w:rsidRPr="00F56737">
              <w:rPr>
                <w:rStyle w:val="Hyperlink"/>
                <w:rFonts w:hint="eastAsia"/>
                <w:noProof/>
                <w:sz w:val="32"/>
                <w:szCs w:val="32"/>
                <w:rtl/>
              </w:rPr>
              <w:t>للرحلة</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العدد</w:t>
            </w:r>
            <w:r w:rsidRPr="00F56737">
              <w:rPr>
                <w:rStyle w:val="Hyperlink"/>
                <w:noProof/>
                <w:sz w:val="32"/>
                <w:szCs w:val="32"/>
                <w:rtl/>
              </w:rPr>
              <w:t xml:space="preserve"> 1: 1 – 10: 10)</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_Toc193031039 \h </w:instrText>
            </w:r>
            <w:r w:rsidRPr="00F56737">
              <w:rPr>
                <w:noProof/>
                <w:webHidden/>
                <w:sz w:val="32"/>
                <w:szCs w:val="32"/>
              </w:rPr>
            </w:r>
            <w:r w:rsidRPr="00F56737">
              <w:rPr>
                <w:noProof/>
                <w:webHidden/>
                <w:sz w:val="32"/>
                <w:szCs w:val="32"/>
              </w:rPr>
              <w:fldChar w:fldCharType="separate"/>
            </w:r>
            <w:r w:rsidRPr="00F56737">
              <w:rPr>
                <w:noProof/>
                <w:webHidden/>
                <w:sz w:val="32"/>
                <w:szCs w:val="32"/>
              </w:rPr>
              <w:t>212</w:t>
            </w:r>
            <w:r w:rsidRPr="00F56737">
              <w:rPr>
                <w:noProof/>
                <w:webHidden/>
                <w:sz w:val="32"/>
                <w:szCs w:val="32"/>
              </w:rPr>
              <w:fldChar w:fldCharType="end"/>
            </w:r>
          </w:hyperlink>
        </w:p>
        <w:p w14:paraId="182BF6E5" w14:textId="495B3ABA"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48"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التمرُّد</w:t>
            </w:r>
            <w:r w:rsidRPr="00F56737">
              <w:rPr>
                <w:rStyle w:val="Hyperlink"/>
                <w:noProof/>
                <w:sz w:val="32"/>
                <w:szCs w:val="32"/>
                <w:rtl/>
              </w:rPr>
              <w:t xml:space="preserve"> </w:t>
            </w:r>
            <w:r w:rsidRPr="00F56737">
              <w:rPr>
                <w:rStyle w:val="Hyperlink"/>
                <w:rFonts w:hint="eastAsia"/>
                <w:noProof/>
                <w:sz w:val="32"/>
                <w:szCs w:val="32"/>
                <w:rtl/>
              </w:rPr>
              <w:t>في</w:t>
            </w:r>
            <w:r w:rsidRPr="00F56737">
              <w:rPr>
                <w:rStyle w:val="Hyperlink"/>
                <w:noProof/>
                <w:sz w:val="32"/>
                <w:szCs w:val="32"/>
                <w:rtl/>
              </w:rPr>
              <w:t xml:space="preserve"> </w:t>
            </w:r>
            <w:r w:rsidRPr="00F56737">
              <w:rPr>
                <w:rStyle w:val="Hyperlink"/>
                <w:rFonts w:hint="eastAsia"/>
                <w:noProof/>
                <w:sz w:val="32"/>
                <w:szCs w:val="32"/>
                <w:rtl/>
              </w:rPr>
              <w:t>البرّيّة</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العدد</w:t>
            </w:r>
            <w:r w:rsidRPr="00F56737">
              <w:rPr>
                <w:rStyle w:val="Hyperlink"/>
                <w:noProof/>
                <w:sz w:val="32"/>
                <w:szCs w:val="32"/>
                <w:rtl/>
              </w:rPr>
              <w:t xml:space="preserve"> 10: 11 – 21: 35)</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_Toc193031048 \h </w:instrText>
            </w:r>
            <w:r w:rsidRPr="00F56737">
              <w:rPr>
                <w:noProof/>
                <w:webHidden/>
                <w:sz w:val="32"/>
                <w:szCs w:val="32"/>
              </w:rPr>
            </w:r>
            <w:r w:rsidRPr="00F56737">
              <w:rPr>
                <w:noProof/>
                <w:webHidden/>
                <w:sz w:val="32"/>
                <w:szCs w:val="32"/>
              </w:rPr>
              <w:fldChar w:fldCharType="separate"/>
            </w:r>
            <w:r w:rsidRPr="00F56737">
              <w:rPr>
                <w:noProof/>
                <w:webHidden/>
                <w:sz w:val="32"/>
                <w:szCs w:val="32"/>
              </w:rPr>
              <w:t>218</w:t>
            </w:r>
            <w:r w:rsidRPr="00F56737">
              <w:rPr>
                <w:noProof/>
                <w:webHidden/>
                <w:sz w:val="32"/>
                <w:szCs w:val="32"/>
              </w:rPr>
              <w:fldChar w:fldCharType="end"/>
            </w:r>
          </w:hyperlink>
        </w:p>
        <w:p w14:paraId="778AFE0C" w14:textId="3315CA48"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55" w:history="1">
            <w:r w:rsidRPr="00F56737">
              <w:rPr>
                <w:rStyle w:val="Hyperlink"/>
                <w:rFonts w:hint="eastAsia"/>
                <w:noProof/>
                <w:sz w:val="32"/>
                <w:szCs w:val="32"/>
                <w:rtl/>
              </w:rPr>
              <w:t>الموضوع</w:t>
            </w:r>
            <w:r w:rsidRPr="00F56737">
              <w:rPr>
                <w:rStyle w:val="Hyperlink"/>
                <w:noProof/>
                <w:sz w:val="32"/>
                <w:szCs w:val="32"/>
                <w:rtl/>
              </w:rPr>
              <w:t xml:space="preserve"> 4: </w:t>
            </w:r>
            <w:r w:rsidRPr="00F56737">
              <w:rPr>
                <w:rStyle w:val="Hyperlink"/>
                <w:rFonts w:hint="eastAsia"/>
                <w:noProof/>
                <w:sz w:val="32"/>
                <w:szCs w:val="32"/>
                <w:rtl/>
              </w:rPr>
              <w:t>إعداد</w:t>
            </w:r>
            <w:r w:rsidRPr="00F56737">
              <w:rPr>
                <w:rStyle w:val="Hyperlink"/>
                <w:noProof/>
                <w:sz w:val="32"/>
                <w:szCs w:val="32"/>
                <w:rtl/>
              </w:rPr>
              <w:t xml:space="preserve"> </w:t>
            </w:r>
            <w:r w:rsidRPr="00F56737">
              <w:rPr>
                <w:rStyle w:val="Hyperlink"/>
                <w:rFonts w:hint="eastAsia"/>
                <w:noProof/>
                <w:sz w:val="32"/>
                <w:szCs w:val="32"/>
                <w:rtl/>
              </w:rPr>
              <w:t>الجيل</w:t>
            </w:r>
            <w:r w:rsidRPr="00F56737">
              <w:rPr>
                <w:rStyle w:val="Hyperlink"/>
                <w:noProof/>
                <w:sz w:val="32"/>
                <w:szCs w:val="32"/>
                <w:rtl/>
              </w:rPr>
              <w:t xml:space="preserve"> </w:t>
            </w:r>
            <w:r w:rsidRPr="00F56737">
              <w:rPr>
                <w:rStyle w:val="Hyperlink"/>
                <w:rFonts w:hint="eastAsia"/>
                <w:noProof/>
                <w:sz w:val="32"/>
                <w:szCs w:val="32"/>
                <w:rtl/>
              </w:rPr>
              <w:t>الجديد</w:t>
            </w:r>
            <w:r w:rsidRPr="00F56737">
              <w:rPr>
                <w:rStyle w:val="Hyperlink"/>
                <w:noProof/>
                <w:sz w:val="32"/>
                <w:szCs w:val="32"/>
                <w:rtl/>
              </w:rPr>
              <w:t xml:space="preserve"> </w:t>
            </w:r>
            <w:r w:rsidRPr="00F56737">
              <w:rPr>
                <w:rStyle w:val="Hyperlink"/>
                <w:rFonts w:hint="eastAsia"/>
                <w:noProof/>
                <w:sz w:val="32"/>
                <w:szCs w:val="32"/>
                <w:rtl/>
              </w:rPr>
              <w:t>للدخول</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العدد</w:t>
            </w:r>
            <w:r w:rsidRPr="00F56737">
              <w:rPr>
                <w:rStyle w:val="Hyperlink"/>
                <w:noProof/>
                <w:sz w:val="32"/>
                <w:szCs w:val="32"/>
                <w:rtl/>
              </w:rPr>
              <w:t xml:space="preserve"> 22: 1 – 36: 13)</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_Toc193031055 \h </w:instrText>
            </w:r>
            <w:r w:rsidRPr="00F56737">
              <w:rPr>
                <w:noProof/>
                <w:webHidden/>
                <w:sz w:val="32"/>
                <w:szCs w:val="32"/>
              </w:rPr>
            </w:r>
            <w:r w:rsidRPr="00F56737">
              <w:rPr>
                <w:noProof/>
                <w:webHidden/>
                <w:sz w:val="32"/>
                <w:szCs w:val="32"/>
              </w:rPr>
              <w:fldChar w:fldCharType="separate"/>
            </w:r>
            <w:r w:rsidRPr="00F56737">
              <w:rPr>
                <w:noProof/>
                <w:webHidden/>
                <w:sz w:val="32"/>
                <w:szCs w:val="32"/>
              </w:rPr>
              <w:t>224</w:t>
            </w:r>
            <w:r w:rsidRPr="00F56737">
              <w:rPr>
                <w:noProof/>
                <w:webHidden/>
                <w:sz w:val="32"/>
                <w:szCs w:val="32"/>
              </w:rPr>
              <w:fldChar w:fldCharType="end"/>
            </w:r>
          </w:hyperlink>
        </w:p>
        <w:p w14:paraId="2824CBF7" w14:textId="38A59A50" w:rsidR="00F56737" w:rsidRPr="00F56737" w:rsidRDefault="00F56737" w:rsidP="006C2E6F">
          <w:pPr>
            <w:pStyle w:val="TOC2"/>
            <w:rPr>
              <w:rFonts w:asciiTheme="minorHAnsi" w:eastAsiaTheme="minorEastAsia" w:hAnsiTheme="minorHAnsi" w:cstheme="minorBidi"/>
            </w:rPr>
          </w:pPr>
          <w:hyperlink w:anchor="_Toc193031060" w:history="1">
            <w:r w:rsidRPr="00F56737">
              <w:rPr>
                <w:rStyle w:val="Hyperlink"/>
                <w:rFonts w:hint="eastAsia"/>
                <w:rtl/>
              </w:rPr>
              <w:t>الدرس</w:t>
            </w:r>
            <w:r w:rsidRPr="00F56737">
              <w:rPr>
                <w:rStyle w:val="Hyperlink"/>
                <w:rtl/>
              </w:rPr>
              <w:t xml:space="preserve"> 9: </w:t>
            </w:r>
            <w:r w:rsidRPr="00F56737">
              <w:rPr>
                <w:rStyle w:val="Hyperlink"/>
                <w:rFonts w:hint="eastAsia"/>
                <w:rtl/>
                <w:lang w:bidi="ar-JO"/>
              </w:rPr>
              <w:t>توصية</w:t>
            </w:r>
            <w:r w:rsidRPr="00F56737">
              <w:rPr>
                <w:rStyle w:val="Hyperlink"/>
                <w:rtl/>
                <w:lang w:bidi="ar-JO"/>
              </w:rPr>
              <w:t xml:space="preserve"> </w:t>
            </w:r>
            <w:r w:rsidRPr="00F56737">
              <w:rPr>
                <w:rStyle w:val="Hyperlink"/>
                <w:rFonts w:hint="eastAsia"/>
                <w:rtl/>
                <w:lang w:bidi="ar-JO"/>
              </w:rPr>
              <w:t>الجيل</w:t>
            </w:r>
            <w:r w:rsidRPr="00F56737">
              <w:rPr>
                <w:rStyle w:val="Hyperlink"/>
                <w:rtl/>
                <w:lang w:bidi="ar-JO"/>
              </w:rPr>
              <w:t xml:space="preserve"> </w:t>
            </w:r>
            <w:r w:rsidRPr="00F56737">
              <w:rPr>
                <w:rStyle w:val="Hyperlink"/>
                <w:rFonts w:hint="eastAsia"/>
                <w:rtl/>
                <w:lang w:bidi="ar-JO"/>
              </w:rPr>
              <w:t>الجديد</w:t>
            </w:r>
            <w:r w:rsidRPr="00F56737">
              <w:rPr>
                <w:rStyle w:val="Hyperlink"/>
                <w:rtl/>
                <w:lang w:bidi="ar-JO"/>
              </w:rPr>
              <w:t xml:space="preserve"> (</w:t>
            </w:r>
            <w:r w:rsidRPr="00F56737">
              <w:rPr>
                <w:rStyle w:val="Hyperlink"/>
                <w:rFonts w:hint="eastAsia"/>
                <w:rtl/>
                <w:lang w:bidi="ar-JO"/>
              </w:rPr>
              <w:t>تثنية</w:t>
            </w:r>
            <w:r w:rsidRPr="00F56737">
              <w:rPr>
                <w:rStyle w:val="Hyperlink"/>
                <w:rtl/>
                <w:lang w:bidi="ar-JO"/>
              </w:rPr>
              <w:t xml:space="preserve"> 1-34)</w:t>
            </w:r>
            <w:r w:rsidRPr="00F56737">
              <w:rPr>
                <w:webHidden/>
              </w:rPr>
              <w:tab/>
            </w:r>
            <w:r w:rsidRPr="00F56737">
              <w:rPr>
                <w:webHidden/>
              </w:rPr>
              <w:fldChar w:fldCharType="begin"/>
            </w:r>
            <w:r w:rsidRPr="00F56737">
              <w:rPr>
                <w:webHidden/>
              </w:rPr>
              <w:instrText xml:space="preserve"> PAGEREF _Toc193031060 \h </w:instrText>
            </w:r>
            <w:r w:rsidRPr="00F56737">
              <w:rPr>
                <w:webHidden/>
              </w:rPr>
            </w:r>
            <w:r w:rsidRPr="00F56737">
              <w:rPr>
                <w:webHidden/>
              </w:rPr>
              <w:fldChar w:fldCharType="separate"/>
            </w:r>
            <w:r w:rsidRPr="00F56737">
              <w:rPr>
                <w:webHidden/>
              </w:rPr>
              <w:t>232</w:t>
            </w:r>
            <w:r w:rsidRPr="00F56737">
              <w:rPr>
                <w:webHidden/>
              </w:rPr>
              <w:fldChar w:fldCharType="end"/>
            </w:r>
          </w:hyperlink>
        </w:p>
        <w:p w14:paraId="0F36F921" w14:textId="33A97D88"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64"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مُقدِّمة</w:t>
            </w:r>
            <w:r w:rsidRPr="00F56737">
              <w:rPr>
                <w:rStyle w:val="Hyperlink"/>
                <w:noProof/>
                <w:sz w:val="32"/>
                <w:szCs w:val="32"/>
                <w:rtl/>
              </w:rPr>
              <w:t xml:space="preserve"> </w:t>
            </w:r>
            <w:r w:rsidRPr="00F56737">
              <w:rPr>
                <w:rStyle w:val="Hyperlink"/>
                <w:rFonts w:hint="eastAsia"/>
                <w:noProof/>
                <w:sz w:val="32"/>
                <w:szCs w:val="32"/>
                <w:rtl/>
              </w:rPr>
              <w:t>إلى</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التثنية</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_Toc193031064 \h </w:instrText>
            </w:r>
            <w:r w:rsidRPr="00F56737">
              <w:rPr>
                <w:noProof/>
                <w:webHidden/>
                <w:sz w:val="32"/>
                <w:szCs w:val="32"/>
              </w:rPr>
            </w:r>
            <w:r w:rsidRPr="00F56737">
              <w:rPr>
                <w:noProof/>
                <w:webHidden/>
                <w:sz w:val="32"/>
                <w:szCs w:val="32"/>
              </w:rPr>
              <w:fldChar w:fldCharType="separate"/>
            </w:r>
            <w:r w:rsidRPr="00F56737">
              <w:rPr>
                <w:noProof/>
                <w:webHidden/>
                <w:sz w:val="32"/>
                <w:szCs w:val="32"/>
              </w:rPr>
              <w:t>234</w:t>
            </w:r>
            <w:r w:rsidRPr="00F56737">
              <w:rPr>
                <w:noProof/>
                <w:webHidden/>
                <w:sz w:val="32"/>
                <w:szCs w:val="32"/>
              </w:rPr>
              <w:fldChar w:fldCharType="end"/>
            </w:r>
          </w:hyperlink>
        </w:p>
        <w:p w14:paraId="3A931074" w14:textId="387992FF"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70"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حضٌّ</w:t>
            </w:r>
            <w:r w:rsidRPr="00F56737">
              <w:rPr>
                <w:rStyle w:val="Hyperlink"/>
                <w:noProof/>
                <w:sz w:val="32"/>
                <w:szCs w:val="32"/>
                <w:rtl/>
              </w:rPr>
              <w:t xml:space="preserve"> </w:t>
            </w:r>
            <w:r w:rsidRPr="00F56737">
              <w:rPr>
                <w:rStyle w:val="Hyperlink"/>
                <w:rFonts w:hint="eastAsia"/>
                <w:noProof/>
                <w:sz w:val="32"/>
                <w:szCs w:val="32"/>
                <w:rtl/>
              </w:rPr>
              <w:t>على</w:t>
            </w:r>
            <w:r w:rsidRPr="00F56737">
              <w:rPr>
                <w:rStyle w:val="Hyperlink"/>
                <w:noProof/>
                <w:sz w:val="32"/>
                <w:szCs w:val="32"/>
                <w:rtl/>
              </w:rPr>
              <w:t xml:space="preserve"> </w:t>
            </w:r>
            <w:r w:rsidRPr="00F56737">
              <w:rPr>
                <w:rStyle w:val="Hyperlink"/>
                <w:rFonts w:hint="eastAsia"/>
                <w:noProof/>
                <w:sz w:val="32"/>
                <w:szCs w:val="32"/>
                <w:rtl/>
              </w:rPr>
              <w:t>إطاعة</w:t>
            </w:r>
            <w:r w:rsidRPr="00F56737">
              <w:rPr>
                <w:rStyle w:val="Hyperlink"/>
                <w:noProof/>
                <w:sz w:val="32"/>
                <w:szCs w:val="32"/>
                <w:rtl/>
              </w:rPr>
              <w:t xml:space="preserve"> </w:t>
            </w:r>
            <w:r w:rsidRPr="00F56737">
              <w:rPr>
                <w:rStyle w:val="Hyperlink"/>
                <w:rFonts w:hint="eastAsia"/>
                <w:noProof/>
                <w:sz w:val="32"/>
                <w:szCs w:val="32"/>
                <w:rtl/>
              </w:rPr>
              <w:t>العهد</w:t>
            </w:r>
            <w:r w:rsidRPr="00F56737">
              <w:rPr>
                <w:rStyle w:val="Hyperlink"/>
                <w:noProof/>
                <w:sz w:val="32"/>
                <w:szCs w:val="32"/>
                <w:rtl/>
              </w:rPr>
              <w:t xml:space="preserve"> (</w:t>
            </w:r>
            <w:r w:rsidRPr="00F56737">
              <w:rPr>
                <w:rStyle w:val="Hyperlink"/>
                <w:rFonts w:hint="eastAsia"/>
                <w:noProof/>
                <w:sz w:val="32"/>
                <w:szCs w:val="32"/>
                <w:rtl/>
              </w:rPr>
              <w:t>تثنية</w:t>
            </w:r>
            <w:r w:rsidRPr="00F56737">
              <w:rPr>
                <w:rStyle w:val="Hyperlink"/>
                <w:noProof/>
                <w:sz w:val="32"/>
                <w:szCs w:val="32"/>
                <w:rtl/>
              </w:rPr>
              <w:t xml:space="preserve"> 1: 1 – 4: 43)</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_Toc193031070 \h </w:instrText>
            </w:r>
            <w:r w:rsidRPr="00F56737">
              <w:rPr>
                <w:noProof/>
                <w:webHidden/>
                <w:sz w:val="32"/>
                <w:szCs w:val="32"/>
              </w:rPr>
            </w:r>
            <w:r w:rsidRPr="00F56737">
              <w:rPr>
                <w:noProof/>
                <w:webHidden/>
                <w:sz w:val="32"/>
                <w:szCs w:val="32"/>
              </w:rPr>
              <w:fldChar w:fldCharType="separate"/>
            </w:r>
            <w:r w:rsidRPr="00F56737">
              <w:rPr>
                <w:noProof/>
                <w:webHidden/>
                <w:sz w:val="32"/>
                <w:szCs w:val="32"/>
              </w:rPr>
              <w:t>250</w:t>
            </w:r>
            <w:r w:rsidRPr="00F56737">
              <w:rPr>
                <w:noProof/>
                <w:webHidden/>
                <w:sz w:val="32"/>
                <w:szCs w:val="32"/>
              </w:rPr>
              <w:fldChar w:fldCharType="end"/>
            </w:r>
          </w:hyperlink>
        </w:p>
        <w:p w14:paraId="10F36EAE" w14:textId="7C7B1426"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76"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بنود</w:t>
            </w:r>
            <w:r w:rsidRPr="00F56737">
              <w:rPr>
                <w:rStyle w:val="Hyperlink"/>
                <w:noProof/>
                <w:sz w:val="32"/>
                <w:szCs w:val="32"/>
                <w:rtl/>
              </w:rPr>
              <w:t xml:space="preserve"> </w:t>
            </w:r>
            <w:r w:rsidRPr="00F56737">
              <w:rPr>
                <w:rStyle w:val="Hyperlink"/>
                <w:rFonts w:hint="eastAsia"/>
                <w:noProof/>
                <w:sz w:val="32"/>
                <w:szCs w:val="32"/>
                <w:rtl/>
              </w:rPr>
              <w:t>العهد</w:t>
            </w:r>
            <w:r w:rsidRPr="00F56737">
              <w:rPr>
                <w:rStyle w:val="Hyperlink"/>
                <w:noProof/>
                <w:sz w:val="32"/>
                <w:szCs w:val="32"/>
                <w:rtl/>
              </w:rPr>
              <w:t xml:space="preserve"> </w:t>
            </w:r>
            <w:r w:rsidRPr="00F56737">
              <w:rPr>
                <w:rStyle w:val="Hyperlink"/>
                <w:rFonts w:hint="eastAsia"/>
                <w:noProof/>
                <w:sz w:val="32"/>
                <w:szCs w:val="32"/>
                <w:rtl/>
              </w:rPr>
              <w:t>المُجدَّد</w:t>
            </w:r>
            <w:r w:rsidRPr="00F56737">
              <w:rPr>
                <w:rStyle w:val="Hyperlink"/>
                <w:noProof/>
                <w:sz w:val="32"/>
                <w:szCs w:val="32"/>
                <w:rtl/>
              </w:rPr>
              <w:t xml:space="preserve"> (</w:t>
            </w:r>
            <w:r w:rsidRPr="00F56737">
              <w:rPr>
                <w:rStyle w:val="Hyperlink"/>
                <w:rFonts w:hint="eastAsia"/>
                <w:noProof/>
                <w:sz w:val="32"/>
                <w:szCs w:val="32"/>
                <w:rtl/>
              </w:rPr>
              <w:t>تثنية</w:t>
            </w:r>
            <w:r w:rsidRPr="00F56737">
              <w:rPr>
                <w:rStyle w:val="Hyperlink"/>
                <w:noProof/>
                <w:sz w:val="32"/>
                <w:szCs w:val="32"/>
                <w:rtl/>
              </w:rPr>
              <w:t xml:space="preserve"> 4: 44 – 26: 19)</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_Toc193031076 \h </w:instrText>
            </w:r>
            <w:r w:rsidRPr="00F56737">
              <w:rPr>
                <w:noProof/>
                <w:webHidden/>
                <w:sz w:val="32"/>
                <w:szCs w:val="32"/>
              </w:rPr>
            </w:r>
            <w:r w:rsidRPr="00F56737">
              <w:rPr>
                <w:noProof/>
                <w:webHidden/>
                <w:sz w:val="32"/>
                <w:szCs w:val="32"/>
              </w:rPr>
              <w:fldChar w:fldCharType="separate"/>
            </w:r>
            <w:r w:rsidRPr="00F56737">
              <w:rPr>
                <w:noProof/>
                <w:webHidden/>
                <w:sz w:val="32"/>
                <w:szCs w:val="32"/>
              </w:rPr>
              <w:t>257</w:t>
            </w:r>
            <w:r w:rsidRPr="00F56737">
              <w:rPr>
                <w:noProof/>
                <w:webHidden/>
                <w:sz w:val="32"/>
                <w:szCs w:val="32"/>
              </w:rPr>
              <w:fldChar w:fldCharType="end"/>
            </w:r>
          </w:hyperlink>
        </w:p>
        <w:p w14:paraId="1FF1A1E5" w14:textId="14D64329"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79" w:history="1">
            <w:r w:rsidRPr="00F56737">
              <w:rPr>
                <w:rStyle w:val="Hyperlink"/>
                <w:rFonts w:hint="eastAsia"/>
                <w:noProof/>
                <w:sz w:val="32"/>
                <w:szCs w:val="32"/>
                <w:rtl/>
              </w:rPr>
              <w:t>الموضوع</w:t>
            </w:r>
            <w:r w:rsidRPr="00F56737">
              <w:rPr>
                <w:rStyle w:val="Hyperlink"/>
                <w:noProof/>
                <w:sz w:val="32"/>
                <w:szCs w:val="32"/>
                <w:rtl/>
              </w:rPr>
              <w:t xml:space="preserve"> 4: </w:t>
            </w:r>
            <w:r w:rsidRPr="00F56737">
              <w:rPr>
                <w:rStyle w:val="Hyperlink"/>
                <w:rFonts w:hint="eastAsia"/>
                <w:noProof/>
                <w:sz w:val="32"/>
                <w:szCs w:val="32"/>
                <w:rtl/>
              </w:rPr>
              <w:t>مستقبل</w:t>
            </w:r>
            <w:r w:rsidRPr="00F56737">
              <w:rPr>
                <w:rStyle w:val="Hyperlink"/>
                <w:noProof/>
                <w:sz w:val="32"/>
                <w:szCs w:val="32"/>
                <w:rtl/>
              </w:rPr>
              <w:t xml:space="preserve"> </w:t>
            </w:r>
            <w:r w:rsidRPr="00F56737">
              <w:rPr>
                <w:rStyle w:val="Hyperlink"/>
                <w:rFonts w:hint="eastAsia"/>
                <w:noProof/>
                <w:sz w:val="32"/>
                <w:szCs w:val="32"/>
                <w:rtl/>
              </w:rPr>
              <w:t>أمّة</w:t>
            </w:r>
            <w:r w:rsidRPr="00F56737">
              <w:rPr>
                <w:rStyle w:val="Hyperlink"/>
                <w:noProof/>
                <w:sz w:val="32"/>
                <w:szCs w:val="32"/>
                <w:rtl/>
              </w:rPr>
              <w:t xml:space="preserve"> </w:t>
            </w:r>
            <w:r w:rsidRPr="00F56737">
              <w:rPr>
                <w:rStyle w:val="Hyperlink"/>
                <w:rFonts w:hint="eastAsia"/>
                <w:noProof/>
                <w:sz w:val="32"/>
                <w:szCs w:val="32"/>
                <w:rtl/>
              </w:rPr>
              <w:t>العهد</w:t>
            </w:r>
            <w:r w:rsidRPr="00F56737">
              <w:rPr>
                <w:rStyle w:val="Hyperlink"/>
                <w:noProof/>
                <w:sz w:val="32"/>
                <w:szCs w:val="32"/>
                <w:rtl/>
              </w:rPr>
              <w:t xml:space="preserve"> (</w:t>
            </w:r>
            <w:r w:rsidRPr="00F56737">
              <w:rPr>
                <w:rStyle w:val="Hyperlink"/>
                <w:rFonts w:hint="eastAsia"/>
                <w:noProof/>
                <w:sz w:val="32"/>
                <w:szCs w:val="32"/>
                <w:rtl/>
              </w:rPr>
              <w:t>تثنية</w:t>
            </w:r>
            <w:r w:rsidRPr="00F56737">
              <w:rPr>
                <w:rStyle w:val="Hyperlink"/>
                <w:noProof/>
                <w:sz w:val="32"/>
                <w:szCs w:val="32"/>
                <w:rtl/>
              </w:rPr>
              <w:t xml:space="preserve"> 27: 1 – 34: 12)</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_Toc193031079 \h </w:instrText>
            </w:r>
            <w:r w:rsidRPr="00F56737">
              <w:rPr>
                <w:noProof/>
                <w:webHidden/>
                <w:sz w:val="32"/>
                <w:szCs w:val="32"/>
              </w:rPr>
            </w:r>
            <w:r w:rsidRPr="00F56737">
              <w:rPr>
                <w:noProof/>
                <w:webHidden/>
                <w:sz w:val="32"/>
                <w:szCs w:val="32"/>
              </w:rPr>
              <w:fldChar w:fldCharType="separate"/>
            </w:r>
            <w:r w:rsidRPr="00F56737">
              <w:rPr>
                <w:noProof/>
                <w:webHidden/>
                <w:sz w:val="32"/>
                <w:szCs w:val="32"/>
              </w:rPr>
              <w:t>260</w:t>
            </w:r>
            <w:r w:rsidRPr="00F56737">
              <w:rPr>
                <w:noProof/>
                <w:webHidden/>
                <w:sz w:val="32"/>
                <w:szCs w:val="32"/>
              </w:rPr>
              <w:fldChar w:fldCharType="end"/>
            </w:r>
          </w:hyperlink>
        </w:p>
        <w:p w14:paraId="68F502B6" w14:textId="14423B46" w:rsidR="00F56737" w:rsidRPr="00F56737" w:rsidRDefault="00F56737" w:rsidP="006C2E6F">
          <w:pPr>
            <w:pStyle w:val="TOC2"/>
            <w:rPr>
              <w:rFonts w:asciiTheme="minorHAnsi" w:eastAsiaTheme="minorEastAsia" w:hAnsiTheme="minorHAnsi" w:cstheme="minorBidi"/>
            </w:rPr>
          </w:pPr>
          <w:hyperlink w:anchor="_Toc193031085" w:history="1">
            <w:r w:rsidRPr="00F56737">
              <w:rPr>
                <w:rStyle w:val="Hyperlink"/>
                <w:rFonts w:hint="eastAsia"/>
                <w:rtl/>
              </w:rPr>
              <w:t>الوحدة</w:t>
            </w:r>
            <w:r w:rsidRPr="00F56737">
              <w:rPr>
                <w:rStyle w:val="Hyperlink"/>
                <w:rtl/>
              </w:rPr>
              <w:t xml:space="preserve"> 4: </w:t>
            </w:r>
            <w:r w:rsidRPr="00F56737">
              <w:rPr>
                <w:rStyle w:val="Hyperlink"/>
                <w:rFonts w:hint="eastAsia"/>
                <w:rtl/>
              </w:rPr>
              <w:t>فتح</w:t>
            </w:r>
            <w:r w:rsidRPr="00F56737">
              <w:rPr>
                <w:rStyle w:val="Hyperlink"/>
                <w:rtl/>
              </w:rPr>
              <w:t xml:space="preserve"> </w:t>
            </w:r>
            <w:r w:rsidRPr="00F56737">
              <w:rPr>
                <w:rStyle w:val="Hyperlink"/>
                <w:rFonts w:hint="eastAsia"/>
                <w:rtl/>
              </w:rPr>
              <w:t>الأرض</w:t>
            </w:r>
            <w:r w:rsidRPr="00F56737">
              <w:rPr>
                <w:rStyle w:val="Hyperlink"/>
                <w:rtl/>
              </w:rPr>
              <w:t xml:space="preserve"> </w:t>
            </w:r>
            <w:r w:rsidRPr="00F56737">
              <w:rPr>
                <w:rStyle w:val="Hyperlink"/>
                <w:rFonts w:hint="eastAsia"/>
                <w:rtl/>
              </w:rPr>
              <w:t>والصراعات</w:t>
            </w:r>
            <w:r w:rsidRPr="00F56737">
              <w:rPr>
                <w:rStyle w:val="Hyperlink"/>
                <w:rtl/>
              </w:rPr>
              <w:t xml:space="preserve"> </w:t>
            </w:r>
            <w:r w:rsidRPr="00F56737">
              <w:rPr>
                <w:rStyle w:val="Hyperlink"/>
                <w:rFonts w:hint="eastAsia"/>
                <w:rtl/>
              </w:rPr>
              <w:t>في</w:t>
            </w:r>
            <w:r w:rsidRPr="00F56737">
              <w:rPr>
                <w:rStyle w:val="Hyperlink"/>
                <w:rtl/>
              </w:rPr>
              <w:t xml:space="preserve"> </w:t>
            </w:r>
            <w:r w:rsidRPr="00F56737">
              <w:rPr>
                <w:rStyle w:val="Hyperlink"/>
                <w:rFonts w:hint="eastAsia"/>
                <w:rtl/>
              </w:rPr>
              <w:t>أرض</w:t>
            </w:r>
            <w:r w:rsidRPr="00F56737">
              <w:rPr>
                <w:rStyle w:val="Hyperlink"/>
                <w:rtl/>
              </w:rPr>
              <w:t xml:space="preserve"> </w:t>
            </w:r>
            <w:r w:rsidRPr="00F56737">
              <w:rPr>
                <w:rStyle w:val="Hyperlink"/>
                <w:rFonts w:hint="eastAsia"/>
                <w:rtl/>
              </w:rPr>
              <w:t>الموعد</w:t>
            </w:r>
            <w:r w:rsidRPr="00F56737">
              <w:rPr>
                <w:rStyle w:val="Hyperlink"/>
              </w:rPr>
              <w:t xml:space="preserve"> </w:t>
            </w:r>
            <w:r w:rsidRPr="00F56737">
              <w:rPr>
                <w:rStyle w:val="Hyperlink"/>
                <w:rtl/>
                <w:lang w:bidi="ar-JO"/>
              </w:rPr>
              <w:t>(</w:t>
            </w:r>
            <w:r w:rsidRPr="00F56737">
              <w:rPr>
                <w:rStyle w:val="Hyperlink"/>
                <w:rFonts w:hint="eastAsia"/>
                <w:rtl/>
                <w:lang w:bidi="ar-JO"/>
              </w:rPr>
              <w:t>يشوع</w:t>
            </w:r>
            <w:r w:rsidRPr="00F56737">
              <w:rPr>
                <w:rStyle w:val="Hyperlink"/>
                <w:rtl/>
                <w:lang w:bidi="ar-JO"/>
              </w:rPr>
              <w:t xml:space="preserve"> – </w:t>
            </w:r>
            <w:r w:rsidRPr="00F56737">
              <w:rPr>
                <w:rStyle w:val="Hyperlink"/>
                <w:rFonts w:hint="eastAsia"/>
                <w:rtl/>
                <w:lang w:bidi="ar-JO"/>
              </w:rPr>
              <w:t>راعوث</w:t>
            </w:r>
            <w:r w:rsidRPr="00F56737">
              <w:rPr>
                <w:rStyle w:val="Hyperlink"/>
                <w:rtl/>
                <w:lang w:bidi="ar-JO"/>
              </w:rPr>
              <w:t>)</w:t>
            </w:r>
            <w:r w:rsidRPr="00F56737">
              <w:rPr>
                <w:webHidden/>
              </w:rPr>
              <w:tab/>
            </w:r>
            <w:r w:rsidRPr="00F56737">
              <w:rPr>
                <w:webHidden/>
              </w:rPr>
              <w:fldChar w:fldCharType="begin"/>
            </w:r>
            <w:r w:rsidRPr="00F56737">
              <w:rPr>
                <w:webHidden/>
              </w:rPr>
              <w:instrText xml:space="preserve"> PAGEREF _Toc193031085 \h </w:instrText>
            </w:r>
            <w:r w:rsidRPr="00F56737">
              <w:rPr>
                <w:webHidden/>
              </w:rPr>
            </w:r>
            <w:r w:rsidRPr="00F56737">
              <w:rPr>
                <w:webHidden/>
              </w:rPr>
              <w:fldChar w:fldCharType="separate"/>
            </w:r>
            <w:r w:rsidRPr="00F56737">
              <w:rPr>
                <w:webHidden/>
              </w:rPr>
              <w:t>269</w:t>
            </w:r>
            <w:r w:rsidRPr="00F56737">
              <w:rPr>
                <w:webHidden/>
              </w:rPr>
              <w:fldChar w:fldCharType="end"/>
            </w:r>
          </w:hyperlink>
        </w:p>
        <w:p w14:paraId="478E8E03" w14:textId="3DF2FA65" w:rsidR="00F56737" w:rsidRPr="00F56737" w:rsidRDefault="00F56737" w:rsidP="006C2E6F">
          <w:pPr>
            <w:pStyle w:val="TOC2"/>
            <w:rPr>
              <w:rFonts w:asciiTheme="minorHAnsi" w:eastAsiaTheme="minorEastAsia" w:hAnsiTheme="minorHAnsi" w:cstheme="minorBidi"/>
            </w:rPr>
          </w:pPr>
          <w:hyperlink w:anchor="_Toc193031088" w:history="1">
            <w:r w:rsidRPr="00F56737">
              <w:rPr>
                <w:rStyle w:val="Hyperlink"/>
                <w:rFonts w:hint="eastAsia"/>
                <w:rtl/>
              </w:rPr>
              <w:t>الدرس</w:t>
            </w:r>
            <w:r w:rsidRPr="00F56737">
              <w:rPr>
                <w:rStyle w:val="Hyperlink"/>
                <w:rtl/>
              </w:rPr>
              <w:t xml:space="preserve"> 10: </w:t>
            </w:r>
            <w:r w:rsidRPr="00F56737">
              <w:rPr>
                <w:rStyle w:val="Hyperlink"/>
                <w:rFonts w:hint="eastAsia"/>
                <w:rtl/>
              </w:rPr>
              <w:t>فتح</w:t>
            </w:r>
            <w:r w:rsidRPr="00F56737">
              <w:rPr>
                <w:rStyle w:val="Hyperlink"/>
                <w:rtl/>
              </w:rPr>
              <w:t xml:space="preserve"> </w:t>
            </w:r>
            <w:r w:rsidRPr="00F56737">
              <w:rPr>
                <w:rStyle w:val="Hyperlink"/>
                <w:rFonts w:hint="eastAsia"/>
                <w:rtl/>
              </w:rPr>
              <w:t>الأرض</w:t>
            </w:r>
            <w:r w:rsidRPr="00F56737">
              <w:rPr>
                <w:rStyle w:val="Hyperlink"/>
                <w:rtl/>
              </w:rPr>
              <w:t xml:space="preserve"> </w:t>
            </w:r>
            <w:r w:rsidRPr="00F56737">
              <w:rPr>
                <w:rStyle w:val="Hyperlink"/>
                <w:rFonts w:hint="eastAsia"/>
                <w:rtl/>
              </w:rPr>
              <w:t>وتوزيعها</w:t>
            </w:r>
            <w:r w:rsidRPr="00F56737">
              <w:rPr>
                <w:rStyle w:val="Hyperlink"/>
                <w:rtl/>
              </w:rPr>
              <w:t xml:space="preserve"> </w:t>
            </w:r>
            <w:r w:rsidRPr="00F56737">
              <w:rPr>
                <w:rStyle w:val="Hyperlink"/>
                <w:rFonts w:hint="eastAsia"/>
                <w:rtl/>
              </w:rPr>
              <w:t>على</w:t>
            </w:r>
            <w:r w:rsidRPr="00F56737">
              <w:rPr>
                <w:rStyle w:val="Hyperlink"/>
                <w:rtl/>
              </w:rPr>
              <w:t xml:space="preserve"> </w:t>
            </w:r>
            <w:r w:rsidRPr="00F56737">
              <w:rPr>
                <w:rStyle w:val="Hyperlink"/>
                <w:rFonts w:hint="eastAsia"/>
                <w:rtl/>
              </w:rPr>
              <w:t>الأسباط</w:t>
            </w:r>
            <w:r w:rsidRPr="00F56737">
              <w:rPr>
                <w:rStyle w:val="Hyperlink"/>
                <w:rtl/>
              </w:rPr>
              <w:t xml:space="preserve"> (</w:t>
            </w:r>
            <w:r w:rsidRPr="00F56737">
              <w:rPr>
                <w:rStyle w:val="Hyperlink"/>
                <w:rFonts w:hint="eastAsia"/>
                <w:rtl/>
              </w:rPr>
              <w:t>يشوع</w:t>
            </w:r>
            <w:r w:rsidRPr="00F56737">
              <w:rPr>
                <w:rStyle w:val="Hyperlink"/>
                <w:rtl/>
              </w:rPr>
              <w:t xml:space="preserve"> 1-24)</w:t>
            </w:r>
            <w:r w:rsidRPr="00F56737">
              <w:rPr>
                <w:webHidden/>
              </w:rPr>
              <w:tab/>
            </w:r>
            <w:r w:rsidRPr="00F56737">
              <w:rPr>
                <w:webHidden/>
              </w:rPr>
              <w:fldChar w:fldCharType="begin"/>
            </w:r>
            <w:r w:rsidRPr="00F56737">
              <w:rPr>
                <w:webHidden/>
              </w:rPr>
              <w:instrText xml:space="preserve"> PAGEREF _Toc193031088 \h </w:instrText>
            </w:r>
            <w:r w:rsidRPr="00F56737">
              <w:rPr>
                <w:webHidden/>
              </w:rPr>
            </w:r>
            <w:r w:rsidRPr="00F56737">
              <w:rPr>
                <w:webHidden/>
              </w:rPr>
              <w:fldChar w:fldCharType="separate"/>
            </w:r>
            <w:r w:rsidRPr="00F56737">
              <w:rPr>
                <w:webHidden/>
              </w:rPr>
              <w:t>271</w:t>
            </w:r>
            <w:r w:rsidRPr="00F56737">
              <w:rPr>
                <w:webHidden/>
              </w:rPr>
              <w:fldChar w:fldCharType="end"/>
            </w:r>
          </w:hyperlink>
        </w:p>
        <w:p w14:paraId="31E447A2" w14:textId="5FDB8FC7"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092"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مُقدِّمة</w:t>
            </w:r>
            <w:r w:rsidRPr="00F56737">
              <w:rPr>
                <w:rStyle w:val="Hyperlink"/>
                <w:noProof/>
                <w:sz w:val="32"/>
                <w:szCs w:val="32"/>
                <w:rtl/>
              </w:rPr>
              <w:t xml:space="preserve"> </w:t>
            </w:r>
            <w:r w:rsidRPr="00F56737">
              <w:rPr>
                <w:rStyle w:val="Hyperlink"/>
                <w:rFonts w:hint="eastAsia"/>
                <w:noProof/>
                <w:sz w:val="32"/>
                <w:szCs w:val="32"/>
                <w:rtl/>
              </w:rPr>
              <w:t>إلى</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يشوع</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_Toc193031092 \h </w:instrText>
            </w:r>
            <w:r w:rsidRPr="00F56737">
              <w:rPr>
                <w:noProof/>
                <w:webHidden/>
                <w:sz w:val="32"/>
                <w:szCs w:val="32"/>
              </w:rPr>
            </w:r>
            <w:r w:rsidRPr="00F56737">
              <w:rPr>
                <w:noProof/>
                <w:webHidden/>
                <w:sz w:val="32"/>
                <w:szCs w:val="32"/>
              </w:rPr>
              <w:fldChar w:fldCharType="separate"/>
            </w:r>
            <w:r w:rsidRPr="00F56737">
              <w:rPr>
                <w:noProof/>
                <w:webHidden/>
                <w:sz w:val="32"/>
                <w:szCs w:val="32"/>
              </w:rPr>
              <w:t>273</w:t>
            </w:r>
            <w:r w:rsidRPr="00F56737">
              <w:rPr>
                <w:noProof/>
                <w:webHidden/>
                <w:sz w:val="32"/>
                <w:szCs w:val="32"/>
              </w:rPr>
              <w:fldChar w:fldCharType="end"/>
            </w:r>
          </w:hyperlink>
        </w:p>
        <w:p w14:paraId="7AB1E0B0" w14:textId="62A6703F"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100"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الاستيلاء</w:t>
            </w:r>
            <w:r w:rsidRPr="00F56737">
              <w:rPr>
                <w:rStyle w:val="Hyperlink"/>
                <w:noProof/>
                <w:sz w:val="32"/>
                <w:szCs w:val="32"/>
                <w:rtl/>
              </w:rPr>
              <w:t xml:space="preserve"> </w:t>
            </w:r>
            <w:r w:rsidRPr="00F56737">
              <w:rPr>
                <w:rStyle w:val="Hyperlink"/>
                <w:rFonts w:hint="eastAsia"/>
                <w:noProof/>
                <w:sz w:val="32"/>
                <w:szCs w:val="32"/>
                <w:rtl/>
              </w:rPr>
              <w:t>على</w:t>
            </w:r>
            <w:r w:rsidRPr="00F56737">
              <w:rPr>
                <w:rStyle w:val="Hyperlink"/>
                <w:noProof/>
                <w:sz w:val="32"/>
                <w:szCs w:val="32"/>
                <w:rtl/>
              </w:rPr>
              <w:t xml:space="preserve"> </w:t>
            </w:r>
            <w:r w:rsidRPr="00F56737">
              <w:rPr>
                <w:rStyle w:val="Hyperlink"/>
                <w:rFonts w:hint="eastAsia"/>
                <w:noProof/>
                <w:sz w:val="32"/>
                <w:szCs w:val="32"/>
                <w:rtl/>
              </w:rPr>
              <w:t>أرض</w:t>
            </w:r>
            <w:r w:rsidRPr="00F56737">
              <w:rPr>
                <w:rStyle w:val="Hyperlink"/>
                <w:noProof/>
                <w:sz w:val="32"/>
                <w:szCs w:val="32"/>
                <w:rtl/>
              </w:rPr>
              <w:t xml:space="preserve"> </w:t>
            </w:r>
            <w:r w:rsidRPr="00F56737">
              <w:rPr>
                <w:rStyle w:val="Hyperlink"/>
                <w:rFonts w:hint="eastAsia"/>
                <w:noProof/>
                <w:sz w:val="32"/>
                <w:szCs w:val="32"/>
                <w:rtl/>
              </w:rPr>
              <w:t>كنعان</w:t>
            </w:r>
            <w:r w:rsidRPr="00F56737">
              <w:rPr>
                <w:rStyle w:val="Hyperlink"/>
                <w:noProof/>
                <w:sz w:val="32"/>
                <w:szCs w:val="32"/>
                <w:rtl/>
              </w:rPr>
              <w:t xml:space="preserve"> (</w:t>
            </w:r>
            <w:r w:rsidRPr="00F56737">
              <w:rPr>
                <w:rStyle w:val="Hyperlink"/>
                <w:rFonts w:hint="eastAsia"/>
                <w:noProof/>
                <w:sz w:val="32"/>
                <w:szCs w:val="32"/>
                <w:rtl/>
              </w:rPr>
              <w:t>يشوع</w:t>
            </w:r>
            <w:r w:rsidRPr="00F56737">
              <w:rPr>
                <w:rStyle w:val="Hyperlink"/>
                <w:noProof/>
                <w:sz w:val="32"/>
                <w:szCs w:val="32"/>
                <w:rtl/>
              </w:rPr>
              <w:t xml:space="preserve"> 1: 1 – 12: 24)</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_Toc193031100 \h </w:instrText>
            </w:r>
            <w:r w:rsidRPr="00F56737">
              <w:rPr>
                <w:noProof/>
                <w:webHidden/>
                <w:sz w:val="32"/>
                <w:szCs w:val="32"/>
              </w:rPr>
            </w:r>
            <w:r w:rsidRPr="00F56737">
              <w:rPr>
                <w:noProof/>
                <w:webHidden/>
                <w:sz w:val="32"/>
                <w:szCs w:val="32"/>
              </w:rPr>
              <w:fldChar w:fldCharType="separate"/>
            </w:r>
            <w:r w:rsidRPr="00F56737">
              <w:rPr>
                <w:noProof/>
                <w:webHidden/>
                <w:sz w:val="32"/>
                <w:szCs w:val="32"/>
              </w:rPr>
              <w:t>278</w:t>
            </w:r>
            <w:r w:rsidRPr="00F56737">
              <w:rPr>
                <w:noProof/>
                <w:webHidden/>
                <w:sz w:val="32"/>
                <w:szCs w:val="32"/>
              </w:rPr>
              <w:fldChar w:fldCharType="end"/>
            </w:r>
          </w:hyperlink>
        </w:p>
        <w:p w14:paraId="4BDD909F" w14:textId="0D7789F0"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110"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توزيع</w:t>
            </w:r>
            <w:r w:rsidRPr="00F56737">
              <w:rPr>
                <w:rStyle w:val="Hyperlink"/>
                <w:noProof/>
                <w:sz w:val="32"/>
                <w:szCs w:val="32"/>
                <w:rtl/>
              </w:rPr>
              <w:t xml:space="preserve"> </w:t>
            </w:r>
            <w:r w:rsidRPr="00F56737">
              <w:rPr>
                <w:rStyle w:val="Hyperlink"/>
                <w:rFonts w:hint="eastAsia"/>
                <w:noProof/>
                <w:sz w:val="32"/>
                <w:szCs w:val="32"/>
                <w:rtl/>
              </w:rPr>
              <w:t>الأرض</w:t>
            </w:r>
            <w:r w:rsidRPr="00F56737">
              <w:rPr>
                <w:rStyle w:val="Hyperlink"/>
                <w:noProof/>
                <w:sz w:val="32"/>
                <w:szCs w:val="32"/>
                <w:rtl/>
              </w:rPr>
              <w:t xml:space="preserve"> </w:t>
            </w:r>
            <w:r w:rsidRPr="00F56737">
              <w:rPr>
                <w:rStyle w:val="Hyperlink"/>
                <w:rFonts w:hint="eastAsia"/>
                <w:noProof/>
                <w:sz w:val="32"/>
                <w:szCs w:val="32"/>
                <w:rtl/>
              </w:rPr>
              <w:t>حصصًا</w:t>
            </w:r>
            <w:r w:rsidRPr="00F56737">
              <w:rPr>
                <w:rStyle w:val="Hyperlink"/>
                <w:noProof/>
                <w:sz w:val="32"/>
                <w:szCs w:val="32"/>
                <w:rtl/>
              </w:rPr>
              <w:t xml:space="preserve"> (</w:t>
            </w:r>
            <w:r w:rsidRPr="00F56737">
              <w:rPr>
                <w:rStyle w:val="Hyperlink"/>
                <w:rFonts w:hint="eastAsia"/>
                <w:noProof/>
                <w:sz w:val="32"/>
                <w:szCs w:val="32"/>
                <w:rtl/>
              </w:rPr>
              <w:t>يشوع</w:t>
            </w:r>
            <w:r w:rsidRPr="00F56737">
              <w:rPr>
                <w:rStyle w:val="Hyperlink"/>
                <w:noProof/>
                <w:sz w:val="32"/>
                <w:szCs w:val="32"/>
                <w:rtl/>
              </w:rPr>
              <w:t xml:space="preserve"> 13: 1 – 24: 33)</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_Toc193031110 \h </w:instrText>
            </w:r>
            <w:r w:rsidRPr="00F56737">
              <w:rPr>
                <w:noProof/>
                <w:webHidden/>
                <w:sz w:val="32"/>
                <w:szCs w:val="32"/>
              </w:rPr>
            </w:r>
            <w:r w:rsidRPr="00F56737">
              <w:rPr>
                <w:noProof/>
                <w:webHidden/>
                <w:sz w:val="32"/>
                <w:szCs w:val="32"/>
              </w:rPr>
              <w:fldChar w:fldCharType="separate"/>
            </w:r>
            <w:r w:rsidRPr="00F56737">
              <w:rPr>
                <w:noProof/>
                <w:webHidden/>
                <w:sz w:val="32"/>
                <w:szCs w:val="32"/>
              </w:rPr>
              <w:t>289</w:t>
            </w:r>
            <w:r w:rsidRPr="00F56737">
              <w:rPr>
                <w:noProof/>
                <w:webHidden/>
                <w:sz w:val="32"/>
                <w:szCs w:val="32"/>
              </w:rPr>
              <w:fldChar w:fldCharType="end"/>
            </w:r>
          </w:hyperlink>
        </w:p>
        <w:p w14:paraId="5BB476B4" w14:textId="686DB2D7" w:rsidR="00F56737" w:rsidRPr="00F56737" w:rsidRDefault="00F56737" w:rsidP="00F56737">
          <w:pPr>
            <w:pStyle w:val="TOC3"/>
            <w:tabs>
              <w:tab w:val="left" w:pos="2232"/>
              <w:tab w:val="right" w:leader="dot" w:pos="9350"/>
            </w:tabs>
            <w:spacing w:before="0"/>
            <w:rPr>
              <w:rFonts w:asciiTheme="minorHAnsi" w:eastAsiaTheme="minorEastAsia" w:hAnsiTheme="minorHAnsi" w:cstheme="minorBidi"/>
              <w:noProof/>
              <w:sz w:val="32"/>
              <w:szCs w:val="32"/>
            </w:rPr>
          </w:pPr>
        </w:p>
        <w:p w14:paraId="353AC157" w14:textId="4F62F111" w:rsidR="00F56737" w:rsidRPr="00F56737" w:rsidRDefault="00F56737" w:rsidP="006C2E6F">
          <w:pPr>
            <w:pStyle w:val="TOC2"/>
            <w:rPr>
              <w:rFonts w:asciiTheme="minorHAnsi" w:eastAsiaTheme="minorEastAsia" w:hAnsiTheme="minorHAnsi" w:cstheme="minorBidi"/>
            </w:rPr>
          </w:pPr>
          <w:hyperlink w:anchor="_Toc193031115" w:history="1">
            <w:r w:rsidRPr="00F56737">
              <w:rPr>
                <w:rStyle w:val="Hyperlink"/>
                <w:rFonts w:hint="eastAsia"/>
                <w:rtl/>
              </w:rPr>
              <w:t>الدرس</w:t>
            </w:r>
            <w:r w:rsidRPr="00F56737">
              <w:rPr>
                <w:rStyle w:val="Hyperlink"/>
                <w:rtl/>
              </w:rPr>
              <w:t xml:space="preserve"> 11: </w:t>
            </w:r>
            <w:r w:rsidRPr="00F56737">
              <w:rPr>
                <w:rStyle w:val="Hyperlink"/>
                <w:rFonts w:hint="eastAsia"/>
                <w:rtl/>
              </w:rPr>
              <w:t>ضلال</w:t>
            </w:r>
            <w:r w:rsidRPr="00F56737">
              <w:rPr>
                <w:rStyle w:val="Hyperlink"/>
                <w:rtl/>
              </w:rPr>
              <w:t xml:space="preserve"> </w:t>
            </w:r>
            <w:r w:rsidRPr="00F56737">
              <w:rPr>
                <w:rStyle w:val="Hyperlink"/>
                <w:rFonts w:hint="eastAsia"/>
                <w:rtl/>
              </w:rPr>
              <w:t>إسرائيل</w:t>
            </w:r>
            <w:r w:rsidRPr="00F56737">
              <w:rPr>
                <w:rStyle w:val="Hyperlink"/>
                <w:rtl/>
              </w:rPr>
              <w:t xml:space="preserve"> </w:t>
            </w:r>
            <w:r w:rsidRPr="00F56737">
              <w:rPr>
                <w:rStyle w:val="Hyperlink"/>
                <w:rFonts w:hint="eastAsia"/>
                <w:rtl/>
              </w:rPr>
              <w:t>في</w:t>
            </w:r>
            <w:r w:rsidRPr="00F56737">
              <w:rPr>
                <w:rStyle w:val="Hyperlink"/>
                <w:rtl/>
              </w:rPr>
              <w:t xml:space="preserve"> </w:t>
            </w:r>
            <w:r w:rsidRPr="00F56737">
              <w:rPr>
                <w:rStyle w:val="Hyperlink"/>
                <w:rFonts w:hint="eastAsia"/>
                <w:rtl/>
              </w:rPr>
              <w:t>فترة</w:t>
            </w:r>
            <w:r w:rsidRPr="00F56737">
              <w:rPr>
                <w:rStyle w:val="Hyperlink"/>
                <w:rtl/>
              </w:rPr>
              <w:t xml:space="preserve"> </w:t>
            </w:r>
            <w:r w:rsidRPr="00F56737">
              <w:rPr>
                <w:rStyle w:val="Hyperlink"/>
                <w:rFonts w:hint="eastAsia"/>
                <w:rtl/>
              </w:rPr>
              <w:t>القضاة</w:t>
            </w:r>
            <w:r w:rsidRPr="00F56737">
              <w:rPr>
                <w:rStyle w:val="Hyperlink"/>
                <w:rtl/>
              </w:rPr>
              <w:t xml:space="preserve"> (</w:t>
            </w:r>
            <w:r w:rsidRPr="00F56737">
              <w:rPr>
                <w:rStyle w:val="Hyperlink"/>
                <w:rFonts w:hint="eastAsia"/>
                <w:rtl/>
              </w:rPr>
              <w:t>قضاة</w:t>
            </w:r>
            <w:r w:rsidRPr="00F56737">
              <w:rPr>
                <w:rStyle w:val="Hyperlink"/>
                <w:rtl/>
              </w:rPr>
              <w:t xml:space="preserve"> 1-21)</w:t>
            </w:r>
            <w:r w:rsidRPr="00F56737">
              <w:rPr>
                <w:webHidden/>
              </w:rPr>
              <w:tab/>
            </w:r>
            <w:r w:rsidRPr="00F56737">
              <w:rPr>
                <w:webHidden/>
              </w:rPr>
              <w:fldChar w:fldCharType="begin"/>
            </w:r>
            <w:r w:rsidRPr="00F56737">
              <w:rPr>
                <w:webHidden/>
              </w:rPr>
              <w:instrText xml:space="preserve"> PAGEREF _Toc193031115 \h </w:instrText>
            </w:r>
            <w:r w:rsidRPr="00F56737">
              <w:rPr>
                <w:webHidden/>
              </w:rPr>
            </w:r>
            <w:r w:rsidRPr="00F56737">
              <w:rPr>
                <w:webHidden/>
              </w:rPr>
              <w:fldChar w:fldCharType="separate"/>
            </w:r>
            <w:r w:rsidRPr="00F56737">
              <w:rPr>
                <w:webHidden/>
              </w:rPr>
              <w:t>296</w:t>
            </w:r>
            <w:r w:rsidRPr="00F56737">
              <w:rPr>
                <w:webHidden/>
              </w:rPr>
              <w:fldChar w:fldCharType="end"/>
            </w:r>
          </w:hyperlink>
        </w:p>
        <w:p w14:paraId="10829D47" w14:textId="6F5A09E4"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119"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تقييم</w:t>
            </w:r>
            <w:r w:rsidRPr="00F56737">
              <w:rPr>
                <w:rStyle w:val="Hyperlink"/>
                <w:noProof/>
                <w:sz w:val="32"/>
                <w:szCs w:val="32"/>
                <w:rtl/>
              </w:rPr>
              <w:t xml:space="preserve"> </w:t>
            </w:r>
            <w:r w:rsidRPr="00F56737">
              <w:rPr>
                <w:rStyle w:val="Hyperlink"/>
                <w:rFonts w:hint="eastAsia"/>
                <w:noProof/>
                <w:sz w:val="32"/>
                <w:szCs w:val="32"/>
                <w:rtl/>
              </w:rPr>
              <w:t>لنظرية</w:t>
            </w:r>
            <w:r w:rsidRPr="00F56737">
              <w:rPr>
                <w:rStyle w:val="Hyperlink"/>
                <w:noProof/>
                <w:sz w:val="32"/>
                <w:szCs w:val="32"/>
                <w:rtl/>
              </w:rPr>
              <w:t xml:space="preserve"> </w:t>
            </w:r>
            <w:r w:rsidRPr="00F56737">
              <w:rPr>
                <w:rStyle w:val="Hyperlink"/>
                <w:rFonts w:hint="eastAsia"/>
                <w:noProof/>
                <w:sz w:val="32"/>
                <w:szCs w:val="32"/>
                <w:rtl/>
              </w:rPr>
              <w:t>التاريخ</w:t>
            </w:r>
            <w:r w:rsidRPr="00F56737">
              <w:rPr>
                <w:rStyle w:val="Hyperlink"/>
                <w:noProof/>
                <w:sz w:val="32"/>
                <w:szCs w:val="32"/>
                <w:rtl/>
              </w:rPr>
              <w:t xml:space="preserve"> </w:t>
            </w:r>
            <w:r w:rsidRPr="00F56737">
              <w:rPr>
                <w:rStyle w:val="Hyperlink"/>
                <w:rFonts w:hint="eastAsia"/>
                <w:noProof/>
                <w:sz w:val="32"/>
                <w:szCs w:val="32"/>
                <w:rtl/>
              </w:rPr>
              <w:t>التثنوي</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_Toc193031119 \h </w:instrText>
            </w:r>
            <w:r w:rsidRPr="00F56737">
              <w:rPr>
                <w:noProof/>
                <w:webHidden/>
                <w:sz w:val="32"/>
                <w:szCs w:val="32"/>
              </w:rPr>
            </w:r>
            <w:r w:rsidRPr="00F56737">
              <w:rPr>
                <w:noProof/>
                <w:webHidden/>
                <w:sz w:val="32"/>
                <w:szCs w:val="32"/>
              </w:rPr>
              <w:fldChar w:fldCharType="separate"/>
            </w:r>
            <w:r w:rsidRPr="00F56737">
              <w:rPr>
                <w:noProof/>
                <w:webHidden/>
                <w:sz w:val="32"/>
                <w:szCs w:val="32"/>
              </w:rPr>
              <w:t>298</w:t>
            </w:r>
            <w:r w:rsidRPr="00F56737">
              <w:rPr>
                <w:noProof/>
                <w:webHidden/>
                <w:sz w:val="32"/>
                <w:szCs w:val="32"/>
              </w:rPr>
              <w:fldChar w:fldCharType="end"/>
            </w:r>
          </w:hyperlink>
        </w:p>
        <w:p w14:paraId="28C3177A" w14:textId="3F3EDEAB"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125"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نظرة</w:t>
            </w:r>
            <w:r w:rsidRPr="00F56737">
              <w:rPr>
                <w:rStyle w:val="Hyperlink"/>
                <w:noProof/>
                <w:sz w:val="32"/>
                <w:szCs w:val="32"/>
                <w:rtl/>
              </w:rPr>
              <w:t xml:space="preserve"> </w:t>
            </w:r>
            <w:r w:rsidRPr="00F56737">
              <w:rPr>
                <w:rStyle w:val="Hyperlink"/>
                <w:rFonts w:hint="eastAsia"/>
                <w:noProof/>
                <w:sz w:val="32"/>
                <w:szCs w:val="32"/>
                <w:rtl/>
              </w:rPr>
              <w:t>عامّة</w:t>
            </w:r>
            <w:r w:rsidRPr="00F56737">
              <w:rPr>
                <w:rStyle w:val="Hyperlink"/>
                <w:noProof/>
                <w:sz w:val="32"/>
                <w:szCs w:val="32"/>
                <w:rtl/>
              </w:rPr>
              <w:t xml:space="preserve"> </w:t>
            </w:r>
            <w:r w:rsidRPr="00F56737">
              <w:rPr>
                <w:rStyle w:val="Hyperlink"/>
                <w:rFonts w:hint="eastAsia"/>
                <w:noProof/>
                <w:sz w:val="32"/>
                <w:szCs w:val="32"/>
                <w:rtl/>
              </w:rPr>
              <w:t>إلى</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القضاة</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_Toc193031125 \h </w:instrText>
            </w:r>
            <w:r w:rsidRPr="00F56737">
              <w:rPr>
                <w:noProof/>
                <w:webHidden/>
                <w:sz w:val="32"/>
                <w:szCs w:val="32"/>
              </w:rPr>
            </w:r>
            <w:r w:rsidRPr="00F56737">
              <w:rPr>
                <w:noProof/>
                <w:webHidden/>
                <w:sz w:val="32"/>
                <w:szCs w:val="32"/>
              </w:rPr>
              <w:fldChar w:fldCharType="separate"/>
            </w:r>
            <w:r w:rsidRPr="00F56737">
              <w:rPr>
                <w:noProof/>
                <w:webHidden/>
                <w:sz w:val="32"/>
                <w:szCs w:val="32"/>
              </w:rPr>
              <w:t>308</w:t>
            </w:r>
            <w:r w:rsidRPr="00F56737">
              <w:rPr>
                <w:noProof/>
                <w:webHidden/>
                <w:sz w:val="32"/>
                <w:szCs w:val="32"/>
              </w:rPr>
              <w:fldChar w:fldCharType="end"/>
            </w:r>
          </w:hyperlink>
        </w:p>
        <w:p w14:paraId="68F378DE" w14:textId="65243C2B"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128"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مُقدِّمة</w:t>
            </w:r>
            <w:r w:rsidRPr="00F56737">
              <w:rPr>
                <w:rStyle w:val="Hyperlink"/>
                <w:noProof/>
                <w:sz w:val="32"/>
                <w:szCs w:val="32"/>
                <w:rtl/>
              </w:rPr>
              <w:t xml:space="preserve"> </w:t>
            </w:r>
            <w:r w:rsidRPr="00F56737">
              <w:rPr>
                <w:rStyle w:val="Hyperlink"/>
                <w:rFonts w:hint="eastAsia"/>
                <w:noProof/>
                <w:sz w:val="32"/>
                <w:szCs w:val="32"/>
                <w:rtl/>
              </w:rPr>
              <w:t>إلى</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القضاة</w:t>
            </w:r>
            <w:r w:rsidRPr="00F56737">
              <w:rPr>
                <w:rStyle w:val="Hyperlink"/>
                <w:noProof/>
                <w:sz w:val="32"/>
                <w:szCs w:val="32"/>
                <w:rtl/>
              </w:rPr>
              <w:t xml:space="preserve"> (</w:t>
            </w:r>
            <w:r w:rsidRPr="00F56737">
              <w:rPr>
                <w:rStyle w:val="Hyperlink"/>
                <w:rFonts w:hint="eastAsia"/>
                <w:noProof/>
                <w:sz w:val="32"/>
                <w:szCs w:val="32"/>
                <w:rtl/>
              </w:rPr>
              <w:t>قضاة</w:t>
            </w:r>
            <w:r w:rsidRPr="00F56737">
              <w:rPr>
                <w:rStyle w:val="Hyperlink"/>
                <w:noProof/>
                <w:sz w:val="32"/>
                <w:szCs w:val="32"/>
                <w:rtl/>
              </w:rPr>
              <w:t xml:space="preserve"> 1: 1 – 3: 31)</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_Toc193031128 \h </w:instrText>
            </w:r>
            <w:r w:rsidRPr="00F56737">
              <w:rPr>
                <w:noProof/>
                <w:webHidden/>
                <w:sz w:val="32"/>
                <w:szCs w:val="32"/>
              </w:rPr>
            </w:r>
            <w:r w:rsidRPr="00F56737">
              <w:rPr>
                <w:noProof/>
                <w:webHidden/>
                <w:sz w:val="32"/>
                <w:szCs w:val="32"/>
              </w:rPr>
              <w:fldChar w:fldCharType="separate"/>
            </w:r>
            <w:r w:rsidRPr="00F56737">
              <w:rPr>
                <w:noProof/>
                <w:webHidden/>
                <w:sz w:val="32"/>
                <w:szCs w:val="32"/>
              </w:rPr>
              <w:t>309</w:t>
            </w:r>
            <w:r w:rsidRPr="00F56737">
              <w:rPr>
                <w:noProof/>
                <w:webHidden/>
                <w:sz w:val="32"/>
                <w:szCs w:val="32"/>
              </w:rPr>
              <w:fldChar w:fldCharType="end"/>
            </w:r>
          </w:hyperlink>
        </w:p>
        <w:p w14:paraId="5F2EAEEA" w14:textId="618D141D"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133" w:history="1">
            <w:r w:rsidRPr="00F56737">
              <w:rPr>
                <w:rStyle w:val="Hyperlink"/>
                <w:rFonts w:hint="eastAsia"/>
                <w:noProof/>
                <w:sz w:val="32"/>
                <w:szCs w:val="32"/>
                <w:rtl/>
              </w:rPr>
              <w:t>الموضوع</w:t>
            </w:r>
            <w:r w:rsidRPr="00F56737">
              <w:rPr>
                <w:rStyle w:val="Hyperlink"/>
                <w:noProof/>
                <w:sz w:val="32"/>
                <w:szCs w:val="32"/>
                <w:rtl/>
              </w:rPr>
              <w:t xml:space="preserve"> 4: </w:t>
            </w:r>
            <w:r w:rsidRPr="00F56737">
              <w:rPr>
                <w:rStyle w:val="Hyperlink"/>
                <w:rFonts w:hint="eastAsia"/>
                <w:noProof/>
                <w:sz w:val="32"/>
                <w:szCs w:val="32"/>
                <w:rtl/>
              </w:rPr>
              <w:t>قصّة</w:t>
            </w:r>
            <w:r w:rsidRPr="00F56737">
              <w:rPr>
                <w:rStyle w:val="Hyperlink"/>
                <w:noProof/>
                <w:sz w:val="32"/>
                <w:szCs w:val="32"/>
                <w:rtl/>
              </w:rPr>
              <w:t xml:space="preserve"> </w:t>
            </w:r>
            <w:r w:rsidRPr="00F56737">
              <w:rPr>
                <w:rStyle w:val="Hyperlink"/>
                <w:rFonts w:hint="eastAsia"/>
                <w:noProof/>
                <w:sz w:val="32"/>
                <w:szCs w:val="32"/>
                <w:rtl/>
              </w:rPr>
              <w:t>جدعون</w:t>
            </w:r>
            <w:r w:rsidRPr="00F56737">
              <w:rPr>
                <w:rStyle w:val="Hyperlink"/>
                <w:noProof/>
                <w:sz w:val="32"/>
                <w:szCs w:val="32"/>
                <w:rtl/>
              </w:rPr>
              <w:t xml:space="preserve"> </w:t>
            </w:r>
            <w:r w:rsidRPr="00F56737">
              <w:rPr>
                <w:rStyle w:val="Hyperlink"/>
                <w:rFonts w:hint="eastAsia"/>
                <w:noProof/>
                <w:sz w:val="32"/>
                <w:szCs w:val="32"/>
                <w:rtl/>
              </w:rPr>
              <w:t>بوصفها</w:t>
            </w:r>
            <w:r w:rsidRPr="00F56737">
              <w:rPr>
                <w:rStyle w:val="Hyperlink"/>
                <w:noProof/>
                <w:sz w:val="32"/>
                <w:szCs w:val="32"/>
                <w:rtl/>
              </w:rPr>
              <w:t xml:space="preserve"> </w:t>
            </w:r>
            <w:r w:rsidRPr="00F56737">
              <w:rPr>
                <w:rStyle w:val="Hyperlink"/>
                <w:rFonts w:hint="eastAsia"/>
                <w:noProof/>
                <w:sz w:val="32"/>
                <w:szCs w:val="32"/>
                <w:rtl/>
              </w:rPr>
              <w:t>النقطة</w:t>
            </w:r>
            <w:r w:rsidRPr="00F56737">
              <w:rPr>
                <w:rStyle w:val="Hyperlink"/>
                <w:noProof/>
                <w:sz w:val="32"/>
                <w:szCs w:val="32"/>
                <w:rtl/>
              </w:rPr>
              <w:t xml:space="preserve"> </w:t>
            </w:r>
            <w:r w:rsidRPr="00F56737">
              <w:rPr>
                <w:rStyle w:val="Hyperlink"/>
                <w:rFonts w:hint="eastAsia"/>
                <w:noProof/>
                <w:sz w:val="32"/>
                <w:szCs w:val="32"/>
                <w:rtl/>
              </w:rPr>
              <w:t>المركزيّة</w:t>
            </w:r>
            <w:r w:rsidRPr="00F56737">
              <w:rPr>
                <w:rStyle w:val="Hyperlink"/>
                <w:noProof/>
                <w:sz w:val="32"/>
                <w:szCs w:val="32"/>
                <w:rtl/>
              </w:rPr>
              <w:t xml:space="preserve"> </w:t>
            </w:r>
            <w:r w:rsidRPr="00F56737">
              <w:rPr>
                <w:rStyle w:val="Hyperlink"/>
                <w:rFonts w:hint="eastAsia"/>
                <w:noProof/>
                <w:sz w:val="32"/>
                <w:szCs w:val="32"/>
                <w:rtl/>
              </w:rPr>
              <w:t>في</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القضاة</w:t>
            </w:r>
            <w:r w:rsidRPr="00F56737">
              <w:rPr>
                <w:rStyle w:val="Hyperlink"/>
                <w:noProof/>
                <w:sz w:val="32"/>
                <w:szCs w:val="32"/>
                <w:rtl/>
              </w:rPr>
              <w:t xml:space="preserve"> (</w:t>
            </w:r>
            <w:r w:rsidRPr="00F56737">
              <w:rPr>
                <w:rStyle w:val="Hyperlink"/>
                <w:rFonts w:hint="eastAsia"/>
                <w:noProof/>
                <w:sz w:val="32"/>
                <w:szCs w:val="32"/>
                <w:rtl/>
              </w:rPr>
              <w:t>قضاة</w:t>
            </w:r>
            <w:r w:rsidRPr="00F56737">
              <w:rPr>
                <w:rStyle w:val="Hyperlink"/>
                <w:noProof/>
                <w:sz w:val="32"/>
                <w:szCs w:val="32"/>
                <w:rtl/>
              </w:rPr>
              <w:t xml:space="preserve"> 3: 7 – 16: 31)</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_Toc193031133 \h </w:instrText>
            </w:r>
            <w:r w:rsidRPr="00F56737">
              <w:rPr>
                <w:noProof/>
                <w:webHidden/>
                <w:sz w:val="32"/>
                <w:szCs w:val="32"/>
              </w:rPr>
            </w:r>
            <w:r w:rsidRPr="00F56737">
              <w:rPr>
                <w:noProof/>
                <w:webHidden/>
                <w:sz w:val="32"/>
                <w:szCs w:val="32"/>
              </w:rPr>
              <w:fldChar w:fldCharType="separate"/>
            </w:r>
            <w:r w:rsidRPr="00F56737">
              <w:rPr>
                <w:noProof/>
                <w:webHidden/>
                <w:sz w:val="32"/>
                <w:szCs w:val="32"/>
              </w:rPr>
              <w:t>316</w:t>
            </w:r>
            <w:r w:rsidRPr="00F56737">
              <w:rPr>
                <w:noProof/>
                <w:webHidden/>
                <w:sz w:val="32"/>
                <w:szCs w:val="32"/>
              </w:rPr>
              <w:fldChar w:fldCharType="end"/>
            </w:r>
          </w:hyperlink>
        </w:p>
        <w:p w14:paraId="37C9C330" w14:textId="55D79502" w:rsidR="00F56737" w:rsidRPr="00F56737" w:rsidRDefault="00F56737" w:rsidP="006C2E6F">
          <w:pPr>
            <w:pStyle w:val="TOC2"/>
            <w:rPr>
              <w:rFonts w:asciiTheme="minorHAnsi" w:eastAsiaTheme="minorEastAsia" w:hAnsiTheme="minorHAnsi" w:cstheme="minorBidi"/>
            </w:rPr>
          </w:pPr>
          <w:hyperlink w:anchor="_Toc193031140" w:history="1">
            <w:r w:rsidRPr="00F56737">
              <w:rPr>
                <w:rStyle w:val="Hyperlink"/>
                <w:rFonts w:hint="eastAsia"/>
                <w:rtl/>
              </w:rPr>
              <w:t>الدرس</w:t>
            </w:r>
            <w:r w:rsidRPr="00F56737">
              <w:rPr>
                <w:rStyle w:val="Hyperlink"/>
                <w:rtl/>
              </w:rPr>
              <w:t xml:space="preserve"> 12: </w:t>
            </w:r>
            <w:r w:rsidRPr="00F56737">
              <w:rPr>
                <w:rStyle w:val="Hyperlink"/>
                <w:rFonts w:hint="eastAsia"/>
                <w:rtl/>
              </w:rPr>
              <w:t>سفر</w:t>
            </w:r>
            <w:r w:rsidRPr="00F56737">
              <w:rPr>
                <w:rStyle w:val="Hyperlink"/>
                <w:rtl/>
              </w:rPr>
              <w:t xml:space="preserve"> </w:t>
            </w:r>
            <w:r w:rsidRPr="00F56737">
              <w:rPr>
                <w:rStyle w:val="Hyperlink"/>
                <w:rFonts w:hint="eastAsia"/>
                <w:rtl/>
              </w:rPr>
              <w:t>راعوث،</w:t>
            </w:r>
            <w:r w:rsidRPr="00F56737">
              <w:rPr>
                <w:rStyle w:val="Hyperlink"/>
                <w:rtl/>
              </w:rPr>
              <w:t xml:space="preserve"> </w:t>
            </w:r>
            <w:r w:rsidRPr="00F56737">
              <w:rPr>
                <w:rStyle w:val="Hyperlink"/>
                <w:rFonts w:hint="eastAsia"/>
                <w:rtl/>
              </w:rPr>
              <w:t>نظرة</w:t>
            </w:r>
            <w:r w:rsidRPr="00F56737">
              <w:rPr>
                <w:rStyle w:val="Hyperlink"/>
                <w:rtl/>
              </w:rPr>
              <w:t xml:space="preserve"> </w:t>
            </w:r>
            <w:r w:rsidRPr="00F56737">
              <w:rPr>
                <w:rStyle w:val="Hyperlink"/>
                <w:rFonts w:hint="eastAsia"/>
                <w:rtl/>
              </w:rPr>
              <w:t>عامّة</w:t>
            </w:r>
            <w:r w:rsidRPr="00F56737">
              <w:rPr>
                <w:rStyle w:val="Hyperlink"/>
                <w:rtl/>
              </w:rPr>
              <w:t xml:space="preserve"> </w:t>
            </w:r>
            <w:r w:rsidRPr="00F56737">
              <w:rPr>
                <w:rStyle w:val="Hyperlink"/>
                <w:rFonts w:hint="eastAsia"/>
                <w:rtl/>
              </w:rPr>
              <w:t>والتوقُّعات</w:t>
            </w:r>
            <w:r w:rsidRPr="00F56737">
              <w:rPr>
                <w:rStyle w:val="Hyperlink"/>
                <w:rtl/>
              </w:rPr>
              <w:t xml:space="preserve"> </w:t>
            </w:r>
            <w:r w:rsidRPr="00F56737">
              <w:rPr>
                <w:rStyle w:val="Hyperlink"/>
                <w:rFonts w:hint="eastAsia"/>
                <w:rtl/>
              </w:rPr>
              <w:t>المسيانيّة</w:t>
            </w:r>
            <w:r w:rsidRPr="00F56737">
              <w:rPr>
                <w:webHidden/>
              </w:rPr>
              <w:tab/>
            </w:r>
            <w:r w:rsidRPr="00F56737">
              <w:rPr>
                <w:webHidden/>
              </w:rPr>
              <w:fldChar w:fldCharType="begin"/>
            </w:r>
            <w:r w:rsidRPr="00F56737">
              <w:rPr>
                <w:webHidden/>
              </w:rPr>
              <w:instrText xml:space="preserve"> PAGEREF _Toc193031140 \h </w:instrText>
            </w:r>
            <w:r w:rsidRPr="00F56737">
              <w:rPr>
                <w:webHidden/>
              </w:rPr>
            </w:r>
            <w:r w:rsidRPr="00F56737">
              <w:rPr>
                <w:webHidden/>
              </w:rPr>
              <w:fldChar w:fldCharType="separate"/>
            </w:r>
            <w:r w:rsidRPr="00F56737">
              <w:rPr>
                <w:webHidden/>
              </w:rPr>
              <w:t>335</w:t>
            </w:r>
            <w:r w:rsidRPr="00F56737">
              <w:rPr>
                <w:webHidden/>
              </w:rPr>
              <w:fldChar w:fldCharType="end"/>
            </w:r>
          </w:hyperlink>
        </w:p>
        <w:p w14:paraId="25F10D2F" w14:textId="32813B9C"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144" w:history="1">
            <w:r w:rsidRPr="00F56737">
              <w:rPr>
                <w:rStyle w:val="Hyperlink"/>
                <w:rFonts w:hint="eastAsia"/>
                <w:noProof/>
                <w:sz w:val="32"/>
                <w:szCs w:val="32"/>
                <w:rtl/>
              </w:rPr>
              <w:t>الموضوع</w:t>
            </w:r>
            <w:r w:rsidRPr="00F56737">
              <w:rPr>
                <w:rStyle w:val="Hyperlink"/>
                <w:noProof/>
                <w:sz w:val="32"/>
                <w:szCs w:val="32"/>
                <w:rtl/>
              </w:rPr>
              <w:t xml:space="preserve"> 1: </w:t>
            </w:r>
            <w:r w:rsidRPr="00F56737">
              <w:rPr>
                <w:rStyle w:val="Hyperlink"/>
                <w:rFonts w:hint="eastAsia"/>
                <w:noProof/>
                <w:sz w:val="32"/>
                <w:szCs w:val="32"/>
                <w:rtl/>
              </w:rPr>
              <w:t>لوحة</w:t>
            </w:r>
            <w:r w:rsidRPr="00F56737">
              <w:rPr>
                <w:rStyle w:val="Hyperlink"/>
                <w:noProof/>
                <w:sz w:val="32"/>
                <w:szCs w:val="32"/>
                <w:rtl/>
              </w:rPr>
              <w:t xml:space="preserve"> </w:t>
            </w:r>
            <w:r w:rsidRPr="00F56737">
              <w:rPr>
                <w:rStyle w:val="Hyperlink"/>
                <w:rFonts w:hint="eastAsia"/>
                <w:noProof/>
                <w:sz w:val="32"/>
                <w:szCs w:val="32"/>
                <w:rtl/>
              </w:rPr>
              <w:t>سفر</w:t>
            </w:r>
            <w:r w:rsidRPr="00F56737">
              <w:rPr>
                <w:rStyle w:val="Hyperlink"/>
                <w:noProof/>
                <w:sz w:val="32"/>
                <w:szCs w:val="32"/>
                <w:rtl/>
              </w:rPr>
              <w:t xml:space="preserve"> </w:t>
            </w:r>
            <w:r w:rsidRPr="00F56737">
              <w:rPr>
                <w:rStyle w:val="Hyperlink"/>
                <w:rFonts w:hint="eastAsia"/>
                <w:noProof/>
                <w:sz w:val="32"/>
                <w:szCs w:val="32"/>
                <w:rtl/>
              </w:rPr>
              <w:t>راعوث</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_Toc193031144 \h </w:instrText>
            </w:r>
            <w:r w:rsidRPr="00F56737">
              <w:rPr>
                <w:noProof/>
                <w:webHidden/>
                <w:sz w:val="32"/>
                <w:szCs w:val="32"/>
              </w:rPr>
            </w:r>
            <w:r w:rsidRPr="00F56737">
              <w:rPr>
                <w:noProof/>
                <w:webHidden/>
                <w:sz w:val="32"/>
                <w:szCs w:val="32"/>
              </w:rPr>
              <w:fldChar w:fldCharType="separate"/>
            </w:r>
            <w:r w:rsidRPr="00F56737">
              <w:rPr>
                <w:noProof/>
                <w:webHidden/>
                <w:sz w:val="32"/>
                <w:szCs w:val="32"/>
              </w:rPr>
              <w:t>336</w:t>
            </w:r>
            <w:r w:rsidRPr="00F56737">
              <w:rPr>
                <w:noProof/>
                <w:webHidden/>
                <w:sz w:val="32"/>
                <w:szCs w:val="32"/>
              </w:rPr>
              <w:fldChar w:fldCharType="end"/>
            </w:r>
          </w:hyperlink>
        </w:p>
        <w:p w14:paraId="2B937F7E" w14:textId="71ECEC09"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145" w:history="1">
            <w:r w:rsidRPr="00F56737">
              <w:rPr>
                <w:rStyle w:val="Hyperlink"/>
                <w:rFonts w:hint="eastAsia"/>
                <w:noProof/>
                <w:sz w:val="32"/>
                <w:szCs w:val="32"/>
                <w:rtl/>
              </w:rPr>
              <w:t>الموضوع</w:t>
            </w:r>
            <w:r w:rsidRPr="00F56737">
              <w:rPr>
                <w:rStyle w:val="Hyperlink"/>
                <w:noProof/>
                <w:sz w:val="32"/>
                <w:szCs w:val="32"/>
                <w:rtl/>
              </w:rPr>
              <w:t xml:space="preserve"> 2: </w:t>
            </w:r>
            <w:r w:rsidRPr="00F56737">
              <w:rPr>
                <w:rStyle w:val="Hyperlink"/>
                <w:rFonts w:hint="eastAsia"/>
                <w:noProof/>
                <w:sz w:val="32"/>
                <w:szCs w:val="32"/>
                <w:rtl/>
              </w:rPr>
              <w:t>راعوث</w:t>
            </w:r>
            <w:r w:rsidRPr="00F56737">
              <w:rPr>
                <w:rStyle w:val="Hyperlink"/>
                <w:noProof/>
                <w:sz w:val="32"/>
                <w:szCs w:val="32"/>
                <w:rtl/>
              </w:rPr>
              <w:t xml:space="preserve"> – </w:t>
            </w:r>
            <w:r w:rsidRPr="00F56737">
              <w:rPr>
                <w:rStyle w:val="Hyperlink"/>
                <w:rFonts w:hint="eastAsia"/>
                <w:noProof/>
                <w:sz w:val="32"/>
                <w:szCs w:val="32"/>
                <w:rtl/>
              </w:rPr>
              <w:t>بصيص</w:t>
            </w:r>
            <w:r w:rsidRPr="00F56737">
              <w:rPr>
                <w:rStyle w:val="Hyperlink"/>
                <w:noProof/>
                <w:sz w:val="32"/>
                <w:szCs w:val="32"/>
                <w:rtl/>
              </w:rPr>
              <w:t xml:space="preserve"> </w:t>
            </w:r>
            <w:r w:rsidRPr="00F56737">
              <w:rPr>
                <w:rStyle w:val="Hyperlink"/>
                <w:rFonts w:hint="eastAsia"/>
                <w:noProof/>
                <w:sz w:val="32"/>
                <w:szCs w:val="32"/>
                <w:rtl/>
              </w:rPr>
              <w:t>من</w:t>
            </w:r>
            <w:r w:rsidRPr="00F56737">
              <w:rPr>
                <w:rStyle w:val="Hyperlink"/>
                <w:noProof/>
                <w:sz w:val="32"/>
                <w:szCs w:val="32"/>
                <w:rtl/>
              </w:rPr>
              <w:t xml:space="preserve"> </w:t>
            </w:r>
            <w:r w:rsidRPr="00F56737">
              <w:rPr>
                <w:rStyle w:val="Hyperlink"/>
                <w:rFonts w:hint="eastAsia"/>
                <w:noProof/>
                <w:sz w:val="32"/>
                <w:szCs w:val="32"/>
                <w:rtl/>
              </w:rPr>
              <w:t>نور</w:t>
            </w:r>
            <w:r w:rsidRPr="00F56737">
              <w:rPr>
                <w:rStyle w:val="Hyperlink"/>
                <w:noProof/>
                <w:sz w:val="32"/>
                <w:szCs w:val="32"/>
                <w:rtl/>
              </w:rPr>
              <w:t xml:space="preserve"> </w:t>
            </w:r>
            <w:r w:rsidRPr="00F56737">
              <w:rPr>
                <w:rStyle w:val="Hyperlink"/>
                <w:rFonts w:hint="eastAsia"/>
                <w:noProof/>
                <w:sz w:val="32"/>
                <w:szCs w:val="32"/>
                <w:rtl/>
              </w:rPr>
              <w:t>النعمة</w:t>
            </w:r>
            <w:r w:rsidRPr="00F56737">
              <w:rPr>
                <w:rStyle w:val="Hyperlink"/>
                <w:noProof/>
                <w:sz w:val="32"/>
                <w:szCs w:val="32"/>
                <w:rtl/>
              </w:rPr>
              <w:t xml:space="preserve"> (</w:t>
            </w:r>
            <w:r w:rsidRPr="00F56737">
              <w:rPr>
                <w:rStyle w:val="Hyperlink"/>
                <w:rFonts w:hint="eastAsia"/>
                <w:noProof/>
                <w:sz w:val="32"/>
                <w:szCs w:val="32"/>
                <w:rtl/>
              </w:rPr>
              <w:t>راعوث</w:t>
            </w:r>
            <w:r w:rsidRPr="00F56737">
              <w:rPr>
                <w:rStyle w:val="Hyperlink"/>
                <w:noProof/>
                <w:sz w:val="32"/>
                <w:szCs w:val="32"/>
                <w:rtl/>
              </w:rPr>
              <w:t xml:space="preserve"> 1-4)</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_Toc193031145 \h </w:instrText>
            </w:r>
            <w:r w:rsidRPr="00F56737">
              <w:rPr>
                <w:noProof/>
                <w:webHidden/>
                <w:sz w:val="32"/>
                <w:szCs w:val="32"/>
              </w:rPr>
            </w:r>
            <w:r w:rsidRPr="00F56737">
              <w:rPr>
                <w:noProof/>
                <w:webHidden/>
                <w:sz w:val="32"/>
                <w:szCs w:val="32"/>
              </w:rPr>
              <w:fldChar w:fldCharType="separate"/>
            </w:r>
            <w:r w:rsidRPr="00F56737">
              <w:rPr>
                <w:noProof/>
                <w:webHidden/>
                <w:sz w:val="32"/>
                <w:szCs w:val="32"/>
              </w:rPr>
              <w:t>336</w:t>
            </w:r>
            <w:r w:rsidRPr="00F56737">
              <w:rPr>
                <w:noProof/>
                <w:webHidden/>
                <w:sz w:val="32"/>
                <w:szCs w:val="32"/>
              </w:rPr>
              <w:fldChar w:fldCharType="end"/>
            </w:r>
          </w:hyperlink>
        </w:p>
        <w:p w14:paraId="09DAE2A0" w14:textId="41F3993C"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150" w:history="1">
            <w:r w:rsidRPr="00F56737">
              <w:rPr>
                <w:rStyle w:val="Hyperlink"/>
                <w:rFonts w:hint="eastAsia"/>
                <w:noProof/>
                <w:sz w:val="32"/>
                <w:szCs w:val="32"/>
                <w:rtl/>
              </w:rPr>
              <w:t>الموضوع</w:t>
            </w:r>
            <w:r w:rsidRPr="00F56737">
              <w:rPr>
                <w:rStyle w:val="Hyperlink"/>
                <w:noProof/>
                <w:sz w:val="32"/>
                <w:szCs w:val="32"/>
                <w:rtl/>
              </w:rPr>
              <w:t xml:space="preserve"> 3: </w:t>
            </w:r>
            <w:r w:rsidRPr="00F56737">
              <w:rPr>
                <w:rStyle w:val="Hyperlink"/>
                <w:rFonts w:hint="eastAsia"/>
                <w:noProof/>
                <w:sz w:val="32"/>
                <w:szCs w:val="32"/>
                <w:rtl/>
              </w:rPr>
              <w:t>نظرة</w:t>
            </w:r>
            <w:r w:rsidRPr="00F56737">
              <w:rPr>
                <w:rStyle w:val="Hyperlink"/>
                <w:noProof/>
                <w:sz w:val="32"/>
                <w:szCs w:val="32"/>
                <w:rtl/>
              </w:rPr>
              <w:t xml:space="preserve"> </w:t>
            </w:r>
            <w:r w:rsidRPr="00F56737">
              <w:rPr>
                <w:rStyle w:val="Hyperlink"/>
                <w:rFonts w:hint="eastAsia"/>
                <w:noProof/>
                <w:sz w:val="32"/>
                <w:szCs w:val="32"/>
                <w:rtl/>
              </w:rPr>
              <w:t>عامّة</w:t>
            </w:r>
            <w:r w:rsidRPr="00F56737">
              <w:rPr>
                <w:rStyle w:val="Hyperlink"/>
                <w:noProof/>
                <w:sz w:val="32"/>
                <w:szCs w:val="32"/>
                <w:rtl/>
              </w:rPr>
              <w:t xml:space="preserve"> </w:t>
            </w:r>
            <w:r w:rsidRPr="00F56737">
              <w:rPr>
                <w:rStyle w:val="Hyperlink"/>
                <w:rFonts w:hint="eastAsia"/>
                <w:noProof/>
                <w:sz w:val="32"/>
                <w:szCs w:val="32"/>
                <w:rtl/>
              </w:rPr>
              <w:t>إلى</w:t>
            </w:r>
            <w:r w:rsidRPr="00F56737">
              <w:rPr>
                <w:rStyle w:val="Hyperlink"/>
                <w:noProof/>
                <w:sz w:val="32"/>
                <w:szCs w:val="32"/>
                <w:rtl/>
              </w:rPr>
              <w:t xml:space="preserve"> </w:t>
            </w:r>
            <w:r w:rsidRPr="00F56737">
              <w:rPr>
                <w:rStyle w:val="Hyperlink"/>
                <w:rFonts w:hint="eastAsia"/>
                <w:noProof/>
                <w:sz w:val="32"/>
                <w:szCs w:val="32"/>
                <w:rtl/>
              </w:rPr>
              <w:t>أسفار</w:t>
            </w:r>
            <w:r w:rsidRPr="00F56737">
              <w:rPr>
                <w:rStyle w:val="Hyperlink"/>
                <w:noProof/>
                <w:sz w:val="32"/>
                <w:szCs w:val="32"/>
                <w:rtl/>
              </w:rPr>
              <w:t xml:space="preserve"> </w:t>
            </w:r>
            <w:r w:rsidRPr="00F56737">
              <w:rPr>
                <w:rStyle w:val="Hyperlink"/>
                <w:rFonts w:hint="eastAsia"/>
                <w:noProof/>
                <w:sz w:val="32"/>
                <w:szCs w:val="32"/>
                <w:rtl/>
              </w:rPr>
              <w:t>التكوين</w:t>
            </w:r>
            <w:r w:rsidRPr="00F56737">
              <w:rPr>
                <w:rStyle w:val="Hyperlink"/>
                <w:noProof/>
                <w:sz w:val="32"/>
                <w:szCs w:val="32"/>
                <w:rtl/>
              </w:rPr>
              <w:t xml:space="preserve"> – </w:t>
            </w:r>
            <w:r w:rsidRPr="00F56737">
              <w:rPr>
                <w:rStyle w:val="Hyperlink"/>
                <w:rFonts w:hint="eastAsia"/>
                <w:noProof/>
                <w:sz w:val="32"/>
                <w:szCs w:val="32"/>
                <w:rtl/>
              </w:rPr>
              <w:t>راعوث</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_Toc193031150 \h </w:instrText>
            </w:r>
            <w:r w:rsidRPr="00F56737">
              <w:rPr>
                <w:noProof/>
                <w:webHidden/>
                <w:sz w:val="32"/>
                <w:szCs w:val="32"/>
              </w:rPr>
            </w:r>
            <w:r w:rsidRPr="00F56737">
              <w:rPr>
                <w:noProof/>
                <w:webHidden/>
                <w:sz w:val="32"/>
                <w:szCs w:val="32"/>
              </w:rPr>
              <w:fldChar w:fldCharType="separate"/>
            </w:r>
            <w:r w:rsidRPr="00F56737">
              <w:rPr>
                <w:noProof/>
                <w:webHidden/>
                <w:sz w:val="32"/>
                <w:szCs w:val="32"/>
              </w:rPr>
              <w:t>345</w:t>
            </w:r>
            <w:r w:rsidRPr="00F56737">
              <w:rPr>
                <w:noProof/>
                <w:webHidden/>
                <w:sz w:val="32"/>
                <w:szCs w:val="32"/>
              </w:rPr>
              <w:fldChar w:fldCharType="end"/>
            </w:r>
          </w:hyperlink>
        </w:p>
        <w:p w14:paraId="38950552" w14:textId="29E7E107" w:rsidR="00F56737" w:rsidRPr="00F56737" w:rsidRDefault="00F56737" w:rsidP="00F56737">
          <w:pPr>
            <w:pStyle w:val="TOC3"/>
            <w:tabs>
              <w:tab w:val="right" w:leader="dot" w:pos="9350"/>
            </w:tabs>
            <w:spacing w:before="0"/>
            <w:rPr>
              <w:rFonts w:asciiTheme="minorHAnsi" w:eastAsiaTheme="minorEastAsia" w:hAnsiTheme="minorHAnsi" w:cstheme="minorBidi"/>
              <w:noProof/>
              <w:sz w:val="32"/>
              <w:szCs w:val="32"/>
            </w:rPr>
          </w:pPr>
          <w:hyperlink w:anchor="_Toc193031155" w:history="1">
            <w:r w:rsidRPr="00F56737">
              <w:rPr>
                <w:rStyle w:val="Hyperlink"/>
                <w:rFonts w:hint="eastAsia"/>
                <w:noProof/>
                <w:sz w:val="32"/>
                <w:szCs w:val="32"/>
                <w:rtl/>
              </w:rPr>
              <w:t>الموضوع</w:t>
            </w:r>
            <w:r w:rsidRPr="00F56737">
              <w:rPr>
                <w:rStyle w:val="Hyperlink"/>
                <w:noProof/>
                <w:sz w:val="32"/>
                <w:szCs w:val="32"/>
                <w:rtl/>
              </w:rPr>
              <w:t xml:space="preserve"> 4: </w:t>
            </w:r>
            <w:r w:rsidRPr="00F56737">
              <w:rPr>
                <w:rStyle w:val="Hyperlink"/>
                <w:rFonts w:hint="eastAsia"/>
                <w:noProof/>
                <w:sz w:val="32"/>
                <w:szCs w:val="32"/>
                <w:rtl/>
              </w:rPr>
              <w:t>النبوّات</w:t>
            </w:r>
            <w:r w:rsidRPr="00F56737">
              <w:rPr>
                <w:rStyle w:val="Hyperlink"/>
                <w:noProof/>
                <w:sz w:val="32"/>
                <w:szCs w:val="32"/>
                <w:rtl/>
              </w:rPr>
              <w:t xml:space="preserve"> </w:t>
            </w:r>
            <w:r w:rsidRPr="00F56737">
              <w:rPr>
                <w:rStyle w:val="Hyperlink"/>
                <w:rFonts w:hint="eastAsia"/>
                <w:noProof/>
                <w:sz w:val="32"/>
                <w:szCs w:val="32"/>
                <w:rtl/>
              </w:rPr>
              <w:t>المسيانيّة</w:t>
            </w:r>
            <w:r w:rsidRPr="00F56737">
              <w:rPr>
                <w:rStyle w:val="Hyperlink"/>
                <w:noProof/>
                <w:sz w:val="32"/>
                <w:szCs w:val="32"/>
                <w:rtl/>
              </w:rPr>
              <w:t xml:space="preserve"> </w:t>
            </w:r>
            <w:r w:rsidRPr="00F56737">
              <w:rPr>
                <w:rStyle w:val="Hyperlink"/>
                <w:rFonts w:hint="eastAsia"/>
                <w:noProof/>
                <w:sz w:val="32"/>
                <w:szCs w:val="32"/>
                <w:rtl/>
              </w:rPr>
              <w:t>والرموز</w:t>
            </w:r>
            <w:r w:rsidRPr="00F56737">
              <w:rPr>
                <w:noProof/>
                <w:webHidden/>
                <w:sz w:val="32"/>
                <w:szCs w:val="32"/>
              </w:rPr>
              <w:tab/>
            </w:r>
            <w:r w:rsidRPr="00F56737">
              <w:rPr>
                <w:noProof/>
                <w:webHidden/>
                <w:sz w:val="32"/>
                <w:szCs w:val="32"/>
              </w:rPr>
              <w:fldChar w:fldCharType="begin"/>
            </w:r>
            <w:r w:rsidRPr="00F56737">
              <w:rPr>
                <w:noProof/>
                <w:webHidden/>
                <w:sz w:val="32"/>
                <w:szCs w:val="32"/>
              </w:rPr>
              <w:instrText xml:space="preserve"> PAGEREF _Toc193031155 \h </w:instrText>
            </w:r>
            <w:r w:rsidRPr="00F56737">
              <w:rPr>
                <w:noProof/>
                <w:webHidden/>
                <w:sz w:val="32"/>
                <w:szCs w:val="32"/>
              </w:rPr>
            </w:r>
            <w:r w:rsidRPr="00F56737">
              <w:rPr>
                <w:noProof/>
                <w:webHidden/>
                <w:sz w:val="32"/>
                <w:szCs w:val="32"/>
              </w:rPr>
              <w:fldChar w:fldCharType="separate"/>
            </w:r>
            <w:r w:rsidRPr="00F56737">
              <w:rPr>
                <w:noProof/>
                <w:webHidden/>
                <w:sz w:val="32"/>
                <w:szCs w:val="32"/>
              </w:rPr>
              <w:t>350</w:t>
            </w:r>
            <w:r w:rsidRPr="00F56737">
              <w:rPr>
                <w:noProof/>
                <w:webHidden/>
                <w:sz w:val="32"/>
                <w:szCs w:val="32"/>
              </w:rPr>
              <w:fldChar w:fldCharType="end"/>
            </w:r>
          </w:hyperlink>
        </w:p>
        <w:p w14:paraId="43215CE4" w14:textId="153BB5FA" w:rsidR="00F56737" w:rsidRPr="00F56737" w:rsidRDefault="00F56737" w:rsidP="006C2E6F">
          <w:pPr>
            <w:pStyle w:val="TOC2"/>
            <w:rPr>
              <w:rFonts w:asciiTheme="minorHAnsi" w:eastAsiaTheme="minorEastAsia" w:hAnsiTheme="minorHAnsi" w:cstheme="minorBidi"/>
            </w:rPr>
          </w:pPr>
          <w:hyperlink w:anchor="_Toc193031158" w:history="1">
            <w:r w:rsidRPr="00F56737">
              <w:rPr>
                <w:rStyle w:val="Hyperlink"/>
                <w:rFonts w:hint="eastAsia"/>
                <w:rtl/>
              </w:rPr>
              <w:t>المُلحَق</w:t>
            </w:r>
            <w:r w:rsidRPr="00F56737">
              <w:rPr>
                <w:rStyle w:val="Hyperlink"/>
                <w:rtl/>
              </w:rPr>
              <w:t xml:space="preserve"> 1: </w:t>
            </w:r>
            <w:r w:rsidRPr="00F56737">
              <w:rPr>
                <w:rStyle w:val="Hyperlink"/>
                <w:rFonts w:hint="eastAsia"/>
                <w:rtl/>
              </w:rPr>
              <w:t>تطوُّرات</w:t>
            </w:r>
            <w:r w:rsidRPr="00F56737">
              <w:rPr>
                <w:rStyle w:val="Hyperlink"/>
                <w:rtl/>
              </w:rPr>
              <w:t xml:space="preserve"> </w:t>
            </w:r>
            <w:r w:rsidRPr="00F56737">
              <w:rPr>
                <w:rStyle w:val="Hyperlink"/>
                <w:rFonts w:hint="eastAsia"/>
                <w:rtl/>
              </w:rPr>
              <w:t>مهمة</w:t>
            </w:r>
            <w:r w:rsidRPr="00F56737">
              <w:rPr>
                <w:rStyle w:val="Hyperlink"/>
                <w:rtl/>
              </w:rPr>
              <w:t xml:space="preserve"> </w:t>
            </w:r>
            <w:r w:rsidRPr="00F56737">
              <w:rPr>
                <w:rStyle w:val="Hyperlink"/>
                <w:rFonts w:hint="eastAsia"/>
                <w:rtl/>
              </w:rPr>
              <w:t>مرتبطة</w:t>
            </w:r>
            <w:r w:rsidRPr="00F56737">
              <w:rPr>
                <w:rStyle w:val="Hyperlink"/>
                <w:rtl/>
              </w:rPr>
              <w:t xml:space="preserve"> </w:t>
            </w:r>
            <w:r w:rsidRPr="00F56737">
              <w:rPr>
                <w:rStyle w:val="Hyperlink"/>
                <w:rFonts w:hint="eastAsia"/>
                <w:rtl/>
              </w:rPr>
              <w:t>بالآباء</w:t>
            </w:r>
            <w:r w:rsidRPr="00F56737">
              <w:rPr>
                <w:webHidden/>
              </w:rPr>
              <w:tab/>
            </w:r>
            <w:r w:rsidRPr="00F56737">
              <w:rPr>
                <w:webHidden/>
              </w:rPr>
              <w:fldChar w:fldCharType="begin"/>
            </w:r>
            <w:r w:rsidRPr="00F56737">
              <w:rPr>
                <w:webHidden/>
              </w:rPr>
              <w:instrText xml:space="preserve"> PAGEREF _Toc193031158 \h </w:instrText>
            </w:r>
            <w:r w:rsidRPr="00F56737">
              <w:rPr>
                <w:webHidden/>
              </w:rPr>
            </w:r>
            <w:r w:rsidRPr="00F56737">
              <w:rPr>
                <w:webHidden/>
              </w:rPr>
              <w:fldChar w:fldCharType="separate"/>
            </w:r>
            <w:r w:rsidRPr="00F56737">
              <w:rPr>
                <w:webHidden/>
              </w:rPr>
              <w:t>359</w:t>
            </w:r>
            <w:r w:rsidRPr="00F56737">
              <w:rPr>
                <w:webHidden/>
              </w:rPr>
              <w:fldChar w:fldCharType="end"/>
            </w:r>
          </w:hyperlink>
        </w:p>
        <w:p w14:paraId="5D4A6D95" w14:textId="05FA49B2" w:rsidR="00F56737" w:rsidRPr="00F56737" w:rsidRDefault="00F56737" w:rsidP="006C2E6F">
          <w:pPr>
            <w:pStyle w:val="TOC2"/>
            <w:rPr>
              <w:rFonts w:asciiTheme="minorHAnsi" w:eastAsiaTheme="minorEastAsia" w:hAnsiTheme="minorHAnsi" w:cstheme="minorBidi"/>
            </w:rPr>
          </w:pPr>
          <w:hyperlink w:anchor="_Toc193031164" w:history="1">
            <w:r w:rsidRPr="00F56737">
              <w:rPr>
                <w:rStyle w:val="Hyperlink"/>
                <w:rFonts w:hint="eastAsia"/>
                <w:rtl/>
              </w:rPr>
              <w:t>الملحق</w:t>
            </w:r>
            <w:r w:rsidRPr="00F56737">
              <w:rPr>
                <w:rStyle w:val="Hyperlink"/>
                <w:rtl/>
              </w:rPr>
              <w:t xml:space="preserve"> 2: </w:t>
            </w:r>
            <w:r w:rsidRPr="00F56737">
              <w:rPr>
                <w:rStyle w:val="Hyperlink"/>
                <w:rFonts w:hint="eastAsia"/>
                <w:rtl/>
              </w:rPr>
              <w:t>آراء</w:t>
            </w:r>
            <w:r w:rsidRPr="00F56737">
              <w:rPr>
                <w:rStyle w:val="Hyperlink"/>
                <w:rtl/>
              </w:rPr>
              <w:t xml:space="preserve"> </w:t>
            </w:r>
            <w:r w:rsidRPr="00F56737">
              <w:rPr>
                <w:rStyle w:val="Hyperlink"/>
                <w:rFonts w:hint="eastAsia"/>
                <w:rtl/>
              </w:rPr>
              <w:t>ونظريّات</w:t>
            </w:r>
            <w:r w:rsidRPr="00F56737">
              <w:rPr>
                <w:rStyle w:val="Hyperlink"/>
                <w:rtl/>
              </w:rPr>
              <w:t xml:space="preserve"> </w:t>
            </w:r>
            <w:r w:rsidRPr="00F56737">
              <w:rPr>
                <w:rStyle w:val="Hyperlink"/>
                <w:rFonts w:hint="eastAsia"/>
                <w:rtl/>
              </w:rPr>
              <w:t>معاصرة</w:t>
            </w:r>
            <w:r w:rsidRPr="00F56737">
              <w:rPr>
                <w:rStyle w:val="Hyperlink"/>
                <w:rtl/>
              </w:rPr>
              <w:t xml:space="preserve"> </w:t>
            </w:r>
            <w:r w:rsidRPr="00F56737">
              <w:rPr>
                <w:rStyle w:val="Hyperlink"/>
                <w:rFonts w:hint="eastAsia"/>
                <w:rtl/>
              </w:rPr>
              <w:t>بشأن</w:t>
            </w:r>
            <w:r w:rsidRPr="00F56737">
              <w:rPr>
                <w:rStyle w:val="Hyperlink"/>
                <w:rtl/>
              </w:rPr>
              <w:t xml:space="preserve"> </w:t>
            </w:r>
            <w:r w:rsidRPr="00F56737">
              <w:rPr>
                <w:rStyle w:val="Hyperlink"/>
                <w:rFonts w:hint="eastAsia"/>
                <w:rtl/>
              </w:rPr>
              <w:t>تكوين</w:t>
            </w:r>
            <w:r w:rsidRPr="00F56737">
              <w:rPr>
                <w:rStyle w:val="Hyperlink"/>
                <w:rtl/>
              </w:rPr>
              <w:t xml:space="preserve"> 1: 1-3</w:t>
            </w:r>
            <w:r w:rsidRPr="00F56737">
              <w:rPr>
                <w:webHidden/>
              </w:rPr>
              <w:tab/>
            </w:r>
            <w:r w:rsidRPr="00F56737">
              <w:rPr>
                <w:webHidden/>
              </w:rPr>
              <w:fldChar w:fldCharType="begin"/>
            </w:r>
            <w:r w:rsidRPr="00F56737">
              <w:rPr>
                <w:webHidden/>
              </w:rPr>
              <w:instrText xml:space="preserve"> PAGEREF _Toc193031164 \h </w:instrText>
            </w:r>
            <w:r w:rsidRPr="00F56737">
              <w:rPr>
                <w:webHidden/>
              </w:rPr>
            </w:r>
            <w:r w:rsidRPr="00F56737">
              <w:rPr>
                <w:webHidden/>
              </w:rPr>
              <w:fldChar w:fldCharType="separate"/>
            </w:r>
            <w:r w:rsidRPr="00F56737">
              <w:rPr>
                <w:webHidden/>
              </w:rPr>
              <w:t>368</w:t>
            </w:r>
            <w:r w:rsidRPr="00F56737">
              <w:rPr>
                <w:webHidden/>
              </w:rPr>
              <w:fldChar w:fldCharType="end"/>
            </w:r>
          </w:hyperlink>
        </w:p>
        <w:p w14:paraId="4277F334" w14:textId="785B42EA" w:rsidR="00F56737" w:rsidRPr="00F56737" w:rsidRDefault="00F56737" w:rsidP="006C2E6F">
          <w:pPr>
            <w:pStyle w:val="TOC2"/>
            <w:rPr>
              <w:rFonts w:asciiTheme="minorHAnsi" w:eastAsiaTheme="minorEastAsia" w:hAnsiTheme="minorHAnsi" w:cstheme="minorBidi"/>
            </w:rPr>
          </w:pPr>
          <w:hyperlink w:anchor="_Toc193031170" w:history="1">
            <w:r w:rsidRPr="00F56737">
              <w:rPr>
                <w:rStyle w:val="Hyperlink"/>
                <w:rFonts w:hint="eastAsia"/>
                <w:rtl/>
              </w:rPr>
              <w:t>الملحَق</w:t>
            </w:r>
            <w:r w:rsidRPr="00F56737">
              <w:rPr>
                <w:rStyle w:val="Hyperlink"/>
                <w:rtl/>
              </w:rPr>
              <w:t xml:space="preserve"> 3: </w:t>
            </w:r>
            <w:r w:rsidRPr="00F56737">
              <w:rPr>
                <w:rStyle w:val="Hyperlink"/>
                <w:rFonts w:hint="eastAsia"/>
                <w:rtl/>
              </w:rPr>
              <w:t>تحليل</w:t>
            </w:r>
            <w:r w:rsidRPr="00F56737">
              <w:rPr>
                <w:rStyle w:val="Hyperlink"/>
                <w:rtl/>
              </w:rPr>
              <w:t xml:space="preserve"> </w:t>
            </w:r>
            <w:r w:rsidRPr="00F56737">
              <w:rPr>
                <w:rStyle w:val="Hyperlink"/>
                <w:rFonts w:hint="eastAsia"/>
                <w:rtl/>
              </w:rPr>
              <w:t>مصدري</w:t>
            </w:r>
            <w:r w:rsidRPr="00F56737">
              <w:rPr>
                <w:rStyle w:val="Hyperlink"/>
                <w:rtl/>
              </w:rPr>
              <w:t xml:space="preserve"> </w:t>
            </w:r>
            <w:r w:rsidRPr="00F56737">
              <w:rPr>
                <w:rStyle w:val="Hyperlink"/>
                <w:rFonts w:hint="eastAsia"/>
                <w:rtl/>
              </w:rPr>
              <w:t>للعهد</w:t>
            </w:r>
            <w:r w:rsidRPr="00F56737">
              <w:rPr>
                <w:rStyle w:val="Hyperlink"/>
                <w:rtl/>
              </w:rPr>
              <w:t xml:space="preserve"> </w:t>
            </w:r>
            <w:r w:rsidRPr="00F56737">
              <w:rPr>
                <w:rStyle w:val="Hyperlink"/>
                <w:rFonts w:hint="eastAsia"/>
                <w:rtl/>
              </w:rPr>
              <w:t>القديم</w:t>
            </w:r>
            <w:r w:rsidRPr="00F56737">
              <w:rPr>
                <w:webHidden/>
              </w:rPr>
              <w:tab/>
            </w:r>
            <w:r w:rsidRPr="00F56737">
              <w:rPr>
                <w:webHidden/>
              </w:rPr>
              <w:fldChar w:fldCharType="begin"/>
            </w:r>
            <w:r w:rsidRPr="00F56737">
              <w:rPr>
                <w:webHidden/>
              </w:rPr>
              <w:instrText xml:space="preserve"> PAGEREF _Toc193031170 \h </w:instrText>
            </w:r>
            <w:r w:rsidRPr="00F56737">
              <w:rPr>
                <w:webHidden/>
              </w:rPr>
            </w:r>
            <w:r w:rsidRPr="00F56737">
              <w:rPr>
                <w:webHidden/>
              </w:rPr>
              <w:fldChar w:fldCharType="separate"/>
            </w:r>
            <w:r w:rsidRPr="00F56737">
              <w:rPr>
                <w:webHidden/>
              </w:rPr>
              <w:t>373</w:t>
            </w:r>
            <w:r w:rsidRPr="00F56737">
              <w:rPr>
                <w:webHidden/>
              </w:rPr>
              <w:fldChar w:fldCharType="end"/>
            </w:r>
          </w:hyperlink>
        </w:p>
        <w:p w14:paraId="680A4B90" w14:textId="35E7518C" w:rsidR="00F56737" w:rsidRPr="00F56737" w:rsidRDefault="00F56737" w:rsidP="00F56737">
          <w:pPr>
            <w:pStyle w:val="TOC3"/>
            <w:tabs>
              <w:tab w:val="left" w:pos="1320"/>
              <w:tab w:val="right" w:leader="dot" w:pos="9350"/>
            </w:tabs>
            <w:spacing w:before="0"/>
            <w:rPr>
              <w:rFonts w:asciiTheme="minorHAnsi" w:eastAsiaTheme="minorEastAsia" w:hAnsiTheme="minorHAnsi" w:cstheme="minorBidi"/>
              <w:noProof/>
              <w:sz w:val="32"/>
              <w:szCs w:val="32"/>
            </w:rPr>
          </w:pPr>
        </w:p>
        <w:p w14:paraId="59FCE374" w14:textId="6E01B0BF" w:rsidR="000D6760" w:rsidRPr="00C7130A" w:rsidRDefault="000D6760" w:rsidP="006C2E6F">
          <w:pPr>
            <w:pStyle w:val="TOC2"/>
          </w:pPr>
          <w:r w:rsidRPr="00F56737">
            <w:fldChar w:fldCharType="end"/>
          </w:r>
        </w:p>
      </w:sdtContent>
    </w:sdt>
    <w:p w14:paraId="5E90AF4F" w14:textId="77777777" w:rsidR="000D6760" w:rsidRPr="00C7130A" w:rsidRDefault="000D6760" w:rsidP="00C7130A">
      <w:pPr>
        <w:rPr>
          <w:szCs w:val="24"/>
        </w:rPr>
      </w:pPr>
    </w:p>
    <w:p w14:paraId="53EF5C70" w14:textId="2094D722" w:rsidR="00B74A7B" w:rsidRPr="00C7130A" w:rsidRDefault="00B74A7B" w:rsidP="00C7130A">
      <w:pPr>
        <w:rPr>
          <w:szCs w:val="24"/>
        </w:rPr>
      </w:pPr>
      <w:r w:rsidRPr="00C7130A">
        <w:rPr>
          <w:szCs w:val="24"/>
        </w:rPr>
        <w:br w:type="page"/>
      </w:r>
    </w:p>
    <w:p w14:paraId="54ADA084" w14:textId="730B2A94" w:rsidR="00E32DB7" w:rsidRPr="001D6F4C" w:rsidRDefault="00536200" w:rsidP="00E80A44">
      <w:pPr>
        <w:pStyle w:val="Heading2"/>
        <w:rPr>
          <w:rtl/>
        </w:rPr>
      </w:pPr>
      <w:bookmarkStart w:id="3" w:name="_Toc193030884"/>
      <w:r w:rsidRPr="001D6F4C">
        <w:rPr>
          <w:rtl/>
        </w:rPr>
        <w:lastRenderedPageBreak/>
        <w:t>مُقدِّمة المساق</w:t>
      </w:r>
      <w:bookmarkEnd w:id="3"/>
    </w:p>
    <w:p w14:paraId="23F3CEAF" w14:textId="5B0039B4" w:rsidR="00E32DB7" w:rsidRPr="001D6F4C" w:rsidRDefault="00536200" w:rsidP="000558B7">
      <w:pPr>
        <w:pStyle w:val="Heading3"/>
      </w:pPr>
      <w:bookmarkStart w:id="4" w:name="_Toc193030885"/>
      <w:r w:rsidRPr="001D6F4C">
        <w:rPr>
          <w:rFonts w:hint="cs"/>
          <w:rtl/>
        </w:rPr>
        <w:t>مُقدِّمة عامّة إلى المساق</w:t>
      </w:r>
      <w:bookmarkEnd w:id="4"/>
    </w:p>
    <w:p w14:paraId="4A6DE25E" w14:textId="1BEB62EC" w:rsidR="005E7D26" w:rsidRPr="00C7130A" w:rsidRDefault="004C0FC2" w:rsidP="003F40FD">
      <w:pPr>
        <w:rPr>
          <w:rtl/>
          <w:lang w:bidi="ar-JO"/>
        </w:rPr>
      </w:pPr>
      <w:bookmarkStart w:id="5" w:name="_Hlk178777689"/>
      <w:r w:rsidRPr="00C7130A">
        <w:rPr>
          <w:rtl/>
          <w:lang w:bidi="ar-JO"/>
        </w:rPr>
        <w:t xml:space="preserve">هذا المساق، "أساس العهد القديم: التكوين إلى راعوث،" هو مسحٌ للأسفار الثمانية الأولى في الكتاب المُقدَّس. وهذا يشمل أسفار موسى الخمسة، مُضافًا إليها الأسفار التي تصف شعب إسرائيل في أرض الموعد قبل زمن حكم الملوك. تتألَّف الأسفار الخمسة من أسفار التكوين </w:t>
      </w:r>
      <w:r w:rsidR="002F400D" w:rsidRPr="00C7130A">
        <w:rPr>
          <w:rFonts w:hint="cs"/>
          <w:rtl/>
          <w:lang w:bidi="ar-JO"/>
        </w:rPr>
        <w:t>والخروج</w:t>
      </w:r>
      <w:r w:rsidR="002F400D" w:rsidRPr="00C7130A">
        <w:rPr>
          <w:rFonts w:hint="eastAsia"/>
          <w:rtl/>
          <w:lang w:bidi="ar-JO"/>
        </w:rPr>
        <w:t>،</w:t>
      </w:r>
      <w:r w:rsidRPr="00C7130A">
        <w:rPr>
          <w:rtl/>
          <w:lang w:bidi="ar-JO"/>
        </w:rPr>
        <w:t xml:space="preserve"> </w:t>
      </w:r>
      <w:r w:rsidR="002F400D" w:rsidRPr="00C7130A">
        <w:rPr>
          <w:rFonts w:hint="cs"/>
          <w:rtl/>
          <w:lang w:bidi="ar-JO"/>
        </w:rPr>
        <w:t>واللاويّين</w:t>
      </w:r>
      <w:r w:rsidR="002F400D" w:rsidRPr="00C7130A">
        <w:rPr>
          <w:rFonts w:hint="eastAsia"/>
          <w:rtl/>
          <w:lang w:bidi="ar-JO"/>
        </w:rPr>
        <w:t>،</w:t>
      </w:r>
      <w:r w:rsidRPr="00C7130A">
        <w:rPr>
          <w:rtl/>
          <w:lang w:bidi="ar-JO"/>
        </w:rPr>
        <w:t xml:space="preserve"> </w:t>
      </w:r>
      <w:r w:rsidR="002F400D" w:rsidRPr="00C7130A">
        <w:rPr>
          <w:rFonts w:hint="cs"/>
          <w:rtl/>
          <w:lang w:bidi="ar-JO"/>
        </w:rPr>
        <w:t>والعدد</w:t>
      </w:r>
      <w:r w:rsidR="002F400D" w:rsidRPr="00C7130A">
        <w:rPr>
          <w:rFonts w:hint="eastAsia"/>
          <w:rtl/>
          <w:lang w:bidi="ar-JO"/>
        </w:rPr>
        <w:t>،</w:t>
      </w:r>
      <w:r w:rsidRPr="00C7130A">
        <w:rPr>
          <w:rtl/>
          <w:lang w:bidi="ar-JO"/>
        </w:rPr>
        <w:t xml:space="preserve"> والتثنية. والأسفار الثلاثة التي تصف الشعب في أرض </w:t>
      </w:r>
      <w:r w:rsidR="006E2FFB" w:rsidRPr="00C7130A">
        <w:rPr>
          <w:rtl/>
          <w:lang w:bidi="ar-JO"/>
        </w:rPr>
        <w:t xml:space="preserve">الموعد </w:t>
      </w:r>
      <w:r w:rsidRPr="00C7130A">
        <w:rPr>
          <w:rtl/>
          <w:lang w:bidi="ar-JO"/>
        </w:rPr>
        <w:t xml:space="preserve">هي يشوع والقضاة وراعوث. </w:t>
      </w:r>
    </w:p>
    <w:p w14:paraId="3DF58E93" w14:textId="46003822" w:rsidR="002B555C" w:rsidRPr="00C7130A" w:rsidRDefault="005D0F93" w:rsidP="003F40FD">
      <w:pPr>
        <w:rPr>
          <w:rtl/>
          <w:lang w:bidi="ar-JO"/>
        </w:rPr>
      </w:pPr>
      <w:r w:rsidRPr="00C7130A">
        <w:rPr>
          <w:rtl/>
          <w:lang w:bidi="ar-JO"/>
        </w:rPr>
        <w:t>أسفار موسى الخمسة بالغة الأهمّيّة لفهم كل</w:t>
      </w:r>
      <w:r w:rsidR="006E2FFB" w:rsidRPr="00C7130A">
        <w:rPr>
          <w:rtl/>
          <w:lang w:bidi="ar-JO"/>
        </w:rPr>
        <w:t>ّ</w:t>
      </w:r>
      <w:r w:rsidRPr="00C7130A">
        <w:rPr>
          <w:rtl/>
          <w:lang w:bidi="ar-JO"/>
        </w:rPr>
        <w:t xml:space="preserve"> شيءٍ آخر يُقدَّم في الكتاب المُقدَّس. هذا يوضِّح أنّ إله إسرائيل (الذي اسمه يهوه) هو الإله خالق الكون. هو كلّيّ القوّة، وكلّيّ الح</w:t>
      </w:r>
      <w:r w:rsidR="006E2FFB" w:rsidRPr="00C7130A">
        <w:rPr>
          <w:rtl/>
          <w:lang w:bidi="ar-JO"/>
        </w:rPr>
        <w:t>ك</w:t>
      </w:r>
      <w:r w:rsidRPr="00C7130A">
        <w:rPr>
          <w:rtl/>
          <w:lang w:bidi="ar-JO"/>
        </w:rPr>
        <w:t xml:space="preserve">مة، ويحكم بسيادته المُطلَقة على خليقته. وهو إله أخلاقيّ يدين الخطية، ويسيطر بسيادته على النظام الذي خلقه. </w:t>
      </w:r>
      <w:r w:rsidR="005A61D7" w:rsidRPr="00C7130A">
        <w:rPr>
          <w:rtl/>
          <w:lang w:bidi="ar-JO"/>
        </w:rPr>
        <w:t>ومع أنّ خليقته الأولى قد تعرّضت للفساد والخراب بسبب دخول الخطيّة، فقد تحرّك لمواجهتها بخطّته في التاريخ والخلاص (التاريخ الخلاصي). فبمقابل أمم العالم التي ضلّت فسقطت في الفساد وعبادة الأصنام الوثنيّة، اختار الله رجلًا، هو أبرام (الذي تغيَّر اسمه لاحقًا إلى "إبراهيم")، وبه بدأت أمّة جديدة ستأتي في النهاية ببركة الله على كل</w:t>
      </w:r>
      <w:r w:rsidR="006E2FFB" w:rsidRPr="00C7130A">
        <w:rPr>
          <w:rtl/>
          <w:lang w:bidi="ar-JO"/>
        </w:rPr>
        <w:t>ّ</w:t>
      </w:r>
      <w:r w:rsidR="005A61D7" w:rsidRPr="00C7130A">
        <w:rPr>
          <w:rtl/>
          <w:lang w:bidi="ar-JO"/>
        </w:rPr>
        <w:t xml:space="preserve"> شعوب وعشائر العالم. طبعًا، هذه الأمة هي إسرائيل، التي منها سيأتي المسيّا</w:t>
      </w:r>
      <w:r w:rsidR="006E2FFB" w:rsidRPr="00C7130A">
        <w:rPr>
          <w:rtl/>
          <w:lang w:bidi="ar-JO"/>
        </w:rPr>
        <w:t xml:space="preserve"> في وقتٍ لاحق</w:t>
      </w:r>
      <w:r w:rsidR="005A61D7" w:rsidRPr="00C7130A">
        <w:rPr>
          <w:rtl/>
          <w:lang w:bidi="ar-JO"/>
        </w:rPr>
        <w:t xml:space="preserve">. كما أسَّس الله عهدًا مع إبراهيم (العهد الإبراهيمي)، الذي به ارتبط بالأمّة التي ستخرج من صُلب إبراهيم. </w:t>
      </w:r>
      <w:r w:rsidR="002B555C" w:rsidRPr="00C7130A">
        <w:rPr>
          <w:rtl/>
          <w:lang w:bidi="ar-JO"/>
        </w:rPr>
        <w:t xml:space="preserve">جزءٌ من خطة الله وعده بأن يعطي شعب إسرائيل أرض كنعان ليسكنوا فيها. ومع هذا، يوضِّح الله أيضاً أنّ الذين هم في الإيمان هم الذين يتباركون مع "إبراهيم المؤمن." أي أنّه ليس كافيًا أن يكون الإنسان من نسل إبراهيم الجسدي، إذ ينبغي له أن يكون مؤمنًا أيضًا حتّى يكون مرتبطًا بالله ارتباطًا صحيحًا، مثلما كان إبراهيم (تكوين 15: 6). </w:t>
      </w:r>
    </w:p>
    <w:p w14:paraId="42DF28BD" w14:textId="04EA60F4" w:rsidR="00463E7F" w:rsidRPr="00C7130A" w:rsidRDefault="00463E7F" w:rsidP="003F40FD">
      <w:pPr>
        <w:rPr>
          <w:rtl/>
          <w:lang w:bidi="ar-JO"/>
        </w:rPr>
      </w:pPr>
      <w:r w:rsidRPr="00C7130A">
        <w:rPr>
          <w:rtl/>
          <w:lang w:bidi="ar-JO"/>
        </w:rPr>
        <w:t xml:space="preserve">تُظهِر بقية الأسفار الخمسة (الخروج – التثنية) كيف عمل الله في إخراج نسل إبراهيم الجسديّ (الشعب العبري) من مصر، وهيّأهم وأعدّهم للاستيلاء على أرض كنعان. وفي هذه العمليّة، أتى الله بهم إلى جبل سيناء، وأعطاهم امتياز أن يكونوا شعب عهدِه، بشرط أن يلتزموا بحفظ شريعته وناموسه. وبموافقة شعب إسرائيل على أن يعملوا هذا، أعطاهم الناموس الموسويّ (أو "الشريعة الموسويّة"). وينبغي </w:t>
      </w:r>
      <w:r w:rsidR="007E12EF" w:rsidRPr="00C7130A">
        <w:rPr>
          <w:rtl/>
          <w:lang w:bidi="ar-JO"/>
        </w:rPr>
        <w:t>أن تكون هذه</w:t>
      </w:r>
      <w:r w:rsidRPr="00C7130A">
        <w:rPr>
          <w:rtl/>
          <w:lang w:bidi="ar-JO"/>
        </w:rPr>
        <w:t xml:space="preserve"> الشريعة، التي تُعرَف باسم "العهد الموسوي"، الإطار</w:t>
      </w:r>
      <w:r w:rsidR="007E12EF" w:rsidRPr="00C7130A">
        <w:rPr>
          <w:rtl/>
          <w:lang w:bidi="ar-JO"/>
        </w:rPr>
        <w:t>َ</w:t>
      </w:r>
      <w:r w:rsidRPr="00C7130A">
        <w:rPr>
          <w:rtl/>
          <w:lang w:bidi="ar-JO"/>
        </w:rPr>
        <w:t xml:space="preserve"> الذي يقرِّر كيف يعيش هذا الشعب بوصفه شعبَ الله (أي بوصفه شعب</w:t>
      </w:r>
      <w:r w:rsidR="007E12EF" w:rsidRPr="00C7130A">
        <w:rPr>
          <w:rtl/>
          <w:lang w:bidi="ar-JO"/>
        </w:rPr>
        <w:t>ًا</w:t>
      </w:r>
      <w:r w:rsidRPr="00C7130A">
        <w:rPr>
          <w:rtl/>
          <w:lang w:bidi="ar-JO"/>
        </w:rPr>
        <w:t xml:space="preserve"> مُقدَّسًا). ولكنّهم يُحذَّرون بأنّ عدم حفظهم للشريعة (وخاصّة ارتكاب خطيّة عبادة الأوثان) سيؤدّي إلى تأديب الله، وقد يؤدّي أيضًا إلى هجوم قوى معادية وسبيهم من الأرض. وكجزءٍ من حفظ الشريعة الموسويّة، كان عليهم أن يكونوا شعبًا عابدًا بنظامٍ كهنوتي وتقديم ذبائح حيواني</w:t>
      </w:r>
      <w:r w:rsidR="007E12EF" w:rsidRPr="00C7130A">
        <w:rPr>
          <w:rtl/>
          <w:lang w:bidi="ar-JO"/>
        </w:rPr>
        <w:t>ّة</w:t>
      </w:r>
      <w:r w:rsidRPr="00C7130A">
        <w:rPr>
          <w:rtl/>
          <w:lang w:bidi="ar-JO"/>
        </w:rPr>
        <w:t xml:space="preserve"> في خيمةٍ أرضيّة (والمقصود من كلّ ذلك هو إعدادهم لرئيس الكهنة الأعظم لله، الرب يسوع المسيح، وتقديمه نفسه لأجل خطايا العالم). </w:t>
      </w:r>
    </w:p>
    <w:p w14:paraId="0F0343D6" w14:textId="3ED13941" w:rsidR="00463E7F" w:rsidRPr="00C7130A" w:rsidRDefault="00463E7F" w:rsidP="003F40FD">
      <w:pPr>
        <w:rPr>
          <w:rtl/>
          <w:lang w:bidi="ar-JO"/>
        </w:rPr>
      </w:pPr>
      <w:r w:rsidRPr="00C7130A">
        <w:rPr>
          <w:rtl/>
          <w:lang w:bidi="ar-JO"/>
        </w:rPr>
        <w:t>مع أن</w:t>
      </w:r>
      <w:r w:rsidR="007E12EF" w:rsidRPr="00C7130A">
        <w:rPr>
          <w:rtl/>
          <w:lang w:bidi="ar-JO"/>
        </w:rPr>
        <w:t>َّ</w:t>
      </w:r>
      <w:r w:rsidRPr="00C7130A">
        <w:rPr>
          <w:rtl/>
          <w:lang w:bidi="ar-JO"/>
        </w:rPr>
        <w:t xml:space="preserve"> الجيل الذي خرج من مصر بقيادة موسى لم يتمك</w:t>
      </w:r>
      <w:r w:rsidR="007E12EF" w:rsidRPr="00C7130A">
        <w:rPr>
          <w:rtl/>
          <w:lang w:bidi="ar-JO"/>
        </w:rPr>
        <w:t>ّ</w:t>
      </w:r>
      <w:r w:rsidRPr="00C7130A">
        <w:rPr>
          <w:rtl/>
          <w:lang w:bidi="ar-JO"/>
        </w:rPr>
        <w:t xml:space="preserve">ن من الدخول إلى أرض الموعد (بسبب تمرُّدهم وعدم إيمانهم)، فإنّ جيلًا جديدًا قاده يشوع في الدخول إلى الأرض والاستيلاء على الأرض. ولكنْ خلال القرون العديدة التالية، سقط الشعب بصورة متكرِّرة في العصيان وعبادة الأوثان. ويُظهِر سفر القضاة أنّ الله أرسل بصورة متكرِّرة </w:t>
      </w:r>
      <w:r w:rsidR="00E0144D" w:rsidRPr="00C7130A">
        <w:rPr>
          <w:rtl/>
          <w:lang w:bidi="ar-JO"/>
        </w:rPr>
        <w:t xml:space="preserve">قوى أجنبيّةً هزمتهم </w:t>
      </w:r>
      <w:r w:rsidR="00E0144D" w:rsidRPr="00C7130A">
        <w:rPr>
          <w:rtl/>
          <w:lang w:bidi="ar-JO"/>
        </w:rPr>
        <w:lastRenderedPageBreak/>
        <w:t xml:space="preserve">وأخضعتهم، وأنّهم حين كانوا يتوبون، كان يقيم "قضاةً" (أي "قادة كاريزماتيّين) لتخليصهم. ومع هذا، تُظهِر فترة حكم القضاة فشل الأمّة الرديء بأن تطيع شريعة الله. ولكن حتّى في هذا الوضع، لم يتخلَّ الله عنهم. </w:t>
      </w:r>
    </w:p>
    <w:p w14:paraId="074FDB85" w14:textId="77777777" w:rsidR="00E0144D" w:rsidRPr="00C7130A" w:rsidRDefault="00E0144D" w:rsidP="003F40FD">
      <w:pPr>
        <w:rPr>
          <w:szCs w:val="20"/>
        </w:rPr>
      </w:pPr>
    </w:p>
    <w:p w14:paraId="499E01BA" w14:textId="5D4B31B8" w:rsidR="00E32DB7" w:rsidRPr="00C7130A" w:rsidRDefault="00E0144D" w:rsidP="000558B7">
      <w:pPr>
        <w:pStyle w:val="Heading3"/>
      </w:pPr>
      <w:bookmarkStart w:id="6" w:name="_Toc193030886"/>
      <w:r w:rsidRPr="00C7130A">
        <w:rPr>
          <w:rtl/>
          <w:lang w:bidi="ar-JO"/>
        </w:rPr>
        <w:t>أ</w:t>
      </w:r>
      <w:r w:rsidR="00536200" w:rsidRPr="00C7130A">
        <w:rPr>
          <w:rtl/>
          <w:lang w:bidi="ar-JO"/>
        </w:rPr>
        <w:t>سباب لدراسة هذا المساق</w:t>
      </w:r>
      <w:bookmarkEnd w:id="6"/>
    </w:p>
    <w:p w14:paraId="4FA0F755" w14:textId="7915EE95" w:rsidR="00E0144D" w:rsidRPr="00C7130A" w:rsidRDefault="00D523A1" w:rsidP="00287718">
      <w:pPr>
        <w:rPr>
          <w:rtl/>
          <w:lang w:bidi="ar-JO"/>
        </w:rPr>
      </w:pPr>
      <w:r w:rsidRPr="00C7130A">
        <w:rPr>
          <w:rtl/>
        </w:rPr>
        <w:t xml:space="preserve">تؤلِّف </w:t>
      </w:r>
      <w:r w:rsidR="00DF2A0C" w:rsidRPr="00C7130A">
        <w:rPr>
          <w:rtl/>
          <w:lang w:bidi="ar-JO"/>
        </w:rPr>
        <w:t>أسفار العهد القديم التسعة والثلاثون الجزء الأكبر من الكتاب المُقدَّس. ويصعب عمليًّا فهم ما يحدث في العهد القديم من دون فهم الأصحاحات التي تمثِّل الأساس في أسفار التكوين إلى راعوث أوّلًا. نتعلَّم في هذه الأصحاحات أوّلًا أن ثمّة إلهًا وراء حقيقتنا</w:t>
      </w:r>
      <w:r w:rsidR="007E12EF" w:rsidRPr="00C7130A">
        <w:rPr>
          <w:rtl/>
          <w:lang w:bidi="ar-JO"/>
        </w:rPr>
        <w:t xml:space="preserve">. هو </w:t>
      </w:r>
      <w:r w:rsidR="00DF2A0C" w:rsidRPr="00C7130A">
        <w:rPr>
          <w:rtl/>
          <w:lang w:bidi="ar-JO"/>
        </w:rPr>
        <w:t xml:space="preserve">خالق الكون وفي الوقت نفسه إله النعمة والخلاص، الإله الذي يسعى إلى أن يبارك الناس. </w:t>
      </w:r>
    </w:p>
    <w:p w14:paraId="76CEB192" w14:textId="64A80966" w:rsidR="00DF2A0C" w:rsidRPr="00C7130A" w:rsidRDefault="00DF2A0C" w:rsidP="00287718">
      <w:pPr>
        <w:rPr>
          <w:rtl/>
          <w:lang w:bidi="ar-JO"/>
        </w:rPr>
      </w:pPr>
      <w:r w:rsidRPr="00C7130A">
        <w:rPr>
          <w:rtl/>
          <w:lang w:bidi="ar-JO"/>
        </w:rPr>
        <w:t xml:space="preserve">يُقدَّم </w:t>
      </w:r>
      <w:r w:rsidR="00A87ED5" w:rsidRPr="00C7130A">
        <w:rPr>
          <w:rtl/>
          <w:lang w:bidi="ar-JO"/>
        </w:rPr>
        <w:t xml:space="preserve">في هذه الأسفار </w:t>
      </w:r>
      <w:r w:rsidRPr="00C7130A">
        <w:rPr>
          <w:rtl/>
          <w:lang w:bidi="ar-JO"/>
        </w:rPr>
        <w:t>عهدان من أهم العهود في الأسفار الثمانية الأولى، وهما العهد الإبراهيمي والعهد الموسوي. ومن أجل إدراك قيمة ما يعمله الله عبر التاريخ البشري، على الإنسان أن يفهم ما يدور هذان العهدان حوله، والمعاني التي يحملانها، وطبيعة علاقة مؤمني العهد الجديد اليوم به</w:t>
      </w:r>
      <w:r w:rsidR="008516DE" w:rsidRPr="00C7130A">
        <w:rPr>
          <w:rtl/>
          <w:lang w:bidi="ar-JO"/>
        </w:rPr>
        <w:t>م</w:t>
      </w:r>
      <w:r w:rsidRPr="00C7130A">
        <w:rPr>
          <w:rtl/>
          <w:lang w:bidi="ar-JO"/>
        </w:rPr>
        <w:t xml:space="preserve">ا. </w:t>
      </w:r>
    </w:p>
    <w:p w14:paraId="2D8EC08C" w14:textId="636E6F3C" w:rsidR="00E0144D" w:rsidRPr="00C7130A" w:rsidRDefault="00DF2A0C" w:rsidP="00287718">
      <w:pPr>
        <w:rPr>
          <w:rtl/>
        </w:rPr>
      </w:pPr>
      <w:r w:rsidRPr="00C7130A">
        <w:rPr>
          <w:rtl/>
        </w:rPr>
        <w:t>في هذه الأ</w:t>
      </w:r>
      <w:r w:rsidR="000E711D" w:rsidRPr="00C7130A">
        <w:rPr>
          <w:rtl/>
        </w:rPr>
        <w:t>س</w:t>
      </w:r>
      <w:r w:rsidRPr="00C7130A">
        <w:rPr>
          <w:rtl/>
        </w:rPr>
        <w:t xml:space="preserve">فار </w:t>
      </w:r>
      <w:r w:rsidR="000E711D" w:rsidRPr="00C7130A">
        <w:rPr>
          <w:rtl/>
        </w:rPr>
        <w:t xml:space="preserve">الافتتاحية </w:t>
      </w:r>
      <w:r w:rsidR="009B50BD" w:rsidRPr="00C7130A">
        <w:rPr>
          <w:rtl/>
        </w:rPr>
        <w:t xml:space="preserve">من </w:t>
      </w:r>
      <w:r w:rsidR="000E711D" w:rsidRPr="00C7130A">
        <w:rPr>
          <w:rtl/>
        </w:rPr>
        <w:t>الكتاب المُقدَّس نتعلَّم عن الطريقة التي يعامل بها الله</w:t>
      </w:r>
      <w:r w:rsidR="009B50BD" w:rsidRPr="00C7130A">
        <w:rPr>
          <w:rtl/>
        </w:rPr>
        <w:t>ُ</w:t>
      </w:r>
      <w:r w:rsidR="000E711D" w:rsidRPr="00C7130A">
        <w:rPr>
          <w:rtl/>
        </w:rPr>
        <w:t xml:space="preserve"> الناس</w:t>
      </w:r>
      <w:r w:rsidR="009B50BD" w:rsidRPr="00C7130A">
        <w:rPr>
          <w:rtl/>
        </w:rPr>
        <w:t>َ</w:t>
      </w:r>
      <w:r w:rsidR="000E711D" w:rsidRPr="00C7130A">
        <w:rPr>
          <w:rtl/>
        </w:rPr>
        <w:t xml:space="preserve">. ومع أنّ الجميع خطاة، فهو صبور </w:t>
      </w:r>
      <w:r w:rsidR="009B50BD" w:rsidRPr="00C7130A">
        <w:rPr>
          <w:rtl/>
        </w:rPr>
        <w:t xml:space="preserve">مع </w:t>
      </w:r>
      <w:r w:rsidR="000E711D" w:rsidRPr="00C7130A">
        <w:rPr>
          <w:rtl/>
        </w:rPr>
        <w:t xml:space="preserve">الذين يلجأون إليه بالإيمان ويباركهم. أمّا الذين يرفضون </w:t>
      </w:r>
      <w:r w:rsidR="00AD7FFD" w:rsidRPr="00C7130A">
        <w:rPr>
          <w:rtl/>
        </w:rPr>
        <w:t>طرقه</w:t>
      </w:r>
      <w:r w:rsidR="000E711D" w:rsidRPr="00C7130A">
        <w:rPr>
          <w:rtl/>
        </w:rPr>
        <w:t xml:space="preserve"> ويبتعدون عنه</w:t>
      </w:r>
      <w:r w:rsidR="00AD7FFD" w:rsidRPr="00C7130A">
        <w:rPr>
          <w:rtl/>
        </w:rPr>
        <w:t xml:space="preserve"> فسيأتي بهم إلى الدينونة. وكجزءٍ من الدراما الشاملة والكاملة، نتعلِّم كيف ينمّي الله إيمان الذين سيتبعونه، ويتعلَّمون من الأخطاء التي يقعون بهم (حتى </w:t>
      </w:r>
      <w:r w:rsidR="009B50BD" w:rsidRPr="00C7130A">
        <w:rPr>
          <w:rtl/>
        </w:rPr>
        <w:t>يتجنَّبوها ونتجنَّبها</w:t>
      </w:r>
      <w:r w:rsidR="00AD7FFD" w:rsidRPr="00C7130A">
        <w:rPr>
          <w:rtl/>
        </w:rPr>
        <w:t xml:space="preserve">). </w:t>
      </w:r>
    </w:p>
    <w:p w14:paraId="3A3CBF79" w14:textId="0B99482F" w:rsidR="00AD7FFD" w:rsidRPr="00C7130A" w:rsidRDefault="00AD7FFD" w:rsidP="00287718">
      <w:pPr>
        <w:rPr>
          <w:rtl/>
        </w:rPr>
      </w:pPr>
      <w:r w:rsidRPr="00C7130A">
        <w:rPr>
          <w:rtl/>
        </w:rPr>
        <w:t>ليس إعلان الرب يسوع محصور</w:t>
      </w:r>
      <w:r w:rsidR="009B50BD" w:rsidRPr="00C7130A">
        <w:rPr>
          <w:rtl/>
        </w:rPr>
        <w:t>ًا</w:t>
      </w:r>
      <w:r w:rsidRPr="00C7130A">
        <w:rPr>
          <w:rtl/>
        </w:rPr>
        <w:t xml:space="preserve"> في زمن العهد الجديد. فمن اللحظات الأولى </w:t>
      </w:r>
      <w:r w:rsidR="009B50BD" w:rsidRPr="00C7130A">
        <w:rPr>
          <w:rtl/>
        </w:rPr>
        <w:t>من</w:t>
      </w:r>
      <w:r w:rsidRPr="00C7130A">
        <w:rPr>
          <w:rtl/>
        </w:rPr>
        <w:t xml:space="preserve"> التاريخ البشري بدأ الله يُعلِن خطته النهائية بأن يبارك العالم الذي سيأتي بالمسيا، الرب يسوع. وسواء بالإعلانات النبويّة المباشرة أو بأسلوب الرموز والنماذج، تعمل أسفار العهد القديم هذه على إعداد الشعب العبرانيّ (وإعدادنا) لمجيء يسوع المسيح، مخلِّص العالم. وفهم خيمة الاجتماع والكهنوت ونظام الذبائح ضروريّ لفهم رسالة يسوع المسيح. </w:t>
      </w:r>
    </w:p>
    <w:p w14:paraId="001665A6" w14:textId="77777777" w:rsidR="00AD7FFD" w:rsidRPr="00C7130A" w:rsidRDefault="00AD7FFD" w:rsidP="00287718">
      <w:pPr>
        <w:rPr>
          <w:rtl/>
        </w:rPr>
      </w:pPr>
    </w:p>
    <w:p w14:paraId="402582D6" w14:textId="77777777" w:rsidR="00536200" w:rsidRPr="00C7130A" w:rsidRDefault="00536200" w:rsidP="000558B7">
      <w:pPr>
        <w:pStyle w:val="Heading3"/>
        <w:rPr>
          <w:lang w:bidi="ar-JO"/>
        </w:rPr>
      </w:pPr>
      <w:bookmarkStart w:id="7" w:name="_Toc193030887"/>
      <w:bookmarkEnd w:id="5"/>
      <w:r w:rsidRPr="00C7130A">
        <w:rPr>
          <w:rtl/>
          <w:lang w:bidi="ar-JO"/>
        </w:rPr>
        <w:t>مؤلِّف المساق</w:t>
      </w:r>
      <w:bookmarkEnd w:id="7"/>
      <w:r w:rsidRPr="00C7130A">
        <w:rPr>
          <w:rtl/>
          <w:lang w:bidi="ar-JO"/>
        </w:rPr>
        <w:t xml:space="preserve"> </w:t>
      </w:r>
    </w:p>
    <w:p w14:paraId="7A1911B9" w14:textId="77777777" w:rsidR="00536200" w:rsidRPr="00C7130A" w:rsidRDefault="00536200" w:rsidP="00287718">
      <w:pPr>
        <w:rPr>
          <w:rtl/>
          <w:lang w:bidi="ar-JO"/>
        </w:rPr>
      </w:pPr>
      <w:r w:rsidRPr="00C7130A">
        <w:rPr>
          <w:rtl/>
          <w:lang w:bidi="ar-JO"/>
        </w:rPr>
        <w:t>كاتِب هذا المساق هو الدّكتور ج. بول تانر. الدّكتور تانر حاصل على درجة الماجستير العالي في اللّاهوت (</w:t>
      </w:r>
      <w:r w:rsidRPr="00C7130A">
        <w:rPr>
          <w:lang w:bidi="he-IL"/>
        </w:rPr>
        <w:t>ThM</w:t>
      </w:r>
      <w:r w:rsidRPr="00C7130A">
        <w:rPr>
          <w:rtl/>
          <w:lang w:bidi="ar-JO"/>
        </w:rPr>
        <w:t>)، والدّكتوراة في الفلسفة في اللّغة العبرية ودراسات العهد القديم. الدكتور تانر متمكّن من اللّغات العبريّة والآرامية واليونانية، وله أكثر من أربعين سنة في خدمة تعليم الكتاب المُقدَّس في كلّيّات لاهوت مختلفة حول العالم. كتب العديد من المقالات المنشورة في الدوريّات المسيحية المتخصِّصة، وعدّة مساقاتٍ لخدمة "التّعليم الكتابي بالامتداد" (</w:t>
      </w:r>
      <w:r w:rsidRPr="00C7130A">
        <w:rPr>
          <w:lang w:bidi="ar-JO"/>
        </w:rPr>
        <w:t>BEE</w:t>
      </w:r>
      <w:r w:rsidRPr="00C7130A">
        <w:rPr>
          <w:rtl/>
          <w:lang w:bidi="ar-JO"/>
        </w:rPr>
        <w:t>). كما أنّه كتب تفسيرًا معمّقًا لسفر دانيال ضمن سلسلة "التّفسير الاستقصائي الإنجيليّ" (</w:t>
      </w:r>
      <w:r w:rsidRPr="00C7130A">
        <w:rPr>
          <w:lang w:bidi="ar-JO"/>
        </w:rPr>
        <w:t>Evangelical Exegetical Commentary</w:t>
      </w:r>
      <w:r w:rsidRPr="00C7130A">
        <w:rPr>
          <w:rtl/>
          <w:lang w:bidi="ar-JO"/>
        </w:rPr>
        <w:t>) الذي تمّ إصداره بالتعاون مع "برمجيّات اللّوغوس للكتاب المُقدَّس" (</w:t>
      </w:r>
      <w:r w:rsidRPr="00C7130A">
        <w:rPr>
          <w:lang w:bidi="he-IL"/>
        </w:rPr>
        <w:t>Logos Bible Software</w:t>
      </w:r>
      <w:r w:rsidRPr="00C7130A">
        <w:rPr>
          <w:rtl/>
          <w:lang w:bidi="ar-JO"/>
        </w:rPr>
        <w:t xml:space="preserve">). وهو في الحاضر العميد الأكاديمي لـ"المركز العربي للدّراسات الكتابيّة". </w:t>
      </w:r>
    </w:p>
    <w:p w14:paraId="4340CCE3" w14:textId="1356837D" w:rsidR="009B0375" w:rsidRPr="00C7130A" w:rsidRDefault="009B0375" w:rsidP="000558B7">
      <w:pPr>
        <w:pStyle w:val="Heading3"/>
      </w:pPr>
      <w:bookmarkStart w:id="8" w:name="_Toc112646500"/>
      <w:bookmarkStart w:id="9" w:name="_Toc125548801"/>
    </w:p>
    <w:p w14:paraId="27F1890F" w14:textId="77777777" w:rsidR="00693925" w:rsidRPr="00C7130A" w:rsidRDefault="00693925" w:rsidP="000558B7">
      <w:pPr>
        <w:pStyle w:val="Heading3"/>
        <w:rPr>
          <w:rtl/>
          <w:lang w:bidi="ar-JO"/>
        </w:rPr>
      </w:pPr>
      <w:bookmarkStart w:id="10" w:name="_Toc193030888"/>
      <w:bookmarkEnd w:id="8"/>
      <w:bookmarkEnd w:id="9"/>
      <w:r w:rsidRPr="00C7130A">
        <w:rPr>
          <w:rtl/>
          <w:lang w:bidi="ar-JO"/>
        </w:rPr>
        <w:lastRenderedPageBreak/>
        <w:t>وحدات الدراسة</w:t>
      </w:r>
      <w:bookmarkEnd w:id="10"/>
      <w:r w:rsidRPr="00C7130A">
        <w:rPr>
          <w:rtl/>
          <w:lang w:bidi="ar-JO"/>
        </w:rPr>
        <w:t xml:space="preserve"> </w:t>
      </w:r>
    </w:p>
    <w:p w14:paraId="47413131" w14:textId="77777777" w:rsidR="00693925" w:rsidRPr="00C7130A" w:rsidRDefault="00693925" w:rsidP="001769E0">
      <w:pPr>
        <w:rPr>
          <w:rtl/>
          <w:lang w:bidi="ar-JO"/>
        </w:rPr>
      </w:pPr>
      <w:r w:rsidRPr="00C7130A">
        <w:rPr>
          <w:rtl/>
          <w:lang w:bidi="ar-JO"/>
        </w:rPr>
        <w:t>يتألَّف المساق من اثني عشر درسًا موزَّعة في أربع وحدات:</w:t>
      </w:r>
    </w:p>
    <w:p w14:paraId="4A141809" w14:textId="50E4B9EB" w:rsidR="00AD7FFD" w:rsidRPr="00C7130A" w:rsidRDefault="00AD7FFD" w:rsidP="001769E0">
      <w:pPr>
        <w:rPr>
          <w:bCs/>
          <w:sz w:val="26"/>
          <w:rtl/>
        </w:rPr>
      </w:pPr>
      <w:bookmarkStart w:id="11" w:name="_Hlk178777709"/>
      <w:r w:rsidRPr="00C7130A">
        <w:rPr>
          <w:bCs/>
          <w:sz w:val="26"/>
          <w:rtl/>
        </w:rPr>
        <w:t>الوحدة 1: مُقدِّمة وخلفيّة إلى دعوة إبراهيم (تكوين 1: 1 – 11: 26)</w:t>
      </w:r>
    </w:p>
    <w:p w14:paraId="05245854" w14:textId="696046FE" w:rsidR="00AD7FFD" w:rsidRPr="00C7130A" w:rsidRDefault="00AD7FFD" w:rsidP="00A3360F">
      <w:pPr>
        <w:ind w:left="720"/>
        <w:rPr>
          <w:b/>
          <w:sz w:val="26"/>
          <w:rtl/>
        </w:rPr>
      </w:pPr>
      <w:bookmarkStart w:id="12" w:name="_Hlk120710782"/>
      <w:r w:rsidRPr="00C7130A">
        <w:rPr>
          <w:b/>
          <w:sz w:val="26"/>
          <w:rtl/>
        </w:rPr>
        <w:t>الدرس 1: مُقدِّمة إلى العهد القديم</w:t>
      </w:r>
    </w:p>
    <w:p w14:paraId="2D905BB6" w14:textId="0C23F4AB" w:rsidR="00AD7FFD" w:rsidRPr="00C7130A" w:rsidRDefault="00AD7FFD" w:rsidP="00A3360F">
      <w:pPr>
        <w:ind w:left="720"/>
        <w:rPr>
          <w:b/>
          <w:sz w:val="26"/>
          <w:rtl/>
        </w:rPr>
      </w:pPr>
      <w:r w:rsidRPr="00C7130A">
        <w:rPr>
          <w:b/>
          <w:sz w:val="26"/>
          <w:rtl/>
        </w:rPr>
        <w:t>الدرس 2: رواية الخلق (تكوين 1: 1–2: 3)</w:t>
      </w:r>
    </w:p>
    <w:p w14:paraId="6584FF37" w14:textId="317FA41D" w:rsidR="00AD7FFD" w:rsidRPr="00C7130A" w:rsidRDefault="00AD7FFD" w:rsidP="00A3360F">
      <w:pPr>
        <w:ind w:left="720"/>
        <w:rPr>
          <w:b/>
          <w:sz w:val="26"/>
          <w:rtl/>
        </w:rPr>
      </w:pPr>
      <w:bookmarkStart w:id="13" w:name="_Hlk190403607"/>
      <w:r w:rsidRPr="00C7130A">
        <w:rPr>
          <w:b/>
          <w:sz w:val="26"/>
          <w:rtl/>
        </w:rPr>
        <w:t xml:space="preserve">الدرس 3: </w:t>
      </w:r>
      <w:r w:rsidR="005F258D" w:rsidRPr="00C7130A">
        <w:rPr>
          <w:b/>
          <w:sz w:val="26"/>
          <w:rtl/>
          <w:lang w:bidi="ar-JO"/>
        </w:rPr>
        <w:t>قصّة</w:t>
      </w:r>
      <w:r w:rsidRPr="00C7130A">
        <w:rPr>
          <w:b/>
          <w:sz w:val="26"/>
          <w:rtl/>
        </w:rPr>
        <w:t xml:space="preserve"> السقوط وانتشار الخطية والطوفان (تكوين 2: 4: 11: 26)</w:t>
      </w:r>
    </w:p>
    <w:bookmarkEnd w:id="12"/>
    <w:p w14:paraId="483F41FE" w14:textId="5205F0DE" w:rsidR="00AD7FFD" w:rsidRPr="00C7130A" w:rsidRDefault="00AD7FFD" w:rsidP="001769E0">
      <w:pPr>
        <w:rPr>
          <w:bCs/>
          <w:sz w:val="26"/>
          <w:rtl/>
        </w:rPr>
      </w:pPr>
      <w:r w:rsidRPr="00C7130A">
        <w:rPr>
          <w:bCs/>
          <w:sz w:val="26"/>
          <w:rtl/>
        </w:rPr>
        <w:t>الوحدة 2: أساس إسرائيل في العهد والشريعة (تكوين 11: 27 – خروج 40: 38)</w:t>
      </w:r>
    </w:p>
    <w:p w14:paraId="2C955E6E" w14:textId="6CFB5365" w:rsidR="00AD7FFD" w:rsidRPr="00C7130A" w:rsidRDefault="00AD7FFD" w:rsidP="00A3360F">
      <w:pPr>
        <w:ind w:left="720"/>
        <w:rPr>
          <w:b/>
          <w:sz w:val="26"/>
          <w:rtl/>
        </w:rPr>
      </w:pPr>
      <w:r w:rsidRPr="00C7130A">
        <w:rPr>
          <w:b/>
          <w:sz w:val="26"/>
          <w:rtl/>
        </w:rPr>
        <w:t>الدرس 4: عهد الله مع إبراهيم وصراعات الآباء (تكوين 11: 27-</w:t>
      </w:r>
      <w:r w:rsidR="006E1FBD" w:rsidRPr="00C7130A">
        <w:rPr>
          <w:b/>
          <w:sz w:val="26"/>
          <w:rtl/>
        </w:rPr>
        <w:t xml:space="preserve">50: 26) </w:t>
      </w:r>
    </w:p>
    <w:p w14:paraId="79545A14" w14:textId="3EB90FA6" w:rsidR="00AD7FFD" w:rsidRPr="00C7130A" w:rsidRDefault="00AD7FFD" w:rsidP="00A3360F">
      <w:pPr>
        <w:ind w:left="720"/>
        <w:rPr>
          <w:b/>
          <w:sz w:val="26"/>
          <w:rtl/>
        </w:rPr>
      </w:pPr>
      <w:r w:rsidRPr="00C7130A">
        <w:rPr>
          <w:b/>
          <w:sz w:val="26"/>
          <w:rtl/>
        </w:rPr>
        <w:t xml:space="preserve">الدرس 5: </w:t>
      </w:r>
      <w:r w:rsidR="006E1FBD" w:rsidRPr="00C7130A">
        <w:rPr>
          <w:b/>
          <w:sz w:val="26"/>
          <w:rtl/>
        </w:rPr>
        <w:t>تحرير إسرائيل من مصر (خروج 1: 1-18: 27)</w:t>
      </w:r>
    </w:p>
    <w:p w14:paraId="3410B358" w14:textId="3CFDD971" w:rsidR="00AD7FFD" w:rsidRPr="00C7130A" w:rsidRDefault="00AD7FFD" w:rsidP="00A3360F">
      <w:pPr>
        <w:ind w:left="720"/>
        <w:rPr>
          <w:b/>
          <w:sz w:val="26"/>
          <w:rtl/>
        </w:rPr>
      </w:pPr>
      <w:r w:rsidRPr="00C7130A">
        <w:rPr>
          <w:b/>
          <w:sz w:val="26"/>
          <w:rtl/>
        </w:rPr>
        <w:t xml:space="preserve">الدرس 6: </w:t>
      </w:r>
      <w:r w:rsidR="006E1FBD" w:rsidRPr="00C7130A">
        <w:rPr>
          <w:b/>
          <w:sz w:val="26"/>
          <w:rtl/>
        </w:rPr>
        <w:t>إعطاء الشريعة وصنع خيمة الاجتماع (خروج 19: 1-40: 38)</w:t>
      </w:r>
    </w:p>
    <w:p w14:paraId="275402BD" w14:textId="72A3128E" w:rsidR="006E1FBD" w:rsidRPr="00C7130A" w:rsidRDefault="006E1FBD" w:rsidP="001769E0">
      <w:pPr>
        <w:rPr>
          <w:bCs/>
          <w:sz w:val="26"/>
          <w:rtl/>
        </w:rPr>
      </w:pPr>
      <w:bookmarkStart w:id="14" w:name="_Hlk190591417"/>
      <w:bookmarkEnd w:id="13"/>
      <w:r w:rsidRPr="00C7130A">
        <w:rPr>
          <w:bCs/>
          <w:sz w:val="26"/>
          <w:rtl/>
        </w:rPr>
        <w:t xml:space="preserve">الوحدة 3: الإعداد والتجهيز لدخول الأرض (لاويّين – تثنية) </w:t>
      </w:r>
    </w:p>
    <w:p w14:paraId="5CF9CCA6" w14:textId="37139D45" w:rsidR="006E1FBD" w:rsidRPr="00C7130A" w:rsidRDefault="006E1FBD" w:rsidP="00A3360F">
      <w:pPr>
        <w:ind w:left="720"/>
        <w:rPr>
          <w:b/>
          <w:sz w:val="26"/>
          <w:rtl/>
        </w:rPr>
      </w:pPr>
      <w:r w:rsidRPr="00C7130A">
        <w:rPr>
          <w:b/>
          <w:sz w:val="26"/>
          <w:rtl/>
        </w:rPr>
        <w:t xml:space="preserve">الدرس 7: ذبائح وأعياد عبادات العهد القديم (لاويين 1-23) </w:t>
      </w:r>
    </w:p>
    <w:p w14:paraId="762CDAC9" w14:textId="414D15A7" w:rsidR="006E1FBD" w:rsidRPr="00C7130A" w:rsidRDefault="006E1FBD" w:rsidP="00A3360F">
      <w:pPr>
        <w:ind w:left="720"/>
        <w:rPr>
          <w:b/>
          <w:sz w:val="26"/>
          <w:rtl/>
        </w:rPr>
      </w:pPr>
      <w:r w:rsidRPr="00C7130A">
        <w:rPr>
          <w:b/>
          <w:sz w:val="26"/>
          <w:rtl/>
        </w:rPr>
        <w:t xml:space="preserve">الدرس 8: سنوات البرّيّة الأربعون (سفر العدد 1-36) </w:t>
      </w:r>
    </w:p>
    <w:p w14:paraId="31D25319" w14:textId="5E286DED" w:rsidR="006E1FBD" w:rsidRPr="00C7130A" w:rsidRDefault="006E1FBD" w:rsidP="00A3360F">
      <w:pPr>
        <w:ind w:left="720"/>
        <w:rPr>
          <w:b/>
          <w:sz w:val="26"/>
          <w:rtl/>
          <w:lang w:bidi="ar-JO"/>
        </w:rPr>
      </w:pPr>
      <w:r w:rsidRPr="00C7130A">
        <w:rPr>
          <w:b/>
          <w:sz w:val="26"/>
          <w:rtl/>
        </w:rPr>
        <w:t xml:space="preserve">الدرس 9: </w:t>
      </w:r>
      <w:r w:rsidR="008D3B26" w:rsidRPr="00C7130A">
        <w:rPr>
          <w:b/>
          <w:sz w:val="26"/>
          <w:rtl/>
          <w:lang w:bidi="ar-JO"/>
        </w:rPr>
        <w:t>توصية الجيل الجديد (تثنية 1-34)</w:t>
      </w:r>
    </w:p>
    <w:bookmarkEnd w:id="14"/>
    <w:p w14:paraId="45C0E497" w14:textId="461B9556" w:rsidR="008D3B26" w:rsidRPr="00C7130A" w:rsidRDefault="008D3B26" w:rsidP="001769E0">
      <w:pPr>
        <w:rPr>
          <w:bCs/>
          <w:sz w:val="26"/>
          <w:rtl/>
        </w:rPr>
      </w:pPr>
      <w:r w:rsidRPr="00C7130A">
        <w:rPr>
          <w:bCs/>
          <w:sz w:val="26"/>
          <w:rtl/>
        </w:rPr>
        <w:t>الوحدة 4: فتح الأرض والصراعات في أرض الموعد (يشوع – راعوث)</w:t>
      </w:r>
    </w:p>
    <w:p w14:paraId="140E3C57" w14:textId="500FA9C9" w:rsidR="008D3B26" w:rsidRPr="00C7130A" w:rsidRDefault="008D3B26" w:rsidP="00A3360F">
      <w:pPr>
        <w:ind w:left="720"/>
        <w:rPr>
          <w:b/>
          <w:sz w:val="26"/>
          <w:rtl/>
        </w:rPr>
      </w:pPr>
      <w:r w:rsidRPr="00C7130A">
        <w:rPr>
          <w:b/>
          <w:sz w:val="26"/>
          <w:rtl/>
        </w:rPr>
        <w:t xml:space="preserve">الدرس 10: </w:t>
      </w:r>
      <w:r w:rsidR="00BB54DC" w:rsidRPr="00C7130A">
        <w:rPr>
          <w:b/>
          <w:sz w:val="26"/>
          <w:rtl/>
        </w:rPr>
        <w:t xml:space="preserve">فتح الأرض وتوزيعها على الأسباط (يشوع 1-24) </w:t>
      </w:r>
    </w:p>
    <w:p w14:paraId="012D9406" w14:textId="44A7AC9D" w:rsidR="008D3B26" w:rsidRPr="00C7130A" w:rsidRDefault="008D3B26" w:rsidP="00A3360F">
      <w:pPr>
        <w:ind w:left="720"/>
        <w:rPr>
          <w:b/>
          <w:sz w:val="26"/>
          <w:rtl/>
        </w:rPr>
      </w:pPr>
      <w:r w:rsidRPr="00C7130A">
        <w:rPr>
          <w:b/>
          <w:sz w:val="26"/>
          <w:rtl/>
        </w:rPr>
        <w:t xml:space="preserve">الدرس 11: </w:t>
      </w:r>
      <w:r w:rsidR="00BB54DC" w:rsidRPr="00C7130A">
        <w:rPr>
          <w:b/>
          <w:sz w:val="26"/>
          <w:rtl/>
        </w:rPr>
        <w:t>ضلال إسرائيل في فترة القضاة (قضاة 1-21)</w:t>
      </w:r>
    </w:p>
    <w:p w14:paraId="4C94696B" w14:textId="6891CDD9" w:rsidR="008D3B26" w:rsidRPr="00C7130A" w:rsidRDefault="008D3B26" w:rsidP="00A3360F">
      <w:pPr>
        <w:ind w:left="720"/>
        <w:rPr>
          <w:b/>
          <w:sz w:val="26"/>
          <w:rtl/>
        </w:rPr>
      </w:pPr>
      <w:r w:rsidRPr="00C7130A">
        <w:rPr>
          <w:b/>
          <w:sz w:val="26"/>
          <w:rtl/>
        </w:rPr>
        <w:t xml:space="preserve">الدرس 12: </w:t>
      </w:r>
      <w:r w:rsidR="006A25EC" w:rsidRPr="00C7130A">
        <w:rPr>
          <w:b/>
          <w:sz w:val="26"/>
          <w:rtl/>
        </w:rPr>
        <w:t xml:space="preserve">سفر راعوث، نظرة عامّة والتوقُّعات المسيانيّة </w:t>
      </w:r>
    </w:p>
    <w:p w14:paraId="6DA716C2" w14:textId="599EB183" w:rsidR="006A25EC" w:rsidRPr="00C7130A" w:rsidRDefault="006A25EC" w:rsidP="001769E0">
      <w:pPr>
        <w:rPr>
          <w:bCs/>
          <w:sz w:val="26"/>
          <w:rtl/>
        </w:rPr>
      </w:pPr>
      <w:r w:rsidRPr="00C7130A">
        <w:rPr>
          <w:bCs/>
          <w:sz w:val="26"/>
          <w:rtl/>
        </w:rPr>
        <w:t>الملاحق: أساس إسرائيل في العهد والشريعة (تكوين 11: 27 – خروج 40: 38)</w:t>
      </w:r>
    </w:p>
    <w:p w14:paraId="3E2109DC" w14:textId="414EEAB8" w:rsidR="006A25EC" w:rsidRPr="00C7130A" w:rsidRDefault="00425522" w:rsidP="00A3360F">
      <w:pPr>
        <w:ind w:left="720"/>
        <w:rPr>
          <w:b/>
          <w:sz w:val="26"/>
          <w:rtl/>
        </w:rPr>
      </w:pPr>
      <w:bookmarkStart w:id="15" w:name="_Hlk191437813"/>
      <w:r w:rsidRPr="00C7130A">
        <w:rPr>
          <w:b/>
          <w:sz w:val="26"/>
          <w:rtl/>
        </w:rPr>
        <w:t>الملحق 1</w:t>
      </w:r>
      <w:r w:rsidR="006A25EC" w:rsidRPr="00C7130A">
        <w:rPr>
          <w:b/>
          <w:sz w:val="26"/>
          <w:rtl/>
        </w:rPr>
        <w:t xml:space="preserve">: </w:t>
      </w:r>
      <w:r w:rsidR="009625E2" w:rsidRPr="00C7130A">
        <w:rPr>
          <w:b/>
          <w:sz w:val="26"/>
          <w:rtl/>
        </w:rPr>
        <w:t>تطوُّرات مهمّة مرتبطة بالآباء في تاريخ الشرق الأدنى القديم</w:t>
      </w:r>
    </w:p>
    <w:p w14:paraId="148420A8" w14:textId="7377E9AE" w:rsidR="006A25EC" w:rsidRPr="00C7130A" w:rsidRDefault="00425522" w:rsidP="00A3360F">
      <w:pPr>
        <w:ind w:left="720"/>
        <w:rPr>
          <w:b/>
          <w:sz w:val="26"/>
          <w:rtl/>
        </w:rPr>
      </w:pPr>
      <w:r w:rsidRPr="00C7130A">
        <w:rPr>
          <w:b/>
          <w:sz w:val="26"/>
          <w:rtl/>
        </w:rPr>
        <w:t>الملحق 2</w:t>
      </w:r>
      <w:r w:rsidR="006A25EC" w:rsidRPr="00C7130A">
        <w:rPr>
          <w:b/>
          <w:sz w:val="26"/>
          <w:rtl/>
        </w:rPr>
        <w:t xml:space="preserve">: </w:t>
      </w:r>
      <w:r w:rsidRPr="00C7130A">
        <w:rPr>
          <w:b/>
          <w:sz w:val="26"/>
          <w:rtl/>
        </w:rPr>
        <w:t xml:space="preserve">آراء </w:t>
      </w:r>
      <w:r w:rsidR="009625E2" w:rsidRPr="00C7130A">
        <w:rPr>
          <w:b/>
          <w:sz w:val="26"/>
          <w:rtl/>
        </w:rPr>
        <w:t xml:space="preserve">ونظريّات </w:t>
      </w:r>
      <w:r w:rsidRPr="00C7130A">
        <w:rPr>
          <w:b/>
          <w:sz w:val="26"/>
          <w:rtl/>
        </w:rPr>
        <w:t>معاصرة بشأن تكوين 1: 1-3</w:t>
      </w:r>
    </w:p>
    <w:p w14:paraId="2BE57771" w14:textId="38229768" w:rsidR="006A25EC" w:rsidRPr="00C7130A" w:rsidRDefault="00425522" w:rsidP="00A3360F">
      <w:pPr>
        <w:ind w:left="720"/>
        <w:rPr>
          <w:b/>
          <w:sz w:val="26"/>
          <w:rtl/>
        </w:rPr>
      </w:pPr>
      <w:r w:rsidRPr="00C7130A">
        <w:rPr>
          <w:b/>
          <w:sz w:val="26"/>
          <w:rtl/>
        </w:rPr>
        <w:t>الملحق 3</w:t>
      </w:r>
      <w:r w:rsidR="006A25EC" w:rsidRPr="00C7130A">
        <w:rPr>
          <w:b/>
          <w:sz w:val="26"/>
          <w:rtl/>
        </w:rPr>
        <w:t xml:space="preserve">: </w:t>
      </w:r>
      <w:r w:rsidRPr="00C7130A">
        <w:rPr>
          <w:b/>
          <w:sz w:val="26"/>
          <w:rtl/>
        </w:rPr>
        <w:t>تحليل مصدري للعهد القديم</w:t>
      </w:r>
    </w:p>
    <w:bookmarkEnd w:id="15"/>
    <w:p w14:paraId="3C92FAAA" w14:textId="77777777" w:rsidR="006A25EC" w:rsidRPr="00C7130A" w:rsidRDefault="006A25EC" w:rsidP="001769E0">
      <w:pPr>
        <w:rPr>
          <w:b/>
          <w:sz w:val="26"/>
          <w:rtl/>
        </w:rPr>
      </w:pPr>
    </w:p>
    <w:bookmarkEnd w:id="11"/>
    <w:p w14:paraId="457EAE25" w14:textId="6E4F0530" w:rsidR="005A6A45" w:rsidRPr="00C7130A" w:rsidRDefault="00C05506" w:rsidP="001769E0">
      <w:pPr>
        <w:rPr>
          <w:b/>
          <w:sz w:val="26"/>
        </w:rPr>
      </w:pPr>
      <w:r w:rsidRPr="00C7130A">
        <w:rPr>
          <w:b/>
          <w:sz w:val="26"/>
          <w:rtl/>
        </w:rPr>
        <w:lastRenderedPageBreak/>
        <w:t xml:space="preserve">إن كنتَ تدرس هذا المساق </w:t>
      </w:r>
      <w:r w:rsidR="009B50BD" w:rsidRPr="00C7130A">
        <w:rPr>
          <w:b/>
          <w:sz w:val="26"/>
          <w:rtl/>
        </w:rPr>
        <w:t>بإرشادٍ من</w:t>
      </w:r>
      <w:r w:rsidRPr="00C7130A">
        <w:rPr>
          <w:b/>
          <w:sz w:val="26"/>
          <w:rtl/>
        </w:rPr>
        <w:t xml:space="preserve"> ميسِّر، فستُعطى جدولًا زمنيًّا يُظهِر متى ينبغي إتمام كلّ درس. في الوضع المثالي، الهدف هو إكمال درس في كلّ أسبوع. تختلف الدروس في أطوالها، ولكنّ عليك أن تخصِّص حوالي ثلاث ساعات إلى أربعة لكلّ درس. قد تختار أن تدرس درسًا واحدًا في جلسة واحدة، أو ربما تقسِّم دراستك </w:t>
      </w:r>
      <w:r w:rsidR="006B1BEA" w:rsidRPr="00C7130A">
        <w:rPr>
          <w:b/>
          <w:sz w:val="26"/>
          <w:rtl/>
        </w:rPr>
        <w:t>لإتمام</w:t>
      </w:r>
      <w:r w:rsidRPr="00C7130A">
        <w:rPr>
          <w:b/>
          <w:sz w:val="26"/>
          <w:rtl/>
        </w:rPr>
        <w:t xml:space="preserve"> الدرس في يومين أو ثلاثة أيّام. وعلى جميع الأحوال، ينبغي أن تكمِل دراسة المساق في ثلاثة شهور إلى أربعة. </w:t>
      </w:r>
    </w:p>
    <w:p w14:paraId="1F42BE62" w14:textId="77777777" w:rsidR="006232DE" w:rsidRPr="00C7130A" w:rsidRDefault="006232DE" w:rsidP="001769E0">
      <w:bookmarkStart w:id="16" w:name="_Toc112646501"/>
      <w:bookmarkStart w:id="17" w:name="_Toc125548802"/>
    </w:p>
    <w:p w14:paraId="08D84157" w14:textId="77777777" w:rsidR="00693925" w:rsidRPr="00C7130A" w:rsidRDefault="00693925" w:rsidP="000558B7">
      <w:pPr>
        <w:pStyle w:val="Heading3"/>
        <w:rPr>
          <w:rtl/>
        </w:rPr>
      </w:pPr>
      <w:bookmarkStart w:id="18" w:name="_Toc193030889"/>
      <w:bookmarkEnd w:id="16"/>
      <w:bookmarkEnd w:id="17"/>
      <w:r w:rsidRPr="00C7130A">
        <w:rPr>
          <w:rtl/>
        </w:rPr>
        <w:t>تنظيم الدَّرس</w:t>
      </w:r>
      <w:bookmarkEnd w:id="18"/>
    </w:p>
    <w:p w14:paraId="3185290F" w14:textId="04091D2D" w:rsidR="00C05506" w:rsidRPr="00C7130A" w:rsidRDefault="00693925" w:rsidP="00120849">
      <w:pPr>
        <w:rPr>
          <w:rtl/>
        </w:rPr>
      </w:pPr>
      <w:r w:rsidRPr="00C7130A">
        <w:rPr>
          <w:rtl/>
        </w:rPr>
        <w:t xml:space="preserve">أرجو أن تنتبه جيدًا إلى كلِّ واحدٍ من أجزاء الدَّرس: </w:t>
      </w:r>
    </w:p>
    <w:p w14:paraId="3AFB8B25" w14:textId="617FD9A9" w:rsidR="00C05506" w:rsidRPr="00C7130A" w:rsidRDefault="00C05506" w:rsidP="00A3360F">
      <w:pPr>
        <w:ind w:left="720"/>
        <w:rPr>
          <w:b/>
          <w:sz w:val="26"/>
          <w:rtl/>
        </w:rPr>
      </w:pPr>
      <w:bookmarkStart w:id="19" w:name="_Hlk178777779"/>
      <w:r w:rsidRPr="00C7130A">
        <w:rPr>
          <w:b/>
          <w:sz w:val="26"/>
          <w:rtl/>
        </w:rPr>
        <w:t>العنوان</w:t>
      </w:r>
    </w:p>
    <w:p w14:paraId="00CE19D7" w14:textId="5BD89515" w:rsidR="00C05506" w:rsidRPr="00C7130A" w:rsidRDefault="00C05506" w:rsidP="00A3360F">
      <w:pPr>
        <w:ind w:left="720"/>
        <w:rPr>
          <w:b/>
          <w:sz w:val="26"/>
          <w:rtl/>
        </w:rPr>
      </w:pPr>
      <w:r w:rsidRPr="00C7130A">
        <w:rPr>
          <w:b/>
          <w:sz w:val="26"/>
          <w:rtl/>
        </w:rPr>
        <w:t xml:space="preserve">مُقدِّمة الدرس </w:t>
      </w:r>
    </w:p>
    <w:p w14:paraId="1EDC1B4D" w14:textId="162F2A21" w:rsidR="00C05506" w:rsidRPr="00C7130A" w:rsidRDefault="00C05506" w:rsidP="00A3360F">
      <w:pPr>
        <w:ind w:left="720"/>
        <w:rPr>
          <w:b/>
          <w:sz w:val="26"/>
          <w:rtl/>
        </w:rPr>
      </w:pPr>
      <w:r w:rsidRPr="00C7130A">
        <w:rPr>
          <w:b/>
          <w:sz w:val="26"/>
          <w:rtl/>
        </w:rPr>
        <w:t xml:space="preserve">مخطّط الدرس </w:t>
      </w:r>
    </w:p>
    <w:p w14:paraId="2A700357" w14:textId="6081313B" w:rsidR="00C05506" w:rsidRPr="00C7130A" w:rsidRDefault="00C05506" w:rsidP="00A3360F">
      <w:pPr>
        <w:ind w:left="720"/>
        <w:rPr>
          <w:b/>
          <w:sz w:val="26"/>
          <w:rtl/>
        </w:rPr>
      </w:pPr>
      <w:r w:rsidRPr="00C7130A">
        <w:rPr>
          <w:b/>
          <w:sz w:val="26"/>
          <w:rtl/>
        </w:rPr>
        <w:t xml:space="preserve">أهداف الدرس </w:t>
      </w:r>
    </w:p>
    <w:p w14:paraId="574A9BA5" w14:textId="3F82A3FC" w:rsidR="00C05506" w:rsidRPr="00C7130A" w:rsidRDefault="00C05506" w:rsidP="00A3360F">
      <w:pPr>
        <w:ind w:left="720"/>
        <w:rPr>
          <w:b/>
          <w:sz w:val="26"/>
          <w:rtl/>
        </w:rPr>
      </w:pPr>
      <w:r w:rsidRPr="00C7130A">
        <w:rPr>
          <w:b/>
          <w:sz w:val="26"/>
          <w:rtl/>
        </w:rPr>
        <w:t xml:space="preserve">واجبات القراءة الخاصّة بالدرس </w:t>
      </w:r>
    </w:p>
    <w:p w14:paraId="11D9CDCC" w14:textId="0B880CAD" w:rsidR="00C05506" w:rsidRPr="00C7130A" w:rsidRDefault="00C05506" w:rsidP="00A3360F">
      <w:pPr>
        <w:ind w:left="720"/>
        <w:rPr>
          <w:b/>
          <w:sz w:val="26"/>
          <w:rtl/>
        </w:rPr>
      </w:pPr>
      <w:r w:rsidRPr="00C7130A">
        <w:rPr>
          <w:b/>
          <w:sz w:val="26"/>
          <w:rtl/>
        </w:rPr>
        <w:t xml:space="preserve">محتوى الدرس </w:t>
      </w:r>
    </w:p>
    <w:p w14:paraId="7D5B0011" w14:textId="271E875C" w:rsidR="00C05506" w:rsidRPr="00C7130A" w:rsidRDefault="00C05506" w:rsidP="00120849">
      <w:pPr>
        <w:rPr>
          <w:b/>
          <w:sz w:val="26"/>
          <w:rtl/>
        </w:rPr>
      </w:pPr>
    </w:p>
    <w:p w14:paraId="593B9F93" w14:textId="4D531FA1" w:rsidR="00C05506" w:rsidRPr="00C7130A" w:rsidRDefault="00C05506" w:rsidP="00120849">
      <w:pPr>
        <w:rPr>
          <w:b/>
          <w:sz w:val="26"/>
          <w:rtl/>
        </w:rPr>
      </w:pPr>
      <w:r w:rsidRPr="00C7130A">
        <w:rPr>
          <w:b/>
          <w:sz w:val="26"/>
          <w:rtl/>
        </w:rPr>
        <w:t>يقدِّم عنوان الدرس ومُقدِّمته ومخطَّطته وأهدافه نظرةً عامّة إلى الدرس. سيكون ذهنك أكثرَ يقظةً وتقبُّلًا، وستتعلَّم بصورةٍ بفعل هذا النظرة العامّة. تُوجِّه</w:t>
      </w:r>
      <w:r w:rsidR="00DB62B6" w:rsidRPr="00C7130A">
        <w:rPr>
          <w:b/>
          <w:sz w:val="26"/>
          <w:rtl/>
        </w:rPr>
        <w:t>ك</w:t>
      </w:r>
      <w:r w:rsidRPr="00C7130A">
        <w:rPr>
          <w:b/>
          <w:sz w:val="26"/>
          <w:rtl/>
        </w:rPr>
        <w:t xml:space="preserve"> واجبات القراءة للدرس بشأن موادّ القراءة التي ينبغي أن تُكمِلها. </w:t>
      </w:r>
    </w:p>
    <w:p w14:paraId="5307C596" w14:textId="08F139CF" w:rsidR="00C05506" w:rsidRPr="00C7130A" w:rsidRDefault="00C05506" w:rsidP="00120849">
      <w:pPr>
        <w:rPr>
          <w:b/>
          <w:sz w:val="26"/>
          <w:rtl/>
          <w:lang w:bidi="ar-JO"/>
        </w:rPr>
      </w:pPr>
      <w:r w:rsidRPr="00C7130A">
        <w:rPr>
          <w:b/>
          <w:sz w:val="26"/>
          <w:rtl/>
        </w:rPr>
        <w:t xml:space="preserve">يتبع محتوى الدرس مخطّط </w:t>
      </w:r>
      <w:r w:rsidR="004704FB" w:rsidRPr="00C7130A">
        <w:rPr>
          <w:b/>
          <w:sz w:val="26"/>
          <w:rtl/>
          <w:lang w:bidi="ar-JO"/>
        </w:rPr>
        <w:t>الدرس. الهدف من ملاحظات الدرس والتعليقات والشروحات والاقتراحات هو مساعدتك في فهم المادّة الدراسي</w:t>
      </w:r>
      <w:r w:rsidR="00DB62B6" w:rsidRPr="00C7130A">
        <w:rPr>
          <w:b/>
          <w:sz w:val="26"/>
          <w:rtl/>
          <w:lang w:bidi="ar-JO"/>
        </w:rPr>
        <w:t>ّ</w:t>
      </w:r>
      <w:r w:rsidR="004704FB" w:rsidRPr="00C7130A">
        <w:rPr>
          <w:b/>
          <w:sz w:val="26"/>
          <w:rtl/>
          <w:lang w:bidi="ar-JO"/>
        </w:rPr>
        <w:t xml:space="preserve">ة وتطبيق كلمة الله في حياتك. إن كنتَ تدرس هذا المساق بتوجيه من مُيسّر فقد تُعطى أيضًا أسئلة دراسة وامتحانات قصيرة بالإضافة إلى مادة هذا المساق. </w:t>
      </w:r>
    </w:p>
    <w:p w14:paraId="49369FA7" w14:textId="29437744" w:rsidR="004704FB" w:rsidRPr="00C7130A" w:rsidRDefault="004704FB" w:rsidP="00120849">
      <w:pPr>
        <w:rPr>
          <w:b/>
          <w:sz w:val="26"/>
          <w:rtl/>
          <w:lang w:bidi="ar-JO"/>
        </w:rPr>
      </w:pPr>
      <w:r w:rsidRPr="00C7130A">
        <w:rPr>
          <w:b/>
          <w:sz w:val="26"/>
          <w:rtl/>
          <w:lang w:bidi="ar-JO"/>
        </w:rPr>
        <w:t>انتبه بصورة خاصّة إلى الخرائط والجداول والرسوم الإيضاحيّة الأخرى التي ترافق كل</w:t>
      </w:r>
      <w:r w:rsidR="00DB62B6" w:rsidRPr="00C7130A">
        <w:rPr>
          <w:b/>
          <w:sz w:val="26"/>
          <w:rtl/>
          <w:lang w:bidi="ar-JO"/>
        </w:rPr>
        <w:t>ّ</w:t>
      </w:r>
      <w:r w:rsidRPr="00C7130A">
        <w:rPr>
          <w:b/>
          <w:sz w:val="26"/>
          <w:rtl/>
          <w:lang w:bidi="ar-JO"/>
        </w:rPr>
        <w:t xml:space="preserve"> درس. </w:t>
      </w:r>
    </w:p>
    <w:p w14:paraId="51A66AF0" w14:textId="77777777" w:rsidR="004704FB" w:rsidRPr="00C7130A" w:rsidRDefault="004704FB" w:rsidP="00120849">
      <w:pPr>
        <w:rPr>
          <w:b/>
          <w:sz w:val="26"/>
          <w:rtl/>
          <w:lang w:bidi="ar-JO"/>
        </w:rPr>
      </w:pPr>
    </w:p>
    <w:p w14:paraId="2DC11D36" w14:textId="77777777" w:rsidR="00C96BCA" w:rsidRPr="00C7130A" w:rsidRDefault="00C96BCA" w:rsidP="00120849">
      <w:pPr>
        <w:rPr>
          <w:bCs/>
        </w:rPr>
      </w:pPr>
    </w:p>
    <w:p w14:paraId="6CA93E85" w14:textId="568A4626" w:rsidR="004704FB" w:rsidRPr="00C7130A" w:rsidRDefault="004704FB" w:rsidP="000558B7">
      <w:pPr>
        <w:pStyle w:val="Heading3"/>
        <w:rPr>
          <w:rtl/>
        </w:rPr>
      </w:pPr>
      <w:bookmarkStart w:id="20" w:name="_Toc193030890"/>
      <w:bookmarkStart w:id="21" w:name="_Toc112646502"/>
      <w:bookmarkStart w:id="22" w:name="_Toc125548803"/>
      <w:r w:rsidRPr="00C7130A">
        <w:rPr>
          <w:rtl/>
        </w:rPr>
        <w:t>ترجمات الكتاب المُقدَّس المُستخدمة في هذا المساق</w:t>
      </w:r>
      <w:bookmarkEnd w:id="20"/>
      <w:r w:rsidRPr="00C7130A">
        <w:rPr>
          <w:rtl/>
        </w:rPr>
        <w:t xml:space="preserve"> </w:t>
      </w:r>
    </w:p>
    <w:bookmarkEnd w:id="21"/>
    <w:bookmarkEnd w:id="22"/>
    <w:p w14:paraId="779454A4" w14:textId="05F28A0B" w:rsidR="004704FB" w:rsidRPr="00C7130A" w:rsidRDefault="004704FB" w:rsidP="00120849">
      <w:pPr>
        <w:rPr>
          <w:rtl/>
        </w:rPr>
      </w:pPr>
      <w:r w:rsidRPr="00C7130A">
        <w:rPr>
          <w:rtl/>
        </w:rPr>
        <w:lastRenderedPageBreak/>
        <w:t xml:space="preserve">الاقتباسات الكتابية الواردة في هذا المساق مأخوذة من ترجمة فاندايك – البستاني إلا إذا أُشير إلى غير ذلك. قد تُستخدَم الترجمة اليسوعية الجديدة، والترجمة العربية المُشتركة، وترجمة كتاب الحياة والترجمة العربيّة المُبسّطة. إن حدث أن استُخدِمت أيّ من هذه الترجمات فسيُشار إلى ذلك. </w:t>
      </w:r>
    </w:p>
    <w:bookmarkEnd w:id="19"/>
    <w:p w14:paraId="1BF1D74B" w14:textId="77777777" w:rsidR="00C96BCA" w:rsidRPr="00C7130A" w:rsidRDefault="00C96BCA" w:rsidP="00C7130A">
      <w:pPr>
        <w:spacing w:after="80"/>
        <w:rPr>
          <w:bCs/>
          <w:kern w:val="0"/>
          <w14:ligatures w14:val="none"/>
        </w:rPr>
      </w:pPr>
    </w:p>
    <w:p w14:paraId="6E303633" w14:textId="77777777" w:rsidR="00693925" w:rsidRPr="00C7130A" w:rsidRDefault="00693925" w:rsidP="000558B7">
      <w:pPr>
        <w:pStyle w:val="Heading3"/>
        <w:rPr>
          <w:rtl/>
          <w14:ligatures w14:val="none"/>
        </w:rPr>
      </w:pPr>
      <w:bookmarkStart w:id="23" w:name="_Toc193030891"/>
      <w:r w:rsidRPr="00C7130A">
        <w:rPr>
          <w:rtl/>
        </w:rPr>
        <w:t>تعليمات للطالب</w:t>
      </w:r>
      <w:bookmarkStart w:id="24" w:name="_Hlk164155186"/>
      <w:bookmarkEnd w:id="23"/>
      <w:r w:rsidRPr="00C7130A">
        <w:rPr>
          <w14:ligatures w14:val="none"/>
        </w:rPr>
        <w:t xml:space="preserve"> </w:t>
      </w:r>
    </w:p>
    <w:p w14:paraId="4F5962E6" w14:textId="1FF683F6" w:rsidR="00C96BCA" w:rsidRPr="00C7130A" w:rsidRDefault="004704FB" w:rsidP="00C7130A">
      <w:pPr>
        <w:spacing w:after="80"/>
        <w:rPr>
          <w:b/>
          <w:kern w:val="0"/>
          <w:rtl/>
          <w14:ligatures w14:val="none"/>
        </w:rPr>
      </w:pPr>
      <w:bookmarkStart w:id="25" w:name="_Hlk178777802"/>
      <w:bookmarkEnd w:id="24"/>
      <w:r w:rsidRPr="00C7130A">
        <w:rPr>
          <w:b/>
          <w:kern w:val="0"/>
          <w:rtl/>
          <w14:ligatures w14:val="none"/>
        </w:rPr>
        <w:t xml:space="preserve">يتألَّف هذا المساق من اثني عشر درسًا مُصمَّمةً لمساعدتك </w:t>
      </w:r>
      <w:r w:rsidR="00567E83" w:rsidRPr="00C7130A">
        <w:rPr>
          <w:b/>
          <w:kern w:val="0"/>
          <w:rtl/>
          <w14:ligatures w14:val="none"/>
        </w:rPr>
        <w:t xml:space="preserve">على </w:t>
      </w:r>
      <w:r w:rsidRPr="00C7130A">
        <w:rPr>
          <w:b/>
          <w:kern w:val="0"/>
          <w:rtl/>
          <w14:ligatures w14:val="none"/>
        </w:rPr>
        <w:t xml:space="preserve">فهم التطوُّرات الرئيسيّة في أسفار العهد القديم الثمانية الأولى (أي تكوين إلى راعوث) واللاهوت الذي تقدِّمه هذه الأسفار. كلُّ درسٍ مُصمَّم لإتمامه في حوالي 3 </w:t>
      </w:r>
      <w:r w:rsidR="00567E83" w:rsidRPr="00C7130A">
        <w:rPr>
          <w:b/>
          <w:kern w:val="0"/>
          <w:rtl/>
          <w14:ligatures w14:val="none"/>
        </w:rPr>
        <w:t xml:space="preserve">ساعات </w:t>
      </w:r>
      <w:r w:rsidRPr="00C7130A">
        <w:rPr>
          <w:b/>
          <w:kern w:val="0"/>
          <w:rtl/>
          <w14:ligatures w14:val="none"/>
        </w:rPr>
        <w:t>إلى 5 ساعات. نوصي بشدّة بأن يكون لديك شريك دراسة لتدرسا معًا. من شأن هذا أن يساعدك في ضبط نفس</w:t>
      </w:r>
      <w:r w:rsidR="00567E83" w:rsidRPr="00C7130A">
        <w:rPr>
          <w:b/>
          <w:kern w:val="0"/>
          <w:rtl/>
          <w14:ligatures w14:val="none"/>
        </w:rPr>
        <w:t>ك</w:t>
      </w:r>
      <w:r w:rsidRPr="00C7130A">
        <w:rPr>
          <w:b/>
          <w:kern w:val="0"/>
          <w:rtl/>
          <w14:ligatures w14:val="none"/>
        </w:rPr>
        <w:t xml:space="preserve"> والمساءلة، ويجعل عملية الدراسة أكثرَ متعةً وإثارة. </w:t>
      </w:r>
    </w:p>
    <w:p w14:paraId="63445692" w14:textId="4F313DF2" w:rsidR="004704FB" w:rsidRPr="00C7130A" w:rsidRDefault="001B42C1" w:rsidP="00C7130A">
      <w:pPr>
        <w:spacing w:after="80"/>
        <w:rPr>
          <w:b/>
          <w:kern w:val="0"/>
          <w:rtl/>
          <w14:ligatures w14:val="none"/>
        </w:rPr>
      </w:pPr>
      <w:r w:rsidRPr="00C7130A">
        <w:rPr>
          <w:b/>
          <w:kern w:val="0"/>
          <w:rtl/>
          <w14:ligatures w14:val="none"/>
        </w:rPr>
        <w:t>ينبغي لك أنتَ وشريكك في الدراسة أن تخطِّطا لإتمام درسٍ في جلسةٍ معًا، إن كان هذا ممكنًا. ولتبدأ هذا، عليك أن تفتح إلى الدرس الأوَّل، وتبدأ بقراءة الدرس. يُقسَم كلّ درس إلى "مواضيع"، وعادةً ما يكون كلّ درسٍ مؤلَّفًا من أربع</w:t>
      </w:r>
      <w:r w:rsidR="00567E83" w:rsidRPr="00C7130A">
        <w:rPr>
          <w:b/>
          <w:kern w:val="0"/>
          <w:rtl/>
          <w14:ligatures w14:val="none"/>
        </w:rPr>
        <w:t>ة</w:t>
      </w:r>
      <w:r w:rsidRPr="00C7130A">
        <w:rPr>
          <w:b/>
          <w:kern w:val="0"/>
          <w:rtl/>
          <w14:ligatures w14:val="none"/>
        </w:rPr>
        <w:t xml:space="preserve"> مواضيع (وفي بعض الأحيان أكثر). ينبغي أن تسير دراستك بالصورة التالية: </w:t>
      </w:r>
    </w:p>
    <w:p w14:paraId="1E142773" w14:textId="77777777" w:rsidR="004704FB" w:rsidRPr="00C7130A" w:rsidRDefault="004704FB" w:rsidP="00C7130A">
      <w:pPr>
        <w:spacing w:after="80"/>
        <w:rPr>
          <w:b/>
          <w:kern w:val="0"/>
          <w14:ligatures w14:val="none"/>
        </w:rPr>
      </w:pPr>
    </w:p>
    <w:p w14:paraId="1AEC6DDE" w14:textId="2F2254FE" w:rsidR="00C96BCA" w:rsidRPr="00120849" w:rsidRDefault="001B42C1" w:rsidP="00C7130A">
      <w:pPr>
        <w:numPr>
          <w:ilvl w:val="0"/>
          <w:numId w:val="1"/>
        </w:numPr>
        <w:ind w:left="990" w:hanging="450"/>
        <w:contextualSpacing/>
        <w:rPr>
          <w:bCs/>
          <w:kern w:val="0"/>
          <w:sz w:val="48"/>
          <w:szCs w:val="48"/>
          <w14:ligatures w14:val="none"/>
        </w:rPr>
      </w:pPr>
      <w:r w:rsidRPr="00120849">
        <w:rPr>
          <w:b/>
          <w:kern w:val="0"/>
          <w:rtl/>
          <w14:ligatures w14:val="none"/>
        </w:rPr>
        <w:t>في بداية كل</w:t>
      </w:r>
      <w:r w:rsidR="00567E83" w:rsidRPr="00120849">
        <w:rPr>
          <w:b/>
          <w:kern w:val="0"/>
          <w:rtl/>
          <w14:ligatures w14:val="none"/>
        </w:rPr>
        <w:t>ّ</w:t>
      </w:r>
      <w:r w:rsidRPr="00120849">
        <w:rPr>
          <w:b/>
          <w:kern w:val="0"/>
          <w:rtl/>
          <w14:ligatures w14:val="none"/>
        </w:rPr>
        <w:t xml:space="preserve"> درس، اقضِ وقتًا في قراءة مُقدِّمة الدرس، وقائمة المواضيع التي ستُغطَّى في الدرس، وأهداف الدرس. من شأن هذا أن يساعدك في تهيئة ذهنك لما تُوشِك أن تدرسه وتتعلّمه. </w:t>
      </w:r>
    </w:p>
    <w:p w14:paraId="42E6043F" w14:textId="612D3547" w:rsidR="001B42C1" w:rsidRPr="00120849" w:rsidRDefault="001B42C1" w:rsidP="00C7130A">
      <w:pPr>
        <w:numPr>
          <w:ilvl w:val="0"/>
          <w:numId w:val="1"/>
        </w:numPr>
        <w:ind w:left="990" w:hanging="450"/>
        <w:contextualSpacing/>
        <w:rPr>
          <w:bCs/>
          <w:kern w:val="0"/>
          <w:sz w:val="48"/>
          <w:szCs w:val="48"/>
          <w14:ligatures w14:val="none"/>
        </w:rPr>
      </w:pPr>
      <w:r w:rsidRPr="00120849">
        <w:rPr>
          <w:b/>
          <w:kern w:val="0"/>
          <w:rtl/>
          <w14:ligatures w14:val="none"/>
        </w:rPr>
        <w:t xml:space="preserve">انتبه إلى أيّة واجبات قراءة خارجيّة عليك إتمامها قبل قراءة ملاحظات الدرس. قد تشمل هذه الواجبات قراءات من الكتاب المُقدَّس أو كتب أخرى، مثل "يوجين ميرل، </w:t>
      </w:r>
      <w:r w:rsidRPr="00120849">
        <w:rPr>
          <w:b/>
          <w:kern w:val="0"/>
          <w:u w:val="single"/>
          <w:rtl/>
          <w14:ligatures w14:val="none"/>
        </w:rPr>
        <w:t>لاهوت كتابي للعهد القديم</w:t>
      </w:r>
      <w:r w:rsidRPr="00120849">
        <w:rPr>
          <w:b/>
          <w:kern w:val="0"/>
          <w:rtl/>
          <w14:ligatures w14:val="none"/>
        </w:rPr>
        <w:t>،" أو كتابه "</w:t>
      </w:r>
      <w:r w:rsidRPr="00120849">
        <w:rPr>
          <w:b/>
          <w:kern w:val="0"/>
          <w:u w:val="single"/>
          <w:rtl/>
          <w14:ligatures w14:val="none"/>
        </w:rPr>
        <w:t>مملكة كهنة</w:t>
      </w:r>
      <w:r w:rsidRPr="00120849">
        <w:rPr>
          <w:b/>
          <w:kern w:val="0"/>
          <w:rtl/>
          <w14:ligatures w14:val="none"/>
        </w:rPr>
        <w:t>".</w:t>
      </w:r>
    </w:p>
    <w:p w14:paraId="1E61D5B7" w14:textId="1A7CAD71" w:rsidR="00A800A8" w:rsidRPr="00120849" w:rsidRDefault="00A800A8" w:rsidP="00C7130A">
      <w:pPr>
        <w:numPr>
          <w:ilvl w:val="0"/>
          <w:numId w:val="1"/>
        </w:numPr>
        <w:ind w:left="990" w:hanging="450"/>
        <w:contextualSpacing/>
        <w:rPr>
          <w:bCs/>
          <w:kern w:val="0"/>
          <w:sz w:val="48"/>
          <w:szCs w:val="48"/>
          <w14:ligatures w14:val="none"/>
        </w:rPr>
      </w:pPr>
      <w:r w:rsidRPr="00120849">
        <w:rPr>
          <w:b/>
          <w:kern w:val="0"/>
          <w:rtl/>
          <w14:ligatures w14:val="none"/>
        </w:rPr>
        <w:t xml:space="preserve">وبعد ذلك اقرأ ملاحظات الدرس الخاصّة بـ"الموضوع" الأوّل. </w:t>
      </w:r>
    </w:p>
    <w:p w14:paraId="3C16863E" w14:textId="3F31C666" w:rsidR="00A800A8" w:rsidRPr="00120849" w:rsidRDefault="00A800A8" w:rsidP="00C7130A">
      <w:pPr>
        <w:numPr>
          <w:ilvl w:val="0"/>
          <w:numId w:val="1"/>
        </w:numPr>
        <w:ind w:left="990" w:hanging="450"/>
        <w:contextualSpacing/>
        <w:rPr>
          <w:bCs/>
          <w:kern w:val="0"/>
          <w:sz w:val="48"/>
          <w:szCs w:val="48"/>
          <w14:ligatures w14:val="none"/>
        </w:rPr>
      </w:pPr>
      <w:r w:rsidRPr="00120849">
        <w:rPr>
          <w:b/>
          <w:kern w:val="0"/>
          <w:rtl/>
          <w14:ligatures w14:val="none"/>
        </w:rPr>
        <w:t>إن كنتَ تدرس هذا الدرس بتوجيٍه من مُيسِّر، فقد تُعطى أسئلة</w:t>
      </w:r>
      <w:r w:rsidR="00B70B57" w:rsidRPr="00120849">
        <w:rPr>
          <w:b/>
          <w:kern w:val="0"/>
          <w:rtl/>
          <w14:ligatures w14:val="none"/>
        </w:rPr>
        <w:t>ً</w:t>
      </w:r>
      <w:r w:rsidRPr="00120849">
        <w:rPr>
          <w:b/>
          <w:kern w:val="0"/>
          <w:rtl/>
          <w14:ligatures w14:val="none"/>
        </w:rPr>
        <w:t xml:space="preserve"> دراسيّة عليك الإجابة عنها في دراستك الدرس. فإنْ كان الأمر كذلك، حين تصل إلى "سؤال،" توقَّف واكتب بحرص إجابتك في الفراغ المتاح. فإنْ أُعطيتَ "إجاباتٍ عن الأسئلة،" فعليك أن تحاول كتابة إجابتك عن كلّ سؤال في الدرس قبل أن تتأكَّد من صحّة إجاباتك بمقارنتها بالإجابات التي نُعطيها. </w:t>
      </w:r>
    </w:p>
    <w:p w14:paraId="3150590B" w14:textId="73951BFB" w:rsidR="00033C01" w:rsidRPr="00120849" w:rsidRDefault="00033C01" w:rsidP="00C7130A">
      <w:pPr>
        <w:numPr>
          <w:ilvl w:val="0"/>
          <w:numId w:val="1"/>
        </w:numPr>
        <w:ind w:left="990" w:hanging="450"/>
        <w:contextualSpacing/>
        <w:rPr>
          <w:b/>
          <w:kern w:val="0"/>
          <w14:ligatures w14:val="none"/>
        </w:rPr>
      </w:pPr>
      <w:r w:rsidRPr="00120849">
        <w:rPr>
          <w:b/>
          <w:kern w:val="0"/>
          <w:rtl/>
          <w14:ligatures w14:val="none"/>
        </w:rPr>
        <w:t xml:space="preserve">بعد أن تقرأ أنتَ وشريكك في الدراسة الإجابة، قد ترغبان بأن تناقِشا بصورة سريعة السؤال وإجابته، وهذا يعتمد على مقدار ما يتبقّى لديكما من وقت. </w:t>
      </w:r>
    </w:p>
    <w:p w14:paraId="7DBD2CDC" w14:textId="3A5F5FB9" w:rsidR="00A800A8" w:rsidRPr="00120849" w:rsidRDefault="00033C01" w:rsidP="00C7130A">
      <w:pPr>
        <w:numPr>
          <w:ilvl w:val="0"/>
          <w:numId w:val="1"/>
        </w:numPr>
        <w:ind w:left="990" w:hanging="450"/>
        <w:contextualSpacing/>
        <w:rPr>
          <w:bCs/>
          <w:kern w:val="0"/>
          <w:sz w:val="48"/>
          <w:szCs w:val="48"/>
          <w14:ligatures w14:val="none"/>
        </w:rPr>
      </w:pPr>
      <w:r w:rsidRPr="00120849">
        <w:rPr>
          <w:b/>
          <w:kern w:val="0"/>
          <w:rtl/>
          <w14:ligatures w14:val="none"/>
        </w:rPr>
        <w:t>بعد أن تكمِلا دراسة الموضوع الأو</w:t>
      </w:r>
      <w:r w:rsidR="00B70B57" w:rsidRPr="00120849">
        <w:rPr>
          <w:b/>
          <w:kern w:val="0"/>
          <w:rtl/>
          <w14:ligatures w14:val="none"/>
        </w:rPr>
        <w:t>ّ</w:t>
      </w:r>
      <w:r w:rsidRPr="00120849">
        <w:rPr>
          <w:b/>
          <w:kern w:val="0"/>
          <w:rtl/>
          <w14:ligatures w14:val="none"/>
        </w:rPr>
        <w:t xml:space="preserve">ل يمكنكما الانتقال إلى دراسة المواضيع الأخرى في الدرس. </w:t>
      </w:r>
    </w:p>
    <w:p w14:paraId="486523E1" w14:textId="3795AEA4" w:rsidR="00033C01" w:rsidRPr="00120849" w:rsidRDefault="007C5927" w:rsidP="00C7130A">
      <w:pPr>
        <w:numPr>
          <w:ilvl w:val="0"/>
          <w:numId w:val="1"/>
        </w:numPr>
        <w:ind w:left="990" w:hanging="450"/>
        <w:contextualSpacing/>
        <w:rPr>
          <w:bCs/>
          <w:kern w:val="0"/>
          <w:sz w:val="48"/>
          <w:szCs w:val="48"/>
          <w14:ligatures w14:val="none"/>
        </w:rPr>
      </w:pPr>
      <w:r w:rsidRPr="00120849">
        <w:rPr>
          <w:b/>
          <w:kern w:val="0"/>
          <w:rtl/>
          <w14:ligatures w14:val="none"/>
        </w:rPr>
        <w:t xml:space="preserve">بعد </w:t>
      </w:r>
      <w:r w:rsidR="00033C01" w:rsidRPr="00120849">
        <w:rPr>
          <w:b/>
          <w:kern w:val="0"/>
          <w:rtl/>
          <w14:ligatures w14:val="none"/>
        </w:rPr>
        <w:t xml:space="preserve">أن تكمِلا أنتَ وشريكك في الدراسة كامل الدرس وتتأكّدا من صحّة إجاباتكما، قد تُعطيان </w:t>
      </w:r>
      <w:r w:rsidR="00B01458" w:rsidRPr="00120849">
        <w:rPr>
          <w:b/>
          <w:kern w:val="0"/>
          <w:rtl/>
          <w14:ligatures w14:val="none"/>
        </w:rPr>
        <w:t xml:space="preserve">الامتحان الذاتي للدرس للإجابة عن أسئلته. سيساعدك هذا الامتحان في </w:t>
      </w:r>
      <w:r w:rsidRPr="00120849">
        <w:rPr>
          <w:b/>
          <w:kern w:val="0"/>
          <w:rtl/>
          <w14:ligatures w14:val="none"/>
        </w:rPr>
        <w:t>الاستعداد ل</w:t>
      </w:r>
      <w:r w:rsidR="00B01458" w:rsidRPr="00120849">
        <w:rPr>
          <w:b/>
          <w:kern w:val="0"/>
          <w:rtl/>
          <w14:ligatures w14:val="none"/>
        </w:rPr>
        <w:t xml:space="preserve">أيّة امتحانات تالية قد يكون مطلوبًا منك </w:t>
      </w:r>
      <w:r w:rsidRPr="00120849">
        <w:rPr>
          <w:b/>
          <w:kern w:val="0"/>
          <w:rtl/>
          <w14:ligatures w14:val="none"/>
        </w:rPr>
        <w:t>الاستعداد لها</w:t>
      </w:r>
      <w:r w:rsidR="00B01458" w:rsidRPr="00120849">
        <w:rPr>
          <w:b/>
          <w:kern w:val="0"/>
          <w:rtl/>
          <w14:ligatures w14:val="none"/>
        </w:rPr>
        <w:t xml:space="preserve">. </w:t>
      </w:r>
    </w:p>
    <w:p w14:paraId="61AB5599" w14:textId="77777777" w:rsidR="00B466FC" w:rsidRPr="00120849" w:rsidRDefault="00B466FC" w:rsidP="00C7130A">
      <w:pPr>
        <w:contextualSpacing/>
        <w:rPr>
          <w:bCs/>
          <w:kern w:val="0"/>
          <w:sz w:val="48"/>
          <w:szCs w:val="48"/>
          <w14:ligatures w14:val="none"/>
        </w:rPr>
      </w:pPr>
    </w:p>
    <w:p w14:paraId="6F7E6067" w14:textId="009E4516" w:rsidR="00B01458" w:rsidRPr="00C7130A" w:rsidRDefault="00B01458" w:rsidP="000558B7">
      <w:pPr>
        <w:pStyle w:val="Heading3"/>
        <w:rPr>
          <w:rtl/>
        </w:rPr>
      </w:pPr>
      <w:bookmarkStart w:id="26" w:name="_Toc193030892"/>
      <w:r w:rsidRPr="00C7130A">
        <w:rPr>
          <w:rtl/>
        </w:rPr>
        <w:t>الأشكال التوضيحيّة لأسفار العهد القديم</w:t>
      </w:r>
      <w:bookmarkEnd w:id="26"/>
    </w:p>
    <w:p w14:paraId="1D0C7F27" w14:textId="7C2EF28A" w:rsidR="00B01458" w:rsidRPr="00C7130A" w:rsidRDefault="00B01458" w:rsidP="00120849">
      <w:pPr>
        <w:rPr>
          <w:rtl/>
          <w:lang w:bidi="ar-JO"/>
        </w:rPr>
      </w:pPr>
      <w:r w:rsidRPr="00C7130A">
        <w:rPr>
          <w:rtl/>
        </w:rPr>
        <w:t>الأشكال التوضيحيّة الخاصّة بالأسفار، التي تجدها في هذا الكتاب متوفّرة مجانًا في الموقع الشخصي للمؤلِّف. وحيثُ أن هذه الأشكال صغيرة</w:t>
      </w:r>
      <w:r w:rsidR="007C5927" w:rsidRPr="00C7130A">
        <w:rPr>
          <w:rtl/>
        </w:rPr>
        <w:t xml:space="preserve"> وقليلة</w:t>
      </w:r>
      <w:r w:rsidRPr="00C7130A">
        <w:rPr>
          <w:rtl/>
        </w:rPr>
        <w:t xml:space="preserve"> نسبيًا في هذا المساق، فقد ترغب بأن تنظر إلى الأشكال التوضيحيّة لكلّ واحدٍ من أسفار العهد القديم على موقع </w:t>
      </w:r>
      <w:r w:rsidRPr="00C1668A">
        <w:rPr>
          <w:rtl/>
        </w:rPr>
        <w:t>المؤلف (</w:t>
      </w:r>
      <w:hyperlink r:id="rId8" w:history="1">
        <w:r w:rsidRPr="00C1668A">
          <w:rPr>
            <w:rStyle w:val="Hyperlink"/>
            <w:bCs/>
            <w:kern w:val="0"/>
            <w14:ligatures w14:val="none"/>
          </w:rPr>
          <w:t>www.paultanner.org</w:t>
        </w:r>
      </w:hyperlink>
      <w:r w:rsidRPr="00C1668A">
        <w:rPr>
          <w:rtl/>
        </w:rPr>
        <w:t>)</w:t>
      </w:r>
      <w:r w:rsidRPr="00C1668A">
        <w:rPr>
          <w:rtl/>
          <w:lang w:bidi="ar-JO"/>
        </w:rPr>
        <w:t>. ستجد</w:t>
      </w:r>
      <w:r w:rsidRPr="00C7130A">
        <w:rPr>
          <w:rtl/>
          <w:lang w:bidi="ar-JO"/>
        </w:rPr>
        <w:t xml:space="preserve"> في هذا الموقع نسخًا من الأشكال التوضيحيّة لكلّ واحدٍ من أسفار العهد القديم، وهي متاحة للتحميل في صيغة </w:t>
      </w:r>
      <w:r w:rsidRPr="00C7130A">
        <w:rPr>
          <w:bCs/>
          <w:lang w:bidi="ar-JO"/>
        </w:rPr>
        <w:t>PDF</w:t>
      </w:r>
      <w:r w:rsidRPr="00C7130A">
        <w:rPr>
          <w:bCs/>
          <w:rtl/>
          <w:lang w:bidi="ar-JO"/>
        </w:rPr>
        <w:t xml:space="preserve"> </w:t>
      </w:r>
      <w:r w:rsidRPr="00C7130A">
        <w:rPr>
          <w:rtl/>
          <w:lang w:bidi="ar-JO"/>
        </w:rPr>
        <w:t xml:space="preserve">مُلوَّنة وبحجمِ صفحةٍ كاملة. </w:t>
      </w:r>
    </w:p>
    <w:bookmarkEnd w:id="25"/>
    <w:p w14:paraId="0A227CE5" w14:textId="77777777" w:rsidR="00E32DB7" w:rsidRPr="00C7130A" w:rsidRDefault="00E32DB7" w:rsidP="00C7130A">
      <w:pPr>
        <w:tabs>
          <w:tab w:val="left" w:pos="1572"/>
        </w:tabs>
        <w:rPr>
          <w:szCs w:val="24"/>
        </w:rPr>
      </w:pPr>
    </w:p>
    <w:p w14:paraId="2A9C1B2A" w14:textId="21371DF0" w:rsidR="007A4B15" w:rsidRPr="00C7130A" w:rsidRDefault="007A4B15" w:rsidP="00C7130A">
      <w:pPr>
        <w:tabs>
          <w:tab w:val="left" w:pos="1572"/>
        </w:tabs>
        <w:rPr>
          <w:szCs w:val="24"/>
        </w:rPr>
      </w:pPr>
      <w:r w:rsidRPr="00C7130A">
        <w:rPr>
          <w:szCs w:val="24"/>
        </w:rPr>
        <w:br w:type="page"/>
      </w:r>
    </w:p>
    <w:p w14:paraId="2004F703" w14:textId="5C2234B1" w:rsidR="002D6C54" w:rsidRPr="00C7130A" w:rsidRDefault="002D6C54" w:rsidP="00E80A44">
      <w:pPr>
        <w:pStyle w:val="Heading2"/>
      </w:pPr>
      <w:bookmarkStart w:id="27" w:name="_Toc193030893"/>
      <w:bookmarkStart w:id="28" w:name="_Hlk153291969"/>
      <w:bookmarkStart w:id="29" w:name="_Hlk178777833"/>
      <w:r w:rsidRPr="00C7130A">
        <w:rPr>
          <w:rtl/>
        </w:rPr>
        <w:lastRenderedPageBreak/>
        <w:t>الوحدة 1: مُقدِّمة وخلفيّة إلى دعوة إبراهيم</w:t>
      </w:r>
      <w:bookmarkEnd w:id="27"/>
    </w:p>
    <w:p w14:paraId="3BC95602" w14:textId="15099931" w:rsidR="007A4B15" w:rsidRPr="00C7130A" w:rsidRDefault="002D6C54" w:rsidP="00E80A44">
      <w:pPr>
        <w:pStyle w:val="Heading2"/>
      </w:pPr>
      <w:bookmarkStart w:id="30" w:name="_Toc193030894"/>
      <w:r w:rsidRPr="00C7130A">
        <w:rPr>
          <w:rtl/>
        </w:rPr>
        <w:t>(تكوين 1: 1 – 11: 26)</w:t>
      </w:r>
      <w:bookmarkEnd w:id="30"/>
    </w:p>
    <w:p w14:paraId="06B24B31" w14:textId="5BF2B42F" w:rsidR="002D6C54" w:rsidRPr="00C7130A" w:rsidRDefault="00B5299D" w:rsidP="00120849">
      <w:pPr>
        <w:rPr>
          <w:rtl/>
          <w:lang w:bidi="ar-JO"/>
        </w:rPr>
      </w:pPr>
      <w:r w:rsidRPr="00C7130A">
        <w:rPr>
          <w:rtl/>
          <w:lang w:bidi="ar-JO"/>
        </w:rPr>
        <w:t>يمكن تقسيم سفر التكوين إلى قسمَين رئيسيين: الأصحاحات 1-11</w:t>
      </w:r>
      <w:r w:rsidR="007C5927" w:rsidRPr="00C7130A">
        <w:rPr>
          <w:rtl/>
          <w:lang w:bidi="ar-JO"/>
        </w:rPr>
        <w:t>، التي تغطي</w:t>
      </w:r>
      <w:r w:rsidRPr="00C7130A">
        <w:rPr>
          <w:rtl/>
          <w:lang w:bidi="ar-JO"/>
        </w:rPr>
        <w:t xml:space="preserve"> الفترة التي سبقت إبراهيم، والأصحاحات 12-50، التي تقدِّم قصّة إبراهيم ونسله (الآباء). تهيّئ الأصحاحات الأحد عشر الأولى من سفر التكوين مسرح الأحداث لزمن الآباء بمساعدة القرّاء على أن </w:t>
      </w:r>
      <w:r w:rsidR="007C5927" w:rsidRPr="00C7130A">
        <w:rPr>
          <w:rtl/>
          <w:lang w:bidi="ar-JO"/>
        </w:rPr>
        <w:t>ي</w:t>
      </w:r>
      <w:r w:rsidRPr="00C7130A">
        <w:rPr>
          <w:rtl/>
          <w:lang w:bidi="ar-JO"/>
        </w:rPr>
        <w:t>فهموا الاحتياج إلى خطّة الله بأن يدعو إبراهيم وبأن يخلق أمّةً جديدة منه. فمع أنّ الله خلق كلَّ شيءٍ كاملًا، فقد دخلت الخطيّة بعدَ فترةٍ قصيرة إلى الصورة، وأفسدت خليقة الله. وقد استمرّت الخطية في الانتشار في كلّ البشريّة، ممّا أدّى إلى دينونة الله في طوفانٍ أ</w:t>
      </w:r>
      <w:r w:rsidR="008A1EC2" w:rsidRPr="00C7130A">
        <w:rPr>
          <w:rtl/>
          <w:lang w:bidi="ar-JO"/>
        </w:rPr>
        <w:t xml:space="preserve">باد كلّ البشر باستثناء نوح وعائلته القريبة. </w:t>
      </w:r>
      <w:r w:rsidR="00C865DC" w:rsidRPr="00C7130A">
        <w:rPr>
          <w:rtl/>
          <w:lang w:bidi="ar-JO"/>
        </w:rPr>
        <w:t xml:space="preserve">ولكنْ لم تعِش الأجيال التالية بصورة أفضل، بل تحوَّلت إلى عبادة الأصنام والانحلال الأخلاقي. </w:t>
      </w:r>
      <w:r w:rsidR="0097261B" w:rsidRPr="00C7130A">
        <w:rPr>
          <w:rtl/>
          <w:lang w:bidi="ar-JO"/>
        </w:rPr>
        <w:t>لم تكن إبادة البشر ثانيةً حلًّا للمشكلة. فكانت خطّة الله أن يدعو إبراهيم ليؤسِّس ويُنشئ أمّةً جديدةً يستطيع الله من خلالها أن ي</w:t>
      </w:r>
      <w:r w:rsidR="007C5927" w:rsidRPr="00C7130A">
        <w:rPr>
          <w:rtl/>
          <w:lang w:bidi="ar-JO"/>
        </w:rPr>
        <w:t>ُ</w:t>
      </w:r>
      <w:r w:rsidR="0097261B" w:rsidRPr="00C7130A">
        <w:rPr>
          <w:rtl/>
          <w:lang w:bidi="ar-JO"/>
        </w:rPr>
        <w:t xml:space="preserve">علِن المزيد عن نفسه للعالم، وفي النهاية أن يجتذب الناس بالنعمة من خلال الإيمان به. </w:t>
      </w:r>
    </w:p>
    <w:p w14:paraId="5BDBFA43" w14:textId="28C75C00" w:rsidR="0097261B" w:rsidRPr="00C7130A" w:rsidRDefault="0097261B" w:rsidP="00120849">
      <w:pPr>
        <w:rPr>
          <w:rtl/>
          <w:lang w:bidi="ar-JO"/>
        </w:rPr>
      </w:pPr>
      <w:r w:rsidRPr="00C7130A">
        <w:rPr>
          <w:rtl/>
          <w:lang w:bidi="ar-JO"/>
        </w:rPr>
        <w:t xml:space="preserve">في هذه الوحدة، سيكون الدرس الأوَّل مُقدَّمةً عامّة لدراسة العهد القديم. </w:t>
      </w:r>
      <w:r w:rsidR="00951E40" w:rsidRPr="00C7130A">
        <w:rPr>
          <w:rtl/>
          <w:lang w:bidi="ar-JO"/>
        </w:rPr>
        <w:t xml:space="preserve">ويركّز الدرس الثاني على قصّة الخلق، ليُتبَع بالدرس الثالث الذي يتتبّع قصّة ما حدث بعد أن دخلت الخطية وأفسدت خليقة الله الكاملة. </w:t>
      </w:r>
    </w:p>
    <w:p w14:paraId="03213463" w14:textId="77777777" w:rsidR="00951E40" w:rsidRPr="00C7130A" w:rsidRDefault="00951E40" w:rsidP="00120849">
      <w:pPr>
        <w:rPr>
          <w:rtl/>
          <w:lang w:bidi="ar-JO"/>
        </w:rPr>
      </w:pPr>
    </w:p>
    <w:p w14:paraId="27CE5159" w14:textId="05E6D752" w:rsidR="007A4B15" w:rsidRPr="00120849" w:rsidRDefault="00951E40" w:rsidP="000558B7">
      <w:pPr>
        <w:pStyle w:val="Heading3"/>
      </w:pPr>
      <w:bookmarkStart w:id="31" w:name="_Toc193030895"/>
      <w:r w:rsidRPr="00120849">
        <w:rPr>
          <w:rFonts w:hint="cs"/>
          <w:rtl/>
        </w:rPr>
        <w:t xml:space="preserve">مخطّط </w:t>
      </w:r>
      <w:r w:rsidR="00C04279" w:rsidRPr="00120849">
        <w:rPr>
          <w:rFonts w:hint="cs"/>
          <w:rtl/>
        </w:rPr>
        <w:t>الوحدة</w:t>
      </w:r>
      <w:bookmarkEnd w:id="31"/>
    </w:p>
    <w:p w14:paraId="0E785DE9" w14:textId="77777777" w:rsidR="002D6C54" w:rsidRPr="00C7130A" w:rsidRDefault="002D6C54" w:rsidP="00C1668A">
      <w:pPr>
        <w:ind w:left="720"/>
        <w:rPr>
          <w:rtl/>
        </w:rPr>
      </w:pPr>
      <w:bookmarkStart w:id="32" w:name="_Toc517779430"/>
      <w:r w:rsidRPr="00C7130A">
        <w:rPr>
          <w:rtl/>
        </w:rPr>
        <w:t>الدرس 1: مُقدِّمة إلى العهد القديم</w:t>
      </w:r>
    </w:p>
    <w:p w14:paraId="3AB77701" w14:textId="77777777" w:rsidR="002D6C54" w:rsidRPr="00C7130A" w:rsidRDefault="002D6C54" w:rsidP="00C1668A">
      <w:pPr>
        <w:ind w:left="720"/>
        <w:rPr>
          <w:rtl/>
        </w:rPr>
      </w:pPr>
      <w:r w:rsidRPr="00C7130A">
        <w:rPr>
          <w:rtl/>
        </w:rPr>
        <w:t>الدرس 2: رواية الخلق (تكوين 1: 1–2: 3)</w:t>
      </w:r>
    </w:p>
    <w:p w14:paraId="2B5D4685" w14:textId="35CBD355" w:rsidR="002D6C54" w:rsidRPr="00C7130A" w:rsidRDefault="002D6C54" w:rsidP="00C1668A">
      <w:pPr>
        <w:ind w:left="720"/>
        <w:rPr>
          <w:rtl/>
        </w:rPr>
      </w:pPr>
      <w:r w:rsidRPr="00C7130A">
        <w:rPr>
          <w:rtl/>
        </w:rPr>
        <w:t xml:space="preserve">الدرس 3: </w:t>
      </w:r>
      <w:r w:rsidR="009D3B46" w:rsidRPr="00C7130A">
        <w:rPr>
          <w:rtl/>
        </w:rPr>
        <w:t>قصّة</w:t>
      </w:r>
      <w:r w:rsidRPr="00C7130A">
        <w:rPr>
          <w:rtl/>
        </w:rPr>
        <w:t xml:space="preserve"> السقوط وانتشار الخطية والطوفان (تكوين 2: 4: 11: 26)</w:t>
      </w:r>
    </w:p>
    <w:p w14:paraId="0210A1CF" w14:textId="77777777" w:rsidR="00951E40" w:rsidRPr="00C7130A" w:rsidRDefault="00951E40" w:rsidP="00120849">
      <w:pPr>
        <w:rPr>
          <w:rtl/>
        </w:rPr>
      </w:pPr>
    </w:p>
    <w:p w14:paraId="402DA0A5" w14:textId="7BCFABE0" w:rsidR="007A4B15" w:rsidRPr="00C7130A" w:rsidRDefault="00951E40" w:rsidP="000558B7">
      <w:pPr>
        <w:pStyle w:val="Heading3"/>
      </w:pPr>
      <w:bookmarkStart w:id="33" w:name="_Toc193030896"/>
      <w:bookmarkEnd w:id="32"/>
      <w:r w:rsidRPr="00C7130A">
        <w:rPr>
          <w:rtl/>
        </w:rPr>
        <w:t>أهداف الوحدة</w:t>
      </w:r>
      <w:bookmarkEnd w:id="33"/>
    </w:p>
    <w:p w14:paraId="3178C10B" w14:textId="16EAE9F5" w:rsidR="007A4B15" w:rsidRPr="00C7130A" w:rsidRDefault="00951E40">
      <w:pPr>
        <w:pStyle w:val="ListParagraph"/>
        <w:numPr>
          <w:ilvl w:val="0"/>
          <w:numId w:val="19"/>
        </w:numPr>
        <w:rPr>
          <w:rtl/>
        </w:rPr>
      </w:pPr>
      <w:r w:rsidRPr="00C7130A">
        <w:rPr>
          <w:rtl/>
        </w:rPr>
        <w:t xml:space="preserve">بانتهائك من دراسة هذه الوحدة، ستكون قادرًا على ما يلي: </w:t>
      </w:r>
    </w:p>
    <w:p w14:paraId="34BC77EF" w14:textId="44BC250F" w:rsidR="00951E40" w:rsidRPr="00C7130A" w:rsidRDefault="00951E40">
      <w:pPr>
        <w:pStyle w:val="ListParagraph"/>
        <w:numPr>
          <w:ilvl w:val="0"/>
          <w:numId w:val="19"/>
        </w:numPr>
      </w:pPr>
      <w:r w:rsidRPr="00C7130A">
        <w:rPr>
          <w:rtl/>
        </w:rPr>
        <w:t xml:space="preserve">أن تتبَّع تسلسل الأحداث الرئيسيّة من إبراهيم وحتّى فترة القضاة. </w:t>
      </w:r>
    </w:p>
    <w:p w14:paraId="00E68905" w14:textId="5ECABBD9" w:rsidR="00951E40" w:rsidRPr="00C7130A" w:rsidRDefault="00951E40">
      <w:pPr>
        <w:pStyle w:val="ListParagraph"/>
        <w:numPr>
          <w:ilvl w:val="0"/>
          <w:numId w:val="19"/>
        </w:numPr>
      </w:pPr>
      <w:r w:rsidRPr="00C7130A">
        <w:rPr>
          <w:rtl/>
        </w:rPr>
        <w:t xml:space="preserve">أن تدافع عن الرأي الحرفي بشأن قصّة الخلق التي يقدِّمها الكتاب المُقدَّس. </w:t>
      </w:r>
    </w:p>
    <w:p w14:paraId="229569EC" w14:textId="08F74B2A" w:rsidR="00951E40" w:rsidRPr="00C7130A" w:rsidRDefault="00951E40">
      <w:pPr>
        <w:pStyle w:val="ListParagraph"/>
        <w:numPr>
          <w:ilvl w:val="0"/>
          <w:numId w:val="19"/>
        </w:numPr>
      </w:pPr>
      <w:r w:rsidRPr="00C7130A">
        <w:rPr>
          <w:rtl/>
        </w:rPr>
        <w:t>أن تشرح عواقب خطي</w:t>
      </w:r>
      <w:r w:rsidR="007C5927" w:rsidRPr="00C7130A">
        <w:rPr>
          <w:rtl/>
        </w:rPr>
        <w:t>ّ</w:t>
      </w:r>
      <w:r w:rsidRPr="00C7130A">
        <w:rPr>
          <w:rtl/>
        </w:rPr>
        <w:t xml:space="preserve">ة الجنس البشري وتأثيراته على الأجيال التالية. </w:t>
      </w:r>
    </w:p>
    <w:p w14:paraId="429A6986" w14:textId="06EB4690" w:rsidR="00951E40" w:rsidRPr="00C7130A" w:rsidRDefault="00951E40">
      <w:pPr>
        <w:pStyle w:val="ListParagraph"/>
        <w:numPr>
          <w:ilvl w:val="0"/>
          <w:numId w:val="19"/>
        </w:numPr>
      </w:pPr>
      <w:r w:rsidRPr="00C7130A">
        <w:rPr>
          <w:rtl/>
        </w:rPr>
        <w:t xml:space="preserve">أن تدافع عن الرواية الكتابيّة بأن طوفان نوح كان طوفانًا كونيًّا. </w:t>
      </w:r>
    </w:p>
    <w:p w14:paraId="6BFEFBB2" w14:textId="4FDF0856" w:rsidR="00E10968" w:rsidRPr="00120849" w:rsidRDefault="003D7DFA" w:rsidP="00E80A44">
      <w:pPr>
        <w:pStyle w:val="Heading2"/>
      </w:pPr>
      <w:bookmarkStart w:id="34" w:name="_Toc517779431"/>
      <w:bookmarkEnd w:id="28"/>
      <w:r w:rsidRPr="00C7130A">
        <w:br w:type="page"/>
      </w:r>
      <w:bookmarkStart w:id="35" w:name="_Toc193030897"/>
      <w:r w:rsidR="00951E40" w:rsidRPr="00120849">
        <w:rPr>
          <w:rtl/>
        </w:rPr>
        <w:lastRenderedPageBreak/>
        <w:t>الدرس 1: مُقدِّمة إلى العهد القديم</w:t>
      </w:r>
      <w:bookmarkEnd w:id="35"/>
      <w:r w:rsidR="00CE6DA9" w:rsidRPr="00120849">
        <w:t xml:space="preserve"> </w:t>
      </w:r>
      <w:bookmarkStart w:id="36" w:name="_Toc517779432"/>
      <w:bookmarkEnd w:id="34"/>
    </w:p>
    <w:p w14:paraId="10B4EC05" w14:textId="77777777" w:rsidR="00311C51" w:rsidRPr="00C7130A" w:rsidRDefault="00311C5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p>
    <w:p w14:paraId="2E7EC2AA" w14:textId="1703944C" w:rsidR="007A4B15" w:rsidRPr="00C7130A" w:rsidRDefault="00951E40" w:rsidP="000558B7">
      <w:pPr>
        <w:pStyle w:val="Heading3"/>
      </w:pPr>
      <w:bookmarkStart w:id="37" w:name="_Toc193030898"/>
      <w:bookmarkEnd w:id="36"/>
      <w:r w:rsidRPr="00C7130A">
        <w:rPr>
          <w:rtl/>
        </w:rPr>
        <w:t>مُقدِّمة الدرس</w:t>
      </w:r>
      <w:bookmarkEnd w:id="37"/>
    </w:p>
    <w:p w14:paraId="4CDBFEE3" w14:textId="39A638CF" w:rsidR="00951E40" w:rsidRPr="00C7130A" w:rsidRDefault="00951E40" w:rsidP="00120849">
      <w:pPr>
        <w:rPr>
          <w:rtl/>
        </w:rPr>
      </w:pPr>
      <w:r w:rsidRPr="00C7130A">
        <w:rPr>
          <w:rtl/>
        </w:rPr>
        <w:t>يهدف الدرس الأوّل إلى مساعدة الطلاب في أن يتعرَّفوا بعض الشيء إلى العهد القديم، بحيث يُقدَّم لهم الجو</w:t>
      </w:r>
      <w:r w:rsidR="007C5927" w:rsidRPr="00C7130A">
        <w:rPr>
          <w:rtl/>
        </w:rPr>
        <w:t>ّ</w:t>
      </w:r>
      <w:r w:rsidRPr="00C7130A">
        <w:rPr>
          <w:rtl/>
        </w:rPr>
        <w:t xml:space="preserve"> والظروف الأساسي</w:t>
      </w:r>
      <w:r w:rsidR="007C5927" w:rsidRPr="00C7130A">
        <w:rPr>
          <w:rtl/>
        </w:rPr>
        <w:t>ّ</w:t>
      </w:r>
      <w:r w:rsidRPr="00C7130A">
        <w:rPr>
          <w:rtl/>
        </w:rPr>
        <w:t>ة للأحداث الموصوفة في الأسفار الثمانية الأولى. يُشرَح معنى المُصطلح "الأسفار الخمسة". وبعد ذلك يُوضَّح التسلسل الزمني للأحداث الرئيسيّة للفترة ما بين إبراهيم وحتى القضاة، بدءًا بولادة إبراهيم عام 2166 ق.م.، وحتى تتويج الملك الأو</w:t>
      </w:r>
      <w:r w:rsidR="007C5927" w:rsidRPr="00C7130A">
        <w:rPr>
          <w:rtl/>
        </w:rPr>
        <w:t>َّ</w:t>
      </w:r>
      <w:r w:rsidRPr="00C7130A">
        <w:rPr>
          <w:rtl/>
        </w:rPr>
        <w:t xml:space="preserve">ل لشعب إسرائيل عام 1051 ق.م. نتحدَّث عن تواريخ الخلق الأصلي والطوفان، مع الإشارة إلى التناقضات الظاهرة ما بين الأرقام الواردة في النص العبريّ مقارَنةً بتلك الموجودة في الترجمة اليونانيّة للعهد القديم التي أتت لاحقًا. وأخيرًا </w:t>
      </w:r>
      <w:r w:rsidR="00D7231E" w:rsidRPr="00C7130A">
        <w:rPr>
          <w:rtl/>
        </w:rPr>
        <w:t xml:space="preserve">تُقدَّم نظرة عامّة إلى جغرافيّة الشرق الأدنى القديم مع الحديث عن مواقع المدن الرئيسيّة في الحضارة القديمة. </w:t>
      </w:r>
    </w:p>
    <w:p w14:paraId="75BA302F" w14:textId="743536F4" w:rsidR="007A4B15" w:rsidRPr="00C7130A" w:rsidRDefault="00D7231E" w:rsidP="000558B7">
      <w:pPr>
        <w:pStyle w:val="Heading3"/>
      </w:pPr>
      <w:bookmarkStart w:id="38" w:name="_Toc193030899"/>
      <w:r w:rsidRPr="00C7130A">
        <w:rPr>
          <w:rtl/>
        </w:rPr>
        <w:t>مخطَّط الدرس</w:t>
      </w:r>
      <w:bookmarkEnd w:id="38"/>
    </w:p>
    <w:p w14:paraId="02D776A3" w14:textId="05696639" w:rsidR="007A4B15" w:rsidRPr="00C7130A" w:rsidRDefault="00D7231E" w:rsidP="00C1668A">
      <w:pPr>
        <w:ind w:left="720"/>
        <w:rPr>
          <w:rtl/>
        </w:rPr>
      </w:pPr>
      <w:r w:rsidRPr="00C7130A">
        <w:rPr>
          <w:rtl/>
        </w:rPr>
        <w:t xml:space="preserve">الموضوع 1: </w:t>
      </w:r>
      <w:r w:rsidRPr="00C7130A">
        <w:rPr>
          <w:rtl/>
        </w:rPr>
        <w:tab/>
        <w:t xml:space="preserve">مُقدِّمة عامّة إلى العهد القديم </w:t>
      </w:r>
    </w:p>
    <w:p w14:paraId="37833FD2" w14:textId="62571AE1" w:rsidR="00D7231E" w:rsidRPr="00C7130A" w:rsidRDefault="00D7231E" w:rsidP="00C1668A">
      <w:pPr>
        <w:ind w:left="720"/>
        <w:rPr>
          <w:rtl/>
        </w:rPr>
      </w:pPr>
      <w:r w:rsidRPr="00C7130A">
        <w:rPr>
          <w:rtl/>
        </w:rPr>
        <w:t xml:space="preserve">الموضوع 2: </w:t>
      </w:r>
      <w:r w:rsidRPr="00C7130A">
        <w:rPr>
          <w:rtl/>
        </w:rPr>
        <w:tab/>
        <w:t>الخطّ الزمني للعهد القديم</w:t>
      </w:r>
    </w:p>
    <w:p w14:paraId="1144B50C" w14:textId="42AF18EF" w:rsidR="00D7231E" w:rsidRPr="00C7130A" w:rsidRDefault="00D7231E" w:rsidP="00C1668A">
      <w:pPr>
        <w:ind w:left="720"/>
        <w:rPr>
          <w:szCs w:val="24"/>
          <w:rtl/>
        </w:rPr>
      </w:pPr>
      <w:r w:rsidRPr="00C7130A">
        <w:rPr>
          <w:rtl/>
        </w:rPr>
        <w:t xml:space="preserve">الموضوع 3: </w:t>
      </w:r>
      <w:r w:rsidRPr="00C7130A">
        <w:rPr>
          <w:rtl/>
        </w:rPr>
        <w:tab/>
        <w:t>جغرافيّة الشرق الأدنى القديم وخارطته</w:t>
      </w:r>
      <w:r w:rsidRPr="00C7130A">
        <w:rPr>
          <w:szCs w:val="24"/>
          <w:rtl/>
        </w:rPr>
        <w:t xml:space="preserve"> </w:t>
      </w:r>
    </w:p>
    <w:p w14:paraId="024DA536" w14:textId="77777777" w:rsidR="00D7231E" w:rsidRPr="00C7130A" w:rsidRDefault="00D7231E" w:rsidP="00120849">
      <w:pPr>
        <w:rPr>
          <w:szCs w:val="24"/>
        </w:rPr>
      </w:pPr>
    </w:p>
    <w:p w14:paraId="1EEEEC8F" w14:textId="17F067E4" w:rsidR="007A4B15" w:rsidRPr="00C7130A" w:rsidRDefault="00D7231E" w:rsidP="000558B7">
      <w:pPr>
        <w:pStyle w:val="Heading3"/>
      </w:pPr>
      <w:bookmarkStart w:id="39" w:name="_Toc193030900"/>
      <w:r w:rsidRPr="00C7130A">
        <w:rPr>
          <w:rtl/>
        </w:rPr>
        <w:t>أهداف الدرس</w:t>
      </w:r>
      <w:bookmarkEnd w:id="39"/>
    </w:p>
    <w:p w14:paraId="4EF5FD45" w14:textId="745C52B4" w:rsidR="007A4B15" w:rsidRPr="00120849" w:rsidRDefault="00D7231E" w:rsidP="00C7130A">
      <w:pPr>
        <w:spacing w:after="80"/>
        <w:rPr>
          <w:rFonts w:eastAsia="Calibri"/>
          <w:kern w:val="0"/>
          <w14:ligatures w14:val="none"/>
        </w:rPr>
      </w:pPr>
      <w:r w:rsidRPr="00120849">
        <w:rPr>
          <w:rFonts w:eastAsia="Calibri"/>
          <w:kern w:val="0"/>
          <w:rtl/>
          <w14:ligatures w14:val="none"/>
        </w:rPr>
        <w:t xml:space="preserve">بانتهائك من دراسة هذا الدرس، ستكون قادرًا على ما يلي: </w:t>
      </w:r>
    </w:p>
    <w:p w14:paraId="372C3441" w14:textId="6126F684" w:rsidR="003D7DFA" w:rsidRPr="00120849" w:rsidRDefault="00D7231E">
      <w:pPr>
        <w:pStyle w:val="ListParagraph"/>
        <w:numPr>
          <w:ilvl w:val="0"/>
          <w:numId w:val="18"/>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120849">
        <w:rPr>
          <w:rFonts w:eastAsia="Calibri"/>
          <w:kern w:val="0"/>
          <w:rtl/>
          <w14:ligatures w14:val="none"/>
        </w:rPr>
        <w:t>أن تشرح معنى مُصطلح "الأسفار الخمسة".</w:t>
      </w:r>
    </w:p>
    <w:p w14:paraId="2ECC2183" w14:textId="74857A8D" w:rsidR="00D7231E" w:rsidRPr="00120849" w:rsidRDefault="00D7231E">
      <w:pPr>
        <w:pStyle w:val="ListParagraph"/>
        <w:numPr>
          <w:ilvl w:val="0"/>
          <w:numId w:val="18"/>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120849">
        <w:rPr>
          <w:rFonts w:eastAsia="Calibri"/>
          <w:kern w:val="0"/>
          <w:rtl/>
          <w14:ligatures w14:val="none"/>
        </w:rPr>
        <w:t xml:space="preserve">أن تفهم كيف تُحدَّد التواريخ الرئيسيّة لحقبة الآباء باستخدام المعلومات والبيانات الكتابية، بحيث يُؤكَّد على أنّ ولادة إبراهيم حدثت عام 2166 ق.م. </w:t>
      </w:r>
    </w:p>
    <w:p w14:paraId="3FBB7779" w14:textId="56CD4545" w:rsidR="00D7231E" w:rsidRPr="00120849" w:rsidRDefault="00D7231E">
      <w:pPr>
        <w:pStyle w:val="ListParagraph"/>
        <w:numPr>
          <w:ilvl w:val="0"/>
          <w:numId w:val="18"/>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120849">
        <w:rPr>
          <w:rFonts w:eastAsia="Calibri"/>
          <w:kern w:val="0"/>
          <w:rtl/>
          <w14:ligatures w14:val="none"/>
        </w:rPr>
        <w:t xml:space="preserve">أن تتبع التسلسل الزمني للأحداث الرئيسية من وقت إبراهيم وحتى تنصيب أوّل ملكٍ في إسرائيل (حول العام 1051 ق.م.) </w:t>
      </w:r>
    </w:p>
    <w:p w14:paraId="1BE75730" w14:textId="688507E7" w:rsidR="00D7231E" w:rsidRPr="00120849" w:rsidRDefault="00D7231E">
      <w:pPr>
        <w:pStyle w:val="ListParagraph"/>
        <w:numPr>
          <w:ilvl w:val="0"/>
          <w:numId w:val="18"/>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120849">
        <w:rPr>
          <w:rFonts w:eastAsia="Calibri"/>
          <w:kern w:val="0"/>
          <w:rtl/>
          <w14:ligatures w14:val="none"/>
        </w:rPr>
        <w:t xml:space="preserve">أن تعرف المدن الرئيسية في الشرق الأدنى القديم وتحدِّد مواقعها في إطار المعالم الجغرافيّة الأساسيّة (خاصّة الأنهار والبحار الرئيسيّة) </w:t>
      </w:r>
    </w:p>
    <w:p w14:paraId="0467EE44" w14:textId="4E2F9B44" w:rsidR="007A4B15" w:rsidRPr="00120849" w:rsidRDefault="00D7231E">
      <w:pPr>
        <w:pStyle w:val="ListParagraph"/>
        <w:numPr>
          <w:ilvl w:val="0"/>
          <w:numId w:val="18"/>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 w:val="48"/>
          <w14:ligatures w14:val="none"/>
        </w:rPr>
      </w:pPr>
      <w:r w:rsidRPr="00120849">
        <w:rPr>
          <w:rFonts w:eastAsia="Calibri"/>
          <w:kern w:val="0"/>
          <w:rtl/>
          <w14:ligatures w14:val="none"/>
        </w:rPr>
        <w:t xml:space="preserve">أن تتخيَّل هجرة إبراهيم وعائلته من أور الكلدانيّين إلى أرض كنعان. </w:t>
      </w:r>
      <w:r w:rsidR="007A4B15" w:rsidRPr="00120849">
        <w:rPr>
          <w:rFonts w:eastAsia="Calibri"/>
          <w:kern w:val="0"/>
          <w:sz w:val="48"/>
          <w14:ligatures w14:val="none"/>
        </w:rPr>
        <w:br w:type="page"/>
      </w:r>
    </w:p>
    <w:p w14:paraId="745805C1" w14:textId="047CDDE4" w:rsidR="007A4B15" w:rsidRPr="00C7130A" w:rsidRDefault="005D2C35" w:rsidP="000558B7">
      <w:pPr>
        <w:pStyle w:val="Heading2B"/>
      </w:pPr>
      <w:bookmarkStart w:id="40" w:name="_Toc193030901"/>
      <w:bookmarkStart w:id="41" w:name="_Hlk156383607"/>
      <w:bookmarkStart w:id="42" w:name="_Hlk156383679"/>
      <w:r w:rsidRPr="00C7130A">
        <w:rPr>
          <w:rtl/>
        </w:rPr>
        <w:lastRenderedPageBreak/>
        <w:t>الموضوع 1: مُقدِّمة عامّة إلى العهد القديم</w:t>
      </w:r>
      <w:bookmarkEnd w:id="40"/>
    </w:p>
    <w:p w14:paraId="4361F000" w14:textId="7645AE73" w:rsidR="007A4B15" w:rsidRPr="00C7130A" w:rsidRDefault="005D2C35" w:rsidP="00120849">
      <w:r w:rsidRPr="00C7130A">
        <w:rPr>
          <w:rtl/>
        </w:rPr>
        <w:t>تُعرَف الأسفار الخمسة الأولى في العهد القديم باسم "أسفار موسى الخمسة" أو "الأسفار الخمسة" أو "البنتاتوك". يرى الرأي التقليدي أن موسى (1526-1406 ق.م.) هو مَن كتب هذه المادة. ولأنّ جزءًا كبيرًا من مادّة هذه الأسفار يتعلَّق بإعطاء الناموس الموسوي لشعب إسرائيل، تُدعى هذه الأسفار الخمسة أحيانًا "الناموس" أو "الشريعة" (أو في العبريّة "تُوراة" – التوراة"). يعطينا سفر التكوين، وهو أول أسفار الكتاب المُقدَّس خلفيّة بشأن اختيار الله لإسرائيل ليكون شعبَ عهده. يبدأ سفر التكوين بتوضيح أن</w:t>
      </w:r>
      <w:r w:rsidR="008F4151" w:rsidRPr="00C7130A">
        <w:rPr>
          <w:rtl/>
        </w:rPr>
        <w:t>ّ</w:t>
      </w:r>
      <w:r w:rsidRPr="00C7130A">
        <w:rPr>
          <w:rtl/>
        </w:rPr>
        <w:t xml:space="preserve"> إله إسرائيل هو خالق كل</w:t>
      </w:r>
      <w:r w:rsidR="008F4151" w:rsidRPr="00C7130A">
        <w:rPr>
          <w:rtl/>
        </w:rPr>
        <w:t>ّ</w:t>
      </w:r>
      <w:r w:rsidRPr="00C7130A">
        <w:rPr>
          <w:rtl/>
        </w:rPr>
        <w:t xml:space="preserve"> الأشياء (تكوين 1-2). ولكنّ الخطية دخلتْ بعدَ فترةٍ قصيرة إلى خليقة الله الكاملة، وبدأت بسرعة تفسِدها (تكوين 3-6). </w:t>
      </w:r>
      <w:r w:rsidR="001B462A" w:rsidRPr="00C7130A">
        <w:rPr>
          <w:rtl/>
        </w:rPr>
        <w:t>وحتّى "البداية الجديدة" التي أتت بالطوفان الكوني لم تتمك</w:t>
      </w:r>
      <w:r w:rsidR="008F4151" w:rsidRPr="00C7130A">
        <w:rPr>
          <w:rtl/>
        </w:rPr>
        <w:t>َّ</w:t>
      </w:r>
      <w:r w:rsidR="001B462A" w:rsidRPr="00C7130A">
        <w:rPr>
          <w:rtl/>
        </w:rPr>
        <w:t xml:space="preserve">ن من إصلاح خليقة الله (تكوين 7-9). ونتيجةً لهذا، دعا الله رجلًا، هو إبراهيم، من أور الكلدانيّين (الجزء الجنوبي السفلي من العراق) ليشكِّل أمّة جديدةً سيبدأ الله بها برنامج التاريخ الخلاصي. </w:t>
      </w:r>
    </w:p>
    <w:p w14:paraId="11499C88" w14:textId="67188355" w:rsidR="00B82592" w:rsidRPr="00C7130A" w:rsidRDefault="00B82592"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b/>
          <w:kern w:val="0"/>
          <w:szCs w:val="24"/>
          <w14:ligatures w14:val="none"/>
        </w:rPr>
      </w:pPr>
      <w:r w:rsidRPr="00C7130A">
        <w:rPr>
          <w:rFonts w:eastAsia="Calibri"/>
          <w:b/>
          <w:noProof/>
          <w:kern w:val="0"/>
          <w:szCs w:val="24"/>
          <w14:ligatures w14:val="none"/>
        </w:rPr>
        <w:drawing>
          <wp:inline distT="0" distB="0" distL="0" distR="0" wp14:anchorId="3D5E85BC" wp14:editId="6E3D636C">
            <wp:extent cx="613692" cy="541464"/>
            <wp:effectExtent l="0" t="0" r="0" b="0"/>
            <wp:docPr id="296073289" name="Picture 296073289"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kern w:val="0"/>
          <w:szCs w:val="24"/>
          <w14:ligatures w14:val="none"/>
        </w:rPr>
        <w:t xml:space="preserve"> </w:t>
      </w:r>
      <w:r w:rsidR="001B462A" w:rsidRPr="00120849">
        <w:rPr>
          <w:rFonts w:eastAsia="Calibri"/>
          <w:bCs/>
          <w:kern w:val="0"/>
          <w:sz w:val="48"/>
          <w:u w:val="single"/>
          <w:rtl/>
          <w14:ligatures w14:val="none"/>
        </w:rPr>
        <w:t>القراءة</w:t>
      </w:r>
      <w:r w:rsidR="001B462A" w:rsidRPr="00C7130A">
        <w:rPr>
          <w:rFonts w:eastAsia="Calibri"/>
          <w:bCs/>
          <w:kern w:val="0"/>
          <w:szCs w:val="24"/>
          <w:u w:val="single"/>
          <w:rtl/>
          <w14:ligatures w14:val="none"/>
        </w:rPr>
        <w:t>:</w:t>
      </w:r>
    </w:p>
    <w:p w14:paraId="2C8D2203" w14:textId="219F1CEC" w:rsidR="00B82592" w:rsidRPr="00120849" w:rsidRDefault="001B462A">
      <w:pPr>
        <w:numPr>
          <w:ilvl w:val="0"/>
          <w:numId w:val="3"/>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 w:val="48"/>
          <w14:ligatures w14:val="none"/>
        </w:rPr>
      </w:pPr>
      <w:r w:rsidRPr="00120849">
        <w:rPr>
          <w:rFonts w:eastAsia="Calibri"/>
          <w:kern w:val="0"/>
          <w:sz w:val="48"/>
          <w:rtl/>
          <w14:ligatures w14:val="none"/>
        </w:rPr>
        <w:t xml:space="preserve">اقرأ تكوين 1: 1 – 11: 26 في كتابك المُقدَّس. </w:t>
      </w:r>
    </w:p>
    <w:p w14:paraId="70254500" w14:textId="419707DB" w:rsidR="001B462A" w:rsidRPr="00120849" w:rsidRDefault="001B462A">
      <w:pPr>
        <w:numPr>
          <w:ilvl w:val="0"/>
          <w:numId w:val="3"/>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 w:val="48"/>
          <w14:ligatures w14:val="none"/>
        </w:rPr>
      </w:pPr>
      <w:r w:rsidRPr="00120849">
        <w:rPr>
          <w:rFonts w:eastAsia="Calibri"/>
          <w:kern w:val="0"/>
          <w:sz w:val="48"/>
          <w:rtl/>
          <w14:ligatures w14:val="none"/>
        </w:rPr>
        <w:t xml:space="preserve">اقرأ </w:t>
      </w:r>
      <w:r w:rsidR="002E0EDB" w:rsidRPr="00120849">
        <w:rPr>
          <w:rFonts w:eastAsia="Calibri"/>
          <w:kern w:val="0"/>
          <w:sz w:val="48"/>
          <w:rtl/>
          <w14:ligatures w14:val="none"/>
        </w:rPr>
        <w:t xml:space="preserve">فصل "الأصول" عند </w:t>
      </w:r>
      <w:r w:rsidRPr="00120849">
        <w:rPr>
          <w:rFonts w:eastAsia="Calibri"/>
          <w:kern w:val="0"/>
          <w:sz w:val="48"/>
          <w:rtl/>
          <w14:ligatures w14:val="none"/>
        </w:rPr>
        <w:t>يوجين ميرل</w:t>
      </w:r>
      <w:r w:rsidR="002E0EDB" w:rsidRPr="00120849">
        <w:rPr>
          <w:rFonts w:eastAsia="Calibri"/>
          <w:kern w:val="0"/>
          <w:sz w:val="48"/>
          <w:rtl/>
          <w14:ligatures w14:val="none"/>
        </w:rPr>
        <w:t xml:space="preserve">، </w:t>
      </w:r>
      <w:r w:rsidR="002E0EDB" w:rsidRPr="00120849">
        <w:rPr>
          <w:rFonts w:eastAsia="Calibri"/>
          <w:kern w:val="0"/>
          <w:sz w:val="48"/>
          <w:u w:val="single"/>
          <w:rtl/>
          <w14:ligatures w14:val="none"/>
        </w:rPr>
        <w:t>مملكة كهنة</w:t>
      </w:r>
      <w:r w:rsidR="002E0EDB" w:rsidRPr="00120849">
        <w:rPr>
          <w:rFonts w:eastAsia="Calibri"/>
          <w:kern w:val="0"/>
          <w:sz w:val="48"/>
          <w:rtl/>
          <w14:ligatures w14:val="none"/>
        </w:rPr>
        <w:t xml:space="preserve"> (عن إبراهيم وإسحاق).</w:t>
      </w:r>
    </w:p>
    <w:p w14:paraId="5A152490" w14:textId="77777777" w:rsidR="002E0EDB" w:rsidRPr="00C7130A" w:rsidRDefault="002E0ED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p>
    <w:p w14:paraId="4E09336C" w14:textId="7B751338" w:rsidR="009647E9" w:rsidRPr="00C7130A" w:rsidRDefault="002E0EDB" w:rsidP="000558B7">
      <w:pPr>
        <w:pStyle w:val="Heading2B"/>
      </w:pPr>
      <w:bookmarkStart w:id="43" w:name="_Toc193030902"/>
      <w:bookmarkEnd w:id="41"/>
      <w:bookmarkEnd w:id="42"/>
      <w:r w:rsidRPr="00C7130A">
        <w:rPr>
          <w:rtl/>
        </w:rPr>
        <w:t>الموضوع 2: الخط الزمني للعهد القديم</w:t>
      </w:r>
      <w:bookmarkEnd w:id="43"/>
    </w:p>
    <w:p w14:paraId="764D849F" w14:textId="5BCD3FB9" w:rsidR="00600158" w:rsidRPr="00C7130A" w:rsidRDefault="002E0EDB" w:rsidP="000558B7">
      <w:pPr>
        <w:pStyle w:val="Heading3"/>
      </w:pPr>
      <w:bookmarkStart w:id="44" w:name="_Toc193030903"/>
      <w:r w:rsidRPr="00C7130A">
        <w:rPr>
          <w:rtl/>
        </w:rPr>
        <w:t>مُقدِّمة إلى كرونولوجيا العهد القديم</w:t>
      </w:r>
      <w:bookmarkEnd w:id="44"/>
      <w:r w:rsidRPr="00C7130A">
        <w:rPr>
          <w:rtl/>
        </w:rPr>
        <w:t xml:space="preserve"> </w:t>
      </w:r>
    </w:p>
    <w:p w14:paraId="62F9AD07" w14:textId="5D212376" w:rsidR="006A7197" w:rsidRPr="00C7130A" w:rsidRDefault="002E0EDB" w:rsidP="0081030F">
      <w:pPr>
        <w:rPr>
          <w:rtl/>
        </w:rPr>
      </w:pPr>
      <w:r w:rsidRPr="00C7130A">
        <w:rPr>
          <w:rtl/>
        </w:rPr>
        <w:t xml:space="preserve">نقصد بالخط الزمني، أو الكرونولوجيا، تواريخ الأحداث حين حصلت. </w:t>
      </w:r>
      <w:r w:rsidR="0053119C" w:rsidRPr="00C7130A">
        <w:rPr>
          <w:rtl/>
        </w:rPr>
        <w:t>مع أنّ لدي</w:t>
      </w:r>
      <w:r w:rsidR="008F4151" w:rsidRPr="00C7130A">
        <w:rPr>
          <w:rtl/>
        </w:rPr>
        <w:t>نا</w:t>
      </w:r>
      <w:r w:rsidR="0053119C" w:rsidRPr="00C7130A">
        <w:rPr>
          <w:rtl/>
        </w:rPr>
        <w:t xml:space="preserve"> فكرةً جيّدةً بشأن الزمن الذي عاش فيه يسوع على الأرض، فإنّه ليس سهلًا أن نحدِّد تواريخ خلق الكون والطوفان في زمن نوح. طبعًا يسخر المؤرّخون غير المؤمنين من الرواية الكتابية للخلق، ويُنكِرون فكرة حد</w:t>
      </w:r>
      <w:r w:rsidR="008F4151" w:rsidRPr="00C7130A">
        <w:rPr>
          <w:rtl/>
        </w:rPr>
        <w:t>َ</w:t>
      </w:r>
      <w:r w:rsidR="0053119C" w:rsidRPr="00C7130A">
        <w:rPr>
          <w:rtl/>
        </w:rPr>
        <w:t>ث</w:t>
      </w:r>
      <w:r w:rsidR="008F4151" w:rsidRPr="00C7130A">
        <w:rPr>
          <w:rtl/>
        </w:rPr>
        <w:t>ِ</w:t>
      </w:r>
      <w:r w:rsidR="0053119C" w:rsidRPr="00C7130A">
        <w:rPr>
          <w:rtl/>
        </w:rPr>
        <w:t xml:space="preserve"> الطوفان الكوني. واليوم، الراجح أن غير المؤمن المُعتقد بالفلسفة الإنسانيّة يؤمن بشكلٍ من أشكال التطوُّر، والوضع الطبيعي الاعتيادي أن يؤمن أنّ الكون تشكَّل قبل حوالي 14 بليون سنة، بينما تشكَّلت الأرض قبل بضعة بلايين من السنين.</w:t>
      </w:r>
    </w:p>
    <w:p w14:paraId="01BD534E" w14:textId="5ED0EF25" w:rsidR="00BC0BC2" w:rsidRPr="00C7130A" w:rsidRDefault="006A7197" w:rsidP="0081030F">
      <w:pPr>
        <w:rPr>
          <w:rtl/>
          <w:lang w:bidi="ar-JO"/>
        </w:rPr>
      </w:pPr>
      <w:r w:rsidRPr="00C7130A">
        <w:rPr>
          <w:rtl/>
        </w:rPr>
        <w:t>ولكنّ الرواية الكتابية تقودنا إلى الإيمان بأنّ عمر الكون والأرض ليس بهذا القِدَم على الإطلاق. ومع هذا، يختلف العلماء الإنجيلي</w:t>
      </w:r>
      <w:r w:rsidR="008F4151" w:rsidRPr="00C7130A">
        <w:rPr>
          <w:rtl/>
        </w:rPr>
        <w:t>ّ</w:t>
      </w:r>
      <w:r w:rsidRPr="00C7130A">
        <w:rPr>
          <w:rtl/>
        </w:rPr>
        <w:t xml:space="preserve">ون حول تاريخ الخلق. وفي ضوء الإشارات الزمنيّة الواردة في الكتاب المُقدَّس نفسه، يمكننا أن نكون على يقين بأنّ إبراهيم وُلِد حوالي العام 2166 ق.م. أمّا محاولة تحديد تاريخ حدث الطوفان والخلق فينطوي على تحدٍّ وصعوبةٍ أكبر. </w:t>
      </w:r>
      <w:r w:rsidR="00FA10F8" w:rsidRPr="00C7130A">
        <w:rPr>
          <w:rtl/>
        </w:rPr>
        <w:t xml:space="preserve">فكبداية، ينبغي أن يقرِّر الدارس إن كان تكوين 1: 1 </w:t>
      </w:r>
      <w:r w:rsidR="00A73A88" w:rsidRPr="00C7130A">
        <w:rPr>
          <w:rtl/>
        </w:rPr>
        <w:t>ي</w:t>
      </w:r>
      <w:r w:rsidR="00FA10F8" w:rsidRPr="00C7130A">
        <w:rPr>
          <w:rtl/>
        </w:rPr>
        <w:t>ُشير إلى خلقٍ مُطلَق أم محدود ب</w:t>
      </w:r>
      <w:r w:rsidR="00A73A88" w:rsidRPr="00C7130A">
        <w:rPr>
          <w:rtl/>
        </w:rPr>
        <w:t xml:space="preserve">كوكب </w:t>
      </w:r>
      <w:r w:rsidR="00FA10F8" w:rsidRPr="00C7130A">
        <w:rPr>
          <w:rtl/>
        </w:rPr>
        <w:t>الأرض وبمكانها الأكثر تحديد</w:t>
      </w:r>
      <w:r w:rsidR="00A73A88" w:rsidRPr="00C7130A">
        <w:rPr>
          <w:rtl/>
        </w:rPr>
        <w:t>ً</w:t>
      </w:r>
      <w:r w:rsidR="00FA10F8" w:rsidRPr="00C7130A">
        <w:rPr>
          <w:rtl/>
        </w:rPr>
        <w:t>ا في النظام الشمسي. وبعد ذلك، ينبغي للمرء أن يقرِّر هل الك</w:t>
      </w:r>
      <w:r w:rsidR="00A73A88" w:rsidRPr="00C7130A">
        <w:rPr>
          <w:rtl/>
        </w:rPr>
        <w:t>ل</w:t>
      </w:r>
      <w:r w:rsidR="00FA10F8" w:rsidRPr="00C7130A">
        <w:rPr>
          <w:rtl/>
        </w:rPr>
        <w:t xml:space="preserve">مة "يوم" المُستخدمة في تكوين 1 تُشير إلى يومٍ مؤلَّف من </w:t>
      </w:r>
      <w:r w:rsidR="00FA10F8" w:rsidRPr="00C7130A">
        <w:rPr>
          <w:rtl/>
        </w:rPr>
        <w:lastRenderedPageBreak/>
        <w:t xml:space="preserve">24 ساعة. [أنا شخصيًا أرى أن تكوين 1: 1 تُشير إلى خلقٍ مُطلَق، وأنّ "اليوم" يعني يومًا مُؤلَّفًا من 24 ساعة]. </w:t>
      </w:r>
      <w:r w:rsidR="00B51C01" w:rsidRPr="00C7130A">
        <w:rPr>
          <w:rtl/>
        </w:rPr>
        <w:t>ومن ثمّ، هناك مسألتان مهمّتان ينبغي التقرير بشأنهما. المسألة الأولى تتعلَّق بسلا</w:t>
      </w:r>
      <w:r w:rsidR="00A73A88" w:rsidRPr="00C7130A">
        <w:rPr>
          <w:rtl/>
        </w:rPr>
        <w:t>س</w:t>
      </w:r>
      <w:r w:rsidR="00B51C01" w:rsidRPr="00C7130A">
        <w:rPr>
          <w:rtl/>
        </w:rPr>
        <w:t xml:space="preserve">ل النسب الواردة في تكوين 5 و11، وهل هي سلاسل نسب مُغلَقة (أي أنّها لا تتضمَّن فجوات). </w:t>
      </w:r>
      <w:r w:rsidR="00E9703D" w:rsidRPr="00C7130A">
        <w:rPr>
          <w:rtl/>
        </w:rPr>
        <w:t>[أنا شخصيًّا أومن أنّها سلاسل نسب مُغلَقة.] تتعلَّق المسألة الثانية بالأرقام الواردة في تكوين 5 و11. معظم ترجمات الكتاب المُقدَّس للعهد القديم اليوم مبنيّة على النص الماسوري العبري (أي الكتاب المُقدَّس العبري). وكما هو معروفٌ جيّدًا، فقد تُرجِم العهد القديم إلى اليونانيّة، وبدأ هذا العمل حوالي العام 275 ق.م. المشكلة التي لدينا هي أن</w:t>
      </w:r>
      <w:r w:rsidR="001E2C4C" w:rsidRPr="00C7130A">
        <w:rPr>
          <w:rtl/>
        </w:rPr>
        <w:t>ّ</w:t>
      </w:r>
      <w:r w:rsidR="00E9703D" w:rsidRPr="00C7130A">
        <w:rPr>
          <w:rtl/>
        </w:rPr>
        <w:t xml:space="preserve"> الأرقام الواردة في النص العبري لتكوين 5 و11 تختلف عن تلك الواردة في الترجمة السبعينيّة التي تُعرَف باسم "السبعينية" (وتُختصَر بالأرقام الرومانية </w:t>
      </w:r>
      <w:r w:rsidR="00E9703D" w:rsidRPr="00C7130A">
        <w:t>LXX</w:t>
      </w:r>
      <w:r w:rsidR="00E9703D" w:rsidRPr="00C7130A">
        <w:rPr>
          <w:rtl/>
        </w:rPr>
        <w:t>)</w:t>
      </w:r>
      <w:r w:rsidR="00E9703D" w:rsidRPr="00C7130A">
        <w:rPr>
          <w:rtl/>
          <w:lang w:bidi="ar-JO"/>
        </w:rPr>
        <w:t>. إن كان المرء يؤمن بتسلسلٍ زمني مُغلَق ويقبل الأرقام الواردة في النصّ العبري، فسيكون تاريخ الخلق هو حوالي العام 4200 ق.م.، وتاريخ حدوث الطوفان هو حوالي العام 2550 ق.م. لكن إن كان المرء يؤمن بالتسلسل الزمني المُغلَق ولكنّه يقبل الأرقام الواردة في الترجمة السبعينية، فسيكون تاريخ الخلق حوالي العام 5500 ق.م.، وسيكون الطوفان قد حدث قبل حوالي 3400-3300 ق.م.</w:t>
      </w:r>
      <w:r w:rsidR="00E9703D" w:rsidRPr="00C7130A">
        <w:rPr>
          <w:rStyle w:val="FootnoteReference"/>
          <w:sz w:val="26"/>
          <w:szCs w:val="26"/>
          <w:rtl/>
          <w:lang w:bidi="ar-JO"/>
        </w:rPr>
        <w:footnoteReference w:id="1"/>
      </w:r>
      <w:r w:rsidR="00835AEB" w:rsidRPr="00C7130A">
        <w:rPr>
          <w:rtl/>
          <w:lang w:bidi="ar-JO"/>
        </w:rPr>
        <w:t xml:space="preserve"> </w:t>
      </w:r>
      <w:r w:rsidR="00BD30D2" w:rsidRPr="00C7130A">
        <w:rPr>
          <w:rtl/>
          <w:lang w:bidi="ar-JO"/>
        </w:rPr>
        <w:t>مع أن معظم العلماء المحافظين</w:t>
      </w:r>
      <w:r w:rsidR="001E2C4C" w:rsidRPr="00C7130A">
        <w:rPr>
          <w:rtl/>
          <w:lang w:bidi="ar-JO"/>
        </w:rPr>
        <w:t xml:space="preserve"> يرون</w:t>
      </w:r>
      <w:r w:rsidR="00BD30D2" w:rsidRPr="00C7130A">
        <w:rPr>
          <w:rtl/>
          <w:lang w:bidi="ar-JO"/>
        </w:rPr>
        <w:t xml:space="preserve"> أن</w:t>
      </w:r>
      <w:r w:rsidR="001E2C4C" w:rsidRPr="00C7130A">
        <w:rPr>
          <w:rtl/>
          <w:lang w:bidi="ar-JO"/>
        </w:rPr>
        <w:t>ّ</w:t>
      </w:r>
      <w:r w:rsidR="00BD30D2" w:rsidRPr="00C7130A">
        <w:rPr>
          <w:rtl/>
          <w:lang w:bidi="ar-JO"/>
        </w:rPr>
        <w:t xml:space="preserve"> النص العبري للكتاب المُقدَّس أكثر موثوقية ويمكن الاعتماد عليه أكثر من النص اليوناني، فإنّه يصعب التوف</w:t>
      </w:r>
      <w:r w:rsidR="001E2C4C" w:rsidRPr="00C7130A">
        <w:rPr>
          <w:rtl/>
          <w:lang w:bidi="ar-JO"/>
        </w:rPr>
        <w:t>ي</w:t>
      </w:r>
      <w:r w:rsidR="00BD30D2" w:rsidRPr="00C7130A">
        <w:rPr>
          <w:rtl/>
          <w:lang w:bidi="ar-JO"/>
        </w:rPr>
        <w:t xml:space="preserve">ق بين حدث الطوفان حوالي العامل 2550 ق.م. مع البيانات والمعلومات الأركيولوجيّة </w:t>
      </w:r>
      <w:r w:rsidR="001E2C4C" w:rsidRPr="00C7130A">
        <w:rPr>
          <w:rtl/>
          <w:lang w:bidi="ar-JO"/>
        </w:rPr>
        <w:t>المتعارَف عليها</w:t>
      </w:r>
      <w:r w:rsidR="00BD30D2" w:rsidRPr="00C7130A">
        <w:rPr>
          <w:rtl/>
          <w:lang w:bidi="ar-JO"/>
        </w:rPr>
        <w:t>. مؤكَّد أنّ الحذر واجب بغض</w:t>
      </w:r>
      <w:r w:rsidR="001E2C4C" w:rsidRPr="00C7130A">
        <w:rPr>
          <w:rtl/>
          <w:lang w:bidi="ar-JO"/>
        </w:rPr>
        <w:t>ّ</w:t>
      </w:r>
      <w:r w:rsidR="00BD30D2" w:rsidRPr="00C7130A">
        <w:rPr>
          <w:rtl/>
          <w:lang w:bidi="ar-JO"/>
        </w:rPr>
        <w:t xml:space="preserve"> النظر عن الموقف الذي يتبناه المرء، ولكن</w:t>
      </w:r>
      <w:r w:rsidR="001E2C4C" w:rsidRPr="00C7130A">
        <w:rPr>
          <w:rtl/>
          <w:lang w:bidi="ar-JO"/>
        </w:rPr>
        <w:t>ْ</w:t>
      </w:r>
      <w:r w:rsidR="00BD30D2" w:rsidRPr="00C7130A">
        <w:rPr>
          <w:rtl/>
          <w:lang w:bidi="ar-JO"/>
        </w:rPr>
        <w:t xml:space="preserve"> يمكن تقديم أدلّة جيّدة على أنّ عمر الأرض والكون أقل</w:t>
      </w:r>
      <w:r w:rsidR="001E2C4C" w:rsidRPr="00C7130A">
        <w:rPr>
          <w:rtl/>
          <w:lang w:bidi="ar-JO"/>
        </w:rPr>
        <w:t>ّ</w:t>
      </w:r>
      <w:r w:rsidR="00BD30D2" w:rsidRPr="00C7130A">
        <w:rPr>
          <w:rtl/>
          <w:lang w:bidi="ar-JO"/>
        </w:rPr>
        <w:t xml:space="preserve"> من 10 آلاف سنة. </w:t>
      </w:r>
    </w:p>
    <w:p w14:paraId="3A75E633" w14:textId="77777777" w:rsidR="002E0EDB" w:rsidRPr="00C7130A" w:rsidRDefault="002E0EDB" w:rsidP="0081030F"/>
    <w:p w14:paraId="262F2545" w14:textId="6F84223D" w:rsidR="00600158" w:rsidRPr="00C7130A" w:rsidRDefault="00BD30D2" w:rsidP="000558B7">
      <w:pPr>
        <w:pStyle w:val="Heading3"/>
      </w:pPr>
      <w:bookmarkStart w:id="45" w:name="_Toc193030904"/>
      <w:r w:rsidRPr="00C7130A">
        <w:rPr>
          <w:rtl/>
        </w:rPr>
        <w:t>تاريخ مُحدَّد وثابت في الخط الزمني في العهد القديم</w:t>
      </w:r>
      <w:bookmarkEnd w:id="45"/>
    </w:p>
    <w:p w14:paraId="2078E724" w14:textId="40621362" w:rsidR="00BD30D2" w:rsidRPr="00C7130A" w:rsidRDefault="003B5F95" w:rsidP="004626D4">
      <w:pPr>
        <w:rPr>
          <w:rtl/>
        </w:rPr>
      </w:pPr>
      <w:r w:rsidRPr="00C7130A">
        <w:rPr>
          <w:rtl/>
        </w:rPr>
        <w:t>إ</w:t>
      </w:r>
      <w:r w:rsidR="001E2C4C" w:rsidRPr="00C7130A">
        <w:rPr>
          <w:rtl/>
        </w:rPr>
        <w:t>لى أ</w:t>
      </w:r>
      <w:r w:rsidRPr="00C7130A">
        <w:rPr>
          <w:rtl/>
        </w:rPr>
        <w:t>ن يصير علم الآثار قادرًا على أن يزوّدنا بمعلوماتٍ مُحدَّدة وثابتة</w:t>
      </w:r>
      <w:r w:rsidR="001E2C4C" w:rsidRPr="00C7130A">
        <w:rPr>
          <w:rtl/>
        </w:rPr>
        <w:t xml:space="preserve"> ومؤكّدة</w:t>
      </w:r>
      <w:r w:rsidRPr="00C7130A">
        <w:rPr>
          <w:rtl/>
        </w:rPr>
        <w:t>، يمكننا أن نرضى بعدم قدرتنا على أن نحدِّد تاريخ</w:t>
      </w:r>
      <w:r w:rsidR="001E2C4C" w:rsidRPr="00C7130A">
        <w:rPr>
          <w:rtl/>
        </w:rPr>
        <w:t>َ</w:t>
      </w:r>
      <w:r w:rsidRPr="00C7130A">
        <w:rPr>
          <w:rtl/>
        </w:rPr>
        <w:t xml:space="preserve"> حدثَي الخلق والطوفان. وبناءً على ما لدينا من معلومات الآن، نستطيع أن نستنتج أن الأرض "فتيّة نسبيًّا"، أيّ أنّ</w:t>
      </w:r>
      <w:r w:rsidR="001E2C4C" w:rsidRPr="00C7130A">
        <w:rPr>
          <w:rtl/>
        </w:rPr>
        <w:t>ها</w:t>
      </w:r>
      <w:r w:rsidRPr="00C7130A">
        <w:rPr>
          <w:rtl/>
        </w:rPr>
        <w:t xml:space="preserve"> تعود إلى آلاف السنوات، لا ملايين السنين. </w:t>
      </w:r>
    </w:p>
    <w:p w14:paraId="599E5C9D" w14:textId="521BE8DF" w:rsidR="003B5F95" w:rsidRPr="00C7130A" w:rsidRDefault="003B5F95" w:rsidP="004626D4">
      <w:pPr>
        <w:rPr>
          <w:rtl/>
        </w:rPr>
      </w:pPr>
      <w:r w:rsidRPr="00C7130A">
        <w:rPr>
          <w:rtl/>
        </w:rPr>
        <w:t>وباستثناء مسألة تحديد تاريخ</w:t>
      </w:r>
      <w:r w:rsidR="001E2C4C" w:rsidRPr="00C7130A">
        <w:rPr>
          <w:rtl/>
        </w:rPr>
        <w:t>َ</w:t>
      </w:r>
      <w:r w:rsidRPr="00C7130A">
        <w:rPr>
          <w:rtl/>
        </w:rPr>
        <w:t xml:space="preserve">ي حدثَي الخلق والطوفان، يمكننا تحديد تواريخ أحداث العهد القديم بصورة دقيقة وصولًا إلى تاريخ ولادة إبراهيم. </w:t>
      </w:r>
      <w:r w:rsidR="00E26831" w:rsidRPr="00C7130A">
        <w:rPr>
          <w:rtl/>
        </w:rPr>
        <w:t>هذا يتطلّب تاريخًا ثابتًا ليكون نقطة انطلاق، تاريخًا لا يتوافق مع الأحداث الكتابيّة فقط، بل ومع حضارات الشرق الأدنى القديم. نجد هذا في تاريخ "معركة قرقر" التي حدثت عام 853 ق.م.، وهو تاريخ يتوافق مع المعلومات الكتابية والتسلسل الزمني الأشوري. فإذْ نبدأ بهذا التاريخ، يمكننا استخدام المعلومات الكتابي</w:t>
      </w:r>
      <w:r w:rsidR="001E2C4C" w:rsidRPr="00C7130A">
        <w:rPr>
          <w:rtl/>
        </w:rPr>
        <w:t>ّ</w:t>
      </w:r>
      <w:r w:rsidR="00E26831" w:rsidRPr="00C7130A">
        <w:rPr>
          <w:rtl/>
        </w:rPr>
        <w:t xml:space="preserve">ة لتحديد وتقرير </w:t>
      </w:r>
      <w:r w:rsidR="001E2C4C" w:rsidRPr="00C7130A">
        <w:rPr>
          <w:rtl/>
        </w:rPr>
        <w:t xml:space="preserve">التواريخ </w:t>
      </w:r>
      <w:r w:rsidR="00E26831" w:rsidRPr="00C7130A">
        <w:rPr>
          <w:rtl/>
        </w:rPr>
        <w:t>الأخرى. في معركة قرقر، حارب الملك الأشور شلمنأسر الثالث ضد تحالفٍ مُكوَّنٍ من اثني عشرة ملكًا، كان من بينهم هدد عزر ملك دمشق وآخاب ملك إسرائيل. وقد مات الملك آخا</w:t>
      </w:r>
      <w:r w:rsidR="001E2C4C" w:rsidRPr="00C7130A">
        <w:rPr>
          <w:rtl/>
        </w:rPr>
        <w:t>ب</w:t>
      </w:r>
      <w:r w:rsidR="00E26831" w:rsidRPr="00C7130A">
        <w:rPr>
          <w:rtl/>
        </w:rPr>
        <w:t xml:space="preserve"> عام 853 ق.م. بعدَ المعركةِ بفترة قصيرة (1ملوك ملوك 22: 29-40). </w:t>
      </w:r>
      <w:r w:rsidR="00DF2A83" w:rsidRPr="00C7130A">
        <w:rPr>
          <w:rtl/>
        </w:rPr>
        <w:t xml:space="preserve">يُدوَّن الانتصار العسكري للأشوريّين على مسلة الكرخ الحجريّة. </w:t>
      </w:r>
      <w:r w:rsidR="001E2C4C" w:rsidRPr="00C7130A">
        <w:rPr>
          <w:rtl/>
        </w:rPr>
        <w:t>ب</w:t>
      </w:r>
      <w:r w:rsidR="00DF2A83" w:rsidRPr="00C7130A">
        <w:rPr>
          <w:rtl/>
        </w:rPr>
        <w:t xml:space="preserve">الاعتماد على هذا الحدث التاريخي يمكننا أن نحسب تاريخ تنصيب رحبعام مقاليد الحكم، وهو العام 931 ق.م.، وذلك بالاعتماد على تاريخ موت آخاب </w:t>
      </w:r>
      <w:r w:rsidR="00DF2A83" w:rsidRPr="00C7130A">
        <w:rPr>
          <w:rtl/>
        </w:rPr>
        <w:lastRenderedPageBreak/>
        <w:t xml:space="preserve">والتواريخ المعطاة لملوك يهوذا في الكتاب المُقدَّس. وبهذا تكون سنة ارتقاء رحبعام للعرش هي تلك الممتدّة من 1 نيسان إلى 1 تشري في العام 931 ق.م. </w:t>
      </w:r>
    </w:p>
    <w:p w14:paraId="1709A13B" w14:textId="0A38C247" w:rsidR="00DF2A83" w:rsidRPr="00C7130A" w:rsidRDefault="00976D5E" w:rsidP="004626D4">
      <w:pPr>
        <w:rPr>
          <w:rtl/>
        </w:rPr>
      </w:pPr>
      <w:r w:rsidRPr="00C7130A">
        <w:rPr>
          <w:rtl/>
        </w:rPr>
        <w:t xml:space="preserve">ويجد هذا التاريخ دعمًا له في اجتياح شيشق، ملك مصر، عام 925 ق.م. (شيشق الأول الذي حكم في حوالي الفترة 943-922 ق.م.)، </w:t>
      </w:r>
      <w:r w:rsidR="001E2C4C" w:rsidRPr="00C7130A">
        <w:rPr>
          <w:rtl/>
        </w:rPr>
        <w:t>الذي نقرأ عنه</w:t>
      </w:r>
      <w:r w:rsidRPr="00C7130A">
        <w:rPr>
          <w:rtl/>
        </w:rPr>
        <w:t xml:space="preserve"> في 2أخبار 12: 2-9. </w:t>
      </w:r>
      <w:r w:rsidR="007470D9" w:rsidRPr="00C7130A">
        <w:rPr>
          <w:rtl/>
        </w:rPr>
        <w:t>فقد اجتاح كنعان في السنة الخامسة لرحبعام، والتي يُفهَم أنّها السنة الملكيّة الخامسة.</w:t>
      </w:r>
    </w:p>
    <w:p w14:paraId="700A4961" w14:textId="77777777" w:rsidR="000169B2" w:rsidRPr="00C7130A" w:rsidRDefault="000169B2" w:rsidP="00C7130A">
      <w:pPr>
        <w:pStyle w:val="Heading4RED"/>
        <w:rPr>
          <w:rFonts w:cs="Arabic Typesetting"/>
        </w:rPr>
      </w:pPr>
      <w:r w:rsidRPr="00C7130A">
        <w:rPr>
          <w:rFonts w:cs="Arabic Typesetting"/>
        </w:rPr>
        <w:br w:type="page"/>
      </w:r>
    </w:p>
    <w:p w14:paraId="35AE6B33" w14:textId="48BA133A" w:rsidR="009647E9" w:rsidRPr="00C7130A" w:rsidRDefault="007470D9" w:rsidP="000558B7">
      <w:pPr>
        <w:pStyle w:val="Heading3"/>
      </w:pPr>
      <w:bookmarkStart w:id="46" w:name="_Toc193030905"/>
      <w:r w:rsidRPr="00C7130A">
        <w:rPr>
          <w:rtl/>
        </w:rPr>
        <w:lastRenderedPageBreak/>
        <w:t>تحديد تواريخ العهد القديم وصولًا إلى إبراهيم</w:t>
      </w:r>
      <w:bookmarkEnd w:id="46"/>
    </w:p>
    <w:p w14:paraId="63253B68" w14:textId="77777777" w:rsidR="002658F4" w:rsidRPr="00C7130A" w:rsidRDefault="002658F4" w:rsidP="004626D4"/>
    <w:p w14:paraId="77C69F6D" w14:textId="3E81CA00" w:rsidR="007470D9" w:rsidRPr="00C7130A" w:rsidRDefault="007470D9" w:rsidP="004626D4">
      <w:pPr>
        <w:rPr>
          <w:rtl/>
        </w:rPr>
      </w:pPr>
      <w:r w:rsidRPr="00C7130A">
        <w:rPr>
          <w:rtl/>
        </w:rPr>
        <w:t xml:space="preserve">931 ق.م. </w:t>
      </w:r>
      <w:r w:rsidR="00E741E1" w:rsidRPr="00C7130A">
        <w:rPr>
          <w:rtl/>
        </w:rPr>
        <w:tab/>
      </w:r>
      <w:r w:rsidRPr="00C7130A">
        <w:rPr>
          <w:rtl/>
        </w:rPr>
        <w:t xml:space="preserve"> </w:t>
      </w:r>
      <w:r w:rsidRPr="00C7130A">
        <w:rPr>
          <w:rtl/>
        </w:rPr>
        <w:tab/>
        <w:t>تنصيب رحبعام ملكًا ليهوذا</w:t>
      </w:r>
    </w:p>
    <w:p w14:paraId="6E1CA7CF" w14:textId="64D90E4B" w:rsidR="0001335B" w:rsidRPr="00C7130A" w:rsidRDefault="0001335B" w:rsidP="004626D4">
      <w:pPr>
        <w:rPr>
          <w:rtl/>
        </w:rPr>
      </w:pPr>
      <w:r w:rsidRPr="00C7130A">
        <w:rPr>
          <w:rtl/>
        </w:rPr>
        <w:t>+ 40 سنة</w:t>
      </w:r>
      <w:r w:rsidRPr="00C7130A">
        <w:rPr>
          <w:rtl/>
        </w:rPr>
        <w:tab/>
      </w:r>
      <w:r w:rsidR="00E741E1" w:rsidRPr="00C7130A">
        <w:rPr>
          <w:rtl/>
        </w:rPr>
        <w:tab/>
      </w:r>
      <w:r w:rsidRPr="00C7130A">
        <w:rPr>
          <w:rtl/>
        </w:rPr>
        <w:t xml:space="preserve">سنوات حكم سليمان (971-931 ق.م.). انظر 1ملوك 11: 41-43. </w:t>
      </w:r>
    </w:p>
    <w:p w14:paraId="655D8BE5" w14:textId="64A9A27D" w:rsidR="0001335B" w:rsidRPr="00C7130A" w:rsidRDefault="0001335B" w:rsidP="004626D4">
      <w:pPr>
        <w:rPr>
          <w:rtl/>
        </w:rPr>
      </w:pPr>
      <w:r w:rsidRPr="00C7130A">
        <w:rPr>
          <w:rtl/>
        </w:rPr>
        <w:t xml:space="preserve">__________ </w:t>
      </w:r>
    </w:p>
    <w:p w14:paraId="5ACB85BA" w14:textId="7606377F" w:rsidR="0001335B" w:rsidRPr="00C7130A" w:rsidRDefault="0001335B" w:rsidP="004626D4">
      <w:pPr>
        <w:rPr>
          <w:rtl/>
        </w:rPr>
      </w:pPr>
      <w:r w:rsidRPr="00C7130A">
        <w:rPr>
          <w:rtl/>
        </w:rPr>
        <w:t>971 ق.م.</w:t>
      </w:r>
      <w:r w:rsidR="00E741E1" w:rsidRPr="00C7130A">
        <w:rPr>
          <w:rtl/>
        </w:rPr>
        <w:tab/>
      </w:r>
      <w:r w:rsidRPr="00C7130A">
        <w:rPr>
          <w:rtl/>
        </w:rPr>
        <w:t xml:space="preserve"> </w:t>
      </w:r>
      <w:r w:rsidRPr="00C7130A">
        <w:rPr>
          <w:rtl/>
        </w:rPr>
        <w:tab/>
        <w:t xml:space="preserve">تنصيب سليمان ملكًا </w:t>
      </w:r>
    </w:p>
    <w:p w14:paraId="19DE0B9B" w14:textId="678C04B0" w:rsidR="0001335B" w:rsidRPr="00C7130A" w:rsidRDefault="0001335B" w:rsidP="004626D4">
      <w:pPr>
        <w:rPr>
          <w:rtl/>
        </w:rPr>
      </w:pPr>
      <w:r w:rsidRPr="00C7130A">
        <w:rPr>
          <w:rtl/>
        </w:rPr>
        <w:t xml:space="preserve">- 4 سنوات </w:t>
      </w:r>
      <w:r w:rsidR="00E741E1" w:rsidRPr="00C7130A">
        <w:rPr>
          <w:rtl/>
        </w:rPr>
        <w:tab/>
      </w:r>
      <w:r w:rsidRPr="00C7130A">
        <w:rPr>
          <w:rtl/>
        </w:rPr>
        <w:tab/>
        <w:t xml:space="preserve">بدء بناء الهيكل في سنة سليمان الرابع. انظر 1ملوك 6: 1. </w:t>
      </w:r>
    </w:p>
    <w:p w14:paraId="5E834DD7" w14:textId="019CB007" w:rsidR="0001335B" w:rsidRPr="00C7130A" w:rsidRDefault="0001335B" w:rsidP="004626D4">
      <w:pPr>
        <w:rPr>
          <w:rtl/>
        </w:rPr>
      </w:pPr>
      <w:r w:rsidRPr="00C7130A">
        <w:rPr>
          <w:rtl/>
        </w:rPr>
        <w:tab/>
      </w:r>
      <w:r w:rsidR="00E741E1" w:rsidRPr="00C7130A">
        <w:rPr>
          <w:rtl/>
        </w:rPr>
        <w:tab/>
      </w:r>
      <w:r w:rsidRPr="00C7130A">
        <w:rPr>
          <w:rtl/>
        </w:rPr>
        <w:tab/>
        <w:t xml:space="preserve">كانت سنة حكم سليمان الأولى من 1 تشري 971 ق.م. إلى 1تشري 970 ق.م. </w:t>
      </w:r>
    </w:p>
    <w:p w14:paraId="2051B455" w14:textId="7319B915" w:rsidR="0001335B" w:rsidRPr="00C7130A" w:rsidRDefault="0001335B" w:rsidP="004626D4">
      <w:pPr>
        <w:rPr>
          <w:rtl/>
        </w:rPr>
      </w:pPr>
      <w:r w:rsidRPr="00C7130A">
        <w:rPr>
          <w:rtl/>
        </w:rPr>
        <w:tab/>
      </w:r>
      <w:r w:rsidR="00E741E1" w:rsidRPr="00C7130A">
        <w:rPr>
          <w:rtl/>
        </w:rPr>
        <w:tab/>
      </w:r>
      <w:r w:rsidRPr="00C7130A">
        <w:rPr>
          <w:rtl/>
        </w:rPr>
        <w:tab/>
        <w:t xml:space="preserve">بدء العمل في بناء الهيكل في الشهر الثاني من السنة الرابعة (سنة مُلكه الرابعة)، أي ربيع العام 967 ق.م. </w:t>
      </w:r>
    </w:p>
    <w:p w14:paraId="2FF1A392" w14:textId="611E2776" w:rsidR="0001335B" w:rsidRPr="00C7130A" w:rsidRDefault="0001335B" w:rsidP="004626D4">
      <w:pPr>
        <w:rPr>
          <w:rtl/>
        </w:rPr>
      </w:pPr>
      <w:r w:rsidRPr="00C7130A">
        <w:rPr>
          <w:rtl/>
        </w:rPr>
        <w:t xml:space="preserve">___________ </w:t>
      </w:r>
    </w:p>
    <w:p w14:paraId="5CDCD4E6" w14:textId="3CB35C41" w:rsidR="0001335B" w:rsidRPr="00C7130A" w:rsidRDefault="0001335B" w:rsidP="004626D4">
      <w:pPr>
        <w:rPr>
          <w:rtl/>
        </w:rPr>
      </w:pPr>
      <w:r w:rsidRPr="00C7130A">
        <w:rPr>
          <w:rtl/>
        </w:rPr>
        <w:t xml:space="preserve">967 ق.م. </w:t>
      </w:r>
      <w:r w:rsidR="00E741E1" w:rsidRPr="00C7130A">
        <w:rPr>
          <w:rtl/>
        </w:rPr>
        <w:tab/>
      </w:r>
      <w:r w:rsidRPr="00C7130A">
        <w:rPr>
          <w:rtl/>
        </w:rPr>
        <w:tab/>
        <w:t xml:space="preserve">بدء بناء هيكل سليمان </w:t>
      </w:r>
    </w:p>
    <w:p w14:paraId="722AFD7A" w14:textId="47E70374" w:rsidR="0001335B" w:rsidRPr="00C7130A" w:rsidRDefault="0001335B" w:rsidP="004626D4">
      <w:pPr>
        <w:rPr>
          <w:rtl/>
        </w:rPr>
      </w:pPr>
      <w:r w:rsidRPr="00C7130A">
        <w:rPr>
          <w:rtl/>
        </w:rPr>
        <w:t>+ 479 سنة</w:t>
      </w:r>
      <w:r w:rsidRPr="00C7130A">
        <w:rPr>
          <w:rtl/>
        </w:rPr>
        <w:tab/>
      </w:r>
      <w:r w:rsidR="00E741E1" w:rsidRPr="00C7130A">
        <w:rPr>
          <w:rtl/>
        </w:rPr>
        <w:tab/>
      </w:r>
      <w:r w:rsidRPr="00C7130A">
        <w:rPr>
          <w:rtl/>
        </w:rPr>
        <w:t xml:space="preserve">السنوات من الخروج إلى بدء بناء الهيكل (بحسب 1ملوك 6: 1). </w:t>
      </w:r>
    </w:p>
    <w:p w14:paraId="585E8258" w14:textId="047C4AD1" w:rsidR="0001335B" w:rsidRPr="00C7130A" w:rsidRDefault="0001335B" w:rsidP="004626D4">
      <w:pPr>
        <w:rPr>
          <w:rtl/>
        </w:rPr>
      </w:pPr>
      <w:r w:rsidRPr="00C7130A">
        <w:rPr>
          <w:rtl/>
        </w:rPr>
        <w:tab/>
      </w:r>
      <w:r w:rsidRPr="00C7130A">
        <w:rPr>
          <w:rtl/>
        </w:rPr>
        <w:tab/>
      </w:r>
      <w:r w:rsidR="00E741E1" w:rsidRPr="00C7130A">
        <w:rPr>
          <w:rtl/>
        </w:rPr>
        <w:tab/>
      </w:r>
      <w:r w:rsidRPr="00C7130A">
        <w:rPr>
          <w:rtl/>
        </w:rPr>
        <w:t xml:space="preserve">لأنّه بُدئ ببناء الهيكل في السنة 480 لخروج الشعب من مصر، فقد اكتملت 479 سنة منذُ ذلك الوقت. </w:t>
      </w:r>
    </w:p>
    <w:p w14:paraId="3323CC8C" w14:textId="2F4EE6F4" w:rsidR="0001335B" w:rsidRPr="00C7130A" w:rsidRDefault="0001335B" w:rsidP="004626D4">
      <w:pPr>
        <w:rPr>
          <w:rtl/>
        </w:rPr>
      </w:pPr>
      <w:r w:rsidRPr="00C7130A">
        <w:rPr>
          <w:rtl/>
        </w:rPr>
        <w:tab/>
      </w:r>
      <w:r w:rsidR="00E741E1" w:rsidRPr="00C7130A">
        <w:rPr>
          <w:rtl/>
        </w:rPr>
        <w:tab/>
      </w:r>
      <w:r w:rsidRPr="00C7130A">
        <w:rPr>
          <w:rtl/>
        </w:rPr>
        <w:tab/>
        <w:t xml:space="preserve">[لاحظ أن الترجمة السبعينيّة تُشير إلى مرور 440 سنة بدلًا من 480 سنة.] </w:t>
      </w:r>
    </w:p>
    <w:p w14:paraId="0373E0F5" w14:textId="1BCB5A00" w:rsidR="0001335B" w:rsidRPr="00C7130A" w:rsidRDefault="0001335B" w:rsidP="004626D4">
      <w:pPr>
        <w:rPr>
          <w:rtl/>
        </w:rPr>
      </w:pPr>
      <w:r w:rsidRPr="00C7130A">
        <w:rPr>
          <w:rtl/>
        </w:rPr>
        <w:t xml:space="preserve">_________ </w:t>
      </w:r>
    </w:p>
    <w:p w14:paraId="634878F5" w14:textId="00FEECDF" w:rsidR="0001335B" w:rsidRPr="00C7130A" w:rsidRDefault="0001335B" w:rsidP="004626D4">
      <w:pPr>
        <w:rPr>
          <w:rtl/>
        </w:rPr>
      </w:pPr>
      <w:r w:rsidRPr="00C7130A">
        <w:rPr>
          <w:rtl/>
        </w:rPr>
        <w:t xml:space="preserve">1446 ق.م. </w:t>
      </w:r>
      <w:r w:rsidR="00E741E1" w:rsidRPr="00C7130A">
        <w:rPr>
          <w:rtl/>
        </w:rPr>
        <w:tab/>
      </w:r>
      <w:r w:rsidRPr="00C7130A">
        <w:rPr>
          <w:rtl/>
        </w:rPr>
        <w:t xml:space="preserve">تاريخ الخروج. [في شهر نيسان، الذي يقابل الشهرين آذار/ نيسان من العام 1446 ق.م.] </w:t>
      </w:r>
    </w:p>
    <w:p w14:paraId="13F85960" w14:textId="22FAA291" w:rsidR="0001335B" w:rsidRPr="00C7130A" w:rsidRDefault="00E741E1" w:rsidP="004626D4">
      <w:pPr>
        <w:rPr>
          <w:rtl/>
          <w:lang w:bidi="ar-JO"/>
        </w:rPr>
      </w:pPr>
      <w:r w:rsidRPr="00C7130A">
        <w:rPr>
          <w:rtl/>
          <w:lang w:bidi="ar-JO"/>
        </w:rPr>
        <w:t xml:space="preserve">+ 430 سنة </w:t>
      </w:r>
      <w:r w:rsidRPr="00C7130A">
        <w:rPr>
          <w:rtl/>
          <w:lang w:bidi="ar-JO"/>
        </w:rPr>
        <w:tab/>
        <w:t xml:space="preserve">السنوات التي قضاها "بنو إسرائيل" في مصر. انظر خروج 12: 40-41. </w:t>
      </w:r>
    </w:p>
    <w:p w14:paraId="043B600F" w14:textId="7C0E3447" w:rsidR="00E741E1" w:rsidRPr="00C7130A" w:rsidRDefault="00E741E1" w:rsidP="004626D4">
      <w:pPr>
        <w:rPr>
          <w:rtl/>
          <w:lang w:bidi="ar-JO"/>
        </w:rPr>
      </w:pPr>
      <w:r w:rsidRPr="00C7130A">
        <w:rPr>
          <w:rtl/>
          <w:lang w:bidi="ar-JO"/>
        </w:rPr>
        <w:tab/>
      </w:r>
      <w:r w:rsidRPr="00C7130A">
        <w:rPr>
          <w:rtl/>
          <w:lang w:bidi="ar-JO"/>
        </w:rPr>
        <w:tab/>
      </w:r>
      <w:r w:rsidRPr="00C7130A">
        <w:rPr>
          <w:rtl/>
          <w:lang w:bidi="ar-JO"/>
        </w:rPr>
        <w:tab/>
        <w:t xml:space="preserve">تُضيف الترجمة السبعينيّة الكلمات "وفي أرض كنعان" في خروج 12: 40، وعلى هذا الأساس يستخدم بعض العلماء الرقم 215 سنة بدلاً من 430 باعتبارها الفترة التي قضوها في مصر. أنا أقبل النص الماسوري العبري، وأستخدم الرقم 430 سنة. </w:t>
      </w:r>
    </w:p>
    <w:p w14:paraId="47F879D5" w14:textId="09468A3D" w:rsidR="00E741E1" w:rsidRPr="00C7130A" w:rsidRDefault="00E741E1" w:rsidP="004626D4">
      <w:pPr>
        <w:rPr>
          <w:rtl/>
          <w:lang w:bidi="ar-JO"/>
        </w:rPr>
      </w:pPr>
      <w:r w:rsidRPr="00C7130A">
        <w:rPr>
          <w:rtl/>
          <w:lang w:bidi="ar-JO"/>
        </w:rPr>
        <w:t>____________</w:t>
      </w:r>
    </w:p>
    <w:p w14:paraId="7231EE78" w14:textId="7FBCAE38" w:rsidR="00E741E1" w:rsidRPr="00C7130A" w:rsidRDefault="00E741E1" w:rsidP="004626D4">
      <w:pPr>
        <w:rPr>
          <w:rtl/>
          <w:lang w:bidi="ar-JO"/>
        </w:rPr>
      </w:pPr>
      <w:r w:rsidRPr="00C7130A">
        <w:rPr>
          <w:rtl/>
          <w:lang w:bidi="ar-JO"/>
        </w:rPr>
        <w:t xml:space="preserve">1876 ق.م. </w:t>
      </w:r>
      <w:r w:rsidR="00012DCC" w:rsidRPr="00C7130A">
        <w:rPr>
          <w:lang w:bidi="ar-JO"/>
        </w:rPr>
        <w:tab/>
      </w:r>
      <w:r w:rsidR="00012DCC" w:rsidRPr="00C7130A">
        <w:rPr>
          <w:rtl/>
          <w:lang w:bidi="ar-JO"/>
        </w:rPr>
        <w:t xml:space="preserve">السنة التي دخل فيها العبرانيّون إلى مصر بصورة رسميّة. </w:t>
      </w:r>
    </w:p>
    <w:p w14:paraId="047487E5" w14:textId="2D17EDCB" w:rsidR="00012DCC" w:rsidRPr="00C7130A" w:rsidRDefault="00012DCC" w:rsidP="004626D4">
      <w:pPr>
        <w:rPr>
          <w:rtl/>
          <w:lang w:bidi="ar-JO"/>
        </w:rPr>
      </w:pPr>
      <w:r w:rsidRPr="00C7130A">
        <w:rPr>
          <w:rtl/>
          <w:lang w:bidi="ar-JO"/>
        </w:rPr>
        <w:tab/>
      </w:r>
      <w:r w:rsidRPr="00C7130A">
        <w:rPr>
          <w:rtl/>
          <w:lang w:bidi="ar-JO"/>
        </w:rPr>
        <w:tab/>
      </w:r>
      <w:r w:rsidRPr="00C7130A">
        <w:rPr>
          <w:rtl/>
          <w:lang w:bidi="ar-JO"/>
        </w:rPr>
        <w:tab/>
        <w:t xml:space="preserve">هذا هو الوقت الذي فيه أتى يعقوب وكلّ عائلته إلى مصر، حين مثل يعقوب أمام فرعون. </w:t>
      </w:r>
    </w:p>
    <w:p w14:paraId="0A0A4BB5" w14:textId="55E7240D" w:rsidR="00012DCC" w:rsidRPr="00C7130A" w:rsidRDefault="00012DCC" w:rsidP="004626D4">
      <w:pPr>
        <w:rPr>
          <w:rtl/>
          <w:lang w:bidi="ar-JO"/>
        </w:rPr>
      </w:pPr>
      <w:r w:rsidRPr="00C7130A">
        <w:rPr>
          <w:rtl/>
          <w:lang w:bidi="ar-JO"/>
        </w:rPr>
        <w:lastRenderedPageBreak/>
        <w:tab/>
      </w:r>
      <w:r w:rsidRPr="00C7130A">
        <w:rPr>
          <w:rtl/>
          <w:lang w:bidi="ar-JO"/>
        </w:rPr>
        <w:tab/>
      </w:r>
      <w:r w:rsidRPr="00C7130A">
        <w:rPr>
          <w:rtl/>
          <w:lang w:bidi="ar-JO"/>
        </w:rPr>
        <w:tab/>
        <w:t xml:space="preserve">انظر تكوين 47: 7-9، وقارن مع أعمال الرسال 7: 11-15. </w:t>
      </w:r>
    </w:p>
    <w:p w14:paraId="1F5EFA1D" w14:textId="27CF6D98" w:rsidR="00012DCC" w:rsidRPr="00C7130A" w:rsidRDefault="00012DCC" w:rsidP="004626D4">
      <w:pPr>
        <w:rPr>
          <w:rtl/>
          <w:lang w:bidi="ar-JO"/>
        </w:rPr>
      </w:pPr>
      <w:r w:rsidRPr="00C7130A">
        <w:rPr>
          <w:rtl/>
          <w:lang w:bidi="ar-JO"/>
        </w:rPr>
        <w:t xml:space="preserve">+ 130 سنة </w:t>
      </w:r>
      <w:r w:rsidRPr="00C7130A">
        <w:rPr>
          <w:rtl/>
          <w:lang w:bidi="ar-JO"/>
        </w:rPr>
        <w:tab/>
        <w:t xml:space="preserve">عمر يعقوب حين مثل أمام فرعون (تكوين 47: 7-9).  </w:t>
      </w:r>
    </w:p>
    <w:p w14:paraId="5BAC1D6F" w14:textId="7EC646E6" w:rsidR="00012DCC" w:rsidRPr="00C7130A" w:rsidRDefault="00012DCC" w:rsidP="004626D4">
      <w:pPr>
        <w:rPr>
          <w:rtl/>
          <w:lang w:bidi="ar-JO"/>
        </w:rPr>
      </w:pPr>
      <w:r w:rsidRPr="00C7130A">
        <w:rPr>
          <w:rtl/>
          <w:lang w:bidi="ar-JO"/>
        </w:rPr>
        <w:t xml:space="preserve">_________ </w:t>
      </w:r>
    </w:p>
    <w:p w14:paraId="179ADB6B" w14:textId="377507DF" w:rsidR="00012DCC" w:rsidRPr="00C7130A" w:rsidRDefault="00012DCC" w:rsidP="004626D4">
      <w:pPr>
        <w:rPr>
          <w:rtl/>
          <w:lang w:bidi="ar-JO"/>
        </w:rPr>
      </w:pPr>
      <w:r w:rsidRPr="00C7130A">
        <w:rPr>
          <w:rtl/>
          <w:lang w:bidi="ar-JO"/>
        </w:rPr>
        <w:t xml:space="preserve">2006 ق.م. </w:t>
      </w:r>
      <w:r w:rsidRPr="00C7130A">
        <w:rPr>
          <w:rtl/>
          <w:lang w:bidi="ar-JO"/>
        </w:rPr>
        <w:tab/>
        <w:t xml:space="preserve">سنة ولادة يعقوب </w:t>
      </w:r>
    </w:p>
    <w:p w14:paraId="1FBBB541" w14:textId="0272897F" w:rsidR="00012DCC" w:rsidRPr="00C7130A" w:rsidRDefault="00F942C7" w:rsidP="004626D4">
      <w:pPr>
        <w:rPr>
          <w:rtl/>
          <w:lang w:bidi="ar-JO"/>
        </w:rPr>
      </w:pPr>
      <w:r w:rsidRPr="00C7130A">
        <w:rPr>
          <w:rtl/>
          <w:lang w:bidi="ar-JO"/>
        </w:rPr>
        <w:t xml:space="preserve">+ 60 سنة </w:t>
      </w:r>
      <w:r w:rsidRPr="00C7130A">
        <w:rPr>
          <w:rtl/>
          <w:lang w:bidi="ar-JO"/>
        </w:rPr>
        <w:tab/>
      </w:r>
      <w:r w:rsidRPr="00C7130A">
        <w:rPr>
          <w:rtl/>
          <w:lang w:bidi="ar-JO"/>
        </w:rPr>
        <w:tab/>
        <w:t xml:space="preserve">عمر إسحاق حين وُلِد يعقوب (انظر تكوين 25: 26) </w:t>
      </w:r>
    </w:p>
    <w:p w14:paraId="649CB891" w14:textId="536F591B" w:rsidR="00F942C7" w:rsidRPr="00C7130A" w:rsidRDefault="00F942C7" w:rsidP="004626D4">
      <w:pPr>
        <w:rPr>
          <w:lang w:bidi="ar-JO"/>
        </w:rPr>
      </w:pPr>
      <w:r w:rsidRPr="00C7130A">
        <w:rPr>
          <w:rtl/>
          <w:lang w:bidi="ar-JO"/>
        </w:rPr>
        <w:t xml:space="preserve">________ </w:t>
      </w:r>
    </w:p>
    <w:p w14:paraId="3668DF56" w14:textId="58BA0D89" w:rsidR="0001335B" w:rsidRPr="00C7130A" w:rsidRDefault="00F942C7" w:rsidP="004626D4">
      <w:pPr>
        <w:rPr>
          <w:rtl/>
          <w:lang w:bidi="ar-JO"/>
        </w:rPr>
      </w:pPr>
      <w:r w:rsidRPr="00C7130A">
        <w:rPr>
          <w:rtl/>
          <w:lang w:bidi="ar-JO"/>
        </w:rPr>
        <w:t xml:space="preserve">2066 ق.م. </w:t>
      </w:r>
      <w:r w:rsidRPr="00C7130A">
        <w:rPr>
          <w:rtl/>
          <w:lang w:bidi="ar-JO"/>
        </w:rPr>
        <w:tab/>
        <w:t xml:space="preserve">سنة ولادة إسحاق </w:t>
      </w:r>
    </w:p>
    <w:p w14:paraId="74A62E63" w14:textId="537F47F9" w:rsidR="00F942C7" w:rsidRPr="00C7130A" w:rsidRDefault="00F942C7" w:rsidP="004626D4">
      <w:pPr>
        <w:rPr>
          <w:rtl/>
          <w:lang w:bidi="ar-JO"/>
        </w:rPr>
      </w:pPr>
      <w:r w:rsidRPr="00C7130A">
        <w:rPr>
          <w:rtl/>
          <w:lang w:bidi="ar-JO"/>
        </w:rPr>
        <w:t xml:space="preserve">+ 100 سنة </w:t>
      </w:r>
      <w:r w:rsidRPr="00C7130A">
        <w:rPr>
          <w:rtl/>
          <w:lang w:bidi="ar-JO"/>
        </w:rPr>
        <w:tab/>
        <w:t xml:space="preserve">عمر أبراهيم (الذي تغيَّر اسمه لاحقًا إلى إبراهيم) وقت ولادة إسحاق (انظر تكوين 21: 5) </w:t>
      </w:r>
    </w:p>
    <w:p w14:paraId="54F8FF43" w14:textId="0550287D" w:rsidR="00F942C7" w:rsidRPr="00C7130A" w:rsidRDefault="00F942C7" w:rsidP="004626D4">
      <w:pPr>
        <w:rPr>
          <w:rtl/>
          <w:lang w:bidi="ar-JO"/>
        </w:rPr>
      </w:pPr>
      <w:r w:rsidRPr="00C7130A">
        <w:rPr>
          <w:rtl/>
          <w:lang w:bidi="ar-JO"/>
        </w:rPr>
        <w:t xml:space="preserve">________ </w:t>
      </w:r>
    </w:p>
    <w:p w14:paraId="6F2DF66F" w14:textId="1448CC04" w:rsidR="00F942C7" w:rsidRPr="00C7130A" w:rsidRDefault="00F942C7" w:rsidP="004626D4">
      <w:pPr>
        <w:rPr>
          <w:rtl/>
          <w:lang w:bidi="ar-JO"/>
        </w:rPr>
      </w:pPr>
      <w:r w:rsidRPr="00C7130A">
        <w:rPr>
          <w:b/>
          <w:bCs/>
          <w:rtl/>
          <w:lang w:bidi="ar-JO"/>
        </w:rPr>
        <w:t xml:space="preserve">2166 ق.م. </w:t>
      </w:r>
      <w:r w:rsidRPr="00C7130A">
        <w:rPr>
          <w:b/>
          <w:bCs/>
          <w:rtl/>
          <w:lang w:bidi="ar-JO"/>
        </w:rPr>
        <w:tab/>
        <w:t>سنة ولادة أبرام [عاش أبرام 175 سنوات</w:t>
      </w:r>
      <w:r w:rsidRPr="00C7130A">
        <w:rPr>
          <w:rtl/>
          <w:lang w:bidi="ar-JO"/>
        </w:rPr>
        <w:t xml:space="preserve"> (تكوين 25: 7)، 2166-1991 ق.م. </w:t>
      </w:r>
    </w:p>
    <w:p w14:paraId="4BCAD34B" w14:textId="77777777" w:rsidR="0001335B" w:rsidRPr="00C7130A" w:rsidRDefault="0001335B" w:rsidP="004626D4">
      <w:pPr>
        <w:rPr>
          <w:rtl/>
        </w:rPr>
      </w:pPr>
    </w:p>
    <w:p w14:paraId="456D8135" w14:textId="6462E3E7" w:rsidR="00F942C7" w:rsidRPr="00C7130A" w:rsidRDefault="00F942C7" w:rsidP="004626D4">
      <w:pPr>
        <w:rPr>
          <w:rtl/>
          <w:lang w:bidi="ar-JO"/>
        </w:rPr>
      </w:pPr>
      <w:r w:rsidRPr="00C7130A">
        <w:rPr>
          <w:b/>
          <w:bCs/>
          <w:rtl/>
        </w:rPr>
        <w:t>مشكلة</w:t>
      </w:r>
      <w:r w:rsidRPr="00C7130A">
        <w:rPr>
          <w:rtl/>
        </w:rPr>
        <w:t xml:space="preserve">: </w:t>
      </w:r>
      <w:r w:rsidR="003403AE" w:rsidRPr="00C7130A">
        <w:rPr>
          <w:rtl/>
          <w:lang w:bidi="ar-JO"/>
        </w:rPr>
        <w:t xml:space="preserve">لا نعرف كم كان عمر تارح، أبي أبرام، حين ولده. ليس النص الكتابي واضحًا بشأن متى ولد أبرام. </w:t>
      </w:r>
    </w:p>
    <w:p w14:paraId="226596ED" w14:textId="1B5F13E1" w:rsidR="003403AE" w:rsidRPr="00C7130A" w:rsidRDefault="003403AE" w:rsidP="004626D4">
      <w:pPr>
        <w:rPr>
          <w:rtl/>
          <w:lang w:bidi="ar-JO"/>
        </w:rPr>
      </w:pPr>
      <w:r w:rsidRPr="00C7130A">
        <w:rPr>
          <w:rtl/>
          <w:lang w:bidi="ar-JO"/>
        </w:rPr>
        <w:t xml:space="preserve">يُشير تكوين 11: 26 إلى أن تارح كان بعمر السبعين حين صار أبا أبرام وناحور وهاران. ولكنْ لدينا هنا صعوبة إن افترضنا أن إبراهيم كان بكر تارح. فبحسب تكوين 12: 4، كان أبرام في الخامسة والسبعين من عمره حين ترك حاران ذاهبًا إلى كنعان، عام 2091 ق.م. ولكنْ بحسب سفر </w:t>
      </w:r>
      <w:r w:rsidR="002723B1" w:rsidRPr="00C7130A">
        <w:rPr>
          <w:rtl/>
          <w:lang w:bidi="ar-JO"/>
        </w:rPr>
        <w:t>الأعمال</w:t>
      </w:r>
      <w:r w:rsidRPr="00C7130A">
        <w:rPr>
          <w:rtl/>
          <w:lang w:bidi="ar-JO"/>
        </w:rPr>
        <w:t xml:space="preserve"> 7: 4، ترك أبرام حاران بعد أنْ كان أبوه قد مات. ويُخبِرنا سفر التكوين 11: 32 أن</w:t>
      </w:r>
      <w:r w:rsidR="002723B1" w:rsidRPr="00C7130A">
        <w:rPr>
          <w:rtl/>
          <w:lang w:bidi="ar-JO"/>
        </w:rPr>
        <w:t>ّ</w:t>
      </w:r>
      <w:r w:rsidRPr="00C7130A">
        <w:rPr>
          <w:rtl/>
          <w:lang w:bidi="ar-JO"/>
        </w:rPr>
        <w:t xml:space="preserve"> تارح مات بعمر 205 سنة. وبهذا، من غير الممكن أن تارح كان بعمر السبعين عند ولادة أبرام، ويكون أيضًا قد مات قبل أن غادر أبرام حاران. بالاعتم</w:t>
      </w:r>
      <w:r w:rsidR="002723B1" w:rsidRPr="00C7130A">
        <w:rPr>
          <w:rtl/>
          <w:lang w:bidi="ar-JO"/>
        </w:rPr>
        <w:t>ا</w:t>
      </w:r>
      <w:r w:rsidRPr="00C7130A">
        <w:rPr>
          <w:rtl/>
          <w:lang w:bidi="ar-JO"/>
        </w:rPr>
        <w:t>د على هذه المعلومات، فإنّ آخر تاريخ يمكن أن يكون تارح قد وُلِد فيه سيكون قبل 205 سنة من مغادرة أبرام حاران، أي 2296 ق.م. (2091 ق.م. + 205 سنة). ولحسا</w:t>
      </w:r>
      <w:r w:rsidR="002723B1" w:rsidRPr="00C7130A">
        <w:rPr>
          <w:rtl/>
          <w:lang w:bidi="ar-JO"/>
        </w:rPr>
        <w:t>ب</w:t>
      </w:r>
      <w:r w:rsidRPr="00C7130A">
        <w:rPr>
          <w:rtl/>
          <w:lang w:bidi="ar-JO"/>
        </w:rPr>
        <w:t xml:space="preserve"> أبكر وقت يمكن أن يكون تارح وُلِد فيه، نحتاج </w:t>
      </w:r>
      <w:r w:rsidR="002723B1" w:rsidRPr="00C7130A">
        <w:rPr>
          <w:rtl/>
          <w:lang w:bidi="ar-JO"/>
        </w:rPr>
        <w:t xml:space="preserve">إلى </w:t>
      </w:r>
      <w:r w:rsidRPr="00C7130A">
        <w:rPr>
          <w:rtl/>
          <w:lang w:bidi="ar-JO"/>
        </w:rPr>
        <w:t>أن نضع في حسابنا سارة، زوجة أبرام. غادر تارح أور إلى حاران بعد أن تزوّج أبرام وسارة (بحسب تكوين 11: 31). ونعرف من تكوين 17: 17 أن</w:t>
      </w:r>
      <w:r w:rsidR="002723B1" w:rsidRPr="00C7130A">
        <w:rPr>
          <w:rtl/>
          <w:lang w:bidi="ar-JO"/>
        </w:rPr>
        <w:t>ّ</w:t>
      </w:r>
      <w:r w:rsidRPr="00C7130A">
        <w:rPr>
          <w:rtl/>
          <w:lang w:bidi="ar-JO"/>
        </w:rPr>
        <w:t xml:space="preserve"> سارة كانت أصغر من أبرام بعشر سنوات، ونعرف من تكوين 23: 1 أنّها ماتت بعمر 127 سنة. فإن كان أبرام قد وُلِد عام 2166 ق.م.، فإن</w:t>
      </w:r>
      <w:r w:rsidR="002723B1" w:rsidRPr="00C7130A">
        <w:rPr>
          <w:rtl/>
          <w:lang w:bidi="ar-JO"/>
        </w:rPr>
        <w:t>َّ</w:t>
      </w:r>
      <w:r w:rsidRPr="00C7130A">
        <w:rPr>
          <w:rtl/>
          <w:lang w:bidi="ar-JO"/>
        </w:rPr>
        <w:t xml:space="preserve"> سارة تكون قد عاشت في الفترة 2156-2029 ق.م. لا نعرف كم كان عمر سارة حين تزوّجت بأبرام، ولكنّ الراجح أنّنا نستطيع أن نفترض أنّها كانت بعمر الخمسة عشر على الأقلّ. ولذا، فقد تزوّج أبرام من سارة على الأقل في العام 2141 ق.م. (2156 ق.م. – 15 سنة)، وانتقل تارح والعائلة إلى حاران في وقتٍ ما بعد العام 2141 (من المحتمل بعد عدّة سنوات). ولذا، نستنتج أن تارح مات في وقتٍ ما بين العام 2141 ق.م. (أبكر وقت محتمل لزواج إبراهيم) والعام 2091</w:t>
      </w:r>
      <w:r w:rsidR="008A4F92" w:rsidRPr="00C7130A">
        <w:rPr>
          <w:rtl/>
          <w:lang w:bidi="ar-JO"/>
        </w:rPr>
        <w:t xml:space="preserve"> ق.م. (حين غادر أبرام حاران إلى كنعان). ولأن تارح مات بعمر 205 سنوات (تكوين 11: 32)، فإن أبكر وقتٍ يمكن أن يكون قد وُلِد به هو </w:t>
      </w:r>
      <w:r w:rsidR="008A4F92" w:rsidRPr="00C7130A">
        <w:rPr>
          <w:rtl/>
          <w:lang w:bidi="ar-JO"/>
        </w:rPr>
        <w:lastRenderedPageBreak/>
        <w:t xml:space="preserve">2346 ق.م. (2141 ق.م. + 205)، وآخر وقتٍ ممكن لولادته هو العام 2346 ق.م. (2091 ق.م. + 205 سنة)، أي بفارق 50 سنة. أو يمكننا أن نقول إن تارح وُلِد عام 2321 </w:t>
      </w:r>
      <w:r w:rsidR="00475F98" w:rsidRPr="00C7130A">
        <w:rPr>
          <w:rFonts w:eastAsia="Calibri"/>
        </w:rPr>
        <w:t>±</w:t>
      </w:r>
      <w:r w:rsidR="00475F98" w:rsidRPr="00C7130A">
        <w:rPr>
          <w:rFonts w:eastAsia="Calibri"/>
          <w:rtl/>
        </w:rPr>
        <w:t xml:space="preserve"> 25 سنة (ما بين 2346 و2296 ق.م.). </w:t>
      </w:r>
    </w:p>
    <w:p w14:paraId="227BAC72" w14:textId="27815F21" w:rsidR="00F942C7" w:rsidRPr="00C7130A" w:rsidRDefault="00F942C7" w:rsidP="004626D4">
      <w:pPr>
        <w:rPr>
          <w:rtl/>
        </w:rPr>
      </w:pPr>
    </w:p>
    <w:p w14:paraId="292B4444" w14:textId="7520F307" w:rsidR="00475F98" w:rsidRPr="00C7130A" w:rsidRDefault="00475F98" w:rsidP="004626D4">
      <w:pPr>
        <w:rPr>
          <w:rtl/>
        </w:rPr>
      </w:pPr>
      <w:r w:rsidRPr="00C7130A">
        <w:rPr>
          <w:rtl/>
        </w:rPr>
        <w:t>الاستنتاج</w:t>
      </w:r>
    </w:p>
    <w:p w14:paraId="160BAD66" w14:textId="2F6AA4AC" w:rsidR="00F942C7" w:rsidRPr="00C7130A" w:rsidRDefault="00475F98" w:rsidP="004626D4">
      <w:pPr>
        <w:rPr>
          <w:rtl/>
        </w:rPr>
      </w:pPr>
      <w:r w:rsidRPr="00C7130A">
        <w:rPr>
          <w:rtl/>
        </w:rPr>
        <w:t xml:space="preserve">بالاعتماد على الأسباب المذكورة أعلاه، يمكننا أن نقدِّر أن إبراهيم وُلِد عام 2166 ق.م.، وأنّه دخل إلى أرض كنعان حوالي العام 2091 ق.م. وقد حدث الخروج عام 1446 ق.م.، وبدأ سليمان في بناء الهيكل 967 ق.م. ويمكن تحديد تواريخ أحداث العهد القديم الأخرى وفترات حكم الملوك نتيجة لهذه المعلومات والبيانات. </w:t>
      </w:r>
    </w:p>
    <w:p w14:paraId="50EF01C7" w14:textId="0CC791C7" w:rsidR="00475F98" w:rsidRPr="00C7130A" w:rsidRDefault="002658F4" w:rsidP="004626D4">
      <w:r w:rsidRPr="00C7130A">
        <w:br/>
      </w:r>
    </w:p>
    <w:p w14:paraId="2DDB7389" w14:textId="293C3274" w:rsidR="00060AF9" w:rsidRPr="00C7130A" w:rsidRDefault="00060AF9" w:rsidP="004626D4"/>
    <w:bookmarkEnd w:id="29"/>
    <w:p w14:paraId="34F8A2F7" w14:textId="44D4C0EB" w:rsidR="00301B31" w:rsidRPr="00C7130A" w:rsidRDefault="004F04B0" w:rsidP="00C7130A">
      <w:pPr>
        <w:jc w:val="center"/>
      </w:pPr>
      <w:r w:rsidRPr="00C7130A">
        <w:object w:dxaOrig="5407" w:dyaOrig="7794" w14:anchorId="4A177C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0.4pt;height:634.2pt" o:ole="">
            <v:imagedata r:id="rId10" o:title=""/>
          </v:shape>
          <o:OLEObject Type="Embed" ProgID="PowerPoint.Show.12" ShapeID="_x0000_i1025" DrawAspect="Content" ObjectID="_1803892140" r:id="rId11"/>
        </w:object>
      </w:r>
    </w:p>
    <w:p w14:paraId="68C8033C" w14:textId="741B07AA" w:rsidR="00301B31" w:rsidRPr="00C7130A" w:rsidRDefault="008B07C5" w:rsidP="00C7130A">
      <w:r w:rsidRPr="00C7130A">
        <w:object w:dxaOrig="7811" w:dyaOrig="5396" w14:anchorId="0967C6DB">
          <v:shape id="_x0000_i1026" type="#_x0000_t75" style="width:468.6pt;height:324pt" o:ole="">
            <v:imagedata r:id="rId12" o:title=""/>
          </v:shape>
          <o:OLEObject Type="Embed" ProgID="PowerPoint.Show.8" ShapeID="_x0000_i1026" DrawAspect="Content" ObjectID="_1803892141" r:id="rId13"/>
        </w:object>
      </w:r>
    </w:p>
    <w:p w14:paraId="2F69CE79" w14:textId="77777777" w:rsidR="00672805" w:rsidRDefault="00672805" w:rsidP="000558B7">
      <w:pPr>
        <w:pStyle w:val="Heading2B"/>
        <w:rPr>
          <w:rtl/>
        </w:rPr>
      </w:pPr>
      <w:bookmarkStart w:id="47" w:name="_Toc193030906"/>
    </w:p>
    <w:p w14:paraId="54814328" w14:textId="028B2728" w:rsidR="00C04279" w:rsidRPr="00C7130A" w:rsidRDefault="00C04279" w:rsidP="000558B7">
      <w:pPr>
        <w:pStyle w:val="Heading2B"/>
        <w:rPr>
          <w:rtl/>
        </w:rPr>
      </w:pPr>
      <w:r w:rsidRPr="00C7130A">
        <w:rPr>
          <w:rtl/>
        </w:rPr>
        <w:t>الموضوع 3: جغرافيّة الشرق الأدنى القديم وخارطته</w:t>
      </w:r>
      <w:bookmarkStart w:id="48" w:name="_Hlk178777859"/>
      <w:bookmarkStart w:id="49" w:name="_Hlk153292197"/>
      <w:bookmarkEnd w:id="47"/>
    </w:p>
    <w:p w14:paraId="05C01913" w14:textId="36ED0679" w:rsidR="009647E9" w:rsidRPr="00C7130A" w:rsidRDefault="00C04279" w:rsidP="004626D4">
      <w:r w:rsidRPr="00C7130A">
        <w:rPr>
          <w:rtl/>
        </w:rPr>
        <w:t xml:space="preserve">يتمحور معظم </w:t>
      </w:r>
      <w:r w:rsidR="00AC22AB" w:rsidRPr="00C7130A">
        <w:rPr>
          <w:rtl/>
        </w:rPr>
        <w:t>العهد القديم حول أرض كنعان (التي صارت لاحقًا تُعرَف باسم أرض يهوذا). ولكنّ الأصحاحات الأولى في الكتاب المُقدَّس (تكوين 1-11) حدثت في أراضٍ واقعةٍ إلى الشرق من كنعان. فبرج بابل (تكوين 11: 1-9) يُوجد في الجزء الجنوبي السفلي من العراق (ربما موقف إريدو، تل أبو شهرين). هذا يجعله قريبًا جدًا من موقع أور (تل المُقيَّر)، مكان ولادة إبراهيم. وثمّة أمرٌ تنبغي ملاحظ</w:t>
      </w:r>
      <w:r w:rsidR="002723B1" w:rsidRPr="00C7130A">
        <w:rPr>
          <w:rtl/>
        </w:rPr>
        <w:t>ته</w:t>
      </w:r>
      <w:r w:rsidR="00AC22AB" w:rsidRPr="00C7130A">
        <w:rPr>
          <w:rtl/>
        </w:rPr>
        <w:t xml:space="preserve">: كان شاطئ الخليج العربي/ الفارسي يقع إلى الشمال ممّا هو عليه اليوم، قريبًا من أور وإريدو (كما تُظهِر الخارطة التالية). </w:t>
      </w:r>
    </w:p>
    <w:bookmarkEnd w:id="48"/>
    <w:p w14:paraId="2E2E1237" w14:textId="4414BDF0" w:rsidR="005B28B7" w:rsidRPr="00C7130A" w:rsidRDefault="00FA3F55" w:rsidP="00C7130A">
      <w:pPr>
        <w:rPr>
          <w:b/>
          <w:bCs/>
        </w:rPr>
      </w:pPr>
      <w:r w:rsidRPr="00C7130A">
        <w:rPr>
          <w:rFonts w:eastAsia="Calibri"/>
          <w:noProof/>
          <w:kern w:val="0"/>
          <w:szCs w:val="24"/>
        </w:rPr>
        <w:lastRenderedPageBreak/>
        <w:drawing>
          <wp:anchor distT="0" distB="0" distL="114300" distR="114300" simplePos="0" relativeHeight="251646976" behindDoc="0" locked="0" layoutInCell="1" allowOverlap="1" wp14:anchorId="793871A3" wp14:editId="39F7F209">
            <wp:simplePos x="0" y="0"/>
            <wp:positionH relativeFrom="column">
              <wp:posOffset>2331720</wp:posOffset>
            </wp:positionH>
            <wp:positionV relativeFrom="paragraph">
              <wp:posOffset>316230</wp:posOffset>
            </wp:positionV>
            <wp:extent cx="3582035" cy="2487930"/>
            <wp:effectExtent l="19050" t="19050" r="0" b="7620"/>
            <wp:wrapSquare wrapText="bothSides"/>
            <wp:docPr id="754158151" name="Picture 2" descr="A map of the ancient city of babyl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58151" name="Picture 2" descr="A map of the ancient city of babylon&#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3582035" cy="24879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50" w:name="_Hlk178777882"/>
      <w:r w:rsidRPr="00C7130A">
        <w:rPr>
          <w:b/>
          <w:bCs/>
        </w:rPr>
        <w:t xml:space="preserve">                </w:t>
      </w:r>
      <w:r w:rsidR="009D0995" w:rsidRPr="00C7130A">
        <w:rPr>
          <w:b/>
          <w:bCs/>
        </w:rPr>
        <w:t xml:space="preserve">     </w:t>
      </w:r>
      <w:r w:rsidR="00E32D81" w:rsidRPr="00C7130A">
        <w:rPr>
          <w:b/>
          <w:bCs/>
          <w:rtl/>
        </w:rPr>
        <w:t>الساحل المحتمل للخليج العربي في القديم</w:t>
      </w:r>
      <w:r w:rsidRPr="00C7130A">
        <w:rPr>
          <w:b/>
          <w:bCs/>
        </w:rPr>
        <w:t xml:space="preserve">                      </w:t>
      </w:r>
      <w:bookmarkEnd w:id="50"/>
      <w:r w:rsidR="00E32D81" w:rsidRPr="00C7130A">
        <w:rPr>
          <w:b/>
          <w:bCs/>
          <w:rtl/>
        </w:rPr>
        <w:tab/>
      </w:r>
      <w:r w:rsidR="00E32D81" w:rsidRPr="00C7130A">
        <w:rPr>
          <w:b/>
          <w:bCs/>
          <w:rtl/>
        </w:rPr>
        <w:tab/>
      </w:r>
      <w:r w:rsidR="00E32D81" w:rsidRPr="00C7130A">
        <w:rPr>
          <w:b/>
          <w:bCs/>
          <w:rtl/>
          <w:lang w:bidi="ar-JO"/>
        </w:rPr>
        <w:t>جنوب العراق اليوم</w:t>
      </w:r>
    </w:p>
    <w:p w14:paraId="33124927" w14:textId="67A28732" w:rsidR="00765636" w:rsidRPr="00C7130A" w:rsidRDefault="009D0995"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r w:rsidRPr="00C7130A">
        <w:rPr>
          <w:rFonts w:eastAsia="Calibri"/>
          <w:noProof/>
          <w:kern w:val="0"/>
          <w:szCs w:val="24"/>
        </w:rPr>
        <w:drawing>
          <wp:inline distT="0" distB="0" distL="0" distR="0" wp14:anchorId="029F4E78" wp14:editId="7FC94680">
            <wp:extent cx="2170430" cy="2719070"/>
            <wp:effectExtent l="0" t="0" r="0" b="0"/>
            <wp:docPr id="1975077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70430" cy="2719070"/>
                    </a:xfrm>
                    <a:prstGeom prst="rect">
                      <a:avLst/>
                    </a:prstGeom>
                    <a:noFill/>
                    <a:ln>
                      <a:noFill/>
                    </a:ln>
                  </pic:spPr>
                </pic:pic>
              </a:graphicData>
            </a:graphic>
          </wp:inline>
        </w:drawing>
      </w:r>
    </w:p>
    <w:bookmarkEnd w:id="49"/>
    <w:p w14:paraId="263EA448" w14:textId="77777777" w:rsidR="00FA3F55" w:rsidRPr="00C7130A" w:rsidRDefault="00FA3F55"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b/>
          <w:bCs/>
          <w:kern w:val="0"/>
          <w:szCs w:val="24"/>
          <w14:ligatures w14:val="none"/>
        </w:rPr>
      </w:pPr>
    </w:p>
    <w:p w14:paraId="202135B5" w14:textId="7724ABE8" w:rsidR="008B07C5" w:rsidRPr="00C7130A" w:rsidRDefault="00E32D81" w:rsidP="000558B7">
      <w:pPr>
        <w:pStyle w:val="Heading3"/>
      </w:pPr>
      <w:bookmarkStart w:id="51" w:name="_Toc193030907"/>
      <w:r w:rsidRPr="00C7130A">
        <w:rPr>
          <w:rtl/>
        </w:rPr>
        <w:t>الشرق الأدنى القديم</w:t>
      </w:r>
      <w:bookmarkStart w:id="52" w:name="_Hlk178777900"/>
      <w:bookmarkEnd w:id="51"/>
    </w:p>
    <w:bookmarkEnd w:id="52"/>
    <w:p w14:paraId="34E35E8B" w14:textId="56923C60" w:rsidR="007A4B15" w:rsidRPr="00C7130A" w:rsidRDefault="008B07C5"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b/>
          <w:bCs/>
          <w:kern w:val="0"/>
          <w:szCs w:val="24"/>
          <w14:ligatures w14:val="none"/>
        </w:rPr>
      </w:pPr>
      <w:r w:rsidRPr="00C7130A">
        <w:rPr>
          <w:rFonts w:eastAsia="Calibri"/>
          <w:b/>
          <w:bCs/>
          <w:kern w:val="0"/>
          <w:szCs w:val="24"/>
          <w14:ligatures w14:val="none"/>
        </w:rPr>
        <w:object w:dxaOrig="7811" w:dyaOrig="5396" w14:anchorId="61632041">
          <v:shape id="_x0000_i1027" type="#_x0000_t75" style="width:466.8pt;height:322.8pt" o:ole="">
            <v:imagedata r:id="rId16" o:title=""/>
          </v:shape>
          <o:OLEObject Type="Embed" ProgID="PowerPoint.Show.8" ShapeID="_x0000_i1027" DrawAspect="Content" ObjectID="_1803892142" r:id="rId17"/>
        </w:object>
      </w:r>
      <w:r w:rsidR="007A4B15" w:rsidRPr="00C7130A">
        <w:rPr>
          <w:rFonts w:eastAsia="Calibri"/>
          <w:b/>
          <w:bCs/>
          <w:kern w:val="0"/>
          <w:szCs w:val="24"/>
          <w14:ligatures w14:val="none"/>
        </w:rPr>
        <w:br w:type="page"/>
      </w:r>
    </w:p>
    <w:p w14:paraId="257CEE60" w14:textId="2CE44653" w:rsidR="0017744A" w:rsidRPr="00563D47" w:rsidRDefault="0017744A" w:rsidP="00E80A44">
      <w:pPr>
        <w:pStyle w:val="Heading2"/>
        <w:rPr>
          <w:rtl/>
        </w:rPr>
      </w:pPr>
      <w:bookmarkStart w:id="53" w:name="_Toc193030908"/>
      <w:bookmarkStart w:id="54" w:name="_Hlk178777920"/>
      <w:bookmarkStart w:id="55" w:name="_Hlk164432334"/>
      <w:r w:rsidRPr="004626D4">
        <w:rPr>
          <w:rtl/>
        </w:rPr>
        <w:lastRenderedPageBreak/>
        <w:t>الدرس 2: رواية الخلق</w:t>
      </w:r>
      <w:bookmarkEnd w:id="53"/>
      <w:r w:rsidRPr="004626D4">
        <w:rPr>
          <w:rtl/>
        </w:rPr>
        <w:t xml:space="preserve"> </w:t>
      </w:r>
      <w:bookmarkStart w:id="56" w:name="_Toc193030909"/>
      <w:r w:rsidRPr="00563D47">
        <w:rPr>
          <w:rtl/>
        </w:rPr>
        <w:t>(تكوين 1: 1–2: 3)</w:t>
      </w:r>
      <w:bookmarkEnd w:id="56"/>
    </w:p>
    <w:p w14:paraId="0909CAA2" w14:textId="77777777" w:rsidR="00311C51" w:rsidRPr="00C7130A" w:rsidRDefault="00311C5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p>
    <w:p w14:paraId="5E6B5FC7" w14:textId="77777777" w:rsidR="0017744A" w:rsidRPr="00C7130A" w:rsidRDefault="0017744A" w:rsidP="000558B7">
      <w:pPr>
        <w:pStyle w:val="Heading3"/>
        <w:rPr>
          <w:rtl/>
        </w:rPr>
      </w:pPr>
      <w:bookmarkStart w:id="57" w:name="_Toc193030910"/>
      <w:r w:rsidRPr="00C7130A">
        <w:rPr>
          <w:rtl/>
        </w:rPr>
        <w:t>مُقدّمة</w:t>
      </w:r>
      <w:bookmarkEnd w:id="57"/>
    </w:p>
    <w:p w14:paraId="5E2BA431" w14:textId="5C2A5370" w:rsidR="00640FBA" w:rsidRPr="00C7130A" w:rsidRDefault="0017744A" w:rsidP="004626D4">
      <w:pPr>
        <w:rPr>
          <w:rtl/>
          <w:lang w:bidi="ar-JO"/>
        </w:rPr>
      </w:pPr>
      <w:r w:rsidRPr="00C7130A">
        <w:rPr>
          <w:rtl/>
        </w:rPr>
        <w:t>كيف بدأت الحياة؟ هذا سؤال بالغ الأهمية لكلّ الجنس البشري. بالنسبة إلى المُشكّك</w:t>
      </w:r>
      <w:r w:rsidR="002723B1" w:rsidRPr="00C7130A">
        <w:rPr>
          <w:rtl/>
        </w:rPr>
        <w:t>ين</w:t>
      </w:r>
      <w:r w:rsidRPr="00C7130A">
        <w:rPr>
          <w:rtl/>
        </w:rPr>
        <w:t xml:space="preserve"> غير المؤمنين (وحتى لبعض المؤمنين)، يُظَنّ أن الجواب موجود في نظريّة التطوُّر.</w:t>
      </w:r>
      <w:r w:rsidR="00640FBA" w:rsidRPr="00C7130A">
        <w:rPr>
          <w:rtl/>
          <w:lang w:bidi="ar-JO"/>
        </w:rPr>
        <w:t xml:space="preserve"> المشكلة التي تواجهها في نظريّة التطوُّر هو أن</w:t>
      </w:r>
      <w:r w:rsidR="002723B1" w:rsidRPr="00C7130A">
        <w:rPr>
          <w:rtl/>
          <w:lang w:bidi="ar-JO"/>
        </w:rPr>
        <w:t>َّ</w:t>
      </w:r>
      <w:r w:rsidR="00640FBA" w:rsidRPr="00C7130A">
        <w:rPr>
          <w:rtl/>
          <w:lang w:bidi="ar-JO"/>
        </w:rPr>
        <w:t>ك لا تستطيع ببساطة أن تحصل على شيءٍ من لاشيء. وهكذا، فإن</w:t>
      </w:r>
      <w:r w:rsidR="002723B1" w:rsidRPr="00C7130A">
        <w:rPr>
          <w:rtl/>
          <w:lang w:bidi="ar-JO"/>
        </w:rPr>
        <w:t>ّ</w:t>
      </w:r>
      <w:r w:rsidR="00640FBA" w:rsidRPr="00C7130A">
        <w:rPr>
          <w:rtl/>
          <w:lang w:bidi="ar-JO"/>
        </w:rPr>
        <w:t xml:space="preserve"> الشرح الذي يقدِّمه الكتاب المُقدَّس أعظم بما لا يُقاس: فوراء ما نراه ونلاحظه في الطبيعة وفي الكون عمومًا، هناك إلهٌ صمّم كلَّ شيءٍ وأتى به إلى الوجود بكلمته المنطوقة. يمتلك هذا الإله حكمة وقوّة لامحدودتَين، وهو قادر على أن يخلق أشياء من لا شيءٍ بمجرَّد أن يريد ذلك.</w:t>
      </w:r>
    </w:p>
    <w:p w14:paraId="07AC943D" w14:textId="4B0AA094" w:rsidR="009F556D" w:rsidRPr="00C7130A" w:rsidRDefault="00D95E66" w:rsidP="004626D4">
      <w:pPr>
        <w:rPr>
          <w:rtl/>
          <w:lang w:bidi="ar-JO"/>
        </w:rPr>
      </w:pPr>
      <w:r w:rsidRPr="00C7130A">
        <w:rPr>
          <w:rtl/>
          <w:lang w:bidi="ar-JO"/>
        </w:rPr>
        <w:t>طبيعيٌّ أن</w:t>
      </w:r>
      <w:r w:rsidR="002723B1" w:rsidRPr="00C7130A">
        <w:rPr>
          <w:rtl/>
          <w:lang w:bidi="ar-JO"/>
        </w:rPr>
        <w:t>َّ</w:t>
      </w:r>
      <w:r w:rsidRPr="00C7130A">
        <w:rPr>
          <w:rtl/>
          <w:lang w:bidi="ar-JO"/>
        </w:rPr>
        <w:t xml:space="preserve"> الرواية الكتابية للخلق الواردة في تكوين 1: 1 – 2: 3 قد تعرَّضت لهجومٍ كثير. فالمشكِّك غير المؤمن يسخر بها، معتبِرًا إيّاها مجرَّد أسطورة وخرافة. بل إن لاهوتيّين مسيحيّين كثيرين أيضًا يرفضون أن يقبلوا المعنى الحرفي لهذه الآيات (خاصّة فكرة أنّ الله خلق في ستّة أيّام حرفيّة). وبالرغم من هذا التشكيك بالرواية الكتابيّة، فإنّ هناك سببًا وجيهًا لفهم هذه الرواية بمعنى حرفي</w:t>
      </w:r>
      <w:r w:rsidR="002723B1" w:rsidRPr="00C7130A">
        <w:rPr>
          <w:rtl/>
          <w:lang w:bidi="ar-JO"/>
        </w:rPr>
        <w:t>ّ</w:t>
      </w:r>
      <w:r w:rsidRPr="00C7130A">
        <w:rPr>
          <w:rtl/>
          <w:lang w:bidi="ar-JO"/>
        </w:rPr>
        <w:t>. والأمر الأكثر أهميّة هو أن</w:t>
      </w:r>
      <w:r w:rsidR="002723B1" w:rsidRPr="00C7130A">
        <w:rPr>
          <w:rtl/>
          <w:lang w:bidi="ar-JO"/>
        </w:rPr>
        <w:t>ّ</w:t>
      </w:r>
      <w:r w:rsidRPr="00C7130A">
        <w:rPr>
          <w:rtl/>
          <w:lang w:bidi="ar-JO"/>
        </w:rPr>
        <w:t xml:space="preserve"> الجنس البشري لم يتطوَّر من أشكالٍ أدنى للحياة. فقد كان هناك زوجان أوّلان</w:t>
      </w:r>
      <w:r w:rsidR="002723B1" w:rsidRPr="00C7130A">
        <w:rPr>
          <w:rtl/>
          <w:lang w:bidi="ar-JO"/>
        </w:rPr>
        <w:t>،</w:t>
      </w:r>
      <w:r w:rsidRPr="00C7130A">
        <w:rPr>
          <w:rtl/>
          <w:lang w:bidi="ar-JO"/>
        </w:rPr>
        <w:t xml:space="preserve"> هما آدم وحواء، لم ينشآ من </w:t>
      </w:r>
      <w:r w:rsidR="00820B3D" w:rsidRPr="00C7130A">
        <w:rPr>
          <w:rtl/>
          <w:lang w:bidi="ar-JO"/>
        </w:rPr>
        <w:t>"أسلافِ البشر" البدائيّين، ولكنّهما خل</w:t>
      </w:r>
      <w:r w:rsidR="002723B1" w:rsidRPr="00C7130A">
        <w:rPr>
          <w:rtl/>
          <w:lang w:bidi="ar-JO"/>
        </w:rPr>
        <w:t>ْ</w:t>
      </w:r>
      <w:r w:rsidR="00820B3D" w:rsidRPr="00C7130A">
        <w:rPr>
          <w:rtl/>
          <w:lang w:bidi="ar-JO"/>
        </w:rPr>
        <w:t>قٌ مباشر من إله سماوي مُحِبّ كان في فكره مقصدٌ لهما. كان ينبغي أن يحكما تحتَ الله وبارتباطٍ بإرادته على كلّ الخليقة. سيساعدنا هذا الدرس في شرح وتأكيد النظرة الحرفيّة للرواية الكتابي</w:t>
      </w:r>
      <w:r w:rsidR="002723B1" w:rsidRPr="00C7130A">
        <w:rPr>
          <w:rtl/>
          <w:lang w:bidi="ar-JO"/>
        </w:rPr>
        <w:t>ّ</w:t>
      </w:r>
      <w:r w:rsidR="00820B3D" w:rsidRPr="00C7130A">
        <w:rPr>
          <w:rtl/>
          <w:lang w:bidi="ar-JO"/>
        </w:rPr>
        <w:t xml:space="preserve">ة للخلق، مع تعريف القارئ بالمنهجيّات البديلة التي يتبناها مسيحيّون إنجيليّون آخرون. </w:t>
      </w:r>
    </w:p>
    <w:p w14:paraId="02361218" w14:textId="77777777" w:rsidR="00820B3D" w:rsidRPr="00C7130A" w:rsidRDefault="00820B3D"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 w:val="26"/>
          <w:szCs w:val="26"/>
          <w:rtl/>
          <w:lang w:bidi="ar-JO"/>
          <w14:ligatures w14:val="none"/>
        </w:rPr>
      </w:pPr>
    </w:p>
    <w:p w14:paraId="279AF8AE" w14:textId="32F93FE5" w:rsidR="00820B3D" w:rsidRPr="00C7130A" w:rsidRDefault="00820B3D" w:rsidP="000558B7">
      <w:pPr>
        <w:pStyle w:val="Heading3"/>
        <w:rPr>
          <w:rtl/>
        </w:rPr>
      </w:pPr>
      <w:bookmarkStart w:id="58" w:name="_Toc193030911"/>
      <w:r w:rsidRPr="00C7130A">
        <w:rPr>
          <w:rtl/>
        </w:rPr>
        <w:t>مُخطَّط الدرس</w:t>
      </w:r>
      <w:bookmarkEnd w:id="58"/>
    </w:p>
    <w:p w14:paraId="21C62B84" w14:textId="77777777" w:rsidR="00820B3D" w:rsidRPr="00C7130A" w:rsidRDefault="00820B3D" w:rsidP="0022400B">
      <w:pPr>
        <w:ind w:left="720"/>
        <w:rPr>
          <w:rtl/>
        </w:rPr>
      </w:pPr>
      <w:r w:rsidRPr="00C7130A">
        <w:rPr>
          <w:rtl/>
        </w:rPr>
        <w:t xml:space="preserve">الموضوع 1: </w:t>
      </w:r>
      <w:r w:rsidRPr="00C7130A">
        <w:rPr>
          <w:rtl/>
        </w:rPr>
        <w:tab/>
      </w:r>
      <w:bookmarkStart w:id="59" w:name="_Hlk190343676"/>
      <w:r w:rsidRPr="00C7130A">
        <w:rPr>
          <w:rtl/>
        </w:rPr>
        <w:t xml:space="preserve">مُقدِّمة إلى سفر التكوين </w:t>
      </w:r>
    </w:p>
    <w:p w14:paraId="07D28CC5" w14:textId="77777777" w:rsidR="00820B3D" w:rsidRPr="00C7130A" w:rsidRDefault="00820B3D" w:rsidP="0022400B">
      <w:pPr>
        <w:ind w:left="720"/>
        <w:rPr>
          <w:rtl/>
        </w:rPr>
      </w:pPr>
      <w:r w:rsidRPr="00C7130A">
        <w:rPr>
          <w:rtl/>
        </w:rPr>
        <w:t xml:space="preserve">الموضوع 2: </w:t>
      </w:r>
      <w:r w:rsidRPr="00C7130A">
        <w:rPr>
          <w:rtl/>
        </w:rPr>
        <w:tab/>
        <w:t xml:space="preserve">البداية في البركة (تكوين 1: 1 – 2: 3) </w:t>
      </w:r>
    </w:p>
    <w:p w14:paraId="534FAEEE" w14:textId="71BF35B0" w:rsidR="007A4B15" w:rsidRPr="00C7130A" w:rsidRDefault="00820B3D" w:rsidP="0022400B">
      <w:pPr>
        <w:ind w:left="720"/>
      </w:pPr>
      <w:r w:rsidRPr="00C7130A">
        <w:rPr>
          <w:rtl/>
        </w:rPr>
        <w:t xml:space="preserve">الموضوع 3: </w:t>
      </w:r>
      <w:r w:rsidRPr="00C7130A">
        <w:rPr>
          <w:rtl/>
        </w:rPr>
        <w:tab/>
        <w:t>منهجي</w:t>
      </w:r>
      <w:r w:rsidR="002723B1" w:rsidRPr="00C7130A">
        <w:rPr>
          <w:rtl/>
        </w:rPr>
        <w:t>ّ</w:t>
      </w:r>
      <w:r w:rsidRPr="00C7130A">
        <w:rPr>
          <w:rtl/>
        </w:rPr>
        <w:t xml:space="preserve">ات </w:t>
      </w:r>
      <w:r w:rsidR="00271A35" w:rsidRPr="00C7130A">
        <w:rPr>
          <w:rtl/>
        </w:rPr>
        <w:t>يتبنّاها إنجيليّون</w:t>
      </w:r>
      <w:r w:rsidRPr="00C7130A">
        <w:rPr>
          <w:rtl/>
        </w:rPr>
        <w:t xml:space="preserve"> في النظر إلى رواية الخلق </w:t>
      </w:r>
      <w:bookmarkEnd w:id="59"/>
      <w:r w:rsidR="007A4B15" w:rsidRPr="00C7130A">
        <w:br/>
      </w:r>
    </w:p>
    <w:p w14:paraId="446D2671" w14:textId="795F4C97" w:rsidR="00820B3D" w:rsidRPr="00C7130A" w:rsidRDefault="00820B3D" w:rsidP="000558B7">
      <w:pPr>
        <w:pStyle w:val="Heading3"/>
        <w:rPr>
          <w:rtl/>
        </w:rPr>
      </w:pPr>
      <w:bookmarkStart w:id="60" w:name="_Toc193030912"/>
      <w:r w:rsidRPr="00C7130A">
        <w:rPr>
          <w:rtl/>
        </w:rPr>
        <w:t>أهداف الدرس</w:t>
      </w:r>
      <w:bookmarkEnd w:id="60"/>
    </w:p>
    <w:p w14:paraId="213FB00B" w14:textId="14DDCBB0" w:rsidR="00820B3D" w:rsidRPr="00C7130A" w:rsidRDefault="00820B3D">
      <w:pPr>
        <w:pStyle w:val="ListParagraph"/>
        <w:numPr>
          <w:ilvl w:val="0"/>
          <w:numId w:val="20"/>
        </w:numPr>
        <w:rPr>
          <w:rtl/>
        </w:rPr>
      </w:pPr>
      <w:r w:rsidRPr="00C7130A">
        <w:rPr>
          <w:rtl/>
        </w:rPr>
        <w:t xml:space="preserve">بانتهائك من دراسة هذا الدرس، ستكون قادرًا على ما يلي: </w:t>
      </w:r>
    </w:p>
    <w:p w14:paraId="053F41CC" w14:textId="5482D82B" w:rsidR="00820B3D" w:rsidRPr="00C7130A" w:rsidRDefault="00820B3D">
      <w:pPr>
        <w:pStyle w:val="ListParagraph"/>
        <w:numPr>
          <w:ilvl w:val="0"/>
          <w:numId w:val="20"/>
        </w:numPr>
      </w:pPr>
      <w:r w:rsidRPr="00C7130A">
        <w:rPr>
          <w:rtl/>
        </w:rPr>
        <w:t>أن تدافع عن النظرة الحرفية لرواية الخلق الكتابي</w:t>
      </w:r>
      <w:r w:rsidR="002723B1" w:rsidRPr="00C7130A">
        <w:rPr>
          <w:rtl/>
        </w:rPr>
        <w:t>ّ</w:t>
      </w:r>
      <w:r w:rsidRPr="00C7130A">
        <w:rPr>
          <w:rtl/>
        </w:rPr>
        <w:t xml:space="preserve">ة، وتشرح سبب ضرورة فهم "اليوم" بمعنى فترة تتألَّف من أربع وعشرين ساعة. </w:t>
      </w:r>
    </w:p>
    <w:p w14:paraId="1BE26CD5" w14:textId="20F6551F" w:rsidR="00820B3D" w:rsidRPr="00C7130A" w:rsidRDefault="00820B3D">
      <w:pPr>
        <w:pStyle w:val="ListParagraph"/>
        <w:numPr>
          <w:ilvl w:val="0"/>
          <w:numId w:val="20"/>
        </w:numPr>
      </w:pPr>
      <w:r w:rsidRPr="00C7130A">
        <w:rPr>
          <w:rtl/>
        </w:rPr>
        <w:lastRenderedPageBreak/>
        <w:t xml:space="preserve">أن تحدِّد الهدف الذي أُعطي للرجل والمرأة الأوَّلَين. </w:t>
      </w:r>
    </w:p>
    <w:p w14:paraId="252C5277" w14:textId="568918A1" w:rsidR="00820B3D" w:rsidRPr="00C7130A" w:rsidRDefault="00820B3D">
      <w:pPr>
        <w:pStyle w:val="ListParagraph"/>
        <w:numPr>
          <w:ilvl w:val="0"/>
          <w:numId w:val="20"/>
        </w:numPr>
        <w:rPr>
          <w:rtl/>
        </w:rPr>
      </w:pPr>
      <w:r w:rsidRPr="00C7130A">
        <w:rPr>
          <w:rtl/>
        </w:rPr>
        <w:t xml:space="preserve">أن تسمِّي وتصف الآراء البديلة بشأن الخلق، والتي يعتنقها إنجيليّون آخرون في بعض الأحيان. </w:t>
      </w:r>
    </w:p>
    <w:p w14:paraId="03565EF4" w14:textId="77777777" w:rsidR="00820B3D" w:rsidRPr="00C7130A" w:rsidRDefault="00820B3D" w:rsidP="004626D4">
      <w:pPr>
        <w:rPr>
          <w:szCs w:val="24"/>
          <w:rtl/>
        </w:rPr>
      </w:pPr>
    </w:p>
    <w:p w14:paraId="1CB0C68E" w14:textId="486CB655" w:rsidR="00820B3D" w:rsidRPr="00C7130A" w:rsidRDefault="00820B3D" w:rsidP="004626D4">
      <w:pPr>
        <w:rPr>
          <w:szCs w:val="24"/>
          <w:rtl/>
        </w:rPr>
      </w:pPr>
    </w:p>
    <w:p w14:paraId="0D9BB313" w14:textId="77777777" w:rsidR="00820B3D" w:rsidRPr="00C7130A" w:rsidRDefault="00820B3D" w:rsidP="004626D4">
      <w:pPr>
        <w:rPr>
          <w:szCs w:val="24"/>
          <w:rtl/>
        </w:rPr>
      </w:pPr>
    </w:p>
    <w:p w14:paraId="0C3B5B31" w14:textId="73BCB511" w:rsidR="00820B3D" w:rsidRPr="00C7130A" w:rsidRDefault="00820B3D" w:rsidP="000558B7">
      <w:pPr>
        <w:pStyle w:val="Heading2B"/>
        <w:rPr>
          <w:rtl/>
        </w:rPr>
      </w:pPr>
      <w:bookmarkStart w:id="61" w:name="_Toc193030913"/>
      <w:r w:rsidRPr="00C7130A">
        <w:rPr>
          <w:rtl/>
        </w:rPr>
        <w:t>الموضوع 1: مُقدِّمة إلى سفر التكوين</w:t>
      </w:r>
      <w:bookmarkEnd w:id="61"/>
      <w:r w:rsidRPr="00C7130A">
        <w:rPr>
          <w:rtl/>
        </w:rPr>
        <w:t xml:space="preserve"> </w:t>
      </w:r>
    </w:p>
    <w:bookmarkEnd w:id="54"/>
    <w:p w14:paraId="22236D3E" w14:textId="77777777" w:rsidR="00C252DA" w:rsidRPr="00C7130A" w:rsidRDefault="00C252DA" w:rsidP="00C7130A">
      <w:pPr>
        <w:jc w:val="center"/>
        <w:rPr>
          <w:rFonts w:eastAsia="Times New Roman"/>
          <w:bCs/>
          <w:color w:val="000080"/>
          <w:kern w:val="0"/>
          <w:rtl/>
          <w:lang w:bidi="ar-JO"/>
          <w14:ligatures w14:val="none"/>
        </w:rPr>
      </w:pPr>
    </w:p>
    <w:p w14:paraId="4422992C" w14:textId="77777777" w:rsidR="00C252DA" w:rsidRPr="00C7130A" w:rsidRDefault="00C252DA" w:rsidP="000558B7">
      <w:pPr>
        <w:pStyle w:val="Heading3"/>
        <w:rPr>
          <w:rtl/>
          <w:lang w:bidi="ar-JO"/>
        </w:rPr>
      </w:pPr>
      <w:bookmarkStart w:id="62" w:name="_Toc193030914"/>
      <w:r w:rsidRPr="00C7130A">
        <w:rPr>
          <w:rtl/>
          <w:lang w:bidi="ar-JO"/>
        </w:rPr>
        <w:t>1.</w:t>
      </w:r>
      <w:r w:rsidRPr="00C7130A">
        <w:rPr>
          <w:rtl/>
          <w:lang w:bidi="ar-JO"/>
        </w:rPr>
        <w:tab/>
        <w:t>خلفية لاهوتية</w:t>
      </w:r>
      <w:bookmarkEnd w:id="62"/>
      <w:r w:rsidRPr="00C7130A">
        <w:rPr>
          <w:rtl/>
          <w:lang w:bidi="ar-JO"/>
        </w:rPr>
        <w:t xml:space="preserve"> </w:t>
      </w:r>
    </w:p>
    <w:p w14:paraId="7E5B08EB" w14:textId="77777777" w:rsidR="00C252DA" w:rsidRPr="00C7130A" w:rsidRDefault="00C252DA" w:rsidP="004626D4">
      <w:pPr>
        <w:rPr>
          <w:rtl/>
        </w:rPr>
      </w:pPr>
      <w:r w:rsidRPr="00C7130A">
        <w:rPr>
          <w:rtl/>
          <w:lang w:bidi="ar-JO"/>
        </w:rPr>
        <w:t>يظهر سفر التكوين كأول سفر في الأسفار القانونية من الكتاب المقدس.  ويتبع معظم الباحثين المحافظين الرأي المقبول عموماً أن موسى هو كاتب معظم الأسفار الخمسة، بما في ذلك سفر التكوين.  ولهذا، وعند تناولنا للمادة المُدوَّنة في سفر التكوين، يجب علينا أن نضع في اعتبارنا أن سفر التكوين يُكتب من منظور الأمّة العبرية التي تغادر مصر لتدخل أرض كنعان تحت قيادة موسى.  وعلى هذا فإن سفر التكوين شهادة لأمة إسرائيل الفتية حول أصلها وانتخابها لتكون جزءاً من برنامج الله.  لم يُكتب سفر التكوين إذاً ليقدّم لنا سجلاً علمياً أو تاريخياً عن أصل البشر (على الرغم من صحة المعلومات المقدمة تاريخياً).  فمضمون السفر هو في المقام الأول لاهوتي، كما تبيّن عملية قراءة سريعة له.</w:t>
      </w:r>
    </w:p>
    <w:p w14:paraId="05721AB5" w14:textId="77777777" w:rsidR="00C252DA" w:rsidRPr="00C7130A" w:rsidRDefault="00C252DA"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KW"/>
          <w14:ligatures w14:val="none"/>
        </w:rPr>
      </w:pPr>
    </w:p>
    <w:bookmarkStart w:id="63" w:name="_MON_1166264038"/>
    <w:bookmarkStart w:id="64" w:name="_MON_1166264070"/>
    <w:bookmarkEnd w:id="63"/>
    <w:bookmarkEnd w:id="64"/>
    <w:bookmarkStart w:id="65" w:name="_MON_1166264092"/>
    <w:bookmarkEnd w:id="65"/>
    <w:p w14:paraId="057744A2" w14:textId="77777777" w:rsidR="00C252DA" w:rsidRPr="00C7130A" w:rsidRDefault="00C252DA" w:rsidP="00C7130A">
      <w:pPr>
        <w:tabs>
          <w:tab w:val="left" w:pos="550"/>
          <w:tab w:val="left" w:pos="1100"/>
          <w:tab w:val="left" w:pos="1650"/>
          <w:tab w:val="left" w:pos="2200"/>
          <w:tab w:val="left" w:pos="2750"/>
          <w:tab w:val="left" w:pos="3300"/>
          <w:tab w:val="left" w:pos="3850"/>
          <w:tab w:val="left" w:pos="4400"/>
        </w:tabs>
        <w:ind w:left="454"/>
        <w:jc w:val="center"/>
        <w:rPr>
          <w:rFonts w:eastAsia="Times New Roman"/>
          <w:kern w:val="0"/>
          <w:szCs w:val="26"/>
          <w:rtl/>
          <w14:ligatures w14:val="none"/>
        </w:rPr>
      </w:pPr>
      <w:r w:rsidRPr="00C7130A">
        <w:rPr>
          <w:rFonts w:eastAsia="Times New Roman"/>
          <w:kern w:val="0"/>
          <w:szCs w:val="26"/>
          <w:lang w:bidi="ar-JO"/>
          <w14:ligatures w14:val="none"/>
        </w:rPr>
        <w:object w:dxaOrig="3945" w:dyaOrig="1075" w14:anchorId="3F636B70">
          <v:shape id="_x0000_i1028" type="#_x0000_t75" style="width:394.8pt;height:107.4pt" o:ole="" o:bordertopcolor="this" o:borderleftcolor="this" o:borderbottomcolor="this" o:borderrightcolor="this">
            <v:imagedata r:id="rId18" o:title=""/>
            <w10:bordertop type="single" width="4"/>
            <w10:borderleft type="single" width="4"/>
            <w10:borderbottom type="single" width="4"/>
            <w10:borderright type="single" width="4"/>
          </v:shape>
          <o:OLEObject Type="Embed" ProgID="PowerPoint.Show.8" ShapeID="_x0000_i1028" DrawAspect="Content" ObjectID="_1803892143" r:id="rId19"/>
        </w:object>
      </w:r>
    </w:p>
    <w:p w14:paraId="4B90BB24" w14:textId="77777777" w:rsidR="00C252DA" w:rsidRPr="00C7130A" w:rsidRDefault="00C252DA" w:rsidP="00C7130A">
      <w:pPr>
        <w:jc w:val="center"/>
        <w:rPr>
          <w:rFonts w:eastAsia="Times New Roman"/>
          <w:kern w:val="0"/>
          <w:szCs w:val="18"/>
          <w:rtl/>
          <w14:ligatures w14:val="none"/>
        </w:rPr>
      </w:pPr>
    </w:p>
    <w:p w14:paraId="0A682814" w14:textId="77777777" w:rsidR="00C252DA" w:rsidRPr="00C7130A" w:rsidRDefault="00C252DA" w:rsidP="00C7130A">
      <w:pPr>
        <w:jc w:val="center"/>
        <w:rPr>
          <w:rFonts w:eastAsia="Times New Roman"/>
          <w:kern w:val="0"/>
          <w:szCs w:val="18"/>
          <w:rtl/>
          <w14:ligatures w14:val="none"/>
        </w:rPr>
      </w:pPr>
    </w:p>
    <w:p w14:paraId="58D62C21" w14:textId="6FD424D4" w:rsidR="00C252DA" w:rsidRPr="00C7130A" w:rsidRDefault="00C252DA" w:rsidP="004626D4">
      <w:pPr>
        <w:rPr>
          <w:rtl/>
          <w:lang w:bidi="ar-JO"/>
        </w:rPr>
      </w:pPr>
      <w:r w:rsidRPr="00C7130A">
        <w:rPr>
          <w:rtl/>
          <w:lang w:bidi="ar-JO"/>
        </w:rPr>
        <w:t>توحي طريقة تأليف السفر أن اهتمام الكاتب لا يقتصر على تقديم معلومات تاريخية.  فمن بين إصحاحات السفر الخمسين، يتناول 39 منها إبراهيم ونسله.  ومن الواضح أن</w:t>
      </w:r>
      <w:r w:rsidR="008C5865" w:rsidRPr="00C7130A">
        <w:rPr>
          <w:rtl/>
          <w:lang w:bidi="ar-JO"/>
        </w:rPr>
        <w:t>ّ</w:t>
      </w:r>
      <w:r w:rsidRPr="00C7130A">
        <w:rPr>
          <w:rtl/>
          <w:lang w:bidi="ar-JO"/>
        </w:rPr>
        <w:t xml:space="preserve"> الأصحاح 12 يشكل مفتاح فهم الكتاب المقدس كلّه، ويتضمن دعوة إبراهيم لترك موطنه ليبدأ أمّة جديدة.  وتعطى هذه الدعوة لإبراهيم على شكل </w:t>
      </w:r>
      <w:r w:rsidRPr="00C7130A">
        <w:rPr>
          <w:u w:val="single"/>
          <w:rtl/>
          <w:lang w:bidi="ar-JO"/>
        </w:rPr>
        <w:t>عهد</w:t>
      </w:r>
      <w:r w:rsidRPr="00C7130A">
        <w:rPr>
          <w:rtl/>
          <w:lang w:bidi="ar-JO"/>
        </w:rPr>
        <w:t>.  فالله يقطع عهداً معه واعداً بأن يجعله أمّة جديدة وعظيمة وأن يبارك العالم من خلاله.</w:t>
      </w:r>
    </w:p>
    <w:p w14:paraId="2B67D5EA" w14:textId="77777777" w:rsidR="00C252DA" w:rsidRPr="00C7130A" w:rsidRDefault="00C252DA" w:rsidP="004626D4">
      <w:pPr>
        <w:rPr>
          <w:rtl/>
          <w:lang w:bidi="ar-JO"/>
        </w:rPr>
      </w:pPr>
      <w:r w:rsidRPr="00C7130A">
        <w:rPr>
          <w:rtl/>
          <w:lang w:bidi="ar-JO"/>
        </w:rPr>
        <w:t xml:space="preserve">والتطبيق الفوري لهذا متعلق ببني إسرائيل الذين يرزحون تحت نير العبودية في مصر.  وعندما يشير موسى إليهم ليتركوا عبودية فرعون، ويتخلوا عن دور العبيد، والانطلاق في مغامرة إلى أرض جديدة، لا بد لهم أن يعرفوا من هذا الذي </w:t>
      </w:r>
      <w:r w:rsidRPr="00C7130A">
        <w:rPr>
          <w:rtl/>
          <w:lang w:bidi="ar-JO"/>
        </w:rPr>
        <w:lastRenderedPageBreak/>
        <w:t>يدعوهم إلى هذه المهمة العظيمة.  إذْ لا "ينهض المرء ببساطة ويلقي عنه أصفاد فرعون مصر" دون سبب وجيه.  فقد تطلبت هذه الدعوة إجابة مشروعة عن عدة أسئلة.  أيّ إله هذا الذي يشكّلنا ويجعلنا أمّة جديدة؟ أي حق له في فرض إرادته على كل الآلهة الأخرى في العالم الوثني، خاصة مصر؟ وما الذي يعطينا الحق في أخذ أرض كنعان وإخضاع السكان هناك؟ وأهم من ذلك كلّه، أي ضمان لدينا أن الله سيكون معنا ليحقق هذا كلّه؟ أجاب سفر التكوين عن هذه الأسئلة.  ولهذا فإنَّ سفر التكوين لم يكتب كمجرد كتاب تاريخ، ولكنه كُتب أيضاً كأطروحة لاهوتية.  يقول آلن روس،</w:t>
      </w:r>
    </w:p>
    <w:p w14:paraId="49864960" w14:textId="77777777" w:rsidR="00C252DA" w:rsidRPr="00C7130A" w:rsidRDefault="00C252DA" w:rsidP="004626D4">
      <w:pPr>
        <w:rPr>
          <w:rtl/>
        </w:rPr>
      </w:pPr>
      <w:r w:rsidRPr="00C7130A">
        <w:rPr>
          <w:rtl/>
          <w:lang w:bidi="ar-JO"/>
        </w:rPr>
        <w:t>فلسفة التاريخ هذه لاهوتية بشكلٍ رئيسي.  فالكاتب مهتم بتقديم الخلفية التاريخية لعهد الله مع إسرائيل من منظوره اللاهوتي.  وهو لهذا لا يختار إلاّ الأحداث التي لها تأثير على هذا الموضوع تُختار لتكون جزءاً من الرواية الكتابية.</w:t>
      </w:r>
      <w:r w:rsidRPr="00C7130A">
        <w:rPr>
          <w:sz w:val="30"/>
          <w:szCs w:val="28"/>
          <w:vertAlign w:val="superscript"/>
          <w:rtl/>
          <w:lang w:bidi="ar-JO"/>
        </w:rPr>
        <w:footnoteReference w:customMarkFollows="1" w:id="2"/>
        <w:t>1</w:t>
      </w:r>
      <w:r w:rsidRPr="00C7130A">
        <w:rPr>
          <w:rtl/>
          <w:lang w:bidi="ar-JO"/>
        </w:rPr>
        <w:t xml:space="preserve"> </w:t>
      </w:r>
    </w:p>
    <w:p w14:paraId="3FB9B9C6" w14:textId="77777777" w:rsidR="00C252DA" w:rsidRPr="00C7130A" w:rsidRDefault="00C252DA" w:rsidP="004626D4">
      <w:pPr>
        <w:rPr>
          <w:rtl/>
          <w:lang w:bidi="ar-JO"/>
        </w:rPr>
      </w:pPr>
    </w:p>
    <w:p w14:paraId="5318A8DC" w14:textId="77777777" w:rsidR="00C252DA" w:rsidRPr="00C7130A" w:rsidRDefault="00C252DA" w:rsidP="004626D4">
      <w:pPr>
        <w:rPr>
          <w:rtl/>
          <w:lang w:bidi="ar-JO"/>
        </w:rPr>
      </w:pPr>
      <w:r w:rsidRPr="00C7130A">
        <w:rPr>
          <w:rtl/>
          <w:lang w:bidi="ar-JO"/>
        </w:rPr>
        <w:t xml:space="preserve">وهكذا يدور سفر التكوين حول </w:t>
      </w:r>
      <w:r w:rsidRPr="00C7130A">
        <w:rPr>
          <w:u w:val="single"/>
          <w:rtl/>
          <w:lang w:bidi="ar-JO"/>
        </w:rPr>
        <w:t>العهد</w:t>
      </w:r>
      <w:r w:rsidRPr="00C7130A">
        <w:rPr>
          <w:rtl/>
          <w:lang w:bidi="ar-JO"/>
        </w:rPr>
        <w:t xml:space="preserve"> و </w:t>
      </w:r>
      <w:r w:rsidRPr="00C7130A">
        <w:rPr>
          <w:u w:val="single"/>
          <w:rtl/>
          <w:lang w:bidi="ar-JO"/>
        </w:rPr>
        <w:t>الأمّة</w:t>
      </w:r>
      <w:r w:rsidRPr="00C7130A">
        <w:rPr>
          <w:rtl/>
          <w:lang w:bidi="ar-JO"/>
        </w:rPr>
        <w:t xml:space="preserve">.  فأي إله هذا الذي يدعو بني إسرائيل إلى الخروج من مصر إلى أرض أُخرى؟ إنه إله الخليقة الوحيد الفريد! لجأ المصريون إلى آلهة تمثل الطبيعة، أمّا إله إسرائيل فخلق عناصر الطبيعة.  فما يعبده الوثنيون ليس آلهة مطلقاً.  لكنهم يعبدون ما خلقه إله إسرائيل، ولهذا فإنه لا حاجة ببني إسرائيل أن يخشوا ما يتكل عليه الوثنيون.  وفضلاً عن ذلك، فإن إله إسرائيل </w:t>
      </w:r>
      <w:r w:rsidRPr="00C7130A">
        <w:rPr>
          <w:u w:val="single"/>
          <w:rtl/>
          <w:lang w:bidi="ar-JO"/>
        </w:rPr>
        <w:t>يسيطر</w:t>
      </w:r>
      <w:r w:rsidRPr="00C7130A">
        <w:rPr>
          <w:rtl/>
          <w:lang w:bidi="ar-JO"/>
        </w:rPr>
        <w:t xml:space="preserve"> على ما خلقه.  وهكذا فإن مغادرة أرض مصر التي ستؤدي إلى استياء فرعون ليس عملاً غير معقول، بل إنه </w:t>
      </w:r>
      <w:r w:rsidRPr="00C7130A">
        <w:rPr>
          <w:u w:val="single"/>
          <w:rtl/>
          <w:lang w:bidi="ar-JO"/>
        </w:rPr>
        <w:t>التنفيذ الأمين</w:t>
      </w:r>
      <w:r w:rsidRPr="00C7130A">
        <w:rPr>
          <w:rtl/>
          <w:lang w:bidi="ar-JO"/>
        </w:rPr>
        <w:t xml:space="preserve"> لخطة الله.  فقد سبق أن وعد بأن يصنع من إبراهيم أمّة ستُعطى أرض كنعان.  وكان انتخابهم كأمة أمراً قرره الله نفسه.  فكما خلق الكون المنظم وأوجد كل الخليقة، فإنه قادر على خلق أمَّتِه وأن يرسِّخها في أرض الموعد.</w:t>
      </w:r>
    </w:p>
    <w:p w14:paraId="7412E825" w14:textId="77777777" w:rsidR="00C252DA" w:rsidRPr="00C7130A" w:rsidRDefault="00C252DA" w:rsidP="004626D4">
      <w:pPr>
        <w:rPr>
          <w:rtl/>
          <w:lang w:bidi="ar-JO"/>
        </w:rPr>
      </w:pPr>
    </w:p>
    <w:p w14:paraId="1460C6AF" w14:textId="666ABA4B" w:rsidR="00C252DA" w:rsidRPr="00C7130A" w:rsidRDefault="00C252DA" w:rsidP="004626D4">
      <w:pPr>
        <w:rPr>
          <w:rtl/>
          <w:lang w:bidi="ar-JO"/>
        </w:rPr>
      </w:pPr>
      <w:r w:rsidRPr="00C7130A">
        <w:rPr>
          <w:rtl/>
          <w:lang w:bidi="ar-JO"/>
        </w:rPr>
        <w:t>وعندما يوعز موسى لبني إسرائيل بمغادرة مصر، فإنه يقول لهم إن يهوه أرسله.  فالدعوة إلى المغادرة ليست صادرة عن موسى، وإنما عن يهوه.  ويهوه هو الإله المتسي</w:t>
      </w:r>
      <w:r w:rsidR="008C5865" w:rsidRPr="00C7130A">
        <w:rPr>
          <w:rtl/>
          <w:lang w:bidi="ar-JO"/>
        </w:rPr>
        <w:t>ّ</w:t>
      </w:r>
      <w:r w:rsidRPr="00C7130A">
        <w:rPr>
          <w:rtl/>
          <w:lang w:bidi="ar-JO"/>
        </w:rPr>
        <w:t>د الأسمى للخليقة، بالإضافة إلى أنه هو الذي اختار الأمة وأوجدها من خلال إبراهيم، وهو الذي يضمن مستقبلها! وهكذا فإن الحكومة الإلهية تؤسَّس على إله الخليقة المتسي</w:t>
      </w:r>
      <w:r w:rsidR="008C5865" w:rsidRPr="00C7130A">
        <w:rPr>
          <w:rtl/>
          <w:lang w:bidi="ar-JO"/>
        </w:rPr>
        <w:t>ّ</w:t>
      </w:r>
      <w:r w:rsidRPr="00C7130A">
        <w:rPr>
          <w:rtl/>
          <w:lang w:bidi="ar-JO"/>
        </w:rPr>
        <w:t>د.</w:t>
      </w:r>
    </w:p>
    <w:p w14:paraId="5FB2E923" w14:textId="77777777" w:rsidR="00C252DA" w:rsidRPr="00C7130A" w:rsidRDefault="00C252DA" w:rsidP="004626D4">
      <w:pPr>
        <w:rPr>
          <w:rtl/>
          <w:lang w:bidi="ar-JO"/>
        </w:rPr>
      </w:pPr>
    </w:p>
    <w:p w14:paraId="6DA6BB14" w14:textId="77777777" w:rsidR="00C252DA" w:rsidRPr="00C7130A" w:rsidRDefault="00C252DA" w:rsidP="004626D4">
      <w:pPr>
        <w:rPr>
          <w:rtl/>
          <w:lang w:bidi="ar-JO"/>
        </w:rPr>
      </w:pPr>
      <w:r w:rsidRPr="00C7130A">
        <w:rPr>
          <w:rtl/>
          <w:lang w:bidi="ar-JO"/>
        </w:rPr>
        <w:t xml:space="preserve">عند دراستنا لمادة سفر التكوين، يجب أن نسعى إلى اكتشاف الفكرة اللاهوتية التي يطرحها الكاتب.  يجب أن نسأل لماذا يريد موسى أن تعرف أمّة إسرائيل الجديدة هذه المادة، ولماذا وصفها بهذه التعابير؟ وفضلاً عن ذلك، عندما نفهم قصده، يجب أن نسعى إلى فهم صلته بنا اليوم.  فعلى مستوى عام، يؤكد سفر التكوين هوية الإله الذي يدعو إسرائيل كشعب ليفعل إرادته وكقناة لبركته للعالم، كما يؤكد سلطته.  ويمكن أن يكون لهذا صلة بمأموريتنا في العصر الحاضر للانطلاق والمناداة بالبشارة.  ويتطلب القيام بهذا إحساساً بالدعوة والسلطة.  ومن وضعنا الأفضل، نرى أنَّ لدينا سلطة الله الذي هو إله </w:t>
      </w:r>
      <w:r w:rsidRPr="00C7130A">
        <w:rPr>
          <w:rtl/>
          <w:lang w:bidi="ar-JO"/>
        </w:rPr>
        <w:lastRenderedPageBreak/>
        <w:t xml:space="preserve">الخليقة (وهو لهذا فوق الكل ومسيطر على الكل) بالإضافة إلى ضمان أن ربنا وعمله </w:t>
      </w:r>
      <w:r w:rsidRPr="00C7130A">
        <w:rPr>
          <w:i/>
          <w:iCs/>
          <w:rtl/>
          <w:lang w:bidi="ar-JO"/>
        </w:rPr>
        <w:t xml:space="preserve">على الصليب قد نالا مصادقةً وتأكيداً عليهما </w:t>
      </w:r>
      <w:r w:rsidRPr="00C7130A">
        <w:rPr>
          <w:rtl/>
          <w:lang w:bidi="ar-JO"/>
        </w:rPr>
        <w:t>بقيامة يسوع المسيح!</w:t>
      </w:r>
    </w:p>
    <w:p w14:paraId="35BC688E" w14:textId="77777777" w:rsidR="00C252DA" w:rsidRPr="00C7130A" w:rsidRDefault="00C252DA" w:rsidP="004626D4">
      <w:pPr>
        <w:rPr>
          <w:bCs/>
          <w:szCs w:val="28"/>
          <w:rtl/>
          <w:lang w:bidi="ar-JO"/>
        </w:rPr>
      </w:pPr>
    </w:p>
    <w:p w14:paraId="1803D858" w14:textId="77777777" w:rsidR="00C252DA" w:rsidRPr="00C7130A" w:rsidRDefault="00C252DA" w:rsidP="000558B7">
      <w:pPr>
        <w:pStyle w:val="Heading3"/>
        <w:rPr>
          <w:rtl/>
          <w:lang w:bidi="ar-JO"/>
        </w:rPr>
      </w:pPr>
      <w:bookmarkStart w:id="66" w:name="_Toc193030915"/>
      <w:r w:rsidRPr="00C7130A">
        <w:rPr>
          <w:rtl/>
          <w:lang w:bidi="ar-JO"/>
        </w:rPr>
        <w:t>2.</w:t>
      </w:r>
      <w:r w:rsidRPr="00C7130A">
        <w:rPr>
          <w:rtl/>
          <w:lang w:bidi="ar-JO"/>
        </w:rPr>
        <w:tab/>
        <w:t xml:space="preserve">دور </w:t>
      </w:r>
      <w:r w:rsidRPr="00C7130A">
        <w:rPr>
          <w:rtl/>
        </w:rPr>
        <w:t>سفر ال</w:t>
      </w:r>
      <w:r w:rsidRPr="00C7130A">
        <w:rPr>
          <w:rtl/>
          <w:lang w:bidi="ar-JO"/>
        </w:rPr>
        <w:t>تكوين في الأدب التاريخي</w:t>
      </w:r>
      <w:bookmarkEnd w:id="66"/>
    </w:p>
    <w:p w14:paraId="668F69C1" w14:textId="77777777" w:rsidR="00C252DA" w:rsidRPr="00C7130A" w:rsidRDefault="00C252DA" w:rsidP="004626D4">
      <w:pPr>
        <w:rPr>
          <w:rtl/>
          <w:lang w:bidi="ar-JO"/>
        </w:rPr>
      </w:pPr>
      <w:r w:rsidRPr="00C7130A">
        <w:rPr>
          <w:rtl/>
          <w:lang w:bidi="ar-JO"/>
        </w:rPr>
        <w:t>يقول إليوت جونسون إن القصد من الأدب التاريخي للعهد القديم هو:</w:t>
      </w:r>
    </w:p>
    <w:p w14:paraId="26D8FD63" w14:textId="77777777" w:rsidR="00C252DA" w:rsidRPr="00C7130A" w:rsidRDefault="00C252DA" w:rsidP="004626D4">
      <w:pPr>
        <w:rPr>
          <w:rtl/>
          <w:lang w:bidi="ar-JO"/>
        </w:rPr>
      </w:pPr>
      <w:r w:rsidRPr="00C7130A">
        <w:rPr>
          <w:rtl/>
          <w:lang w:bidi="ar-JO"/>
        </w:rPr>
        <w:t>"لتنمية الإيمان بيهوه</w:t>
      </w:r>
    </w:p>
    <w:p w14:paraId="6D7D847F" w14:textId="77777777" w:rsidR="00C252DA" w:rsidRPr="00C7130A" w:rsidRDefault="00C252DA" w:rsidP="004626D4">
      <w:pPr>
        <w:rPr>
          <w:rtl/>
          <w:lang w:bidi="ar-JO"/>
        </w:rPr>
      </w:pPr>
      <w:r w:rsidRPr="00C7130A">
        <w:rPr>
          <w:rtl/>
          <w:lang w:bidi="ar-JO"/>
        </w:rPr>
        <w:t>الذي يعمل على ترسيخ حكمه على النسل الذي اختاره</w:t>
      </w:r>
    </w:p>
    <w:p w14:paraId="0350EB8F" w14:textId="77777777" w:rsidR="00C252DA" w:rsidRPr="00C7130A" w:rsidRDefault="00C252DA" w:rsidP="004626D4">
      <w:pPr>
        <w:rPr>
          <w:rtl/>
        </w:rPr>
      </w:pPr>
      <w:r w:rsidRPr="00C7130A">
        <w:rPr>
          <w:rtl/>
          <w:lang w:bidi="ar-JO"/>
        </w:rPr>
        <w:t>لكي يبارك العالم في نهاية الأمر من خلال هذا النسل."</w:t>
      </w:r>
      <w:r w:rsidRPr="00C7130A">
        <w:rPr>
          <w:sz w:val="30"/>
          <w:szCs w:val="28"/>
          <w:vertAlign w:val="superscript"/>
          <w:rtl/>
          <w:lang w:bidi="ar-JO"/>
        </w:rPr>
        <w:footnoteReference w:customMarkFollows="1" w:id="3"/>
        <w:t>2</w:t>
      </w:r>
    </w:p>
    <w:p w14:paraId="52698452" w14:textId="77777777" w:rsidR="00C252DA" w:rsidRPr="00C7130A" w:rsidRDefault="00C252DA" w:rsidP="004626D4">
      <w:pPr>
        <w:rPr>
          <w:rtl/>
          <w:lang w:bidi="ar-JO"/>
        </w:rPr>
      </w:pPr>
    </w:p>
    <w:p w14:paraId="3506208C" w14:textId="1F265FA7" w:rsidR="00C252DA" w:rsidRPr="00C7130A" w:rsidRDefault="00C252DA" w:rsidP="004626D4">
      <w:pPr>
        <w:rPr>
          <w:rtl/>
          <w:lang w:bidi="ar-JO"/>
        </w:rPr>
      </w:pPr>
      <w:r w:rsidRPr="00C7130A">
        <w:rPr>
          <w:rtl/>
          <w:lang w:bidi="ar-JO"/>
        </w:rPr>
        <w:t>إن جزءاً أساسياً من قصد الله الشامل هو خلق "النسل" الذي سيعمل من خلاله. ولا</w:t>
      </w:r>
      <w:r w:rsidR="008C5865" w:rsidRPr="00C7130A">
        <w:rPr>
          <w:rtl/>
          <w:lang w:bidi="ar-JO"/>
        </w:rPr>
        <w:t xml:space="preserve"> </w:t>
      </w:r>
      <w:r w:rsidRPr="00C7130A">
        <w:rPr>
          <w:rtl/>
          <w:lang w:bidi="ar-JO"/>
        </w:rPr>
        <w:t>شك</w:t>
      </w:r>
      <w:r w:rsidR="008C5865" w:rsidRPr="00C7130A">
        <w:rPr>
          <w:rtl/>
          <w:lang w:bidi="ar-JO"/>
        </w:rPr>
        <w:t>ّ</w:t>
      </w:r>
      <w:r w:rsidRPr="00C7130A">
        <w:rPr>
          <w:rtl/>
          <w:lang w:bidi="ar-JO"/>
        </w:rPr>
        <w:t xml:space="preserve"> أن هنالك حاجة لمثل هذا النسل.  تضعنا الأصحاحات 1-11 من سفر التكوين في مواجهة الحقيقة المؤلمة للتأثير السرطاني للخطيّة.  لم يسع الإنسان وراء الله ولم يقترب من خالقه. لكن الإنسان تمرَّد على الله، مما أدى إلى اضطرار الله لإحباط هذا التمرُّد بتشتيت الأمم وتغريقها (تكوين 10-11).  نتيجةً لذلك فُقِدَت البركات.  وقد كانت نيّة الله هي أن يشرك الإنسان في سلطانه –أن يشترك الإنسان في ممارسة السلطة مع الله على الخليقة.  وباختصار، قصد الله أن يحكم الإنسان معه، لكن بأسلوب أقل أو خاضع له (انظر تكوين 1: 26-28).  أراد الله أن يشرك الإنسان المطيع الخاضع والعابد له في حكمه وبركاته.</w:t>
      </w:r>
    </w:p>
    <w:p w14:paraId="471B74C6" w14:textId="77777777" w:rsidR="00C252DA" w:rsidRPr="00C7130A" w:rsidRDefault="00C252DA" w:rsidP="004626D4">
      <w:pPr>
        <w:rPr>
          <w:rtl/>
          <w:lang w:bidi="ar-JO"/>
        </w:rPr>
      </w:pPr>
    </w:p>
    <w:p w14:paraId="035BA893" w14:textId="1E304889" w:rsidR="00C252DA" w:rsidRPr="00C7130A" w:rsidRDefault="00C252DA" w:rsidP="004626D4">
      <w:pPr>
        <w:rPr>
          <w:rtl/>
        </w:rPr>
      </w:pPr>
      <w:r w:rsidRPr="00C7130A">
        <w:rPr>
          <w:rtl/>
          <w:lang w:bidi="ar-JO"/>
        </w:rPr>
        <w:t xml:space="preserve">وفي ضوء تفرّق كل الأمم في تكوين 11، كان ضرورياً أن يقيم الله </w:t>
      </w:r>
      <w:r w:rsidRPr="00C7130A">
        <w:rPr>
          <w:u w:val="single"/>
          <w:rtl/>
          <w:lang w:bidi="ar-JO"/>
        </w:rPr>
        <w:t>أمّة</w:t>
      </w:r>
      <w:r w:rsidRPr="00C7130A">
        <w:rPr>
          <w:rtl/>
          <w:lang w:bidi="ar-JO"/>
        </w:rPr>
        <w:t xml:space="preserve"> </w:t>
      </w:r>
      <w:r w:rsidRPr="00C7130A">
        <w:rPr>
          <w:u w:val="single"/>
          <w:rtl/>
          <w:lang w:bidi="ar-JO"/>
        </w:rPr>
        <w:t>واحدة</w:t>
      </w:r>
      <w:r w:rsidRPr="00C7130A">
        <w:rPr>
          <w:rtl/>
          <w:lang w:bidi="ar-JO"/>
        </w:rPr>
        <w:t xml:space="preserve"> تخضع له وتصبح قناة بركته لكل شعوب العالم الأخرى.  هذه هي نقطة التركيز في الأسفار الخمسة.  ويعبر سيجال عن هذه الفكرة كما يلي: "... إن الفكرة المركزية للأسفار الخمسة هي اختيار إسرائيل من بين الأمم وتكريسها لخدمة الله وشرائعه في أرض معينه منه."</w:t>
      </w:r>
      <w:r w:rsidRPr="00C7130A">
        <w:rPr>
          <w:sz w:val="30"/>
          <w:szCs w:val="28"/>
          <w:vertAlign w:val="superscript"/>
          <w:rtl/>
          <w:lang w:bidi="ar-JO"/>
        </w:rPr>
        <w:footnoteReference w:customMarkFollows="1" w:id="4"/>
        <w:t>3</w:t>
      </w:r>
      <w:r w:rsidRPr="00C7130A">
        <w:rPr>
          <w:rtl/>
          <w:lang w:bidi="ar-JO"/>
        </w:rPr>
        <w:t xml:space="preserve"> ويتابع قوله: "إن الحدث المركزي في تطور هذه الفكرة أو الموضوع هو العهد الإلهي مع إبراهيم ووعده الثنائي بأن يجعل من ذريته </w:t>
      </w:r>
      <w:r w:rsidRPr="00C7130A">
        <w:rPr>
          <w:u w:val="single"/>
          <w:rtl/>
          <w:lang w:bidi="ar-JO"/>
        </w:rPr>
        <w:t>شعب</w:t>
      </w:r>
      <w:r w:rsidRPr="00C7130A">
        <w:rPr>
          <w:rtl/>
          <w:lang w:bidi="ar-JO"/>
        </w:rPr>
        <w:t xml:space="preserve"> الله وأن يعطيهم أرض كنعان كميراث أبدي."</w:t>
      </w:r>
      <w:r w:rsidRPr="00C7130A">
        <w:rPr>
          <w:sz w:val="30"/>
          <w:szCs w:val="28"/>
          <w:vertAlign w:val="superscript"/>
          <w:rtl/>
          <w:lang w:bidi="ar-JO"/>
        </w:rPr>
        <w:footnoteReference w:customMarkFollows="1" w:id="5"/>
        <w:t>4</w:t>
      </w:r>
    </w:p>
    <w:p w14:paraId="6E5EBE4E" w14:textId="77777777" w:rsidR="00C252DA" w:rsidRPr="00C7130A" w:rsidRDefault="00C252DA" w:rsidP="004626D4">
      <w:pPr>
        <w:rPr>
          <w:rtl/>
        </w:rPr>
      </w:pPr>
    </w:p>
    <w:p w14:paraId="43B7AB4D" w14:textId="77777777" w:rsidR="00C252DA" w:rsidRPr="00C7130A" w:rsidRDefault="00C252DA" w:rsidP="000558B7">
      <w:pPr>
        <w:pStyle w:val="Heading3"/>
        <w:rPr>
          <w:rtl/>
          <w:lang w:bidi="ar-JO"/>
        </w:rPr>
      </w:pPr>
      <w:bookmarkStart w:id="67" w:name="_Toc193030916"/>
      <w:r w:rsidRPr="00C7130A">
        <w:rPr>
          <w:rtl/>
          <w:lang w:bidi="ar-JO"/>
        </w:rPr>
        <w:t>3.</w:t>
      </w:r>
      <w:r w:rsidRPr="00C7130A">
        <w:rPr>
          <w:rtl/>
          <w:lang w:bidi="ar-JO"/>
        </w:rPr>
        <w:tab/>
        <w:t>غرض سفر التكوين</w:t>
      </w:r>
      <w:bookmarkEnd w:id="67"/>
      <w:r w:rsidRPr="00C7130A">
        <w:rPr>
          <w:rtl/>
          <w:lang w:bidi="ar-JO"/>
        </w:rPr>
        <w:t xml:space="preserve"> </w:t>
      </w:r>
    </w:p>
    <w:p w14:paraId="78337146" w14:textId="77777777" w:rsidR="00C252DA" w:rsidRPr="00C7130A" w:rsidRDefault="00C252DA" w:rsidP="004C1849">
      <w:pPr>
        <w:rPr>
          <w:rtl/>
          <w:lang w:bidi="ar-JO"/>
        </w:rPr>
      </w:pPr>
      <w:r w:rsidRPr="00C7130A">
        <w:rPr>
          <w:rtl/>
          <w:lang w:bidi="ar-JO"/>
        </w:rPr>
        <w:lastRenderedPageBreak/>
        <w:t>هدف سفر التكوين بشكل رئيسي هو تأسيس الثيوقراطية (الحكم الإلهي، الحكم الديني)، خاصة أن أصل الأمة يعود إلى علاقة العهد غير المشروط مع يهوه، الله الخالق.  وبالنسبة لجيل الخروج، كما هو الحال للأجيال التالية أيضاً، كان القصد هو فرزهم للإيمان والطاعة من خلال تعريفهم بأصول الأمة.  ويبيّن سفر التكوين لا شرعية وجود الأمة فحسب، بل أيضاً ضرورة تجاوبهم بالإيمان مع وعود يهوه.</w:t>
      </w:r>
    </w:p>
    <w:p w14:paraId="688D957F" w14:textId="77777777" w:rsidR="00C252DA" w:rsidRPr="00C7130A" w:rsidRDefault="00C252DA" w:rsidP="004C1849">
      <w:pPr>
        <w:rPr>
          <w:rtl/>
          <w:lang w:bidi="ar-JO"/>
        </w:rPr>
      </w:pPr>
      <w:r w:rsidRPr="00C7130A">
        <w:rPr>
          <w:rtl/>
          <w:lang w:bidi="ar-JO"/>
        </w:rPr>
        <w:t xml:space="preserve">واختيار إسرائيل حسب العهد الإبراهيمي وتأسيسها فيه هما أساس مغادرتهم مصر إلى كنعان.  غير أن وسيلة الحصول على وعود يهوه هي </w:t>
      </w:r>
      <w:r w:rsidRPr="00C7130A">
        <w:rPr>
          <w:u w:val="single"/>
          <w:rtl/>
          <w:lang w:bidi="ar-JO"/>
        </w:rPr>
        <w:t>الإيمان</w:t>
      </w:r>
      <w:r w:rsidRPr="00C7130A">
        <w:rPr>
          <w:rtl/>
          <w:lang w:bidi="ar-JO"/>
        </w:rPr>
        <w:t>.  والإيمان هو الدرس العظيم الذي يعلّمنا إياه تكوين 12-50.  وفي ضوء هذا، يمكننا أن نصوغ ملخصاً لأطروحة سفر التكوين:</w:t>
      </w:r>
    </w:p>
    <w:p w14:paraId="1AAD07C6" w14:textId="77777777" w:rsidR="00C252DA" w:rsidRPr="00C7130A" w:rsidRDefault="00C252DA" w:rsidP="004C1849">
      <w:pPr>
        <w:rPr>
          <w:rtl/>
          <w:lang w:bidi="ar-JO"/>
        </w:rPr>
      </w:pPr>
      <w:r w:rsidRPr="00C7130A">
        <w:rPr>
          <w:rtl/>
          <w:lang w:bidi="ar-JO"/>
        </w:rPr>
        <w:t>تعريف الأمة بأصلها في الاختيار والوعد.</w:t>
      </w:r>
    </w:p>
    <w:p w14:paraId="7B0FFA36" w14:textId="77777777" w:rsidR="00C252DA" w:rsidRPr="00C7130A" w:rsidRDefault="00C252DA" w:rsidP="004C1849">
      <w:pPr>
        <w:rPr>
          <w:rtl/>
          <w:lang w:bidi="ar-JO"/>
        </w:rPr>
      </w:pPr>
    </w:p>
    <w:p w14:paraId="2EFEEE2B" w14:textId="77777777" w:rsidR="00C252DA" w:rsidRPr="00C7130A" w:rsidRDefault="00C252DA" w:rsidP="004C1849">
      <w:pPr>
        <w:rPr>
          <w:rtl/>
        </w:rPr>
      </w:pPr>
      <w:r w:rsidRPr="00C7130A">
        <w:rPr>
          <w:rtl/>
          <w:lang w:bidi="ar-JO"/>
        </w:rPr>
        <w:t xml:space="preserve">تعرّف الأصحاحات 1-11 الأمة بأصلها في </w:t>
      </w:r>
      <w:r w:rsidRPr="00C7130A">
        <w:rPr>
          <w:u w:val="single"/>
          <w:rtl/>
          <w:lang w:bidi="ar-JO"/>
        </w:rPr>
        <w:t>الاختيار</w:t>
      </w:r>
      <w:r w:rsidRPr="00C7130A">
        <w:rPr>
          <w:rtl/>
          <w:lang w:bidi="ar-JO"/>
        </w:rPr>
        <w:t>.  ويبدو أن هذه الأصحاحات تهدف إلى شرح "سبب فرز عبادة شعب خاص، هو إسرائيل، لله في العالم، في أرض خاصة هي كنعان."</w:t>
      </w:r>
      <w:r w:rsidRPr="00C7130A">
        <w:rPr>
          <w:sz w:val="30"/>
          <w:szCs w:val="28"/>
          <w:vertAlign w:val="superscript"/>
          <w:rtl/>
          <w:lang w:bidi="ar-JO"/>
        </w:rPr>
        <w:footnoteReference w:customMarkFollows="1" w:id="6"/>
        <w:t>5</w:t>
      </w:r>
    </w:p>
    <w:p w14:paraId="0503A78A" w14:textId="77777777" w:rsidR="00C252DA" w:rsidRPr="00C7130A" w:rsidRDefault="00C252DA" w:rsidP="004C1849">
      <w:pPr>
        <w:rPr>
          <w:rtl/>
        </w:rPr>
      </w:pPr>
      <w:r w:rsidRPr="00C7130A">
        <w:rPr>
          <w:rtl/>
          <w:lang w:bidi="ar-JO"/>
        </w:rPr>
        <w:t xml:space="preserve">تعرّف الأصحاحات 12-50 الأمة بأصلها في </w:t>
      </w:r>
      <w:r w:rsidRPr="00C7130A">
        <w:rPr>
          <w:u w:val="single"/>
          <w:rtl/>
          <w:lang w:bidi="ar-JO"/>
        </w:rPr>
        <w:t>الوعد</w:t>
      </w:r>
      <w:r w:rsidRPr="00C7130A">
        <w:rPr>
          <w:rtl/>
          <w:lang w:bidi="ar-JO"/>
        </w:rPr>
        <w:t>.  إذ يفرز يهوه الناس لنفسه بالوعد، أي أن البركة الموعودة تحصَّل بالإيمان الذي يُفرَز الناس من خلاله ليهوه.</w:t>
      </w:r>
    </w:p>
    <w:p w14:paraId="783F0A48" w14:textId="77777777" w:rsidR="00C252DA" w:rsidRPr="00C7130A" w:rsidRDefault="00C252DA" w:rsidP="004C1849">
      <w:pPr>
        <w:rPr>
          <w:rtl/>
          <w:lang w:bidi="ar-KW"/>
        </w:rPr>
      </w:pPr>
    </w:p>
    <w:p w14:paraId="257A725B" w14:textId="77777777" w:rsidR="00C252DA" w:rsidRPr="00C7130A" w:rsidRDefault="00C252DA" w:rsidP="000558B7">
      <w:pPr>
        <w:pStyle w:val="Heading3"/>
        <w:rPr>
          <w:rtl/>
          <w:lang w:bidi="ar-JO"/>
        </w:rPr>
      </w:pPr>
      <w:bookmarkStart w:id="68" w:name="_Toc193030917"/>
      <w:r w:rsidRPr="00C7130A">
        <w:rPr>
          <w:rtl/>
          <w:lang w:bidi="ar-JO"/>
        </w:rPr>
        <w:t>4.</w:t>
      </w:r>
      <w:r w:rsidRPr="00C7130A">
        <w:rPr>
          <w:rtl/>
          <w:lang w:bidi="ar-JO"/>
        </w:rPr>
        <w:tab/>
        <w:t>بنية سفر التكوين</w:t>
      </w:r>
      <w:bookmarkEnd w:id="68"/>
      <w:r w:rsidRPr="00C7130A">
        <w:rPr>
          <w:rtl/>
          <w:lang w:bidi="ar-JO"/>
        </w:rPr>
        <w:t xml:space="preserve"> </w:t>
      </w:r>
    </w:p>
    <w:p w14:paraId="6581CCD2" w14:textId="77777777" w:rsidR="00C252DA" w:rsidRPr="00C7130A" w:rsidRDefault="00C252DA" w:rsidP="004C1849">
      <w:pPr>
        <w:rPr>
          <w:rtl/>
          <w:lang w:bidi="ar-JO"/>
        </w:rPr>
      </w:pPr>
      <w:r w:rsidRPr="00C7130A">
        <w:rPr>
          <w:rtl/>
          <w:lang w:bidi="ar-JO"/>
        </w:rPr>
        <w:t>تعتمد بنية السفر على مخطط</w:t>
      </w:r>
      <w:r w:rsidRPr="00C7130A">
        <w:rPr>
          <w:rtl/>
        </w:rPr>
        <w:t xml:space="preserve"> </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w:t>
      </w:r>
      <w:r w:rsidRPr="00C7130A">
        <w:rPr>
          <w:u w:val="single"/>
          <w:rtl/>
          <w:lang w:bidi="ar-JO"/>
        </w:rPr>
        <w:t>توليدوت)</w:t>
      </w:r>
      <w:r w:rsidRPr="00C7130A">
        <w:rPr>
          <w:rtl/>
          <w:lang w:bidi="ar-JO"/>
        </w:rPr>
        <w:t>.  إن إحدى الملاحظات الهامّة حول سفر التكوين هي استخدام الكاتب المتكرر لهذه الكلمة الهامّة في بنية السفر،</w:t>
      </w:r>
      <w:r w:rsidRPr="00C7130A">
        <w:rPr>
          <w:rtl/>
        </w:rPr>
        <w:t xml:space="preserve"> </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w:t>
      </w:r>
      <w:r w:rsidRPr="00C7130A">
        <w:rPr>
          <w:u w:val="single"/>
          <w:rtl/>
          <w:lang w:bidi="ar-JO"/>
        </w:rPr>
        <w:t>توليدوت</w:t>
      </w:r>
      <w:r w:rsidRPr="00C7130A">
        <w:rPr>
          <w:rtl/>
          <w:lang w:bidi="ar-JO"/>
        </w:rPr>
        <w:t>.  وهي تأتي عادة ضمن عبارة "هذه مواليد ...".  وصِيَغ</w:t>
      </w:r>
      <w:r w:rsidRPr="00C7130A">
        <w:rPr>
          <w:rtl/>
        </w:rPr>
        <w:t xml:space="preserve"> </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(توليدوت) هي أساس بنية هذا السفر.</w:t>
      </w:r>
    </w:p>
    <w:p w14:paraId="3F9B843B" w14:textId="77777777" w:rsidR="00C252DA" w:rsidRPr="00C7130A" w:rsidRDefault="00C252DA" w:rsidP="004C1849">
      <w:pPr>
        <w:rPr>
          <w:rtl/>
          <w:lang w:bidi="ar-JO"/>
        </w:rPr>
      </w:pPr>
    </w:p>
    <w:p w14:paraId="4C2CB382" w14:textId="77777777" w:rsidR="00C252DA" w:rsidRPr="00C7130A" w:rsidRDefault="00C252DA" w:rsidP="004C1849">
      <w:pPr>
        <w:rPr>
          <w:rtl/>
          <w:lang w:bidi="ar-JO"/>
        </w:rPr>
      </w:pPr>
      <w:r w:rsidRPr="00C7130A">
        <w:rPr>
          <w:rtl/>
          <w:lang w:bidi="ar-JO"/>
        </w:rPr>
        <w:t>إن كلمة</w:t>
      </w:r>
      <w:r w:rsidRPr="00C7130A">
        <w:rPr>
          <w:rtl/>
        </w:rPr>
        <w:t xml:space="preserve"> </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(توليدوت – مواليد) مشتقة من الكلمة العبرية </w:t>
      </w:r>
      <w:r w:rsidRPr="00C7130A">
        <w:rPr>
          <w:i/>
          <w:iCs/>
          <w:rtl/>
          <w:lang w:bidi="ar-JO"/>
        </w:rPr>
        <w:t>يالاد</w:t>
      </w:r>
      <w:r w:rsidRPr="00C7130A">
        <w:rPr>
          <w:i/>
          <w:iCs/>
          <w:rtl/>
        </w:rPr>
        <w:t xml:space="preserve"> </w:t>
      </w:r>
      <w:r w:rsidRPr="00C7130A">
        <w:rPr>
          <w:bCs/>
          <w:i/>
          <w:iCs/>
          <w:lang w:bidi="ar-JO"/>
        </w:rPr>
        <w:t>yālaḏ</w:t>
      </w:r>
      <w:r w:rsidRPr="00C7130A">
        <w:rPr>
          <w:i/>
          <w:iCs/>
          <w:rtl/>
          <w:lang w:bidi="ar-JO"/>
        </w:rPr>
        <w:t xml:space="preserve"> </w:t>
      </w:r>
      <w:r w:rsidRPr="00C7130A">
        <w:rPr>
          <w:rtl/>
          <w:lang w:bidi="ar-JO"/>
        </w:rPr>
        <w:t>التي تعني "يحمل أو يولِّد" مع جذر هِف</w:t>
      </w:r>
      <w:r w:rsidRPr="00C7130A">
        <w:rPr>
          <w:rtl/>
        </w:rPr>
        <w:t>عي</w:t>
      </w:r>
      <w:r w:rsidRPr="00C7130A">
        <w:rPr>
          <w:rtl/>
          <w:lang w:bidi="ar-JO"/>
        </w:rPr>
        <w:t>ِل (</w:t>
      </w:r>
      <w:r w:rsidRPr="00C7130A">
        <w:rPr>
          <w:i/>
          <w:iCs/>
          <w:u w:val="single"/>
        </w:rPr>
        <w:t>hiphil</w:t>
      </w:r>
      <w:r w:rsidRPr="00C7130A">
        <w:rPr>
          <w:u w:val="single"/>
          <w:rtl/>
          <w:lang w:bidi="ar-KW"/>
        </w:rPr>
        <w:t>)</w:t>
      </w:r>
      <w:r w:rsidRPr="00C7130A">
        <w:rPr>
          <w:rtl/>
          <w:lang w:bidi="ar-JO"/>
        </w:rPr>
        <w:t xml:space="preserve"> الذي يعبّر عن فكرة أن "يلِد، أن يُنجِب."  ويبدو أنها لا بد أن تشير إلى ما يُنتَج، وهكذا يصوّر كل عنوان جديد يحمل كلمة</w:t>
      </w:r>
      <w:r w:rsidRPr="00C7130A">
        <w:rPr>
          <w:rtl/>
        </w:rPr>
        <w:t xml:space="preserve"> </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(توليدوت) </w:t>
      </w:r>
      <w:r w:rsidRPr="00C7130A">
        <w:rPr>
          <w:u w:val="single"/>
          <w:rtl/>
          <w:lang w:bidi="ar-JO"/>
        </w:rPr>
        <w:t>النتيجة</w:t>
      </w:r>
      <w:r w:rsidRPr="00C7130A">
        <w:rPr>
          <w:rtl/>
          <w:lang w:bidi="ar-JO"/>
        </w:rPr>
        <w:t xml:space="preserve"> </w:t>
      </w:r>
      <w:r w:rsidRPr="00C7130A">
        <w:rPr>
          <w:u w:val="single"/>
          <w:rtl/>
          <w:lang w:bidi="ar-JO"/>
        </w:rPr>
        <w:t>التاريخية</w:t>
      </w:r>
      <w:r w:rsidRPr="00C7130A">
        <w:rPr>
          <w:rtl/>
          <w:lang w:bidi="ar-JO"/>
        </w:rPr>
        <w:t xml:space="preserve"> لسلف معين.  ويمكننا أن نعيد صياغة هذه العبارة على النحو التالي، "هذا هو ما حدث لـ...، أو هذا هو ما آل إليه مصير...." ويوضح روس هذه الفكرة في ما يتعلق بتكوين 2: 4:</w:t>
      </w:r>
    </w:p>
    <w:p w14:paraId="69EF6787" w14:textId="77777777" w:rsidR="00C252DA" w:rsidRPr="00C7130A" w:rsidRDefault="00C252DA" w:rsidP="004C1849">
      <w:pPr>
        <w:rPr>
          <w:rtl/>
        </w:rPr>
      </w:pPr>
      <w:r w:rsidRPr="00C7130A">
        <w:rPr>
          <w:rtl/>
          <w:lang w:bidi="ar-JO"/>
        </w:rPr>
        <w:lastRenderedPageBreak/>
        <w:t>إذاً يمكننا أن نفهم الإشارة إلى تكوين 2: 4 على أنها النتيجة التاريخية للعالم (</w:t>
      </w:r>
      <w:r w:rsidRPr="00C7130A">
        <w:t>cosmos</w:t>
      </w:r>
      <w:r w:rsidRPr="00C7130A">
        <w:rPr>
          <w:rtl/>
        </w:rPr>
        <w:t>)</w:t>
      </w:r>
      <w:r w:rsidRPr="00C7130A">
        <w:rPr>
          <w:rtl/>
          <w:lang w:bidi="ar-JO"/>
        </w:rPr>
        <w:t xml:space="preserve">، وتقدم 2: 4-4: 26 للقارئ </w:t>
      </w:r>
      <w:r w:rsidRPr="00C7130A">
        <w:rPr>
          <w:u w:val="single"/>
          <w:rtl/>
          <w:lang w:bidi="ar-JO"/>
        </w:rPr>
        <w:t>ما حدث</w:t>
      </w:r>
      <w:r w:rsidRPr="00C7130A">
        <w:rPr>
          <w:rtl/>
          <w:lang w:bidi="ar-JO"/>
        </w:rPr>
        <w:t xml:space="preserve"> للسماء والأرض.  وطبعاً ما يتبع ذلك هو قصة السقوط، وقتل هابيل، وتطوّر الخطية مع الحضارة.  ولن تقدم القصة رواية خلق أخرى؛ وستُكمِل الرواية من نقطة ذروة الخليقة (التي تكرَّرت في تكوين 2) إلى فساد الخليقة بالخطية.  وهذا هو ما حدث لها.</w:t>
      </w:r>
      <w:r w:rsidRPr="00C7130A">
        <w:rPr>
          <w:sz w:val="30"/>
          <w:szCs w:val="28"/>
          <w:vertAlign w:val="superscript"/>
          <w:rtl/>
          <w:lang w:bidi="ar-JO"/>
        </w:rPr>
        <w:footnoteReference w:customMarkFollows="1" w:id="7"/>
        <w:t>6</w:t>
      </w:r>
    </w:p>
    <w:p w14:paraId="20639610" w14:textId="77777777" w:rsidR="00C252DA" w:rsidRPr="00C7130A" w:rsidRDefault="00C252DA" w:rsidP="004C1849">
      <w:pPr>
        <w:rPr>
          <w:rtl/>
          <w:lang w:bidi="ar-JO"/>
        </w:rPr>
      </w:pPr>
      <w:r w:rsidRPr="00C7130A">
        <w:rPr>
          <w:rtl/>
          <w:lang w:bidi="ar-JO"/>
        </w:rPr>
        <w:t xml:space="preserve">وهكذا تسبق كلمةُ </w:t>
      </w:r>
      <w:r w:rsidRPr="00C7130A">
        <w:rPr>
          <w:u w:val="single"/>
          <w:rtl/>
          <w:lang w:bidi="ar-JO"/>
        </w:rPr>
        <w:t>توليدوت</w:t>
      </w:r>
      <w:r w:rsidRPr="00C7130A">
        <w:rPr>
          <w:rtl/>
          <w:lang w:bidi="ar-JO"/>
        </w:rPr>
        <w:t xml:space="preserve"> قسماً جديداً وتشير إلى نقلة جديدة.  وليس صاحب المواليد </w:t>
      </w:r>
      <w:r w:rsidRPr="00C7130A">
        <w:rPr>
          <w:u w:val="single"/>
          <w:rtl/>
          <w:lang w:bidi="ar-JO"/>
        </w:rPr>
        <w:t>توليدوت</w:t>
      </w:r>
      <w:r w:rsidRPr="00C7130A">
        <w:rPr>
          <w:rtl/>
          <w:lang w:bidi="ar-JO"/>
        </w:rPr>
        <w:t xml:space="preserve"> بالضرورة الشخصية المركزية للرواية (مثل تارح في 11: 27) فإبراهيم هو الشخصية الأهم في هذا القسم.  والفكرة من كل </w:t>
      </w:r>
      <w:r w:rsidRPr="00C7130A">
        <w:rPr>
          <w:u w:val="single"/>
          <w:rtl/>
          <w:lang w:bidi="ar-JO"/>
        </w:rPr>
        <w:t>توليدوت</w:t>
      </w:r>
      <w:r w:rsidRPr="00C7130A">
        <w:rPr>
          <w:rtl/>
          <w:lang w:bidi="ar-JO"/>
        </w:rPr>
        <w:t xml:space="preserve"> هو القول: "هذا هو ما حدث لـ...." </w:t>
      </w:r>
    </w:p>
    <w:p w14:paraId="2780AC7F" w14:textId="77777777" w:rsidR="00C252DA" w:rsidRPr="00C7130A" w:rsidRDefault="00C252DA" w:rsidP="004C1849">
      <w:pPr>
        <w:rPr>
          <w:rtl/>
          <w:lang w:bidi="ar-JO"/>
        </w:rPr>
      </w:pPr>
      <w:r w:rsidRPr="00C7130A">
        <w:rPr>
          <w:rtl/>
          <w:lang w:bidi="ar-JO"/>
        </w:rPr>
        <w:t xml:space="preserve">عندما ننظر للتوليدوت العديدة المذكورة، نلاحظ عملية تضييق:  نوح، سام، إلخ إلى إبراهيم إلى أن نصل إلى يعقوب ونسله.  من الواضح أن التركيز هو على النسل المختار الذي سينتهي في يسوع المسيح.  ومن حين إلى آخر تُذكر توليدوت شخصٍ معين خارج النسل المختار كمقابلةٍ مع النسل الوارث للموعد.  تُذكر هذه العائلات (أي إسماعيل وعيسو) بسبب ارتباطاتها التاريخية مع النسل المختار.  توضع توليدوت إسماعيل قبل توليدوت إسحق.  وكذلك ترد توليدوت عيسو (أبي الأدوميين الذي بعد فترةٍ صاروا أعداءً جداً لإسرائيل)  قبل توليدوت يعقوب.  يقدِّم الكاتب في هاتين الحالتين النسل الذي لن يحمل البركة الإبراهيمية وينقلها قبل إعطاء معالجة أوسع وأشمل للنسل المختار الذي يحمل البركة وينقلها. </w:t>
      </w:r>
    </w:p>
    <w:p w14:paraId="0E663EF5" w14:textId="77777777" w:rsidR="00C252DA" w:rsidRPr="00C7130A" w:rsidRDefault="00C252DA" w:rsidP="004C1849">
      <w:pPr>
        <w:rPr>
          <w:rtl/>
          <w:lang w:bidi="ar-JO"/>
        </w:rPr>
      </w:pPr>
      <w:r w:rsidRPr="00C7130A">
        <w:rPr>
          <w:rtl/>
          <w:lang w:bidi="ar-JO"/>
        </w:rPr>
        <w:t xml:space="preserve">   </w:t>
      </w:r>
    </w:p>
    <w:p w14:paraId="038A0709" w14:textId="3FA4B2FA" w:rsidR="00C252DA" w:rsidRPr="00C7130A" w:rsidRDefault="00C252DA" w:rsidP="004C1849">
      <w:pPr>
        <w:rPr>
          <w:rtl/>
          <w:lang w:bidi="ar-JO"/>
        </w:rPr>
      </w:pPr>
      <w:r w:rsidRPr="00C7130A">
        <w:rPr>
          <w:rtl/>
          <w:lang w:bidi="ar-JO"/>
        </w:rPr>
        <w:t>توجد ملاحظة أخرى جديرة بالانتباه، ألا وهي التدهور الذي يحدث ضمن كل قسم يتضمن المواليد</w:t>
      </w:r>
      <w:r w:rsidRPr="00C7130A">
        <w:rPr>
          <w:rtl/>
        </w:rPr>
        <w:t xml:space="preserve"> </w:t>
      </w:r>
      <w:r w:rsidRPr="00C7130A">
        <w:rPr>
          <w:rtl/>
          <w:lang w:bidi="ar-KW"/>
        </w:rPr>
        <w:t>(</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w:t>
      </w:r>
      <w:r w:rsidRPr="00C7130A">
        <w:rPr>
          <w:u w:val="single"/>
          <w:rtl/>
          <w:lang w:bidi="ar-JO"/>
        </w:rPr>
        <w:t>توليدوت"</w:t>
      </w:r>
      <w:r w:rsidRPr="00C7130A">
        <w:rPr>
          <w:rtl/>
          <w:lang w:bidi="ar-JO"/>
        </w:rPr>
        <w:t xml:space="preserve">).  إذ نجد بعد كل توليدوت تدهوراً.  فتوليدوت 2: 4 متعلق بسؤال "ماذا حدث للسماوات والأرض؟" والجواب هو أن الخطية دخلت الصورة مصحوبة بسقوط الإنسان والدينونة، ووقوع الأرض تحت لعنة.  ويستمر هذا النمط، حتى بعد تكوين 12: 1-2، مع توتر دائم بين فكرتي البركة واللعنة، حيث ترتبط البركة بشكل رئيسي بوعود الذرية والأرض.  ومن تكوين 12 فصاعداً، يوجد جهاد دائم للبلوغ إلى </w:t>
      </w:r>
      <w:r w:rsidRPr="00C7130A">
        <w:rPr>
          <w:u w:val="single"/>
          <w:rtl/>
          <w:lang w:bidi="ar-JO"/>
        </w:rPr>
        <w:t>مكان</w:t>
      </w:r>
      <w:r w:rsidRPr="00C7130A">
        <w:rPr>
          <w:rtl/>
          <w:lang w:bidi="ar-JO"/>
        </w:rPr>
        <w:t xml:space="preserve"> </w:t>
      </w:r>
      <w:r w:rsidRPr="00C7130A">
        <w:rPr>
          <w:u w:val="single"/>
          <w:rtl/>
          <w:lang w:bidi="ar-JO"/>
        </w:rPr>
        <w:t>بركة الراحة</w:t>
      </w:r>
      <w:r w:rsidRPr="00C7130A">
        <w:rPr>
          <w:rtl/>
          <w:lang w:bidi="ar-JO"/>
        </w:rPr>
        <w:t xml:space="preserve">، لكن التدهور يرافق كل رواية تالية، فالآباء التالون لا يرتفعون إلى مستوى الآباء الأولين.  وما يدهشنا هو الحالة غير المتوقعة للعائلة المختارة في نهاية سفر التكوين! فنحن نجد العائلة في مصر، لا في أرض البركة.  يعبّر كدنر عن مصيبتها على النحو </w:t>
      </w:r>
      <w:r w:rsidR="004C1849" w:rsidRPr="00C7130A">
        <w:rPr>
          <w:rFonts w:hint="cs"/>
          <w:rtl/>
          <w:lang w:bidi="ar-JO"/>
        </w:rPr>
        <w:t xml:space="preserve">التالي: </w:t>
      </w:r>
      <w:r w:rsidR="004C1849">
        <w:rPr>
          <w:rFonts w:hint="cs"/>
          <w:rtl/>
          <w:lang w:bidi="ar-JO"/>
        </w:rPr>
        <w:t>"</w:t>
      </w:r>
      <w:r w:rsidRPr="00C7130A">
        <w:rPr>
          <w:rtl/>
          <w:lang w:bidi="ar-JO"/>
        </w:rPr>
        <w:t xml:space="preserve">لقد سافر الإنسان من جنة عدن إلى </w:t>
      </w:r>
      <w:r w:rsidRPr="00C7130A">
        <w:rPr>
          <w:u w:val="single"/>
          <w:rtl/>
          <w:lang w:bidi="ar-JO"/>
        </w:rPr>
        <w:t>تابوت</w:t>
      </w:r>
      <w:r w:rsidRPr="00C7130A">
        <w:rPr>
          <w:rtl/>
          <w:lang w:bidi="ar-JO"/>
        </w:rPr>
        <w:t>، وسافرت العائلة المختارة بعيداً عن كنعان إلى مصر.."</w:t>
      </w:r>
      <w:r w:rsidRPr="00C7130A">
        <w:rPr>
          <w:sz w:val="28"/>
          <w:szCs w:val="28"/>
          <w:vertAlign w:val="superscript"/>
          <w:rtl/>
          <w:lang w:bidi="ar-JO"/>
        </w:rPr>
        <w:footnoteReference w:customMarkFollows="1" w:id="8"/>
        <w:t>7</w:t>
      </w:r>
      <w:r w:rsidRPr="00C7130A">
        <w:rPr>
          <w:rtl/>
          <w:lang w:bidi="ar-JO"/>
        </w:rPr>
        <w:t xml:space="preserve"> بدأ الله برنامجه بإبراهيم.  وفي نهاية المطاف نما إيمان إبراهيم وبرهن نفسه، لكن مع انقضاء كل جيل من الآباء، كان هنالك انحدار أو انحطاط في علاقتهم الإيمانية بيهوه.  وينتهي سفر التكوين بملاحظة حزينة لوجود يعقوب في كفنه في مصر، بعيداً عن أرض الموعد والبركة.  وفي ختام سفر التكوين نجد النسل، لكننا لا نجد الأرض.</w:t>
      </w:r>
    </w:p>
    <w:p w14:paraId="6AB17E8D" w14:textId="77777777" w:rsidR="00C252DA" w:rsidRPr="00C7130A" w:rsidRDefault="00C252DA"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3650D24C" w14:textId="77777777" w:rsidR="00C252DA" w:rsidRPr="00C7130A" w:rsidRDefault="00C252DA" w:rsidP="00C7130A">
      <w:pPr>
        <w:rPr>
          <w:rFonts w:eastAsia="Times New Roman"/>
          <w:kern w:val="0"/>
          <w:szCs w:val="18"/>
          <w:rtl/>
          <w14:ligatures w14:val="none"/>
        </w:rPr>
      </w:pPr>
    </w:p>
    <w:p w14:paraId="55A076BD" w14:textId="77777777" w:rsidR="00C252DA" w:rsidRPr="004C1849" w:rsidRDefault="00C252DA" w:rsidP="00C7130A">
      <w:pPr>
        <w:jc w:val="center"/>
        <w:rPr>
          <w:rFonts w:eastAsia="Times New Roman"/>
          <w:bCs/>
          <w:kern w:val="0"/>
          <w:u w:val="single"/>
          <w:rtl/>
          <w:lang w:bidi="ar-JO"/>
          <w14:ligatures w14:val="none"/>
        </w:rPr>
      </w:pPr>
      <w:r w:rsidRPr="004C1849">
        <w:rPr>
          <w:rFonts w:eastAsia="Times New Roman"/>
          <w:bCs/>
          <w:kern w:val="0"/>
          <w:rtl/>
          <w:lang w:bidi="ar-JO"/>
          <w14:ligatures w14:val="none"/>
        </w:rPr>
        <w:t xml:space="preserve">تعتمد البنية على إشارات إلى المواليد </w:t>
      </w:r>
      <w:r w:rsidRPr="004C1849">
        <w:rPr>
          <w:rFonts w:eastAsia="Times New Roman"/>
          <w:bCs/>
          <w:i/>
          <w:iCs/>
          <w:kern w:val="0"/>
          <w:lang w:bidi="ar-JO"/>
          <w14:ligatures w14:val="none"/>
        </w:rPr>
        <w:t>ṯôl</w:t>
      </w:r>
      <w:r w:rsidRPr="004C1849">
        <w:rPr>
          <w:rFonts w:ascii="Times New Roman" w:eastAsia="Times New Roman" w:hAnsi="Times New Roman" w:cs="Times New Roman"/>
          <w:bCs/>
          <w:i/>
          <w:iCs/>
          <w:kern w:val="0"/>
          <w:lang w:bidi="ar-JO"/>
          <w14:ligatures w14:val="none"/>
        </w:rPr>
        <w:t>ᵊ</w:t>
      </w:r>
      <w:r w:rsidRPr="004C1849">
        <w:rPr>
          <w:rFonts w:eastAsia="Times New Roman"/>
          <w:bCs/>
          <w:i/>
          <w:iCs/>
          <w:kern w:val="0"/>
          <w:lang w:bidi="ar-JO"/>
          <w14:ligatures w14:val="none"/>
        </w:rPr>
        <w:t>ḏôṯ</w:t>
      </w:r>
      <w:r w:rsidRPr="004C1849">
        <w:rPr>
          <w:rFonts w:eastAsia="Times New Roman"/>
          <w:bCs/>
          <w:kern w:val="0"/>
          <w:rtl/>
          <w:lang w:bidi="ar-JO"/>
          <w14:ligatures w14:val="none"/>
        </w:rPr>
        <w:t xml:space="preserve"> (</w:t>
      </w:r>
      <w:r w:rsidRPr="004C1849">
        <w:rPr>
          <w:rFonts w:eastAsia="Times New Roman"/>
          <w:bCs/>
          <w:kern w:val="0"/>
          <w:u w:val="single"/>
          <w:rtl/>
          <w:lang w:bidi="ar-JO"/>
          <w14:ligatures w14:val="none"/>
        </w:rPr>
        <w:t>توليدوت)</w:t>
      </w:r>
    </w:p>
    <w:p w14:paraId="07F8154B" w14:textId="77777777" w:rsidR="00C252DA" w:rsidRPr="004C1849" w:rsidRDefault="00C252DA" w:rsidP="00C7130A">
      <w:pPr>
        <w:jc w:val="center"/>
        <w:rPr>
          <w:rFonts w:eastAsia="Times New Roman"/>
          <w:bCs/>
          <w:kern w:val="0"/>
          <w:u w:val="single"/>
          <w:rtl/>
          <w:lang w:bidi="ar-JO"/>
          <w14:ligatures w14:val="none"/>
        </w:rPr>
      </w:pPr>
    </w:p>
    <w:p w14:paraId="53558F8C"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60"/>
        <w:jc w:val="both"/>
        <w:rPr>
          <w:rFonts w:eastAsia="Times New Roman"/>
          <w:kern w:val="0"/>
          <w:rtl/>
          <w:lang w:bidi="ar-JO"/>
          <w14:ligatures w14:val="none"/>
        </w:rPr>
      </w:pPr>
      <w:r w:rsidRPr="004C1849">
        <w:rPr>
          <w:rFonts w:eastAsia="Times New Roman"/>
          <w:kern w:val="0"/>
          <w:rtl/>
          <w:lang w:bidi="ar-JO"/>
          <w14:ligatures w14:val="none"/>
        </w:rPr>
        <w:t>1.</w:t>
      </w:r>
      <w:r w:rsidRPr="004C1849">
        <w:rPr>
          <w:rFonts w:eastAsia="Times New Roman"/>
          <w:kern w:val="0"/>
          <w:rtl/>
          <w:lang w:bidi="ar-JO"/>
          <w14:ligatures w14:val="none"/>
        </w:rPr>
        <w:tab/>
        <w:t>(الخلق)</w:t>
      </w:r>
      <w:r w:rsidRPr="004C1849">
        <w:rPr>
          <w:rFonts w:eastAsia="Times New Roman"/>
          <w:kern w:val="0"/>
          <w:rtl/>
          <w:lang w:bidi="ar-JO"/>
          <w14:ligatures w14:val="none"/>
        </w:rPr>
        <w:tab/>
      </w:r>
      <w:r w:rsidRPr="004C1849">
        <w:rPr>
          <w:rFonts w:eastAsia="Times New Roman"/>
          <w:kern w:val="0"/>
          <w:rtl/>
          <w:lang w:bidi="ar-JO"/>
          <w14:ligatures w14:val="none"/>
        </w:rPr>
        <w:tab/>
      </w:r>
      <w:r w:rsidRPr="004C1849">
        <w:rPr>
          <w:rFonts w:eastAsia="Times New Roman"/>
          <w:kern w:val="0"/>
          <w:rtl/>
          <w:lang w:bidi="ar-JO"/>
          <w14:ligatures w14:val="none"/>
        </w:rPr>
        <w:tab/>
      </w:r>
      <w:r w:rsidRPr="004C1849">
        <w:rPr>
          <w:rFonts w:eastAsia="Times New Roman"/>
          <w:kern w:val="0"/>
          <w:rtl/>
          <w:lang w:bidi="ar-JO"/>
          <w14:ligatures w14:val="none"/>
        </w:rPr>
        <w:tab/>
      </w:r>
      <w:r w:rsidRPr="004C1849">
        <w:rPr>
          <w:rFonts w:eastAsia="Times New Roman"/>
          <w:kern w:val="0"/>
          <w:rtl/>
          <w14:ligatures w14:val="none"/>
        </w:rPr>
        <w:tab/>
      </w:r>
      <w:r w:rsidRPr="004C1849">
        <w:rPr>
          <w:rFonts w:eastAsia="Times New Roman"/>
          <w:kern w:val="0"/>
          <w:rtl/>
          <w:lang w:bidi="ar-JO"/>
          <w14:ligatures w14:val="none"/>
        </w:rPr>
        <w:t>1: 1-2: 3</w:t>
      </w:r>
    </w:p>
    <w:p w14:paraId="1470DBA2"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60"/>
        <w:jc w:val="both"/>
        <w:rPr>
          <w:rFonts w:eastAsia="Times New Roman"/>
          <w:kern w:val="0"/>
          <w:rtl/>
          <w:lang w:bidi="ar-JO"/>
          <w14:ligatures w14:val="none"/>
        </w:rPr>
      </w:pPr>
      <w:r w:rsidRPr="004C1849">
        <w:rPr>
          <w:rFonts w:eastAsia="Times New Roman"/>
          <w:kern w:val="0"/>
          <w:rtl/>
          <w:lang w:bidi="ar-JO"/>
          <w14:ligatures w14:val="none"/>
        </w:rPr>
        <w:t>2.</w:t>
      </w:r>
      <w:r w:rsidRPr="004C1849">
        <w:rPr>
          <w:rFonts w:eastAsia="Times New Roman"/>
          <w:kern w:val="0"/>
          <w:rtl/>
          <w:lang w:bidi="ar-JO"/>
          <w14:ligatures w14:val="none"/>
        </w:rPr>
        <w:tab/>
      </w:r>
      <w:r w:rsidRPr="004C1849">
        <w:rPr>
          <w:rFonts w:eastAsia="Times New Roman"/>
          <w:bCs/>
          <w:i/>
          <w:iCs/>
          <w:kern w:val="0"/>
          <w:lang w:bidi="ar-JO"/>
          <w14:ligatures w14:val="none"/>
        </w:rPr>
        <w:t>ṯôl</w:t>
      </w:r>
      <w:r w:rsidRPr="004C1849">
        <w:rPr>
          <w:rFonts w:ascii="Times New Roman" w:eastAsia="Times New Roman" w:hAnsi="Times New Roman" w:cs="Times New Roman"/>
          <w:bCs/>
          <w:i/>
          <w:iCs/>
          <w:kern w:val="0"/>
          <w:lang w:bidi="ar-JO"/>
          <w14:ligatures w14:val="none"/>
        </w:rPr>
        <w:t>ᵊ</w:t>
      </w:r>
      <w:r w:rsidRPr="004C1849">
        <w:rPr>
          <w:rFonts w:eastAsia="Times New Roman"/>
          <w:bCs/>
          <w:i/>
          <w:iCs/>
          <w:kern w:val="0"/>
          <w:lang w:bidi="ar-JO"/>
          <w14:ligatures w14:val="none"/>
        </w:rPr>
        <w:t>ḏôṯ</w:t>
      </w:r>
      <w:r w:rsidRPr="004C1849">
        <w:rPr>
          <w:rFonts w:eastAsia="Times New Roman"/>
          <w:kern w:val="0"/>
          <w:rtl/>
          <w:lang w:bidi="ar-JO"/>
          <w14:ligatures w14:val="none"/>
        </w:rPr>
        <w:t xml:space="preserve"> </w:t>
      </w:r>
      <w:r w:rsidRPr="004C1849">
        <w:rPr>
          <w:rFonts w:eastAsia="Times New Roman"/>
          <w:kern w:val="0"/>
          <w:u w:val="single"/>
          <w:rtl/>
          <w:lang w:bidi="ar-JO"/>
          <w14:ligatures w14:val="none"/>
        </w:rPr>
        <w:t>توليدوت</w:t>
      </w:r>
      <w:r w:rsidRPr="004C1849">
        <w:rPr>
          <w:rFonts w:eastAsia="Times New Roman"/>
          <w:kern w:val="0"/>
          <w:rtl/>
          <w:lang w:bidi="ar-JO"/>
          <w14:ligatures w14:val="none"/>
        </w:rPr>
        <w:t xml:space="preserve"> السماوات والأرض</w:t>
      </w:r>
      <w:r w:rsidRPr="004C1849">
        <w:rPr>
          <w:rFonts w:eastAsia="Times New Roman"/>
          <w:kern w:val="0"/>
          <w:rtl/>
          <w:lang w:bidi="ar-JO"/>
          <w14:ligatures w14:val="none"/>
        </w:rPr>
        <w:tab/>
        <w:t>2: 4-4: 26</w:t>
      </w:r>
    </w:p>
    <w:p w14:paraId="48A68D4C"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60"/>
        <w:jc w:val="both"/>
        <w:rPr>
          <w:rFonts w:eastAsia="Times New Roman"/>
          <w:kern w:val="0"/>
          <w:rtl/>
          <w:lang w:bidi="ar-JO"/>
          <w14:ligatures w14:val="none"/>
        </w:rPr>
      </w:pPr>
      <w:r w:rsidRPr="004C1849">
        <w:rPr>
          <w:rFonts w:eastAsia="Times New Roman"/>
          <w:kern w:val="0"/>
          <w:rtl/>
          <w:lang w:bidi="ar-JO"/>
          <w14:ligatures w14:val="none"/>
        </w:rPr>
        <w:t>3.</w:t>
      </w:r>
      <w:r w:rsidRPr="004C1849">
        <w:rPr>
          <w:rFonts w:eastAsia="Times New Roman"/>
          <w:kern w:val="0"/>
          <w:rtl/>
          <w:lang w:bidi="ar-JO"/>
          <w14:ligatures w14:val="none"/>
        </w:rPr>
        <w:tab/>
      </w:r>
      <w:r w:rsidRPr="004C1849">
        <w:rPr>
          <w:rFonts w:eastAsia="Times New Roman"/>
          <w:bCs/>
          <w:i/>
          <w:iCs/>
          <w:kern w:val="0"/>
          <w:lang w:bidi="ar-JO"/>
          <w14:ligatures w14:val="none"/>
        </w:rPr>
        <w:t>ṯôl</w:t>
      </w:r>
      <w:r w:rsidRPr="004C1849">
        <w:rPr>
          <w:rFonts w:ascii="Times New Roman" w:eastAsia="Times New Roman" w:hAnsi="Times New Roman" w:cs="Times New Roman"/>
          <w:bCs/>
          <w:i/>
          <w:iCs/>
          <w:kern w:val="0"/>
          <w:lang w:bidi="ar-JO"/>
          <w14:ligatures w14:val="none"/>
        </w:rPr>
        <w:t>ᵊ</w:t>
      </w:r>
      <w:r w:rsidRPr="004C1849">
        <w:rPr>
          <w:rFonts w:eastAsia="Times New Roman"/>
          <w:bCs/>
          <w:i/>
          <w:iCs/>
          <w:kern w:val="0"/>
          <w:lang w:bidi="ar-JO"/>
          <w14:ligatures w14:val="none"/>
        </w:rPr>
        <w:t>ḏôṯ</w:t>
      </w:r>
      <w:r w:rsidRPr="004C1849">
        <w:rPr>
          <w:rFonts w:eastAsia="Times New Roman"/>
          <w:kern w:val="0"/>
          <w:rtl/>
          <w14:ligatures w14:val="none"/>
        </w:rPr>
        <w:t xml:space="preserve"> </w:t>
      </w:r>
      <w:r w:rsidRPr="004C1849">
        <w:rPr>
          <w:rFonts w:eastAsia="Times New Roman"/>
          <w:kern w:val="0"/>
          <w:rtl/>
          <w:lang w:bidi="ar-JO"/>
          <w14:ligatures w14:val="none"/>
        </w:rPr>
        <w:t>توليدوت آدم</w:t>
      </w:r>
      <w:r w:rsidRPr="004C1849">
        <w:rPr>
          <w:rFonts w:eastAsia="Times New Roman"/>
          <w:kern w:val="0"/>
          <w:rtl/>
          <w:lang w:bidi="ar-JO"/>
          <w14:ligatures w14:val="none"/>
        </w:rPr>
        <w:tab/>
      </w:r>
      <w:r w:rsidRPr="004C1849">
        <w:rPr>
          <w:rFonts w:eastAsia="Times New Roman"/>
          <w:kern w:val="0"/>
          <w:rtl/>
          <w:lang w:bidi="ar-JO"/>
          <w14:ligatures w14:val="none"/>
        </w:rPr>
        <w:tab/>
      </w:r>
      <w:r w:rsidRPr="004C1849">
        <w:rPr>
          <w:rFonts w:eastAsia="Times New Roman"/>
          <w:kern w:val="0"/>
          <w:rtl/>
          <w14:ligatures w14:val="none"/>
        </w:rPr>
        <w:tab/>
      </w:r>
      <w:r w:rsidRPr="004C1849">
        <w:rPr>
          <w:rFonts w:eastAsia="Times New Roman"/>
          <w:kern w:val="0"/>
          <w:rtl/>
          <w:lang w:bidi="ar-JO"/>
          <w14:ligatures w14:val="none"/>
        </w:rPr>
        <w:t>5: 1-6: 8</w:t>
      </w:r>
    </w:p>
    <w:p w14:paraId="38878655"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60"/>
        <w:jc w:val="both"/>
        <w:rPr>
          <w:rFonts w:eastAsia="Times New Roman"/>
          <w:kern w:val="0"/>
          <w:rtl/>
          <w:lang w:bidi="ar-JO"/>
          <w14:ligatures w14:val="none"/>
        </w:rPr>
      </w:pPr>
      <w:r w:rsidRPr="004C1849">
        <w:rPr>
          <w:rFonts w:eastAsia="Times New Roman"/>
          <w:kern w:val="0"/>
          <w:rtl/>
          <w:lang w:bidi="ar-JO"/>
          <w14:ligatures w14:val="none"/>
        </w:rPr>
        <w:t>4.</w:t>
      </w:r>
      <w:r w:rsidRPr="004C1849">
        <w:rPr>
          <w:rFonts w:eastAsia="Times New Roman"/>
          <w:kern w:val="0"/>
          <w:rtl/>
          <w14:ligatures w14:val="none"/>
        </w:rPr>
        <w:tab/>
      </w:r>
      <w:r w:rsidRPr="004C1849">
        <w:rPr>
          <w:rFonts w:eastAsia="Times New Roman"/>
          <w:bCs/>
          <w:i/>
          <w:iCs/>
          <w:kern w:val="0"/>
          <w:lang w:bidi="ar-JO"/>
          <w14:ligatures w14:val="none"/>
        </w:rPr>
        <w:t>ṯôl</w:t>
      </w:r>
      <w:r w:rsidRPr="004C1849">
        <w:rPr>
          <w:rFonts w:ascii="Times New Roman" w:eastAsia="Times New Roman" w:hAnsi="Times New Roman" w:cs="Times New Roman"/>
          <w:bCs/>
          <w:i/>
          <w:iCs/>
          <w:kern w:val="0"/>
          <w:lang w:bidi="ar-JO"/>
          <w14:ligatures w14:val="none"/>
        </w:rPr>
        <w:t>ᵊ</w:t>
      </w:r>
      <w:r w:rsidRPr="004C1849">
        <w:rPr>
          <w:rFonts w:eastAsia="Times New Roman"/>
          <w:bCs/>
          <w:i/>
          <w:iCs/>
          <w:kern w:val="0"/>
          <w:lang w:bidi="ar-JO"/>
          <w14:ligatures w14:val="none"/>
        </w:rPr>
        <w:t>ḏôṯ</w:t>
      </w:r>
      <w:r w:rsidRPr="004C1849">
        <w:rPr>
          <w:rFonts w:eastAsia="Times New Roman"/>
          <w:kern w:val="0"/>
          <w:rtl/>
          <w:lang w:bidi="ar-JO"/>
          <w14:ligatures w14:val="none"/>
        </w:rPr>
        <w:t xml:space="preserve"> توليدوت نوح</w:t>
      </w:r>
      <w:r w:rsidRPr="004C1849">
        <w:rPr>
          <w:rFonts w:eastAsia="Times New Roman"/>
          <w:kern w:val="0"/>
          <w:rtl/>
          <w:lang w:bidi="ar-JO"/>
          <w14:ligatures w14:val="none"/>
        </w:rPr>
        <w:tab/>
      </w:r>
      <w:r w:rsidRPr="004C1849">
        <w:rPr>
          <w:rFonts w:eastAsia="Times New Roman"/>
          <w:kern w:val="0"/>
          <w:rtl/>
          <w:lang w:bidi="ar-JO"/>
          <w14:ligatures w14:val="none"/>
        </w:rPr>
        <w:tab/>
      </w:r>
      <w:r w:rsidRPr="004C1849">
        <w:rPr>
          <w:rFonts w:eastAsia="Times New Roman"/>
          <w:kern w:val="0"/>
          <w:rtl/>
          <w14:ligatures w14:val="none"/>
        </w:rPr>
        <w:tab/>
      </w:r>
      <w:r w:rsidRPr="004C1849">
        <w:rPr>
          <w:rFonts w:eastAsia="Times New Roman"/>
          <w:kern w:val="0"/>
          <w:rtl/>
          <w:lang w:bidi="ar-JO"/>
          <w14:ligatures w14:val="none"/>
        </w:rPr>
        <w:t>6: 9-9: 29</w:t>
      </w:r>
    </w:p>
    <w:p w14:paraId="42395008"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60"/>
        <w:jc w:val="both"/>
        <w:rPr>
          <w:rFonts w:eastAsia="Times New Roman"/>
          <w:kern w:val="0"/>
          <w:rtl/>
          <w:lang w:bidi="ar-JO"/>
          <w14:ligatures w14:val="none"/>
        </w:rPr>
      </w:pPr>
      <w:r w:rsidRPr="004C1849">
        <w:rPr>
          <w:rFonts w:eastAsia="Times New Roman"/>
          <w:kern w:val="0"/>
          <w:rtl/>
          <w:lang w:bidi="ar-JO"/>
          <w14:ligatures w14:val="none"/>
        </w:rPr>
        <w:t>5.</w:t>
      </w:r>
      <w:r w:rsidRPr="004C1849">
        <w:rPr>
          <w:rFonts w:eastAsia="Times New Roman"/>
          <w:kern w:val="0"/>
          <w:rtl/>
          <w14:ligatures w14:val="none"/>
        </w:rPr>
        <w:tab/>
      </w:r>
      <w:r w:rsidRPr="004C1849">
        <w:rPr>
          <w:rFonts w:eastAsia="Times New Roman"/>
          <w:bCs/>
          <w:i/>
          <w:iCs/>
          <w:kern w:val="0"/>
          <w:lang w:bidi="ar-JO"/>
          <w14:ligatures w14:val="none"/>
        </w:rPr>
        <w:t>ṯôl</w:t>
      </w:r>
      <w:r w:rsidRPr="004C1849">
        <w:rPr>
          <w:rFonts w:ascii="Times New Roman" w:eastAsia="Times New Roman" w:hAnsi="Times New Roman" w:cs="Times New Roman"/>
          <w:bCs/>
          <w:i/>
          <w:iCs/>
          <w:kern w:val="0"/>
          <w:lang w:bidi="ar-JO"/>
          <w14:ligatures w14:val="none"/>
        </w:rPr>
        <w:t>ᵊ</w:t>
      </w:r>
      <w:r w:rsidRPr="004C1849">
        <w:rPr>
          <w:rFonts w:eastAsia="Times New Roman"/>
          <w:bCs/>
          <w:i/>
          <w:iCs/>
          <w:kern w:val="0"/>
          <w:lang w:bidi="ar-JO"/>
          <w14:ligatures w14:val="none"/>
        </w:rPr>
        <w:t>ḏôṯ</w:t>
      </w:r>
      <w:r w:rsidRPr="004C1849">
        <w:rPr>
          <w:rFonts w:eastAsia="Times New Roman"/>
          <w:kern w:val="0"/>
          <w:rtl/>
          <w:lang w:bidi="ar-JO"/>
          <w14:ligatures w14:val="none"/>
        </w:rPr>
        <w:t xml:space="preserve"> توليدوت سام وحام ويافث</w:t>
      </w:r>
      <w:r w:rsidRPr="004C1849">
        <w:rPr>
          <w:rFonts w:eastAsia="Times New Roman"/>
          <w:kern w:val="0"/>
          <w:rtl/>
          <w:lang w:bidi="ar-JO"/>
          <w14:ligatures w14:val="none"/>
        </w:rPr>
        <w:tab/>
      </w:r>
      <w:r w:rsidRPr="004C1849">
        <w:rPr>
          <w:rFonts w:eastAsia="Times New Roman"/>
          <w:kern w:val="0"/>
          <w:rtl/>
          <w:lang w:bidi="ar-JO"/>
          <w14:ligatures w14:val="none"/>
        </w:rPr>
        <w:tab/>
        <w:t>10: 1-11: 9</w:t>
      </w:r>
    </w:p>
    <w:p w14:paraId="2BC024FD"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60"/>
        <w:jc w:val="both"/>
        <w:rPr>
          <w:rFonts w:eastAsia="Times New Roman"/>
          <w:kern w:val="0"/>
          <w:rtl/>
          <w:lang w:bidi="ar-JO"/>
          <w14:ligatures w14:val="none"/>
        </w:rPr>
      </w:pPr>
      <w:r w:rsidRPr="004C1849">
        <w:rPr>
          <w:rFonts w:eastAsia="Times New Roman"/>
          <w:kern w:val="0"/>
          <w:rtl/>
          <w:lang w:bidi="ar-JO"/>
          <w14:ligatures w14:val="none"/>
        </w:rPr>
        <w:t>6.</w:t>
      </w:r>
      <w:r w:rsidRPr="004C1849">
        <w:rPr>
          <w:rFonts w:eastAsia="Times New Roman"/>
          <w:kern w:val="0"/>
          <w:rtl/>
          <w14:ligatures w14:val="none"/>
        </w:rPr>
        <w:tab/>
      </w:r>
      <w:r w:rsidRPr="004C1849">
        <w:rPr>
          <w:rFonts w:eastAsia="Times New Roman"/>
          <w:bCs/>
          <w:i/>
          <w:iCs/>
          <w:kern w:val="0"/>
          <w:lang w:bidi="ar-JO"/>
          <w14:ligatures w14:val="none"/>
        </w:rPr>
        <w:t>ṯôl</w:t>
      </w:r>
      <w:r w:rsidRPr="004C1849">
        <w:rPr>
          <w:rFonts w:ascii="Times New Roman" w:eastAsia="Times New Roman" w:hAnsi="Times New Roman" w:cs="Times New Roman"/>
          <w:bCs/>
          <w:i/>
          <w:iCs/>
          <w:kern w:val="0"/>
          <w:lang w:bidi="ar-JO"/>
          <w14:ligatures w14:val="none"/>
        </w:rPr>
        <w:t>ᵊ</w:t>
      </w:r>
      <w:r w:rsidRPr="004C1849">
        <w:rPr>
          <w:rFonts w:eastAsia="Times New Roman"/>
          <w:bCs/>
          <w:i/>
          <w:iCs/>
          <w:kern w:val="0"/>
          <w:lang w:bidi="ar-JO"/>
          <w14:ligatures w14:val="none"/>
        </w:rPr>
        <w:t>ḏôṯ</w:t>
      </w:r>
      <w:r w:rsidRPr="004C1849">
        <w:rPr>
          <w:rFonts w:eastAsia="Times New Roman"/>
          <w:kern w:val="0"/>
          <w:rtl/>
          <w:lang w:bidi="ar-JO"/>
          <w14:ligatures w14:val="none"/>
        </w:rPr>
        <w:t xml:space="preserve"> توليدوت سام</w:t>
      </w:r>
      <w:r w:rsidRPr="004C1849">
        <w:rPr>
          <w:rFonts w:eastAsia="Times New Roman"/>
          <w:kern w:val="0"/>
          <w:rtl/>
          <w:lang w:bidi="ar-JO"/>
          <w14:ligatures w14:val="none"/>
        </w:rPr>
        <w:tab/>
      </w:r>
      <w:r w:rsidRPr="004C1849">
        <w:rPr>
          <w:rFonts w:eastAsia="Times New Roman"/>
          <w:kern w:val="0"/>
          <w:rtl/>
          <w:lang w:bidi="ar-JO"/>
          <w14:ligatures w14:val="none"/>
        </w:rPr>
        <w:tab/>
      </w:r>
      <w:r w:rsidRPr="004C1849">
        <w:rPr>
          <w:rFonts w:eastAsia="Times New Roman"/>
          <w:kern w:val="0"/>
          <w:rtl/>
          <w14:ligatures w14:val="none"/>
        </w:rPr>
        <w:tab/>
      </w:r>
      <w:r w:rsidRPr="004C1849">
        <w:rPr>
          <w:rFonts w:eastAsia="Times New Roman"/>
          <w:kern w:val="0"/>
          <w:rtl/>
          <w:lang w:bidi="ar-JO"/>
          <w14:ligatures w14:val="none"/>
        </w:rPr>
        <w:t>11: 10-26</w:t>
      </w:r>
    </w:p>
    <w:p w14:paraId="0557CED6"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60"/>
        <w:jc w:val="both"/>
        <w:rPr>
          <w:rFonts w:eastAsia="Times New Roman"/>
          <w:kern w:val="0"/>
          <w:rtl/>
          <w:lang w:bidi="ar-JO"/>
          <w14:ligatures w14:val="none"/>
        </w:rPr>
      </w:pPr>
      <w:r w:rsidRPr="004C1849">
        <w:rPr>
          <w:rFonts w:eastAsia="Times New Roman"/>
          <w:kern w:val="0"/>
          <w:rtl/>
          <w:lang w:bidi="ar-JO"/>
          <w14:ligatures w14:val="none"/>
        </w:rPr>
        <w:t>7.</w:t>
      </w:r>
      <w:r w:rsidRPr="004C1849">
        <w:rPr>
          <w:rFonts w:eastAsia="Times New Roman"/>
          <w:kern w:val="0"/>
          <w:rtl/>
          <w14:ligatures w14:val="none"/>
        </w:rPr>
        <w:tab/>
      </w:r>
      <w:r w:rsidRPr="004C1849">
        <w:rPr>
          <w:rFonts w:eastAsia="Times New Roman"/>
          <w:bCs/>
          <w:i/>
          <w:iCs/>
          <w:kern w:val="0"/>
          <w:lang w:bidi="ar-JO"/>
          <w14:ligatures w14:val="none"/>
        </w:rPr>
        <w:t>ṯôl</w:t>
      </w:r>
      <w:r w:rsidRPr="004C1849">
        <w:rPr>
          <w:rFonts w:ascii="Times New Roman" w:eastAsia="Times New Roman" w:hAnsi="Times New Roman" w:cs="Times New Roman"/>
          <w:bCs/>
          <w:i/>
          <w:iCs/>
          <w:kern w:val="0"/>
          <w:lang w:bidi="ar-JO"/>
          <w14:ligatures w14:val="none"/>
        </w:rPr>
        <w:t>ᵊ</w:t>
      </w:r>
      <w:r w:rsidRPr="004C1849">
        <w:rPr>
          <w:rFonts w:eastAsia="Times New Roman"/>
          <w:bCs/>
          <w:i/>
          <w:iCs/>
          <w:kern w:val="0"/>
          <w:lang w:bidi="ar-JO"/>
          <w14:ligatures w14:val="none"/>
        </w:rPr>
        <w:t>ḏôṯ</w:t>
      </w:r>
      <w:r w:rsidRPr="004C1849">
        <w:rPr>
          <w:rFonts w:eastAsia="Times New Roman"/>
          <w:kern w:val="0"/>
          <w:rtl/>
          <w:lang w:bidi="ar-JO"/>
          <w14:ligatures w14:val="none"/>
        </w:rPr>
        <w:t xml:space="preserve"> توليدوت تارح</w:t>
      </w:r>
      <w:r w:rsidRPr="004C1849">
        <w:rPr>
          <w:rFonts w:eastAsia="Times New Roman"/>
          <w:kern w:val="0"/>
          <w:rtl/>
          <w:lang w:bidi="ar-JO"/>
          <w14:ligatures w14:val="none"/>
        </w:rPr>
        <w:tab/>
      </w:r>
      <w:r w:rsidRPr="004C1849">
        <w:rPr>
          <w:rFonts w:eastAsia="Times New Roman"/>
          <w:kern w:val="0"/>
          <w:rtl/>
          <w14:ligatures w14:val="none"/>
        </w:rPr>
        <w:tab/>
      </w:r>
      <w:r w:rsidRPr="004C1849">
        <w:rPr>
          <w:rFonts w:eastAsia="Times New Roman"/>
          <w:kern w:val="0"/>
          <w:rtl/>
          <w:lang w:bidi="ar-JO"/>
          <w14:ligatures w14:val="none"/>
        </w:rPr>
        <w:tab/>
        <w:t xml:space="preserve">11: 27-25: 11 </w:t>
      </w:r>
      <w:r w:rsidRPr="004C1849">
        <w:rPr>
          <w:rFonts w:eastAsia="Times New Roman"/>
          <w:kern w:val="0"/>
          <w:rtl/>
          <w:lang w:bidi="ar-JO"/>
          <w14:ligatures w14:val="none"/>
        </w:rPr>
        <w:tab/>
      </w:r>
    </w:p>
    <w:p w14:paraId="14A6A1D1"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60"/>
        <w:jc w:val="both"/>
        <w:rPr>
          <w:rFonts w:eastAsia="Times New Roman"/>
          <w:kern w:val="0"/>
          <w:rtl/>
          <w:lang w:bidi="ar-JO"/>
          <w14:ligatures w14:val="none"/>
        </w:rPr>
      </w:pPr>
      <w:r w:rsidRPr="004C1849">
        <w:rPr>
          <w:rFonts w:eastAsia="Times New Roman"/>
          <w:kern w:val="0"/>
          <w:rtl/>
          <w:lang w:bidi="ar-JO"/>
          <w14:ligatures w14:val="none"/>
        </w:rPr>
        <w:t>8.</w:t>
      </w:r>
      <w:r w:rsidRPr="004C1849">
        <w:rPr>
          <w:rFonts w:eastAsia="Times New Roman"/>
          <w:kern w:val="0"/>
          <w:rtl/>
          <w14:ligatures w14:val="none"/>
        </w:rPr>
        <w:tab/>
      </w:r>
      <w:r w:rsidRPr="004C1849">
        <w:rPr>
          <w:rFonts w:eastAsia="Times New Roman"/>
          <w:bCs/>
          <w:i/>
          <w:iCs/>
          <w:kern w:val="0"/>
          <w:lang w:bidi="ar-JO"/>
          <w14:ligatures w14:val="none"/>
        </w:rPr>
        <w:t>ṯôl</w:t>
      </w:r>
      <w:r w:rsidRPr="004C1849">
        <w:rPr>
          <w:rFonts w:ascii="Times New Roman" w:eastAsia="Times New Roman" w:hAnsi="Times New Roman" w:cs="Times New Roman"/>
          <w:bCs/>
          <w:i/>
          <w:iCs/>
          <w:kern w:val="0"/>
          <w:lang w:bidi="ar-JO"/>
          <w14:ligatures w14:val="none"/>
        </w:rPr>
        <w:t>ᵊ</w:t>
      </w:r>
      <w:r w:rsidRPr="004C1849">
        <w:rPr>
          <w:rFonts w:eastAsia="Times New Roman"/>
          <w:bCs/>
          <w:i/>
          <w:iCs/>
          <w:kern w:val="0"/>
          <w:lang w:bidi="ar-JO"/>
          <w14:ligatures w14:val="none"/>
        </w:rPr>
        <w:t>ḏôṯ</w:t>
      </w:r>
      <w:r w:rsidRPr="004C1849">
        <w:rPr>
          <w:rFonts w:eastAsia="Times New Roman"/>
          <w:kern w:val="0"/>
          <w:rtl/>
          <w:lang w:bidi="ar-JO"/>
          <w14:ligatures w14:val="none"/>
        </w:rPr>
        <w:t xml:space="preserve"> توليدوت إسماعيل </w:t>
      </w:r>
      <w:r w:rsidRPr="004C1849">
        <w:rPr>
          <w:rFonts w:eastAsia="Times New Roman"/>
          <w:kern w:val="0"/>
          <w:rtl/>
          <w:lang w:bidi="ar-JO"/>
          <w14:ligatures w14:val="none"/>
        </w:rPr>
        <w:tab/>
      </w:r>
      <w:r w:rsidRPr="004C1849">
        <w:rPr>
          <w:rFonts w:eastAsia="Times New Roman"/>
          <w:kern w:val="0"/>
          <w:rtl/>
          <w:lang w:bidi="ar-JO"/>
          <w14:ligatures w14:val="none"/>
        </w:rPr>
        <w:tab/>
      </w:r>
      <w:r w:rsidRPr="004C1849">
        <w:rPr>
          <w:rFonts w:eastAsia="Times New Roman"/>
          <w:kern w:val="0"/>
          <w:rtl/>
          <w:lang w:bidi="ar-JO"/>
          <w14:ligatures w14:val="none"/>
        </w:rPr>
        <w:tab/>
        <w:t>25: 12-18</w:t>
      </w:r>
    </w:p>
    <w:p w14:paraId="579A79A2"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4C1849">
        <w:rPr>
          <w:rFonts w:eastAsia="Times New Roman"/>
          <w:kern w:val="0"/>
          <w:rtl/>
          <w:lang w:bidi="ar-JO"/>
          <w14:ligatures w14:val="none"/>
        </w:rPr>
        <w:t>9.</w:t>
      </w:r>
      <w:r w:rsidRPr="004C1849">
        <w:rPr>
          <w:rFonts w:eastAsia="Times New Roman"/>
          <w:kern w:val="0"/>
          <w:rtl/>
          <w14:ligatures w14:val="none"/>
        </w:rPr>
        <w:tab/>
      </w:r>
      <w:r w:rsidRPr="004C1849">
        <w:rPr>
          <w:rFonts w:eastAsia="Times New Roman"/>
          <w:bCs/>
          <w:i/>
          <w:iCs/>
          <w:kern w:val="0"/>
          <w:lang w:bidi="ar-JO"/>
          <w14:ligatures w14:val="none"/>
        </w:rPr>
        <w:t>ṯôl</w:t>
      </w:r>
      <w:r w:rsidRPr="004C1849">
        <w:rPr>
          <w:rFonts w:ascii="Times New Roman" w:eastAsia="Times New Roman" w:hAnsi="Times New Roman" w:cs="Times New Roman"/>
          <w:bCs/>
          <w:i/>
          <w:iCs/>
          <w:kern w:val="0"/>
          <w:lang w:bidi="ar-JO"/>
          <w14:ligatures w14:val="none"/>
        </w:rPr>
        <w:t>ᵊ</w:t>
      </w:r>
      <w:r w:rsidRPr="004C1849">
        <w:rPr>
          <w:rFonts w:eastAsia="Times New Roman"/>
          <w:bCs/>
          <w:i/>
          <w:iCs/>
          <w:kern w:val="0"/>
          <w:lang w:bidi="ar-JO"/>
          <w14:ligatures w14:val="none"/>
        </w:rPr>
        <w:t>ḏôṯ</w:t>
      </w:r>
      <w:r w:rsidRPr="004C1849">
        <w:rPr>
          <w:rFonts w:eastAsia="Times New Roman"/>
          <w:kern w:val="0"/>
          <w:rtl/>
          <w:lang w:bidi="ar-JO"/>
          <w14:ligatures w14:val="none"/>
        </w:rPr>
        <w:t xml:space="preserve"> توليدوت إسحق</w:t>
      </w:r>
      <w:r w:rsidRPr="004C1849">
        <w:rPr>
          <w:rFonts w:eastAsia="Times New Roman"/>
          <w:kern w:val="0"/>
          <w:rtl/>
          <w:lang w:bidi="ar-JO"/>
          <w14:ligatures w14:val="none"/>
        </w:rPr>
        <w:tab/>
      </w:r>
      <w:r w:rsidRPr="004C1849">
        <w:rPr>
          <w:rFonts w:eastAsia="Times New Roman"/>
          <w:kern w:val="0"/>
          <w:rtl/>
          <w:lang w:bidi="ar-JO"/>
          <w14:ligatures w14:val="none"/>
        </w:rPr>
        <w:tab/>
      </w:r>
      <w:r w:rsidRPr="004C1849">
        <w:rPr>
          <w:rFonts w:eastAsia="Times New Roman"/>
          <w:kern w:val="0"/>
          <w:rtl/>
          <w:lang w:bidi="ar-JO"/>
          <w14:ligatures w14:val="none"/>
        </w:rPr>
        <w:tab/>
        <w:t>25: 19-35: 29</w:t>
      </w:r>
    </w:p>
    <w:p w14:paraId="5C392A38"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4C1849">
        <w:rPr>
          <w:rFonts w:eastAsia="Times New Roman"/>
          <w:kern w:val="0"/>
          <w:rtl/>
          <w:lang w:bidi="ar-JO"/>
          <w14:ligatures w14:val="none"/>
        </w:rPr>
        <w:t>10.</w:t>
      </w:r>
      <w:r w:rsidRPr="004C1849">
        <w:rPr>
          <w:rFonts w:eastAsia="Times New Roman"/>
          <w:kern w:val="0"/>
          <w:rtl/>
          <w14:ligatures w14:val="none"/>
        </w:rPr>
        <w:tab/>
      </w:r>
      <w:r w:rsidRPr="004C1849">
        <w:rPr>
          <w:rFonts w:eastAsia="Times New Roman"/>
          <w:bCs/>
          <w:i/>
          <w:iCs/>
          <w:kern w:val="0"/>
          <w:lang w:bidi="ar-JO"/>
          <w14:ligatures w14:val="none"/>
        </w:rPr>
        <w:t>ṯôl</w:t>
      </w:r>
      <w:r w:rsidRPr="004C1849">
        <w:rPr>
          <w:rFonts w:ascii="Times New Roman" w:eastAsia="Times New Roman" w:hAnsi="Times New Roman" w:cs="Times New Roman"/>
          <w:bCs/>
          <w:i/>
          <w:iCs/>
          <w:kern w:val="0"/>
          <w:lang w:bidi="ar-JO"/>
          <w14:ligatures w14:val="none"/>
        </w:rPr>
        <w:t>ᵊ</w:t>
      </w:r>
      <w:r w:rsidRPr="004C1849">
        <w:rPr>
          <w:rFonts w:eastAsia="Times New Roman"/>
          <w:bCs/>
          <w:i/>
          <w:iCs/>
          <w:kern w:val="0"/>
          <w:lang w:bidi="ar-JO"/>
          <w14:ligatures w14:val="none"/>
        </w:rPr>
        <w:t>ḏôṯ</w:t>
      </w:r>
      <w:r w:rsidRPr="004C1849">
        <w:rPr>
          <w:rFonts w:eastAsia="Times New Roman"/>
          <w:kern w:val="0"/>
          <w:rtl/>
          <w:lang w:bidi="ar-JO"/>
          <w14:ligatures w14:val="none"/>
        </w:rPr>
        <w:t xml:space="preserve"> توليدوت عيسو </w:t>
      </w:r>
      <w:r w:rsidRPr="004C1849">
        <w:rPr>
          <w:rFonts w:eastAsia="Times New Roman"/>
          <w:kern w:val="0"/>
          <w:rtl/>
          <w:lang w:bidi="ar-JO"/>
          <w14:ligatures w14:val="none"/>
        </w:rPr>
        <w:tab/>
      </w:r>
      <w:r w:rsidRPr="004C1849">
        <w:rPr>
          <w:rFonts w:eastAsia="Times New Roman"/>
          <w:kern w:val="0"/>
          <w:rtl/>
          <w:lang w:bidi="ar-JO"/>
          <w14:ligatures w14:val="none"/>
        </w:rPr>
        <w:tab/>
      </w:r>
      <w:r w:rsidRPr="004C1849">
        <w:rPr>
          <w:rFonts w:eastAsia="Times New Roman"/>
          <w:kern w:val="0"/>
          <w:rtl/>
          <w:lang w:bidi="ar-JO"/>
          <w14:ligatures w14:val="none"/>
        </w:rPr>
        <w:tab/>
        <w:t>36: 1-37: 1</w:t>
      </w:r>
    </w:p>
    <w:p w14:paraId="1815958A"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lang w:bidi="ar-JO"/>
          <w14:ligatures w14:val="none"/>
        </w:rPr>
      </w:pPr>
      <w:r w:rsidRPr="004C1849">
        <w:rPr>
          <w:rFonts w:eastAsia="Times New Roman"/>
          <w:kern w:val="0"/>
          <w:rtl/>
          <w:lang w:bidi="ar-JO"/>
          <w14:ligatures w14:val="none"/>
        </w:rPr>
        <w:t>11.</w:t>
      </w:r>
      <w:r w:rsidRPr="004C1849">
        <w:rPr>
          <w:rFonts w:eastAsia="Times New Roman"/>
          <w:kern w:val="0"/>
          <w:rtl/>
          <w14:ligatures w14:val="none"/>
        </w:rPr>
        <w:tab/>
      </w:r>
      <w:r w:rsidRPr="004C1849">
        <w:rPr>
          <w:rFonts w:eastAsia="Times New Roman"/>
          <w:bCs/>
          <w:i/>
          <w:iCs/>
          <w:kern w:val="0"/>
          <w:lang w:bidi="ar-JO"/>
          <w14:ligatures w14:val="none"/>
        </w:rPr>
        <w:t>ṯôl</w:t>
      </w:r>
      <w:r w:rsidRPr="004C1849">
        <w:rPr>
          <w:rFonts w:ascii="Times New Roman" w:eastAsia="Times New Roman" w:hAnsi="Times New Roman" w:cs="Times New Roman"/>
          <w:bCs/>
          <w:i/>
          <w:iCs/>
          <w:kern w:val="0"/>
          <w:lang w:bidi="ar-JO"/>
          <w14:ligatures w14:val="none"/>
        </w:rPr>
        <w:t>ᵊ</w:t>
      </w:r>
      <w:r w:rsidRPr="004C1849">
        <w:rPr>
          <w:rFonts w:eastAsia="Times New Roman"/>
          <w:bCs/>
          <w:i/>
          <w:iCs/>
          <w:kern w:val="0"/>
          <w:lang w:bidi="ar-JO"/>
          <w14:ligatures w14:val="none"/>
        </w:rPr>
        <w:t>ḏôṯ</w:t>
      </w:r>
      <w:r w:rsidRPr="004C1849">
        <w:rPr>
          <w:rFonts w:eastAsia="Times New Roman"/>
          <w:kern w:val="0"/>
          <w:rtl/>
          <w:lang w:bidi="ar-JO"/>
          <w14:ligatures w14:val="none"/>
        </w:rPr>
        <w:t xml:space="preserve"> توليدوت يعقوب </w:t>
      </w:r>
      <w:r w:rsidRPr="004C1849">
        <w:rPr>
          <w:rFonts w:eastAsia="Times New Roman"/>
          <w:kern w:val="0"/>
          <w:rtl/>
          <w:lang w:bidi="ar-JO"/>
          <w14:ligatures w14:val="none"/>
        </w:rPr>
        <w:tab/>
      </w:r>
      <w:r w:rsidRPr="004C1849">
        <w:rPr>
          <w:rFonts w:eastAsia="Times New Roman"/>
          <w:kern w:val="0"/>
          <w:rtl/>
          <w:lang w:bidi="ar-JO"/>
          <w14:ligatures w14:val="none"/>
        </w:rPr>
        <w:tab/>
      </w:r>
      <w:r w:rsidRPr="004C1849">
        <w:rPr>
          <w:rFonts w:eastAsia="Times New Roman"/>
          <w:kern w:val="0"/>
          <w:rtl/>
          <w:lang w:bidi="ar-JO"/>
          <w14:ligatures w14:val="none"/>
        </w:rPr>
        <w:tab/>
        <w:t>37: 2-50: 26</w:t>
      </w:r>
    </w:p>
    <w:p w14:paraId="540D5E86" w14:textId="77777777" w:rsidR="00C252DA" w:rsidRPr="004C1849" w:rsidRDefault="00C252DA"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p>
    <w:p w14:paraId="0F1697E4" w14:textId="77777777" w:rsidR="00C252DA" w:rsidRPr="00C7130A" w:rsidRDefault="00C252DA" w:rsidP="000558B7">
      <w:pPr>
        <w:pStyle w:val="Heading3"/>
        <w:rPr>
          <w:rtl/>
          <w:lang w:bidi="ar-JO"/>
        </w:rPr>
      </w:pPr>
      <w:bookmarkStart w:id="69" w:name="_Toc193030918"/>
      <w:r w:rsidRPr="00C7130A">
        <w:rPr>
          <w:rtl/>
          <w:lang w:bidi="ar-JO"/>
        </w:rPr>
        <w:t>5.</w:t>
      </w:r>
      <w:r w:rsidRPr="00C7130A">
        <w:rPr>
          <w:rtl/>
          <w:lang w:bidi="ar-JO"/>
        </w:rPr>
        <w:tab/>
        <w:t>فكرة البركة/اللعنة</w:t>
      </w:r>
      <w:bookmarkEnd w:id="69"/>
    </w:p>
    <w:p w14:paraId="70CDC79D" w14:textId="77777777" w:rsidR="00C252DA" w:rsidRPr="00C7130A" w:rsidRDefault="00C252DA" w:rsidP="004C1849">
      <w:pPr>
        <w:rPr>
          <w:rtl/>
          <w:lang w:bidi="ar-JO"/>
        </w:rPr>
      </w:pPr>
      <w:r w:rsidRPr="00C7130A">
        <w:rPr>
          <w:rtl/>
          <w:lang w:bidi="ar-JO"/>
        </w:rPr>
        <w:t>يوجد عامل هام آخر في السفر، ألا وهو الحاجة إلى بركة من الله والرغبة في ذلك.  ففي البداية يختبر الإنسان ملء بركة الله.  فالإنسان مخلوق على صورة الله ويعطى السلطة ليحكم ويمارس السيادة على الخليقة حافظاً لـِ "راحة الله</w:t>
      </w:r>
      <w:r w:rsidRPr="00C7130A">
        <w:rPr>
          <w:rtl/>
        </w:rPr>
        <w:t>.</w:t>
      </w:r>
      <w:r w:rsidRPr="00C7130A">
        <w:rPr>
          <w:rtl/>
          <w:lang w:bidi="ar-JO"/>
        </w:rPr>
        <w:t>"  غير أن سقوط الإنسان يحرم الرجل والمرأة من هذه البركة الرائعة، وشوّهت طبيعة الخطية الفاسدة "الصورة" التي خُلق الإنسان عليها، ويخسر الإنسان سيادته وحكمه (انظر عبرانيين 2: 6-8).  ولهذا لابد أن تنتظر "راحة الله" عصراً مستقبلياً لكي تتحقق تحقيقاً كاملاً (انظر عبرانيين 4: 9).  وتتحرك الأصحاحات 1-11 باتجاه الأسفل، من لعنة إلى أخرى.  ويبرز السؤال: "هل يمكن أن يستعيد الإنسان بركة الله؟"</w:t>
      </w:r>
      <w:r w:rsidRPr="00C7130A">
        <w:rPr>
          <w:rtl/>
        </w:rPr>
        <w:t xml:space="preserve"> </w:t>
      </w:r>
      <w:r w:rsidRPr="00C7130A">
        <w:rPr>
          <w:rtl/>
          <w:lang w:bidi="ar-JO"/>
        </w:rPr>
        <w:t xml:space="preserve"> أم هل هو متروك ضحية للعنة بلا رجاء؟  يبقى رجاء البركة مع الوعد بأن "نسل المرأة" سينتصر على "نسل الحية" (تكوين 3: 15). . . . رجاءٌ مسياني!</w:t>
      </w:r>
    </w:p>
    <w:p w14:paraId="216FBE4F" w14:textId="77777777" w:rsidR="00C252DA" w:rsidRPr="00C7130A" w:rsidRDefault="00C252DA"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56E4A24E" w14:textId="77777777" w:rsidR="00C252DA" w:rsidRDefault="00C252DA" w:rsidP="004C1849">
      <w:pPr>
        <w:rPr>
          <w:rtl/>
          <w:lang w:bidi="ar-JO"/>
        </w:rPr>
      </w:pPr>
      <w:r w:rsidRPr="00C7130A">
        <w:rPr>
          <w:rtl/>
          <w:lang w:bidi="ar-JO"/>
        </w:rPr>
        <w:lastRenderedPageBreak/>
        <w:t xml:space="preserve">ومع ظهور إبراهيم وبداية العهد في تكوين 12، يأتي وعد البركة بشعاع أمل جديد للإنسان.  ومن تلك النقطة فصاعداً، يركّز اللاهوت الكتابي على تحقيق البركة الموعودة.  ورجاء بركة الله مزروعة الآن في صدر الإنسان.  وحسب المنظور الإلهي، يجب أن ينتظر التحقيق الكامل لوعد البركة مجيء يسوع المسيح، أولاً في الفداء، ثم في المجد.  غير أن تطوّر البركة الموعودة يبدأ في سفر التكوين، لأنه يجب أن يكون هنالك "نسل" تأتي البركة من خلاله.  ونتتبع البركة الموعودة في تكوين 12-50، على الرغم من أنها لم تتحقق قط، لأن الآباء استمروا في الصراع بين الخير والشر، وبين البركة واللعنة، إلى أن وجدوا أنفسهم أخيراً في مصر، خارج الأرض.  ويصل السفر إلى خاتمته ونسل إبراهيم ينتظرون افتقاداً لهم من الله يحررهم ويثبّتهم في الأرض. </w:t>
      </w:r>
    </w:p>
    <w:p w14:paraId="34B0BBD5" w14:textId="77777777" w:rsidR="004C1849" w:rsidRDefault="004C1849" w:rsidP="004C1849">
      <w:pPr>
        <w:rPr>
          <w:rtl/>
          <w:lang w:bidi="ar-JO"/>
        </w:rPr>
      </w:pPr>
    </w:p>
    <w:p w14:paraId="7E211F3B" w14:textId="77777777" w:rsidR="004C1849" w:rsidRPr="00C7130A" w:rsidRDefault="004C1849" w:rsidP="004C1849">
      <w:pPr>
        <w:rPr>
          <w:rtl/>
          <w:lang w:bidi="ar-JO"/>
        </w:rPr>
      </w:pPr>
    </w:p>
    <w:p w14:paraId="2663FB0B" w14:textId="51E7915F" w:rsidR="00835DA5" w:rsidRPr="00C7130A" w:rsidRDefault="00820B3D" w:rsidP="000558B7">
      <w:pPr>
        <w:pStyle w:val="Heading3"/>
      </w:pPr>
      <w:bookmarkStart w:id="70" w:name="_Toc193030919"/>
      <w:bookmarkStart w:id="71" w:name="_Hlk178777940"/>
      <w:r w:rsidRPr="00C7130A">
        <w:rPr>
          <w:rtl/>
        </w:rPr>
        <w:t>لوحة توضيحيّة لسفر التكوين</w:t>
      </w:r>
      <w:bookmarkEnd w:id="70"/>
    </w:p>
    <w:bookmarkEnd w:id="71"/>
    <w:p w14:paraId="5ACF4CB8" w14:textId="77777777" w:rsidR="00C252DA" w:rsidRPr="00C7130A" w:rsidRDefault="00C252DA" w:rsidP="00C7130A">
      <w:pPr>
        <w:pStyle w:val="Heading4RED"/>
        <w:rPr>
          <w:rFonts w:cs="Arabic Typesetting"/>
        </w:rPr>
      </w:pPr>
    </w:p>
    <w:p w14:paraId="662596D3" w14:textId="5CEC638C" w:rsidR="00835DA5" w:rsidRPr="00C7130A" w:rsidRDefault="00C252DA" w:rsidP="00C7130A">
      <w:pPr>
        <w:pStyle w:val="OTNotes"/>
      </w:pPr>
      <w:r w:rsidRPr="00C7130A">
        <w:object w:dxaOrig="7811" w:dyaOrig="5396" w14:anchorId="6977C85B">
          <v:shape id="_x0000_i1029" type="#_x0000_t75" style="width:441.6pt;height:305.4pt" o:ole="">
            <v:imagedata r:id="rId20" o:title=""/>
          </v:shape>
          <o:OLEObject Type="Embed" ProgID="PowerPoint.Show.12" ShapeID="_x0000_i1029" DrawAspect="Content" ObjectID="_1803892144" r:id="rId21"/>
        </w:object>
      </w:r>
    </w:p>
    <w:p w14:paraId="116AC0D1" w14:textId="77777777" w:rsidR="004C1849" w:rsidRDefault="004C1849" w:rsidP="000558B7">
      <w:pPr>
        <w:pStyle w:val="Heading3"/>
        <w:rPr>
          <w:rtl/>
        </w:rPr>
      </w:pPr>
      <w:bookmarkStart w:id="72" w:name="_Hlk178777966"/>
    </w:p>
    <w:p w14:paraId="5B1E2B59" w14:textId="3E244B55" w:rsidR="005B452F" w:rsidRPr="00C7130A" w:rsidRDefault="00820B3D" w:rsidP="000558B7">
      <w:pPr>
        <w:pStyle w:val="Heading2B"/>
      </w:pPr>
      <w:bookmarkStart w:id="73" w:name="_Toc193030920"/>
      <w:r w:rsidRPr="00C7130A">
        <w:rPr>
          <w:rtl/>
        </w:rPr>
        <w:t>الموضوع 2: البداية في البركة (تكوين 1: 1 – 2: 3)</w:t>
      </w:r>
      <w:bookmarkEnd w:id="73"/>
    </w:p>
    <w:p w14:paraId="5DDBE38F" w14:textId="14B775E9" w:rsidR="003D138D" w:rsidRPr="004C1849" w:rsidRDefault="003D138D"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8"/>
          <w14:ligatures w14:val="none"/>
        </w:rPr>
      </w:pPr>
      <w:bookmarkStart w:id="74" w:name="_Hlk157165574"/>
      <w:bookmarkEnd w:id="72"/>
      <w:r w:rsidRPr="00C7130A">
        <w:rPr>
          <w:rFonts w:eastAsia="Calibri"/>
          <w:b/>
          <w:caps/>
          <w:noProof/>
          <w:color w:val="006699"/>
          <w:kern w:val="0"/>
          <w:sz w:val="21"/>
          <w:szCs w:val="24"/>
          <w14:ligatures w14:val="none"/>
        </w:rPr>
        <w:lastRenderedPageBreak/>
        <w:drawing>
          <wp:inline distT="0" distB="0" distL="0" distR="0" wp14:anchorId="0216D752" wp14:editId="414F1C76">
            <wp:extent cx="613692" cy="541464"/>
            <wp:effectExtent l="0" t="0" r="0" b="0"/>
            <wp:docPr id="1167719154" name="Picture 1167719154"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820B3D" w:rsidRPr="004C1849">
        <w:rPr>
          <w:rFonts w:eastAsia="Calibri"/>
          <w:b/>
          <w:caps/>
          <w:color w:val="006699"/>
          <w:kern w:val="0"/>
          <w:sz w:val="28"/>
          <w:u w:val="single"/>
          <w:rtl/>
          <w14:ligatures w14:val="none"/>
        </w:rPr>
        <w:t>القراءة</w:t>
      </w:r>
    </w:p>
    <w:p w14:paraId="57B5D8F0" w14:textId="4E18F7BC" w:rsidR="003D138D" w:rsidRPr="004C1849" w:rsidRDefault="003D138D"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 w:val="48"/>
          <w:rtl/>
          <w14:ligatures w14:val="none"/>
        </w:rPr>
      </w:pPr>
      <w:r w:rsidRPr="004C1849">
        <w:rPr>
          <w:rFonts w:eastAsia="Calibri"/>
          <w:kern w:val="0"/>
          <w:sz w:val="48"/>
          <w14:ligatures w14:val="none"/>
        </w:rPr>
        <w:tab/>
      </w:r>
      <w:r w:rsidRPr="004C1849">
        <w:rPr>
          <w:rFonts w:eastAsia="Calibri"/>
          <w:kern w:val="0"/>
          <w:sz w:val="48"/>
          <w14:ligatures w14:val="none"/>
        </w:rPr>
        <w:tab/>
      </w:r>
      <w:r w:rsidR="00820B3D" w:rsidRPr="004C1849">
        <w:rPr>
          <w:rFonts w:eastAsia="Calibri"/>
          <w:kern w:val="0"/>
          <w:sz w:val="48"/>
          <w:rtl/>
          <w14:ligatures w14:val="none"/>
        </w:rPr>
        <w:t xml:space="preserve">اقرأ تكوين 1: 1 – 2: 3 في كتابك المُقدَّس. </w:t>
      </w:r>
    </w:p>
    <w:p w14:paraId="2EE4C615" w14:textId="77777777" w:rsidR="00820B3D" w:rsidRPr="00C7130A" w:rsidRDefault="00820B3D"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p>
    <w:bookmarkEnd w:id="55"/>
    <w:bookmarkEnd w:id="74"/>
    <w:p w14:paraId="4E19F17B" w14:textId="77777777" w:rsidR="00E84DB1" w:rsidRPr="00C7130A" w:rsidRDefault="00E84DB1" w:rsidP="00C7130A">
      <w:pPr>
        <w:jc w:val="center"/>
        <w:rPr>
          <w:rFonts w:eastAsia="Times New Roman"/>
          <w:bCs/>
          <w:kern w:val="0"/>
          <w:szCs w:val="28"/>
          <w:rtl/>
          <w:lang w:bidi="ar-JO"/>
          <w14:ligatures w14:val="none"/>
        </w:rPr>
      </w:pPr>
    </w:p>
    <w:p w14:paraId="5451E555" w14:textId="77777777" w:rsidR="00E84DB1" w:rsidRPr="00C7130A" w:rsidRDefault="00E84DB1" w:rsidP="000558B7">
      <w:pPr>
        <w:pStyle w:val="Heading3"/>
        <w:rPr>
          <w:rtl/>
          <w:lang w:bidi="ar-JO"/>
        </w:rPr>
      </w:pPr>
      <w:bookmarkStart w:id="75" w:name="_Toc193030921"/>
      <w:r w:rsidRPr="00C7130A">
        <w:rPr>
          <w:rtl/>
          <w:lang w:bidi="ar-JO"/>
        </w:rPr>
        <w:t>1.</w:t>
      </w:r>
      <w:r w:rsidRPr="00C7130A">
        <w:rPr>
          <w:rtl/>
          <w:lang w:bidi="ar-JO"/>
        </w:rPr>
        <w:tab/>
        <w:t>مقدمة</w:t>
      </w:r>
      <w:bookmarkEnd w:id="75"/>
      <w:r w:rsidRPr="00C7130A">
        <w:rPr>
          <w:rtl/>
          <w:lang w:bidi="ar-JO"/>
        </w:rPr>
        <w:t xml:space="preserve"> </w:t>
      </w:r>
    </w:p>
    <w:p w14:paraId="64D7CC10" w14:textId="77777777" w:rsidR="00E84DB1" w:rsidRPr="00C7130A" w:rsidRDefault="00E84DB1" w:rsidP="004C1849">
      <w:pPr>
        <w:rPr>
          <w:rtl/>
        </w:rPr>
      </w:pPr>
      <w:r w:rsidRPr="00C7130A">
        <w:rPr>
          <w:rtl/>
          <w:lang w:bidi="ar-JO"/>
        </w:rPr>
        <w:t xml:space="preserve">تشكل تكوين 1: 1-2: 3 أول قسم من السفر.  وبدلاً من استخدام كلمة توليدوت </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في مستهل هذا القسم (انظر ملاحظات الدرس الثالث)، فإن لدينا التصريح البسيط ولكن العميق في تكوين 1: 1 أن الله خلق السماوات والأرض.  وما هو مخلوق في تكوين 1: 1-2 خرِب (غير مصقول) وخالٍ (غير مملوءة)، وهكذا تصف بقية القسم كيف أعد الله هذا لسكنى الإنسان.  لا يعلّمنا هذا القسم أن كل الخليقة تنبع من رغبة الله المعروف باسم يهوه وخطته الإراديتين فحسب، لكنه يعلّمنا أيضاً أن بداية الإنسان كانت في بركة الله.  يتمتع الإنسان المخلوق على صورة الله بالسيادة على المخلوقات الأرضية ويختبر راحة الله.  والفكرة الرئيسية هي أن الإنسان يبدأ في البركة،  ويلقي ضوءاً على هذا ممارسة الإنسان للسلطة المفوّضة إليه ليحكم وهو متمتع بـ "راحة الله</w:t>
      </w:r>
      <w:r w:rsidRPr="00C7130A">
        <w:rPr>
          <w:rtl/>
        </w:rPr>
        <w:t>.</w:t>
      </w:r>
      <w:r w:rsidRPr="00C7130A">
        <w:rPr>
          <w:rtl/>
          <w:lang w:bidi="ar-JO"/>
        </w:rPr>
        <w:t xml:space="preserve">"  وتأتي رواية الخلق وأصل الإنسان على نقيض صارخ مع الروايات الوثنية للخليقة (مثلاً، الرواية البابلية للخليقة)، حيث </w:t>
      </w:r>
      <w:r w:rsidRPr="00C7130A">
        <w:rPr>
          <w:rtl/>
        </w:rPr>
        <w:t>ت</w:t>
      </w:r>
      <w:r w:rsidRPr="00C7130A">
        <w:rPr>
          <w:rtl/>
          <w:lang w:bidi="ar-JO"/>
        </w:rPr>
        <w:t>تح</w:t>
      </w:r>
      <w:r w:rsidRPr="00C7130A">
        <w:rPr>
          <w:rtl/>
        </w:rPr>
        <w:t>ا</w:t>
      </w:r>
      <w:r w:rsidRPr="00C7130A">
        <w:rPr>
          <w:rtl/>
          <w:lang w:bidi="ar-JO"/>
        </w:rPr>
        <w:t>رب آلهة كثيرة معاً، ومن خلال موت أحد الآلهة يُخلق الإنسان ليسدّ حاجات الآلهة.  أمّا في الرواية الكتابية، فللإنسان منزلة رفيعة ودور كريم يشترك فيه مع الله القدير المحب.</w:t>
      </w:r>
    </w:p>
    <w:p w14:paraId="45BC6804" w14:textId="77777777" w:rsidR="00E84DB1" w:rsidRPr="00C7130A" w:rsidRDefault="00E84DB1"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szCs w:val="26"/>
          <w:rtl/>
          <w14:ligatures w14:val="none"/>
        </w:rPr>
      </w:pPr>
    </w:p>
    <w:p w14:paraId="67EF3200" w14:textId="77777777" w:rsidR="00E84DB1" w:rsidRPr="00C7130A" w:rsidRDefault="00E84DB1" w:rsidP="000558B7">
      <w:pPr>
        <w:pStyle w:val="Heading3"/>
        <w:rPr>
          <w:rtl/>
          <w:lang w:bidi="ar-JO"/>
        </w:rPr>
      </w:pPr>
      <w:bookmarkStart w:id="76" w:name="_Toc193030922"/>
      <w:r w:rsidRPr="00C7130A">
        <w:rPr>
          <w:rtl/>
          <w:lang w:bidi="ar-JO"/>
        </w:rPr>
        <w:t>2.</w:t>
      </w:r>
      <w:r w:rsidRPr="00C7130A">
        <w:rPr>
          <w:rtl/>
          <w:lang w:bidi="ar-JO"/>
        </w:rPr>
        <w:tab/>
        <w:t>بنية 1: 1-2: 3</w:t>
      </w:r>
      <w:bookmarkEnd w:id="76"/>
    </w:p>
    <w:p w14:paraId="5E5E0DF4"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sz w:val="48"/>
          <w:rtl/>
          <w:lang w:bidi="ar-JO"/>
          <w14:ligatures w14:val="none"/>
        </w:rPr>
      </w:pPr>
      <w:r w:rsidRPr="004C1849">
        <w:rPr>
          <w:rFonts w:eastAsia="Times New Roman"/>
          <w:kern w:val="0"/>
          <w:sz w:val="48"/>
          <w:rtl/>
          <w:lang w:bidi="ar-JO"/>
          <w14:ligatures w14:val="none"/>
        </w:rPr>
        <w:t>أ.</w:t>
      </w:r>
      <w:r w:rsidRPr="004C1849">
        <w:rPr>
          <w:rFonts w:eastAsia="Times New Roman"/>
          <w:kern w:val="0"/>
          <w:sz w:val="48"/>
          <w:rtl/>
          <w:lang w:bidi="ar-JO"/>
          <w14:ligatures w14:val="none"/>
        </w:rPr>
        <w:tab/>
        <w:t>نسبة الخلْق إلى الله الواحد الحقيقي (1: 1)</w:t>
      </w:r>
    </w:p>
    <w:p w14:paraId="594A2F51"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sz w:val="48"/>
          <w:rtl/>
          <w:lang w:bidi="ar-JO"/>
          <w14:ligatures w14:val="none"/>
        </w:rPr>
      </w:pPr>
      <w:r w:rsidRPr="004C1849">
        <w:rPr>
          <w:rFonts w:eastAsia="Times New Roman"/>
          <w:kern w:val="0"/>
          <w:sz w:val="48"/>
          <w:rtl/>
          <w:lang w:bidi="ar-JO"/>
          <w14:ligatures w14:val="none"/>
        </w:rPr>
        <w:t>ب.</w:t>
      </w:r>
      <w:r w:rsidRPr="004C1849">
        <w:rPr>
          <w:rFonts w:eastAsia="Times New Roman"/>
          <w:kern w:val="0"/>
          <w:sz w:val="48"/>
          <w:rtl/>
          <w:lang w:bidi="ar-JO"/>
          <w14:ligatures w14:val="none"/>
        </w:rPr>
        <w:tab/>
        <w:t>تفاصيل ظرفية عن الأرض الأولية تشير إلى أنها غير صالحة لسكنى الإنسان (1: 2)</w:t>
      </w:r>
    </w:p>
    <w:p w14:paraId="0E0622ED"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sz w:val="48"/>
          <w:rtl/>
          <w:lang w:bidi="ar-JO"/>
          <w14:ligatures w14:val="none"/>
        </w:rPr>
      </w:pPr>
      <w:r w:rsidRPr="004C1849">
        <w:rPr>
          <w:rFonts w:eastAsia="Times New Roman"/>
          <w:kern w:val="0"/>
          <w:sz w:val="48"/>
          <w:rtl/>
          <w:lang w:bidi="ar-JO"/>
          <w14:ligatures w14:val="none"/>
        </w:rPr>
        <w:t>جـ.</w:t>
      </w:r>
      <w:r w:rsidRPr="004C1849">
        <w:rPr>
          <w:rFonts w:eastAsia="Times New Roman"/>
          <w:kern w:val="0"/>
          <w:sz w:val="48"/>
          <w:rtl/>
          <w:lang w:bidi="ar-JO"/>
          <w14:ligatures w14:val="none"/>
        </w:rPr>
        <w:tab/>
        <w:t>سرد رواية الخلْق في تهيئة الأرض لتكون ملائمة للإنسان (1: 3-31)</w:t>
      </w:r>
    </w:p>
    <w:p w14:paraId="1C76922D"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sz w:val="48"/>
          <w:rtl/>
          <w:lang w:bidi="ar-JO"/>
          <w14:ligatures w14:val="none"/>
        </w:rPr>
      </w:pPr>
      <w:r w:rsidRPr="004C1849">
        <w:rPr>
          <w:rFonts w:eastAsia="Times New Roman"/>
          <w:kern w:val="0"/>
          <w:sz w:val="48"/>
          <w:rtl/>
          <w:lang w:bidi="ar-JO"/>
          <w14:ligatures w14:val="none"/>
        </w:rPr>
        <w:t>د.</w:t>
      </w:r>
      <w:r w:rsidRPr="004C1849">
        <w:rPr>
          <w:rFonts w:eastAsia="Times New Roman"/>
          <w:kern w:val="0"/>
          <w:sz w:val="48"/>
          <w:rtl/>
          <w:lang w:bidi="ar-JO"/>
          <w14:ligatures w14:val="none"/>
        </w:rPr>
        <w:tab/>
        <w:t>تصريحٌ ختامي تلخيصي لعملية الخلق (2: 1)</w:t>
      </w:r>
    </w:p>
    <w:p w14:paraId="0BD2850B"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sz w:val="48"/>
          <w:rtl/>
          <w:lang w:bidi="ar-JO"/>
          <w14:ligatures w14:val="none"/>
        </w:rPr>
      </w:pPr>
      <w:r w:rsidRPr="004C1849">
        <w:rPr>
          <w:rFonts w:eastAsia="Times New Roman"/>
          <w:kern w:val="0"/>
          <w:sz w:val="48"/>
          <w:rtl/>
          <w:lang w:bidi="ar-JO"/>
          <w14:ligatures w14:val="none"/>
        </w:rPr>
        <w:t>هـ.</w:t>
      </w:r>
      <w:r w:rsidRPr="004C1849">
        <w:rPr>
          <w:rFonts w:eastAsia="Times New Roman"/>
          <w:kern w:val="0"/>
          <w:sz w:val="48"/>
          <w:rtl/>
          <w:lang w:bidi="ar-JO"/>
          <w14:ligatures w14:val="none"/>
        </w:rPr>
        <w:tab/>
        <w:t>خاتمة: راحة السبت (2: 2-3)</w:t>
      </w:r>
    </w:p>
    <w:p w14:paraId="2646AF6B" w14:textId="77777777" w:rsidR="00E84DB1" w:rsidRPr="00C7130A" w:rsidRDefault="00E84DB1" w:rsidP="00C7130A">
      <w:pPr>
        <w:tabs>
          <w:tab w:val="left" w:pos="454"/>
        </w:tabs>
        <w:spacing w:after="60"/>
        <w:jc w:val="both"/>
        <w:rPr>
          <w:rFonts w:eastAsia="Times New Roman"/>
          <w:bCs/>
          <w:kern w:val="0"/>
          <w:szCs w:val="28"/>
          <w:rtl/>
          <w:lang w:bidi="ar-JO"/>
          <w14:ligatures w14:val="none"/>
        </w:rPr>
      </w:pPr>
    </w:p>
    <w:p w14:paraId="00C46D19" w14:textId="77777777" w:rsidR="00E84DB1" w:rsidRPr="00C7130A" w:rsidRDefault="00E84DB1" w:rsidP="000558B7">
      <w:pPr>
        <w:pStyle w:val="Heading3"/>
        <w:rPr>
          <w:rtl/>
          <w:lang w:bidi="ar-JO"/>
        </w:rPr>
      </w:pPr>
      <w:bookmarkStart w:id="77" w:name="_Toc193030923"/>
      <w:r w:rsidRPr="00C7130A">
        <w:rPr>
          <w:rtl/>
          <w:lang w:bidi="ar-JO"/>
        </w:rPr>
        <w:t>3.</w:t>
      </w:r>
      <w:r w:rsidRPr="00C7130A">
        <w:rPr>
          <w:rtl/>
          <w:lang w:bidi="ar-JO"/>
        </w:rPr>
        <w:tab/>
        <w:t>الرسالة الرئيسية</w:t>
      </w:r>
      <w:bookmarkEnd w:id="77"/>
      <w:r w:rsidRPr="00C7130A">
        <w:rPr>
          <w:rtl/>
          <w:lang w:bidi="ar-JO"/>
        </w:rPr>
        <w:t xml:space="preserve"> </w:t>
      </w:r>
    </w:p>
    <w:p w14:paraId="0A9A07AA" w14:textId="77777777" w:rsidR="00E84DB1" w:rsidRPr="00C7130A" w:rsidRDefault="00E84DB1" w:rsidP="004C1849">
      <w:pPr>
        <w:rPr>
          <w:rtl/>
          <w:lang w:bidi="ar-JO"/>
        </w:rPr>
      </w:pPr>
      <w:r w:rsidRPr="00C7130A">
        <w:rPr>
          <w:rtl/>
          <w:lang w:bidi="ar-JO"/>
        </w:rPr>
        <w:t xml:space="preserve">يقوم الله المتسيد بخلق كل الأشياء بكلمته الإلهية (مبيناً أنه إله كل خليقة)، مهيّئاً الأرض لسكنى الإنسان لكي يؤسس </w:t>
      </w:r>
      <w:r w:rsidRPr="00C7130A">
        <w:rPr>
          <w:u w:val="single"/>
          <w:rtl/>
          <w:lang w:bidi="ar-JO"/>
        </w:rPr>
        <w:t>راحة</w:t>
      </w:r>
      <w:r w:rsidRPr="00C7130A">
        <w:rPr>
          <w:rtl/>
          <w:lang w:bidi="ar-JO"/>
        </w:rPr>
        <w:t xml:space="preserve"> الحكم الإلهي (الثيوقراطية) مع الإنسان الذي هو وسيط حُكمه على الخليقة.</w:t>
      </w:r>
    </w:p>
    <w:p w14:paraId="5224C559"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sz w:val="48"/>
          <w:rtl/>
          <w:lang w:bidi="ar-JO"/>
          <w14:ligatures w14:val="none"/>
        </w:rPr>
      </w:pPr>
    </w:p>
    <w:p w14:paraId="67B3BC56" w14:textId="77777777" w:rsidR="00E84DB1" w:rsidRPr="004C1849" w:rsidRDefault="00E84DB1" w:rsidP="00C7130A">
      <w:pPr>
        <w:tabs>
          <w:tab w:val="left" w:pos="454"/>
        </w:tabs>
        <w:spacing w:after="60"/>
        <w:jc w:val="both"/>
        <w:rPr>
          <w:rFonts w:eastAsia="Times New Roman"/>
          <w:bCs/>
          <w:kern w:val="0"/>
          <w:sz w:val="52"/>
          <w:szCs w:val="44"/>
          <w:rtl/>
          <w:lang w:bidi="ar-JO"/>
          <w14:ligatures w14:val="none"/>
        </w:rPr>
      </w:pPr>
      <w:r w:rsidRPr="004C1849">
        <w:rPr>
          <w:rFonts w:eastAsia="Times New Roman"/>
          <w:bCs/>
          <w:kern w:val="0"/>
          <w:sz w:val="52"/>
          <w:szCs w:val="44"/>
          <w:rtl/>
          <w:lang w:bidi="ar-JO"/>
          <w14:ligatures w14:val="none"/>
        </w:rPr>
        <w:t>4.</w:t>
      </w:r>
      <w:r w:rsidRPr="004C1849">
        <w:rPr>
          <w:rFonts w:eastAsia="Times New Roman"/>
          <w:bCs/>
          <w:kern w:val="0"/>
          <w:sz w:val="52"/>
          <w:szCs w:val="44"/>
          <w:rtl/>
          <w:lang w:bidi="ar-JO"/>
          <w14:ligatures w14:val="none"/>
        </w:rPr>
        <w:tab/>
        <w:t>تطوّر القسم</w:t>
      </w:r>
    </w:p>
    <w:p w14:paraId="754D1F08" w14:textId="77777777" w:rsidR="00E84DB1" w:rsidRPr="004C1849" w:rsidRDefault="00E84DB1" w:rsidP="00EC5727">
      <w:pPr>
        <w:tabs>
          <w:tab w:val="left" w:pos="454"/>
        </w:tabs>
        <w:spacing w:after="60"/>
        <w:ind w:left="550" w:right="550" w:hanging="550"/>
        <w:jc w:val="both"/>
        <w:rPr>
          <w:rFonts w:eastAsia="Times New Roman"/>
          <w:bCs/>
          <w:kern w:val="0"/>
          <w:sz w:val="48"/>
          <w:rtl/>
          <w14:ligatures w14:val="none"/>
        </w:rPr>
      </w:pPr>
      <w:r w:rsidRPr="004C1849">
        <w:rPr>
          <w:rFonts w:eastAsia="Times New Roman"/>
          <w:bCs/>
          <w:kern w:val="0"/>
          <w:sz w:val="48"/>
          <w:rtl/>
          <w14:ligatures w14:val="none"/>
        </w:rPr>
        <w:t>أ.</w:t>
      </w:r>
      <w:r w:rsidRPr="004C1849">
        <w:rPr>
          <w:rFonts w:eastAsia="Times New Roman"/>
          <w:bCs/>
          <w:kern w:val="0"/>
          <w:sz w:val="48"/>
          <w:rtl/>
          <w14:ligatures w14:val="none"/>
        </w:rPr>
        <w:tab/>
        <w:t>نسبة الخلق إلى الله الواحد الحقيقي (1:1)</w:t>
      </w:r>
    </w:p>
    <w:p w14:paraId="2AAC7669" w14:textId="77777777" w:rsidR="00E84DB1" w:rsidRPr="00C7130A" w:rsidRDefault="00E84DB1" w:rsidP="004C1849">
      <w:pPr>
        <w:rPr>
          <w:rtl/>
          <w:lang w:bidi="ar-JO"/>
        </w:rPr>
      </w:pPr>
      <w:r w:rsidRPr="00C7130A">
        <w:rPr>
          <w:rtl/>
          <w:lang w:bidi="ar-JO"/>
        </w:rPr>
        <w:t>على النقيض من الروايات الوثنية عن الخلق، تقول الرواية الكتابية إن الخليقة جاءت من الله الخالق الذي تعبده إسرائيل كيهوه.  ويجب أن نلاحظ أن لدينا روايتين للخلق (وهما ليستا روايتين مختلفتين، بل هما روايتان من منظورين مختلفين):</w:t>
      </w:r>
    </w:p>
    <w:p w14:paraId="35476167"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sz w:val="48"/>
          <w:rtl/>
          <w:lang w:bidi="ar-JO"/>
          <w14:ligatures w14:val="none"/>
        </w:rPr>
      </w:pPr>
      <w:r w:rsidRPr="004C1849">
        <w:rPr>
          <w:rFonts w:eastAsia="Times New Roman"/>
          <w:kern w:val="0"/>
          <w:sz w:val="48"/>
          <w:rtl/>
          <w:lang w:bidi="ar-JO"/>
          <w14:ligatures w14:val="none"/>
        </w:rPr>
        <w:t>1: 1-2: 3</w:t>
      </w:r>
      <w:r w:rsidRPr="004C1849">
        <w:rPr>
          <w:rFonts w:eastAsia="Times New Roman"/>
          <w:kern w:val="0"/>
          <w:sz w:val="48"/>
          <w:rtl/>
          <w:lang w:bidi="ar-JO"/>
          <w14:ligatures w14:val="none"/>
        </w:rPr>
        <w:tab/>
        <w:t>تركّز على خلق الأرض لأجل الإنسان</w:t>
      </w:r>
    </w:p>
    <w:p w14:paraId="0E707C4B"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sz w:val="48"/>
          <w:rtl/>
          <w:lang w:bidi="ar-JO"/>
          <w14:ligatures w14:val="none"/>
        </w:rPr>
      </w:pPr>
      <w:r w:rsidRPr="004C1849">
        <w:rPr>
          <w:rFonts w:eastAsia="Times New Roman"/>
          <w:kern w:val="0"/>
          <w:sz w:val="48"/>
          <w:rtl/>
          <w:lang w:bidi="ar-JO"/>
          <w14:ligatures w14:val="none"/>
        </w:rPr>
        <w:t>2: 4-25</w:t>
      </w:r>
      <w:r w:rsidRPr="004C1849">
        <w:rPr>
          <w:rFonts w:eastAsia="Times New Roman"/>
          <w:kern w:val="0"/>
          <w:sz w:val="48"/>
          <w:rtl/>
          <w:lang w:bidi="ar-JO"/>
          <w14:ligatures w14:val="none"/>
        </w:rPr>
        <w:tab/>
        <w:t>تركّز على خلق الإنسان نفسه وحالته الأولية وبيئته</w:t>
      </w:r>
    </w:p>
    <w:p w14:paraId="0C5D14DA"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sz w:val="48"/>
          <w:rtl/>
          <w:lang w:bidi="ar-JO"/>
          <w14:ligatures w14:val="none"/>
        </w:rPr>
      </w:pPr>
    </w:p>
    <w:p w14:paraId="69F5AD3C"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sz w:val="48"/>
          <w:rtl/>
          <w:lang w:bidi="ar-JO"/>
          <w14:ligatures w14:val="none"/>
        </w:rPr>
      </w:pPr>
      <w:r w:rsidRPr="004C1849">
        <w:rPr>
          <w:rFonts w:eastAsia="Times New Roman"/>
          <w:kern w:val="0"/>
          <w:sz w:val="48"/>
          <w:rtl/>
          <w:lang w:bidi="ar-JO"/>
          <w14:ligatures w14:val="none"/>
        </w:rPr>
        <w:t xml:space="preserve">في الرواية الأولى يشكّل الإنسان غاية خليقة الله وذروتها.  وتصوّر هذه الرواية منزلة الإنسان الرفيعة </w:t>
      </w:r>
      <w:r w:rsidRPr="004C1849">
        <w:rPr>
          <w:rFonts w:eastAsia="Times New Roman"/>
          <w:kern w:val="0"/>
          <w:sz w:val="48"/>
          <w:u w:val="single"/>
          <w:rtl/>
          <w:lang w:bidi="ar-JO"/>
          <w14:ligatures w14:val="none"/>
        </w:rPr>
        <w:t>من حيث الترتيب الزمني</w:t>
      </w:r>
      <w:r w:rsidRPr="004C1849">
        <w:rPr>
          <w:rFonts w:eastAsia="Times New Roman"/>
          <w:kern w:val="0"/>
          <w:sz w:val="48"/>
          <w:rtl/>
          <w:lang w:bidi="ar-JO"/>
          <w14:ligatures w14:val="none"/>
        </w:rPr>
        <w:t xml:space="preserve"> (فهو أوج عمل الله الإبداعي).  وفي الرواية الثانية، تصوَّر منزلة الإنسان الرفيعة وكرامته </w:t>
      </w:r>
      <w:r w:rsidRPr="004C1849">
        <w:rPr>
          <w:rFonts w:eastAsia="Times New Roman"/>
          <w:kern w:val="0"/>
          <w:sz w:val="48"/>
          <w:u w:val="single"/>
          <w:rtl/>
          <w:lang w:bidi="ar-JO"/>
          <w14:ligatures w14:val="none"/>
        </w:rPr>
        <w:t>من منظور منطقي</w:t>
      </w:r>
      <w:r w:rsidRPr="004C1849">
        <w:rPr>
          <w:rFonts w:eastAsia="Times New Roman"/>
          <w:kern w:val="0"/>
          <w:sz w:val="48"/>
          <w:rtl/>
          <w:lang w:bidi="ar-JO"/>
          <w14:ligatures w14:val="none"/>
        </w:rPr>
        <w:t>.  فكل شيء مخلوق للإنسان: الجنّة والحيوانات والمرأة (ذروة عطايا الله للرجل).</w:t>
      </w:r>
    </w:p>
    <w:p w14:paraId="1103BFED"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1.</w:t>
      </w:r>
      <w:r w:rsidRPr="004C1849">
        <w:rPr>
          <w:rFonts w:eastAsia="Times New Roman"/>
          <w:kern w:val="0"/>
          <w:rtl/>
          <w:lang w:bidi="ar-JO"/>
          <w14:ligatures w14:val="none"/>
        </w:rPr>
        <w:tab/>
        <w:t>اسم الله</w:t>
      </w:r>
    </w:p>
    <w:p w14:paraId="57E69481"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571" w:hanging="550"/>
        <w:jc w:val="both"/>
        <w:rPr>
          <w:rFonts w:eastAsia="Times New Roman"/>
          <w:kern w:val="0"/>
          <w:rtl/>
          <w:lang w:bidi="ar-JO"/>
          <w14:ligatures w14:val="none"/>
        </w:rPr>
      </w:pPr>
      <w:r w:rsidRPr="004C1849">
        <w:rPr>
          <w:rFonts w:eastAsia="Times New Roman"/>
          <w:kern w:val="0"/>
          <w:rtl/>
          <w:lang w:bidi="ar-JO"/>
          <w14:ligatures w14:val="none"/>
        </w:rPr>
        <w:t>أ.</w:t>
      </w:r>
      <w:r w:rsidRPr="004C1849">
        <w:rPr>
          <w:rFonts w:eastAsia="Times New Roman"/>
          <w:kern w:val="0"/>
          <w:rtl/>
          <w:lang w:bidi="ar-JO"/>
          <w14:ligatures w14:val="none"/>
        </w:rPr>
        <w:tab/>
        <w:t>تكوين 1: 1= الله (إيلوهيم- (بالعبرية</w:t>
      </w:r>
      <w:r w:rsidRPr="004C1849">
        <w:rPr>
          <w:rFonts w:eastAsia="Times New Roman"/>
          <w:kern w:val="0"/>
          <w:rtl/>
          <w14:ligatures w14:val="none"/>
        </w:rPr>
        <w:t xml:space="preserve"> </w:t>
      </w:r>
      <w:r w:rsidRPr="004C1849">
        <w:rPr>
          <w:rFonts w:ascii="Times New Roman" w:eastAsia="Times New Roman" w:hAnsi="Times New Roman" w:cs="Times New Roman" w:hint="cs"/>
          <w:b/>
          <w:kern w:val="0"/>
          <w:rtl/>
          <w:lang w:bidi="he-IL"/>
          <w14:ligatures w14:val="none"/>
        </w:rPr>
        <w:t>אֶלֹהִים</w:t>
      </w:r>
      <w:r w:rsidRPr="004C1849">
        <w:rPr>
          <w:rFonts w:eastAsia="Times New Roman"/>
          <w:kern w:val="0"/>
          <w:rtl/>
          <w:lang w:bidi="ar-JO"/>
          <w14:ligatures w14:val="none"/>
        </w:rPr>
        <w:t>).  يؤكّد هذا التعبير على قوة الله كما تظهر بشكل بارز في الخليقة.</w:t>
      </w:r>
    </w:p>
    <w:p w14:paraId="43DBF58D"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571" w:hanging="550"/>
        <w:jc w:val="both"/>
        <w:rPr>
          <w:rFonts w:eastAsia="Times New Roman"/>
          <w:kern w:val="0"/>
          <w:rtl/>
          <w:lang w:bidi="ar-JO"/>
          <w14:ligatures w14:val="none"/>
        </w:rPr>
      </w:pPr>
      <w:r w:rsidRPr="004C1849">
        <w:rPr>
          <w:rFonts w:eastAsia="Times New Roman"/>
          <w:kern w:val="0"/>
          <w:rtl/>
          <w:lang w:bidi="ar-JO"/>
          <w14:ligatures w14:val="none"/>
        </w:rPr>
        <w:t>ب.</w:t>
      </w:r>
      <w:r w:rsidRPr="004C1849">
        <w:rPr>
          <w:rFonts w:eastAsia="Times New Roman"/>
          <w:kern w:val="0"/>
          <w:rtl/>
          <w:lang w:bidi="ar-JO"/>
          <w14:ligatures w14:val="none"/>
        </w:rPr>
        <w:tab/>
        <w:t xml:space="preserve">تكوين 2: 4= الرب الإله (يهوه إيلوهيم - (بالعبرية </w:t>
      </w:r>
      <w:r w:rsidRPr="004C1849">
        <w:rPr>
          <w:rFonts w:ascii="Times New Roman" w:eastAsia="Times New Roman" w:hAnsi="Times New Roman" w:cs="Times New Roman" w:hint="cs"/>
          <w:b/>
          <w:kern w:val="0"/>
          <w:rtl/>
          <w:lang w:bidi="he-IL"/>
          <w14:ligatures w14:val="none"/>
        </w:rPr>
        <w:t>יְהוָה</w:t>
      </w:r>
      <w:r w:rsidRPr="004C1849">
        <w:rPr>
          <w:rFonts w:eastAsia="Times New Roman"/>
          <w:bCs/>
          <w:kern w:val="0"/>
          <w:lang w:bidi="ar-JO"/>
          <w14:ligatures w14:val="none"/>
        </w:rPr>
        <w:t xml:space="preserve"> </w:t>
      </w:r>
      <w:r w:rsidRPr="004C1849">
        <w:rPr>
          <w:rFonts w:ascii="Times New Roman" w:eastAsia="Times New Roman" w:hAnsi="Times New Roman" w:cs="Times New Roman" w:hint="cs"/>
          <w:b/>
          <w:kern w:val="0"/>
          <w:rtl/>
          <w:lang w:bidi="he-IL"/>
          <w14:ligatures w14:val="none"/>
        </w:rPr>
        <w:t>אֶלֹהִים</w:t>
      </w:r>
      <w:r w:rsidRPr="004C1849">
        <w:rPr>
          <w:rFonts w:eastAsia="Times New Roman"/>
          <w:kern w:val="0"/>
          <w:rtl/>
          <w:lang w:bidi="ar-JO"/>
          <w14:ligatures w14:val="none"/>
        </w:rPr>
        <w:t>).  يؤكد اسم يهوه على استقلالية الله السياديِّة وعلاقته العهدية مع الإنسان وإسرائيل.</w:t>
      </w:r>
    </w:p>
    <w:p w14:paraId="6867F025" w14:textId="7842BF4D"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588"/>
        <w:jc w:val="both"/>
        <w:rPr>
          <w:rFonts w:eastAsia="Times New Roman"/>
          <w:kern w:val="0"/>
          <w:rtl/>
          <w:lang w:bidi="ar-JO"/>
          <w14:ligatures w14:val="none"/>
        </w:rPr>
      </w:pPr>
      <w:r w:rsidRPr="004C1849">
        <w:rPr>
          <w:rFonts w:eastAsia="Times New Roman"/>
          <w:kern w:val="0"/>
          <w:rtl/>
          <w:lang w:bidi="ar-JO"/>
          <w14:ligatures w14:val="none"/>
        </w:rPr>
        <w:t>وإذا أُخذت هاتان الآيتان معاً، فإنهما تنسبان الخليقة إلى اللقبين (الله ويهوه).  ويؤكد هذا على أن الله الخالق مرتبط بشكل حاسم "بيهوه، إله العهد".  عندما أرسل الله موسى، كان عليه أن يذهب باسم يهوه (خروج 3: 13-17؛ 6: 2-9)، الذي هو إله الخليقة المتسي</w:t>
      </w:r>
      <w:r w:rsidR="008C5865" w:rsidRPr="004C1849">
        <w:rPr>
          <w:rFonts w:eastAsia="Times New Roman"/>
          <w:kern w:val="0"/>
          <w:rtl/>
          <w:lang w:bidi="ar-JO"/>
          <w14:ligatures w14:val="none"/>
        </w:rPr>
        <w:t>ّ</w:t>
      </w:r>
      <w:r w:rsidRPr="004C1849">
        <w:rPr>
          <w:rFonts w:eastAsia="Times New Roman"/>
          <w:kern w:val="0"/>
          <w:rtl/>
          <w:lang w:bidi="ar-JO"/>
          <w14:ligatures w14:val="none"/>
        </w:rPr>
        <w:t xml:space="preserve">د. فهذا هو الإله الذي دخل في علاقة </w:t>
      </w:r>
      <w:r w:rsidRPr="004C1849">
        <w:rPr>
          <w:rFonts w:eastAsia="Times New Roman"/>
          <w:kern w:val="0"/>
          <w:u w:val="single"/>
          <w:rtl/>
          <w:lang w:bidi="ar-JO"/>
          <w14:ligatures w14:val="none"/>
        </w:rPr>
        <w:t>عهد</w:t>
      </w:r>
      <w:r w:rsidRPr="004C1849">
        <w:rPr>
          <w:rFonts w:eastAsia="Times New Roman"/>
          <w:kern w:val="0"/>
          <w:rtl/>
          <w:lang w:bidi="ar-JO"/>
          <w14:ligatures w14:val="none"/>
        </w:rPr>
        <w:t xml:space="preserve"> مع إبراهيم الذي يهدف إلى تخليص إسرائيل وإخراجها من مصر.</w:t>
      </w:r>
    </w:p>
    <w:p w14:paraId="7674B80B"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588"/>
        <w:jc w:val="both"/>
        <w:rPr>
          <w:rFonts w:eastAsia="Times New Roman"/>
          <w:kern w:val="0"/>
          <w:rtl/>
          <w:lang w:bidi="ar-JO"/>
          <w14:ligatures w14:val="none"/>
        </w:rPr>
      </w:pPr>
    </w:p>
    <w:p w14:paraId="76C580D1"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2.</w:t>
      </w:r>
      <w:r w:rsidRPr="004C1849">
        <w:rPr>
          <w:rFonts w:eastAsia="Times New Roman"/>
          <w:kern w:val="0"/>
          <w:rtl/>
          <w:lang w:bidi="ar-JO"/>
          <w14:ligatures w14:val="none"/>
        </w:rPr>
        <w:tab/>
        <w:t>"خلَق" الله (بارا- بالعبرية</w:t>
      </w:r>
      <w:r w:rsidRPr="004C1849">
        <w:rPr>
          <w:rFonts w:eastAsia="Times New Roman"/>
          <w:kern w:val="0"/>
          <w:rtl/>
          <w14:ligatures w14:val="none"/>
        </w:rPr>
        <w:t xml:space="preserve"> </w:t>
      </w:r>
      <w:r w:rsidRPr="004C1849">
        <w:rPr>
          <w:rFonts w:eastAsia="Times New Roman"/>
          <w:bCs/>
          <w:i/>
          <w:iCs/>
          <w:kern w:val="0"/>
          <w:lang w:bidi="he-IL"/>
          <w14:ligatures w14:val="none"/>
        </w:rPr>
        <w:t>bārā’</w:t>
      </w:r>
      <w:r w:rsidRPr="004C1849">
        <w:rPr>
          <w:rFonts w:eastAsia="Times New Roman"/>
          <w:kern w:val="0"/>
          <w14:ligatures w14:val="none"/>
        </w:rPr>
        <w:t xml:space="preserve"> - </w:t>
      </w:r>
      <w:r w:rsidRPr="004C1849">
        <w:rPr>
          <w:rFonts w:eastAsia="Times New Roman"/>
          <w:kern w:val="0"/>
          <w:rtl/>
          <w:lang w:bidi="he-IL"/>
          <w14:ligatures w14:val="none"/>
        </w:rPr>
        <w:t xml:space="preserve"> </w:t>
      </w:r>
      <w:r w:rsidRPr="004C1849">
        <w:rPr>
          <w:rFonts w:ascii="Times New Roman" w:eastAsia="Times New Roman" w:hAnsi="Times New Roman" w:cs="Times New Roman" w:hint="cs"/>
          <w:kern w:val="0"/>
          <w:rtl/>
          <w:lang w:bidi="he-IL"/>
          <w14:ligatures w14:val="none"/>
        </w:rPr>
        <w:t>־</w:t>
      </w:r>
      <w:r w:rsidRPr="004C1849">
        <w:rPr>
          <w:rFonts w:eastAsia="Times New Roman"/>
          <w:kern w:val="0"/>
          <w:rtl/>
          <w:lang w:bidi="he-IL"/>
          <w14:ligatures w14:val="none"/>
        </w:rPr>
        <w:t xml:space="preserve"> </w:t>
      </w:r>
      <w:r w:rsidRPr="004C1849">
        <w:rPr>
          <w:rFonts w:ascii="Times New Roman" w:eastAsia="Times New Roman" w:hAnsi="Times New Roman" w:cs="Times New Roman" w:hint="cs"/>
          <w:b/>
          <w:kern w:val="0"/>
          <w:rtl/>
          <w:lang w:bidi="he-IL"/>
          <w14:ligatures w14:val="none"/>
        </w:rPr>
        <w:t>בָּרָא</w:t>
      </w:r>
      <w:r w:rsidRPr="004C1849">
        <w:rPr>
          <w:rFonts w:eastAsia="Times New Roman"/>
          <w:kern w:val="0"/>
          <w:rtl/>
          <w:lang w:bidi="ar-JO"/>
          <w14:ligatures w14:val="none"/>
        </w:rPr>
        <w:t>)</w:t>
      </w:r>
    </w:p>
    <w:p w14:paraId="11EBD7D3" w14:textId="3214DA6D"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021"/>
        <w:jc w:val="both"/>
        <w:rPr>
          <w:rFonts w:eastAsia="Times New Roman"/>
          <w:kern w:val="0"/>
          <w:rtl/>
          <w:lang w:bidi="ar-JO"/>
          <w14:ligatures w14:val="none"/>
        </w:rPr>
      </w:pPr>
      <w:r w:rsidRPr="004C1849">
        <w:rPr>
          <w:rFonts w:eastAsia="Times New Roman"/>
          <w:kern w:val="0"/>
          <w:rtl/>
          <w:lang w:bidi="ar-JO"/>
          <w14:ligatures w14:val="none"/>
        </w:rPr>
        <w:lastRenderedPageBreak/>
        <w:t xml:space="preserve">على الرغم من أن كلمة </w:t>
      </w:r>
      <w:r w:rsidRPr="004C1849">
        <w:rPr>
          <w:rFonts w:eastAsia="Times New Roman"/>
          <w:kern w:val="0"/>
          <w:u w:val="single"/>
          <w:rtl/>
          <w:lang w:bidi="ar-JO"/>
          <w14:ligatures w14:val="none"/>
        </w:rPr>
        <w:t>بارا</w:t>
      </w:r>
      <w:r w:rsidRPr="004C1849">
        <w:rPr>
          <w:rFonts w:eastAsia="Times New Roman"/>
          <w:kern w:val="0"/>
          <w:rtl/>
          <w:lang w:bidi="ar-JO"/>
          <w14:ligatures w14:val="none"/>
        </w:rPr>
        <w:t xml:space="preserve"> لا تعني بالضرورة "يخلق من العدم"، إلاّ أن هذا هو المعنى المتضمن المحتمل في هذا </w:t>
      </w:r>
      <w:r w:rsidR="004C1849" w:rsidRPr="004C1849">
        <w:rPr>
          <w:rFonts w:eastAsia="Times New Roman" w:hint="cs"/>
          <w:kern w:val="0"/>
          <w:rtl/>
          <w:lang w:bidi="ar-JO"/>
          <w14:ligatures w14:val="none"/>
        </w:rPr>
        <w:t>السياق (</w:t>
      </w:r>
      <w:r w:rsidRPr="004C1849">
        <w:rPr>
          <w:rFonts w:eastAsia="Times New Roman"/>
          <w:kern w:val="0"/>
          <w:rtl/>
          <w:lang w:bidi="ar-JO"/>
          <w14:ligatures w14:val="none"/>
        </w:rPr>
        <w:t>قارن مزمور 33: 6، 9 ورومية 4: 17).</w:t>
      </w:r>
      <w:r w:rsidRPr="004C1849">
        <w:rPr>
          <w:rFonts w:eastAsia="Times New Roman"/>
          <w:kern w:val="0"/>
          <w:vertAlign w:val="superscript"/>
          <w:rtl/>
          <w:lang w:bidi="ar-JO"/>
          <w14:ligatures w14:val="none"/>
        </w:rPr>
        <w:footnoteReference w:customMarkFollows="1" w:id="9"/>
        <w:t>1</w:t>
      </w:r>
      <w:r w:rsidRPr="004C1849">
        <w:rPr>
          <w:rFonts w:eastAsia="Times New Roman"/>
          <w:kern w:val="0"/>
          <w:rtl/>
          <w:lang w:bidi="ar-JO"/>
          <w14:ligatures w14:val="none"/>
        </w:rPr>
        <w:t xml:space="preserve">  </w:t>
      </w:r>
    </w:p>
    <w:p w14:paraId="1FC383E9"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p>
    <w:p w14:paraId="2AA83559" w14:textId="1466EABA" w:rsidR="00E84DB1" w:rsidRPr="004C1849" w:rsidRDefault="00E84DB1" w:rsidP="00C7130A">
      <w:pPr>
        <w:tabs>
          <w:tab w:val="left" w:pos="550"/>
          <w:tab w:val="left" w:pos="1100"/>
          <w:tab w:val="left" w:pos="1650"/>
          <w:tab w:val="left" w:pos="2200"/>
          <w:tab w:val="left" w:pos="2750"/>
          <w:tab w:val="left" w:pos="3300"/>
          <w:tab w:val="left" w:pos="3850"/>
          <w:tab w:val="left" w:pos="4400"/>
        </w:tabs>
        <w:ind w:left="550" w:right="2155"/>
        <w:jc w:val="both"/>
        <w:rPr>
          <w:rFonts w:eastAsia="Times New Roman"/>
          <w:kern w:val="0"/>
          <w:rtl/>
          <w:lang w:bidi="ar-JO"/>
          <w14:ligatures w14:val="none"/>
        </w:rPr>
      </w:pPr>
      <w:bookmarkStart w:id="78" w:name="_Hlk156221035"/>
      <w:r w:rsidRPr="004C1849">
        <w:rPr>
          <w:rFonts w:eastAsia="Times New Roman"/>
          <w:kern w:val="0"/>
          <w:rtl/>
          <w:lang w:bidi="ar-JO"/>
          <w14:ligatures w14:val="none"/>
        </w:rPr>
        <w:t>(</w:t>
      </w:r>
      <w:r w:rsidRPr="004C1849">
        <w:rPr>
          <w:rFonts w:eastAsia="Times New Roman"/>
          <w:bCs/>
          <w:i/>
          <w:kern w:val="0"/>
          <w:lang w:bidi="he-IL"/>
          <w14:ligatures w14:val="none"/>
        </w:rPr>
        <w:t>yāṣar</w:t>
      </w:r>
      <w:r w:rsidRPr="004C1849">
        <w:rPr>
          <w:rFonts w:eastAsia="Times New Roman"/>
          <w:kern w:val="0"/>
          <w:rtl/>
          <w14:ligatures w14:val="none"/>
        </w:rPr>
        <w:t xml:space="preserve">  -</w:t>
      </w:r>
      <w:r w:rsidRPr="004C1849">
        <w:rPr>
          <w:rFonts w:eastAsia="Times New Roman"/>
          <w:kern w:val="0"/>
          <w14:ligatures w14:val="none"/>
        </w:rPr>
        <w:t xml:space="preserve"> </w:t>
      </w:r>
      <w:r w:rsidRPr="004C1849">
        <w:rPr>
          <w:rFonts w:ascii="Times New Roman" w:eastAsia="Times New Roman" w:hAnsi="Times New Roman" w:cs="Times New Roman" w:hint="cs"/>
          <w:b/>
          <w:i/>
          <w:kern w:val="0"/>
          <w:rtl/>
          <w:lang w:bidi="he-IL"/>
          <w14:ligatures w14:val="none"/>
        </w:rPr>
        <w:t>יָצַר</w:t>
      </w:r>
      <w:r w:rsidRPr="004C1849">
        <w:rPr>
          <w:rFonts w:eastAsia="Times New Roman"/>
          <w:kern w:val="0"/>
          <w:rtl/>
          <w:lang w:bidi="ar-JO"/>
          <w14:ligatures w14:val="none"/>
        </w:rPr>
        <w:t>)</w:t>
      </w:r>
      <w:bookmarkEnd w:id="78"/>
      <w:r w:rsidRPr="004C1849">
        <w:rPr>
          <w:rFonts w:eastAsia="Times New Roman"/>
          <w:kern w:val="0"/>
          <w:rtl/>
          <w:lang w:bidi="ar-JO"/>
          <w14:ligatures w14:val="none"/>
        </w:rPr>
        <w:t xml:space="preserve"> – </w:t>
      </w:r>
      <w:r w:rsidRPr="004C1849">
        <w:rPr>
          <w:rFonts w:eastAsia="Times New Roman"/>
          <w:i/>
          <w:iCs/>
          <w:kern w:val="0"/>
          <w:rtl/>
          <w:lang w:bidi="ar-JO"/>
          <w14:ligatures w14:val="none"/>
        </w:rPr>
        <w:t>ياتسار</w:t>
      </w:r>
      <w:r w:rsidR="008C5865" w:rsidRPr="004C1849">
        <w:rPr>
          <w:rFonts w:eastAsia="Times New Roman"/>
          <w:i/>
          <w:iCs/>
          <w:kern w:val="0"/>
          <w:rtl/>
          <w:lang w:bidi="ar-JO"/>
          <w14:ligatures w14:val="none"/>
        </w:rPr>
        <w:t>، ياصار</w:t>
      </w:r>
      <w:r w:rsidRPr="004C1849">
        <w:rPr>
          <w:rFonts w:eastAsia="Times New Roman"/>
          <w:kern w:val="0"/>
          <w:rtl/>
          <w:lang w:bidi="ar-JO"/>
          <w14:ligatures w14:val="none"/>
        </w:rPr>
        <w:t xml:space="preserve"> </w:t>
      </w:r>
      <w:r w:rsidRPr="004C1849">
        <w:rPr>
          <w:rFonts w:eastAsia="Times New Roman"/>
          <w:kern w:val="0"/>
          <w:rtl/>
          <w:lang w:bidi="ar-JO"/>
          <w14:ligatures w14:val="none"/>
        </w:rPr>
        <w:tab/>
        <w:t>- يشكّل (قارن تكوين 2: 7)</w:t>
      </w:r>
    </w:p>
    <w:p w14:paraId="1213578C" w14:textId="4CEFFCFE" w:rsidR="00E84DB1" w:rsidRPr="004C1849" w:rsidRDefault="00E84DB1" w:rsidP="00C7130A">
      <w:pPr>
        <w:tabs>
          <w:tab w:val="left" w:pos="550"/>
          <w:tab w:val="left" w:pos="1100"/>
          <w:tab w:val="left" w:pos="1650"/>
          <w:tab w:val="left" w:pos="2200"/>
          <w:tab w:val="left" w:pos="2750"/>
          <w:tab w:val="left" w:pos="3300"/>
          <w:tab w:val="left" w:pos="3850"/>
          <w:tab w:val="left" w:pos="4400"/>
        </w:tabs>
        <w:ind w:left="550" w:right="1021"/>
        <w:jc w:val="both"/>
        <w:rPr>
          <w:rFonts w:eastAsia="Times New Roman"/>
          <w:kern w:val="0"/>
          <w:lang w:bidi="ar-JO"/>
          <w14:ligatures w14:val="none"/>
        </w:rPr>
      </w:pPr>
      <w:r w:rsidRPr="004C1849">
        <w:rPr>
          <w:rFonts w:eastAsia="Times New Roman"/>
          <w:kern w:val="0"/>
          <w:rtl/>
          <w:lang w:bidi="ar-JO"/>
          <w14:ligatures w14:val="none"/>
        </w:rPr>
        <w:t>(</w:t>
      </w:r>
      <w:r w:rsidRPr="004C1849">
        <w:rPr>
          <w:rFonts w:eastAsia="Times New Roman"/>
          <w:bCs/>
          <w:i/>
          <w:kern w:val="0"/>
          <w:lang w:bidi="ar-JO"/>
          <w14:ligatures w14:val="none"/>
        </w:rPr>
        <w:t>ʿāśāh</w:t>
      </w:r>
      <w:r w:rsidRPr="004C1849">
        <w:rPr>
          <w:rFonts w:eastAsia="Times New Roman"/>
          <w:kern w:val="0"/>
          <w:rtl/>
          <w14:ligatures w14:val="none"/>
        </w:rPr>
        <w:t xml:space="preserve">  -</w:t>
      </w:r>
      <w:r w:rsidRPr="004C1849">
        <w:rPr>
          <w:rFonts w:eastAsia="Times New Roman"/>
          <w:kern w:val="0"/>
          <w14:ligatures w14:val="none"/>
        </w:rPr>
        <w:t xml:space="preserve"> </w:t>
      </w:r>
      <w:r w:rsidRPr="004C1849">
        <w:rPr>
          <w:rFonts w:ascii="Times New Roman" w:eastAsia="Times New Roman" w:hAnsi="Times New Roman" w:cs="Times New Roman" w:hint="cs"/>
          <w:b/>
          <w:i/>
          <w:kern w:val="0"/>
          <w:rtl/>
          <w:lang w:bidi="he-IL"/>
          <w14:ligatures w14:val="none"/>
        </w:rPr>
        <w:t>עָשָׂה</w:t>
      </w:r>
      <w:r w:rsidRPr="004C1849">
        <w:rPr>
          <w:rFonts w:eastAsia="Times New Roman"/>
          <w:kern w:val="0"/>
          <w:rtl/>
          <w:lang w:bidi="ar-JO"/>
          <w14:ligatures w14:val="none"/>
        </w:rPr>
        <w:t>) عاس</w:t>
      </w:r>
      <w:r w:rsidR="008C5865" w:rsidRPr="004C1849">
        <w:rPr>
          <w:rFonts w:eastAsia="Times New Roman"/>
          <w:kern w:val="0"/>
          <w:rtl/>
          <w:lang w:bidi="ar-JO"/>
          <w14:ligatures w14:val="none"/>
        </w:rPr>
        <w:t>ا</w:t>
      </w:r>
      <w:r w:rsidRPr="004C1849">
        <w:rPr>
          <w:rFonts w:eastAsia="Times New Roman"/>
          <w:kern w:val="0"/>
          <w:rtl/>
          <w:lang w:bidi="ar-JO"/>
          <w14:ligatures w14:val="none"/>
        </w:rPr>
        <w:tab/>
      </w:r>
      <w:r w:rsidRPr="004C1849">
        <w:rPr>
          <w:rFonts w:eastAsia="Times New Roman"/>
          <w:kern w:val="0"/>
          <w:rtl/>
          <w:lang w:bidi="ar-JO"/>
          <w14:ligatures w14:val="none"/>
        </w:rPr>
        <w:tab/>
        <w:t xml:space="preserve">- يصنع </w:t>
      </w:r>
    </w:p>
    <w:p w14:paraId="0B1262E4"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left="550" w:right="1021"/>
        <w:jc w:val="both"/>
        <w:rPr>
          <w:rFonts w:eastAsia="Times New Roman"/>
          <w:kern w:val="0"/>
          <w:rtl/>
          <w:lang w:bidi="ar-JO"/>
          <w14:ligatures w14:val="none"/>
        </w:rPr>
      </w:pPr>
      <w:r w:rsidRPr="004C1849">
        <w:rPr>
          <w:rFonts w:eastAsia="Times New Roman"/>
          <w:kern w:val="0"/>
          <w:rtl/>
          <w:lang w:bidi="ar-JO"/>
          <w14:ligatures w14:val="none"/>
        </w:rPr>
        <w:t>(</w:t>
      </w:r>
      <w:r w:rsidRPr="004C1849">
        <w:rPr>
          <w:rFonts w:eastAsia="Times New Roman"/>
          <w:bCs/>
          <w:i/>
          <w:kern w:val="0"/>
          <w:lang w:bidi="he-IL"/>
          <w14:ligatures w14:val="none"/>
        </w:rPr>
        <w:t>yāsaḏ</w:t>
      </w:r>
      <w:r w:rsidRPr="004C1849">
        <w:rPr>
          <w:rFonts w:eastAsia="Times New Roman"/>
          <w:kern w:val="0"/>
          <w:rtl/>
          <w14:ligatures w14:val="none"/>
        </w:rPr>
        <w:t xml:space="preserve">  -</w:t>
      </w:r>
      <w:r w:rsidRPr="004C1849">
        <w:rPr>
          <w:rFonts w:eastAsia="Times New Roman"/>
          <w:kern w:val="0"/>
          <w14:ligatures w14:val="none"/>
        </w:rPr>
        <w:t xml:space="preserve"> </w:t>
      </w:r>
      <w:r w:rsidRPr="004C1849">
        <w:rPr>
          <w:rFonts w:ascii="Times New Roman" w:eastAsia="Times New Roman" w:hAnsi="Times New Roman" w:cs="Times New Roman" w:hint="cs"/>
          <w:b/>
          <w:i/>
          <w:kern w:val="0"/>
          <w:rtl/>
          <w:lang w:bidi="he-IL"/>
          <w14:ligatures w14:val="none"/>
        </w:rPr>
        <w:t>יָסַד</w:t>
      </w:r>
      <w:r w:rsidRPr="004C1849">
        <w:rPr>
          <w:rFonts w:eastAsia="Times New Roman"/>
          <w:kern w:val="0"/>
          <w:rtl/>
          <w:lang w:bidi="ar-JO"/>
          <w14:ligatures w14:val="none"/>
        </w:rPr>
        <w:t>) ياسد</w:t>
      </w:r>
      <w:r w:rsidRPr="004C1849">
        <w:rPr>
          <w:rFonts w:eastAsia="Times New Roman"/>
          <w:kern w:val="0"/>
          <w:rtl/>
          <w:lang w:bidi="ar-JO"/>
          <w14:ligatures w14:val="none"/>
        </w:rPr>
        <w:tab/>
      </w:r>
      <w:r w:rsidRPr="004C1849">
        <w:rPr>
          <w:rFonts w:eastAsia="Times New Roman"/>
          <w:kern w:val="0"/>
          <w:rtl/>
          <w:lang w:bidi="ar-JO"/>
          <w14:ligatures w14:val="none"/>
        </w:rPr>
        <w:tab/>
        <w:t>-يؤسس</w:t>
      </w:r>
    </w:p>
    <w:p w14:paraId="5B686DD0"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left="550" w:right="1021"/>
        <w:jc w:val="both"/>
        <w:rPr>
          <w:rFonts w:eastAsia="Times New Roman"/>
          <w:kern w:val="0"/>
          <w:rtl/>
          <w:lang w:bidi="ar-JO"/>
          <w14:ligatures w14:val="none"/>
        </w:rPr>
      </w:pPr>
      <w:r w:rsidRPr="004C1849">
        <w:rPr>
          <w:rFonts w:eastAsia="Times New Roman"/>
          <w:kern w:val="0"/>
          <w:rtl/>
          <w:lang w:bidi="ar-JO"/>
          <w14:ligatures w14:val="none"/>
        </w:rPr>
        <w:t>(</w:t>
      </w:r>
      <w:r w:rsidRPr="004C1849">
        <w:rPr>
          <w:rFonts w:eastAsia="Times New Roman"/>
          <w:bCs/>
          <w:i/>
          <w:kern w:val="0"/>
          <w:lang w:bidi="he-IL"/>
          <w14:ligatures w14:val="none"/>
        </w:rPr>
        <w:t>yālaḏ</w:t>
      </w:r>
      <w:r w:rsidRPr="004C1849">
        <w:rPr>
          <w:rFonts w:eastAsia="Times New Roman"/>
          <w:kern w:val="0"/>
          <w:rtl/>
          <w14:ligatures w14:val="none"/>
        </w:rPr>
        <w:t xml:space="preserve"> -</w:t>
      </w:r>
      <w:r w:rsidRPr="004C1849">
        <w:rPr>
          <w:rFonts w:eastAsia="Times New Roman"/>
          <w:b/>
          <w:i/>
          <w:kern w:val="0"/>
          <w:rtl/>
          <w:lang w:bidi="he-IL"/>
          <w14:ligatures w14:val="none"/>
        </w:rPr>
        <w:t xml:space="preserve"> </w:t>
      </w:r>
      <w:r w:rsidRPr="004C1849">
        <w:rPr>
          <w:rFonts w:ascii="Times New Roman" w:eastAsia="Times New Roman" w:hAnsi="Times New Roman" w:cs="Times New Roman" w:hint="cs"/>
          <w:b/>
          <w:i/>
          <w:kern w:val="0"/>
          <w:rtl/>
          <w:lang w:bidi="he-IL"/>
          <w14:ligatures w14:val="none"/>
        </w:rPr>
        <w:t>יָלַד</w:t>
      </w:r>
      <w:r w:rsidRPr="004C1849">
        <w:rPr>
          <w:rFonts w:eastAsia="Times New Roman"/>
          <w:kern w:val="0"/>
          <w:rtl/>
          <w:lang w:bidi="ar-JO"/>
          <w14:ligatures w14:val="none"/>
        </w:rPr>
        <w:t>) يالاد</w:t>
      </w:r>
      <w:r w:rsidRPr="004C1849">
        <w:rPr>
          <w:rFonts w:eastAsia="Times New Roman"/>
          <w:kern w:val="0"/>
          <w:rtl/>
          <w:lang w:bidi="ar-JO"/>
          <w14:ligatures w14:val="none"/>
        </w:rPr>
        <w:tab/>
      </w:r>
      <w:r w:rsidRPr="004C1849">
        <w:rPr>
          <w:rFonts w:eastAsia="Times New Roman"/>
          <w:kern w:val="0"/>
          <w:rtl/>
          <w:lang w:bidi="ar-JO"/>
          <w14:ligatures w14:val="none"/>
        </w:rPr>
        <w:tab/>
        <w:t>- يُنجب</w:t>
      </w:r>
    </w:p>
    <w:p w14:paraId="5049AC1D" w14:textId="178098C1" w:rsidR="00E84DB1" w:rsidRPr="004C1849" w:rsidRDefault="00E84DB1" w:rsidP="00C7130A">
      <w:pPr>
        <w:tabs>
          <w:tab w:val="left" w:pos="550"/>
          <w:tab w:val="left" w:pos="1100"/>
          <w:tab w:val="left" w:pos="1650"/>
          <w:tab w:val="left" w:pos="2200"/>
          <w:tab w:val="left" w:pos="2750"/>
          <w:tab w:val="left" w:pos="3300"/>
          <w:tab w:val="left" w:pos="3850"/>
          <w:tab w:val="left" w:pos="4400"/>
        </w:tabs>
        <w:ind w:left="550" w:right="2155"/>
        <w:jc w:val="both"/>
        <w:rPr>
          <w:rFonts w:eastAsia="Times New Roman"/>
          <w:kern w:val="0"/>
          <w:rtl/>
          <w:lang w:bidi="ar-JO"/>
          <w14:ligatures w14:val="none"/>
        </w:rPr>
      </w:pPr>
      <w:r w:rsidRPr="004C1849">
        <w:rPr>
          <w:rFonts w:eastAsia="Times New Roman"/>
          <w:kern w:val="0"/>
          <w:rtl/>
          <w:lang w:bidi="ar-JO"/>
          <w14:ligatures w14:val="none"/>
        </w:rPr>
        <w:t>(</w:t>
      </w:r>
      <w:r w:rsidRPr="004C1849">
        <w:rPr>
          <w:rFonts w:eastAsia="Times New Roman"/>
          <w:bCs/>
          <w:i/>
          <w:kern w:val="0"/>
          <w:lang w:bidi="he-IL"/>
          <w14:ligatures w14:val="none"/>
        </w:rPr>
        <w:t>bānâ</w:t>
      </w:r>
      <w:r w:rsidRPr="004C1849">
        <w:rPr>
          <w:rFonts w:eastAsia="Times New Roman"/>
          <w:kern w:val="0"/>
          <w:rtl/>
          <w14:ligatures w14:val="none"/>
        </w:rPr>
        <w:t xml:space="preserve">  -</w:t>
      </w:r>
      <w:r w:rsidRPr="004C1849">
        <w:rPr>
          <w:rFonts w:eastAsia="Times New Roman"/>
          <w:kern w:val="0"/>
          <w14:ligatures w14:val="none"/>
        </w:rPr>
        <w:t xml:space="preserve"> </w:t>
      </w:r>
      <w:r w:rsidRPr="004C1849">
        <w:rPr>
          <w:rFonts w:ascii="Times New Roman" w:eastAsia="Times New Roman" w:hAnsi="Times New Roman" w:cs="Times New Roman" w:hint="cs"/>
          <w:b/>
          <w:i/>
          <w:kern w:val="0"/>
          <w:rtl/>
          <w:lang w:bidi="he-IL"/>
          <w14:ligatures w14:val="none"/>
        </w:rPr>
        <w:t>בָּנָה</w:t>
      </w:r>
      <w:r w:rsidRPr="004C1849">
        <w:rPr>
          <w:rFonts w:eastAsia="Times New Roman"/>
          <w:kern w:val="0"/>
          <w:rtl/>
          <w:lang w:bidi="ar-JO"/>
          <w14:ligatures w14:val="none"/>
        </w:rPr>
        <w:t>) بان</w:t>
      </w:r>
      <w:r w:rsidR="008C5865" w:rsidRPr="004C1849">
        <w:rPr>
          <w:rFonts w:eastAsia="Times New Roman"/>
          <w:kern w:val="0"/>
          <w:rtl/>
          <w:lang w:bidi="ar-JO"/>
          <w14:ligatures w14:val="none"/>
        </w:rPr>
        <w:t>ا</w:t>
      </w:r>
      <w:r w:rsidRPr="004C1849">
        <w:rPr>
          <w:rFonts w:eastAsia="Times New Roman"/>
          <w:kern w:val="0"/>
          <w:rtl/>
          <w:lang w:bidi="ar-JO"/>
          <w14:ligatures w14:val="none"/>
        </w:rPr>
        <w:tab/>
      </w:r>
      <w:r w:rsidRPr="004C1849">
        <w:rPr>
          <w:rFonts w:eastAsia="Times New Roman"/>
          <w:kern w:val="0"/>
          <w:rtl/>
          <w:lang w:bidi="ar-JO"/>
          <w14:ligatures w14:val="none"/>
        </w:rPr>
        <w:tab/>
        <w:t>- يبني (انظر تكوين 2: 22)</w:t>
      </w:r>
    </w:p>
    <w:p w14:paraId="355CAF6D"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2155"/>
        <w:jc w:val="both"/>
        <w:rPr>
          <w:rFonts w:eastAsia="Times New Roman"/>
          <w:kern w:val="0"/>
          <w:rtl/>
          <w:lang w:bidi="ar-JO"/>
          <w14:ligatures w14:val="none"/>
        </w:rPr>
      </w:pPr>
    </w:p>
    <w:p w14:paraId="3FC2A8BD"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KW"/>
          <w14:ligatures w14:val="none"/>
        </w:rPr>
      </w:pPr>
      <w:r w:rsidRPr="004C1849">
        <w:rPr>
          <w:rFonts w:eastAsia="Times New Roman"/>
          <w:kern w:val="0"/>
          <w:rtl/>
          <w:lang w:bidi="ar-JO"/>
          <w14:ligatures w14:val="none"/>
        </w:rPr>
        <w:t xml:space="preserve">إن السمة الفريدة لكلمة </w:t>
      </w:r>
      <w:r w:rsidRPr="004C1849">
        <w:rPr>
          <w:rFonts w:eastAsia="Times New Roman"/>
          <w:kern w:val="0"/>
          <w:u w:val="single"/>
          <w:rtl/>
          <w:lang w:bidi="ar-JO"/>
          <w14:ligatures w14:val="none"/>
        </w:rPr>
        <w:t>بارا</w:t>
      </w:r>
      <w:r w:rsidRPr="004C1849">
        <w:rPr>
          <w:rFonts w:eastAsia="Times New Roman"/>
          <w:kern w:val="0"/>
          <w:rtl/>
          <w:lang w:bidi="ar-JO"/>
          <w14:ligatures w14:val="none"/>
        </w:rPr>
        <w:t xml:space="preserve"> </w:t>
      </w:r>
      <w:r w:rsidRPr="004C1849">
        <w:rPr>
          <w:rFonts w:eastAsia="Times New Roman"/>
          <w:bCs/>
          <w:i/>
          <w:iCs/>
          <w:kern w:val="0"/>
          <w:lang w:bidi="he-IL"/>
          <w14:ligatures w14:val="none"/>
        </w:rPr>
        <w:t>bārā’</w:t>
      </w:r>
      <w:r w:rsidRPr="004C1849">
        <w:rPr>
          <w:rFonts w:eastAsia="Times New Roman"/>
          <w:kern w:val="0"/>
          <w:rtl/>
          <w14:ligatures w14:val="none"/>
        </w:rPr>
        <w:t xml:space="preserve"> </w:t>
      </w:r>
      <w:r w:rsidRPr="004C1849">
        <w:rPr>
          <w:rFonts w:eastAsia="Times New Roman"/>
          <w:kern w:val="0"/>
          <w:rtl/>
          <w:lang w:bidi="ar-JO"/>
          <w14:ligatures w14:val="none"/>
        </w:rPr>
        <w:t>هي أن استخدامها مقصور على وصف عمل الله (ولا تصف أبداً عمل الإنسان).</w:t>
      </w:r>
      <w:r w:rsidRPr="004C1849">
        <w:rPr>
          <w:rFonts w:eastAsia="Times New Roman"/>
          <w:kern w:val="0"/>
          <w:vertAlign w:val="superscript"/>
          <w:rtl/>
          <w:lang w:bidi="ar-JO"/>
          <w14:ligatures w14:val="none"/>
        </w:rPr>
        <w:footnoteReference w:customMarkFollows="1" w:id="10"/>
        <w:t>2</w:t>
      </w:r>
    </w:p>
    <w:p w14:paraId="29D020B8"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KW"/>
          <w14:ligatures w14:val="none"/>
        </w:rPr>
      </w:pPr>
    </w:p>
    <w:p w14:paraId="30840651"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3.</w:t>
      </w:r>
      <w:r w:rsidRPr="004C1849">
        <w:rPr>
          <w:rFonts w:eastAsia="Times New Roman"/>
          <w:kern w:val="0"/>
          <w:rtl/>
          <w:lang w:bidi="ar-JO"/>
          <w14:ligatures w14:val="none"/>
        </w:rPr>
        <w:tab/>
        <w:t xml:space="preserve">تضمينات </w:t>
      </w:r>
    </w:p>
    <w:p w14:paraId="53F3123D"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021"/>
        <w:jc w:val="both"/>
        <w:rPr>
          <w:rFonts w:eastAsia="Times New Roman"/>
          <w:kern w:val="0"/>
          <w:rtl/>
          <w:lang w:bidi="ar-JO"/>
          <w14:ligatures w14:val="none"/>
        </w:rPr>
      </w:pPr>
      <w:r w:rsidRPr="004C1849">
        <w:rPr>
          <w:rFonts w:eastAsia="Times New Roman"/>
          <w:kern w:val="0"/>
          <w:rtl/>
          <w:lang w:bidi="ar-JO"/>
          <w14:ligatures w14:val="none"/>
        </w:rPr>
        <w:t>إن الفكرة هنا هي أن إله الكتاب المقدس هو خالق الكون المنظم، بما في ذلك عناصر الطبيعة التي يعبدها الوثنيون كآلهة (مثلاً الشمس والقمر).  فإيلوهيم هو المتسيد المطلق على كل مادّة.  ولهذا تضمينان:</w:t>
      </w:r>
    </w:p>
    <w:p w14:paraId="2F0F8C92"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571" w:hanging="550"/>
        <w:jc w:val="both"/>
        <w:rPr>
          <w:rFonts w:eastAsia="Times New Roman"/>
          <w:kern w:val="0"/>
          <w:rtl/>
          <w:lang w:bidi="ar-JO"/>
          <w14:ligatures w14:val="none"/>
        </w:rPr>
      </w:pPr>
      <w:r w:rsidRPr="004C1849">
        <w:rPr>
          <w:rFonts w:eastAsia="Times New Roman"/>
          <w:kern w:val="0"/>
          <w:rtl/>
          <w:lang w:bidi="ar-JO"/>
          <w14:ligatures w14:val="none"/>
        </w:rPr>
        <w:t>أ.</w:t>
      </w:r>
      <w:r w:rsidRPr="004C1849">
        <w:rPr>
          <w:rFonts w:eastAsia="Times New Roman"/>
          <w:kern w:val="0"/>
          <w:rtl/>
          <w:lang w:bidi="ar-JO"/>
          <w14:ligatures w14:val="none"/>
        </w:rPr>
        <w:tab/>
        <w:t>إله الكتاب المقدس هو الأسمى منزلة وكلي السلطة فوق كل "الآلهة" الأخرى المزعومة.</w:t>
      </w:r>
    </w:p>
    <w:p w14:paraId="029091C9"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571" w:hanging="550"/>
        <w:jc w:val="both"/>
        <w:rPr>
          <w:rFonts w:eastAsia="Times New Roman"/>
          <w:kern w:val="0"/>
          <w:rtl/>
          <w:lang w:bidi="ar-JO"/>
          <w14:ligatures w14:val="none"/>
        </w:rPr>
      </w:pPr>
      <w:r w:rsidRPr="004C1849">
        <w:rPr>
          <w:rFonts w:eastAsia="Times New Roman"/>
          <w:kern w:val="0"/>
          <w:rtl/>
          <w:lang w:bidi="ar-JO"/>
          <w14:ligatures w14:val="none"/>
        </w:rPr>
        <w:t>ب.</w:t>
      </w:r>
      <w:r w:rsidRPr="004C1849">
        <w:rPr>
          <w:rFonts w:eastAsia="Times New Roman"/>
          <w:kern w:val="0"/>
          <w:rtl/>
          <w:lang w:bidi="ar-JO"/>
          <w14:ligatures w14:val="none"/>
        </w:rPr>
        <w:tab/>
        <w:t>تتطلب سيادته الولاء.  ويجب أن يطاع لا عند مغادرة مصر فحسب، بل أيضاً في الخضوع المستمر للتوراة التي هي إرادة الله المعلنة.</w:t>
      </w:r>
    </w:p>
    <w:p w14:paraId="7F359033" w14:textId="77777777" w:rsidR="00E84DB1" w:rsidRPr="004C1849" w:rsidRDefault="00E84DB1" w:rsidP="00C7130A">
      <w:pPr>
        <w:tabs>
          <w:tab w:val="left" w:pos="454"/>
        </w:tabs>
        <w:spacing w:after="60"/>
        <w:ind w:right="550" w:hanging="550"/>
        <w:jc w:val="both"/>
        <w:rPr>
          <w:rFonts w:eastAsia="Times New Roman"/>
          <w:bCs/>
          <w:kern w:val="0"/>
          <w:rtl/>
          <w:lang w:bidi="ar-KW"/>
          <w14:ligatures w14:val="none"/>
        </w:rPr>
      </w:pPr>
    </w:p>
    <w:p w14:paraId="44E9FFF9" w14:textId="77777777" w:rsidR="00E84DB1" w:rsidRPr="004C1849" w:rsidRDefault="00E84DB1" w:rsidP="00EC5727">
      <w:pPr>
        <w:tabs>
          <w:tab w:val="left" w:pos="454"/>
        </w:tabs>
        <w:spacing w:after="60"/>
        <w:ind w:left="550" w:right="550" w:hanging="550"/>
        <w:jc w:val="both"/>
        <w:rPr>
          <w:rFonts w:eastAsia="Times New Roman"/>
          <w:bCs/>
          <w:kern w:val="0"/>
          <w:rtl/>
          <w14:ligatures w14:val="none"/>
        </w:rPr>
      </w:pPr>
      <w:r w:rsidRPr="004C1849">
        <w:rPr>
          <w:rFonts w:eastAsia="Times New Roman"/>
          <w:bCs/>
          <w:kern w:val="0"/>
          <w:rtl/>
          <w14:ligatures w14:val="none"/>
        </w:rPr>
        <w:t>ب.</w:t>
      </w:r>
      <w:r w:rsidRPr="004C1849">
        <w:rPr>
          <w:rFonts w:eastAsia="Times New Roman"/>
          <w:bCs/>
          <w:kern w:val="0"/>
          <w:rtl/>
          <w14:ligatures w14:val="none"/>
        </w:rPr>
        <w:tab/>
        <w:t>تفاصيل ظرفية حول عمل الخلق الأولي (1: 2)</w:t>
      </w:r>
    </w:p>
    <w:p w14:paraId="600DBF35"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1.</w:t>
      </w:r>
      <w:r w:rsidRPr="004C1849">
        <w:rPr>
          <w:rFonts w:eastAsia="Times New Roman"/>
          <w:kern w:val="0"/>
          <w:rtl/>
          <w:lang w:bidi="ar-JO"/>
          <w14:ligatures w14:val="none"/>
        </w:rPr>
        <w:tab/>
        <w:t>خربة وخالية (بلا شكل وغير مملوءة)</w:t>
      </w:r>
    </w:p>
    <w:p w14:paraId="0A6D4699"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r w:rsidRPr="004C1849">
        <w:rPr>
          <w:rFonts w:eastAsia="Times New Roman"/>
          <w:kern w:val="0"/>
          <w:rtl/>
          <w:lang w:bidi="ar-JO"/>
          <w14:ligatures w14:val="none"/>
        </w:rPr>
        <w:lastRenderedPageBreak/>
        <w:t>يجب أن تترجم الآية الثانية كجملة ظرفية، "</w:t>
      </w:r>
      <w:r w:rsidRPr="004C1849">
        <w:rPr>
          <w:rFonts w:eastAsia="Times New Roman"/>
          <w:kern w:val="0"/>
          <w:u w:val="single"/>
          <w:rtl/>
          <w:lang w:bidi="ar-JO"/>
          <w14:ligatures w14:val="none"/>
        </w:rPr>
        <w:t>والآن</w:t>
      </w:r>
      <w:r w:rsidRPr="004C1849">
        <w:rPr>
          <w:rFonts w:eastAsia="Times New Roman"/>
          <w:kern w:val="0"/>
          <w:rtl/>
          <w:lang w:bidi="ar-JO"/>
          <w14:ligatures w14:val="none"/>
        </w:rPr>
        <w:t xml:space="preserve"> (أي في ذلك الحين) كانت الأرض....." فمع أن الأرض نتجت عن العمل الإبداعي لله (</w:t>
      </w:r>
      <w:r w:rsidRPr="004C1849">
        <w:rPr>
          <w:rFonts w:eastAsia="Times New Roman"/>
          <w:kern w:val="0"/>
          <w:u w:val="single"/>
          <w:rtl/>
          <w:lang w:bidi="ar-JO"/>
          <w14:ligatures w14:val="none"/>
        </w:rPr>
        <w:t>الكامل</w:t>
      </w:r>
      <w:r w:rsidRPr="004C1849">
        <w:rPr>
          <w:rFonts w:eastAsia="Times New Roman"/>
          <w:kern w:val="0"/>
          <w:rtl/>
          <w:lang w:bidi="ar-JO"/>
          <w14:ligatures w14:val="none"/>
        </w:rPr>
        <w:t xml:space="preserve">) إلاّ أنها لم تكن في حالة تسمّى معها "حسنة".  والسبب في ذلك هو أنها كانت تُعتَبَر </w:t>
      </w:r>
      <w:r w:rsidRPr="004C1849">
        <w:rPr>
          <w:rFonts w:eastAsia="Times New Roman"/>
          <w:i/>
          <w:iCs/>
          <w:kern w:val="0"/>
          <w:rtl/>
          <w:lang w:bidi="ar-JO"/>
          <w14:ligatures w14:val="none"/>
        </w:rPr>
        <w:t>توهو وفوهو</w:t>
      </w:r>
      <w:r w:rsidRPr="004C1849">
        <w:rPr>
          <w:rFonts w:eastAsia="Times New Roman"/>
          <w:kern w:val="0"/>
          <w:rtl/>
          <w:lang w:bidi="ar-JO"/>
          <w14:ligatures w14:val="none"/>
        </w:rPr>
        <w:t xml:space="preserve"> </w:t>
      </w:r>
      <w:r w:rsidRPr="004C1849">
        <w:rPr>
          <w:rFonts w:eastAsia="Times New Roman"/>
          <w:i/>
          <w:iCs/>
          <w:kern w:val="0"/>
          <w:lang w:bidi="ar-JO"/>
          <w14:ligatures w14:val="none"/>
        </w:rPr>
        <w:t>ṯōhû wāḇōhû</w:t>
      </w:r>
      <w:r w:rsidRPr="004C1849">
        <w:rPr>
          <w:rFonts w:eastAsia="Times New Roman"/>
          <w:kern w:val="0"/>
          <w:rtl/>
          <w:lang w:bidi="ar-JO"/>
          <w14:ligatures w14:val="none"/>
        </w:rPr>
        <w:t xml:space="preserve"> (الآية 2)، الذي يحمل على الأرجح فكرة أن الأرض كانت في الأصل بلا شك</w:t>
      </w:r>
      <w:r w:rsidRPr="004C1849">
        <w:rPr>
          <w:rFonts w:eastAsia="Times New Roman"/>
          <w:kern w:val="0"/>
          <w:rtl/>
          <w14:ligatures w14:val="none"/>
        </w:rPr>
        <w:t>ل</w:t>
      </w:r>
      <w:r w:rsidRPr="004C1849">
        <w:rPr>
          <w:rFonts w:eastAsia="Times New Roman"/>
          <w:kern w:val="0"/>
          <w:rtl/>
          <w:lang w:bidi="ar-JO"/>
          <w14:ligatures w14:val="none"/>
        </w:rPr>
        <w:t xml:space="preserve"> (أو غير مثمرة) وخالية (غير مملوءة).  وهذا يعني أن الأرض لم تكن صالحة لسكنى الإنسان.  وفضلاً عن ذلك، فإنه لا يوجد إلاّ الظلمة.  وبدءاً بالآية 3، يبدأ الله بمعالجة هذا الوضع.</w:t>
      </w:r>
    </w:p>
    <w:p w14:paraId="2A945460" w14:textId="77777777" w:rsidR="00E84DB1" w:rsidRPr="00C7130A"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szCs w:val="26"/>
          <w:rtl/>
          <w:lang w:bidi="ar-JO"/>
          <w14:ligatures w14:val="none"/>
        </w:rPr>
      </w:pPr>
    </w:p>
    <w:p w14:paraId="1775B1F5" w14:textId="77777777" w:rsidR="00E84DB1" w:rsidRPr="00C7130A"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szCs w:val="26"/>
          <w:rtl/>
          <w:lang w:bidi="ar-JO"/>
          <w14:ligatures w14:val="none"/>
        </w:rPr>
      </w:pPr>
    </w:p>
    <w:p w14:paraId="1938B7A2"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2.</w:t>
      </w:r>
      <w:r w:rsidRPr="004C1849">
        <w:rPr>
          <w:rFonts w:eastAsia="Times New Roman"/>
          <w:kern w:val="0"/>
          <w:rtl/>
          <w:lang w:bidi="ar-JO"/>
          <w14:ligatures w14:val="none"/>
        </w:rPr>
        <w:tab/>
        <w:t>روح الله</w:t>
      </w:r>
    </w:p>
    <w:p w14:paraId="2FE97B19"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r w:rsidRPr="004C1849">
        <w:rPr>
          <w:rFonts w:eastAsia="Times New Roman"/>
          <w:kern w:val="0"/>
          <w:rtl/>
          <w:lang w:bidi="ar-JO"/>
          <w14:ligatures w14:val="none"/>
        </w:rPr>
        <w:t>على الرغم من ظلمة الأرض وخلوها من الحياة، إلا أنه يوجد رجاء، لأن روح الله موجود.  فالله مسيطر يرف على وجه المياه.  يُستخدَم هذا الفعل في تثنية 32: 11 لوصف حركة النسر وهو يرفرف بجناحيه فوق صغاره في عشِّها وهو يهتم بها ويرعاها.  يتسم نشاط روح الله بجوّ البحث والرعاية والملاحظة.  إنه روح الله الخالقُ الواهَبُ الحياة الذي ينتظر أن يهيئ الأرض لبرنامج الله مع الإنسان.</w:t>
      </w:r>
    </w:p>
    <w:p w14:paraId="2B243F3B"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p>
    <w:p w14:paraId="289A8969"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3.</w:t>
      </w:r>
      <w:r w:rsidRPr="004C1849">
        <w:rPr>
          <w:rFonts w:eastAsia="Times New Roman"/>
          <w:kern w:val="0"/>
          <w:rtl/>
          <w:lang w:bidi="ar-JO"/>
          <w14:ligatures w14:val="none"/>
        </w:rPr>
        <w:tab/>
        <w:t>صورة فدائية</w:t>
      </w:r>
    </w:p>
    <w:p w14:paraId="4B9645DA"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r w:rsidRPr="004C1849">
        <w:rPr>
          <w:rFonts w:eastAsia="Times New Roman"/>
          <w:kern w:val="0"/>
          <w:rtl/>
          <w:lang w:bidi="ar-JO"/>
          <w14:ligatures w14:val="none"/>
        </w:rPr>
        <w:t xml:space="preserve">على الرغم من أن المادة المسمّاة بالأرض جاءت نتيجة لعمل الله الإبداعي، إلاّ أن شكلها الأولي يتوقع عالماً شريراً ستحكم  فيه الخطية والموت.  فلا حياة هناك، والظلمة غامرة.  لا يوجد أي تمتع بعلاقة مع الله، أو إعجاب بمجده.  بل يوجد اختلاط لعناصر دون أن يكون بينها نظام.  غير أن الله سيستخدم هذا لكي يعرض نموذجاً لعمله الفدائي في الخلاص، </w:t>
      </w:r>
      <w:r w:rsidRPr="004C1849">
        <w:rPr>
          <w:rFonts w:eastAsia="Times New Roman"/>
          <w:kern w:val="0"/>
          <w:u w:val="single"/>
          <w:rtl/>
          <w:lang w:bidi="ar-JO"/>
          <w14:ligatures w14:val="none"/>
        </w:rPr>
        <w:t>نموذجاً أولياً</w:t>
      </w:r>
      <w:r w:rsidRPr="004C1849">
        <w:rPr>
          <w:rFonts w:eastAsia="Times New Roman"/>
          <w:kern w:val="0"/>
          <w:rtl/>
          <w:lang w:bidi="ar-JO"/>
          <w14:ligatures w14:val="none"/>
        </w:rPr>
        <w:t xml:space="preserve"> لأعمال خلاصه الكثيرة التالية.  فنحن نرى هنا، حتى في البداية مذاقاً أولياً أو صورة مسبقة لما يريد أن يفعله الله مع الإنسان الخاطئ:</w:t>
      </w:r>
    </w:p>
    <w:p w14:paraId="5F02ABB0"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588"/>
        <w:jc w:val="both"/>
        <w:rPr>
          <w:rFonts w:eastAsia="Times New Roman"/>
          <w:kern w:val="0"/>
          <w:rtl/>
          <w:lang w:bidi="ar-JO"/>
          <w14:ligatures w14:val="none"/>
        </w:rPr>
      </w:pPr>
      <w:r w:rsidRPr="004C1849">
        <w:rPr>
          <w:rFonts w:eastAsia="Times New Roman"/>
          <w:kern w:val="0"/>
          <w:rtl/>
          <w:lang w:bidi="ar-JO"/>
          <w14:ligatures w14:val="none"/>
        </w:rPr>
        <w:t>"لأن الله الذي قال ’أن يشرق نور من ظلمة‘، هو الذي أشرق في قلوبنا لإنارة معرفة مجد الله في وجه يسوع المسيح."            (2 كورنثوس 4: 6؛ انظر 5: 17)</w:t>
      </w:r>
    </w:p>
    <w:p w14:paraId="04816392"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4C1849">
        <w:rPr>
          <w:rFonts w:eastAsia="Times New Roman"/>
          <w:kern w:val="0"/>
          <w:rtl/>
          <w:lang w:bidi="ar-JO"/>
          <w14:ligatures w14:val="none"/>
        </w:rPr>
        <w:t>ففي وسط ظلمة حياتنا التي تسيطر عليها الخطية، يرف روح الله فوقنا بكل حرص، منتظراً اللحظة الثمينة لجلب النور وخلق حياة روحية فينا لكي يفرزنا لنفسه.</w:t>
      </w:r>
    </w:p>
    <w:p w14:paraId="72D58957"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0502BC61"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55018CC2" w14:textId="77777777" w:rsidR="00E84DB1" w:rsidRPr="004C1849" w:rsidRDefault="00E84DB1" w:rsidP="00EC5727">
      <w:pPr>
        <w:tabs>
          <w:tab w:val="left" w:pos="454"/>
        </w:tabs>
        <w:spacing w:after="60"/>
        <w:ind w:left="550" w:right="550" w:hanging="550"/>
        <w:jc w:val="both"/>
        <w:rPr>
          <w:rFonts w:eastAsia="Times New Roman"/>
          <w:bCs/>
          <w:kern w:val="0"/>
          <w:rtl/>
          <w14:ligatures w14:val="none"/>
        </w:rPr>
      </w:pPr>
      <w:r w:rsidRPr="004C1849">
        <w:rPr>
          <w:rFonts w:eastAsia="Times New Roman"/>
          <w:bCs/>
          <w:kern w:val="0"/>
          <w:rtl/>
          <w14:ligatures w14:val="none"/>
        </w:rPr>
        <w:t>جـ.</w:t>
      </w:r>
      <w:r w:rsidRPr="004C1849">
        <w:rPr>
          <w:rFonts w:eastAsia="Times New Roman"/>
          <w:bCs/>
          <w:kern w:val="0"/>
          <w:rtl/>
          <w14:ligatures w14:val="none"/>
        </w:rPr>
        <w:tab/>
        <w:t>رواية الخلق في إعداد الأرض (1: 3-31)</w:t>
      </w:r>
    </w:p>
    <w:p w14:paraId="3781DF2B"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1.</w:t>
      </w:r>
      <w:r w:rsidRPr="004C1849">
        <w:rPr>
          <w:rFonts w:eastAsia="Times New Roman"/>
          <w:kern w:val="0"/>
          <w:rtl/>
          <w:lang w:bidi="ar-JO"/>
          <w14:ligatures w14:val="none"/>
        </w:rPr>
        <w:tab/>
        <w:t xml:space="preserve">إلهنا منظَّم </w:t>
      </w:r>
    </w:p>
    <w:p w14:paraId="0C5B55A8"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KW"/>
          <w14:ligatures w14:val="none"/>
        </w:rPr>
      </w:pPr>
      <w:r w:rsidRPr="004C1849">
        <w:rPr>
          <w:rFonts w:eastAsia="Times New Roman"/>
          <w:kern w:val="0"/>
          <w:rtl/>
          <w:lang w:bidi="ar-JO"/>
          <w14:ligatures w14:val="none"/>
        </w:rPr>
        <w:lastRenderedPageBreak/>
        <w:t xml:space="preserve">يبدأ الله العمل من ذلك المكان الزاخر بالظلمة لكي يجلب النظام بذكاء لا ينافس.  والفكرة هنا هي أن يحوّل الأرض من حالتها غير الصالحة للسكن إلى حالة تصلح فيها لسكن الإنسان (إشعياء 45: 18).  وبهذا يتم تجاوز حالة </w:t>
      </w:r>
      <w:r w:rsidRPr="004C1849">
        <w:rPr>
          <w:rFonts w:eastAsia="Times New Roman"/>
          <w:i/>
          <w:iCs/>
          <w:kern w:val="0"/>
          <w:rtl/>
          <w:lang w:bidi="ar-JO"/>
          <w14:ligatures w14:val="none"/>
        </w:rPr>
        <w:t xml:space="preserve">توهو وفوهو </w:t>
      </w:r>
      <w:r w:rsidRPr="004C1849">
        <w:rPr>
          <w:rFonts w:eastAsia="Times New Roman"/>
          <w:kern w:val="0"/>
          <w14:ligatures w14:val="none"/>
        </w:rPr>
        <w:t>t)hW w*b)hW</w:t>
      </w:r>
      <w:r w:rsidRPr="004C1849">
        <w:rPr>
          <w:rFonts w:eastAsia="Times New Roman"/>
          <w:kern w:val="0"/>
          <w:rtl/>
          <w:lang w:bidi="ar-JO"/>
          <w14:ligatures w14:val="none"/>
        </w:rPr>
        <w:t xml:space="preserve"> (خربة خالية) –</w:t>
      </w:r>
      <w:r w:rsidRPr="004C1849">
        <w:rPr>
          <w:rFonts w:eastAsia="Times New Roman"/>
          <w:kern w:val="0"/>
          <w:rtl/>
          <w14:ligatures w14:val="none"/>
        </w:rPr>
        <w:t xml:space="preserve"> </w:t>
      </w:r>
      <w:r w:rsidRPr="004C1849">
        <w:rPr>
          <w:rFonts w:eastAsia="Times New Roman"/>
          <w:kern w:val="0"/>
          <w:rtl/>
          <w:lang w:bidi="ar-JO"/>
          <w14:ligatures w14:val="none"/>
        </w:rPr>
        <w:t>لأن الله سيشكل الأرض ويملؤها.  لنلاحظ بحرص بنية هذا الفصل:</w:t>
      </w:r>
    </w:p>
    <w:p w14:paraId="26F1CA20" w14:textId="77777777" w:rsidR="00E84DB1" w:rsidRPr="00C7130A"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szCs w:val="26"/>
          <w:rtl/>
          <w:lang w:bidi="ar-KW"/>
          <w14:ligatures w14:val="none"/>
        </w:rPr>
      </w:pPr>
    </w:p>
    <w:p w14:paraId="24E3FB07" w14:textId="535FA12B" w:rsidR="00E84DB1" w:rsidRPr="00C7130A" w:rsidRDefault="00E84DB1" w:rsidP="00C7130A">
      <w:pPr>
        <w:tabs>
          <w:tab w:val="left" w:pos="550"/>
          <w:tab w:val="left" w:pos="1100"/>
          <w:tab w:val="left" w:pos="1650"/>
          <w:tab w:val="left" w:pos="2200"/>
          <w:tab w:val="left" w:pos="2750"/>
          <w:tab w:val="left" w:pos="3300"/>
          <w:tab w:val="left" w:pos="3850"/>
          <w:tab w:val="left" w:pos="4400"/>
        </w:tabs>
        <w:ind w:right="1021"/>
        <w:jc w:val="right"/>
        <w:rPr>
          <w:rFonts w:eastAsia="Times New Roman"/>
          <w:kern w:val="0"/>
          <w:szCs w:val="26"/>
          <w:rtl/>
          <w:lang w:bidi="ar-KW"/>
          <w14:ligatures w14:val="none"/>
        </w:rPr>
      </w:pPr>
      <w:r w:rsidRPr="00C7130A">
        <w:rPr>
          <w:rFonts w:eastAsia="Times New Roman"/>
          <w:noProof/>
          <w:kern w:val="0"/>
          <w:szCs w:val="26"/>
          <w:lang w:bidi="ar-KW"/>
          <w14:ligatures w14:val="none"/>
        </w:rPr>
        <w:drawing>
          <wp:inline distT="0" distB="0" distL="0" distR="0" wp14:anchorId="6CDC1BE5" wp14:editId="30D0BFEC">
            <wp:extent cx="5943600" cy="3343275"/>
            <wp:effectExtent l="0" t="0" r="0" b="0"/>
            <wp:docPr id="1656645717"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45717" name="Picture 1" descr="A table with text on i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922075F" w14:textId="77777777" w:rsidR="00E84DB1" w:rsidRPr="00C7130A"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szCs w:val="26"/>
          <w:rtl/>
          <w:lang w:bidi="ar-KW"/>
          <w14:ligatures w14:val="none"/>
        </w:rPr>
      </w:pPr>
    </w:p>
    <w:p w14:paraId="5184DFB4" w14:textId="77777777" w:rsidR="00E84DB1" w:rsidRPr="00C7130A" w:rsidRDefault="00E84DB1" w:rsidP="00C7130A">
      <w:pPr>
        <w:rPr>
          <w:rFonts w:eastAsia="Times New Roman"/>
          <w:kern w:val="0"/>
          <w:szCs w:val="18"/>
          <w:rtl/>
          <w:lang w:bidi="ar-KW"/>
          <w14:ligatures w14:val="none"/>
        </w:rPr>
      </w:pPr>
    </w:p>
    <w:p w14:paraId="7186D939"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2.</w:t>
      </w:r>
      <w:r w:rsidRPr="004C1849">
        <w:rPr>
          <w:rFonts w:eastAsia="Times New Roman"/>
          <w:kern w:val="0"/>
          <w:rtl/>
          <w:lang w:bidi="ar-JO"/>
          <w14:ligatures w14:val="none"/>
        </w:rPr>
        <w:tab/>
        <w:t>الكلمة الخلاّقة</w:t>
      </w:r>
    </w:p>
    <w:p w14:paraId="5D4861EE"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r w:rsidRPr="004C1849">
        <w:rPr>
          <w:rFonts w:eastAsia="Times New Roman"/>
          <w:kern w:val="0"/>
          <w:rtl/>
          <w:lang w:bidi="ar-JO"/>
          <w14:ligatures w14:val="none"/>
        </w:rPr>
        <w:t>إن كلمة بسيطة من الله هي التي توجد الأشياء في هذا العمل الإبداعي الإلهي.  وهذه الفكرة هامة، لأن قوة كلمة الله كانت هامّة لإسرائيل.  إذ يمكن الاعتماد عليها، وهي تعطيهم التوكيد والضمان حين يتحركون بالإيمان.  فما نطق به يهوه كان قوياً وأكيداً في نفس الوقت.  وهو قادر على أن يفي بما وعد به.  ولهذا لا بد أن يستجيبوا لكلمة الله بالطاعة المطلقة والثقة الكاملة.</w:t>
      </w:r>
    </w:p>
    <w:p w14:paraId="3CE1DBFA"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14:ligatures w14:val="none"/>
        </w:rPr>
      </w:pPr>
    </w:p>
    <w:p w14:paraId="3FC0CA9B"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3.</w:t>
      </w:r>
      <w:r w:rsidRPr="004C1849">
        <w:rPr>
          <w:rFonts w:eastAsia="Times New Roman"/>
          <w:kern w:val="0"/>
          <w:rtl/>
          <w:lang w:bidi="ar-JO"/>
          <w14:ligatures w14:val="none"/>
        </w:rPr>
        <w:tab/>
        <w:t>فكرة النور</w:t>
      </w:r>
    </w:p>
    <w:p w14:paraId="62296C68"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r w:rsidRPr="004C1849">
        <w:rPr>
          <w:rFonts w:eastAsia="Times New Roman"/>
          <w:kern w:val="0"/>
          <w:rtl/>
          <w:lang w:bidi="ar-JO"/>
          <w14:ligatures w14:val="none"/>
        </w:rPr>
        <w:t xml:space="preserve">مع خلق النور، يُبدِّد الله الظلمة.  وسيصير النور والظلمة رمزين رئيسيين في الكتاب المقدس للخير والشر.  وسيكون النور سمة للفداء وقداسة الله (مزمور 18: 28-29، 1 يوحنا 1: 5-6).  وعندما نأتي إلى يسوع، </w:t>
      </w:r>
      <w:r w:rsidRPr="004C1849">
        <w:rPr>
          <w:rFonts w:eastAsia="Times New Roman"/>
          <w:kern w:val="0"/>
          <w:rtl/>
          <w:lang w:bidi="ar-JO"/>
          <w14:ligatures w14:val="none"/>
        </w:rPr>
        <w:lastRenderedPageBreak/>
        <w:t>فإننا نرى تطبيق هذه الفكرة عليه: "</w:t>
      </w:r>
      <w:r w:rsidRPr="004C1849">
        <w:rPr>
          <w:rFonts w:eastAsia="Times New Roman"/>
          <w:i/>
          <w:iCs/>
          <w:kern w:val="0"/>
          <w:rtl/>
          <w:lang w:bidi="ar-JO"/>
          <w14:ligatures w14:val="none"/>
        </w:rPr>
        <w:t>فيه كانت الحياة، والحياة كانت نور الناس، والنور يضيء في الظلمة، والظلمة لم تدركه</w:t>
      </w:r>
      <w:r w:rsidRPr="004C1849">
        <w:rPr>
          <w:rFonts w:eastAsia="Times New Roman"/>
          <w:kern w:val="0"/>
          <w:rtl/>
          <w:lang w:bidi="ar-JO"/>
          <w14:ligatures w14:val="none"/>
        </w:rPr>
        <w:t>."</w:t>
      </w:r>
    </w:p>
    <w:p w14:paraId="6A30B249"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p>
    <w:p w14:paraId="693498EC"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4.</w:t>
      </w:r>
      <w:r w:rsidRPr="004C1849">
        <w:rPr>
          <w:rFonts w:eastAsia="Times New Roman"/>
          <w:kern w:val="0"/>
          <w:rtl/>
          <w:lang w:bidi="ar-JO"/>
          <w14:ligatures w14:val="none"/>
        </w:rPr>
        <w:tab/>
        <w:t>تقويم عمل الله</w:t>
      </w:r>
    </w:p>
    <w:p w14:paraId="21DB7FFC"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r w:rsidRPr="004C1849">
        <w:rPr>
          <w:rFonts w:eastAsia="Times New Roman"/>
          <w:kern w:val="0"/>
          <w:rtl/>
          <w:lang w:bidi="ar-JO"/>
          <w14:ligatures w14:val="none"/>
        </w:rPr>
        <w:t>بعد كل يوم من عمل الله، توجد عملية تقويم من الله بصيغة: "ورأى الله أنه حسن".  وهذا أمر غائب عن اليوم الثاني لأن الله بدأ بعملية "فصل مكانية" في ذلك اليوم لكنه لم ينهها إلاّ في اليوم الثالث.  ومن الواضح أن الله يقصد أن تتركز دراما الخلق على الإنسان، فالله يقول بعد خلقه للإنسان، "</w:t>
      </w:r>
      <w:r w:rsidRPr="004C1849">
        <w:rPr>
          <w:rFonts w:eastAsia="Times New Roman"/>
          <w:i/>
          <w:iCs/>
          <w:kern w:val="0"/>
          <w:rtl/>
          <w:lang w:bidi="ar-JO"/>
          <w14:ligatures w14:val="none"/>
        </w:rPr>
        <w:t>فإذا هو حسن جداً</w:t>
      </w:r>
      <w:r w:rsidRPr="004C1849">
        <w:rPr>
          <w:rFonts w:eastAsia="Times New Roman"/>
          <w:kern w:val="0"/>
          <w:rtl/>
          <w:lang w:bidi="ar-JO"/>
          <w14:ligatures w14:val="none"/>
        </w:rPr>
        <w:t>".  وما كل هذا العمل الإبداعي إلاّ إعداد للرجل والمرأة.</w:t>
      </w:r>
    </w:p>
    <w:p w14:paraId="7CC9AFC0"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p>
    <w:p w14:paraId="3DD6C885"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p>
    <w:p w14:paraId="73D7709A"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5.</w:t>
      </w:r>
      <w:r w:rsidRPr="004C1849">
        <w:rPr>
          <w:rFonts w:eastAsia="Times New Roman"/>
          <w:kern w:val="0"/>
          <w:rtl/>
          <w:lang w:bidi="ar-JO"/>
          <w14:ligatures w14:val="none"/>
        </w:rPr>
        <w:tab/>
        <w:t xml:space="preserve">السلطة للرجل </w:t>
      </w:r>
    </w:p>
    <w:p w14:paraId="2B07BF6E" w14:textId="482C6732"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lang w:bidi="ar-JO"/>
          <w14:ligatures w14:val="none"/>
        </w:rPr>
      </w:pPr>
      <w:r w:rsidRPr="004C1849">
        <w:rPr>
          <w:rFonts w:eastAsia="Times New Roman"/>
          <w:kern w:val="0"/>
          <w:rtl/>
          <w:lang w:bidi="ar-JO"/>
          <w14:ligatures w14:val="none"/>
        </w:rPr>
        <w:t>إن ذروة هذا الفصل في خلق الرجل والمرأة.</w:t>
      </w:r>
      <w:r w:rsidRPr="004C1849">
        <w:rPr>
          <w:rFonts w:eastAsia="Times New Roman"/>
          <w:kern w:val="0"/>
          <w:vertAlign w:val="superscript"/>
          <w:rtl/>
          <w:lang w:bidi="ar-JO"/>
          <w14:ligatures w14:val="none"/>
        </w:rPr>
        <w:footnoteReference w:customMarkFollows="1" w:id="11"/>
        <w:t>3</w:t>
      </w:r>
      <w:r w:rsidRPr="004C1849">
        <w:rPr>
          <w:rFonts w:eastAsia="Times New Roman"/>
          <w:kern w:val="0"/>
          <w:rtl/>
          <w:lang w:bidi="ar-JO"/>
          <w14:ligatures w14:val="none"/>
        </w:rPr>
        <w:t xml:space="preserve"> لنلاحظ النقلة من "ليكن" إلى "نعمل" (بمعنى "لنعمل").</w:t>
      </w:r>
      <w:r w:rsidRPr="004C1849">
        <w:rPr>
          <w:rFonts w:eastAsia="Times New Roman"/>
          <w:kern w:val="0"/>
          <w:vertAlign w:val="superscript"/>
          <w:rtl/>
          <w:lang w:bidi="ar-JO"/>
          <w14:ligatures w14:val="none"/>
        </w:rPr>
        <w:footnoteReference w:customMarkFollows="1" w:id="12"/>
        <w:t>4</w:t>
      </w:r>
      <w:r w:rsidRPr="004C1849">
        <w:rPr>
          <w:rFonts w:eastAsia="Times New Roman"/>
          <w:kern w:val="0"/>
          <w:rtl/>
          <w:lang w:bidi="ar-JO"/>
          <w14:ligatures w14:val="none"/>
        </w:rPr>
        <w:t xml:space="preserve"> ليس الرجل والمرأة الجانب النهائي لعمل الله، لكن الله قصد لهما أن يحكما ويمارسا السلطة على الخليقة.  كان آدم الإداري </w:t>
      </w:r>
      <w:r w:rsidRPr="004C1849">
        <w:rPr>
          <w:rFonts w:eastAsia="Times New Roman"/>
          <w:kern w:val="0"/>
          <w:rtl/>
          <w:lang w:bidi="ar-JO"/>
          <w14:ligatures w14:val="none"/>
        </w:rPr>
        <w:lastRenderedPageBreak/>
        <w:t>الثيوقراطي عند الله.  وكانت لديه "سلطة مفوضة" كوسيط لدور الله.  وبمعنى ما فإن الله يشرك الإنسان في هذا الحكم الذي هو حق الله وامتيازه الفريدان.</w:t>
      </w:r>
    </w:p>
    <w:p w14:paraId="63479F9F"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588"/>
        <w:jc w:val="both"/>
        <w:rPr>
          <w:rFonts w:eastAsia="Times New Roman"/>
          <w:kern w:val="0"/>
          <w:rtl/>
          <w14:ligatures w14:val="none"/>
        </w:rPr>
      </w:pPr>
      <w:r w:rsidRPr="004C1849">
        <w:rPr>
          <w:rFonts w:eastAsia="Times New Roman"/>
          <w:kern w:val="0"/>
          <w:rtl/>
          <w:lang w:bidi="ar-JO"/>
          <w14:ligatures w14:val="none"/>
        </w:rPr>
        <w:t>هذا هو الإنسان كما خُلق ليكون ... مشاركاً في حكم الله على الأرض.  وإنه لأمر محزن أن الإنسان سيفوّت هذا الامتياز بعصيانه وسقوطه (انظر مزمور 8: عبرانيين 2: 6-8).  لكنه، بنعمة الله، سيُرد للإنسان في المسيح ويتحقق في تأسيس ملكوت الرب للأمناء له.</w:t>
      </w:r>
    </w:p>
    <w:p w14:paraId="4DC38D99" w14:textId="77777777" w:rsidR="00E84DB1" w:rsidRPr="00C7130A" w:rsidRDefault="00E84DB1" w:rsidP="00C7130A">
      <w:pPr>
        <w:tabs>
          <w:tab w:val="left" w:pos="550"/>
          <w:tab w:val="left" w:pos="1100"/>
          <w:tab w:val="left" w:pos="1650"/>
          <w:tab w:val="left" w:pos="2200"/>
          <w:tab w:val="left" w:pos="2750"/>
          <w:tab w:val="left" w:pos="3300"/>
          <w:tab w:val="left" w:pos="3850"/>
          <w:tab w:val="left" w:pos="4400"/>
        </w:tabs>
        <w:ind w:right="1588"/>
        <w:jc w:val="both"/>
        <w:rPr>
          <w:rFonts w:eastAsia="Times New Roman"/>
          <w:kern w:val="0"/>
          <w:szCs w:val="26"/>
          <w:rtl/>
          <w14:ligatures w14:val="none"/>
        </w:rPr>
      </w:pPr>
    </w:p>
    <w:p w14:paraId="621C0391" w14:textId="18E42D27" w:rsidR="00E84DB1" w:rsidRPr="00C7130A" w:rsidRDefault="00E83954" w:rsidP="00C7130A">
      <w:pPr>
        <w:rPr>
          <w:rFonts w:eastAsia="Times New Roman"/>
          <w:kern w:val="0"/>
          <w:szCs w:val="18"/>
          <w:rtl/>
          <w:lang w:bidi="ar-JO"/>
          <w14:ligatures w14:val="none"/>
        </w:rPr>
      </w:pPr>
      <w:r w:rsidRPr="00C7130A">
        <w:rPr>
          <w:rFonts w:eastAsia="Times New Roman"/>
          <w:noProof/>
          <w:kern w:val="0"/>
          <w:sz w:val="20"/>
          <w:szCs w:val="18"/>
          <w:rtl/>
          <w:lang w:val="ar-SA"/>
          <w14:ligatures w14:val="none"/>
        </w:rPr>
        <mc:AlternateContent>
          <mc:Choice Requires="wps">
            <w:drawing>
              <wp:anchor distT="0" distB="0" distL="114300" distR="114300" simplePos="0" relativeHeight="251664384" behindDoc="1" locked="0" layoutInCell="1" allowOverlap="1" wp14:anchorId="268C3BBA" wp14:editId="5C648F8E">
                <wp:simplePos x="0" y="0"/>
                <wp:positionH relativeFrom="column">
                  <wp:align>center</wp:align>
                </wp:positionH>
                <wp:positionV relativeFrom="paragraph">
                  <wp:posOffset>635</wp:posOffset>
                </wp:positionV>
                <wp:extent cx="4909820" cy="1839595"/>
                <wp:effectExtent l="5080" t="8255" r="9525" b="9525"/>
                <wp:wrapTight wrapText="bothSides">
                  <wp:wrapPolygon edited="0">
                    <wp:start x="-42" y="0"/>
                    <wp:lineTo x="-42" y="21600"/>
                    <wp:lineTo x="21642" y="21600"/>
                    <wp:lineTo x="21642" y="0"/>
                    <wp:lineTo x="-42" y="0"/>
                  </wp:wrapPolygon>
                </wp:wrapTight>
                <wp:docPr id="4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9820" cy="1839595"/>
                        </a:xfrm>
                        <a:prstGeom prst="rect">
                          <a:avLst/>
                        </a:prstGeom>
                        <a:solidFill>
                          <a:srgbClr val="FFFFFF"/>
                        </a:solidFill>
                        <a:ln w="9525">
                          <a:solidFill>
                            <a:srgbClr val="000000"/>
                          </a:solidFill>
                          <a:miter lim="800000"/>
                          <a:headEnd/>
                          <a:tailEnd/>
                        </a:ln>
                      </wps:spPr>
                      <wps:txbx>
                        <w:txbxContent>
                          <w:p w14:paraId="53270B6A" w14:textId="77777777" w:rsidR="00E84DB1" w:rsidRPr="004C1849" w:rsidRDefault="00E84DB1" w:rsidP="00E84DB1">
                            <w:pPr>
                              <w:pStyle w:val="Head3"/>
                              <w:rPr>
                                <w:sz w:val="40"/>
                                <w:szCs w:val="30"/>
                                <w:rtl/>
                              </w:rPr>
                            </w:pPr>
                            <w:r w:rsidRPr="004C1849">
                              <w:rPr>
                                <w:rFonts w:hint="cs"/>
                                <w:sz w:val="40"/>
                                <w:szCs w:val="30"/>
                                <w:rtl/>
                              </w:rPr>
                              <w:t>خطة الله في إشراك الإنسان في هيمنته</w:t>
                            </w:r>
                          </w:p>
                          <w:p w14:paraId="1BEDB8A7" w14:textId="77777777" w:rsidR="00E84DB1" w:rsidRPr="004C1849" w:rsidRDefault="00E84DB1" w:rsidP="00E84DB1">
                            <w:pPr>
                              <w:pStyle w:val="BodyTxt"/>
                              <w:ind w:left="0" w:right="454"/>
                              <w:rPr>
                                <w:sz w:val="40"/>
                                <w:szCs w:val="28"/>
                                <w:rtl/>
                              </w:rPr>
                            </w:pPr>
                            <w:r w:rsidRPr="004C1849">
                              <w:rPr>
                                <w:rFonts w:hint="cs"/>
                                <w:sz w:val="40"/>
                                <w:szCs w:val="28"/>
                                <w:rtl/>
                              </w:rPr>
                              <w:t>1.</w:t>
                            </w:r>
                            <w:r w:rsidRPr="004C1849">
                              <w:rPr>
                                <w:rFonts w:hint="cs"/>
                                <w:sz w:val="40"/>
                                <w:szCs w:val="28"/>
                                <w:rtl/>
                              </w:rPr>
                              <w:tab/>
                              <w:t>قصد الله الأصلي</w:t>
                            </w:r>
                            <w:r w:rsidRPr="004C1849">
                              <w:rPr>
                                <w:rFonts w:hint="cs"/>
                                <w:sz w:val="40"/>
                                <w:szCs w:val="28"/>
                                <w:rtl/>
                              </w:rPr>
                              <w:tab/>
                            </w:r>
                            <w:r w:rsidRPr="004C1849">
                              <w:rPr>
                                <w:rFonts w:hint="cs"/>
                                <w:sz w:val="40"/>
                                <w:szCs w:val="28"/>
                                <w:rtl/>
                              </w:rPr>
                              <w:tab/>
                            </w:r>
                            <w:r w:rsidRPr="004C1849">
                              <w:rPr>
                                <w:rFonts w:hint="cs"/>
                                <w:sz w:val="40"/>
                                <w:szCs w:val="28"/>
                                <w:rtl/>
                              </w:rPr>
                              <w:tab/>
                            </w:r>
                            <w:r w:rsidRPr="004C1849">
                              <w:rPr>
                                <w:rFonts w:hint="cs"/>
                                <w:sz w:val="40"/>
                                <w:szCs w:val="28"/>
                                <w:rtl/>
                              </w:rPr>
                              <w:tab/>
                              <w:t>تكوين 1: 26-28</w:t>
                            </w:r>
                          </w:p>
                          <w:p w14:paraId="09D19BAA" w14:textId="77777777" w:rsidR="00E84DB1" w:rsidRPr="004C1849" w:rsidRDefault="00E84DB1" w:rsidP="00E84DB1">
                            <w:pPr>
                              <w:pStyle w:val="BodyTxt"/>
                              <w:ind w:left="0" w:right="454"/>
                              <w:rPr>
                                <w:sz w:val="40"/>
                                <w:szCs w:val="28"/>
                                <w:rtl/>
                              </w:rPr>
                            </w:pPr>
                            <w:r w:rsidRPr="004C1849">
                              <w:rPr>
                                <w:rFonts w:hint="cs"/>
                                <w:sz w:val="40"/>
                                <w:szCs w:val="28"/>
                                <w:rtl/>
                              </w:rPr>
                              <w:t>2.</w:t>
                            </w:r>
                            <w:r w:rsidRPr="004C1849">
                              <w:rPr>
                                <w:rFonts w:hint="cs"/>
                                <w:sz w:val="40"/>
                                <w:szCs w:val="28"/>
                                <w:rtl/>
                              </w:rPr>
                              <w:tab/>
                              <w:t xml:space="preserve">هلاك الإنسان من خلال السقوط </w:t>
                            </w:r>
                            <w:r w:rsidRPr="004C1849">
                              <w:rPr>
                                <w:rFonts w:hint="cs"/>
                                <w:sz w:val="40"/>
                                <w:szCs w:val="28"/>
                                <w:rtl/>
                              </w:rPr>
                              <w:tab/>
                            </w:r>
                            <w:r w:rsidRPr="004C1849">
                              <w:rPr>
                                <w:rFonts w:hint="cs"/>
                                <w:sz w:val="40"/>
                                <w:szCs w:val="28"/>
                                <w:rtl/>
                              </w:rPr>
                              <w:tab/>
                            </w:r>
                            <w:r w:rsidRPr="004C1849">
                              <w:rPr>
                                <w:rFonts w:hint="cs"/>
                                <w:sz w:val="40"/>
                                <w:szCs w:val="28"/>
                                <w:rtl/>
                              </w:rPr>
                              <w:tab/>
                              <w:t>عبرانيين 2: 8</w:t>
                            </w:r>
                          </w:p>
                          <w:p w14:paraId="494D76B0" w14:textId="77777777" w:rsidR="00E84DB1" w:rsidRPr="004C1849" w:rsidRDefault="00E84DB1" w:rsidP="00E84DB1">
                            <w:pPr>
                              <w:pStyle w:val="BodyTxt"/>
                              <w:ind w:left="0" w:right="454"/>
                              <w:rPr>
                                <w:sz w:val="40"/>
                                <w:szCs w:val="28"/>
                                <w:rtl/>
                              </w:rPr>
                            </w:pPr>
                            <w:r w:rsidRPr="004C1849">
                              <w:rPr>
                                <w:rFonts w:hint="cs"/>
                                <w:sz w:val="40"/>
                                <w:szCs w:val="28"/>
                                <w:rtl/>
                              </w:rPr>
                              <w:t>3.</w:t>
                            </w:r>
                            <w:r w:rsidRPr="004C1849">
                              <w:rPr>
                                <w:rFonts w:hint="cs"/>
                                <w:sz w:val="40"/>
                                <w:szCs w:val="28"/>
                                <w:rtl/>
                              </w:rPr>
                              <w:tab/>
                              <w:t xml:space="preserve">رد الإنسان لله من خلال المسيح </w:t>
                            </w:r>
                            <w:r w:rsidRPr="004C1849">
                              <w:rPr>
                                <w:rFonts w:hint="cs"/>
                                <w:sz w:val="40"/>
                                <w:szCs w:val="28"/>
                                <w:rtl/>
                              </w:rPr>
                              <w:tab/>
                            </w:r>
                            <w:r w:rsidRPr="004C1849">
                              <w:rPr>
                                <w:rFonts w:hint="cs"/>
                                <w:sz w:val="40"/>
                                <w:szCs w:val="28"/>
                                <w:rtl/>
                              </w:rPr>
                              <w:tab/>
                            </w:r>
                            <w:r w:rsidRPr="004C1849">
                              <w:rPr>
                                <w:rFonts w:hint="cs"/>
                                <w:sz w:val="40"/>
                                <w:szCs w:val="28"/>
                                <w:rtl/>
                              </w:rPr>
                              <w:tab/>
                              <w:t>مزمور 72: 8؛ 11: 2</w:t>
                            </w:r>
                          </w:p>
                          <w:p w14:paraId="3BCF250A" w14:textId="77777777" w:rsidR="00E84DB1" w:rsidRDefault="00E84DB1" w:rsidP="00E84DB1">
                            <w:pPr>
                              <w:pStyle w:val="BodyTxt"/>
                              <w:ind w:left="0" w:right="454"/>
                              <w:rPr>
                                <w:rtl/>
                              </w:rPr>
                            </w:pPr>
                            <w:r>
                              <w:rPr>
                                <w:rFonts w:hint="cs"/>
                                <w:rtl/>
                              </w:rPr>
                              <w:t>4.</w:t>
                            </w:r>
                            <w:r>
                              <w:rPr>
                                <w:rFonts w:hint="cs"/>
                                <w:rtl/>
                              </w:rPr>
                              <w:tab/>
                              <w:t xml:space="preserve">متاح لكل الذين يحتملون بصبر </w:t>
                            </w:r>
                            <w:r>
                              <w:rPr>
                                <w:rFonts w:hint="cs"/>
                                <w:rtl/>
                              </w:rPr>
                              <w:tab/>
                            </w:r>
                            <w:r>
                              <w:rPr>
                                <w:rFonts w:hint="cs"/>
                                <w:rtl/>
                              </w:rPr>
                              <w:tab/>
                            </w:r>
                            <w:r>
                              <w:rPr>
                                <w:rFonts w:hint="cs"/>
                                <w:rtl/>
                              </w:rPr>
                              <w:tab/>
                              <w:t>2ثيموثاوس 2: 12؛ عبرانيين 10: 36</w:t>
                            </w:r>
                          </w:p>
                          <w:p w14:paraId="14CCC814" w14:textId="77777777" w:rsidR="00E84DB1" w:rsidRDefault="00E84DB1" w:rsidP="00E84DB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8C3BBA" id="_x0000_t202" coordsize="21600,21600" o:spt="202" path="m,l,21600r21600,l21600,xe">
                <v:stroke joinstyle="miter"/>
                <v:path gradientshapeok="t" o:connecttype="rect"/>
              </v:shapetype>
              <v:shape id="Text Box 58" o:spid="_x0000_s1026" type="#_x0000_t202" style="position:absolute;left:0;text-align:left;margin-left:0;margin-top:.05pt;width:386.6pt;height:144.85pt;z-index:-251652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">
                <v:textbox>
                  <w:txbxContent>
                    <w:p w14:paraId="53270B6A" w14:textId="77777777" w:rsidR="00E84DB1" w:rsidRPr="004C1849" w:rsidRDefault="00E84DB1" w:rsidP="00E84DB1">
                      <w:pPr>
                        <w:pStyle w:val="Head3"/>
                        <w:rPr>
                          <w:sz w:val="40"/>
                          <w:szCs w:val="30"/>
                          <w:rtl/>
                        </w:rPr>
                      </w:pPr>
                      <w:r w:rsidRPr="004C1849">
                        <w:rPr>
                          <w:rFonts w:hint="cs"/>
                          <w:sz w:val="40"/>
                          <w:szCs w:val="30"/>
                          <w:rtl/>
                        </w:rPr>
                        <w:t>خطة الله في إشراك الإنسان في هيمنته</w:t>
                      </w:r>
                    </w:p>
                    <w:p w14:paraId="1BEDB8A7" w14:textId="77777777" w:rsidR="00E84DB1" w:rsidRPr="004C1849" w:rsidRDefault="00E84DB1" w:rsidP="00E84DB1">
                      <w:pPr>
                        <w:pStyle w:val="BodyTxt"/>
                        <w:ind w:left="0" w:right="454"/>
                        <w:rPr>
                          <w:sz w:val="40"/>
                          <w:szCs w:val="28"/>
                          <w:rtl/>
                        </w:rPr>
                      </w:pPr>
                      <w:r w:rsidRPr="004C1849">
                        <w:rPr>
                          <w:rFonts w:hint="cs"/>
                          <w:sz w:val="40"/>
                          <w:szCs w:val="28"/>
                          <w:rtl/>
                        </w:rPr>
                        <w:t>1.</w:t>
                      </w:r>
                      <w:r w:rsidRPr="004C1849">
                        <w:rPr>
                          <w:rFonts w:hint="cs"/>
                          <w:sz w:val="40"/>
                          <w:szCs w:val="28"/>
                          <w:rtl/>
                        </w:rPr>
                        <w:tab/>
                        <w:t>قصد الله الأصلي</w:t>
                      </w:r>
                      <w:r w:rsidRPr="004C1849">
                        <w:rPr>
                          <w:rFonts w:hint="cs"/>
                          <w:sz w:val="40"/>
                          <w:szCs w:val="28"/>
                          <w:rtl/>
                        </w:rPr>
                        <w:tab/>
                      </w:r>
                      <w:r w:rsidRPr="004C1849">
                        <w:rPr>
                          <w:rFonts w:hint="cs"/>
                          <w:sz w:val="40"/>
                          <w:szCs w:val="28"/>
                          <w:rtl/>
                        </w:rPr>
                        <w:tab/>
                      </w:r>
                      <w:r w:rsidRPr="004C1849">
                        <w:rPr>
                          <w:rFonts w:hint="cs"/>
                          <w:sz w:val="40"/>
                          <w:szCs w:val="28"/>
                          <w:rtl/>
                        </w:rPr>
                        <w:tab/>
                      </w:r>
                      <w:r w:rsidRPr="004C1849">
                        <w:rPr>
                          <w:rFonts w:hint="cs"/>
                          <w:sz w:val="40"/>
                          <w:szCs w:val="28"/>
                          <w:rtl/>
                        </w:rPr>
                        <w:tab/>
                        <w:t>تكوين 1: 26-28</w:t>
                      </w:r>
                    </w:p>
                    <w:p w14:paraId="09D19BAA" w14:textId="77777777" w:rsidR="00E84DB1" w:rsidRPr="004C1849" w:rsidRDefault="00E84DB1" w:rsidP="00E84DB1">
                      <w:pPr>
                        <w:pStyle w:val="BodyTxt"/>
                        <w:ind w:left="0" w:right="454"/>
                        <w:rPr>
                          <w:sz w:val="40"/>
                          <w:szCs w:val="28"/>
                          <w:rtl/>
                        </w:rPr>
                      </w:pPr>
                      <w:r w:rsidRPr="004C1849">
                        <w:rPr>
                          <w:rFonts w:hint="cs"/>
                          <w:sz w:val="40"/>
                          <w:szCs w:val="28"/>
                          <w:rtl/>
                        </w:rPr>
                        <w:t>2.</w:t>
                      </w:r>
                      <w:r w:rsidRPr="004C1849">
                        <w:rPr>
                          <w:rFonts w:hint="cs"/>
                          <w:sz w:val="40"/>
                          <w:szCs w:val="28"/>
                          <w:rtl/>
                        </w:rPr>
                        <w:tab/>
                        <w:t xml:space="preserve">هلاك الإنسان من خلال السقوط </w:t>
                      </w:r>
                      <w:r w:rsidRPr="004C1849">
                        <w:rPr>
                          <w:rFonts w:hint="cs"/>
                          <w:sz w:val="40"/>
                          <w:szCs w:val="28"/>
                          <w:rtl/>
                        </w:rPr>
                        <w:tab/>
                      </w:r>
                      <w:r w:rsidRPr="004C1849">
                        <w:rPr>
                          <w:rFonts w:hint="cs"/>
                          <w:sz w:val="40"/>
                          <w:szCs w:val="28"/>
                          <w:rtl/>
                        </w:rPr>
                        <w:tab/>
                      </w:r>
                      <w:r w:rsidRPr="004C1849">
                        <w:rPr>
                          <w:rFonts w:hint="cs"/>
                          <w:sz w:val="40"/>
                          <w:szCs w:val="28"/>
                          <w:rtl/>
                        </w:rPr>
                        <w:tab/>
                        <w:t>عبرانيين 2: 8</w:t>
                      </w:r>
                    </w:p>
                    <w:p w14:paraId="494D76B0" w14:textId="77777777" w:rsidR="00E84DB1" w:rsidRPr="004C1849" w:rsidRDefault="00E84DB1" w:rsidP="00E84DB1">
                      <w:pPr>
                        <w:pStyle w:val="BodyTxt"/>
                        <w:ind w:left="0" w:right="454"/>
                        <w:rPr>
                          <w:sz w:val="40"/>
                          <w:szCs w:val="28"/>
                          <w:rtl/>
                        </w:rPr>
                      </w:pPr>
                      <w:r w:rsidRPr="004C1849">
                        <w:rPr>
                          <w:rFonts w:hint="cs"/>
                          <w:sz w:val="40"/>
                          <w:szCs w:val="28"/>
                          <w:rtl/>
                        </w:rPr>
                        <w:t>3.</w:t>
                      </w:r>
                      <w:r w:rsidRPr="004C1849">
                        <w:rPr>
                          <w:rFonts w:hint="cs"/>
                          <w:sz w:val="40"/>
                          <w:szCs w:val="28"/>
                          <w:rtl/>
                        </w:rPr>
                        <w:tab/>
                        <w:t xml:space="preserve">رد الإنسان لله من خلال المسيح </w:t>
                      </w:r>
                      <w:r w:rsidRPr="004C1849">
                        <w:rPr>
                          <w:rFonts w:hint="cs"/>
                          <w:sz w:val="40"/>
                          <w:szCs w:val="28"/>
                          <w:rtl/>
                        </w:rPr>
                        <w:tab/>
                      </w:r>
                      <w:r w:rsidRPr="004C1849">
                        <w:rPr>
                          <w:rFonts w:hint="cs"/>
                          <w:sz w:val="40"/>
                          <w:szCs w:val="28"/>
                          <w:rtl/>
                        </w:rPr>
                        <w:tab/>
                      </w:r>
                      <w:r w:rsidRPr="004C1849">
                        <w:rPr>
                          <w:rFonts w:hint="cs"/>
                          <w:sz w:val="40"/>
                          <w:szCs w:val="28"/>
                          <w:rtl/>
                        </w:rPr>
                        <w:tab/>
                        <w:t>مزمور 72: 8؛ 11: 2</w:t>
                      </w:r>
                    </w:p>
                    <w:p w14:paraId="3BCF250A" w14:textId="77777777" w:rsidR="00E84DB1" w:rsidRDefault="00E84DB1" w:rsidP="00E84DB1">
                      <w:pPr>
                        <w:pStyle w:val="BodyTxt"/>
                        <w:ind w:left="0" w:right="454"/>
                        <w:rPr>
                          <w:rtl/>
                        </w:rPr>
                      </w:pPr>
                      <w:r>
                        <w:rPr>
                          <w:rFonts w:hint="cs"/>
                          <w:rtl/>
                        </w:rPr>
                        <w:t>4.</w:t>
                      </w:r>
                      <w:r>
                        <w:rPr>
                          <w:rFonts w:hint="cs"/>
                          <w:rtl/>
                        </w:rPr>
                        <w:tab/>
                        <w:t xml:space="preserve">متاح لكل الذين يحتملون بصبر </w:t>
                      </w:r>
                      <w:r>
                        <w:rPr>
                          <w:rFonts w:hint="cs"/>
                          <w:rtl/>
                        </w:rPr>
                        <w:tab/>
                      </w:r>
                      <w:r>
                        <w:rPr>
                          <w:rFonts w:hint="cs"/>
                          <w:rtl/>
                        </w:rPr>
                        <w:tab/>
                      </w:r>
                      <w:r>
                        <w:rPr>
                          <w:rFonts w:hint="cs"/>
                          <w:rtl/>
                        </w:rPr>
                        <w:tab/>
                        <w:t>2ثيموثاوس 2: 12؛ عبرانيين 10: 36</w:t>
                      </w:r>
                    </w:p>
                    <w:p w14:paraId="14CCC814" w14:textId="77777777" w:rsidR="00E84DB1" w:rsidRDefault="00E84DB1" w:rsidP="00E84DB1"/>
                  </w:txbxContent>
                </v:textbox>
                <w10:wrap type="tight"/>
              </v:shape>
            </w:pict>
          </mc:Fallback>
        </mc:AlternateContent>
      </w:r>
    </w:p>
    <w:p w14:paraId="67C1BB79" w14:textId="77777777" w:rsidR="00E84DB1" w:rsidRPr="00C7130A" w:rsidRDefault="00E84DB1" w:rsidP="00C7130A">
      <w:pPr>
        <w:rPr>
          <w:rFonts w:eastAsia="Times New Roman"/>
          <w:kern w:val="0"/>
          <w:szCs w:val="18"/>
          <w:rtl/>
          <w14:ligatures w14:val="none"/>
        </w:rPr>
      </w:pPr>
    </w:p>
    <w:p w14:paraId="0E41FD15" w14:textId="77777777" w:rsidR="00E84DB1" w:rsidRPr="00C7130A" w:rsidRDefault="00E84DB1" w:rsidP="00C7130A">
      <w:pPr>
        <w:rPr>
          <w:rFonts w:eastAsia="Times New Roman"/>
          <w:kern w:val="0"/>
          <w:szCs w:val="18"/>
          <w:rtl/>
          <w14:ligatures w14:val="none"/>
        </w:rPr>
      </w:pPr>
    </w:p>
    <w:p w14:paraId="1496C63B" w14:textId="77777777" w:rsidR="00E84DB1" w:rsidRPr="00C7130A" w:rsidRDefault="00E84DB1" w:rsidP="00C7130A">
      <w:pPr>
        <w:rPr>
          <w:rFonts w:eastAsia="Times New Roman"/>
          <w:kern w:val="0"/>
          <w:szCs w:val="18"/>
          <w:rtl/>
          <w14:ligatures w14:val="none"/>
        </w:rPr>
      </w:pPr>
    </w:p>
    <w:p w14:paraId="773F705D" w14:textId="77777777" w:rsidR="00E84DB1" w:rsidRPr="00C7130A" w:rsidRDefault="00E84DB1" w:rsidP="00C7130A">
      <w:pPr>
        <w:rPr>
          <w:rFonts w:eastAsia="Times New Roman"/>
          <w:kern w:val="0"/>
          <w:szCs w:val="18"/>
          <w:rtl/>
          <w14:ligatures w14:val="none"/>
        </w:rPr>
      </w:pPr>
    </w:p>
    <w:p w14:paraId="57C6A30F" w14:textId="77777777" w:rsidR="00E84DB1" w:rsidRPr="00C7130A" w:rsidRDefault="00E84DB1" w:rsidP="00C7130A">
      <w:pPr>
        <w:rPr>
          <w:rFonts w:eastAsia="Times New Roman"/>
          <w:kern w:val="0"/>
          <w:szCs w:val="18"/>
          <w:rtl/>
          <w14:ligatures w14:val="none"/>
        </w:rPr>
      </w:pPr>
    </w:p>
    <w:p w14:paraId="7A6A5947" w14:textId="77777777" w:rsidR="00E84DB1" w:rsidRPr="00C7130A" w:rsidRDefault="00E84DB1" w:rsidP="00C7130A">
      <w:pPr>
        <w:rPr>
          <w:rFonts w:eastAsia="Times New Roman"/>
          <w:kern w:val="0"/>
          <w:szCs w:val="18"/>
          <w:rtl/>
          <w14:ligatures w14:val="none"/>
        </w:rPr>
      </w:pPr>
    </w:p>
    <w:p w14:paraId="5CEFE909" w14:textId="77777777" w:rsidR="00E84DB1" w:rsidRPr="00C7130A" w:rsidRDefault="00E84DB1" w:rsidP="00C7130A">
      <w:pPr>
        <w:rPr>
          <w:rFonts w:eastAsia="Times New Roman"/>
          <w:kern w:val="0"/>
          <w:szCs w:val="18"/>
          <w:rtl/>
          <w14:ligatures w14:val="none"/>
        </w:rPr>
      </w:pPr>
    </w:p>
    <w:p w14:paraId="7ACBDC00" w14:textId="77777777" w:rsidR="00E84DB1" w:rsidRPr="00C7130A" w:rsidRDefault="00E84DB1" w:rsidP="00C7130A">
      <w:pPr>
        <w:rPr>
          <w:rFonts w:eastAsia="Times New Roman"/>
          <w:kern w:val="0"/>
          <w:szCs w:val="18"/>
          <w:rtl/>
          <w14:ligatures w14:val="none"/>
        </w:rPr>
      </w:pPr>
    </w:p>
    <w:p w14:paraId="79C3F51E" w14:textId="77777777" w:rsidR="00E84DB1" w:rsidRPr="00C7130A" w:rsidRDefault="00E84DB1" w:rsidP="00C7130A">
      <w:pPr>
        <w:rPr>
          <w:rFonts w:eastAsia="Times New Roman"/>
          <w:kern w:val="0"/>
          <w:szCs w:val="18"/>
          <w:rtl/>
          <w14:ligatures w14:val="none"/>
        </w:rPr>
      </w:pPr>
    </w:p>
    <w:p w14:paraId="6460961A" w14:textId="77777777" w:rsidR="00E84DB1" w:rsidRPr="004C1849" w:rsidRDefault="00E84DB1" w:rsidP="00EC5727">
      <w:pPr>
        <w:tabs>
          <w:tab w:val="left" w:pos="454"/>
        </w:tabs>
        <w:spacing w:after="60"/>
        <w:ind w:left="550" w:right="550" w:hanging="550"/>
        <w:jc w:val="both"/>
        <w:rPr>
          <w:rFonts w:eastAsia="Times New Roman"/>
          <w:bCs/>
          <w:kern w:val="0"/>
          <w:sz w:val="48"/>
          <w:rtl/>
          <w:lang w:bidi="ar-KW"/>
          <w14:ligatures w14:val="none"/>
        </w:rPr>
      </w:pPr>
      <w:r w:rsidRPr="004C1849">
        <w:rPr>
          <w:rFonts w:eastAsia="Times New Roman"/>
          <w:bCs/>
          <w:kern w:val="0"/>
          <w:sz w:val="48"/>
          <w:rtl/>
          <w14:ligatures w14:val="none"/>
        </w:rPr>
        <w:t>د.</w:t>
      </w:r>
      <w:r w:rsidRPr="004C1849">
        <w:rPr>
          <w:rFonts w:eastAsia="Times New Roman"/>
          <w:bCs/>
          <w:kern w:val="0"/>
          <w:sz w:val="48"/>
          <w:rtl/>
          <w14:ligatures w14:val="none"/>
        </w:rPr>
        <w:tab/>
        <w:t xml:space="preserve">تصريح ختامي تلخيصي لعملية الخلق </w:t>
      </w:r>
    </w:p>
    <w:p w14:paraId="686B5FF9" w14:textId="77777777" w:rsidR="00E84DB1" w:rsidRPr="004C1849" w:rsidRDefault="00E84DB1" w:rsidP="00C7130A">
      <w:pPr>
        <w:tabs>
          <w:tab w:val="left" w:pos="454"/>
        </w:tabs>
        <w:spacing w:after="60"/>
        <w:ind w:right="550" w:hanging="550"/>
        <w:jc w:val="both"/>
        <w:rPr>
          <w:rFonts w:eastAsia="Times New Roman"/>
          <w:bCs/>
          <w:kern w:val="0"/>
          <w:sz w:val="48"/>
          <w:rtl/>
          <w:lang w:bidi="ar-KW"/>
          <w14:ligatures w14:val="none"/>
        </w:rPr>
      </w:pPr>
    </w:p>
    <w:p w14:paraId="7A4DCF4F" w14:textId="77777777" w:rsidR="00E84DB1" w:rsidRPr="004C1849" w:rsidRDefault="00E84DB1" w:rsidP="00EC5727">
      <w:pPr>
        <w:tabs>
          <w:tab w:val="left" w:pos="454"/>
        </w:tabs>
        <w:spacing w:after="60"/>
        <w:ind w:left="550" w:right="550" w:hanging="550"/>
        <w:jc w:val="both"/>
        <w:rPr>
          <w:rFonts w:eastAsia="Times New Roman"/>
          <w:bCs/>
          <w:kern w:val="0"/>
          <w:sz w:val="48"/>
          <w:rtl/>
          <w14:ligatures w14:val="none"/>
        </w:rPr>
      </w:pPr>
      <w:r w:rsidRPr="004C1849">
        <w:rPr>
          <w:rFonts w:eastAsia="Times New Roman"/>
          <w:bCs/>
          <w:kern w:val="0"/>
          <w:sz w:val="48"/>
          <w:rtl/>
          <w14:ligatures w14:val="none"/>
        </w:rPr>
        <w:t>هـ.</w:t>
      </w:r>
      <w:r w:rsidRPr="004C1849">
        <w:rPr>
          <w:rFonts w:eastAsia="Times New Roman"/>
          <w:bCs/>
          <w:kern w:val="0"/>
          <w:sz w:val="48"/>
          <w:rtl/>
          <w14:ligatures w14:val="none"/>
        </w:rPr>
        <w:tab/>
        <w:t>الخاتمة: راحة السبت (2: 2-3)</w:t>
      </w:r>
    </w:p>
    <w:p w14:paraId="16171392"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sz w:val="48"/>
          <w:rtl/>
          <w:lang w:bidi="ar-JO"/>
          <w14:ligatures w14:val="none"/>
        </w:rPr>
      </w:pPr>
      <w:r w:rsidRPr="004C1849">
        <w:rPr>
          <w:rFonts w:eastAsia="Times New Roman"/>
          <w:kern w:val="0"/>
          <w:sz w:val="48"/>
          <w:rtl/>
          <w:lang w:bidi="ar-JO"/>
          <w14:ligatures w14:val="none"/>
        </w:rPr>
        <w:t>1.</w:t>
      </w:r>
      <w:r w:rsidRPr="004C1849">
        <w:rPr>
          <w:rFonts w:eastAsia="Times New Roman"/>
          <w:kern w:val="0"/>
          <w:sz w:val="48"/>
          <w:rtl/>
          <w:lang w:bidi="ar-JO"/>
          <w14:ligatures w14:val="none"/>
        </w:rPr>
        <w:tab/>
        <w:t>من الواضح أن الله لم يعانِ من أي تعب عند انتهاء أيام الخليقة الستة (إشعياء 40: 48).  غير أن راحة السبت فكرة رئيسية من أفكار الكتاب المقدس، حيث تعادَل مع تحقيق البركة الموعودة.  ففي عبرانيين 4، تتوقع "الراحة" عصر الملكوت عندما يأتي الله بالإنسان إلى تحقيق البركة الموعودة ويعيد ترسيخ حقّه في الحكم على خليقته.</w:t>
      </w:r>
    </w:p>
    <w:p w14:paraId="0E5683E9"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021"/>
        <w:jc w:val="both"/>
        <w:rPr>
          <w:rFonts w:eastAsia="Times New Roman"/>
          <w:kern w:val="0"/>
          <w:sz w:val="48"/>
          <w:rtl/>
          <w:lang w:bidi="ar-JO"/>
          <w14:ligatures w14:val="none"/>
        </w:rPr>
      </w:pPr>
      <w:r w:rsidRPr="004C1849">
        <w:rPr>
          <w:rFonts w:eastAsia="Times New Roman"/>
          <w:kern w:val="0"/>
          <w:sz w:val="48"/>
          <w:rtl/>
          <w:lang w:bidi="ar-JO"/>
          <w14:ligatures w14:val="none"/>
        </w:rPr>
        <w:t>كان حفظ السبت علامة على عهد سيناء ودليلاً صريحاً على طاعة الرب واتّباعه.</w:t>
      </w:r>
    </w:p>
    <w:p w14:paraId="280F3A24"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021"/>
        <w:jc w:val="both"/>
        <w:rPr>
          <w:rFonts w:eastAsia="Times New Roman"/>
          <w:kern w:val="0"/>
          <w:sz w:val="48"/>
          <w:rtl/>
          <w:lang w:bidi="ar-JO"/>
          <w14:ligatures w14:val="none"/>
        </w:rPr>
      </w:pPr>
    </w:p>
    <w:p w14:paraId="6B364F44"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sz w:val="48"/>
          <w:rtl/>
          <w:lang w:bidi="ar-JO"/>
          <w14:ligatures w14:val="none"/>
        </w:rPr>
      </w:pPr>
      <w:r w:rsidRPr="004C1849">
        <w:rPr>
          <w:rFonts w:eastAsia="Times New Roman"/>
          <w:kern w:val="0"/>
          <w:sz w:val="48"/>
          <w:rtl/>
          <w:lang w:bidi="ar-JO"/>
          <w14:ligatures w14:val="none"/>
        </w:rPr>
        <w:t>2.</w:t>
      </w:r>
      <w:r w:rsidRPr="004C1849">
        <w:rPr>
          <w:rFonts w:eastAsia="Times New Roman"/>
          <w:kern w:val="0"/>
          <w:sz w:val="48"/>
          <w:rtl/>
          <w:lang w:bidi="ar-JO"/>
          <w14:ligatures w14:val="none"/>
        </w:rPr>
        <w:tab/>
        <w:t>البركة</w:t>
      </w:r>
    </w:p>
    <w:p w14:paraId="1D8BDBE4"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021"/>
        <w:jc w:val="both"/>
        <w:rPr>
          <w:rFonts w:eastAsia="Times New Roman"/>
          <w:kern w:val="0"/>
          <w:sz w:val="48"/>
          <w:rtl/>
          <w:lang w:bidi="ar-JO"/>
          <w14:ligatures w14:val="none"/>
        </w:rPr>
      </w:pPr>
      <w:r w:rsidRPr="004C1849">
        <w:rPr>
          <w:rFonts w:eastAsia="Times New Roman"/>
          <w:kern w:val="0"/>
          <w:sz w:val="48"/>
          <w:rtl/>
          <w:lang w:bidi="ar-JO"/>
          <w14:ligatures w14:val="none"/>
        </w:rPr>
        <w:t>تقول تكوين 1: 1-2: 3 إن الله يبارك في ثلاث نواحٍ:</w:t>
      </w:r>
    </w:p>
    <w:p w14:paraId="197F7ACB"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571" w:hanging="550"/>
        <w:jc w:val="both"/>
        <w:rPr>
          <w:rFonts w:eastAsia="Times New Roman"/>
          <w:kern w:val="0"/>
          <w:sz w:val="48"/>
          <w:rtl/>
          <w:lang w:bidi="ar-JO"/>
          <w14:ligatures w14:val="none"/>
        </w:rPr>
      </w:pPr>
      <w:r w:rsidRPr="004C1849">
        <w:rPr>
          <w:rFonts w:eastAsia="Times New Roman"/>
          <w:kern w:val="0"/>
          <w:sz w:val="48"/>
          <w:rtl/>
          <w:lang w:bidi="ar-JO"/>
          <w14:ligatures w14:val="none"/>
        </w:rPr>
        <w:lastRenderedPageBreak/>
        <w:t>أ.</w:t>
      </w:r>
      <w:r w:rsidRPr="004C1849">
        <w:rPr>
          <w:rFonts w:eastAsia="Times New Roman"/>
          <w:kern w:val="0"/>
          <w:sz w:val="48"/>
          <w:rtl/>
          <w:lang w:bidi="ar-JO"/>
          <w14:ligatures w14:val="none"/>
        </w:rPr>
        <w:tab/>
        <w:t>الإثمار والتكاثر (1: 22)</w:t>
      </w:r>
    </w:p>
    <w:p w14:paraId="4A9683BB"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571" w:hanging="550"/>
        <w:jc w:val="both"/>
        <w:rPr>
          <w:rFonts w:eastAsia="Times New Roman"/>
          <w:kern w:val="0"/>
          <w:sz w:val="48"/>
          <w:rtl/>
          <w:lang w:bidi="ar-JO"/>
          <w14:ligatures w14:val="none"/>
        </w:rPr>
      </w:pPr>
      <w:r w:rsidRPr="004C1849">
        <w:rPr>
          <w:rFonts w:eastAsia="Times New Roman"/>
          <w:kern w:val="0"/>
          <w:sz w:val="48"/>
          <w:rtl/>
          <w:lang w:bidi="ar-JO"/>
          <w14:ligatures w14:val="none"/>
        </w:rPr>
        <w:t>ب.</w:t>
      </w:r>
      <w:r w:rsidRPr="004C1849">
        <w:rPr>
          <w:rFonts w:eastAsia="Times New Roman"/>
          <w:kern w:val="0"/>
          <w:sz w:val="48"/>
          <w:rtl/>
          <w:lang w:bidi="ar-JO"/>
          <w14:ligatures w14:val="none"/>
        </w:rPr>
        <w:tab/>
        <w:t>السلطة (1: 28)</w:t>
      </w:r>
    </w:p>
    <w:p w14:paraId="0B486970"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571" w:hanging="550"/>
        <w:jc w:val="both"/>
        <w:rPr>
          <w:rFonts w:eastAsia="Times New Roman"/>
          <w:kern w:val="0"/>
          <w:sz w:val="48"/>
          <w:rtl/>
          <w:lang w:bidi="ar-JO"/>
          <w14:ligatures w14:val="none"/>
        </w:rPr>
      </w:pPr>
      <w:r w:rsidRPr="004C1849">
        <w:rPr>
          <w:rFonts w:eastAsia="Times New Roman"/>
          <w:kern w:val="0"/>
          <w:sz w:val="48"/>
          <w:rtl/>
          <w:lang w:bidi="ar-JO"/>
          <w14:ligatures w14:val="none"/>
        </w:rPr>
        <w:t>جـ.</w:t>
      </w:r>
      <w:r w:rsidRPr="004C1849">
        <w:rPr>
          <w:rFonts w:eastAsia="Times New Roman"/>
          <w:kern w:val="0"/>
          <w:sz w:val="48"/>
          <w:rtl/>
          <w:lang w:bidi="ar-JO"/>
          <w14:ligatures w14:val="none"/>
        </w:rPr>
        <w:tab/>
        <w:t>الراحة (2: 3)</w:t>
      </w:r>
    </w:p>
    <w:p w14:paraId="7401B29E"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588"/>
        <w:jc w:val="both"/>
        <w:rPr>
          <w:rFonts w:eastAsia="Times New Roman"/>
          <w:kern w:val="0"/>
          <w:sz w:val="48"/>
          <w:rtl/>
          <w14:ligatures w14:val="none"/>
        </w:rPr>
      </w:pPr>
      <w:r w:rsidRPr="004C1849">
        <w:rPr>
          <w:rFonts w:eastAsia="Times New Roman"/>
          <w:kern w:val="0"/>
          <w:sz w:val="48"/>
          <w:rtl/>
          <w:lang w:bidi="ar-JO"/>
          <w14:ligatures w14:val="none"/>
        </w:rPr>
        <w:t>كان يفترض أن يتمتع بنو إسرائيل ببركة الله في هذه النواحي الثلاث في أرض الموعد كشعب الله الثيوقراطي (الذي يحكمه الله).  وستتناول بقية الكتاب المقدَّس عملية ترسيخ نعيم الراحة الثيوقراطية.  والعهد الإبراهيمي في تكوين 12 هام جداً لهذه العملية.</w:t>
      </w:r>
    </w:p>
    <w:p w14:paraId="002E5BCD"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588"/>
        <w:jc w:val="both"/>
        <w:rPr>
          <w:rFonts w:eastAsia="Times New Roman"/>
          <w:kern w:val="0"/>
          <w:sz w:val="48"/>
          <w:rtl/>
          <w:lang w:bidi="ar-KW"/>
          <w14:ligatures w14:val="none"/>
        </w:rPr>
      </w:pPr>
    </w:p>
    <w:p w14:paraId="2E34108A"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1588"/>
        <w:jc w:val="both"/>
        <w:rPr>
          <w:rFonts w:eastAsia="Times New Roman"/>
          <w:kern w:val="0"/>
          <w:sz w:val="48"/>
          <w:rtl/>
          <w:lang w:bidi="ar-KW"/>
          <w14:ligatures w14:val="none"/>
        </w:rPr>
      </w:pPr>
    </w:p>
    <w:p w14:paraId="1E6B4539" w14:textId="77777777" w:rsidR="00E84DB1" w:rsidRPr="004C1849" w:rsidRDefault="00E84DB1" w:rsidP="00C7130A">
      <w:pPr>
        <w:tabs>
          <w:tab w:val="left" w:pos="454"/>
        </w:tabs>
        <w:spacing w:after="60"/>
        <w:jc w:val="both"/>
        <w:rPr>
          <w:rFonts w:eastAsia="Times New Roman"/>
          <w:bCs/>
          <w:kern w:val="0"/>
          <w:rtl/>
          <w:lang w:bidi="ar-JO"/>
          <w14:ligatures w14:val="none"/>
        </w:rPr>
      </w:pPr>
      <w:r w:rsidRPr="004C1849">
        <w:rPr>
          <w:rFonts w:eastAsia="Times New Roman"/>
          <w:bCs/>
          <w:kern w:val="0"/>
          <w:rtl/>
          <w:lang w:bidi="ar-JO"/>
          <w14:ligatures w14:val="none"/>
        </w:rPr>
        <w:t>5.</w:t>
      </w:r>
      <w:r w:rsidRPr="004C1849">
        <w:rPr>
          <w:rFonts w:eastAsia="Times New Roman"/>
          <w:bCs/>
          <w:kern w:val="0"/>
          <w:rtl/>
          <w:lang w:bidi="ar-JO"/>
          <w14:ligatures w14:val="none"/>
        </w:rPr>
        <w:tab/>
        <w:t>تأكيدات لاهوتية معلنة في تكوين 1</w:t>
      </w:r>
    </w:p>
    <w:p w14:paraId="144B6584"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أ.</w:t>
      </w:r>
      <w:r w:rsidRPr="004C1849">
        <w:rPr>
          <w:rFonts w:eastAsia="Times New Roman"/>
          <w:kern w:val="0"/>
          <w:rtl/>
          <w:lang w:bidi="ar-JO"/>
          <w14:ligatures w14:val="none"/>
        </w:rPr>
        <w:tab/>
        <w:t>طبيعة الله بصفته الخالق المتسيد.  كل ما هو موجود من صنع الله، ولهذا يجب أن يكون تحت سيطرته.</w:t>
      </w:r>
    </w:p>
    <w:p w14:paraId="2B822935"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14:ligatures w14:val="none"/>
        </w:rPr>
      </w:pPr>
      <w:r w:rsidRPr="004C1849">
        <w:rPr>
          <w:rFonts w:eastAsia="Times New Roman"/>
          <w:kern w:val="0"/>
          <w:rtl/>
          <w:lang w:bidi="ar-JO"/>
          <w14:ligatures w14:val="none"/>
        </w:rPr>
        <w:t>ب.</w:t>
      </w:r>
      <w:r w:rsidRPr="004C1849">
        <w:rPr>
          <w:rFonts w:eastAsia="Times New Roman"/>
          <w:kern w:val="0"/>
          <w:rtl/>
          <w:lang w:bidi="ar-JO"/>
          <w14:ligatures w14:val="none"/>
        </w:rPr>
        <w:tab/>
        <w:t>أساس التوراة</w:t>
      </w:r>
    </w:p>
    <w:p w14:paraId="3B73AF32" w14:textId="77777777" w:rsidR="00E84DB1" w:rsidRPr="004C1849" w:rsidRDefault="00E84DB1" w:rsidP="00EC5727">
      <w:pPr>
        <w:tabs>
          <w:tab w:val="left" w:pos="550"/>
          <w:tab w:val="left" w:pos="1100"/>
          <w:tab w:val="left" w:pos="1650"/>
          <w:tab w:val="left" w:pos="2200"/>
          <w:tab w:val="left" w:pos="2750"/>
          <w:tab w:val="left" w:pos="3300"/>
          <w:tab w:val="left" w:pos="3850"/>
          <w:tab w:val="left" w:pos="4400"/>
        </w:tabs>
        <w:ind w:left="550" w:right="1021"/>
        <w:jc w:val="both"/>
        <w:rPr>
          <w:rFonts w:eastAsia="Times New Roman"/>
          <w:kern w:val="0"/>
          <w:rtl/>
          <w:lang w:bidi="ar-JO"/>
          <w14:ligatures w14:val="none"/>
        </w:rPr>
      </w:pPr>
      <w:r w:rsidRPr="004C1849">
        <w:rPr>
          <w:rFonts w:eastAsia="Times New Roman"/>
          <w:kern w:val="0"/>
          <w:rtl/>
          <w:lang w:bidi="ar-JO"/>
          <w14:ligatures w14:val="none"/>
        </w:rPr>
        <w:t>إن كان الله حقاً موجوداً قبل كل شيء وهو الذي خلق كل شيء بما في ذلك الأشياء التي يعبدها الوثنيون – فإن من الحمق أن يعبد الإنسان آلهة أخرى غيره.</w:t>
      </w:r>
    </w:p>
    <w:p w14:paraId="6014DBF1"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جـ.</w:t>
      </w:r>
      <w:r w:rsidRPr="004C1849">
        <w:rPr>
          <w:rFonts w:eastAsia="Times New Roman"/>
          <w:kern w:val="0"/>
          <w:rtl/>
          <w:lang w:bidi="ar-JO"/>
          <w14:ligatures w14:val="none"/>
        </w:rPr>
        <w:tab/>
        <w:t xml:space="preserve">عمَل الله في الفداء </w:t>
      </w:r>
    </w:p>
    <w:p w14:paraId="1B469108" w14:textId="77777777" w:rsidR="00E84DB1" w:rsidRPr="004C1849" w:rsidRDefault="00E84DB1" w:rsidP="00EC5727">
      <w:pPr>
        <w:tabs>
          <w:tab w:val="left" w:pos="454"/>
          <w:tab w:val="left" w:pos="550"/>
          <w:tab w:val="left" w:pos="1100"/>
          <w:tab w:val="left" w:pos="1650"/>
          <w:tab w:val="left" w:pos="2200"/>
          <w:tab w:val="left" w:pos="2750"/>
          <w:tab w:val="left" w:pos="3300"/>
          <w:tab w:val="left" w:pos="3850"/>
          <w:tab w:val="left" w:pos="4400"/>
        </w:tabs>
        <w:ind w:left="550" w:right="1004" w:hanging="550"/>
        <w:jc w:val="both"/>
        <w:rPr>
          <w:rFonts w:eastAsia="Times New Roman"/>
          <w:kern w:val="0"/>
          <w:rtl/>
          <w:lang w:bidi="ar-JO"/>
          <w14:ligatures w14:val="none"/>
        </w:rPr>
      </w:pPr>
      <w:r w:rsidRPr="004C1849">
        <w:rPr>
          <w:rFonts w:eastAsia="Times New Roman"/>
          <w:kern w:val="0"/>
          <w:rtl/>
          <w:lang w:bidi="ar-JO"/>
          <w14:ligatures w14:val="none"/>
        </w:rPr>
        <w:t>د.</w:t>
      </w:r>
      <w:r w:rsidRPr="004C1849">
        <w:rPr>
          <w:rFonts w:eastAsia="Times New Roman"/>
          <w:kern w:val="0"/>
          <w:rtl/>
          <w:lang w:bidi="ar-JO"/>
          <w14:ligatures w14:val="none"/>
        </w:rPr>
        <w:tab/>
        <w:t>قصد الله أن يجعل الإنسان يقيم في البركة عاملاً كوسيطٍ لإتمام حكم الله.</w:t>
      </w:r>
    </w:p>
    <w:p w14:paraId="7D36A9A2" w14:textId="77777777" w:rsidR="00E84DB1" w:rsidRPr="004C1849" w:rsidRDefault="00E84DB1" w:rsidP="00C7130A">
      <w:pPr>
        <w:tabs>
          <w:tab w:val="left" w:pos="454"/>
        </w:tabs>
        <w:spacing w:after="60"/>
        <w:jc w:val="both"/>
        <w:rPr>
          <w:rFonts w:eastAsia="Times New Roman"/>
          <w:bCs/>
          <w:kern w:val="0"/>
          <w:rtl/>
          <w:lang w:bidi="ar-JO"/>
          <w14:ligatures w14:val="none"/>
        </w:rPr>
      </w:pPr>
    </w:p>
    <w:p w14:paraId="3516A1DD" w14:textId="77777777" w:rsidR="00E84DB1" w:rsidRPr="004C1849" w:rsidRDefault="00E84DB1" w:rsidP="00C7130A">
      <w:pPr>
        <w:tabs>
          <w:tab w:val="left" w:pos="454"/>
        </w:tabs>
        <w:spacing w:after="60"/>
        <w:jc w:val="both"/>
        <w:rPr>
          <w:rFonts w:eastAsia="Times New Roman"/>
          <w:bCs/>
          <w:kern w:val="0"/>
          <w:rtl/>
          <w:lang w:bidi="ar-JO"/>
          <w14:ligatures w14:val="none"/>
        </w:rPr>
      </w:pPr>
      <w:r w:rsidRPr="004C1849">
        <w:rPr>
          <w:rFonts w:eastAsia="Times New Roman"/>
          <w:bCs/>
          <w:kern w:val="0"/>
          <w:rtl/>
          <w:lang w:bidi="ar-JO"/>
          <w14:ligatures w14:val="none"/>
        </w:rPr>
        <w:t xml:space="preserve">درس لحياتنا </w:t>
      </w:r>
    </w:p>
    <w:p w14:paraId="404C786C"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4C1849">
        <w:rPr>
          <w:rFonts w:eastAsia="Times New Roman"/>
          <w:kern w:val="0"/>
          <w:rtl/>
          <w:lang w:bidi="ar-JO"/>
          <w14:ligatures w14:val="none"/>
        </w:rPr>
        <w:t>يخبرنا الأصحاح الأول من سفر التكوين أن الطبيعة كانت من إبداع يهوه إيلوهيم المتسيد.  ونحن نكتشف في يوحنا 1: 1-3 وكولوسي 1: 16 أن هذا الله الخالق ما هو إلاّ الربّ يسوع المسيح.  وهذا أمر هام، لأنه يكشف لنا بشكل بديع نعمة الله: فنفس الذي خلقك ذهب إلى الجلجثة من أجل خطاياك.  وهذا هو ما يجعل محبة الله لا تقاوم! هل يمكنك أن تفكر بسبب يجعلك تقاوم محبة الله لك؟ تأمل رومية 8: 36-39.</w:t>
      </w:r>
    </w:p>
    <w:p w14:paraId="50B4989B" w14:textId="77777777" w:rsidR="00E84DB1" w:rsidRPr="004C1849" w:rsidRDefault="00E84DB1"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14:ligatures w14:val="none"/>
        </w:rPr>
      </w:pPr>
    </w:p>
    <w:p w14:paraId="21FD7762" w14:textId="77777777" w:rsidR="005B452F" w:rsidRPr="004C1849" w:rsidRDefault="005B452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p>
    <w:p w14:paraId="1EDCF394" w14:textId="235D5027" w:rsidR="005B452F" w:rsidRPr="00C7130A" w:rsidRDefault="00271A35" w:rsidP="000558B7">
      <w:pPr>
        <w:pStyle w:val="Heading2B"/>
      </w:pPr>
      <w:bookmarkStart w:id="79" w:name="_Toc193030924"/>
      <w:r w:rsidRPr="00C7130A">
        <w:rPr>
          <w:rtl/>
        </w:rPr>
        <w:t>الموضوع 3: منهجيات يتبنّاها إنجيليون في النظر إلى رواية الخلق</w:t>
      </w:r>
      <w:bookmarkStart w:id="80" w:name="_Hlk178778001"/>
      <w:bookmarkEnd w:id="79"/>
    </w:p>
    <w:p w14:paraId="539B4922" w14:textId="3A045AF2" w:rsidR="002C23D1" w:rsidRPr="00CC4932" w:rsidRDefault="002C23D1"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8"/>
          <w14:ligatures w14:val="none"/>
        </w:rPr>
      </w:pPr>
      <w:r w:rsidRPr="00C7130A">
        <w:rPr>
          <w:rFonts w:eastAsia="Calibri"/>
          <w:b/>
          <w:caps/>
          <w:noProof/>
          <w:color w:val="006699"/>
          <w:kern w:val="0"/>
          <w:sz w:val="21"/>
          <w:szCs w:val="24"/>
          <w14:ligatures w14:val="none"/>
        </w:rPr>
        <w:lastRenderedPageBreak/>
        <w:drawing>
          <wp:inline distT="0" distB="0" distL="0" distR="0" wp14:anchorId="5C8FB660" wp14:editId="1054656F">
            <wp:extent cx="613692" cy="541464"/>
            <wp:effectExtent l="0" t="0" r="0" b="0"/>
            <wp:docPr id="1215541823" name="Picture 1215541823"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DE4095" w:rsidRPr="00CC4932">
        <w:rPr>
          <w:rFonts w:eastAsia="Calibri"/>
          <w:bCs/>
          <w:caps/>
          <w:color w:val="006699"/>
          <w:kern w:val="0"/>
          <w:u w:val="single"/>
          <w:rtl/>
          <w14:ligatures w14:val="none"/>
        </w:rPr>
        <w:t>القراءة:</w:t>
      </w:r>
    </w:p>
    <w:p w14:paraId="3255CDB8" w14:textId="2B532ECE" w:rsidR="00DB66ED" w:rsidRPr="00CC4932" w:rsidRDefault="00DE4095">
      <w:pPr>
        <w:pStyle w:val="ListParagraph"/>
        <w:numPr>
          <w:ilvl w:val="0"/>
          <w:numId w:val="1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CC4932">
        <w:rPr>
          <w:rFonts w:eastAsia="Calibri"/>
          <w:kern w:val="0"/>
          <w:rtl/>
          <w14:ligatures w14:val="none"/>
        </w:rPr>
        <w:t xml:space="preserve">اقرأ تكوين 1: 1 – 2: 3 في كتابك المُقدَّس. </w:t>
      </w:r>
    </w:p>
    <w:p w14:paraId="313761A3" w14:textId="6728D525" w:rsidR="00DE4095" w:rsidRPr="00CC4932" w:rsidRDefault="00DE4095">
      <w:pPr>
        <w:pStyle w:val="ListParagraph"/>
        <w:numPr>
          <w:ilvl w:val="0"/>
          <w:numId w:val="1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CC4932">
        <w:rPr>
          <w:rFonts w:eastAsia="Calibri"/>
          <w:kern w:val="0"/>
          <w:rtl/>
          <w14:ligatures w14:val="none"/>
        </w:rPr>
        <w:t xml:space="preserve">اقرأ المُلحَق </w:t>
      </w:r>
      <w:r w:rsidR="00E26173" w:rsidRPr="00CC4932">
        <w:rPr>
          <w:rFonts w:eastAsia="Calibri"/>
          <w:kern w:val="0"/>
          <w:rtl/>
          <w14:ligatures w14:val="none"/>
        </w:rPr>
        <w:t>2</w:t>
      </w:r>
      <w:r w:rsidRPr="00CC4932">
        <w:rPr>
          <w:rFonts w:eastAsia="Calibri"/>
          <w:kern w:val="0"/>
          <w:rtl/>
          <w14:ligatures w14:val="none"/>
        </w:rPr>
        <w:t>: "آراء</w:t>
      </w:r>
      <w:r w:rsidR="00E26173" w:rsidRPr="00CC4932">
        <w:rPr>
          <w:rFonts w:eastAsia="Calibri"/>
          <w:kern w:val="0"/>
          <w:rtl/>
          <w14:ligatures w14:val="none"/>
        </w:rPr>
        <w:t xml:space="preserve"> ونظريات</w:t>
      </w:r>
      <w:r w:rsidRPr="00CC4932">
        <w:rPr>
          <w:rFonts w:eastAsia="Calibri"/>
          <w:kern w:val="0"/>
          <w:rtl/>
          <w14:ligatures w14:val="none"/>
        </w:rPr>
        <w:t xml:space="preserve"> معاصرة بشأن تكوين 1: 1-3". </w:t>
      </w:r>
    </w:p>
    <w:p w14:paraId="4978D790" w14:textId="1DE2AE0D" w:rsidR="00DB66ED" w:rsidRPr="00CC4932" w:rsidRDefault="00DE4095"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CC4932">
        <w:rPr>
          <w:rFonts w:eastAsia="Calibri"/>
          <w:kern w:val="0"/>
          <w:rtl/>
          <w14:ligatures w14:val="none"/>
        </w:rPr>
        <w:t xml:space="preserve">ملاحظة: </w:t>
      </w:r>
      <w:r w:rsidR="00FF57E1" w:rsidRPr="00CC4932">
        <w:rPr>
          <w:rFonts w:eastAsia="Calibri"/>
          <w:kern w:val="0"/>
          <w:rtl/>
          <w14:ligatures w14:val="none"/>
        </w:rPr>
        <w:t xml:space="preserve">تركّز المادّة التالية على ثلاثة آراء فقط من المذكورة في المُلحَق، وتستنتج أن "الرأي التقليدي" هو الموقف الذي يجد أكبر قدرٍ من الدفاع والتأييد له. </w:t>
      </w:r>
    </w:p>
    <w:bookmarkEnd w:id="80"/>
    <w:p w14:paraId="025271FA" w14:textId="77777777" w:rsidR="00E84DB1" w:rsidRPr="00CC4932" w:rsidRDefault="00E84DB1" w:rsidP="00C7130A">
      <w:pPr>
        <w:jc w:val="center"/>
        <w:rPr>
          <w:rFonts w:eastAsia="Times New Roman"/>
          <w:bCs/>
          <w:kern w:val="0"/>
          <w:sz w:val="48"/>
          <w:szCs w:val="40"/>
          <w:rtl/>
          <w:lang w:bidi="ar-JO"/>
          <w14:ligatures w14:val="none"/>
        </w:rPr>
      </w:pPr>
    </w:p>
    <w:p w14:paraId="2FEB247E" w14:textId="77777777" w:rsidR="00E84DB1" w:rsidRPr="00CC4932" w:rsidRDefault="00E84DB1" w:rsidP="000558B7">
      <w:pPr>
        <w:pStyle w:val="Heading3"/>
        <w:rPr>
          <w:rtl/>
          <w:lang w:bidi="ar-JO"/>
        </w:rPr>
      </w:pPr>
      <w:bookmarkStart w:id="81" w:name="_Toc193030925"/>
      <w:r w:rsidRPr="00CC4932">
        <w:rPr>
          <w:rtl/>
          <w:lang w:bidi="ar-JO"/>
        </w:rPr>
        <w:t>1.</w:t>
      </w:r>
      <w:r w:rsidRPr="00CC4932">
        <w:rPr>
          <w:rtl/>
          <w:lang w:bidi="ar-JO"/>
        </w:rPr>
        <w:tab/>
        <w:t>فرادة الرواية الكتابية</w:t>
      </w:r>
      <w:bookmarkEnd w:id="81"/>
    </w:p>
    <w:p w14:paraId="6AE3B0BE"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CC4932">
        <w:rPr>
          <w:rFonts w:eastAsia="Times New Roman"/>
          <w:kern w:val="0"/>
          <w:rtl/>
          <w:lang w:bidi="ar-JO"/>
          <w14:ligatures w14:val="none"/>
        </w:rPr>
        <w:t xml:space="preserve">لكي يقدّر المرء قوّة رواية الخلق الكتابية، فإن عليه أن يقابلها مع نظريتي نشأة الكون في مصر ومنطقة ما بين النهرين.  [وإنه لمن المفيد في هذه المرحلة أن يرجع الطالب إلى </w:t>
      </w:r>
      <w:r w:rsidRPr="00CC4932">
        <w:rPr>
          <w:rFonts w:eastAsia="Times New Roman"/>
          <w:kern w:val="0"/>
          <w:lang w:bidi="ar-JO"/>
          <w14:ligatures w14:val="none"/>
        </w:rPr>
        <w:t>ISBE 4:101</w:t>
      </w:r>
      <w:r w:rsidRPr="00CC4932">
        <w:rPr>
          <w:rFonts w:eastAsia="Times New Roman"/>
          <w:kern w:val="0"/>
          <w:rtl/>
          <w:lang w:bidi="ar-JO"/>
          <w14:ligatures w14:val="none"/>
        </w:rPr>
        <w:t>، و</w:t>
      </w:r>
      <w:r w:rsidRPr="00CC4932">
        <w:rPr>
          <w:rFonts w:eastAsia="Times New Roman"/>
          <w:kern w:val="0"/>
          <w:lang w:bidi="ar-JO"/>
          <w14:ligatures w14:val="none"/>
        </w:rPr>
        <w:t xml:space="preserve">Noah Kramer, </w:t>
      </w:r>
      <w:r w:rsidRPr="00CC4932">
        <w:rPr>
          <w:rFonts w:eastAsia="Times New Roman"/>
          <w:i/>
          <w:iCs/>
          <w:kern w:val="0"/>
          <w:lang w:bidi="ar-JO"/>
          <w14:ligatures w14:val="none"/>
        </w:rPr>
        <w:t>Mythologies of the Ancient World</w:t>
      </w:r>
      <w:r w:rsidRPr="00CC4932">
        <w:rPr>
          <w:rFonts w:eastAsia="Times New Roman"/>
          <w:kern w:val="0"/>
          <w:lang w:bidi="ar-JO"/>
          <w14:ligatures w14:val="none"/>
        </w:rPr>
        <w:t xml:space="preserve"> (Grand City, NY: Doubleday, 1961)</w:t>
      </w:r>
      <w:r w:rsidRPr="00CC4932">
        <w:rPr>
          <w:rFonts w:eastAsia="Times New Roman"/>
          <w:kern w:val="0"/>
          <w:rtl/>
          <w:lang w:bidi="ar-JO"/>
          <w14:ligatures w14:val="none"/>
        </w:rPr>
        <w:t>. "كان الاعتقاد بالله كخالق منفصلاً عن خليقته وسامياً عليها ’السمة الجوهرية للإيمان الموسوي‘ وقد ’وقد ميّز هذا الاعتقاد إيمان إسرائيل عن كل الديانات الأخرى.,"</w:t>
      </w:r>
      <w:r w:rsidRPr="00CC4932">
        <w:rPr>
          <w:rFonts w:eastAsia="Times New Roman"/>
          <w:kern w:val="0"/>
          <w:vertAlign w:val="superscript"/>
          <w:rtl/>
          <w:lang w:bidi="ar-JO"/>
          <w14:ligatures w14:val="none"/>
        </w:rPr>
        <w:footnoteReference w:customMarkFollows="1" w:id="13"/>
        <w:t>1</w:t>
      </w:r>
    </w:p>
    <w:p w14:paraId="3C0057FE" w14:textId="77777777" w:rsidR="00E84DB1" w:rsidRPr="00CC4932" w:rsidRDefault="00E84DB1" w:rsidP="000558B7">
      <w:pPr>
        <w:pStyle w:val="Heading3"/>
        <w:rPr>
          <w:rtl/>
          <w:lang w:bidi="ar-JO"/>
        </w:rPr>
      </w:pPr>
      <w:bookmarkStart w:id="82" w:name="_Toc193030926"/>
      <w:r w:rsidRPr="00CC4932">
        <w:rPr>
          <w:rtl/>
          <w:lang w:bidi="ar-JO"/>
        </w:rPr>
        <w:t>2.</w:t>
      </w:r>
      <w:r w:rsidRPr="00CC4932">
        <w:rPr>
          <w:rtl/>
          <w:lang w:bidi="ar-JO"/>
        </w:rPr>
        <w:tab/>
        <w:t>مقدمة</w:t>
      </w:r>
      <w:bookmarkEnd w:id="82"/>
    </w:p>
    <w:p w14:paraId="743C858F"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CC4932">
        <w:rPr>
          <w:rFonts w:eastAsia="Times New Roman"/>
          <w:kern w:val="0"/>
          <w:rtl/>
          <w:lang w:bidi="ar-JO"/>
          <w14:ligatures w14:val="none"/>
        </w:rPr>
        <w:t>وُضعت نظريات كثيرة لتفسير مصدر الإنسان والكون.  ويوجد جدل حتى بين المسيحيّين حول كيفية فهم رواية سفر التكوين.  وأنا أود في هذا الملحق أن أجري تقويماً لثلاث نظريات رئيسية يتبنّاها الإنجيليون المحافظون وهي:</w:t>
      </w:r>
    </w:p>
    <w:p w14:paraId="50DCBA6E"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C4932">
        <w:rPr>
          <w:rFonts w:eastAsia="Times New Roman"/>
          <w:kern w:val="0"/>
          <w:rtl/>
          <w:lang w:bidi="ar-JO"/>
          <w14:ligatures w14:val="none"/>
        </w:rPr>
        <w:t>1.</w:t>
      </w:r>
      <w:r w:rsidRPr="00CC4932">
        <w:rPr>
          <w:rFonts w:eastAsia="Times New Roman"/>
          <w:kern w:val="0"/>
          <w:rtl/>
          <w:lang w:bidi="ar-JO"/>
          <w14:ligatures w14:val="none"/>
        </w:rPr>
        <w:tab/>
        <w:t>نظرية الإصلاح أو الرد (= نظرية الثغرة)</w:t>
      </w:r>
    </w:p>
    <w:p w14:paraId="3EE8F4FD"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C4932">
        <w:rPr>
          <w:rFonts w:eastAsia="Times New Roman"/>
          <w:kern w:val="0"/>
          <w:rtl/>
          <w:lang w:bidi="ar-JO"/>
          <w14:ligatures w14:val="none"/>
        </w:rPr>
        <w:t>2.</w:t>
      </w:r>
      <w:r w:rsidRPr="00CC4932">
        <w:rPr>
          <w:rFonts w:eastAsia="Times New Roman"/>
          <w:kern w:val="0"/>
          <w:rtl/>
          <w:lang w:bidi="ar-JO"/>
          <w14:ligatures w14:val="none"/>
        </w:rPr>
        <w:tab/>
        <w:t>نظرية الفوضى الأولية (النظرة التقليدية)</w:t>
      </w:r>
    </w:p>
    <w:p w14:paraId="0A0B5E63"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C4932">
        <w:rPr>
          <w:rFonts w:eastAsia="Times New Roman"/>
          <w:kern w:val="0"/>
          <w:rtl/>
          <w:lang w:bidi="ar-JO"/>
          <w14:ligatures w14:val="none"/>
        </w:rPr>
        <w:t>3.</w:t>
      </w:r>
      <w:r w:rsidRPr="00CC4932">
        <w:rPr>
          <w:rFonts w:eastAsia="Times New Roman"/>
          <w:kern w:val="0"/>
          <w:rtl/>
          <w:lang w:bidi="ar-JO"/>
          <w14:ligatures w14:val="none"/>
        </w:rPr>
        <w:tab/>
        <w:t>نظرية فوضى ما قبل الخلق</w:t>
      </w:r>
    </w:p>
    <w:p w14:paraId="7130B296" w14:textId="77777777" w:rsidR="00E84DB1" w:rsidRPr="00CC4932" w:rsidRDefault="00E84DB1" w:rsidP="000558B7">
      <w:pPr>
        <w:pStyle w:val="Heading3"/>
        <w:rPr>
          <w:rtl/>
          <w:lang w:bidi="ar-JO"/>
        </w:rPr>
      </w:pPr>
      <w:bookmarkStart w:id="83" w:name="_Toc193030927"/>
      <w:r w:rsidRPr="00CC4932">
        <w:rPr>
          <w:rtl/>
          <w:lang w:bidi="ar-JO"/>
        </w:rPr>
        <w:t>3.</w:t>
      </w:r>
      <w:r w:rsidRPr="00CC4932">
        <w:rPr>
          <w:rtl/>
          <w:lang w:bidi="ar-JO"/>
        </w:rPr>
        <w:tab/>
        <w:t>تلخيص مختصر للنظريات</w:t>
      </w:r>
      <w:bookmarkEnd w:id="83"/>
      <w:r w:rsidRPr="00CC4932">
        <w:rPr>
          <w:rtl/>
          <w:lang w:bidi="ar-JO"/>
        </w:rPr>
        <w:t xml:space="preserve"> </w:t>
      </w:r>
    </w:p>
    <w:p w14:paraId="74400E4A" w14:textId="77777777" w:rsidR="00E84DB1" w:rsidRPr="00CC4932" w:rsidRDefault="00E84DB1" w:rsidP="00C7130A">
      <w:pPr>
        <w:tabs>
          <w:tab w:val="left" w:pos="454"/>
        </w:tabs>
        <w:spacing w:after="60"/>
        <w:ind w:left="550" w:hanging="550"/>
        <w:jc w:val="both"/>
        <w:rPr>
          <w:rFonts w:eastAsia="Times New Roman"/>
          <w:bCs/>
          <w:kern w:val="0"/>
          <w:rtl/>
          <w14:ligatures w14:val="none"/>
        </w:rPr>
      </w:pPr>
      <w:r w:rsidRPr="00CC4932">
        <w:rPr>
          <w:rFonts w:eastAsia="Times New Roman"/>
          <w:bCs/>
          <w:kern w:val="0"/>
          <w:rtl/>
          <w14:ligatures w14:val="none"/>
        </w:rPr>
        <w:t>أ.</w:t>
      </w:r>
      <w:r w:rsidRPr="00CC4932">
        <w:rPr>
          <w:rFonts w:eastAsia="Times New Roman"/>
          <w:bCs/>
          <w:kern w:val="0"/>
          <w:rtl/>
          <w14:ligatures w14:val="none"/>
        </w:rPr>
        <w:tab/>
        <w:t xml:space="preserve">نظرية الإصلاح أو الرد (كثيراً ما تُدعى "نظرية الثغرة") </w:t>
      </w:r>
    </w:p>
    <w:p w14:paraId="58711901" w14:textId="77777777" w:rsidR="00E84DB1" w:rsidRPr="00CC4932"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CC4932">
        <w:rPr>
          <w:rFonts w:eastAsia="Times New Roman"/>
          <w:kern w:val="0"/>
          <w:rtl/>
          <w:lang w:bidi="ar-JO"/>
          <w14:ligatures w14:val="none"/>
        </w:rPr>
        <w:t>1.</w:t>
      </w:r>
      <w:r w:rsidRPr="00CC4932">
        <w:rPr>
          <w:rFonts w:eastAsia="Times New Roman"/>
          <w:kern w:val="0"/>
          <w:rtl/>
          <w:lang w:bidi="ar-JO"/>
          <w14:ligatures w14:val="none"/>
        </w:rPr>
        <w:tab/>
        <w:t>وصفها</w:t>
      </w:r>
    </w:p>
    <w:p w14:paraId="05D91967"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CC4932">
        <w:rPr>
          <w:rFonts w:eastAsia="Times New Roman"/>
          <w:kern w:val="0"/>
          <w:rtl/>
          <w:lang w:bidi="ar-JO"/>
          <w14:ligatures w14:val="none"/>
        </w:rPr>
        <w:t xml:space="preserve">تقدم تكوين 1: 1 رواية لخليقة كاملة في الأصل.  كان الشيطان حاكم هذا العالم، لكن بسبب تمرّده المذكور في إشعياء 14: 12-17، دخلت الخطية إلى الكون.  ونتيجة لذلك أدان الله العالم وجعله في حالة الفوضى المذكورة </w:t>
      </w:r>
      <w:r w:rsidRPr="00CC4932">
        <w:rPr>
          <w:rFonts w:eastAsia="Times New Roman"/>
          <w:kern w:val="0"/>
          <w:rtl/>
          <w:lang w:bidi="ar-JO"/>
          <w14:ligatures w14:val="none"/>
        </w:rPr>
        <w:lastRenderedPageBreak/>
        <w:t>في تكوين 1: 2.  وفيما بعد أعاد الله خلق العالم حسب الوصف المذكور في تكوين 1: 3-31.  وهكذا توجد ثغرة زمنية غير معروفة الطول بين الآيتين الأولى والثانية.</w:t>
      </w:r>
    </w:p>
    <w:p w14:paraId="74B03651" w14:textId="77777777" w:rsidR="00E84DB1" w:rsidRPr="00CC4932"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CC4932">
        <w:rPr>
          <w:rFonts w:eastAsia="Times New Roman"/>
          <w:kern w:val="0"/>
          <w:rtl/>
          <w:lang w:bidi="ar-JO"/>
          <w14:ligatures w14:val="none"/>
        </w:rPr>
        <w:t>2.</w:t>
      </w:r>
      <w:r w:rsidRPr="00CC4932">
        <w:rPr>
          <w:rFonts w:eastAsia="Times New Roman"/>
          <w:kern w:val="0"/>
          <w:rtl/>
          <w:lang w:bidi="ar-JO"/>
          <w14:ligatures w14:val="none"/>
        </w:rPr>
        <w:tab/>
        <w:t xml:space="preserve">دعاة هذه النظرية </w:t>
      </w:r>
      <w:r w:rsidRPr="00CC4932">
        <w:rPr>
          <w:rFonts w:eastAsia="Times New Roman"/>
          <w:kern w:val="0"/>
          <w:lang w:bidi="ar-JO"/>
          <w14:ligatures w14:val="none"/>
        </w:rPr>
        <w:t>Merril Unger, The New Scofield Reference Bible (1976 ed.), Arthur C. Custance.</w:t>
      </w:r>
      <w:r w:rsidRPr="00CC4932">
        <w:rPr>
          <w:rFonts w:eastAsia="Times New Roman"/>
          <w:kern w:val="0"/>
          <w:vertAlign w:val="superscript"/>
          <w:lang w:bidi="ar-JO"/>
          <w14:ligatures w14:val="none"/>
        </w:rPr>
        <w:footnoteReference w:customMarkFollows="1" w:id="14"/>
        <w:t>2</w:t>
      </w:r>
      <w:r w:rsidRPr="00CC4932">
        <w:rPr>
          <w:rFonts w:eastAsia="Times New Roman"/>
          <w:kern w:val="0"/>
          <w:lang w:bidi="ar-JO"/>
          <w14:ligatures w14:val="none"/>
        </w:rPr>
        <w:t xml:space="preserve">   </w:t>
      </w:r>
    </w:p>
    <w:p w14:paraId="2720C095" w14:textId="77777777" w:rsidR="00E84DB1" w:rsidRPr="00CC4932"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p>
    <w:p w14:paraId="2E88D10C" w14:textId="77777777" w:rsidR="00E84DB1" w:rsidRPr="00CC4932"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CC4932">
        <w:rPr>
          <w:rFonts w:eastAsia="Times New Roman"/>
          <w:kern w:val="0"/>
          <w:rtl/>
          <w:lang w:bidi="ar-JO"/>
          <w14:ligatures w14:val="none"/>
        </w:rPr>
        <w:t>3.</w:t>
      </w:r>
      <w:r w:rsidRPr="00CC4932">
        <w:rPr>
          <w:rFonts w:eastAsia="Times New Roman"/>
          <w:kern w:val="0"/>
          <w:rtl/>
          <w:lang w:bidi="ar-JO"/>
          <w14:ligatures w14:val="none"/>
        </w:rPr>
        <w:tab/>
        <w:t>حجج داعمة لهذه النظرية:</w:t>
      </w:r>
    </w:p>
    <w:p w14:paraId="51C886AF"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C4932">
        <w:rPr>
          <w:rFonts w:eastAsia="Times New Roman"/>
          <w:kern w:val="0"/>
          <w:rtl/>
          <w:lang w:bidi="ar-JO"/>
          <w14:ligatures w14:val="none"/>
        </w:rPr>
        <w:t>أ.</w:t>
      </w:r>
      <w:r w:rsidRPr="00CC4932">
        <w:rPr>
          <w:rFonts w:eastAsia="Times New Roman"/>
          <w:kern w:val="0"/>
          <w:rtl/>
          <w:lang w:bidi="ar-JO"/>
          <w14:ligatures w14:val="none"/>
        </w:rPr>
        <w:tab/>
        <w:t>مقنعة منطقياً</w:t>
      </w:r>
    </w:p>
    <w:p w14:paraId="14E3D2CD"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C4932">
        <w:rPr>
          <w:rFonts w:eastAsia="Times New Roman"/>
          <w:kern w:val="0"/>
          <w:rtl/>
          <w:lang w:bidi="ar-JO"/>
          <w14:ligatures w14:val="none"/>
        </w:rPr>
        <w:t>بما أن السماوات والأرض "في الآية الأولى تعني" الكون المنظَّم"، وبما أن الآية الثانية تتحدث عن الأرض في حالة فوضى، وبما أن الآية 3-31 تتحدث عن عملية إعادة تنظيم الكون، فإنه يبدو أمراً معقولاً أن تتحدث الآيات 1-3 عن ثلاث مراحل متعاقبة من تاريخ الأرض.</w:t>
      </w:r>
    </w:p>
    <w:p w14:paraId="031AB32E"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C4932">
        <w:rPr>
          <w:rFonts w:eastAsia="Times New Roman"/>
          <w:kern w:val="0"/>
          <w:rtl/>
          <w:lang w:bidi="ar-JO"/>
          <w14:ligatures w14:val="none"/>
        </w:rPr>
        <w:t>ب.</w:t>
      </w:r>
      <w:r w:rsidRPr="00CC4932">
        <w:rPr>
          <w:rFonts w:eastAsia="Times New Roman"/>
          <w:kern w:val="0"/>
          <w:rtl/>
          <w:lang w:bidi="ar-JO"/>
          <w14:ligatures w14:val="none"/>
        </w:rPr>
        <w:tab/>
        <w:t>يمكن أن يعني الفعل (</w:t>
      </w:r>
      <w:r w:rsidRPr="00CC4932">
        <w:rPr>
          <w:rFonts w:eastAsia="Times New Roman"/>
          <w:kern w:val="0"/>
          <w14:ligatures w14:val="none"/>
        </w:rPr>
        <w:t>hyh</w:t>
      </w:r>
      <w:r w:rsidRPr="00CC4932">
        <w:rPr>
          <w:rFonts w:eastAsia="Times New Roman"/>
          <w:kern w:val="0"/>
          <w:rtl/>
          <w:lang w:bidi="ar-JO"/>
          <w14:ligatures w14:val="none"/>
        </w:rPr>
        <w:t>) في الآية 2 "صارت" (قارن تكوين 3: 20).</w:t>
      </w:r>
    </w:p>
    <w:p w14:paraId="3258A1BC"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C4932">
        <w:rPr>
          <w:rFonts w:eastAsia="Times New Roman"/>
          <w:kern w:val="0"/>
          <w:rtl/>
          <w:lang w:bidi="ar-JO"/>
          <w14:ligatures w14:val="none"/>
        </w:rPr>
        <w:t>إن الفكرة هنا هي أن الكون خُلق في الأصل حسب الآية الأولى، ثم "صار" فيما بعد في حلة فوضى.</w:t>
      </w:r>
    </w:p>
    <w:p w14:paraId="0D4181B8"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C4932">
        <w:rPr>
          <w:rFonts w:eastAsia="Times New Roman"/>
          <w:kern w:val="0"/>
          <w:rtl/>
          <w:lang w:bidi="ar-JO"/>
          <w14:ligatures w14:val="none"/>
        </w:rPr>
        <w:t>جـ.</w:t>
      </w:r>
      <w:r w:rsidRPr="00CC4932">
        <w:rPr>
          <w:rFonts w:eastAsia="Times New Roman"/>
          <w:kern w:val="0"/>
          <w:rtl/>
          <w:lang w:bidi="ar-JO"/>
          <w14:ligatures w14:val="none"/>
        </w:rPr>
        <w:tab/>
        <w:t>يستخدم تعبير "خربة وخالية" في مواضع أخرى (إرميا 4: 23 وإشعياء 34: 11) مرتبطاً بفكرة دينونة الله.</w:t>
      </w:r>
    </w:p>
    <w:p w14:paraId="251A20D9" w14:textId="77777777" w:rsidR="00E84DB1" w:rsidRPr="00CC4932" w:rsidRDefault="00E84DB1">
      <w:pPr>
        <w:numPr>
          <w:ilvl w:val="0"/>
          <w:numId w:val="6"/>
        </w:numPr>
        <w:tabs>
          <w:tab w:val="left" w:pos="550"/>
          <w:tab w:val="left" w:pos="1100"/>
          <w:tab w:val="left" w:pos="1650"/>
          <w:tab w:val="left" w:pos="2200"/>
          <w:tab w:val="left" w:pos="2750"/>
          <w:tab w:val="left" w:pos="3300"/>
          <w:tab w:val="left" w:pos="3850"/>
          <w:tab w:val="left" w:pos="4400"/>
        </w:tabs>
        <w:jc w:val="both"/>
        <w:rPr>
          <w:rFonts w:eastAsia="Times New Roman"/>
          <w:kern w:val="0"/>
          <w:rtl/>
          <w:lang w:bidi="ar-KW"/>
          <w14:ligatures w14:val="none"/>
        </w:rPr>
      </w:pPr>
      <w:r w:rsidRPr="00CC4932">
        <w:rPr>
          <w:rFonts w:eastAsia="Times New Roman"/>
          <w:kern w:val="0"/>
          <w:rtl/>
          <w:lang w:bidi="ar-JO"/>
          <w14:ligatures w14:val="none"/>
        </w:rPr>
        <w:t>توضح هذه النظرية دور الشيطان الذي يظهر فجأة في تكوين 3 دون مقدمات.</w:t>
      </w:r>
      <w:r w:rsidRPr="00CC4932">
        <w:rPr>
          <w:rFonts w:eastAsia="Times New Roman"/>
          <w:kern w:val="0"/>
          <w:vertAlign w:val="superscript"/>
          <w:rtl/>
          <w:lang w:bidi="ar-JO"/>
          <w14:ligatures w14:val="none"/>
        </w:rPr>
        <w:footnoteReference w:customMarkFollows="1" w:id="15"/>
        <w:t>3</w:t>
      </w:r>
    </w:p>
    <w:p w14:paraId="766AF6BA"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p>
    <w:p w14:paraId="00882BDE" w14:textId="77777777" w:rsidR="00E84DB1" w:rsidRPr="00CC4932"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p>
    <w:p w14:paraId="0307A584" w14:textId="77777777" w:rsidR="00E84DB1" w:rsidRPr="000D4118" w:rsidRDefault="00E84DB1" w:rsidP="00C7130A">
      <w:pPr>
        <w:tabs>
          <w:tab w:val="left" w:pos="454"/>
        </w:tabs>
        <w:spacing w:after="60"/>
        <w:ind w:left="550" w:hanging="550"/>
        <w:jc w:val="both"/>
        <w:rPr>
          <w:rFonts w:eastAsia="Times New Roman"/>
          <w:bCs/>
          <w:kern w:val="0"/>
          <w:rtl/>
          <w14:ligatures w14:val="none"/>
        </w:rPr>
      </w:pPr>
      <w:r w:rsidRPr="000D4118">
        <w:rPr>
          <w:rFonts w:eastAsia="Times New Roman"/>
          <w:bCs/>
          <w:kern w:val="0"/>
          <w:rtl/>
          <w14:ligatures w14:val="none"/>
        </w:rPr>
        <w:t>ب.</w:t>
      </w:r>
      <w:r w:rsidRPr="000D4118">
        <w:rPr>
          <w:rFonts w:eastAsia="Times New Roman"/>
          <w:bCs/>
          <w:kern w:val="0"/>
          <w:rtl/>
          <w14:ligatures w14:val="none"/>
        </w:rPr>
        <w:tab/>
        <w:t>نظرية الفوضى الأولية (النظرة التقليدية)</w:t>
      </w:r>
    </w:p>
    <w:p w14:paraId="57655F77"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D4118">
        <w:rPr>
          <w:rFonts w:eastAsia="Times New Roman"/>
          <w:kern w:val="0"/>
          <w:rtl/>
          <w:lang w:bidi="ar-JO"/>
          <w14:ligatures w14:val="none"/>
        </w:rPr>
        <w:t>1.</w:t>
      </w:r>
      <w:r w:rsidRPr="000D4118">
        <w:rPr>
          <w:rFonts w:eastAsia="Times New Roman"/>
          <w:kern w:val="0"/>
          <w:rtl/>
          <w:lang w:bidi="ar-JO"/>
          <w14:ligatures w14:val="none"/>
        </w:rPr>
        <w:tab/>
        <w:t>وصفُها</w:t>
      </w:r>
    </w:p>
    <w:p w14:paraId="670C4B81"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D4118">
        <w:rPr>
          <w:rFonts w:eastAsia="Times New Roman"/>
          <w:kern w:val="0"/>
          <w:rtl/>
          <w:lang w:bidi="ar-JO"/>
          <w14:ligatures w14:val="none"/>
        </w:rPr>
        <w:t xml:space="preserve">تفسر هذه النظرية تكوين 1: 1 كإعلان أن الله خلق الكتلة الأصلية المسمّاة السماء والأرض من العدم، وتفسّر 1: 2 </w:t>
      </w:r>
      <w:r w:rsidRPr="000D4118">
        <w:rPr>
          <w:rFonts w:eastAsia="Times New Roman"/>
          <w:kern w:val="0"/>
          <w:u w:val="single"/>
          <w:rtl/>
          <w:lang w:bidi="ar-JO"/>
          <w14:ligatures w14:val="none"/>
        </w:rPr>
        <w:t xml:space="preserve">كتوضيح </w:t>
      </w:r>
      <w:r w:rsidRPr="000D4118">
        <w:rPr>
          <w:rFonts w:eastAsia="Times New Roman"/>
          <w:kern w:val="0"/>
          <w:rtl/>
          <w:lang w:bidi="ar-JO"/>
          <w14:ligatures w14:val="none"/>
        </w:rPr>
        <w:t>لفكرة أنه عندما خرجت هذه الكتلة من يد الخالق، كانت بلا شكل وغير مملوءة.  ومن هنا،تشير الآية الثانية إلى المادة الأصلية التي بدأ الله يخلق منها العناصر المنظمة المذكورة في الآيات 3-31، وهي ليست سيئة أو شريرة بالضرورة، بل ناقصة أو غير كاملة.</w:t>
      </w:r>
    </w:p>
    <w:p w14:paraId="5DB97B56"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KW"/>
          <w14:ligatures w14:val="none"/>
        </w:rPr>
      </w:pPr>
      <w:r w:rsidRPr="000D4118">
        <w:rPr>
          <w:rFonts w:eastAsia="Times New Roman"/>
          <w:kern w:val="0"/>
          <w:rtl/>
          <w:lang w:bidi="ar-JO"/>
          <w14:ligatures w14:val="none"/>
        </w:rPr>
        <w:lastRenderedPageBreak/>
        <w:t>2.</w:t>
      </w:r>
      <w:r w:rsidRPr="000D4118">
        <w:rPr>
          <w:rFonts w:eastAsia="Times New Roman"/>
          <w:kern w:val="0"/>
          <w:rtl/>
          <w:lang w:bidi="ar-JO"/>
          <w14:ligatures w14:val="none"/>
        </w:rPr>
        <w:tab/>
        <w:t>دعاة هذه النظرية: لوثر، كالفن، كيل، كاسوتو، ليوبولد، يونغ، رايري، مارك روكر.</w:t>
      </w:r>
      <w:r w:rsidRPr="000D4118">
        <w:rPr>
          <w:rFonts w:eastAsia="Times New Roman"/>
          <w:kern w:val="0"/>
          <w:vertAlign w:val="superscript"/>
          <w:rtl/>
          <w:lang w:bidi="ar-JO"/>
          <w14:ligatures w14:val="none"/>
        </w:rPr>
        <w:footnoteReference w:customMarkFollows="1" w:id="16"/>
        <w:t>4</w:t>
      </w:r>
    </w:p>
    <w:p w14:paraId="15C4DB4E"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KW"/>
          <w14:ligatures w14:val="none"/>
        </w:rPr>
      </w:pPr>
    </w:p>
    <w:p w14:paraId="3C1E0505"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D4118">
        <w:rPr>
          <w:rFonts w:eastAsia="Times New Roman"/>
          <w:kern w:val="0"/>
          <w:rtl/>
          <w:lang w:bidi="ar-JO"/>
          <w14:ligatures w14:val="none"/>
        </w:rPr>
        <w:t>3.</w:t>
      </w:r>
      <w:r w:rsidRPr="000D4118">
        <w:rPr>
          <w:rFonts w:eastAsia="Times New Roman"/>
          <w:kern w:val="0"/>
          <w:rtl/>
          <w:lang w:bidi="ar-JO"/>
          <w14:ligatures w14:val="none"/>
        </w:rPr>
        <w:tab/>
        <w:t>حجج داعمة لهذه النظرية:</w:t>
      </w:r>
    </w:p>
    <w:p w14:paraId="66B367CE"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D4118">
        <w:rPr>
          <w:rFonts w:eastAsia="Times New Roman"/>
          <w:kern w:val="0"/>
          <w:rtl/>
          <w:lang w:bidi="ar-JO"/>
          <w14:ligatures w14:val="none"/>
        </w:rPr>
        <w:t>أ.</w:t>
      </w:r>
      <w:r w:rsidRPr="000D4118">
        <w:rPr>
          <w:rFonts w:eastAsia="Times New Roman"/>
          <w:kern w:val="0"/>
          <w:rtl/>
          <w:lang w:bidi="ar-JO"/>
          <w14:ligatures w14:val="none"/>
        </w:rPr>
        <w:tab/>
        <w:t>كانت هذه على الدوام النظرية التقليدية لدى المسيحيّين.</w:t>
      </w:r>
    </w:p>
    <w:p w14:paraId="0BA2459F"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KW"/>
          <w14:ligatures w14:val="none"/>
        </w:rPr>
      </w:pPr>
      <w:r w:rsidRPr="000D4118">
        <w:rPr>
          <w:rFonts w:eastAsia="Times New Roman"/>
          <w:kern w:val="0"/>
          <w:rtl/>
          <w:lang w:bidi="ar-JO"/>
          <w14:ligatures w14:val="none"/>
        </w:rPr>
        <w:t>ب.</w:t>
      </w:r>
      <w:r w:rsidRPr="000D4118">
        <w:rPr>
          <w:rFonts w:eastAsia="Times New Roman"/>
          <w:kern w:val="0"/>
          <w:rtl/>
          <w:lang w:bidi="ar-JO"/>
          <w14:ligatures w14:val="none"/>
        </w:rPr>
        <w:tab/>
        <w:t xml:space="preserve">تدعم هذه النظرية قواعد اللغة العبرية كما هي في كتاب </w:t>
      </w:r>
      <w:r w:rsidRPr="000D4118">
        <w:rPr>
          <w:rFonts w:eastAsia="Times New Roman"/>
          <w:i/>
          <w:iCs/>
          <w:kern w:val="0"/>
          <w14:ligatures w14:val="none"/>
        </w:rPr>
        <w:t>Gesenius-Kautzsch-Cowley</w:t>
      </w:r>
      <w:r w:rsidRPr="000D4118">
        <w:rPr>
          <w:rFonts w:eastAsia="Times New Roman"/>
          <w:kern w:val="0"/>
          <w14:ligatures w14:val="none"/>
        </w:rPr>
        <w:t xml:space="preserve"> (Paragraph 142c) </w:t>
      </w:r>
      <w:r w:rsidRPr="000D4118">
        <w:rPr>
          <w:rFonts w:eastAsia="Times New Roman"/>
          <w:kern w:val="0"/>
          <w:rtl/>
          <w:lang w:bidi="ar-KW"/>
          <w14:ligatures w14:val="none"/>
        </w:rPr>
        <w:t xml:space="preserve"> الذي حول القواعد العبرية.</w:t>
      </w:r>
    </w:p>
    <w:p w14:paraId="6B559AEF"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D4118">
        <w:rPr>
          <w:rFonts w:eastAsia="Times New Roman"/>
          <w:kern w:val="0"/>
          <w:rtl/>
          <w:lang w:bidi="ar-JO"/>
          <w14:ligatures w14:val="none"/>
        </w:rPr>
        <w:t>جـ.</w:t>
      </w:r>
      <w:r w:rsidRPr="000D4118">
        <w:rPr>
          <w:rFonts w:eastAsia="Times New Roman"/>
          <w:kern w:val="0"/>
          <w:rtl/>
          <w:lang w:bidi="ar-JO"/>
          <w14:ligatures w14:val="none"/>
        </w:rPr>
        <w:tab/>
        <w:t>مقنعة لاهوتياً.  إذ تؤكد هذه النظرية أن الله موجود قبل كل شيء، ثم قام بخلق المادة بإمكاناتها للحياة.</w:t>
      </w:r>
    </w:p>
    <w:p w14:paraId="4E25A92D"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D4118">
        <w:rPr>
          <w:rFonts w:eastAsia="Times New Roman"/>
          <w:kern w:val="0"/>
          <w:rtl/>
          <w:lang w:bidi="ar-JO"/>
          <w14:ligatures w14:val="none"/>
        </w:rPr>
        <w:t>د.</w:t>
      </w:r>
      <w:r w:rsidRPr="000D4118">
        <w:rPr>
          <w:rFonts w:eastAsia="Times New Roman"/>
          <w:kern w:val="0"/>
          <w:rtl/>
          <w:lang w:bidi="ar-JO"/>
          <w14:ligatures w14:val="none"/>
        </w:rPr>
        <w:tab/>
        <w:t>إن التعابير المستخدمة في الآية الثانية لا توحي بالشر بالضرورة، ولا يلزم أن تشير إلى الدينونة.</w:t>
      </w:r>
    </w:p>
    <w:p w14:paraId="15D801FC"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i/>
          <w:iCs/>
          <w:kern w:val="0"/>
          <w:rtl/>
          <w14:ligatures w14:val="none"/>
        </w:rPr>
      </w:pPr>
      <w:r w:rsidRPr="000D4118">
        <w:rPr>
          <w:rFonts w:eastAsia="Times New Roman"/>
          <w:kern w:val="0"/>
          <w:rtl/>
          <w:lang w:bidi="ar-JO"/>
          <w14:ligatures w14:val="none"/>
        </w:rPr>
        <w:t>ملاحظة: سأقدم حججاً داعمة أخرى في النقاش التالي.</w:t>
      </w:r>
      <w:r w:rsidRPr="000D4118">
        <w:rPr>
          <w:rFonts w:eastAsia="Times New Roman"/>
          <w:i/>
          <w:iCs/>
          <w:kern w:val="0"/>
          <w14:ligatures w14:val="none"/>
        </w:rPr>
        <w:t xml:space="preserve"> </w:t>
      </w:r>
    </w:p>
    <w:p w14:paraId="1AD0E3D6"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5AC14090" w14:textId="77777777" w:rsidR="00E84DB1" w:rsidRPr="000D4118" w:rsidRDefault="00E84DB1" w:rsidP="00C7130A">
      <w:pPr>
        <w:tabs>
          <w:tab w:val="left" w:pos="454"/>
        </w:tabs>
        <w:spacing w:after="60"/>
        <w:ind w:left="550" w:hanging="550"/>
        <w:jc w:val="both"/>
        <w:rPr>
          <w:rFonts w:eastAsia="Times New Roman"/>
          <w:bCs/>
          <w:kern w:val="0"/>
          <w:rtl/>
          <w14:ligatures w14:val="none"/>
        </w:rPr>
      </w:pPr>
      <w:r w:rsidRPr="000D4118">
        <w:rPr>
          <w:rFonts w:eastAsia="Times New Roman"/>
          <w:bCs/>
          <w:kern w:val="0"/>
          <w:rtl/>
          <w14:ligatures w14:val="none"/>
        </w:rPr>
        <w:t>ج.</w:t>
      </w:r>
      <w:r w:rsidRPr="000D4118">
        <w:rPr>
          <w:rFonts w:eastAsia="Times New Roman"/>
          <w:bCs/>
          <w:kern w:val="0"/>
          <w:rtl/>
          <w14:ligatures w14:val="none"/>
        </w:rPr>
        <w:tab/>
        <w:t xml:space="preserve">نظرية فوضى ما قبل الخلق </w:t>
      </w:r>
    </w:p>
    <w:p w14:paraId="42D6BA84"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D4118">
        <w:rPr>
          <w:rFonts w:eastAsia="Times New Roman"/>
          <w:kern w:val="0"/>
          <w:rtl/>
          <w:lang w:bidi="ar-JO"/>
          <w14:ligatures w14:val="none"/>
        </w:rPr>
        <w:t>1.</w:t>
      </w:r>
      <w:r w:rsidRPr="000D4118">
        <w:rPr>
          <w:rFonts w:eastAsia="Times New Roman"/>
          <w:kern w:val="0"/>
          <w:rtl/>
          <w:lang w:bidi="ar-JO"/>
          <w14:ligatures w14:val="none"/>
        </w:rPr>
        <w:tab/>
        <w:t>وصفها: تَعتبر هذه النظرية تكوين 1: 1 جملة تلخيصية أو مقدمة رسمية يتم شرحها وتفسيرها في بقية الرواية (وليست خطوة أولى في الخلق، بل تلخيص للأصحاح الأول كله).  تمثّل الآية الثانية حالة فوضوية موجودة قبل قيام الله بعملية الخلق المذكورة في الأصحاح الأول. أمّا عملية الخلق الفعلية فلا تبدأ إلاّ بالآية الثالثة.</w:t>
      </w:r>
    </w:p>
    <w:p w14:paraId="42BE2A80"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14:ligatures w14:val="none"/>
        </w:rPr>
      </w:pPr>
      <w:r w:rsidRPr="000D4118">
        <w:rPr>
          <w:rFonts w:eastAsia="Times New Roman"/>
          <w:kern w:val="0"/>
          <w:rtl/>
          <w:lang w:bidi="ar-JO"/>
          <w14:ligatures w14:val="none"/>
        </w:rPr>
        <w:t>2.</w:t>
      </w:r>
      <w:r w:rsidRPr="000D4118">
        <w:rPr>
          <w:rFonts w:eastAsia="Times New Roman"/>
          <w:kern w:val="0"/>
          <w:rtl/>
          <w:lang w:bidi="ar-JO"/>
          <w14:ligatures w14:val="none"/>
        </w:rPr>
        <w:tab/>
        <w:t>دعاة هذه النظرية: بروس، والكي</w:t>
      </w:r>
      <w:r w:rsidRPr="000D4118">
        <w:rPr>
          <w:rFonts w:eastAsia="Times New Roman"/>
          <w:kern w:val="0"/>
          <w:vertAlign w:val="superscript"/>
          <w:rtl/>
          <w:lang w:bidi="ar-JO"/>
          <w14:ligatures w14:val="none"/>
        </w:rPr>
        <w:footnoteReference w:customMarkFollows="1" w:id="17"/>
        <w:t>5</w:t>
      </w:r>
      <w:r w:rsidRPr="000D4118">
        <w:rPr>
          <w:rFonts w:eastAsia="Times New Roman"/>
          <w:kern w:val="0"/>
          <w:rtl/>
          <w:lang w:bidi="ar-JO"/>
          <w14:ligatures w14:val="none"/>
        </w:rPr>
        <w:t>، آلان روس</w:t>
      </w:r>
      <w:r w:rsidRPr="000D4118">
        <w:rPr>
          <w:rFonts w:eastAsia="Times New Roman"/>
          <w:kern w:val="0"/>
          <w:rtl/>
          <w14:ligatures w14:val="none"/>
        </w:rPr>
        <w:t>.</w:t>
      </w:r>
      <w:r w:rsidRPr="000D4118">
        <w:rPr>
          <w:rFonts w:eastAsia="Times New Roman"/>
          <w:kern w:val="0"/>
          <w:vertAlign w:val="superscript"/>
          <w:rtl/>
          <w:lang w:bidi="ar-JO"/>
          <w14:ligatures w14:val="none"/>
        </w:rPr>
        <w:footnoteReference w:customMarkFollows="1" w:id="18"/>
        <w:t>6</w:t>
      </w:r>
    </w:p>
    <w:p w14:paraId="14715475"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D4118">
        <w:rPr>
          <w:rFonts w:eastAsia="Times New Roman"/>
          <w:kern w:val="0"/>
          <w:rtl/>
          <w:lang w:bidi="ar-JO"/>
          <w14:ligatures w14:val="none"/>
        </w:rPr>
        <w:t>3.</w:t>
      </w:r>
      <w:r w:rsidRPr="000D4118">
        <w:rPr>
          <w:rFonts w:eastAsia="Times New Roman"/>
          <w:kern w:val="0"/>
          <w:rtl/>
          <w:lang w:bidi="ar-JO"/>
          <w14:ligatures w14:val="none"/>
        </w:rPr>
        <w:tab/>
        <w:t xml:space="preserve">حجج داعمة </w:t>
      </w:r>
    </w:p>
    <w:p w14:paraId="5AC1CBD1"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D4118">
        <w:rPr>
          <w:rFonts w:eastAsia="Times New Roman"/>
          <w:kern w:val="0"/>
          <w:rtl/>
          <w:lang w:bidi="ar-JO"/>
          <w14:ligatures w14:val="none"/>
        </w:rPr>
        <w:t>أ.</w:t>
      </w:r>
      <w:r w:rsidRPr="000D4118">
        <w:rPr>
          <w:rFonts w:eastAsia="Times New Roman"/>
          <w:kern w:val="0"/>
          <w:rtl/>
          <w:lang w:bidi="ar-JO"/>
          <w14:ligatures w14:val="none"/>
        </w:rPr>
        <w:tab/>
        <w:t>تشكل تكوين 1: 1 جملة تلخيصية.</w:t>
      </w:r>
    </w:p>
    <w:p w14:paraId="57B4FD6C"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D4118">
        <w:rPr>
          <w:rFonts w:eastAsia="Times New Roman"/>
          <w:kern w:val="0"/>
          <w:rtl/>
          <w:lang w:bidi="ar-JO"/>
          <w14:ligatures w14:val="none"/>
        </w:rPr>
        <w:t>ب.</w:t>
      </w:r>
      <w:r w:rsidRPr="000D4118">
        <w:rPr>
          <w:rFonts w:eastAsia="Times New Roman"/>
          <w:kern w:val="0"/>
          <w:rtl/>
          <w:lang w:bidi="ar-JO"/>
          <w14:ligatures w14:val="none"/>
        </w:rPr>
        <w:tab/>
        <w:t xml:space="preserve">لا يجب أن يُفهَم الفعل العبري </w:t>
      </w:r>
      <w:r w:rsidRPr="000D4118">
        <w:rPr>
          <w:rFonts w:eastAsia="Times New Roman"/>
          <w:i/>
          <w:iCs/>
          <w:kern w:val="0"/>
          <w:rtl/>
          <w:lang w:bidi="ar-JO"/>
          <w14:ligatures w14:val="none"/>
        </w:rPr>
        <w:t>بارا</w:t>
      </w:r>
      <w:r w:rsidRPr="000D4118">
        <w:rPr>
          <w:rFonts w:eastAsia="Times New Roman"/>
          <w:kern w:val="0"/>
          <w:rtl/>
          <w:lang w:bidi="ar-JO"/>
          <w14:ligatures w14:val="none"/>
        </w:rPr>
        <w:t xml:space="preserve"> (</w:t>
      </w:r>
      <w:r w:rsidRPr="000D4118">
        <w:rPr>
          <w:rFonts w:eastAsia="Times New Roman"/>
          <w:kern w:val="0"/>
          <w14:ligatures w14:val="none"/>
        </w:rPr>
        <w:t>ar*B* (B*r*a)</w:t>
      </w:r>
      <w:r w:rsidRPr="000D4118">
        <w:rPr>
          <w:rFonts w:eastAsia="Times New Roman"/>
          <w:kern w:val="0"/>
          <w:rtl/>
          <w:lang w:bidi="ar-JO"/>
          <w14:ligatures w14:val="none"/>
        </w:rPr>
        <w:t>) في تكوين 1: 1 على أنها خلق من العدم</w:t>
      </w:r>
      <w:r w:rsidRPr="000D4118">
        <w:rPr>
          <w:rFonts w:eastAsia="Times New Roman"/>
          <w:kern w:val="0"/>
          <w:rtl/>
          <w14:ligatures w14:val="none"/>
        </w:rPr>
        <w:t xml:space="preserve"> </w:t>
      </w:r>
      <w:r w:rsidRPr="000D4118">
        <w:rPr>
          <w:rFonts w:eastAsia="Times New Roman"/>
          <w:kern w:val="0"/>
          <w14:ligatures w14:val="none"/>
        </w:rPr>
        <w:t>(</w:t>
      </w:r>
      <w:r w:rsidRPr="000D4118">
        <w:rPr>
          <w:rFonts w:eastAsia="Times New Roman"/>
          <w:i/>
          <w:iCs/>
          <w:kern w:val="0"/>
          <w14:ligatures w14:val="none"/>
        </w:rPr>
        <w:t>creatio ex nihilo</w:t>
      </w:r>
      <w:r w:rsidRPr="000D4118">
        <w:rPr>
          <w:rFonts w:eastAsia="Times New Roman"/>
          <w:kern w:val="0"/>
          <w14:ligatures w14:val="none"/>
        </w:rPr>
        <w:t>)</w:t>
      </w:r>
      <w:r w:rsidRPr="000D4118">
        <w:rPr>
          <w:rFonts w:eastAsia="Times New Roman"/>
          <w:kern w:val="0"/>
          <w:rtl/>
          <w:lang w:bidi="ar-JO"/>
          <w14:ligatures w14:val="none"/>
        </w:rPr>
        <w:t>.</w:t>
      </w:r>
    </w:p>
    <w:p w14:paraId="556AF2AC"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D4118">
        <w:rPr>
          <w:rFonts w:eastAsia="Times New Roman"/>
          <w:kern w:val="0"/>
          <w:rtl/>
          <w:lang w:bidi="ar-JO"/>
          <w14:ligatures w14:val="none"/>
        </w:rPr>
        <w:t>جـ.</w:t>
      </w:r>
      <w:r w:rsidRPr="000D4118">
        <w:rPr>
          <w:rFonts w:eastAsia="Times New Roman"/>
          <w:kern w:val="0"/>
          <w:rtl/>
          <w:lang w:bidi="ar-JO"/>
          <w14:ligatures w14:val="none"/>
        </w:rPr>
        <w:tab/>
        <w:t>تتحدث تكوين 1: 2 ليس عن شيء غير حسن فحسب، لكن شرّير أيضاً (كما يدّعي البعض).</w:t>
      </w:r>
    </w:p>
    <w:p w14:paraId="02EC938B"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p>
    <w:p w14:paraId="1DB29425"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p>
    <w:p w14:paraId="66EA19C5" w14:textId="77777777" w:rsidR="00E84DB1" w:rsidRPr="000D4118" w:rsidRDefault="00E84DB1" w:rsidP="000558B7">
      <w:pPr>
        <w:pStyle w:val="Heading3"/>
        <w:rPr>
          <w:rtl/>
          <w:lang w:bidi="ar-JO"/>
        </w:rPr>
      </w:pPr>
      <w:bookmarkStart w:id="84" w:name="_Toc193030928"/>
      <w:r w:rsidRPr="000D4118">
        <w:rPr>
          <w:rtl/>
          <w:lang w:bidi="ar-JO"/>
        </w:rPr>
        <w:t>4.</w:t>
      </w:r>
      <w:r w:rsidRPr="000D4118">
        <w:rPr>
          <w:rtl/>
          <w:lang w:bidi="ar-JO"/>
        </w:rPr>
        <w:tab/>
        <w:t>تقويم نظريات الخليقة</w:t>
      </w:r>
      <w:bookmarkEnd w:id="84"/>
    </w:p>
    <w:p w14:paraId="3DEB7B99" w14:textId="77777777" w:rsidR="00E84DB1" w:rsidRPr="000D4118" w:rsidRDefault="00E84DB1" w:rsidP="00C7130A">
      <w:pPr>
        <w:tabs>
          <w:tab w:val="left" w:pos="454"/>
        </w:tabs>
        <w:spacing w:after="60"/>
        <w:ind w:left="550" w:hanging="550"/>
        <w:jc w:val="both"/>
        <w:rPr>
          <w:rFonts w:eastAsia="Times New Roman"/>
          <w:bCs/>
          <w:kern w:val="0"/>
          <w:rtl/>
          <w14:ligatures w14:val="none"/>
        </w:rPr>
      </w:pPr>
      <w:r w:rsidRPr="000D4118">
        <w:rPr>
          <w:rFonts w:eastAsia="Times New Roman"/>
          <w:bCs/>
          <w:kern w:val="0"/>
          <w:rtl/>
          <w14:ligatures w14:val="none"/>
        </w:rPr>
        <w:t>أ.</w:t>
      </w:r>
      <w:r w:rsidRPr="000D4118">
        <w:rPr>
          <w:rFonts w:eastAsia="Times New Roman"/>
          <w:bCs/>
          <w:kern w:val="0"/>
          <w:rtl/>
          <w14:ligatures w14:val="none"/>
        </w:rPr>
        <w:tab/>
        <w:t>"السماوات والأرض" (الآية 1)</w:t>
      </w:r>
    </w:p>
    <w:p w14:paraId="0DF17F0B"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D4118">
        <w:rPr>
          <w:rFonts w:eastAsia="Times New Roman"/>
          <w:kern w:val="0"/>
          <w:rtl/>
          <w:lang w:bidi="ar-JO"/>
          <w14:ligatures w14:val="none"/>
        </w:rPr>
        <w:t>يزعم والكي أن تكوين 1: 1 لا تصف الخليقة الأصلية (أي خليقة سابقة لتلك المذكورة في 1: 3 فصاعداً) ولا تتحدث عن خطوة أولى في عملية الخلق.  لكنه يقول إن تكوين 1: 1 جملة تلخيصية لكل عملية الخلق المذكورة في 1: 3-31.</w:t>
      </w:r>
      <w:r w:rsidRPr="000D4118">
        <w:rPr>
          <w:rFonts w:eastAsia="Times New Roman"/>
          <w:kern w:val="0"/>
          <w14:ligatures w14:val="none"/>
        </w:rPr>
        <w:t xml:space="preserve"> </w:t>
      </w:r>
      <w:r w:rsidRPr="000D4118">
        <w:rPr>
          <w:rFonts w:eastAsia="Times New Roman"/>
          <w:kern w:val="0"/>
          <w:vertAlign w:val="superscript"/>
          <w:rtl/>
          <w:lang w:bidi="ar-JO"/>
          <w14:ligatures w14:val="none"/>
        </w:rPr>
        <w:footnoteReference w:customMarkFollows="1" w:id="19"/>
        <w:t>7</w:t>
      </w:r>
      <w:r w:rsidRPr="000D4118">
        <w:rPr>
          <w:rFonts w:eastAsia="Times New Roman"/>
          <w:kern w:val="0"/>
          <w:rtl/>
          <w:lang w:bidi="ar-KW"/>
          <w14:ligatures w14:val="none"/>
        </w:rPr>
        <w:t xml:space="preserve">  </w:t>
      </w:r>
      <w:r w:rsidRPr="000D4118">
        <w:rPr>
          <w:rFonts w:eastAsia="Times New Roman"/>
          <w:kern w:val="0"/>
          <w:rtl/>
          <w:lang w:bidi="ar-JO"/>
          <w14:ligatures w14:val="none"/>
        </w:rPr>
        <w:t>تشكّل هاتان الكلمتان (السماوات والأرض) طباقاً، أي كلمتين متقابلتين من أجل الإشارة إلى الشمولية أو الكلية (قارن مزمور 139: 2).  وبهذه الصفة فإن العبارة لا تشير إلى جانب واحد من الخليقة، بل إلى الخليقة كلّها.  ويشير والكي دعماً لرأيه إلى استخدام نفس العبارة في تكوين 2: 1 التي تتحدث عن كل عمل الخلق في الأصحاح الأول.  وفضلاً عن ذلك، فإن تعبير "السماوات والأرض" يشير إلى عمل كل الأيام الستة (لا إلى المرحلة الأولى فحسب)، وتبرهن خروج 31: 17 على ذلك، "... لأنه في ستة أيام صنع الرب السماوات والأرض."  وردّاً على ذلك، يمكننا أن نبيين أن تكوين 2: 1 ليست مطابقة تماماً: "فأُكملت السماوات والأرض وكل جندها."</w:t>
      </w:r>
    </w:p>
    <w:p w14:paraId="04A3700A"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D0DD51A"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D4118">
        <w:rPr>
          <w:rFonts w:eastAsia="Times New Roman"/>
          <w:kern w:val="0"/>
          <w:rtl/>
          <w:lang w:bidi="ar-JO"/>
          <w14:ligatures w14:val="none"/>
        </w:rPr>
        <w:t>يقول والكي إن تعبير "السماوات والأرض" يشير إلى الكون المنظّم (كوزموس)، ذاك الذي نتج عن عمل الله مدة ستة أيام.  ويبيّن أن الكلم</w:t>
      </w:r>
      <w:r w:rsidRPr="000D4118">
        <w:rPr>
          <w:rFonts w:eastAsia="Times New Roman"/>
          <w:kern w:val="0"/>
          <w:rtl/>
          <w14:ligatures w14:val="none"/>
        </w:rPr>
        <w:t>ة</w:t>
      </w:r>
      <w:r w:rsidRPr="000D4118">
        <w:rPr>
          <w:rFonts w:eastAsia="Times New Roman"/>
          <w:kern w:val="0"/>
          <w:rtl/>
          <w:lang w:bidi="ar-JO"/>
          <w14:ligatures w14:val="none"/>
        </w:rPr>
        <w:t xml:space="preserve"> اليوناني</w:t>
      </w:r>
      <w:r w:rsidRPr="000D4118">
        <w:rPr>
          <w:rFonts w:eastAsia="Times New Roman"/>
          <w:kern w:val="0"/>
          <w:rtl/>
          <w14:ligatures w14:val="none"/>
        </w:rPr>
        <w:t>ة</w:t>
      </w:r>
      <w:r w:rsidRPr="000D4118">
        <w:rPr>
          <w:rFonts w:eastAsia="Times New Roman"/>
          <w:kern w:val="0"/>
          <w:rtl/>
          <w:lang w:bidi="ar-JO"/>
          <w14:ligatures w14:val="none"/>
        </w:rPr>
        <w:t xml:space="preserve"> (</w:t>
      </w:r>
      <w:r w:rsidRPr="000D4118">
        <w:rPr>
          <w:rFonts w:eastAsia="Times New Roman"/>
          <w:kern w:val="0"/>
          <w14:ligatures w14:val="none"/>
        </w:rPr>
        <w:t>oJ kosmo"</w:t>
      </w:r>
      <w:r w:rsidRPr="000D4118">
        <w:rPr>
          <w:rFonts w:eastAsia="Times New Roman"/>
          <w:kern w:val="0"/>
          <w:rtl/>
          <w:lang w:bidi="ar-JO"/>
          <w14:ligatures w14:val="none"/>
        </w:rPr>
        <w:t xml:space="preserve">) المستخدمتين في حكمة سليمان 11: 17 تشيران إلى تكوين 1: 1.  وردّاً على هذا نقول إن الترجمة السبعينية </w:t>
      </w:r>
      <w:r w:rsidRPr="000D4118">
        <w:rPr>
          <w:rFonts w:eastAsia="Times New Roman"/>
          <w:kern w:val="0"/>
          <w:u w:val="single"/>
          <w:rtl/>
          <w:lang w:bidi="ar-JO"/>
          <w14:ligatures w14:val="none"/>
        </w:rPr>
        <w:t xml:space="preserve">لا </w:t>
      </w:r>
      <w:r w:rsidRPr="000D4118">
        <w:rPr>
          <w:rFonts w:eastAsia="Times New Roman"/>
          <w:kern w:val="0"/>
          <w:rtl/>
          <w:lang w:bidi="ar-JO"/>
          <w14:ligatures w14:val="none"/>
        </w:rPr>
        <w:t xml:space="preserve"> تترجم تكوين 1: 1 إلى الكلم</w:t>
      </w:r>
      <w:r w:rsidRPr="000D4118">
        <w:rPr>
          <w:rFonts w:eastAsia="Times New Roman"/>
          <w:kern w:val="0"/>
          <w:rtl/>
          <w14:ligatures w14:val="none"/>
        </w:rPr>
        <w:t>ة</w:t>
      </w:r>
      <w:r w:rsidRPr="000D4118">
        <w:rPr>
          <w:rFonts w:eastAsia="Times New Roman"/>
          <w:kern w:val="0"/>
          <w:rtl/>
          <w:lang w:bidi="ar-JO"/>
          <w14:ligatures w14:val="none"/>
        </w:rPr>
        <w:t xml:space="preserve"> (</w:t>
      </w:r>
      <w:r w:rsidRPr="000D4118">
        <w:rPr>
          <w:rFonts w:eastAsia="Times New Roman"/>
          <w:kern w:val="0"/>
          <w14:ligatures w14:val="none"/>
        </w:rPr>
        <w:t>oJ kosmo"</w:t>
      </w:r>
      <w:r w:rsidRPr="000D4118">
        <w:rPr>
          <w:rFonts w:eastAsia="Times New Roman"/>
          <w:kern w:val="0"/>
          <w:rtl/>
          <w:lang w:bidi="ar-JO"/>
          <w14:ligatures w14:val="none"/>
        </w:rPr>
        <w:t>).</w:t>
      </w:r>
    </w:p>
    <w:p w14:paraId="66B4F307"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6DC304E"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14:ligatures w14:val="none"/>
        </w:rPr>
      </w:pPr>
      <w:r w:rsidRPr="000D4118">
        <w:rPr>
          <w:rFonts w:eastAsia="Times New Roman"/>
          <w:kern w:val="0"/>
          <w:rtl/>
          <w:lang w:bidi="ar-JO"/>
          <w14:ligatures w14:val="none"/>
        </w:rPr>
        <w:t>إن كان والكي على صواب في أن تكوين 1: 1 تشكل تلخيصاً للأصحاح كله (وليس مرحلة في نشاط الخلق)، فإنه سيكون لرأيه تضمينات سلبية على النظريتين الأخريين: (1) لا يمكن أن تكون الآية الأولى عملية خلق أصلية كما تقول نظرية الثغرة، و(2) لا يمكن أن تكون الآية الأولى أول مرحلة في عملية الخلق كما تقول النظرة التقليدية (أي نظرية الفوضى الأولية).  ولا يعني هذا أن النظرية التقليدية مستحيلة، لكنها ستحتاج إلى تعديل.  فلا بد لها أن تعترف بأن "الأرض" المذكورة في الآية 2 تظهر فجأة في الصورة دون أية إشارة صريحة إلى خلقها (أي يجب افتراض خلق المادة الأصلية قبل تكوين 1: 3).  غير أن حجّة "الجملة التلخيصية" ليست مقنعة بالدرجة التي أراد أن يظهرها والكي (انظر النقاش الفني في القسم التالي).</w:t>
      </w:r>
      <w:r w:rsidRPr="000D4118">
        <w:rPr>
          <w:rFonts w:eastAsia="Times New Roman"/>
          <w:kern w:val="0"/>
          <w:vertAlign w:val="superscript"/>
          <w:rtl/>
          <w:lang w:bidi="ar-JO"/>
          <w14:ligatures w14:val="none"/>
        </w:rPr>
        <w:footnoteReference w:customMarkFollows="1" w:id="20"/>
        <w:t>8</w:t>
      </w:r>
    </w:p>
    <w:p w14:paraId="0835F53C"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D4118">
        <w:rPr>
          <w:rFonts w:eastAsia="Times New Roman"/>
          <w:kern w:val="0"/>
          <w:rtl/>
          <w:lang w:bidi="ar-JO"/>
          <w14:ligatures w14:val="none"/>
        </w:rPr>
        <w:lastRenderedPageBreak/>
        <w:t>إذا كانت النظرية التقليدية صحيحة في أن تكوين 1: 1 تمثّل المرحلة الأولى في عملية الخلق، عندئذ يوحي تعبير "السماوات والأرض" فوضى وغياب النظام (في ضوء الآية الثانية).  غير أن والتك يقول إن التعبير يعني عالماً كامل التنظيم، لا فوضى وغياب النظام.  لكن يمكن القول ردّاً على والتك إن هذا حدث فريد ويمكن رؤيته كمرحلة أولى من مراحل الخلق.</w:t>
      </w:r>
    </w:p>
    <w:p w14:paraId="190DAA8F"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C54E66C" w14:textId="77777777" w:rsidR="00E84DB1" w:rsidRPr="000D4118" w:rsidRDefault="00E84DB1" w:rsidP="00C7130A">
      <w:pPr>
        <w:tabs>
          <w:tab w:val="left" w:pos="454"/>
        </w:tabs>
        <w:spacing w:after="60"/>
        <w:ind w:left="550" w:hanging="550"/>
        <w:jc w:val="both"/>
        <w:rPr>
          <w:rFonts w:eastAsia="Times New Roman"/>
          <w:bCs/>
          <w:kern w:val="0"/>
          <w:rtl/>
          <w14:ligatures w14:val="none"/>
        </w:rPr>
      </w:pPr>
      <w:r w:rsidRPr="000D4118">
        <w:rPr>
          <w:rFonts w:eastAsia="Times New Roman"/>
          <w:bCs/>
          <w:kern w:val="0"/>
          <w:rtl/>
          <w14:ligatures w14:val="none"/>
        </w:rPr>
        <w:t>ب.</w:t>
      </w:r>
      <w:r w:rsidRPr="000D4118">
        <w:rPr>
          <w:rFonts w:eastAsia="Times New Roman"/>
          <w:bCs/>
          <w:kern w:val="0"/>
          <w:rtl/>
          <w14:ligatures w14:val="none"/>
        </w:rPr>
        <w:tab/>
        <w:t>العلاقة بين الآيات الثلاث الأولى من سفر التكوين (1: 1-3)</w:t>
      </w:r>
    </w:p>
    <w:p w14:paraId="20189919"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D4118">
        <w:rPr>
          <w:rFonts w:eastAsia="Times New Roman"/>
          <w:kern w:val="0"/>
          <w:rtl/>
          <w:lang w:bidi="ar-JO"/>
          <w14:ligatures w14:val="none"/>
        </w:rPr>
        <w:t xml:space="preserve">جرى بحث طويل حول العلاقة التركيبية الدقيقة للآيات الثلاث الأولى من سفر التكوين.  وتعتمد "نظرية الثغرة" على الرأي القائل إن الآية الثانية جملة تدل على الترتيب أو النتيجة بعد الآية الأولى، وتعتبر نظرية "الفوضى الأولية" الآية الثانية على أنها جملة ظرفية للجمل الرئيسية في الآية الأولى.  وتعتبر "نظرية فوضى ما قبل </w:t>
      </w:r>
      <w:r w:rsidRPr="000D4118">
        <w:rPr>
          <w:rFonts w:eastAsia="Times New Roman"/>
          <w:kern w:val="0"/>
          <w:rtl/>
          <w14:ligatures w14:val="none"/>
        </w:rPr>
        <w:t>ال</w:t>
      </w:r>
      <w:r w:rsidRPr="000D4118">
        <w:rPr>
          <w:rFonts w:eastAsia="Times New Roman"/>
          <w:kern w:val="0"/>
          <w:rtl/>
          <w:lang w:bidi="ar-JO"/>
          <w14:ligatures w14:val="none"/>
        </w:rPr>
        <w:t>خلق" الآية 2 على أنها جملة ظرفية ترتبط بالآية الثالثة.</w:t>
      </w:r>
    </w:p>
    <w:p w14:paraId="6AB62215"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8465CD6"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D4118">
        <w:rPr>
          <w:rFonts w:eastAsia="Times New Roman"/>
          <w:kern w:val="0"/>
          <w:rtl/>
          <w:lang w:bidi="ar-JO"/>
          <w14:ligatures w14:val="none"/>
        </w:rPr>
        <w:t>من منظور قواعد اللغة لا يمكن أن تكون الآية الثانية جملة دالة على الترتيب أو النتيجة بعد الآية الأولى.  تفترض "نظرية الثغرة" أن حرف "الواو" في بداية الآيتين 2 و3 متطابقان في المعنى، وأن كليهما يحمل فكرة التعاقب (بمعنى "وبعد ذلك").  غير أن "</w:t>
      </w:r>
      <w:r w:rsidRPr="000D4118">
        <w:rPr>
          <w:rFonts w:eastAsia="Times New Roman"/>
          <w:i/>
          <w:iCs/>
          <w:kern w:val="0"/>
          <w:rtl/>
          <w:lang w:bidi="ar-JO"/>
          <w14:ligatures w14:val="none"/>
        </w:rPr>
        <w:t>الواو</w:t>
      </w:r>
      <w:r w:rsidRPr="000D4118">
        <w:rPr>
          <w:rFonts w:eastAsia="Times New Roman"/>
          <w:kern w:val="0"/>
          <w:rtl/>
          <w:lang w:bidi="ar-JO"/>
          <w14:ligatures w14:val="none"/>
        </w:rPr>
        <w:t>" في الآية الثانية تفيد الفصل، ولا تقدم جملة مستقلة تفيد التعاقب.  فالآية الثانية هي جملة ظرفية (مرتبطة إمّا بالآية الأولى أو الثالثة).  و"</w:t>
      </w:r>
      <w:r w:rsidRPr="000D4118">
        <w:rPr>
          <w:rFonts w:eastAsia="Times New Roman"/>
          <w:i/>
          <w:iCs/>
          <w:kern w:val="0"/>
          <w:rtl/>
          <w:lang w:bidi="ar-JO"/>
          <w14:ligatures w14:val="none"/>
        </w:rPr>
        <w:t>الواو</w:t>
      </w:r>
      <w:r w:rsidRPr="000D4118">
        <w:rPr>
          <w:rFonts w:eastAsia="Times New Roman"/>
          <w:kern w:val="0"/>
          <w:rtl/>
          <w:lang w:bidi="ar-JO"/>
          <w14:ligatures w14:val="none"/>
        </w:rPr>
        <w:t>" في الآية الثالثة هي واو التتابع.  وهذا يجعل "نظرية الثغرة" بعيدة الاحتمال.</w:t>
      </w:r>
    </w:p>
    <w:p w14:paraId="6E647C72"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D4118">
        <w:rPr>
          <w:rFonts w:eastAsia="Times New Roman"/>
          <w:kern w:val="0"/>
          <w:rtl/>
          <w:lang w:bidi="ar-JO"/>
          <w14:ligatures w14:val="none"/>
        </w:rPr>
        <w:t xml:space="preserve">  </w:t>
      </w:r>
    </w:p>
    <w:p w14:paraId="2007012D"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D4118">
        <w:rPr>
          <w:rFonts w:eastAsia="Times New Roman"/>
          <w:kern w:val="0"/>
          <w:rtl/>
          <w:lang w:bidi="ar-JO"/>
          <w14:ligatures w14:val="none"/>
        </w:rPr>
        <w:t>يوجد ضعف آخر في "نظرية الثغرة"، ألا وهو محاولة ترجمة (</w:t>
      </w:r>
      <w:r w:rsidRPr="000D4118">
        <w:rPr>
          <w:rFonts w:eastAsia="Times New Roman"/>
          <w:kern w:val="0"/>
          <w14:ligatures w14:val="none"/>
        </w:rPr>
        <w:t>hyh</w:t>
      </w:r>
      <w:r w:rsidRPr="000D4118">
        <w:rPr>
          <w:rFonts w:eastAsia="Times New Roman"/>
          <w:kern w:val="0"/>
          <w:rtl/>
          <w:lang w:bidi="ar-JO"/>
          <w14:ligatures w14:val="none"/>
        </w:rPr>
        <w:t>) إلى "كان قد أصبح</w:t>
      </w:r>
      <w:r w:rsidRPr="000D4118">
        <w:rPr>
          <w:rFonts w:eastAsia="Times New Roman"/>
          <w:kern w:val="0"/>
          <w:rtl/>
          <w14:ligatures w14:val="none"/>
        </w:rPr>
        <w:t>.</w:t>
      </w:r>
      <w:r w:rsidRPr="000D4118">
        <w:rPr>
          <w:rFonts w:eastAsia="Times New Roman"/>
          <w:kern w:val="0"/>
          <w:rtl/>
          <w:lang w:bidi="ar-JO"/>
          <w14:ligatures w14:val="none"/>
        </w:rPr>
        <w:t>"</w:t>
      </w:r>
      <w:r w:rsidRPr="000D4118">
        <w:rPr>
          <w:rFonts w:eastAsia="Times New Roman"/>
          <w:kern w:val="0"/>
          <w:vertAlign w:val="superscript"/>
          <w:rtl/>
          <w:lang w:bidi="ar-JO"/>
          <w14:ligatures w14:val="none"/>
        </w:rPr>
        <w:footnoteReference w:customMarkFollows="1" w:id="21"/>
        <w:t>9</w:t>
      </w:r>
      <w:r w:rsidRPr="000D4118">
        <w:rPr>
          <w:rFonts w:eastAsia="Times New Roman"/>
          <w:kern w:val="0"/>
          <w:rtl/>
          <w:lang w:bidi="ar-JO"/>
          <w14:ligatures w14:val="none"/>
        </w:rPr>
        <w:t xml:space="preserve"> وهم يقومون بهذا في محاولة للتخفيف من المشكلة السابقة الذكر.  وعلى الرغم من أن هذه الفكرة ممكنة، إلاّ أنها بعيدة الاحتمال: (1) تحمل الجملة الظرفية المتشابهة في 2: 5 و3: 1 معنى الحالة ("كان")؛ و (2) لم تفهم أية ترجمة قديمة أو حديثة الفعل بمعنى "كان قد صار."</w:t>
      </w:r>
    </w:p>
    <w:p w14:paraId="47C4D438"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50E3D03"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D4118">
        <w:rPr>
          <w:rFonts w:eastAsia="Times New Roman"/>
          <w:kern w:val="0"/>
          <w:rtl/>
          <w:lang w:bidi="ar-JO"/>
          <w14:ligatures w14:val="none"/>
        </w:rPr>
        <w:t>ومن هنا، ومن منطلق قواعد اللغة، فإن النظريتين الأخريين تبدوان أكثر معقولية.  وكلاهما يقرّ بأن الآية الثانية جملة ظرفية، فالنظرة التقليدية (نظرية الفوضى الأولية) تعتبر الآية 2 جملة ظرفية مرتبطة بالآية 1، بينما تعتبرها نظرية فوضى ما قبل الخلق ظرفية مرتبطة بالآية 3.  وكلا الأمرين ممكن من ناحية قواعد اللغة.  ويفضل د. والكي (من دعاة نظرية ما قبل الخلق) اعتبار الآية 2 جملة ظرفية مرتبطة بالآية 3 بدلاً من الآية الأولى.  وهو يقدّم الأسباب التالية لذلك:</w:t>
      </w:r>
    </w:p>
    <w:p w14:paraId="6E477FAB"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D4118">
        <w:rPr>
          <w:rFonts w:eastAsia="Times New Roman"/>
          <w:kern w:val="0"/>
          <w:rtl/>
          <w:lang w:bidi="ar-JO"/>
          <w14:ligatures w14:val="none"/>
        </w:rPr>
        <w:lastRenderedPageBreak/>
        <w:t>1.</w:t>
      </w:r>
      <w:r w:rsidRPr="000D4118">
        <w:rPr>
          <w:rFonts w:eastAsia="Times New Roman"/>
          <w:kern w:val="0"/>
          <w:rtl/>
          <w:lang w:bidi="ar-JO"/>
          <w14:ligatures w14:val="none"/>
        </w:rPr>
        <w:tab/>
        <w:t>إن اعتبار تعبير "السماوات والأرض" إشارة إلى العالم المنظم المكتمل أمر غير منطقي (أن يكون لدينا الكل المخلوق قبل الجزء).  وبطبيعة الحال فإن هذه النقطة لا تكون مشروعة إلا إذا اعتُبرت الآية الأولى تضادّاً يشير إلى الكل (انظر القسم السابق).</w:t>
      </w:r>
    </w:p>
    <w:p w14:paraId="47F9AC52"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D4118">
        <w:rPr>
          <w:rFonts w:eastAsia="Times New Roman"/>
          <w:kern w:val="0"/>
          <w:rtl/>
          <w:lang w:bidi="ar-JO"/>
          <w14:ligatures w14:val="none"/>
        </w:rPr>
        <w:t>2.</w:t>
      </w:r>
      <w:r w:rsidRPr="000D4118">
        <w:rPr>
          <w:rFonts w:eastAsia="Times New Roman"/>
          <w:kern w:val="0"/>
          <w:rtl/>
          <w:lang w:bidi="ar-JO"/>
          <w14:ligatures w14:val="none"/>
        </w:rPr>
        <w:tab/>
        <w:t>إن القول بأن الله لم يخلق الأرض "خربة" (</w:t>
      </w:r>
      <w:r w:rsidRPr="000D4118">
        <w:rPr>
          <w:rFonts w:eastAsia="Times New Roman"/>
          <w:kern w:val="0"/>
          <w14:ligatures w14:val="none"/>
        </w:rPr>
        <w:t>Wht)</w:t>
      </w:r>
      <w:r w:rsidRPr="000D4118">
        <w:rPr>
          <w:rFonts w:eastAsia="Times New Roman"/>
          <w:kern w:val="0"/>
          <w:rtl/>
          <w:lang w:bidi="ar-JO"/>
          <w14:ligatures w14:val="none"/>
        </w:rPr>
        <w:t>) (إشعياء 45: 18) لا يسمح مطلقاً باعتبار الآية 2 جملة ظرفية مرتبطة بالآية 1 (لكن انظر التعليقات حول إشعياء 45: 18 لرأي بديل).</w:t>
      </w:r>
    </w:p>
    <w:p w14:paraId="5054A087"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D4118">
        <w:rPr>
          <w:rFonts w:eastAsia="Times New Roman"/>
          <w:kern w:val="0"/>
          <w:rtl/>
          <w:lang w:bidi="ar-JO"/>
          <w14:ligatures w14:val="none"/>
        </w:rPr>
        <w:t>3.</w:t>
      </w:r>
      <w:r w:rsidRPr="000D4118">
        <w:rPr>
          <w:rFonts w:eastAsia="Times New Roman"/>
          <w:kern w:val="0"/>
          <w:rtl/>
          <w:lang w:bidi="ar-JO"/>
          <w14:ligatures w14:val="none"/>
        </w:rPr>
        <w:tab/>
        <w:t>يجد الرأي القائل باعتبار الآية الأولى جملة تقديمية تلخيصية، والآية الثانية كجملة ظرفية مرتبطة بالآية 3، توازياً مع تكوين 2: 4-7 حيث نجد نفس التركيب:</w:t>
      </w:r>
    </w:p>
    <w:p w14:paraId="599F339B"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0D4118">
        <w:rPr>
          <w:rFonts w:eastAsia="Times New Roman"/>
          <w:kern w:val="0"/>
          <w:rtl/>
          <w:lang w:bidi="ar-JO"/>
          <w14:ligatures w14:val="none"/>
        </w:rPr>
        <w:t>2: 4</w:t>
      </w:r>
      <w:r w:rsidRPr="000D4118">
        <w:rPr>
          <w:rFonts w:eastAsia="Times New Roman"/>
          <w:kern w:val="0"/>
          <w:rtl/>
          <w:lang w:bidi="ar-JO"/>
          <w14:ligatures w14:val="none"/>
        </w:rPr>
        <w:tab/>
      </w:r>
      <w:r w:rsidRPr="000D4118">
        <w:rPr>
          <w:rFonts w:eastAsia="Times New Roman"/>
          <w:kern w:val="0"/>
          <w:rtl/>
          <w:lang w:bidi="ar-JO"/>
          <w14:ligatures w14:val="none"/>
        </w:rPr>
        <w:tab/>
        <w:t>جملة تلخيصية</w:t>
      </w:r>
    </w:p>
    <w:p w14:paraId="4B8BB5F9"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0D4118">
        <w:rPr>
          <w:rFonts w:eastAsia="Times New Roman"/>
          <w:kern w:val="0"/>
          <w:rtl/>
          <w:lang w:bidi="ar-JO"/>
          <w14:ligatures w14:val="none"/>
        </w:rPr>
        <w:t xml:space="preserve">2: 5-6  </w:t>
      </w:r>
      <w:r w:rsidRPr="000D4118">
        <w:rPr>
          <w:rFonts w:eastAsia="Times New Roman"/>
          <w:kern w:val="0"/>
          <w:rtl/>
          <w:lang w:bidi="ar-JO"/>
          <w14:ligatures w14:val="none"/>
        </w:rPr>
        <w:tab/>
        <w:t xml:space="preserve">جملة ظرفية </w:t>
      </w:r>
    </w:p>
    <w:p w14:paraId="49D0E42D"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0D4118">
        <w:rPr>
          <w:rFonts w:eastAsia="Times New Roman"/>
          <w:kern w:val="0"/>
          <w:rtl/>
          <w:lang w:bidi="ar-JO"/>
          <w14:ligatures w14:val="none"/>
        </w:rPr>
        <w:t>2: 7</w:t>
      </w:r>
      <w:r w:rsidRPr="000D4118">
        <w:rPr>
          <w:rFonts w:eastAsia="Times New Roman"/>
          <w:kern w:val="0"/>
          <w:rtl/>
          <w:lang w:bidi="ar-JO"/>
          <w14:ligatures w14:val="none"/>
        </w:rPr>
        <w:tab/>
      </w:r>
      <w:r w:rsidRPr="000D4118">
        <w:rPr>
          <w:rFonts w:eastAsia="Times New Roman"/>
          <w:kern w:val="0"/>
          <w:rtl/>
          <w:lang w:bidi="ar-JO"/>
          <w14:ligatures w14:val="none"/>
        </w:rPr>
        <w:tab/>
        <w:t>الجملة الرئيسية</w:t>
      </w:r>
    </w:p>
    <w:p w14:paraId="6DCE8091"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0D4118">
        <w:rPr>
          <w:rFonts w:eastAsia="Times New Roman"/>
          <w:kern w:val="0"/>
          <w:rtl/>
          <w:lang w:bidi="ar-JO"/>
          <w14:ligatures w14:val="none"/>
        </w:rPr>
        <w:t>وفضلاً عن ذلك، يذكر يونغ أمثلة كثيرة تتقدم فيها الجملة الظرفية على الفعل الأساسي.</w:t>
      </w:r>
      <w:r w:rsidRPr="000D4118">
        <w:rPr>
          <w:rFonts w:eastAsia="Times New Roman"/>
          <w:kern w:val="0"/>
          <w:vertAlign w:val="superscript"/>
          <w:rtl/>
          <w:lang w:bidi="ar-JO"/>
          <w14:ligatures w14:val="none"/>
        </w:rPr>
        <w:footnoteReference w:customMarkFollows="1" w:id="22"/>
        <w:t>10</w:t>
      </w:r>
    </w:p>
    <w:p w14:paraId="26271BEF"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56770F9"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D4118">
        <w:rPr>
          <w:rFonts w:eastAsia="Times New Roman"/>
          <w:kern w:val="0"/>
          <w:rtl/>
          <w:lang w:bidi="ar-JO"/>
          <w14:ligatures w14:val="none"/>
        </w:rPr>
        <w:t xml:space="preserve">يرد روكر (الذي يمثل وجهة النظر التقليدية) على مزاعم والكي هذه بالقول إنه رغم أن لهاتين الفقرتين تركيباً </w:t>
      </w:r>
      <w:r w:rsidRPr="000D4118">
        <w:rPr>
          <w:rFonts w:eastAsia="Times New Roman"/>
          <w:i/>
          <w:iCs/>
          <w:kern w:val="0"/>
          <w:rtl/>
          <w:lang w:bidi="ar-JO"/>
          <w14:ligatures w14:val="none"/>
        </w:rPr>
        <w:t>متشابهاً</w:t>
      </w:r>
      <w:r w:rsidRPr="000D4118">
        <w:rPr>
          <w:rFonts w:eastAsia="Times New Roman"/>
          <w:kern w:val="0"/>
          <w:rtl/>
          <w:lang w:bidi="ar-JO"/>
          <w14:ligatures w14:val="none"/>
        </w:rPr>
        <w:t>، إلاّ أنهما ليستا متطابقتين.  وفضلاً عن ذلك، لا يمكن للمرء أن يحسم المسألة على أساس أن كلا الفقرتين تحتوي على جملة ظرفية.  ويوضح روكر أن أيّاً من الأمثلة التي ذكرها يونغ لا يحمل نفس التركيب الموجود في تكوين 1: 2-3، أي جملة تتضمن "</w:t>
      </w:r>
      <w:r w:rsidRPr="000D4118">
        <w:rPr>
          <w:rFonts w:eastAsia="Times New Roman"/>
          <w:i/>
          <w:iCs/>
          <w:kern w:val="0"/>
          <w:rtl/>
          <w:lang w:bidi="ar-JO"/>
          <w14:ligatures w14:val="none"/>
        </w:rPr>
        <w:t>واو</w:t>
      </w:r>
      <w:r w:rsidRPr="000D4118">
        <w:rPr>
          <w:rFonts w:eastAsia="Times New Roman"/>
          <w:kern w:val="0"/>
          <w:rtl/>
          <w:lang w:bidi="ar-JO"/>
          <w14:ligatures w14:val="none"/>
        </w:rPr>
        <w:t>" الاستدراك متبوعة بواو التتابع الدالة على التعاقب مرتبطة بكلمة تالية.  ولا يقف الأمر عند هذا، لكن قضاة 8: 11 ويونان 3: 3 تتضمنان وضعين أكثر توازياً مع تكوين 1: 1-3 من تكوين 2: 4-7.  يقول روكر:</w:t>
      </w:r>
    </w:p>
    <w:p w14:paraId="2C65CF6F"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D4118">
        <w:rPr>
          <w:rFonts w:eastAsia="Times New Roman"/>
          <w:kern w:val="0"/>
          <w:rtl/>
          <w:lang w:bidi="ar-JO"/>
          <w14:ligatures w14:val="none"/>
        </w:rPr>
        <w:t>ومن ناحية أخرى يبدو أن آية مثل قضاة 8: 11 ويونان 3: 3 تحملان خطوط توازٍ أكثر فائدة للتركيب النحوي الموجود في تكوين 1: 1-2، حيث نجد فعلاً عادياً (ليس مصدراً أو اسم فاعل أو مفعول) متبوعاً بجملة تتضمن واو الاستدراك وفعل "هيا"               (</w:t>
      </w:r>
      <w:r w:rsidRPr="000D4118">
        <w:rPr>
          <w:rFonts w:eastAsia="Times New Roman"/>
          <w:kern w:val="0"/>
          <w14:ligatures w14:val="none"/>
        </w:rPr>
        <w:t>hy`h*</w:t>
      </w:r>
      <w:r w:rsidRPr="000D4118">
        <w:rPr>
          <w:rFonts w:eastAsia="Times New Roman"/>
          <w:kern w:val="0"/>
          <w:rtl/>
          <w:lang w:bidi="ar-JO"/>
          <w14:ligatures w14:val="none"/>
        </w:rPr>
        <w:t>). وتصف هذه الجملة لفظاً</w:t>
      </w:r>
      <w:r w:rsidRPr="000D4118">
        <w:rPr>
          <w:rFonts w:eastAsia="Times New Roman"/>
          <w:kern w:val="0"/>
          <w14:ligatures w14:val="none"/>
        </w:rPr>
        <w:t xml:space="preserve"> </w:t>
      </w:r>
      <w:r w:rsidRPr="000D4118">
        <w:rPr>
          <w:rFonts w:eastAsia="Times New Roman"/>
          <w:kern w:val="0"/>
          <w:rtl/>
          <w:lang w:bidi="ar-JO"/>
          <w14:ligatures w14:val="none"/>
        </w:rPr>
        <w:t>في الجملة الرئيسية السابقة لها مباشرة. فالجملة الرئيسية تقدم فكرة، بينما تصف الجملة الظرفية (كجملة معترضة) عنصراً في الجملة الرئيسية. ومن شأن هذا أن يؤكد التفسير التقليدي على أن الآية الأولى تحتوي على الجملة الرئيسية، حيث تتألف 1: 2 من ثلاث جمل ظرفية تابعة (غير رئيسية) تصف حالة الأرض المذكورة للتو بعد خلقِها.</w:t>
      </w:r>
      <w:r w:rsidRPr="000D4118">
        <w:rPr>
          <w:rFonts w:eastAsia="Times New Roman"/>
          <w:kern w:val="0"/>
          <w:vertAlign w:val="superscript"/>
          <w:rtl/>
          <w:lang w:bidi="ar-JO"/>
          <w14:ligatures w14:val="none"/>
        </w:rPr>
        <w:footnoteReference w:customMarkFollows="1" w:id="23"/>
        <w:t>11</w:t>
      </w:r>
    </w:p>
    <w:p w14:paraId="58D39A08"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5DE4346" w14:textId="77777777" w:rsidR="00E84DB1" w:rsidRPr="000D4118" w:rsidRDefault="00E84DB1" w:rsidP="00C7130A">
      <w:pPr>
        <w:tabs>
          <w:tab w:val="left" w:pos="454"/>
        </w:tabs>
        <w:spacing w:after="60"/>
        <w:ind w:left="550" w:hanging="550"/>
        <w:jc w:val="both"/>
        <w:rPr>
          <w:rFonts w:eastAsia="Times New Roman"/>
          <w:bCs/>
          <w:kern w:val="0"/>
          <w:rtl/>
          <w14:ligatures w14:val="none"/>
        </w:rPr>
      </w:pPr>
      <w:r w:rsidRPr="000D4118">
        <w:rPr>
          <w:rFonts w:eastAsia="Times New Roman"/>
          <w:bCs/>
          <w:kern w:val="0"/>
          <w:rtl/>
          <w14:ligatures w14:val="none"/>
        </w:rPr>
        <w:lastRenderedPageBreak/>
        <w:t>جـ.</w:t>
      </w:r>
      <w:r w:rsidRPr="000D4118">
        <w:rPr>
          <w:rFonts w:eastAsia="Times New Roman"/>
          <w:bCs/>
          <w:kern w:val="0"/>
          <w:rtl/>
          <w14:ligatures w14:val="none"/>
        </w:rPr>
        <w:tab/>
        <w:t>تضمينات الوضع الموصوف في تكوين 1: 2</w:t>
      </w:r>
    </w:p>
    <w:p w14:paraId="3AC797CA"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D4118">
        <w:rPr>
          <w:rFonts w:eastAsia="Times New Roman"/>
          <w:kern w:val="0"/>
          <w:rtl/>
          <w:lang w:bidi="ar-JO"/>
          <w14:ligatures w14:val="none"/>
        </w:rPr>
        <w:t>1.</w:t>
      </w:r>
      <w:r w:rsidRPr="000D4118">
        <w:rPr>
          <w:rFonts w:eastAsia="Times New Roman"/>
          <w:kern w:val="0"/>
          <w:rtl/>
          <w:lang w:bidi="ar-JO"/>
          <w14:ligatures w14:val="none"/>
        </w:rPr>
        <w:tab/>
        <w:t xml:space="preserve">إن إحدى المسائل الهامّة هي كيف يتوجب أن نفهم حالة الأرض كما هي موصوفة في 1: 2.  فهل هي مجرد خطوة أولية في نشاط الله الإبداعي، أي عملية الخلق (حسب النظرية التقليدية)، أم أنها حالة فوضوية سلبية (الدينونة/الشيطان؟) لا يمكن نسبتها مباشرة إلى عمل الله في الخلق؟ </w:t>
      </w:r>
    </w:p>
    <w:p w14:paraId="1617058A"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p>
    <w:p w14:paraId="0C3C3ADB"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D4118">
        <w:rPr>
          <w:rFonts w:eastAsia="Times New Roman"/>
          <w:kern w:val="0"/>
          <w:rtl/>
          <w:lang w:bidi="ar-JO"/>
          <w14:ligatures w14:val="none"/>
        </w:rPr>
        <w:t>2.</w:t>
      </w:r>
      <w:r w:rsidRPr="000D4118">
        <w:rPr>
          <w:rFonts w:eastAsia="Times New Roman"/>
          <w:kern w:val="0"/>
          <w:rtl/>
          <w:lang w:bidi="ar-JO"/>
          <w14:ligatures w14:val="none"/>
        </w:rPr>
        <w:tab/>
        <w:t xml:space="preserve">التعابير المستخدمة </w:t>
      </w:r>
    </w:p>
    <w:p w14:paraId="7DAA8E1D"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i/>
          <w:iCs/>
          <w:kern w:val="0"/>
          <w:rtl/>
          <w:lang w:bidi="ar-JO"/>
          <w14:ligatures w14:val="none"/>
        </w:rPr>
      </w:pPr>
      <w:r w:rsidRPr="000D4118">
        <w:rPr>
          <w:rFonts w:eastAsia="Times New Roman"/>
          <w:kern w:val="0"/>
          <w:rtl/>
          <w:lang w:bidi="ar-JO"/>
          <w14:ligatures w14:val="none"/>
        </w:rPr>
        <w:t>أ.</w:t>
      </w:r>
      <w:r w:rsidRPr="000D4118">
        <w:rPr>
          <w:rFonts w:eastAsia="Times New Roman"/>
          <w:kern w:val="0"/>
          <w:rtl/>
          <w:lang w:bidi="ar-JO"/>
          <w14:ligatures w14:val="none"/>
        </w:rPr>
        <w:tab/>
        <w:t xml:space="preserve">و(الآن) كانت الأرض توهو و فوهو </w:t>
      </w:r>
      <w:r w:rsidRPr="000D4118">
        <w:rPr>
          <w:rFonts w:eastAsia="Times New Roman"/>
          <w:kern w:val="0"/>
          <w14:ligatures w14:val="none"/>
        </w:rPr>
        <w:t>Whb)w` Wht)  (t)hW w*b)hW)</w:t>
      </w:r>
    </w:p>
    <w:p w14:paraId="131AF556"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0D4118">
        <w:rPr>
          <w:rFonts w:eastAsia="Times New Roman"/>
          <w:kern w:val="0"/>
          <w:rtl/>
          <w:lang w:bidi="ar-JO"/>
          <w14:ligatures w14:val="none"/>
        </w:rPr>
        <w:t>هذا هو التعبير المترجم إلى "خربة وخالية".  وهذا التعبير نادر الاستخدام، لكننا نجده في أماكن أُخرى كما هو في إرميا 4: 23 وإشعياء 34: 11.</w:t>
      </w:r>
    </w:p>
    <w:p w14:paraId="0C428F08"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0D4118">
        <w:rPr>
          <w:rFonts w:eastAsia="Times New Roman"/>
          <w:kern w:val="0"/>
          <w:rtl/>
          <w:lang w:bidi="ar-JO"/>
          <w14:ligatures w14:val="none"/>
        </w:rPr>
        <w:t>1)</w:t>
      </w:r>
      <w:r w:rsidRPr="000D4118">
        <w:rPr>
          <w:rFonts w:eastAsia="Times New Roman"/>
          <w:kern w:val="0"/>
          <w:rtl/>
          <w:lang w:bidi="ar-JO"/>
          <w14:ligatures w14:val="none"/>
        </w:rPr>
        <w:tab/>
        <w:t>إرميا 4: 23</w:t>
      </w:r>
    </w:p>
    <w:p w14:paraId="7075CE84"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0D4118">
        <w:rPr>
          <w:rFonts w:eastAsia="Times New Roman"/>
          <w:kern w:val="0"/>
          <w:rtl/>
          <w:lang w:bidi="ar-JO"/>
          <w14:ligatures w14:val="none"/>
        </w:rPr>
        <w:t xml:space="preserve">ليست الآية إرميا 4: 23 مجرد نظير لتكوين 1: 2، لكنها عودة بالعالم إلى حالة </w:t>
      </w:r>
      <w:r w:rsidRPr="000D4118">
        <w:rPr>
          <w:rFonts w:eastAsia="Times New Roman"/>
          <w:kern w:val="0"/>
          <w:u w:val="single"/>
          <w:rtl/>
          <w:lang w:bidi="ar-JO"/>
          <w14:ligatures w14:val="none"/>
        </w:rPr>
        <w:t>الفوضى</w:t>
      </w:r>
      <w:r w:rsidRPr="000D4118">
        <w:rPr>
          <w:rFonts w:eastAsia="Times New Roman"/>
          <w:kern w:val="0"/>
          <w:rtl/>
          <w:lang w:bidi="ar-JO"/>
          <w14:ligatures w14:val="none"/>
        </w:rPr>
        <w:t>.  "إن الفكرة هنا هي أن الدينونة الآتية على الأرض تأخذ شكل تفكيك الخليقة وحلّها أو إبطالها.  لكن من الواضح أنه لا يترتب على ذلك أن حالة ما قبل الخلق كانت نتيجة غضب الله."</w:t>
      </w:r>
      <w:r w:rsidRPr="000D4118">
        <w:rPr>
          <w:rFonts w:eastAsia="Times New Roman"/>
          <w:kern w:val="0"/>
          <w:vertAlign w:val="superscript"/>
          <w:rtl/>
          <w:lang w:bidi="ar-JO"/>
          <w14:ligatures w14:val="none"/>
        </w:rPr>
        <w:footnoteReference w:customMarkFollows="1" w:id="24"/>
        <w:t>12</w:t>
      </w:r>
      <w:r w:rsidRPr="000D4118">
        <w:rPr>
          <w:rFonts w:eastAsia="Times New Roman"/>
          <w:kern w:val="0"/>
          <w:rtl/>
          <w:lang w:bidi="ar-JO"/>
          <w14:ligatures w14:val="none"/>
        </w:rPr>
        <w:t xml:space="preserve">  لا يمكن استخدام إرميا 4: 23 للبرهنة على أن تكوين 1: 2 هي نتيجة لغضب الله ودينونته (كما تقول "نظرية الثغرة").</w:t>
      </w:r>
    </w:p>
    <w:p w14:paraId="72808906"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0D4118">
        <w:rPr>
          <w:rFonts w:eastAsia="Times New Roman"/>
          <w:kern w:val="0"/>
          <w:rtl/>
          <w:lang w:bidi="ar-JO"/>
          <w14:ligatures w14:val="none"/>
        </w:rPr>
        <w:t>2)</w:t>
      </w:r>
      <w:r w:rsidRPr="000D4118">
        <w:rPr>
          <w:rFonts w:eastAsia="Times New Roman"/>
          <w:kern w:val="0"/>
          <w:rtl/>
          <w:lang w:bidi="ar-JO"/>
          <w14:ligatures w14:val="none"/>
        </w:rPr>
        <w:tab/>
        <w:t>إشعياء 34: 11</w:t>
      </w:r>
    </w:p>
    <w:p w14:paraId="48159ABF"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0D4118">
        <w:rPr>
          <w:rFonts w:eastAsia="Times New Roman"/>
          <w:kern w:val="0"/>
          <w:rtl/>
          <w:lang w:bidi="ar-JO"/>
          <w14:ligatures w14:val="none"/>
        </w:rPr>
        <w:t>وفي هذه الحالة لا تسفر دينونة الله عن العودة بموضوع غضبه إلى حالته الأصلية قبل خلقه، أي العدم، أو حالة من عدم التشكّل.</w:t>
      </w:r>
    </w:p>
    <w:p w14:paraId="7FDE7D0E"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0D4118">
        <w:rPr>
          <w:rFonts w:eastAsia="Times New Roman"/>
          <w:kern w:val="0"/>
          <w:rtl/>
          <w:lang w:bidi="ar-JO"/>
          <w14:ligatures w14:val="none"/>
        </w:rPr>
        <w:t>3)</w:t>
      </w:r>
      <w:r w:rsidRPr="000D4118">
        <w:rPr>
          <w:rFonts w:eastAsia="Times New Roman"/>
          <w:kern w:val="0"/>
          <w:rtl/>
          <w:lang w:bidi="ar-JO"/>
          <w14:ligatures w14:val="none"/>
        </w:rPr>
        <w:tab/>
        <w:t>إشعياء 45: 18</w:t>
      </w:r>
    </w:p>
    <w:p w14:paraId="157082F7"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14:ligatures w14:val="none"/>
        </w:rPr>
      </w:pPr>
      <w:r w:rsidRPr="000D4118">
        <w:rPr>
          <w:rFonts w:eastAsia="Times New Roman"/>
          <w:kern w:val="0"/>
          <w:rtl/>
          <w:lang w:bidi="ar-JO"/>
          <w14:ligatures w14:val="none"/>
        </w:rPr>
        <w:t xml:space="preserve">يستخدم تعبير </w:t>
      </w:r>
      <w:r w:rsidRPr="000D4118">
        <w:rPr>
          <w:rFonts w:eastAsia="Times New Roman"/>
          <w:i/>
          <w:iCs/>
          <w:kern w:val="0"/>
          <w:rtl/>
          <w:lang w:bidi="ar-JO"/>
          <w14:ligatures w14:val="none"/>
        </w:rPr>
        <w:t>توهو</w:t>
      </w:r>
      <w:r w:rsidRPr="000D4118">
        <w:rPr>
          <w:rFonts w:eastAsia="Times New Roman"/>
          <w:kern w:val="0"/>
          <w:rtl/>
          <w:lang w:bidi="ar-JO"/>
          <w14:ligatures w14:val="none"/>
        </w:rPr>
        <w:t xml:space="preserve"> </w:t>
      </w:r>
      <w:r w:rsidRPr="000D4118">
        <w:rPr>
          <w:rFonts w:eastAsia="Times New Roman"/>
          <w:kern w:val="0"/>
          <w14:ligatures w14:val="none"/>
        </w:rPr>
        <w:t>t)hW</w:t>
      </w:r>
      <w:r w:rsidRPr="000D4118">
        <w:rPr>
          <w:rFonts w:eastAsia="Times New Roman"/>
          <w:kern w:val="0"/>
          <w:rtl/>
          <w:lang w:bidi="ar-JO"/>
          <w14:ligatures w14:val="none"/>
        </w:rPr>
        <w:t xml:space="preserve"> في إشعياء 45: 18 حيث يقال إن الرب لم يخلق الأرض </w:t>
      </w:r>
      <w:r w:rsidRPr="000D4118">
        <w:rPr>
          <w:rFonts w:eastAsia="Times New Roman"/>
          <w:i/>
          <w:iCs/>
          <w:kern w:val="0"/>
          <w:rtl/>
          <w:lang w:bidi="ar-JO"/>
          <w14:ligatures w14:val="none"/>
        </w:rPr>
        <w:t>توهو</w:t>
      </w:r>
      <w:r w:rsidRPr="000D4118">
        <w:rPr>
          <w:rFonts w:eastAsia="Times New Roman"/>
          <w:kern w:val="0"/>
          <w:rtl/>
          <w:lang w:bidi="ar-JO"/>
          <w14:ligatures w14:val="none"/>
        </w:rPr>
        <w:t>، أي أنه لم يخلقها كتلة بلا شكل.</w:t>
      </w:r>
      <w:r w:rsidRPr="000D4118">
        <w:rPr>
          <w:rFonts w:eastAsia="Times New Roman"/>
          <w:kern w:val="0"/>
          <w:vertAlign w:val="superscript"/>
          <w:rtl/>
          <w:lang w:bidi="ar-JO"/>
          <w14:ligatures w14:val="none"/>
        </w:rPr>
        <w:footnoteReference w:customMarkFollows="1" w:id="25"/>
        <w:t>13</w:t>
      </w:r>
    </w:p>
    <w:p w14:paraId="185D0165"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0D4118">
        <w:rPr>
          <w:rFonts w:eastAsia="Times New Roman"/>
          <w:kern w:val="0"/>
          <w:rtl/>
          <w:lang w:bidi="ar-JO"/>
          <w14:ligatures w14:val="none"/>
        </w:rPr>
        <w:t>يقول والكي على أساس إشعياء 45: 18 إنه لا يمكن نسبة حالة الأرض كما هي موصوفة في 1: 2 إلى الله، سواء فهمنا</w:t>
      </w:r>
      <w:r w:rsidRPr="000D4118">
        <w:rPr>
          <w:rFonts w:eastAsia="Times New Roman"/>
          <w:kern w:val="0"/>
          <w:rtl/>
          <w14:ligatures w14:val="none"/>
        </w:rPr>
        <w:t xml:space="preserve"> </w:t>
      </w:r>
      <w:r w:rsidRPr="000D4118">
        <w:rPr>
          <w:rFonts w:eastAsia="Times New Roman"/>
          <w:kern w:val="0"/>
          <w14:ligatures w14:val="none"/>
        </w:rPr>
        <w:t>t)hW</w:t>
      </w:r>
      <w:r w:rsidRPr="000D4118">
        <w:rPr>
          <w:rFonts w:eastAsia="Times New Roman"/>
          <w:kern w:val="0"/>
          <w:rtl/>
          <w:lang w:bidi="ar-JO"/>
          <w14:ligatures w14:val="none"/>
        </w:rPr>
        <w:t xml:space="preserve"> </w:t>
      </w:r>
      <w:r w:rsidRPr="000D4118">
        <w:rPr>
          <w:rFonts w:eastAsia="Times New Roman"/>
          <w:i/>
          <w:iCs/>
          <w:kern w:val="0"/>
          <w:rtl/>
          <w:lang w:bidi="ar-JO"/>
          <w14:ligatures w14:val="none"/>
        </w:rPr>
        <w:t>توهو</w:t>
      </w:r>
      <w:r w:rsidRPr="000D4118">
        <w:rPr>
          <w:rFonts w:eastAsia="Times New Roman"/>
          <w:kern w:val="0"/>
          <w:rtl/>
          <w:lang w:bidi="ar-JO"/>
          <w14:ligatures w14:val="none"/>
        </w:rPr>
        <w:t xml:space="preserve"> بمعنى </w:t>
      </w:r>
      <w:r w:rsidRPr="000D4118">
        <w:rPr>
          <w:rFonts w:eastAsia="Times New Roman"/>
          <w:i/>
          <w:iCs/>
          <w:kern w:val="0"/>
          <w:rtl/>
          <w:lang w:bidi="ar-JO"/>
          <w14:ligatures w14:val="none"/>
        </w:rPr>
        <w:t>فوضى</w:t>
      </w:r>
      <w:r w:rsidRPr="000D4118">
        <w:rPr>
          <w:rFonts w:eastAsia="Times New Roman"/>
          <w:kern w:val="0"/>
          <w:rtl/>
          <w:lang w:bidi="ar-JO"/>
          <w14:ligatures w14:val="none"/>
        </w:rPr>
        <w:t xml:space="preserve">، أو بمعنى غير مشكّلة (أي ناقصة، غير مكتملة).  </w:t>
      </w:r>
      <w:r w:rsidRPr="000D4118">
        <w:rPr>
          <w:rFonts w:eastAsia="Times New Roman"/>
          <w:kern w:val="0"/>
          <w:rtl/>
          <w:lang w:bidi="ar-JO"/>
          <w14:ligatures w14:val="none"/>
        </w:rPr>
        <w:lastRenderedPageBreak/>
        <w:t xml:space="preserve">ويرد أصحاب النظرة التقليدية بالقول إن إشعياء 45: 18 لم يقصد بها أن تكون تصريحاً مطلقاً.  بل إنها تدل على </w:t>
      </w:r>
      <w:r w:rsidRPr="000D4118">
        <w:rPr>
          <w:rFonts w:eastAsia="Times New Roman"/>
          <w:kern w:val="0"/>
          <w:u w:val="single"/>
          <w:rtl/>
          <w:lang w:bidi="ar-JO"/>
          <w14:ligatures w14:val="none"/>
        </w:rPr>
        <w:t>القصد</w:t>
      </w:r>
      <w:r w:rsidRPr="000D4118">
        <w:rPr>
          <w:rFonts w:eastAsia="Times New Roman"/>
          <w:kern w:val="0"/>
          <w:rtl/>
          <w:lang w:bidi="ar-JO"/>
          <w14:ligatures w14:val="none"/>
        </w:rPr>
        <w:t>:</w:t>
      </w:r>
    </w:p>
    <w:p w14:paraId="430B33FE"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722"/>
        <w:jc w:val="both"/>
        <w:rPr>
          <w:rFonts w:eastAsia="Times New Roman"/>
          <w:kern w:val="0"/>
          <w:rtl/>
          <w:lang w:bidi="ar-JO"/>
          <w14:ligatures w14:val="none"/>
        </w:rPr>
      </w:pPr>
      <w:r w:rsidRPr="000D4118">
        <w:rPr>
          <w:rFonts w:eastAsia="Times New Roman"/>
          <w:kern w:val="0"/>
          <w:rtl/>
          <w:lang w:bidi="ar-JO"/>
          <w14:ligatures w14:val="none"/>
        </w:rPr>
        <w:t>فالله لم يخلق الأرض لغرض أن تكون</w:t>
      </w:r>
      <w:r w:rsidRPr="000D4118">
        <w:rPr>
          <w:rFonts w:eastAsia="Times New Roman"/>
          <w:kern w:val="0"/>
          <w:rtl/>
          <w14:ligatures w14:val="none"/>
        </w:rPr>
        <w:t xml:space="preserve"> </w:t>
      </w:r>
      <w:r w:rsidRPr="000D4118">
        <w:rPr>
          <w:rFonts w:eastAsia="Times New Roman"/>
          <w:kern w:val="0"/>
          <w14:ligatures w14:val="none"/>
        </w:rPr>
        <w:t>t)hW</w:t>
      </w:r>
      <w:r w:rsidRPr="000D4118">
        <w:rPr>
          <w:rFonts w:eastAsia="Times New Roman"/>
          <w:kern w:val="0"/>
          <w:rtl/>
          <w:lang w:bidi="ar-JO"/>
          <w14:ligatures w14:val="none"/>
        </w:rPr>
        <w:t xml:space="preserve"> </w:t>
      </w:r>
      <w:r w:rsidRPr="000D4118">
        <w:rPr>
          <w:rFonts w:eastAsia="Times New Roman"/>
          <w:i/>
          <w:iCs/>
          <w:kern w:val="0"/>
          <w:rtl/>
          <w:lang w:bidi="ar-JO"/>
          <w14:ligatures w14:val="none"/>
        </w:rPr>
        <w:t>توهو</w:t>
      </w:r>
      <w:r w:rsidRPr="000D4118">
        <w:rPr>
          <w:rFonts w:eastAsia="Times New Roman"/>
          <w:kern w:val="0"/>
          <w:rtl/>
          <w:lang w:bidi="ar-JO"/>
          <w14:ligatures w14:val="none"/>
        </w:rPr>
        <w:t xml:space="preserve">، وإنما لكي تُسكن.  ولا يرى والكي أن هذا هو أفضل خيار من ناحية نحوية (أي أن حالة النصب المزدوجة بعد الأفعال الدالة على الخلق أو الصنع لا تعطي عادة معنى </w:t>
      </w:r>
      <w:r w:rsidRPr="000D4118">
        <w:rPr>
          <w:rFonts w:eastAsia="Times New Roman"/>
          <w:i/>
          <w:iCs/>
          <w:kern w:val="0"/>
          <w:rtl/>
          <w:lang w:bidi="ar-JO"/>
          <w14:ligatures w14:val="none"/>
        </w:rPr>
        <w:t>القصد</w:t>
      </w:r>
      <w:r w:rsidRPr="000D4118">
        <w:rPr>
          <w:rFonts w:eastAsia="Times New Roman"/>
          <w:kern w:val="0"/>
          <w:rtl/>
          <w:lang w:bidi="ar-JO"/>
          <w14:ligatures w14:val="none"/>
        </w:rPr>
        <w:t>).  لكن يمكن أن يقال أمران دفاعاً عن النظرية التقليدية:</w:t>
      </w:r>
    </w:p>
    <w:p w14:paraId="1FD668DF"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705" w:hanging="550"/>
        <w:jc w:val="both"/>
        <w:rPr>
          <w:rFonts w:eastAsia="Times New Roman"/>
          <w:kern w:val="0"/>
          <w:rtl/>
          <w:lang w:bidi="ar-JO"/>
          <w14:ligatures w14:val="none"/>
        </w:rPr>
      </w:pPr>
      <w:r w:rsidRPr="000D4118">
        <w:rPr>
          <w:rFonts w:eastAsia="Times New Roman"/>
          <w:kern w:val="0"/>
          <w:rtl/>
          <w:lang w:bidi="ar-JO"/>
          <w14:ligatures w14:val="none"/>
        </w:rPr>
        <w:t>أ)</w:t>
      </w:r>
      <w:r w:rsidRPr="000D4118">
        <w:rPr>
          <w:rFonts w:eastAsia="Times New Roman"/>
          <w:kern w:val="0"/>
          <w:rtl/>
          <w:lang w:bidi="ar-JO"/>
          <w14:ligatures w14:val="none"/>
        </w:rPr>
        <w:tab/>
        <w:t>حالة النصب الثانية مسبوقة بنفي، الأمر الذي قد يغيّر الوضع.</w:t>
      </w:r>
    </w:p>
    <w:p w14:paraId="7F82056E"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705" w:hanging="550"/>
        <w:jc w:val="both"/>
        <w:rPr>
          <w:rFonts w:eastAsia="Times New Roman"/>
          <w:kern w:val="0"/>
          <w:rtl/>
          <w:lang w:bidi="ar-JO"/>
          <w14:ligatures w14:val="none"/>
        </w:rPr>
      </w:pPr>
      <w:r w:rsidRPr="000D4118">
        <w:rPr>
          <w:rFonts w:eastAsia="Times New Roman"/>
          <w:kern w:val="0"/>
          <w:rtl/>
          <w:lang w:bidi="ar-JO"/>
          <w14:ligatures w14:val="none"/>
        </w:rPr>
        <w:t>ب)</w:t>
      </w:r>
      <w:r w:rsidRPr="000D4118">
        <w:rPr>
          <w:rFonts w:eastAsia="Times New Roman"/>
          <w:kern w:val="0"/>
          <w:rtl/>
          <w:lang w:bidi="ar-JO"/>
          <w14:ligatures w14:val="none"/>
        </w:rPr>
        <w:tab/>
        <w:t xml:space="preserve">العبارة التالية (المقابلة مع </w:t>
      </w:r>
      <w:r w:rsidRPr="000D4118">
        <w:rPr>
          <w:rFonts w:eastAsia="Times New Roman"/>
          <w:kern w:val="0"/>
          <w14:ligatures w14:val="none"/>
        </w:rPr>
        <w:t>t)hW</w:t>
      </w:r>
      <w:r w:rsidRPr="000D4118">
        <w:rPr>
          <w:rFonts w:eastAsia="Times New Roman"/>
          <w:kern w:val="0"/>
          <w:rtl/>
          <w:lang w:bidi="ar-JO"/>
          <w14:ligatures w14:val="none"/>
        </w:rPr>
        <w:t xml:space="preserve">  </w:t>
      </w:r>
      <w:r w:rsidRPr="000D4118">
        <w:rPr>
          <w:rFonts w:eastAsia="Times New Roman"/>
          <w:i/>
          <w:iCs/>
          <w:kern w:val="0"/>
          <w:rtl/>
          <w:lang w:bidi="ar-JO"/>
          <w14:ligatures w14:val="none"/>
        </w:rPr>
        <w:t>توهو</w:t>
      </w:r>
      <w:r w:rsidRPr="000D4118">
        <w:rPr>
          <w:rFonts w:eastAsia="Times New Roman"/>
          <w:kern w:val="0"/>
          <w:rtl/>
          <w:lang w:bidi="ar-JO"/>
          <w14:ligatures w14:val="none"/>
        </w:rPr>
        <w:t xml:space="preserve">) جملة دالة على القصد.  </w:t>
      </w:r>
    </w:p>
    <w:p w14:paraId="3A1745AC"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722"/>
        <w:jc w:val="both"/>
        <w:rPr>
          <w:rFonts w:eastAsia="Times New Roman"/>
          <w:kern w:val="0"/>
          <w:rtl/>
          <w:lang w:bidi="ar-JO"/>
          <w14:ligatures w14:val="none"/>
        </w:rPr>
      </w:pPr>
      <w:r w:rsidRPr="000D4118">
        <w:rPr>
          <w:rFonts w:eastAsia="Times New Roman"/>
          <w:kern w:val="0"/>
          <w:rtl/>
          <w:lang w:bidi="ar-JO"/>
          <w14:ligatures w14:val="none"/>
        </w:rPr>
        <w:t xml:space="preserve">لنلاحظ ترجمة </w:t>
      </w:r>
      <w:r w:rsidRPr="000D4118">
        <w:rPr>
          <w:rFonts w:eastAsia="Times New Roman"/>
          <w:kern w:val="0"/>
          <w14:ligatures w14:val="none"/>
        </w:rPr>
        <w:t>NIV</w:t>
      </w:r>
      <w:r w:rsidRPr="000D4118">
        <w:rPr>
          <w:rFonts w:eastAsia="Times New Roman"/>
          <w:kern w:val="0"/>
          <w:rtl/>
          <w:lang w:bidi="ar-JO"/>
          <w14:ligatures w14:val="none"/>
        </w:rPr>
        <w:t xml:space="preserve"> مثلاً، "لم يخلقها لتكون فارغة، بل صوّرها لكي تُسكن."  ومن هنا فإن إشعياء 45: 18 لا تؤكد أو تنفي أن الله خلق حالة</w:t>
      </w:r>
      <w:r w:rsidRPr="000D4118">
        <w:rPr>
          <w:rFonts w:eastAsia="Times New Roman"/>
          <w:kern w:val="0"/>
          <w:rtl/>
          <w14:ligatures w14:val="none"/>
        </w:rPr>
        <w:t xml:space="preserve"> </w:t>
      </w:r>
      <w:r w:rsidRPr="000D4118">
        <w:rPr>
          <w:rFonts w:eastAsia="Times New Roman"/>
          <w:kern w:val="0"/>
          <w14:ligatures w14:val="none"/>
        </w:rPr>
        <w:t>t)hW</w:t>
      </w:r>
      <w:r w:rsidRPr="000D4118">
        <w:rPr>
          <w:rFonts w:eastAsia="Times New Roman"/>
          <w:kern w:val="0"/>
          <w:rtl/>
          <w:lang w:bidi="ar-JO"/>
          <w14:ligatures w14:val="none"/>
        </w:rPr>
        <w:t xml:space="preserve"> </w:t>
      </w:r>
      <w:r w:rsidRPr="000D4118">
        <w:rPr>
          <w:rFonts w:eastAsia="Times New Roman"/>
          <w:i/>
          <w:iCs/>
          <w:kern w:val="0"/>
          <w:rtl/>
          <w:lang w:bidi="ar-JO"/>
          <w14:ligatures w14:val="none"/>
        </w:rPr>
        <w:t>توهو</w:t>
      </w:r>
      <w:r w:rsidRPr="000D4118">
        <w:rPr>
          <w:rFonts w:eastAsia="Times New Roman"/>
          <w:kern w:val="0"/>
          <w:rtl/>
          <w:lang w:bidi="ar-JO"/>
          <w14:ligatures w14:val="none"/>
        </w:rPr>
        <w:t xml:space="preserve"> المذكورة في تكوين 1: 2؛ فهي توضح أن الله فعل شيئاً بخصوص هذا الأمر، أي أنه خلق الأرض لكي تُسكن، لا لتُترك في حالة</w:t>
      </w:r>
      <w:r w:rsidRPr="000D4118">
        <w:rPr>
          <w:rFonts w:eastAsia="Times New Roman"/>
          <w:kern w:val="0"/>
          <w:rtl/>
          <w14:ligatures w14:val="none"/>
        </w:rPr>
        <w:t xml:space="preserve"> </w:t>
      </w:r>
      <w:r w:rsidRPr="000D4118">
        <w:rPr>
          <w:rFonts w:eastAsia="Times New Roman"/>
          <w:kern w:val="0"/>
          <w14:ligatures w14:val="none"/>
        </w:rPr>
        <w:t>t)hW</w:t>
      </w:r>
      <w:r w:rsidRPr="000D4118">
        <w:rPr>
          <w:rFonts w:eastAsia="Times New Roman"/>
          <w:kern w:val="0"/>
          <w:rtl/>
          <w:lang w:bidi="ar-JO"/>
          <w14:ligatures w14:val="none"/>
        </w:rPr>
        <w:t xml:space="preserve"> </w:t>
      </w:r>
      <w:r w:rsidRPr="000D4118">
        <w:rPr>
          <w:rFonts w:eastAsia="Times New Roman"/>
          <w:i/>
          <w:iCs/>
          <w:kern w:val="0"/>
          <w:rtl/>
          <w:lang w:bidi="ar-JO"/>
          <w14:ligatures w14:val="none"/>
        </w:rPr>
        <w:t>توهو</w:t>
      </w:r>
      <w:r w:rsidRPr="000D4118">
        <w:rPr>
          <w:rFonts w:eastAsia="Times New Roman"/>
          <w:kern w:val="0"/>
          <w:rtl/>
          <w:lang w:bidi="ar-JO"/>
          <w14:ligatures w14:val="none"/>
        </w:rPr>
        <w:t xml:space="preserve"> المقفرة.</w:t>
      </w:r>
    </w:p>
    <w:p w14:paraId="29D8A2F0"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0D4118">
        <w:rPr>
          <w:rFonts w:eastAsia="Times New Roman"/>
          <w:kern w:val="0"/>
          <w:rtl/>
          <w:lang w:bidi="ar-JO"/>
          <w14:ligatures w14:val="none"/>
        </w:rPr>
        <w:t>4)</w:t>
      </w:r>
      <w:r w:rsidRPr="000D4118">
        <w:rPr>
          <w:rFonts w:eastAsia="Times New Roman"/>
          <w:kern w:val="0"/>
          <w:rtl/>
          <w:lang w:bidi="ar-JO"/>
          <w14:ligatures w14:val="none"/>
        </w:rPr>
        <w:tab/>
        <w:t xml:space="preserve">استنتاجات حول </w:t>
      </w:r>
      <w:r w:rsidRPr="000D4118">
        <w:rPr>
          <w:rFonts w:eastAsia="Times New Roman"/>
          <w:kern w:val="0"/>
          <w14:ligatures w14:val="none"/>
        </w:rPr>
        <w:t>t)hW w*b)hW</w:t>
      </w:r>
      <w:r w:rsidRPr="000D4118">
        <w:rPr>
          <w:rFonts w:eastAsia="Times New Roman"/>
          <w:kern w:val="0"/>
          <w:rtl/>
          <w:lang w:bidi="ar-JO"/>
          <w14:ligatures w14:val="none"/>
        </w:rPr>
        <w:t xml:space="preserve">  </w:t>
      </w:r>
      <w:r w:rsidRPr="000D4118">
        <w:rPr>
          <w:rFonts w:eastAsia="Times New Roman"/>
          <w:i/>
          <w:iCs/>
          <w:kern w:val="0"/>
          <w:rtl/>
          <w:lang w:bidi="ar-JO"/>
          <w14:ligatures w14:val="none"/>
        </w:rPr>
        <w:t>توهو وفوهو</w:t>
      </w:r>
    </w:p>
    <w:p w14:paraId="76EFA7A7"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0D4118">
        <w:rPr>
          <w:rFonts w:eastAsia="Times New Roman"/>
          <w:kern w:val="0"/>
          <w:rtl/>
          <w:lang w:bidi="ar-JO"/>
          <w14:ligatures w14:val="none"/>
        </w:rPr>
        <w:t xml:space="preserve">يجب أن نعترف أنه من الصعب التحقق من المعنى القاموسي الدقيق لتعبير </w:t>
      </w:r>
      <w:r w:rsidRPr="000D4118">
        <w:rPr>
          <w:rFonts w:eastAsia="Times New Roman"/>
          <w:kern w:val="0"/>
          <w14:ligatures w14:val="none"/>
        </w:rPr>
        <w:t>t)hW w*b)hW</w:t>
      </w:r>
      <w:r w:rsidRPr="000D4118">
        <w:rPr>
          <w:rFonts w:eastAsia="Times New Roman"/>
          <w:kern w:val="0"/>
          <w:rtl/>
          <w:lang w:bidi="ar-JO"/>
          <w14:ligatures w14:val="none"/>
        </w:rPr>
        <w:t xml:space="preserve"> </w:t>
      </w:r>
      <w:r w:rsidRPr="000D4118">
        <w:rPr>
          <w:rFonts w:eastAsia="Times New Roman"/>
          <w:i/>
          <w:iCs/>
          <w:kern w:val="0"/>
          <w:rtl/>
          <w:lang w:bidi="ar-JO"/>
          <w14:ligatures w14:val="none"/>
        </w:rPr>
        <w:t>توهو وفوهو</w:t>
      </w:r>
      <w:r w:rsidRPr="000D4118">
        <w:rPr>
          <w:rFonts w:eastAsia="Times New Roman"/>
          <w:kern w:val="0"/>
          <w:rtl/>
          <w:lang w:bidi="ar-JO"/>
          <w14:ligatures w14:val="none"/>
        </w:rPr>
        <w:t xml:space="preserve">.  وبما أن الاستخدام الكتابي لهذا التعبير نادر ولا يوجد له شبه أو نسب مع تعابير من لغات أخرى، فإنه ليست لدينا أدلة كثيرة نعتمد عليها.  يفهم </w:t>
      </w:r>
      <w:r w:rsidRPr="000D4118">
        <w:rPr>
          <w:rFonts w:eastAsia="Times New Roman"/>
          <w:kern w:val="0"/>
          <w:rtl/>
          <w14:ligatures w14:val="none"/>
        </w:rPr>
        <w:t>البعض</w:t>
      </w:r>
      <w:r w:rsidRPr="000D4118">
        <w:rPr>
          <w:rFonts w:eastAsia="Times New Roman"/>
          <w:kern w:val="0"/>
          <w:rtl/>
          <w:lang w:bidi="ar-JO"/>
          <w14:ligatures w14:val="none"/>
        </w:rPr>
        <w:t xml:space="preserve"> هذا التعبير على أنه يعني "فوضى"، حالة سلبية جداً، ومن هنا، فإنه لا يمكن أن يكون مما يصدر عن الله.  ويرى آخرون أن هذا التعبير يوحي بحالة أكثر حياداً من عدم التشكّل.  يقول ديفيد تسومورا في بحثه الشامل إن هذا التعبير يعني حالة من "عدم الإنتاجية والخواء."</w:t>
      </w:r>
      <w:r w:rsidRPr="000D4118">
        <w:rPr>
          <w:rFonts w:eastAsia="Times New Roman"/>
          <w:kern w:val="0"/>
          <w:vertAlign w:val="superscript"/>
          <w:rtl/>
          <w:lang w:bidi="ar-JO"/>
          <w14:ligatures w14:val="none"/>
        </w:rPr>
        <w:footnoteReference w:customMarkFollows="1" w:id="26"/>
        <w:t>14</w:t>
      </w:r>
    </w:p>
    <w:p w14:paraId="62FFA308"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14:ligatures w14:val="none"/>
        </w:rPr>
      </w:pPr>
    </w:p>
    <w:p w14:paraId="041E635E"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0D4118">
        <w:rPr>
          <w:rFonts w:eastAsia="Times New Roman"/>
          <w:kern w:val="0"/>
          <w:rtl/>
          <w:lang w:bidi="ar-JO"/>
          <w14:ligatures w14:val="none"/>
        </w:rPr>
        <w:t>ويتحدث جيكوب نيابة عن الذين يأخذون التعبير بمعنى سلبي، فيقول: "حيثما يرد تعبير</w:t>
      </w:r>
      <w:r w:rsidRPr="000D4118">
        <w:rPr>
          <w:rFonts w:eastAsia="Times New Roman"/>
          <w:kern w:val="0"/>
          <w:rtl/>
          <w14:ligatures w14:val="none"/>
        </w:rPr>
        <w:t xml:space="preserve"> </w:t>
      </w:r>
      <w:r w:rsidRPr="000D4118">
        <w:rPr>
          <w:rFonts w:eastAsia="Times New Roman"/>
          <w:kern w:val="0"/>
          <w14:ligatures w14:val="none"/>
        </w:rPr>
        <w:t>t)hW w*b)hW</w:t>
      </w:r>
      <w:r w:rsidRPr="000D4118">
        <w:rPr>
          <w:rFonts w:eastAsia="Times New Roman"/>
          <w:kern w:val="0"/>
          <w:rtl/>
          <w:lang w:bidi="ar-JO"/>
          <w14:ligatures w14:val="none"/>
        </w:rPr>
        <w:t xml:space="preserve"> </w:t>
      </w:r>
      <w:r w:rsidRPr="000D4118">
        <w:rPr>
          <w:rFonts w:eastAsia="Times New Roman"/>
          <w:i/>
          <w:iCs/>
          <w:kern w:val="0"/>
          <w:rtl/>
          <w:lang w:bidi="ar-JO"/>
          <w14:ligatures w14:val="none"/>
        </w:rPr>
        <w:t>توهو وفوهو</w:t>
      </w:r>
      <w:r w:rsidRPr="000D4118">
        <w:rPr>
          <w:rFonts w:eastAsia="Times New Roman"/>
          <w:kern w:val="0"/>
          <w:rtl/>
          <w:lang w:bidi="ar-JO"/>
          <w14:ligatures w14:val="none"/>
        </w:rPr>
        <w:t xml:space="preserve"> (إشعياء 34: 11؛ إرميا 4: 23)، فإنه يشير إلى نقيض الخلق، لا إلى مجرد مرحلة أدنى من الخلق."</w:t>
      </w:r>
      <w:r w:rsidRPr="000D4118">
        <w:rPr>
          <w:rFonts w:eastAsia="Times New Roman"/>
          <w:kern w:val="0"/>
          <w:vertAlign w:val="superscript"/>
          <w:rtl/>
          <w:lang w:bidi="ar-JO"/>
          <w14:ligatures w14:val="none"/>
        </w:rPr>
        <w:footnoteReference w:customMarkFollows="1" w:id="27"/>
        <w:t>15</w:t>
      </w:r>
      <w:r w:rsidRPr="000D4118">
        <w:rPr>
          <w:rFonts w:eastAsia="Times New Roman"/>
          <w:kern w:val="0"/>
          <w:rtl/>
          <w:lang w:bidi="ar-JO"/>
          <w14:ligatures w14:val="none"/>
        </w:rPr>
        <w:t xml:space="preserve"> يشير هذا التعبير إلى حالة مادةٍ خاليةٍ من النظام، أو دون أن تشكّل أو تصاغ شيئاً محدّداً لكنه ليس عمل الله الإبداعي (إشعياء 45: 18).</w:t>
      </w:r>
    </w:p>
    <w:p w14:paraId="1CD6D17C"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0D4118">
        <w:rPr>
          <w:rFonts w:eastAsia="Times New Roman"/>
          <w:kern w:val="0"/>
          <w:rtl/>
          <w:lang w:bidi="ar-JO"/>
          <w14:ligatures w14:val="none"/>
        </w:rPr>
        <w:t xml:space="preserve"> </w:t>
      </w:r>
    </w:p>
    <w:p w14:paraId="782F4EB2"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0D4118">
        <w:rPr>
          <w:rFonts w:eastAsia="Times New Roman"/>
          <w:kern w:val="0"/>
          <w:rtl/>
          <w:lang w:bidi="ar-JO"/>
          <w14:ligatures w14:val="none"/>
        </w:rPr>
        <w:lastRenderedPageBreak/>
        <w:t>ونلاحظ أيضاً أن النص لا ينسب أبداً الحالة المذكورة في الآية الثانية إلى الخالق.  ولا نجد تصريحاً أن الله أوجد الحالة المذكورة في الآية الثانية بكلمته ("وقال الله، ’ليكن......,").  ورداً على ذلك يمكن القول إنه إذا كانت كل الآيات 1-5 تمثل اليوم الأول، فإنه لا يجدر بنا أن نتوقع الإعلان "ورأى الله أنه حسن" إلا بعد اكتمال كل عمل الخلق في اليوم الأول.</w:t>
      </w:r>
    </w:p>
    <w:p w14:paraId="49EAFBE6"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p>
    <w:p w14:paraId="56CE7C7F"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D4118">
        <w:rPr>
          <w:rFonts w:eastAsia="Times New Roman"/>
          <w:kern w:val="0"/>
          <w:rtl/>
          <w:lang w:bidi="ar-JO"/>
          <w14:ligatures w14:val="none"/>
        </w:rPr>
        <w:t>ب.</w:t>
      </w:r>
      <w:r w:rsidRPr="000D4118">
        <w:rPr>
          <w:rFonts w:eastAsia="Times New Roman"/>
          <w:kern w:val="0"/>
          <w:rtl/>
          <w:lang w:bidi="ar-JO"/>
          <w14:ligatures w14:val="none"/>
        </w:rPr>
        <w:tab/>
      </w:r>
      <w:r w:rsidRPr="000D4118">
        <w:rPr>
          <w:rFonts w:eastAsia="Times New Roman"/>
          <w:kern w:val="0"/>
          <w14:ligatures w14:val="none"/>
        </w:rPr>
        <w:t>&lt;oht=</w:t>
      </w:r>
      <w:r w:rsidRPr="000D4118">
        <w:rPr>
          <w:rFonts w:eastAsia="Times New Roman"/>
          <w:kern w:val="0"/>
          <w:rtl/>
          <w:lang w:bidi="ar-JO"/>
          <w14:ligatures w14:val="none"/>
        </w:rPr>
        <w:t xml:space="preserve"> – "الغمر"</w:t>
      </w:r>
    </w:p>
    <w:p w14:paraId="4A8AFB16"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0D4118">
        <w:rPr>
          <w:rFonts w:eastAsia="Times New Roman"/>
          <w:kern w:val="0"/>
          <w:rtl/>
          <w:lang w:bidi="ar-JO"/>
          <w14:ligatures w14:val="none"/>
        </w:rPr>
        <w:t>لا يفضي الماء المالح أو الغمر إلى الحياة، وهو يمثّل الهاوية.  وفي الكون الكامل الجديد لن يكون هنالك بحر (رؤيا 21: 1)</w:t>
      </w:r>
    </w:p>
    <w:p w14:paraId="50CF6ADC"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40435B07"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D4118">
        <w:rPr>
          <w:rFonts w:eastAsia="Times New Roman"/>
          <w:kern w:val="0"/>
          <w:rtl/>
          <w:lang w:bidi="ar-JO"/>
          <w14:ligatures w14:val="none"/>
        </w:rPr>
        <w:t>جـ.</w:t>
      </w:r>
      <w:r w:rsidRPr="000D4118">
        <w:rPr>
          <w:rFonts w:eastAsia="Times New Roman"/>
          <w:kern w:val="0"/>
          <w:rtl/>
          <w:lang w:bidi="ar-JO"/>
          <w14:ligatures w14:val="none"/>
        </w:rPr>
        <w:tab/>
      </w:r>
      <w:r w:rsidRPr="000D4118">
        <w:rPr>
          <w:rFonts w:eastAsia="Times New Roman"/>
          <w:kern w:val="0"/>
          <w14:ligatures w14:val="none"/>
        </w:rPr>
        <w:t>Ev#j)</w:t>
      </w:r>
      <w:r w:rsidRPr="000D4118">
        <w:rPr>
          <w:rFonts w:eastAsia="Times New Roman"/>
          <w:kern w:val="0"/>
          <w:rtl/>
          <w:lang w:bidi="ar-JO"/>
          <w14:ligatures w14:val="none"/>
        </w:rPr>
        <w:t xml:space="preserve"> – "ظلمة"</w:t>
      </w:r>
    </w:p>
    <w:p w14:paraId="730804F7"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0D4118">
        <w:rPr>
          <w:rFonts w:eastAsia="Times New Roman"/>
          <w:kern w:val="0"/>
          <w:rtl/>
          <w:lang w:bidi="ar-JO"/>
          <w14:ligatures w14:val="none"/>
        </w:rPr>
        <w:t>الظلمة رمز في الكتاب المقدس للشر، وهي تصوّر ذلك المجال الذي لم يدخله النور ليُنيرَهُ.  وغالباً ما يستخدم بمعنى يتضمن "لعنة" أو "دينونة" (أيوب 3: 4؛ مزمور 35: 6؛ إشعياء 47: 5؛ 59: 9).</w:t>
      </w:r>
    </w:p>
    <w:p w14:paraId="15B36760"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1E919A3B"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0D4118">
        <w:rPr>
          <w:rFonts w:eastAsia="Times New Roman"/>
          <w:kern w:val="0"/>
          <w:rtl/>
          <w:lang w:bidi="ar-JO"/>
          <w14:ligatures w14:val="none"/>
        </w:rPr>
        <w:t>وكنقيض للنور يمكن اعتبار الظلمة "شرّاً" (إشعياء 5: 20).  وغالباً ما ترتبط الظلمة ببرنامج الله كما هو الحال في يوم الرب (إشعياء 13: 10؛ يوئيل 2: 31) وموت المسيح (متّى 27: 45).  وفي العهد الجديد يستخدم يوحنا الظلمة لتمثّل ما هو نقيض الله والشركة معه (1 يوحنا 1: 5، 6).  وأخيراً، نرى أنه لن تكون هنالك ظلمة في الحالة الأبدية (رؤيا 21: 25؛ 22: 5).  والظلمة من منظور كتابي ليست تعبيراً محايداً، لكنه تعبير مضاد لقداسة الله.</w:t>
      </w:r>
    </w:p>
    <w:p w14:paraId="52D6806E"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0A09E23E"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0D4118">
        <w:rPr>
          <w:rFonts w:eastAsia="Times New Roman"/>
          <w:kern w:val="0"/>
          <w:rtl/>
          <w:lang w:bidi="ar-JO"/>
          <w14:ligatures w14:val="none"/>
        </w:rPr>
        <w:t>تميل هذه الملاحظات إلى دعم رأي والكي حول "نظرية فوضى ما قبل الخلق".  لكن روكر يقدّم لنا تحذيراً:</w:t>
      </w:r>
    </w:p>
    <w:p w14:paraId="383915AD"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14:ligatures w14:val="none"/>
        </w:rPr>
      </w:pPr>
      <w:r w:rsidRPr="000D4118">
        <w:rPr>
          <w:rFonts w:eastAsia="Times New Roman"/>
          <w:kern w:val="0"/>
          <w:rtl/>
          <w:lang w:bidi="ar-JO"/>
          <w14:ligatures w14:val="none"/>
        </w:rPr>
        <w:t>إن من شأن إلغاء الربط بين الظلمة المادية المذكورة في تكوين 1: 2 وبين الله، على أساس أن الظلمة صارت رمزاً للشر والخطيّة، أن يخلط ما بين الرمز والشيء المرموز إليه.  والأمر أشبه بالقول إن الخميرة شريرة لأنها صارت تمثّل الشر الروحي.</w:t>
      </w:r>
      <w:r w:rsidRPr="000D4118">
        <w:rPr>
          <w:rFonts w:eastAsia="Times New Roman"/>
          <w:kern w:val="0"/>
          <w:vertAlign w:val="superscript"/>
          <w:rtl/>
          <w:lang w:bidi="ar-JO"/>
          <w14:ligatures w14:val="none"/>
        </w:rPr>
        <w:footnoteReference w:customMarkFollows="1" w:id="28"/>
        <w:t>16</w:t>
      </w:r>
    </w:p>
    <w:p w14:paraId="01016DAF"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0D4118">
        <w:rPr>
          <w:rFonts w:eastAsia="Times New Roman"/>
          <w:kern w:val="0"/>
          <w:rtl/>
          <w:lang w:bidi="ar-JO"/>
          <w14:ligatures w14:val="none"/>
        </w:rPr>
        <w:t xml:space="preserve">وفضلاً عن ذلك، فإن الله يتحمَّل مسؤولية خلق "الظلمة": "(أنا) مصوّر النور </w:t>
      </w:r>
      <w:r w:rsidRPr="000D4118">
        <w:rPr>
          <w:rFonts w:eastAsia="Times New Roman"/>
          <w:kern w:val="0"/>
          <w:u w:val="single"/>
          <w:rtl/>
          <w:lang w:bidi="ar-JO"/>
          <w14:ligatures w14:val="none"/>
        </w:rPr>
        <w:t>وخالق الظلمة</w:t>
      </w:r>
      <w:r w:rsidRPr="000D4118">
        <w:rPr>
          <w:rFonts w:eastAsia="Times New Roman"/>
          <w:kern w:val="0"/>
          <w:rtl/>
          <w:lang w:bidi="ar-JO"/>
          <w14:ligatures w14:val="none"/>
        </w:rPr>
        <w:t xml:space="preserve">                             (</w:t>
      </w:r>
      <w:r w:rsidRPr="000D4118">
        <w:rPr>
          <w:rFonts w:eastAsia="Times New Roman"/>
          <w:kern w:val="0"/>
          <w14:ligatures w14:val="none"/>
        </w:rPr>
        <w:t>Ev#j) ar@obW</w:t>
      </w:r>
      <w:r w:rsidRPr="000D4118">
        <w:rPr>
          <w:rFonts w:eastAsia="Times New Roman"/>
          <w:kern w:val="0"/>
          <w:rtl/>
          <w:lang w:bidi="ar-JO"/>
          <w14:ligatures w14:val="none"/>
        </w:rPr>
        <w:t>)، أنا الرب صانع كل هذه" (إشعياء 45: 7).</w:t>
      </w:r>
    </w:p>
    <w:p w14:paraId="2ED99244"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p>
    <w:p w14:paraId="6BCCFD50"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p>
    <w:p w14:paraId="321EDDC3" w14:textId="77777777" w:rsidR="00E84DB1" w:rsidRPr="000D4118"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D4118">
        <w:rPr>
          <w:rFonts w:eastAsia="Times New Roman"/>
          <w:kern w:val="0"/>
          <w:rtl/>
          <w:lang w:bidi="ar-JO"/>
          <w14:ligatures w14:val="none"/>
        </w:rPr>
        <w:t>3.</w:t>
      </w:r>
      <w:r w:rsidRPr="000D4118">
        <w:rPr>
          <w:rFonts w:eastAsia="Times New Roman"/>
          <w:kern w:val="0"/>
          <w:rtl/>
          <w:lang w:bidi="ar-JO"/>
          <w14:ligatures w14:val="none"/>
        </w:rPr>
        <w:tab/>
        <w:t xml:space="preserve">استنتاج حول الآية الثانية </w:t>
      </w:r>
    </w:p>
    <w:p w14:paraId="652E4F17"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D4118">
        <w:rPr>
          <w:rFonts w:eastAsia="Times New Roman"/>
          <w:kern w:val="0"/>
          <w:rtl/>
          <w:lang w:bidi="ar-JO"/>
          <w14:ligatures w14:val="none"/>
        </w:rPr>
        <w:t>عندما نأتي إلى الآية الثانية يفاجئنا وضع محير.  ونتعجب كيف يمكن أن يأتي مثل هذا الوضع من يد الله، بما أن كل ما يفعله الله كامل.  ولا يوجد إعلان أن الله قال "ليكن" (انظر عبرانيين 11: 3) أو توكيد منه على أنه كان "حسناً".  وإنه لأمر ممكن أن تعبيري</w:t>
      </w:r>
      <w:r w:rsidRPr="000D4118">
        <w:rPr>
          <w:rFonts w:eastAsia="Times New Roman"/>
          <w:kern w:val="0"/>
          <w:rtl/>
          <w14:ligatures w14:val="none"/>
        </w:rPr>
        <w:t xml:space="preserve"> </w:t>
      </w:r>
      <w:r w:rsidRPr="000D4118">
        <w:rPr>
          <w:rFonts w:eastAsia="Times New Roman"/>
          <w:kern w:val="0"/>
          <w14:ligatures w14:val="none"/>
        </w:rPr>
        <w:t>t)hW w*b)hW</w:t>
      </w:r>
      <w:r w:rsidRPr="000D4118">
        <w:rPr>
          <w:rFonts w:eastAsia="Times New Roman"/>
          <w:kern w:val="0"/>
          <w:rtl/>
          <w:lang w:bidi="ar-JO"/>
          <w14:ligatures w14:val="none"/>
        </w:rPr>
        <w:t xml:space="preserve"> </w:t>
      </w:r>
      <w:r w:rsidRPr="000D4118">
        <w:rPr>
          <w:rFonts w:eastAsia="Times New Roman"/>
          <w:i/>
          <w:iCs/>
          <w:kern w:val="0"/>
          <w:rtl/>
          <w:lang w:bidi="ar-JO"/>
          <w14:ligatures w14:val="none"/>
        </w:rPr>
        <w:t xml:space="preserve">توهو وفوهو </w:t>
      </w:r>
      <w:r w:rsidRPr="000D4118">
        <w:rPr>
          <w:rFonts w:eastAsia="Times New Roman"/>
          <w:kern w:val="0"/>
          <w:rtl/>
          <w:lang w:bidi="ar-JO"/>
          <w14:ligatures w14:val="none"/>
        </w:rPr>
        <w:t>يعكسان حالة فوضوية سلبية، أي شيئاً لم يكن نتيجة عمل الله الإبداعي (كما يرى والكي).  ومن ناحية أخرى، يمكن أن يشير هذان التعبيران إلى الحالة التي لم تكتمل بعد.  ويستخدم تعبيرا "الظلمة" و"البحر" (الغمر) في مواضع أخرى من الكتاب المقدس بمعنى شرير، لكن هذا لا يقدم برهاناً قاطعاً على أن هذه هي الكيفية التي يجب أن نفهم تكوين 1: 2 بها (حيث نرى أن هذين التعبيرين يستخدمان في الكتاب المقدس أيضاً بطريقة محايدة). وإن تعليقات روكر حول الرموز الكتابية بالإضافة إلى قول الكتاب المقدس إن الله خلق "الظلمة" (إشعياء 45: 7) أسباب وجيهة تجعلنا لا نرى في تكوين 1: 2 أكثر مما يجب.</w:t>
      </w:r>
    </w:p>
    <w:p w14:paraId="3C9D099C"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F8680DB"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60A53F0" w14:textId="77777777" w:rsidR="00E84DB1" w:rsidRPr="000D4118" w:rsidRDefault="00E84DB1" w:rsidP="00C7130A">
      <w:pPr>
        <w:tabs>
          <w:tab w:val="left" w:pos="454"/>
        </w:tabs>
        <w:spacing w:after="60"/>
        <w:ind w:left="550" w:hanging="550"/>
        <w:jc w:val="both"/>
        <w:rPr>
          <w:rFonts w:eastAsia="Times New Roman"/>
          <w:bCs/>
          <w:kern w:val="0"/>
          <w:rtl/>
          <w14:ligatures w14:val="none"/>
        </w:rPr>
      </w:pPr>
      <w:r w:rsidRPr="000D4118">
        <w:rPr>
          <w:rFonts w:eastAsia="Times New Roman"/>
          <w:bCs/>
          <w:kern w:val="0"/>
          <w:rtl/>
          <w14:ligatures w14:val="none"/>
        </w:rPr>
        <w:t>د.</w:t>
      </w:r>
      <w:r w:rsidRPr="000D4118">
        <w:rPr>
          <w:rFonts w:eastAsia="Times New Roman"/>
          <w:bCs/>
          <w:kern w:val="0"/>
          <w:rtl/>
          <w14:ligatures w14:val="none"/>
        </w:rPr>
        <w:tab/>
        <w:t xml:space="preserve">تعليقات ختامية </w:t>
      </w:r>
    </w:p>
    <w:p w14:paraId="2542D3C3"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D4118">
        <w:rPr>
          <w:rFonts w:eastAsia="Times New Roman"/>
          <w:kern w:val="0"/>
          <w:rtl/>
          <w:lang w:bidi="ar-JO"/>
          <w14:ligatures w14:val="none"/>
        </w:rPr>
        <w:t>أعتقد أن "نظرية الثغرة" تعاني من عدة نقاط ضعف تجعلها مُستبعدة.</w:t>
      </w:r>
      <w:r w:rsidRPr="000D4118">
        <w:rPr>
          <w:rFonts w:eastAsia="Times New Roman"/>
          <w:kern w:val="0"/>
          <w:vertAlign w:val="superscript"/>
          <w:rtl/>
          <w:lang w:bidi="ar-JO"/>
          <w14:ligatures w14:val="none"/>
        </w:rPr>
        <w:footnoteReference w:customMarkFollows="1" w:id="29"/>
        <w:t>17</w:t>
      </w:r>
      <w:r w:rsidRPr="000D4118">
        <w:rPr>
          <w:rFonts w:eastAsia="Times New Roman"/>
          <w:kern w:val="0"/>
          <w:rtl/>
          <w14:ligatures w14:val="none"/>
        </w:rPr>
        <w:t xml:space="preserve"> </w:t>
      </w:r>
      <w:r w:rsidRPr="000D4118">
        <w:rPr>
          <w:rFonts w:eastAsia="Times New Roman"/>
          <w:kern w:val="0"/>
          <w:rtl/>
          <w:lang w:bidi="ar-JO"/>
          <w14:ligatures w14:val="none"/>
        </w:rPr>
        <w:t xml:space="preserve"> أمّا من ناحية قواعدية نحوية فإن نظرية "الفوضى الأولية" (الرأي التقليدي) ونظرية "فوضى ما قبل الخلق" ممكنتان.  وعلى الرغم من أنه أمر محتمل بالفعل أن تكون تكوين 1: 1 آية تلخيصية للآيات 3-31 (كما يقول والكي)، فإن هذا أمر</w:t>
      </w:r>
      <w:r w:rsidRPr="000D4118">
        <w:rPr>
          <w:rFonts w:eastAsia="Times New Roman"/>
          <w:kern w:val="0"/>
          <w:rtl/>
          <w14:ligatures w14:val="none"/>
        </w:rPr>
        <w:t>ٌ</w:t>
      </w:r>
      <w:r w:rsidRPr="000D4118">
        <w:rPr>
          <w:rFonts w:eastAsia="Times New Roman"/>
          <w:kern w:val="0"/>
          <w:rtl/>
          <w:lang w:bidi="ar-JO"/>
          <w14:ligatures w14:val="none"/>
        </w:rPr>
        <w:t xml:space="preserve"> لا يمكن الجزم فيه بعيداً عن الشك.  وإنه لأمر ممكن من ناحية نظرية أن تكون تكوين 1: 1 آية تلخيصية وأن توحي في نفس الوقت مع الآية الثانية بأن "الأرض" كانت في المرحلة الأولية من عمل الله الإبداعي لها.  ومن ناحية أخرى، فإن الرأي التقليدي الذي يرى أن تكوين 1: 1-2 تتحدثان عن المرحلة الأولية لخليقة الله الشخصية ممكنٌ ومشروع تماماً.  أمّا الاعتراضات القائمة على تكوين 1: 2، فلا يمكن أن تصمد (انظر التعليقات السابقة).</w:t>
      </w:r>
    </w:p>
    <w:p w14:paraId="22146ED2"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4EC38C6"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i/>
          <w:iCs/>
          <w:kern w:val="0"/>
          <w:rtl/>
          <w:lang w:bidi="ar-JO"/>
          <w14:ligatures w14:val="none"/>
        </w:rPr>
      </w:pPr>
      <w:r w:rsidRPr="000D4118">
        <w:rPr>
          <w:rFonts w:eastAsia="Times New Roman"/>
          <w:kern w:val="0"/>
          <w:rtl/>
          <w:lang w:bidi="ar-JO"/>
          <w14:ligatures w14:val="none"/>
        </w:rPr>
        <w:t xml:space="preserve">غير أني أجد نفسي، بعد طرح النظريات وتقويمها، ميّالاً نوعاً ما إلى الرأي التقليدي أكثر من نظرية "فوضى ما قبل الخلق".  توحي نظرية "فوضى ما قبل الخلق" (التي يروّج لها والكي وروس) أنه كان هنالك شكل من أشكال الخليقة الموجودة قبل عملية الخلق المعينة المذكورة في تكوين 1: 3-31.  وعندما يقرأ المرء يوحنا 1: 1-5، فإنه يأخذ انطباعاً </w:t>
      </w:r>
      <w:r w:rsidRPr="000D4118">
        <w:rPr>
          <w:rFonts w:eastAsia="Times New Roman"/>
          <w:kern w:val="0"/>
          <w:rtl/>
          <w:lang w:bidi="ar-JO"/>
          <w14:ligatures w14:val="none"/>
        </w:rPr>
        <w:lastRenderedPageBreak/>
        <w:t>أن يوحنا يشير بوضوح إلى تكوين 1: 1 عندما يقول: "في البدء كان الكلمة، والكلمة كان عند الله، وكان الكلمة الله."  نلاحظ أن يوحنا يبدأ الإنجيل المسمّى باسمه بكلمتي (</w:t>
      </w:r>
      <w:r w:rsidRPr="000D4118">
        <w:rPr>
          <w:rFonts w:eastAsia="Times New Roman"/>
          <w:kern w:val="0"/>
          <w14:ligatures w14:val="none"/>
        </w:rPr>
        <w:t>jEn ajrch/'</w:t>
      </w:r>
      <w:r w:rsidRPr="000D4118">
        <w:rPr>
          <w:rFonts w:eastAsia="Times New Roman"/>
          <w:kern w:val="0"/>
          <w:rtl/>
          <w:lang w:bidi="ar-JO"/>
          <w14:ligatures w14:val="none"/>
        </w:rPr>
        <w:t>)، أي في "البدء"، تماماً كما تبدأ الترجمة السبعينية لتكوين 1: 1 بكلمتي (</w:t>
      </w:r>
      <w:r w:rsidRPr="000D4118">
        <w:rPr>
          <w:rFonts w:eastAsia="Times New Roman"/>
          <w:kern w:val="0"/>
          <w14:ligatures w14:val="none"/>
        </w:rPr>
        <w:t>jEn ajrch/'</w:t>
      </w:r>
      <w:r w:rsidRPr="000D4118">
        <w:rPr>
          <w:rFonts w:eastAsia="Times New Roman"/>
          <w:kern w:val="0"/>
          <w:rtl/>
          <w:lang w:bidi="ar-JO"/>
          <w14:ligatures w14:val="none"/>
        </w:rPr>
        <w:t xml:space="preserve">).  ويبدو أن فكرته هي أن الكلمة (يسوع المسيح) قد كان موجوداً قبل الخليقة، وأن الخليقة جاءت منه مباشرة.  وتريد نظرية "فوضى ما قبل التكوين" أن تقلل من أهمية هذه الحقيقة وذلك بالقول بوجود شكل من الخليقة قبل خليقة سفر التكوين.  أمّا يوحنا فيريد أن يؤكد أن "كل شيء به كان، وبغيره لم يكن شيء مما كان"، وأن يصرّح بهذا وفي ذهنه تكوين 1: 1.  </w:t>
      </w:r>
    </w:p>
    <w:p w14:paraId="754AA62B" w14:textId="77777777" w:rsidR="00E84DB1" w:rsidRPr="000D4118" w:rsidRDefault="00E84DB1"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14:ligatures w14:val="none"/>
        </w:rPr>
      </w:pPr>
    </w:p>
    <w:p w14:paraId="6997C57A" w14:textId="4AEB9CEF" w:rsidR="00F05A86" w:rsidRPr="00C7130A" w:rsidRDefault="00FF57E1" w:rsidP="000558B7">
      <w:pPr>
        <w:pStyle w:val="Heading3"/>
      </w:pPr>
      <w:bookmarkStart w:id="85" w:name="_Toc193030929"/>
      <w:r w:rsidRPr="00C7130A">
        <w:rPr>
          <w:rtl/>
        </w:rPr>
        <w:t xml:space="preserve">آراء </w:t>
      </w:r>
      <w:r w:rsidR="00E26173" w:rsidRPr="00C7130A">
        <w:rPr>
          <w:rtl/>
        </w:rPr>
        <w:t xml:space="preserve">ونظريّات </w:t>
      </w:r>
      <w:r w:rsidRPr="00C7130A">
        <w:rPr>
          <w:rtl/>
        </w:rPr>
        <w:t>مختلفة يتبنّاها إنجيليّون بش</w:t>
      </w:r>
      <w:r w:rsidR="00C478C2" w:rsidRPr="00C7130A">
        <w:rPr>
          <w:rtl/>
        </w:rPr>
        <w:t>أ</w:t>
      </w:r>
      <w:r w:rsidRPr="00C7130A">
        <w:rPr>
          <w:rtl/>
        </w:rPr>
        <w:t>ن رواية الخلق</w:t>
      </w:r>
      <w:bookmarkStart w:id="86" w:name="_Hlk178778030"/>
      <w:bookmarkEnd w:id="85"/>
      <w:r w:rsidRPr="00C7130A">
        <w:rPr>
          <w:rtl/>
        </w:rPr>
        <w:t xml:space="preserve"> </w:t>
      </w:r>
    </w:p>
    <w:p w14:paraId="7CAFD3AA" w14:textId="5F16F9CE" w:rsidR="00D30C23" w:rsidRPr="00C7130A" w:rsidRDefault="005266BC" w:rsidP="007A6F75">
      <w:r w:rsidRPr="00C7130A">
        <w:br/>
      </w:r>
      <w:r w:rsidR="00B07864" w:rsidRPr="00C7130A">
        <w:rPr>
          <w:rtl/>
        </w:rPr>
        <w:t xml:space="preserve">الرأي الذي يتبنّاه </w:t>
      </w:r>
      <w:r w:rsidR="00E26173" w:rsidRPr="00C7130A">
        <w:rPr>
          <w:rtl/>
        </w:rPr>
        <w:t xml:space="preserve">كاتب </w:t>
      </w:r>
      <w:r w:rsidR="00B07864" w:rsidRPr="00C7130A">
        <w:rPr>
          <w:rtl/>
        </w:rPr>
        <w:t xml:space="preserve">هذا المساق بشأن تكوين 1-2 هو ما يُعرَف بـ"نظرة الأرض الفتيّة". تتعامل هذه النظرة بحرفيّة كبيرة مع رواية الخلق، وهو الفهم التقليدي الذي تبنته الكنيسة. بحسب هذه النظرة، خلق الله الكون في ستّة أيّام. ولكن هناك بعض العلماء الإنجيليّين الذين يتبنّون آراء مختلفة بشأن رواية الخلق. والقائمة التالية تذكر ثمانية آراء ونظرات بشأن </w:t>
      </w:r>
      <w:r w:rsidR="00123E49" w:rsidRPr="00C7130A">
        <w:rPr>
          <w:rtl/>
        </w:rPr>
        <w:t xml:space="preserve">رواية الخلق تبنّاها عالمٌ إنجيليٌّ أو أكثر. وتبدأ هذه القائمة بالرأي الأكثر حرفيّةً، ثم تنتقل إلى الأقل حرفيّة بصورة تدريجيّة. </w:t>
      </w:r>
    </w:p>
    <w:p w14:paraId="5E9A2A61" w14:textId="1EA3F41B" w:rsidR="005266BC" w:rsidRPr="007A6F75" w:rsidRDefault="00123E49" w:rsidP="00C7130A">
      <w:pPr>
        <w:tabs>
          <w:tab w:val="left" w:pos="540"/>
        </w:tabs>
      </w:pPr>
      <w:r w:rsidRPr="007A6F75">
        <w:rPr>
          <w:rtl/>
        </w:rPr>
        <w:t>1.</w:t>
      </w:r>
      <w:r w:rsidR="005266BC" w:rsidRPr="007A6F75">
        <w:tab/>
      </w:r>
      <w:r w:rsidRPr="007A6F75">
        <w:rPr>
          <w:b/>
          <w:bCs/>
          <w:rtl/>
        </w:rPr>
        <w:t>نظرة الأرض الفتية</w:t>
      </w:r>
      <w:r w:rsidRPr="007A6F75">
        <w:rPr>
          <w:rtl/>
        </w:rPr>
        <w:t xml:space="preserve"> </w:t>
      </w:r>
    </w:p>
    <w:p w14:paraId="1A5E0F38" w14:textId="36B1E955" w:rsidR="005266BC" w:rsidRPr="00A128E3" w:rsidRDefault="00123E49" w:rsidP="00C7130A">
      <w:pPr>
        <w:pStyle w:val="Quote"/>
        <w:tabs>
          <w:tab w:val="left" w:pos="540"/>
        </w:tabs>
        <w:rPr>
          <w:rFonts w:ascii="Arabic Typesetting" w:hAnsi="Arabic Typesetting" w:cs="Arabic Typesetting"/>
          <w:i/>
          <w:iCs w:val="0"/>
          <w:color w:val="auto"/>
          <w:sz w:val="36"/>
        </w:rPr>
      </w:pPr>
      <w:r w:rsidRPr="00A128E3">
        <w:rPr>
          <w:rFonts w:ascii="Arabic Typesetting" w:hAnsi="Arabic Typesetting" w:cs="Arabic Typesetting"/>
          <w:i/>
          <w:iCs w:val="0"/>
          <w:color w:val="auto"/>
          <w:sz w:val="36"/>
          <w:rtl/>
        </w:rPr>
        <w:t xml:space="preserve">هذا هو الرأي التقليدي بشأن الخلق. بحسب هذا الرأي، خلق الله كلَّ شيءٍ في ستّة أيّام حرفيّة متتالية، بدءًا بتكوين 1: 1. تصوِّر الآية 2 الأرض في مرحلتها غير المكتملة، قبل أن يكون الله قد شكَّل السماء والأرض وملأهما (في الآية 3 وما يليها). يُعتقَد بأن هذا الخلق الأوّل قد حدث قبل بضعة آلافٍ من السنين (وليس ملايين السنين). </w:t>
      </w:r>
    </w:p>
    <w:p w14:paraId="307623D4" w14:textId="56FD07D8" w:rsidR="00946A6A" w:rsidRPr="007A6F75" w:rsidRDefault="00123E49" w:rsidP="00C7130A">
      <w:pPr>
        <w:tabs>
          <w:tab w:val="left" w:pos="540"/>
        </w:tabs>
      </w:pPr>
      <w:r w:rsidRPr="007A6F75">
        <w:rPr>
          <w:rtl/>
        </w:rPr>
        <w:t>2.</w:t>
      </w:r>
      <w:r w:rsidR="00946A6A" w:rsidRPr="007A6F75">
        <w:tab/>
      </w:r>
      <w:r w:rsidRPr="007A6F75">
        <w:rPr>
          <w:b/>
          <w:bCs/>
          <w:rtl/>
        </w:rPr>
        <w:t>نظرية الفجوة</w:t>
      </w:r>
    </w:p>
    <w:p w14:paraId="757C2700" w14:textId="4C32845B" w:rsidR="00946A6A" w:rsidRPr="00A128E3" w:rsidRDefault="00123E49" w:rsidP="00C7130A">
      <w:pPr>
        <w:pStyle w:val="Quote"/>
        <w:rPr>
          <w:rFonts w:ascii="Arabic Typesetting" w:hAnsi="Arabic Typesetting" w:cs="Arabic Typesetting"/>
          <w:i/>
          <w:iCs w:val="0"/>
          <w:color w:val="auto"/>
          <w:sz w:val="36"/>
        </w:rPr>
      </w:pPr>
      <w:r w:rsidRPr="00A128E3">
        <w:rPr>
          <w:rFonts w:ascii="Arabic Typesetting" w:hAnsi="Arabic Typesetting" w:cs="Arabic Typesetting"/>
          <w:i/>
          <w:iCs w:val="0"/>
          <w:color w:val="auto"/>
          <w:sz w:val="36"/>
          <w:rtl/>
        </w:rPr>
        <w:t>هذا رأيٌ حرفيّ بدرجة معقولة بشأن الخلق، إلا أنّه يفترض وجود فجوة زمنية (ربما تمتدّ إلى بلايين السنين) ما بين الخلق الأصلي في تكوين 1: 1 وما يُرى في الآية 2. يُفترَض في هذه النظرية أن الآية 2 تصوِّر "أرضًا مُدانة" نتيجةً لتمرُّد الشيطان، ولا تصوِّر الحالة الأولى لخلق الله، كما تُفهَم في "نظرة الأرض الفتيّة". ولذا، فإنّه بدءًا بالآية 3، نلاحظ إعادة خلقٍ من جديد في ستّة أيّام</w:t>
      </w:r>
      <w:r w:rsidR="00E26173" w:rsidRPr="00A128E3">
        <w:rPr>
          <w:rFonts w:ascii="Arabic Typesetting" w:hAnsi="Arabic Typesetting" w:cs="Arabic Typesetting"/>
          <w:i/>
          <w:iCs w:val="0"/>
          <w:color w:val="auto"/>
          <w:sz w:val="36"/>
          <w:rtl/>
        </w:rPr>
        <w:t xml:space="preserve"> حرفيّة</w:t>
      </w:r>
      <w:r w:rsidRPr="00A128E3">
        <w:rPr>
          <w:rFonts w:ascii="Arabic Typesetting" w:hAnsi="Arabic Typesetting" w:cs="Arabic Typesetting"/>
          <w:i/>
          <w:iCs w:val="0"/>
          <w:color w:val="auto"/>
          <w:sz w:val="36"/>
          <w:rtl/>
        </w:rPr>
        <w:t xml:space="preserve">. </w:t>
      </w:r>
    </w:p>
    <w:p w14:paraId="58DD6A68" w14:textId="2F71B505" w:rsidR="00946A6A" w:rsidRPr="007A6F75" w:rsidRDefault="00123E49" w:rsidP="00C7130A">
      <w:pPr>
        <w:tabs>
          <w:tab w:val="left" w:pos="540"/>
        </w:tabs>
      </w:pPr>
      <w:r w:rsidRPr="007A6F75">
        <w:rPr>
          <w:rtl/>
        </w:rPr>
        <w:t>3.</w:t>
      </w:r>
      <w:r w:rsidR="00946A6A" w:rsidRPr="007A6F75">
        <w:tab/>
      </w:r>
      <w:r w:rsidRPr="007A6F75">
        <w:rPr>
          <w:b/>
          <w:bCs/>
          <w:rtl/>
        </w:rPr>
        <w:t>نظرية فوضى</w:t>
      </w:r>
      <w:r w:rsidR="00E26173" w:rsidRPr="007A6F75">
        <w:rPr>
          <w:b/>
          <w:bCs/>
          <w:rtl/>
        </w:rPr>
        <w:t xml:space="preserve"> ما</w:t>
      </w:r>
      <w:r w:rsidRPr="007A6F75">
        <w:rPr>
          <w:b/>
          <w:bCs/>
          <w:rtl/>
        </w:rPr>
        <w:t xml:space="preserve"> قبل الخلق</w:t>
      </w:r>
      <w:r w:rsidRPr="007A6F75">
        <w:rPr>
          <w:rtl/>
        </w:rPr>
        <w:t xml:space="preserve"> </w:t>
      </w:r>
    </w:p>
    <w:p w14:paraId="3E8BA38A" w14:textId="058BE8EA" w:rsidR="00946A6A" w:rsidRPr="00A128E3" w:rsidRDefault="00CD4BE9" w:rsidP="00C7130A">
      <w:pPr>
        <w:pStyle w:val="Quote"/>
        <w:rPr>
          <w:rFonts w:ascii="Arabic Typesetting" w:hAnsi="Arabic Typesetting" w:cs="Arabic Typesetting"/>
          <w:i/>
          <w:iCs w:val="0"/>
          <w:color w:val="auto"/>
          <w:sz w:val="36"/>
        </w:rPr>
      </w:pPr>
      <w:r w:rsidRPr="00A128E3">
        <w:rPr>
          <w:rFonts w:ascii="Arabic Typesetting" w:hAnsi="Arabic Typesetting" w:cs="Arabic Typesetting"/>
          <w:i/>
          <w:iCs w:val="0"/>
          <w:color w:val="auto"/>
          <w:sz w:val="36"/>
          <w:rtl/>
        </w:rPr>
        <w:t xml:space="preserve">بحسب هذه النظريّة، يمثِّل تكوين 1: 1 مُلخَّصًا لكامل الأصحاح لا المرحلة الأولى في الخلق. </w:t>
      </w:r>
    </w:p>
    <w:p w14:paraId="59892D48" w14:textId="552F08CF" w:rsidR="00946A6A" w:rsidRPr="007A6F75" w:rsidRDefault="00123E49" w:rsidP="00C7130A">
      <w:pPr>
        <w:tabs>
          <w:tab w:val="left" w:pos="540"/>
        </w:tabs>
      </w:pPr>
      <w:r w:rsidRPr="007A6F75">
        <w:rPr>
          <w:rtl/>
        </w:rPr>
        <w:t>4.</w:t>
      </w:r>
      <w:r w:rsidR="00946A6A" w:rsidRPr="007A6F75">
        <w:tab/>
      </w:r>
      <w:r w:rsidRPr="007A6F75">
        <w:rPr>
          <w:b/>
          <w:bCs/>
          <w:rtl/>
        </w:rPr>
        <w:t>نظرة أرض الموعد</w:t>
      </w:r>
      <w:r w:rsidRPr="007A6F75">
        <w:rPr>
          <w:rtl/>
        </w:rPr>
        <w:t xml:space="preserve"> </w:t>
      </w:r>
    </w:p>
    <w:p w14:paraId="106B8562" w14:textId="383A4706" w:rsidR="00946A6A" w:rsidRPr="00A128E3" w:rsidRDefault="00CD4BE9" w:rsidP="00C7130A">
      <w:pPr>
        <w:pStyle w:val="Quote"/>
        <w:rPr>
          <w:rFonts w:ascii="Arabic Typesetting" w:hAnsi="Arabic Typesetting" w:cs="Arabic Typesetting"/>
          <w:i/>
          <w:iCs w:val="0"/>
          <w:color w:val="auto"/>
          <w:sz w:val="36"/>
        </w:rPr>
      </w:pPr>
      <w:r w:rsidRPr="00A128E3">
        <w:rPr>
          <w:rFonts w:ascii="Arabic Typesetting" w:hAnsi="Arabic Typesetting" w:cs="Arabic Typesetting"/>
          <w:i/>
          <w:iCs w:val="0"/>
          <w:color w:val="auto"/>
          <w:sz w:val="36"/>
          <w:rtl/>
        </w:rPr>
        <w:lastRenderedPageBreak/>
        <w:t>بحسب هذا الرأي، يصوِّر تكوين 1: 1 خلق كامل الكون عبر ملايين السنوات (وربما بلايينها). تصف الآية 3 وما يلي عمل الله لتهيئة أرض الموعد (= جنة عدن) لإسرائيل. [الكلمة العبرية "إرص"</w:t>
      </w:r>
      <w:r w:rsidR="00E26173" w:rsidRPr="00A128E3">
        <w:rPr>
          <w:rFonts w:ascii="Arabic Typesetting" w:hAnsi="Arabic Typesetting" w:cs="Arabic Typesetting"/>
          <w:i/>
          <w:iCs w:val="0"/>
          <w:color w:val="auto"/>
          <w:sz w:val="36"/>
          <w:rtl/>
        </w:rPr>
        <w:t xml:space="preserve"> </w:t>
      </w:r>
      <w:r w:rsidRPr="00A128E3">
        <w:rPr>
          <w:rFonts w:ascii="Arabic Typesetting" w:hAnsi="Arabic Typesetting" w:cs="Arabic Typesetting"/>
          <w:i/>
          <w:iCs w:val="0"/>
          <w:color w:val="auto"/>
          <w:sz w:val="36"/>
          <w:rtl/>
        </w:rPr>
        <w:t>(</w:t>
      </w:r>
      <w:r w:rsidR="00673151" w:rsidRPr="00A128E3">
        <w:rPr>
          <w:rFonts w:ascii="Arabic Typesetting" w:eastAsia="Calibri" w:hAnsi="Arabic Typesetting" w:cs="Arabic Typesetting"/>
          <w:i/>
          <w:color w:val="auto"/>
          <w:sz w:val="36"/>
          <w:rtl/>
          <w:lang w:bidi="he-IL"/>
        </w:rPr>
        <w:t xml:space="preserve"> </w:t>
      </w:r>
      <w:r w:rsidR="00673151" w:rsidRPr="00A128E3">
        <w:rPr>
          <w:rFonts w:ascii="Times New Roman" w:eastAsia="Calibri" w:hAnsi="Times New Roman" w:cs="Times New Roman" w:hint="cs"/>
          <w:i/>
          <w:color w:val="auto"/>
          <w:sz w:val="36"/>
          <w:rtl/>
          <w:lang w:bidi="he-IL"/>
        </w:rPr>
        <w:t>אֶ֫רֶץ</w:t>
      </w:r>
      <w:r w:rsidRPr="00A128E3">
        <w:rPr>
          <w:rFonts w:ascii="Arabic Typesetting" w:hAnsi="Arabic Typesetting" w:cs="Arabic Typesetting"/>
          <w:i/>
          <w:iCs w:val="0"/>
          <w:color w:val="auto"/>
          <w:sz w:val="36"/>
          <w:rtl/>
        </w:rPr>
        <w:t>) يمكن أن تعني أرض أو قطعة أرض.]</w:t>
      </w:r>
    </w:p>
    <w:p w14:paraId="2317AFF7" w14:textId="3F57CE2D" w:rsidR="00946A6A" w:rsidRPr="007A6F75" w:rsidRDefault="00123E49" w:rsidP="00C7130A">
      <w:pPr>
        <w:tabs>
          <w:tab w:val="left" w:pos="540"/>
        </w:tabs>
      </w:pPr>
      <w:r w:rsidRPr="007A6F75">
        <w:rPr>
          <w:rtl/>
        </w:rPr>
        <w:t>5.</w:t>
      </w:r>
      <w:r w:rsidR="00946A6A" w:rsidRPr="007A6F75">
        <w:tab/>
      </w:r>
      <w:r w:rsidRPr="007A6F75">
        <w:rPr>
          <w:b/>
          <w:bCs/>
          <w:rtl/>
        </w:rPr>
        <w:t>آراء الأرض القديمة</w:t>
      </w:r>
      <w:r w:rsidRPr="007A6F75">
        <w:rPr>
          <w:rtl/>
        </w:rPr>
        <w:t xml:space="preserve"> </w:t>
      </w:r>
    </w:p>
    <w:p w14:paraId="393BF570" w14:textId="69DDE5D4" w:rsidR="00946A6A" w:rsidRPr="00A128E3" w:rsidRDefault="00673151" w:rsidP="00C7130A">
      <w:pPr>
        <w:pStyle w:val="Quote"/>
        <w:rPr>
          <w:rFonts w:ascii="Arabic Typesetting" w:hAnsi="Arabic Typesetting" w:cs="Arabic Typesetting"/>
          <w:i/>
          <w:iCs w:val="0"/>
          <w:color w:val="auto"/>
          <w:sz w:val="36"/>
        </w:rPr>
      </w:pPr>
      <w:r w:rsidRPr="00A128E3">
        <w:rPr>
          <w:rFonts w:ascii="Arabic Typesetting" w:hAnsi="Arabic Typesetting" w:cs="Arabic Typesetting"/>
          <w:i/>
          <w:iCs w:val="0"/>
          <w:color w:val="auto"/>
          <w:sz w:val="36"/>
          <w:rtl/>
        </w:rPr>
        <w:t xml:space="preserve">ليست "الأيام" أيّامًا مُؤلَّفة من أربعٍ وعشرين ساعة. ولذا، فإن أسبوع الخلق المؤلَّف من "ستّة أيّام" يشمل ملايين السنين في الحقيقة. بحسب "رأي اليوم – حقبة"، يمثِّل كلُّ يومٍ ملايين السنوات. وثمة رأي مرتبط (يُدعى "نظرة اليوم المتقطع – الحقبة") يرى أن كلّ يومٍ يتألَّف من أربعٍ وعشرين ساعة، ولكنّ هذه الأيّام مفصولة بملايين السنين بين كلّ يومين متتاليين. </w:t>
      </w:r>
    </w:p>
    <w:p w14:paraId="3DBAA05B" w14:textId="601725C8" w:rsidR="00946A6A" w:rsidRPr="007A6F75" w:rsidRDefault="00123E49" w:rsidP="00C7130A">
      <w:pPr>
        <w:tabs>
          <w:tab w:val="left" w:pos="540"/>
        </w:tabs>
      </w:pPr>
      <w:r w:rsidRPr="007A6F75">
        <w:rPr>
          <w:rtl/>
        </w:rPr>
        <w:t>6.</w:t>
      </w:r>
      <w:r w:rsidR="00946A6A" w:rsidRPr="007A6F75">
        <w:tab/>
      </w:r>
      <w:r w:rsidRPr="007A6F75">
        <w:rPr>
          <w:b/>
          <w:bCs/>
          <w:rtl/>
        </w:rPr>
        <w:t>آراء الأيّام المجازيّة</w:t>
      </w:r>
      <w:r w:rsidRPr="007A6F75">
        <w:rPr>
          <w:rtl/>
        </w:rPr>
        <w:t xml:space="preserve"> </w:t>
      </w:r>
    </w:p>
    <w:p w14:paraId="6500B75F" w14:textId="50E5A578" w:rsidR="00946A6A" w:rsidRPr="00A128E3" w:rsidRDefault="00673151" w:rsidP="00C7130A">
      <w:pPr>
        <w:pStyle w:val="Quote"/>
        <w:rPr>
          <w:rFonts w:ascii="Arabic Typesetting" w:hAnsi="Arabic Typesetting" w:cs="Arabic Typesetting"/>
          <w:i/>
          <w:iCs w:val="0"/>
          <w:color w:val="auto"/>
          <w:sz w:val="36"/>
        </w:rPr>
      </w:pPr>
      <w:r w:rsidRPr="00A128E3">
        <w:rPr>
          <w:rFonts w:ascii="Arabic Typesetting" w:hAnsi="Arabic Typesetting" w:cs="Arabic Typesetting"/>
          <w:i/>
          <w:iCs w:val="0"/>
          <w:color w:val="auto"/>
          <w:sz w:val="36"/>
          <w:rtl/>
        </w:rPr>
        <w:t>يعتمد هذا النهج على التحليل الأدبي لفهم أيّام الأسبوع بمعنى مجازيّ. يعتقد أحد أشكال هذا الموقف ("رأي الإطار") أن</w:t>
      </w:r>
      <w:r w:rsidR="00A17686" w:rsidRPr="00A128E3">
        <w:rPr>
          <w:rFonts w:ascii="Arabic Typesetting" w:hAnsi="Arabic Typesetting" w:cs="Arabic Typesetting"/>
          <w:i/>
          <w:iCs w:val="0"/>
          <w:color w:val="auto"/>
          <w:sz w:val="36"/>
          <w:rtl/>
        </w:rPr>
        <w:t>ّ</w:t>
      </w:r>
      <w:r w:rsidRPr="00A128E3">
        <w:rPr>
          <w:rFonts w:ascii="Arabic Typesetting" w:hAnsi="Arabic Typesetting" w:cs="Arabic Typesetting"/>
          <w:i/>
          <w:iCs w:val="0"/>
          <w:color w:val="auto"/>
          <w:sz w:val="36"/>
          <w:rtl/>
        </w:rPr>
        <w:t xml:space="preserve"> الأيّام ليست أيّامًا حرفيّة (من 24 ساعة)، ولا هي متسلسلة، بل تُستخدَم هذه الأيّام لتقديم </w:t>
      </w:r>
      <w:r w:rsidR="008122D5" w:rsidRPr="00A128E3">
        <w:rPr>
          <w:rFonts w:ascii="Arabic Typesetting" w:hAnsi="Arabic Typesetting" w:cs="Arabic Typesetting"/>
          <w:i/>
          <w:iCs w:val="0"/>
          <w:color w:val="auto"/>
          <w:sz w:val="36"/>
          <w:rtl/>
        </w:rPr>
        <w:t>فكرٍ لاهوتيّ</w:t>
      </w:r>
      <w:r w:rsidRPr="00A128E3">
        <w:rPr>
          <w:rFonts w:ascii="Arabic Typesetting" w:hAnsi="Arabic Typesetting" w:cs="Arabic Typesetting"/>
          <w:i/>
          <w:iCs w:val="0"/>
          <w:color w:val="auto"/>
          <w:sz w:val="36"/>
          <w:rtl/>
        </w:rPr>
        <w:t xml:space="preserve">. ويعبِّر آخرون عن آراء شبيهة ("رأي اليوم الأدبي" و"رأي الأيام المتناظرة"). </w:t>
      </w:r>
    </w:p>
    <w:p w14:paraId="4475018F" w14:textId="089A6BB8" w:rsidR="00946A6A" w:rsidRPr="007A6F75" w:rsidRDefault="00123E49" w:rsidP="00C7130A">
      <w:pPr>
        <w:tabs>
          <w:tab w:val="left" w:pos="540"/>
        </w:tabs>
      </w:pPr>
      <w:r w:rsidRPr="007A6F75">
        <w:rPr>
          <w:rtl/>
        </w:rPr>
        <w:t>7.</w:t>
      </w:r>
      <w:r w:rsidR="00946A6A" w:rsidRPr="007A6F75">
        <w:tab/>
      </w:r>
      <w:r w:rsidRPr="007A6F75">
        <w:rPr>
          <w:b/>
          <w:bCs/>
          <w:rtl/>
        </w:rPr>
        <w:t>رأي الهيكل الكوني</w:t>
      </w:r>
      <w:r w:rsidRPr="007A6F75">
        <w:rPr>
          <w:rtl/>
        </w:rPr>
        <w:t xml:space="preserve"> </w:t>
      </w:r>
    </w:p>
    <w:p w14:paraId="120E7B53" w14:textId="17DB2D59" w:rsidR="00946A6A" w:rsidRPr="00A128E3" w:rsidRDefault="00464648" w:rsidP="00C7130A">
      <w:pPr>
        <w:pStyle w:val="Quote"/>
        <w:rPr>
          <w:rFonts w:ascii="Arabic Typesetting" w:hAnsi="Arabic Typesetting" w:cs="Arabic Typesetting"/>
          <w:i/>
          <w:iCs w:val="0"/>
          <w:color w:val="auto"/>
          <w:sz w:val="36"/>
        </w:rPr>
      </w:pPr>
      <w:r w:rsidRPr="00A128E3">
        <w:rPr>
          <w:rFonts w:ascii="Arabic Typesetting" w:hAnsi="Arabic Typesetting" w:cs="Arabic Typesetting"/>
          <w:i/>
          <w:iCs w:val="0"/>
          <w:color w:val="auto"/>
          <w:sz w:val="36"/>
          <w:rtl/>
        </w:rPr>
        <w:t>بحسب هذا الرأي، يُفترَض أن تكوين 1-2 لا يتعلَّق بالخلق المادي، بل بالله الذي يعطي ويحدِّد وظيفةً لأشياء موجودة مُسبَقًا. يُعَد</w:t>
      </w:r>
      <w:r w:rsidR="00A17686" w:rsidRPr="00A128E3">
        <w:rPr>
          <w:rFonts w:ascii="Arabic Typesetting" w:hAnsi="Arabic Typesetting" w:cs="Arabic Typesetting"/>
          <w:i/>
          <w:iCs w:val="0"/>
          <w:color w:val="auto"/>
          <w:sz w:val="36"/>
          <w:rtl/>
        </w:rPr>
        <w:t>ُّ</w:t>
      </w:r>
      <w:r w:rsidRPr="00A128E3">
        <w:rPr>
          <w:rFonts w:ascii="Arabic Typesetting" w:hAnsi="Arabic Typesetting" w:cs="Arabic Typesetting"/>
          <w:i/>
          <w:iCs w:val="0"/>
          <w:color w:val="auto"/>
          <w:sz w:val="36"/>
          <w:rtl/>
        </w:rPr>
        <w:t xml:space="preserve"> الفضاء الكوني ليكون بمثابة هيكلٍ لله سيحكم فيه. يعتمد هذا الرأي (الذي يعتنقه جون والتون) بصورة كبيرة على المقارنة مع كتابات الشرق الأدنى القديم. </w:t>
      </w:r>
    </w:p>
    <w:p w14:paraId="33AB501E" w14:textId="78B7F22B" w:rsidR="00946A6A" w:rsidRPr="007A6F75" w:rsidRDefault="00123E49" w:rsidP="00C7130A">
      <w:pPr>
        <w:tabs>
          <w:tab w:val="left" w:pos="540"/>
        </w:tabs>
      </w:pPr>
      <w:r w:rsidRPr="007A6F75">
        <w:rPr>
          <w:rtl/>
        </w:rPr>
        <w:t>8.</w:t>
      </w:r>
      <w:r w:rsidR="00946A6A" w:rsidRPr="007A6F75">
        <w:tab/>
      </w:r>
      <w:r w:rsidRPr="007A6F75">
        <w:rPr>
          <w:b/>
          <w:bCs/>
          <w:rtl/>
        </w:rPr>
        <w:t>رأي التطوُّر الإلهي</w:t>
      </w:r>
    </w:p>
    <w:p w14:paraId="0BB472B2" w14:textId="38E374DE" w:rsidR="00946A6A" w:rsidRPr="00A128E3" w:rsidRDefault="00464648" w:rsidP="00C7130A">
      <w:pPr>
        <w:pStyle w:val="Quote"/>
        <w:rPr>
          <w:rFonts w:ascii="Arabic Typesetting" w:hAnsi="Arabic Typesetting" w:cs="Arabic Typesetting"/>
          <w:i/>
          <w:iCs w:val="0"/>
          <w:color w:val="auto"/>
          <w:sz w:val="36"/>
          <w:rtl/>
          <w:lang w:bidi="ar-JO"/>
        </w:rPr>
      </w:pPr>
      <w:r w:rsidRPr="00A128E3">
        <w:rPr>
          <w:rFonts w:ascii="Arabic Typesetting" w:hAnsi="Arabic Typesetting" w:cs="Arabic Typesetting"/>
          <w:i/>
          <w:iCs w:val="0"/>
          <w:color w:val="auto"/>
          <w:sz w:val="36"/>
          <w:rtl/>
        </w:rPr>
        <w:t>هذا رأي يعتقد بالتطوُّر في ما يختصّ بالأصول</w:t>
      </w:r>
      <w:r w:rsidR="00411EFF" w:rsidRPr="00A128E3">
        <w:rPr>
          <w:rFonts w:ascii="Arabic Typesetting" w:hAnsi="Arabic Typesetting" w:cs="Arabic Typesetting"/>
          <w:i/>
          <w:iCs w:val="0"/>
          <w:color w:val="auto"/>
          <w:sz w:val="36"/>
          <w:rtl/>
        </w:rPr>
        <w:t xml:space="preserve">، </w:t>
      </w:r>
      <w:r w:rsidR="00411EFF" w:rsidRPr="00A128E3">
        <w:rPr>
          <w:rFonts w:ascii="Arabic Typesetting" w:hAnsi="Arabic Typesetting" w:cs="Arabic Typesetting"/>
          <w:i/>
          <w:iCs w:val="0"/>
          <w:color w:val="auto"/>
          <w:sz w:val="36"/>
          <w:rtl/>
          <w:lang w:bidi="ar-JO"/>
        </w:rPr>
        <w:t xml:space="preserve">ولكن بمشاركةِ الله وانخراطه. بحسب هذا الرأي، يُفترَض أن الله استخدم العمليات الطبيعية، أي التطوُّر ليخلق كلَّ شيءٍ (أي النجوم والأرض والنباتات والحيوانات والجنس البشري) عبر ملايين السنين. كثيرون من الذين يدافعون عن هذا الرأي (ولكن ليس جميعهم) يفهمون سفر التكوين بمعنى مجازي، وينكِرون آدم وحواء التاريخيّين. </w:t>
      </w:r>
    </w:p>
    <w:bookmarkEnd w:id="86"/>
    <w:p w14:paraId="534E942E" w14:textId="78435B54" w:rsidR="00E07E64" w:rsidRPr="007A6F75" w:rsidRDefault="00E07E64" w:rsidP="00C7130A"/>
    <w:p w14:paraId="330874E4" w14:textId="17E08C70" w:rsidR="008D4481" w:rsidRPr="00C7130A" w:rsidRDefault="00E41548" w:rsidP="00E80A44">
      <w:pPr>
        <w:pStyle w:val="Heading2"/>
        <w:rPr>
          <w:rtl/>
        </w:rPr>
      </w:pPr>
      <w:r w:rsidRPr="007A6F75">
        <w:rPr>
          <w:rFonts w:eastAsia="Calibri"/>
          <w:strike/>
          <w:sz w:val="36"/>
          <w:szCs w:val="36"/>
        </w:rPr>
        <w:br w:type="page"/>
      </w:r>
      <w:bookmarkStart w:id="87" w:name="_Toc193030930"/>
      <w:r w:rsidR="005F258D" w:rsidRPr="00C7130A">
        <w:rPr>
          <w:rtl/>
        </w:rPr>
        <w:lastRenderedPageBreak/>
        <w:t>الدرس 3: قصّة السقوط وانتشار الخطية والطوفان</w:t>
      </w:r>
      <w:bookmarkEnd w:id="87"/>
      <w:r w:rsidR="005F258D" w:rsidRPr="00C7130A">
        <w:rPr>
          <w:rtl/>
        </w:rPr>
        <w:t xml:space="preserve"> </w:t>
      </w:r>
    </w:p>
    <w:p w14:paraId="7F0CB07B" w14:textId="3BF7B83B" w:rsidR="00311C51" w:rsidRPr="00F44A83" w:rsidRDefault="00F44A83" w:rsidP="00F44A83">
      <w:pPr>
        <w:tabs>
          <w:tab w:val="left" w:pos="0"/>
          <w:tab w:val="left" w:pos="540"/>
          <w:tab w:val="left" w:pos="1080"/>
          <w:tab w:val="left" w:pos="1620"/>
          <w:tab w:val="left" w:pos="2160"/>
          <w:tab w:val="left" w:pos="2700"/>
          <w:tab w:val="left" w:pos="3240"/>
          <w:tab w:val="left" w:pos="3780"/>
          <w:tab w:val="left" w:pos="4320"/>
          <w:tab w:val="left" w:pos="4860"/>
        </w:tabs>
        <w:spacing w:after="200"/>
        <w:jc w:val="center"/>
        <w:rPr>
          <w:rFonts w:eastAsia="Calibri"/>
          <w:b/>
          <w:bCs/>
          <w:kern w:val="0"/>
          <w:sz w:val="52"/>
          <w:szCs w:val="52"/>
          <w14:ligatures w14:val="none"/>
        </w:rPr>
      </w:pPr>
      <w:bookmarkStart w:id="88" w:name="_Toc193030931"/>
      <w:r w:rsidRPr="00F44A83">
        <w:rPr>
          <w:b/>
          <w:bCs/>
          <w:sz w:val="52"/>
          <w:szCs w:val="52"/>
          <w:rtl/>
        </w:rPr>
        <w:t>(تكوين 2: 4: 11: 26)</w:t>
      </w:r>
      <w:bookmarkEnd w:id="88"/>
    </w:p>
    <w:p w14:paraId="66792FA2" w14:textId="42A59108" w:rsidR="008D4481" w:rsidRPr="00747D0A" w:rsidRDefault="005F258D" w:rsidP="000558B7">
      <w:pPr>
        <w:pStyle w:val="Heading3"/>
      </w:pPr>
      <w:bookmarkStart w:id="89" w:name="_Toc193030932"/>
      <w:r w:rsidRPr="00C7130A">
        <w:rPr>
          <w:rtl/>
        </w:rPr>
        <w:t>مُقدِّمة الدرس</w:t>
      </w:r>
      <w:bookmarkEnd w:id="89"/>
    </w:p>
    <w:p w14:paraId="07733F4B" w14:textId="20096A34" w:rsidR="009D3B46" w:rsidRPr="00C7130A" w:rsidRDefault="009D3B46" w:rsidP="00747D0A">
      <w:pPr>
        <w:rPr>
          <w:rtl/>
        </w:rPr>
      </w:pPr>
      <w:r w:rsidRPr="00C7130A">
        <w:rPr>
          <w:rtl/>
        </w:rPr>
        <w:t>نظرنا في الدرس السابق إلى الرواية الكتابيّة للخلق الأصلي. خلق الله الخليقة كاملةً في ستّ</w:t>
      </w:r>
      <w:r w:rsidR="007A2814" w:rsidRPr="00C7130A">
        <w:rPr>
          <w:rtl/>
        </w:rPr>
        <w:t>ة</w:t>
      </w:r>
      <w:r w:rsidRPr="00C7130A">
        <w:rPr>
          <w:rtl/>
        </w:rPr>
        <w:t xml:space="preserve"> أيّام فقط، ومن ثمّ أعطى الرجل الأوّل والمرأة الأولى مسؤولية أن يحكما ما كان قد خلقه ويتسلّطا عليه. سيكشف هذا الدرس عما </w:t>
      </w:r>
      <w:r w:rsidR="007A2814" w:rsidRPr="00C7130A">
        <w:rPr>
          <w:rtl/>
        </w:rPr>
        <w:t>حدث</w:t>
      </w:r>
      <w:r w:rsidRPr="00C7130A">
        <w:rPr>
          <w:rtl/>
        </w:rPr>
        <w:t xml:space="preserve"> لتلك الخليقة الأصليّة. وبصورة مُحدّدة، دخلت الخطيّة </w:t>
      </w:r>
      <w:r w:rsidR="007A2814" w:rsidRPr="00C7130A">
        <w:rPr>
          <w:rtl/>
        </w:rPr>
        <w:t xml:space="preserve">من خلال </w:t>
      </w:r>
      <w:r w:rsidRPr="00C7130A">
        <w:rPr>
          <w:rtl/>
        </w:rPr>
        <w:t>عصيان أوّل زوجَين، ممّا لوّث طبيعتهما وأفسد العالم الذي كانا يعيشان فيه. ونتيجةً لهذا، ماتا روحيًّا حين عصيا، وماتا جسديًّا في النهاية. طبيعة الخطية هذه التي صارت طبيعتهما انتقلت إلى كل الأجيال التالية. توثِّق الأصحاحات الرابع إلى السادس من سفر التكوين كيف انتشرت الخطية في الحضارة البشرية، مم</w:t>
      </w:r>
      <w:r w:rsidR="008A15CE" w:rsidRPr="00C7130A">
        <w:rPr>
          <w:rtl/>
        </w:rPr>
        <w:t>ّ</w:t>
      </w:r>
      <w:r w:rsidRPr="00C7130A">
        <w:rPr>
          <w:rtl/>
        </w:rPr>
        <w:t>ا أدّى إلى فساد أخلاقي وضلالٍ عن الله. وحتّى الطوفان الكوني الذي أباد كل</w:t>
      </w:r>
      <w:r w:rsidR="008A15CE" w:rsidRPr="00C7130A">
        <w:rPr>
          <w:rtl/>
        </w:rPr>
        <w:t>ّ</w:t>
      </w:r>
      <w:r w:rsidRPr="00C7130A">
        <w:rPr>
          <w:rtl/>
        </w:rPr>
        <w:t xml:space="preserve"> البشر والحياة الحيوانيّة، إلّا م</w:t>
      </w:r>
      <w:r w:rsidR="008A15CE" w:rsidRPr="00C7130A">
        <w:rPr>
          <w:rtl/>
        </w:rPr>
        <w:t>َ</w:t>
      </w:r>
      <w:r w:rsidRPr="00C7130A">
        <w:rPr>
          <w:rtl/>
        </w:rPr>
        <w:t>ن كان مع نوح في الفلك، لم يتمكَّن من تصحيح الوضع البشري. وفي الأجيال التي تلت نوح، ابتعد الجنس البشر</w:t>
      </w:r>
      <w:r w:rsidR="008A15CE" w:rsidRPr="00C7130A">
        <w:rPr>
          <w:rtl/>
        </w:rPr>
        <w:t>ي</w:t>
      </w:r>
      <w:r w:rsidRPr="00C7130A">
        <w:rPr>
          <w:rtl/>
        </w:rPr>
        <w:t xml:space="preserve"> عن الله، فاصلًا نفسه عن بركات الله. </w:t>
      </w:r>
      <w:r w:rsidR="00A04D56" w:rsidRPr="00C7130A">
        <w:rPr>
          <w:rtl/>
        </w:rPr>
        <w:t xml:space="preserve">تمهِّد مادّة تكوين 2: 4-11 لمسرح الأحداث، وتشرح الحاجة إلى خلق أمّة جديدة بدءًا بإبراهيم. </w:t>
      </w:r>
    </w:p>
    <w:p w14:paraId="6FA99D44" w14:textId="77777777" w:rsidR="009D3B46" w:rsidRPr="00C7130A" w:rsidRDefault="009D3B46"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p>
    <w:p w14:paraId="7C2531F7" w14:textId="5DEACF38" w:rsidR="008D4481" w:rsidRPr="00C7130A" w:rsidRDefault="00A04D56" w:rsidP="000558B7">
      <w:pPr>
        <w:pStyle w:val="Heading3"/>
      </w:pPr>
      <w:bookmarkStart w:id="90" w:name="_Toc193030933"/>
      <w:r w:rsidRPr="00C7130A">
        <w:rPr>
          <w:rtl/>
        </w:rPr>
        <w:t>مخطَّط الدرس</w:t>
      </w:r>
      <w:bookmarkEnd w:id="90"/>
    </w:p>
    <w:p w14:paraId="5855F333" w14:textId="2A34A297" w:rsidR="00A04D56" w:rsidRPr="00747D0A" w:rsidRDefault="00A04D56"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747D0A">
        <w:rPr>
          <w:rFonts w:eastAsia="Calibri"/>
          <w:kern w:val="0"/>
          <w:rtl/>
          <w14:ligatures w14:val="none"/>
        </w:rPr>
        <w:t xml:space="preserve">الموضوع 1: </w:t>
      </w:r>
      <w:r w:rsidR="00F74644" w:rsidRPr="00747D0A">
        <w:rPr>
          <w:rFonts w:eastAsia="Calibri"/>
          <w:kern w:val="0"/>
          <w:rtl/>
          <w14:ligatures w14:val="none"/>
        </w:rPr>
        <w:t xml:space="preserve">لوحة توضيحيّة لتكوين 2: 4 – 11: 26 </w:t>
      </w:r>
    </w:p>
    <w:p w14:paraId="07A4EB57" w14:textId="243C0337" w:rsidR="00F74644" w:rsidRPr="00747D0A" w:rsidRDefault="00F74644"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747D0A">
        <w:rPr>
          <w:rFonts w:eastAsia="Calibri"/>
          <w:kern w:val="0"/>
          <w:rtl/>
          <w14:ligatures w14:val="none"/>
        </w:rPr>
        <w:t>الموضوع 2: دخول الخطي</w:t>
      </w:r>
      <w:r w:rsidR="008A15CE" w:rsidRPr="00747D0A">
        <w:rPr>
          <w:rFonts w:eastAsia="Calibri"/>
          <w:kern w:val="0"/>
          <w:rtl/>
          <w14:ligatures w14:val="none"/>
        </w:rPr>
        <w:t>ّ</w:t>
      </w:r>
      <w:r w:rsidRPr="00747D0A">
        <w:rPr>
          <w:rFonts w:eastAsia="Calibri"/>
          <w:kern w:val="0"/>
          <w:rtl/>
          <w14:ligatures w14:val="none"/>
        </w:rPr>
        <w:t xml:space="preserve">ة وفساد الجنس البشري (تكوين 2: 4 – 11: 26) </w:t>
      </w:r>
    </w:p>
    <w:p w14:paraId="39FAC1CC" w14:textId="04BE2D60" w:rsidR="008D4481" w:rsidRPr="00C7130A" w:rsidRDefault="00F74644"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sz w:val="26"/>
          <w:szCs w:val="26"/>
          <w14:ligatures w14:val="none"/>
        </w:rPr>
      </w:pPr>
      <w:r w:rsidRPr="00747D0A">
        <w:rPr>
          <w:rFonts w:eastAsia="Calibri"/>
          <w:kern w:val="0"/>
          <w:rtl/>
          <w14:ligatures w14:val="none"/>
        </w:rPr>
        <w:t xml:space="preserve">الموضوع 3: تاريخيّة قصّة الطوفان الكتابي </w:t>
      </w:r>
      <w:r w:rsidR="008D4481" w:rsidRPr="00747D0A">
        <w:rPr>
          <w:rFonts w:eastAsia="Calibri"/>
          <w:kern w:val="0"/>
          <w14:ligatures w14:val="none"/>
        </w:rPr>
        <w:br/>
      </w:r>
    </w:p>
    <w:p w14:paraId="63E98CB1" w14:textId="2921C37A" w:rsidR="008D4481" w:rsidRPr="00C7130A" w:rsidRDefault="000F4D16" w:rsidP="000558B7">
      <w:pPr>
        <w:pStyle w:val="Heading3"/>
      </w:pPr>
      <w:bookmarkStart w:id="91" w:name="_Toc193030934"/>
      <w:r w:rsidRPr="00C7130A">
        <w:rPr>
          <w:rtl/>
        </w:rPr>
        <w:t>أهداف الدرس</w:t>
      </w:r>
      <w:bookmarkEnd w:id="91"/>
    </w:p>
    <w:p w14:paraId="11C75D7C" w14:textId="5FF3F92E" w:rsidR="008D4481" w:rsidRPr="00747D0A" w:rsidRDefault="000F4D16" w:rsidP="00C7130A">
      <w:pPr>
        <w:spacing w:after="80"/>
        <w:rPr>
          <w:rFonts w:eastAsia="Calibri"/>
          <w:kern w:val="0"/>
          <w14:ligatures w14:val="none"/>
        </w:rPr>
      </w:pPr>
      <w:r w:rsidRPr="00747D0A">
        <w:rPr>
          <w:rFonts w:eastAsia="Calibri"/>
          <w:kern w:val="0"/>
          <w:rtl/>
          <w14:ligatures w14:val="none"/>
        </w:rPr>
        <w:t xml:space="preserve">بانتهائك من دراسة هذا الدرس ستكون قادرًا على أن تعمل ما يلي: </w:t>
      </w:r>
    </w:p>
    <w:p w14:paraId="65EB9426" w14:textId="2D5422E8" w:rsidR="005A3B53" w:rsidRPr="00626E99" w:rsidRDefault="000F4D16">
      <w:pPr>
        <w:pStyle w:val="ListParagraph"/>
        <w:numPr>
          <w:ilvl w:val="0"/>
          <w:numId w:val="21"/>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26E99">
        <w:rPr>
          <w:rFonts w:eastAsia="Calibri"/>
          <w:kern w:val="0"/>
          <w:rtl/>
          <w14:ligatures w14:val="none"/>
        </w:rPr>
        <w:t xml:space="preserve">أن تشرح </w:t>
      </w:r>
      <w:r w:rsidR="00270560" w:rsidRPr="00626E99">
        <w:rPr>
          <w:rFonts w:eastAsia="Calibri"/>
          <w:kern w:val="0"/>
          <w:rtl/>
          <w14:ligatures w14:val="none"/>
        </w:rPr>
        <w:t>كيف ظهرت الخطي</w:t>
      </w:r>
      <w:r w:rsidR="008A15CE" w:rsidRPr="00626E99">
        <w:rPr>
          <w:rFonts w:eastAsia="Calibri"/>
          <w:kern w:val="0"/>
          <w:rtl/>
          <w14:ligatures w14:val="none"/>
        </w:rPr>
        <w:t>ّ</w:t>
      </w:r>
      <w:r w:rsidR="00270560" w:rsidRPr="00626E99">
        <w:rPr>
          <w:rFonts w:eastAsia="Calibri"/>
          <w:kern w:val="0"/>
          <w:rtl/>
          <w14:ligatures w14:val="none"/>
        </w:rPr>
        <w:t xml:space="preserve">ة في الجنس البشري وكيف أثَّر هذا بطبيعة الإنسان والبيئة. </w:t>
      </w:r>
    </w:p>
    <w:p w14:paraId="3C87954C" w14:textId="0FCBF487" w:rsidR="00270560" w:rsidRPr="00626E99" w:rsidRDefault="00270560">
      <w:pPr>
        <w:pStyle w:val="ListParagraph"/>
        <w:numPr>
          <w:ilvl w:val="0"/>
          <w:numId w:val="21"/>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26E99">
        <w:rPr>
          <w:rFonts w:eastAsia="Calibri"/>
          <w:kern w:val="0"/>
          <w:rtl/>
          <w14:ligatures w14:val="none"/>
        </w:rPr>
        <w:t xml:space="preserve">أن تفهم دور "الموت" في علاقته بخطيّة آدم، وكيف أعطى الله اليقين بأن الموت لم يكن المصير المحتوم للجنس البشري. </w:t>
      </w:r>
    </w:p>
    <w:p w14:paraId="27E9200E" w14:textId="121BADC5" w:rsidR="00270560" w:rsidRPr="00626E99" w:rsidRDefault="00270560">
      <w:pPr>
        <w:pStyle w:val="ListParagraph"/>
        <w:numPr>
          <w:ilvl w:val="0"/>
          <w:numId w:val="21"/>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26E99">
        <w:rPr>
          <w:rFonts w:eastAsia="Calibri"/>
          <w:kern w:val="0"/>
          <w:rtl/>
          <w14:ligatures w14:val="none"/>
        </w:rPr>
        <w:t>أن تدافع عن تاريخيّة قصّة الطوفان الكتابي</w:t>
      </w:r>
      <w:r w:rsidR="008A15CE" w:rsidRPr="00626E99">
        <w:rPr>
          <w:rFonts w:eastAsia="Calibri"/>
          <w:kern w:val="0"/>
          <w:rtl/>
          <w14:ligatures w14:val="none"/>
        </w:rPr>
        <w:t>ّ</w:t>
      </w:r>
      <w:r w:rsidRPr="00626E99">
        <w:rPr>
          <w:rFonts w:eastAsia="Calibri"/>
          <w:kern w:val="0"/>
          <w:rtl/>
          <w14:ligatures w14:val="none"/>
        </w:rPr>
        <w:t xml:space="preserve">ة وتُشير إلى الدليل الذي يدعم حقيقة أنّه كان طوفانًا كونيًّا (وليس طوفانًا محليًّا فقط). </w:t>
      </w:r>
    </w:p>
    <w:p w14:paraId="355F44A1" w14:textId="6903B68A" w:rsidR="00270560" w:rsidRPr="00626E99" w:rsidRDefault="00270560">
      <w:pPr>
        <w:pStyle w:val="ListParagraph"/>
        <w:numPr>
          <w:ilvl w:val="0"/>
          <w:numId w:val="21"/>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26E99">
        <w:rPr>
          <w:rFonts w:eastAsia="Calibri"/>
          <w:kern w:val="0"/>
          <w:rtl/>
          <w14:ligatures w14:val="none"/>
        </w:rPr>
        <w:lastRenderedPageBreak/>
        <w:t>أن تشرح معنى وأهم</w:t>
      </w:r>
      <w:r w:rsidR="008A15CE" w:rsidRPr="00626E99">
        <w:rPr>
          <w:rFonts w:eastAsia="Calibri"/>
          <w:kern w:val="0"/>
          <w:rtl/>
          <w14:ligatures w14:val="none"/>
        </w:rPr>
        <w:t>ّ</w:t>
      </w:r>
      <w:r w:rsidRPr="00626E99">
        <w:rPr>
          <w:rFonts w:eastAsia="Calibri"/>
          <w:kern w:val="0"/>
          <w:rtl/>
          <w14:ligatures w14:val="none"/>
        </w:rPr>
        <w:t>ي</w:t>
      </w:r>
      <w:r w:rsidR="008A15CE" w:rsidRPr="00626E99">
        <w:rPr>
          <w:rFonts w:eastAsia="Calibri"/>
          <w:kern w:val="0"/>
          <w:rtl/>
          <w14:ligatures w14:val="none"/>
        </w:rPr>
        <w:t>ّ</w:t>
      </w:r>
      <w:r w:rsidRPr="00626E99">
        <w:rPr>
          <w:rFonts w:eastAsia="Calibri"/>
          <w:kern w:val="0"/>
          <w:rtl/>
          <w14:ligatures w14:val="none"/>
        </w:rPr>
        <w:t xml:space="preserve">ة ما </w:t>
      </w:r>
      <w:r w:rsidR="008A15CE" w:rsidRPr="00626E99">
        <w:rPr>
          <w:rFonts w:eastAsia="Calibri"/>
          <w:kern w:val="0"/>
          <w:rtl/>
          <w14:ligatures w14:val="none"/>
        </w:rPr>
        <w:t>حصل</w:t>
      </w:r>
      <w:r w:rsidRPr="00626E99">
        <w:rPr>
          <w:rFonts w:eastAsia="Calibri"/>
          <w:kern w:val="0"/>
          <w:rtl/>
          <w14:ligatures w14:val="none"/>
        </w:rPr>
        <w:t xml:space="preserve"> في حدث برج بابل ولماذا كان ضروريًّا أن ي</w:t>
      </w:r>
      <w:r w:rsidR="008A15CE" w:rsidRPr="00626E99">
        <w:rPr>
          <w:rFonts w:eastAsia="Calibri"/>
          <w:kern w:val="0"/>
          <w:rtl/>
          <w14:ligatures w14:val="none"/>
        </w:rPr>
        <w:t>ُ</w:t>
      </w:r>
      <w:r w:rsidRPr="00626E99">
        <w:rPr>
          <w:rFonts w:eastAsia="Calibri"/>
          <w:kern w:val="0"/>
          <w:rtl/>
          <w14:ligatures w14:val="none"/>
        </w:rPr>
        <w:t>صد</w:t>
      </w:r>
      <w:r w:rsidR="008A15CE" w:rsidRPr="00626E99">
        <w:rPr>
          <w:rFonts w:eastAsia="Calibri"/>
          <w:kern w:val="0"/>
          <w:rtl/>
          <w14:ligatures w14:val="none"/>
        </w:rPr>
        <w:t>ِ</w:t>
      </w:r>
      <w:r w:rsidRPr="00626E99">
        <w:rPr>
          <w:rFonts w:eastAsia="Calibri"/>
          <w:kern w:val="0"/>
          <w:rtl/>
          <w14:ligatures w14:val="none"/>
        </w:rPr>
        <w:t>ر الله حكم</w:t>
      </w:r>
      <w:r w:rsidR="008A15CE" w:rsidRPr="00626E99">
        <w:rPr>
          <w:rFonts w:eastAsia="Calibri"/>
          <w:kern w:val="0"/>
          <w:rtl/>
          <w14:ligatures w14:val="none"/>
        </w:rPr>
        <w:t>َ دينونةٍ</w:t>
      </w:r>
      <w:r w:rsidRPr="00626E99">
        <w:rPr>
          <w:rFonts w:eastAsia="Calibri"/>
          <w:kern w:val="0"/>
          <w:rtl/>
          <w14:ligatures w14:val="none"/>
        </w:rPr>
        <w:t xml:space="preserve"> على هذا المسعى البشري. </w:t>
      </w:r>
    </w:p>
    <w:p w14:paraId="5360F289" w14:textId="77777777" w:rsidR="008D4481" w:rsidRPr="00C7130A" w:rsidRDefault="008D448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ind w:left="720"/>
        <w:contextualSpacing/>
        <w:rPr>
          <w:rFonts w:eastAsia="Calibri"/>
          <w:kern w:val="0"/>
          <w:szCs w:val="24"/>
          <w14:ligatures w14:val="none"/>
        </w:rPr>
      </w:pPr>
      <w:r w:rsidRPr="00C7130A">
        <w:rPr>
          <w:rFonts w:eastAsia="Calibri"/>
          <w:kern w:val="0"/>
          <w:szCs w:val="24"/>
          <w14:ligatures w14:val="none"/>
        </w:rPr>
        <w:br w:type="page"/>
      </w:r>
    </w:p>
    <w:p w14:paraId="01615081" w14:textId="00CA3A41" w:rsidR="007128B3" w:rsidRPr="00C7130A" w:rsidRDefault="00270560" w:rsidP="000558B7">
      <w:pPr>
        <w:pStyle w:val="Heading2B"/>
      </w:pPr>
      <w:bookmarkStart w:id="92" w:name="_Toc193030935"/>
      <w:r w:rsidRPr="00C7130A">
        <w:rPr>
          <w:rtl/>
        </w:rPr>
        <w:lastRenderedPageBreak/>
        <w:t>الموضوع 1: لوحة توضيحيّة لتكوين 2: 4 – 11: 26</w:t>
      </w:r>
      <w:bookmarkStart w:id="93" w:name="_Hlk178778051"/>
      <w:bookmarkStart w:id="94" w:name="_Hlk156396712"/>
      <w:bookmarkEnd w:id="92"/>
    </w:p>
    <w:p w14:paraId="22553543" w14:textId="036DE803" w:rsidR="004F4762" w:rsidRPr="00747D0A" w:rsidRDefault="004F4762"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8"/>
          <w14:ligatures w14:val="none"/>
        </w:rPr>
      </w:pPr>
      <w:bookmarkStart w:id="95" w:name="_Hlk157171418"/>
      <w:r w:rsidRPr="00C7130A">
        <w:rPr>
          <w:rFonts w:eastAsia="Calibri"/>
          <w:b/>
          <w:caps/>
          <w:noProof/>
          <w:color w:val="006699"/>
          <w:kern w:val="0"/>
          <w:sz w:val="21"/>
          <w:szCs w:val="24"/>
          <w14:ligatures w14:val="none"/>
        </w:rPr>
        <w:drawing>
          <wp:inline distT="0" distB="0" distL="0" distR="0" wp14:anchorId="3C647400" wp14:editId="74C2FFB6">
            <wp:extent cx="613692" cy="541464"/>
            <wp:effectExtent l="0" t="0" r="0" b="0"/>
            <wp:docPr id="1579806375" name="Picture 1579806375"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270560" w:rsidRPr="00747D0A">
        <w:rPr>
          <w:rFonts w:eastAsia="Calibri"/>
          <w:bCs/>
          <w:caps/>
          <w:color w:val="006699"/>
          <w:kern w:val="0"/>
          <w:sz w:val="28"/>
          <w:u w:val="single"/>
          <w:rtl/>
          <w14:ligatures w14:val="none"/>
        </w:rPr>
        <w:t>القراءة:</w:t>
      </w:r>
    </w:p>
    <w:p w14:paraId="39E90B54" w14:textId="0B783323" w:rsidR="004F4762" w:rsidRPr="00747D0A" w:rsidRDefault="00270560">
      <w:pPr>
        <w:pStyle w:val="ListParagraph"/>
        <w:numPr>
          <w:ilvl w:val="0"/>
          <w:numId w:val="4"/>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 w:val="48"/>
          <w14:ligatures w14:val="none"/>
        </w:rPr>
      </w:pPr>
      <w:r w:rsidRPr="00747D0A">
        <w:rPr>
          <w:rFonts w:eastAsia="Calibri"/>
          <w:kern w:val="0"/>
          <w:sz w:val="48"/>
          <w:rtl/>
          <w14:ligatures w14:val="none"/>
        </w:rPr>
        <w:t xml:space="preserve">اقرأ تكوين 2: 4 – 4: 26 في كتابك المُقدَّس. </w:t>
      </w:r>
    </w:p>
    <w:bookmarkEnd w:id="93"/>
    <w:bookmarkEnd w:id="95"/>
    <w:p w14:paraId="172C07AD" w14:textId="1CADF751" w:rsidR="007128B3" w:rsidRPr="00C7130A" w:rsidRDefault="00E84DB1" w:rsidP="00C7130A">
      <w:r w:rsidRPr="00C7130A">
        <w:rPr>
          <w:noProof/>
        </w:rPr>
        <w:drawing>
          <wp:inline distT="0" distB="0" distL="0" distR="0" wp14:anchorId="58F5A1B6" wp14:editId="5D75E025">
            <wp:extent cx="5943600" cy="4275455"/>
            <wp:effectExtent l="0" t="0" r="0" b="0"/>
            <wp:docPr id="2052756740" name="Picture 1" descr="A diagram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56740" name="Picture 1" descr="A diagram of two people&#10;&#10;Description automatically generated"/>
                    <pic:cNvPicPr/>
                  </pic:nvPicPr>
                  <pic:blipFill>
                    <a:blip r:embed="rId23"/>
                    <a:stretch>
                      <a:fillRect/>
                    </a:stretch>
                  </pic:blipFill>
                  <pic:spPr>
                    <a:xfrm>
                      <a:off x="0" y="0"/>
                      <a:ext cx="5943600" cy="4275455"/>
                    </a:xfrm>
                    <a:prstGeom prst="rect">
                      <a:avLst/>
                    </a:prstGeom>
                  </pic:spPr>
                </pic:pic>
              </a:graphicData>
            </a:graphic>
          </wp:inline>
        </w:drawing>
      </w:r>
    </w:p>
    <w:p w14:paraId="62A444C3" w14:textId="77777777" w:rsidR="00747D0A" w:rsidRDefault="00747D0A" w:rsidP="000558B7">
      <w:pPr>
        <w:pStyle w:val="Heading3"/>
        <w:rPr>
          <w:rtl/>
        </w:rPr>
      </w:pPr>
      <w:bookmarkStart w:id="96" w:name="_Hlk178778072"/>
    </w:p>
    <w:p w14:paraId="1F9C0EF4" w14:textId="5FAF4984" w:rsidR="006311FA" w:rsidRPr="00C7130A" w:rsidRDefault="00270560" w:rsidP="000558B7">
      <w:pPr>
        <w:pStyle w:val="Heading2B"/>
        <w:rPr>
          <w:rtl/>
        </w:rPr>
      </w:pPr>
      <w:bookmarkStart w:id="97" w:name="_Toc193030936"/>
      <w:r w:rsidRPr="00C7130A">
        <w:rPr>
          <w:rtl/>
        </w:rPr>
        <w:t>الموضوع 2: دخول الخطية وفساد الجنس البشري (تكوين 2: 4 – 11: 26)</w:t>
      </w:r>
      <w:bookmarkEnd w:id="97"/>
    </w:p>
    <w:bookmarkEnd w:id="96"/>
    <w:p w14:paraId="58D38448" w14:textId="77777777" w:rsidR="00E84DB1" w:rsidRPr="00C7130A" w:rsidRDefault="00E84DB1" w:rsidP="00C7130A">
      <w:pPr>
        <w:jc w:val="center"/>
        <w:rPr>
          <w:rFonts w:eastAsia="Times New Roman"/>
          <w:bCs/>
          <w:kern w:val="0"/>
          <w:szCs w:val="28"/>
          <w:rtl/>
          <w:lang w:bidi="ar-JO"/>
          <w14:ligatures w14:val="none"/>
        </w:rPr>
      </w:pPr>
    </w:p>
    <w:p w14:paraId="4586B19F" w14:textId="77777777" w:rsidR="00E84DB1" w:rsidRPr="00C7130A" w:rsidRDefault="00E84DB1" w:rsidP="000558B7">
      <w:pPr>
        <w:pStyle w:val="Heading3"/>
        <w:rPr>
          <w:rtl/>
          <w:lang w:bidi="ar-JO"/>
        </w:rPr>
      </w:pPr>
      <w:bookmarkStart w:id="98" w:name="_Toc193030937"/>
      <w:r w:rsidRPr="00C7130A">
        <w:rPr>
          <w:rtl/>
          <w:lang w:bidi="ar-JO"/>
        </w:rPr>
        <w:t>1.</w:t>
      </w:r>
      <w:r w:rsidRPr="00C7130A">
        <w:rPr>
          <w:rtl/>
          <w:lang w:bidi="ar-JO"/>
        </w:rPr>
        <w:tab/>
        <w:t>مقدمة</w:t>
      </w:r>
      <w:bookmarkEnd w:id="98"/>
    </w:p>
    <w:p w14:paraId="5B58F714" w14:textId="77777777" w:rsidR="00E84DB1" w:rsidRPr="00C7130A" w:rsidRDefault="00E84DB1" w:rsidP="00747D0A">
      <w:pPr>
        <w:rPr>
          <w:rtl/>
          <w:lang w:bidi="ar-JO"/>
        </w:rPr>
      </w:pPr>
      <w:r w:rsidRPr="00C7130A">
        <w:rPr>
          <w:rtl/>
          <w:lang w:bidi="ar-JO"/>
        </w:rPr>
        <w:t xml:space="preserve">يتألف هذا القسم من خمس وحدات </w:t>
      </w:r>
      <w:r w:rsidRPr="00C7130A">
        <w:rPr>
          <w:i/>
          <w:iCs/>
          <w:rtl/>
          <w:lang w:bidi="ar-JO"/>
        </w:rPr>
        <w:t>توليدوت</w:t>
      </w:r>
      <w:r w:rsidRPr="00C7130A">
        <w:rPr>
          <w:rtl/>
          <w:lang w:bidi="ar-JO"/>
        </w:rPr>
        <w:t xml:space="preserve"> </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(مواليد)، واحدة في تكوين 2: 4-4: 26 وأربع وحدات في 5: 1-11: 26.  تبيّن الوحدة الأولى كيف فقد الإنسان حالة </w:t>
      </w:r>
      <w:r w:rsidRPr="00C7130A">
        <w:rPr>
          <w:i/>
          <w:iCs/>
          <w:rtl/>
          <w:lang w:bidi="ar-JO"/>
        </w:rPr>
        <w:t>البركة</w:t>
      </w:r>
      <w:r w:rsidRPr="00C7130A">
        <w:rPr>
          <w:rtl/>
          <w:lang w:bidi="ar-JO"/>
        </w:rPr>
        <w:t xml:space="preserve"> الأصلية التي خلق عليها.  أما الوحدات الأربعة المتبقية فتبيّن </w:t>
      </w:r>
      <w:r w:rsidRPr="00C7130A">
        <w:rPr>
          <w:rtl/>
          <w:lang w:bidi="ar-JO"/>
        </w:rPr>
        <w:lastRenderedPageBreak/>
        <w:t>كيف استمر الجنس البشري في التدهور إلى نقطة صارت معها شعوب الأرض في حالة تمرد كلية ضد خالقها.  وسيعد هذا المسرح لخطة الله في مواجهة تمرد الإنسان بخلق أمّة مقدسة خاصة هي إسرائيل.</w:t>
      </w:r>
    </w:p>
    <w:p w14:paraId="7F0B9DB1" w14:textId="77777777" w:rsidR="00E84DB1" w:rsidRPr="00C7130A" w:rsidRDefault="00E84DB1" w:rsidP="00747D0A">
      <w:pPr>
        <w:rPr>
          <w:rtl/>
          <w:lang w:bidi="ar-JO"/>
        </w:rPr>
      </w:pPr>
    </w:p>
    <w:p w14:paraId="7BAD90EC" w14:textId="77777777" w:rsidR="00E84DB1" w:rsidRPr="00C7130A" w:rsidRDefault="00E84DB1" w:rsidP="00747D0A">
      <w:pPr>
        <w:rPr>
          <w:rtl/>
          <w:lang w:bidi="ar-JO"/>
        </w:rPr>
      </w:pPr>
      <w:r w:rsidRPr="00C7130A">
        <w:rPr>
          <w:rtl/>
          <w:lang w:bidi="ar-JO"/>
        </w:rPr>
        <w:t xml:space="preserve">تقدم الأصحاحات الثلاثة التي تؤلف </w:t>
      </w:r>
      <w:r w:rsidRPr="00C7130A">
        <w:rPr>
          <w:i/>
          <w:iCs/>
          <w:rtl/>
          <w:lang w:bidi="ar-JO"/>
        </w:rPr>
        <w:t>توليدوت</w:t>
      </w:r>
      <w:r w:rsidRPr="00C7130A">
        <w:rPr>
          <w:rtl/>
          <w:lang w:bidi="ar-JO"/>
        </w:rPr>
        <w:t xml:space="preserve"> </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(مواليد) 2: 4-4: 6 أساس الحاجة إلى البركة.  والنقطة المركزية لهذا القسم هي الأصحاح الثالث حيث يسقط الإنسان في الخطية.  كانت حالة البركة الأصلية في خليقة الله الجديدة قصيرة العمر.  وتثير كلمة </w:t>
      </w:r>
      <w:r w:rsidRPr="00C7130A">
        <w:rPr>
          <w:i/>
          <w:iCs/>
          <w:rtl/>
          <w:lang w:bidi="ar-JO"/>
        </w:rPr>
        <w:t>توليدوت</w:t>
      </w:r>
      <w:r w:rsidRPr="00C7130A">
        <w:rPr>
          <w:rtl/>
          <w:lang w:bidi="ar-JO"/>
        </w:rPr>
        <w:t xml:space="preserve"> </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في تكوين 2: 4 حول "السماوات والأرض" السؤال: "ما الذي حدث للسماوات والأرض التي خلقها الله على نحو بديع؟" والجواب هو: دخلت الخطية إلى العالم، وبالخطية دخلت اللعنة.  استوطن الانحطاط والانحلال، وانتشرا بسرعة حتى عمّا الخليقة كلّها! فحيث جلب الله النظام والبركة والقداسة، جلب الإنسان نقيض ذلك.  وهكذا انتقل التركيز من البركة إلى اللعنة.</w:t>
      </w:r>
    </w:p>
    <w:p w14:paraId="4C9DB73A" w14:textId="77777777" w:rsidR="00E84DB1" w:rsidRPr="00C7130A" w:rsidRDefault="00E84DB1" w:rsidP="00747D0A">
      <w:pPr>
        <w:rPr>
          <w:rtl/>
        </w:rPr>
      </w:pPr>
    </w:p>
    <w:p w14:paraId="598B11E6" w14:textId="77777777" w:rsidR="00E84DB1" w:rsidRPr="00C7130A" w:rsidRDefault="00E84DB1" w:rsidP="00747D0A">
      <w:pPr>
        <w:rPr>
          <w:rtl/>
        </w:rPr>
      </w:pPr>
      <w:r w:rsidRPr="00C7130A">
        <w:rPr>
          <w:rtl/>
          <w:lang w:bidi="ar-JO"/>
        </w:rPr>
        <w:t xml:space="preserve">إن الأصحاح الثالث الذي فيه نتواجه مع دخول الخطية إلى الجنس البشري هو النقطة المركزية </w:t>
      </w:r>
      <w:r w:rsidRPr="00C7130A">
        <w:rPr>
          <w:i/>
          <w:iCs/>
          <w:rtl/>
          <w:lang w:bidi="ar-JO"/>
        </w:rPr>
        <w:t>لهذا التوليدوت</w:t>
      </w:r>
      <w:r w:rsidRPr="00C7130A">
        <w:rPr>
          <w:rtl/>
          <w:lang w:bidi="ar-JO"/>
        </w:rPr>
        <w:t xml:space="preserve"> </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 وهي الخطية التي جلبت اللعنة وجعلت البركة أمراً ضرورياً.  ولكي يعدّنا الأصحاح الثاني لتأثير هذا الحدث، فإنه يذكرنا بما أفسده السقوط.  وأخيراً يقوم الأصحاح الرابع بإكمال الصورة متتبعاً التطورات البعيدة المدى للخطية واللعنة في تطور مجتمع فاجر.</w:t>
      </w:r>
    </w:p>
    <w:p w14:paraId="473A78A0" w14:textId="77777777" w:rsidR="00E84DB1" w:rsidRPr="00C713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KW"/>
          <w14:ligatures w14:val="none"/>
        </w:rPr>
      </w:pPr>
    </w:p>
    <w:p w14:paraId="29326453" w14:textId="77777777" w:rsidR="00E84DB1" w:rsidRPr="00C7130A" w:rsidRDefault="00E84DB1" w:rsidP="000558B7">
      <w:pPr>
        <w:pStyle w:val="Heading3"/>
        <w:rPr>
          <w:rtl/>
          <w:lang w:bidi="ar-JO"/>
        </w:rPr>
      </w:pPr>
      <w:bookmarkStart w:id="99" w:name="_Toc193030938"/>
      <w:r w:rsidRPr="00C7130A">
        <w:rPr>
          <w:rtl/>
          <w:lang w:bidi="ar-JO"/>
        </w:rPr>
        <w:t>2.</w:t>
      </w:r>
      <w:r w:rsidRPr="00C7130A">
        <w:rPr>
          <w:rtl/>
          <w:lang w:bidi="ar-JO"/>
        </w:rPr>
        <w:tab/>
        <w:t>خلق آدم وحوّاء في الجنة (2: 4-25)</w:t>
      </w:r>
      <w:bookmarkEnd w:id="99"/>
    </w:p>
    <w:p w14:paraId="0D3F8199" w14:textId="3178CF06" w:rsidR="00E84DB1" w:rsidRPr="00C7130A" w:rsidRDefault="00E84DB1" w:rsidP="00747D0A">
      <w:pPr>
        <w:rPr>
          <w:rtl/>
          <w:lang w:bidi="ar-JO"/>
        </w:rPr>
      </w:pPr>
      <w:r w:rsidRPr="00C7130A">
        <w:rPr>
          <w:rtl/>
          <w:lang w:bidi="ar-JO"/>
        </w:rPr>
        <w:t xml:space="preserve">هذا هو القسم الرئيسي الأول في </w:t>
      </w:r>
      <w:r w:rsidRPr="00C7130A">
        <w:rPr>
          <w:i/>
          <w:iCs/>
          <w:rtl/>
          <w:lang w:bidi="ar-JO"/>
        </w:rPr>
        <w:t>التوليدوت</w:t>
      </w:r>
      <w:r w:rsidRPr="00C7130A">
        <w:rPr>
          <w:rtl/>
          <w:lang w:bidi="ar-JO"/>
        </w:rPr>
        <w:t xml:space="preserve"> </w:t>
      </w:r>
      <w:r w:rsidRPr="00C7130A">
        <w:rPr>
          <w:bCs/>
          <w:i/>
          <w:iCs/>
          <w:lang w:bidi="ar-JO"/>
        </w:rPr>
        <w:t>tôl</w:t>
      </w:r>
      <w:r w:rsidRPr="00C7130A">
        <w:rPr>
          <w:rFonts w:ascii="Times New Roman" w:hAnsi="Times New Roman" w:cs="Times New Roman"/>
          <w:bCs/>
          <w:i/>
          <w:iCs/>
          <w:lang w:bidi="ar-JO"/>
        </w:rPr>
        <w:t>ᵊ</w:t>
      </w:r>
      <w:r w:rsidRPr="00C7130A">
        <w:rPr>
          <w:bCs/>
          <w:i/>
          <w:iCs/>
          <w:lang w:bidi="ar-JO"/>
        </w:rPr>
        <w:t>ḏôṯ</w:t>
      </w:r>
      <w:r w:rsidRPr="00C7130A">
        <w:rPr>
          <w:rtl/>
          <w:lang w:bidi="ar-JO"/>
        </w:rPr>
        <w:t xml:space="preserve"> الحالي.  ونجد هنا صورة</w:t>
      </w:r>
      <w:r w:rsidRPr="00C7130A">
        <w:t xml:space="preserve"> </w:t>
      </w:r>
      <w:r w:rsidRPr="00C7130A">
        <w:rPr>
          <w:rtl/>
          <w:lang w:bidi="ar-JO"/>
        </w:rPr>
        <w:t xml:space="preserve"> الزوجين الأولين في ملء البركة.  غير أنه يقصد بهذا الأصحاح أن يشكّل مقابلة مع الأصحاح الثالث، وهو يخبرنا بما فسد عند السقوط.  نرى هنا الزوجين يتمتعان بقدرة معطاة من الله على خدمة الله وعبادته في البر.  سبق أن حد</w:t>
      </w:r>
      <w:r w:rsidR="00FD79D7" w:rsidRPr="00C7130A">
        <w:rPr>
          <w:rtl/>
          <w:lang w:bidi="ar-JO"/>
        </w:rPr>
        <w:t>َّ</w:t>
      </w:r>
      <w:r w:rsidRPr="00C7130A">
        <w:rPr>
          <w:rtl/>
          <w:lang w:bidi="ar-JO"/>
        </w:rPr>
        <w:t>د الأصحاح الأول قصد الله للإنسان على أنه الإداري الثيوقراطي عند الله (العامل الوسيط لحكمه)، أمّا الأصحاح الثاني فيصوّر وظيفة الإنسان هذه.  ولا يمكننا أن نفهم ما يتضمنه السقوط في الأصحاح الثالث إذ</w:t>
      </w:r>
      <w:r w:rsidRPr="00C7130A">
        <w:rPr>
          <w:rtl/>
        </w:rPr>
        <w:t>ا</w:t>
      </w:r>
      <w:r w:rsidRPr="00C7130A">
        <w:rPr>
          <w:rtl/>
          <w:lang w:bidi="ar-JO"/>
        </w:rPr>
        <w:t xml:space="preserve"> لم نفهم ما هو معرّض للضياع في الأصحاح الثاني.</w:t>
      </w:r>
    </w:p>
    <w:p w14:paraId="585B7BF5" w14:textId="77777777" w:rsidR="00E84DB1" w:rsidRPr="00C7130A" w:rsidRDefault="00E84DB1" w:rsidP="00747D0A">
      <w:pPr>
        <w:rPr>
          <w:sz w:val="30"/>
          <w:szCs w:val="28"/>
          <w:rtl/>
          <w:lang w:bidi="ar-JO"/>
        </w:rPr>
      </w:pPr>
      <w:r w:rsidRPr="00C7130A">
        <w:rPr>
          <w:rtl/>
          <w:lang w:bidi="ar-JO"/>
        </w:rPr>
        <w:t>"ينبّر القسم كلّه على خطة الله للوحدة بين الذكر والأنثى بصفتهما صورة الله لكي يخدماه ويحفظا وصاياه لكي تكون لهما حياة.  ويعني العصيان جلب الموت والدمار."</w:t>
      </w:r>
      <w:r w:rsidRPr="00C7130A">
        <w:rPr>
          <w:sz w:val="30"/>
          <w:szCs w:val="28"/>
          <w:vertAlign w:val="superscript"/>
          <w:rtl/>
          <w:lang w:bidi="ar-JO"/>
        </w:rPr>
        <w:footnoteReference w:customMarkFollows="1" w:id="30"/>
        <w:t>1</w:t>
      </w:r>
    </w:p>
    <w:p w14:paraId="48AF5ABE" w14:textId="77777777" w:rsidR="00E84DB1" w:rsidRPr="00C7130A" w:rsidRDefault="00E84DB1" w:rsidP="00747D0A">
      <w:pPr>
        <w:rPr>
          <w:rtl/>
        </w:rPr>
      </w:pPr>
    </w:p>
    <w:p w14:paraId="0A3904B7" w14:textId="77777777" w:rsidR="00E84DB1" w:rsidRPr="00747D0A" w:rsidRDefault="00E84DB1" w:rsidP="00C7130A">
      <w:pPr>
        <w:tabs>
          <w:tab w:val="left" w:pos="454"/>
        </w:tabs>
        <w:spacing w:after="60"/>
        <w:ind w:left="550" w:hanging="550"/>
        <w:jc w:val="both"/>
        <w:rPr>
          <w:rFonts w:eastAsia="Times New Roman"/>
          <w:bCs/>
          <w:kern w:val="0"/>
          <w:rtl/>
          <w14:ligatures w14:val="none"/>
        </w:rPr>
      </w:pPr>
      <w:r w:rsidRPr="00747D0A">
        <w:rPr>
          <w:rFonts w:eastAsia="Times New Roman"/>
          <w:bCs/>
          <w:kern w:val="0"/>
          <w:rtl/>
          <w14:ligatures w14:val="none"/>
        </w:rPr>
        <w:lastRenderedPageBreak/>
        <w:t>أ.</w:t>
      </w:r>
      <w:r w:rsidRPr="00747D0A">
        <w:rPr>
          <w:rFonts w:eastAsia="Times New Roman"/>
          <w:bCs/>
          <w:kern w:val="0"/>
          <w:rtl/>
          <w14:ligatures w14:val="none"/>
        </w:rPr>
        <w:tab/>
        <w:t>خلق الحياة</w:t>
      </w:r>
      <w:r w:rsidRPr="00747D0A">
        <w:rPr>
          <w:rFonts w:eastAsia="Times New Roman"/>
          <w:bCs/>
          <w:kern w:val="0"/>
          <w:vertAlign w:val="superscript"/>
          <w:rtl/>
          <w14:ligatures w14:val="none"/>
        </w:rPr>
        <w:footnoteReference w:customMarkFollows="1" w:id="31"/>
        <w:t>2</w:t>
      </w:r>
      <w:r w:rsidRPr="00747D0A">
        <w:rPr>
          <w:rFonts w:eastAsia="Times New Roman"/>
          <w:bCs/>
          <w:kern w:val="0"/>
          <w:rtl/>
          <w14:ligatures w14:val="none"/>
        </w:rPr>
        <w:t xml:space="preserve"> (2: 4-7)</w:t>
      </w:r>
    </w:p>
    <w:p w14:paraId="4876A437"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747D0A">
        <w:rPr>
          <w:rFonts w:eastAsia="Times New Roman"/>
          <w:kern w:val="0"/>
          <w:rtl/>
          <w:lang w:bidi="ar-JO"/>
          <w14:ligatures w14:val="none"/>
        </w:rPr>
        <w:t>تتراجع الرواية للحظة، وتنظر إلى خلق الإنسان من زاوية مختلفة.  إذ كان الأصحاح الأول قد وضع خلق الإنسان في سياق الكون، وبيّن بوضوح قصد الله للإنسان، أمّا الأصحاح الثاني فينظر بالمقابلة إلى انشغال يهوه الحميم في خلق الإنسان واهتمامه البالغ بتشكيل الإنسان.  لنلاحظ التعابير الهامّة:</w:t>
      </w:r>
    </w:p>
    <w:p w14:paraId="0A86B39E" w14:textId="77777777" w:rsidR="00E84DB1" w:rsidRPr="00747D0A"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47D0A">
        <w:rPr>
          <w:rFonts w:eastAsia="Times New Roman"/>
          <w:kern w:val="0"/>
          <w:rtl/>
          <w:lang w:bidi="ar-JO"/>
          <w14:ligatures w14:val="none"/>
        </w:rPr>
        <w:t>1.</w:t>
      </w:r>
      <w:r w:rsidRPr="00747D0A">
        <w:rPr>
          <w:rFonts w:eastAsia="Times New Roman"/>
          <w:kern w:val="0"/>
          <w:rtl/>
          <w:lang w:bidi="ar-JO"/>
          <w14:ligatures w14:val="none"/>
        </w:rPr>
        <w:tab/>
        <w:t xml:space="preserve">تؤكد ياتسار </w:t>
      </w:r>
      <w:r w:rsidRPr="00747D0A">
        <w:rPr>
          <w:rFonts w:ascii="Times New Roman" w:eastAsia="Times New Roman" w:hAnsi="Times New Roman" w:cs="Times New Roman" w:hint="cs"/>
          <w:b/>
          <w:kern w:val="0"/>
          <w:rtl/>
          <w:lang w:bidi="he-IL"/>
          <w14:ligatures w14:val="none"/>
        </w:rPr>
        <w:t>יָצַר</w:t>
      </w:r>
      <w:r w:rsidRPr="00747D0A">
        <w:rPr>
          <w:rFonts w:eastAsia="Times New Roman"/>
          <w:bCs/>
          <w:kern w:val="0"/>
          <w:lang w:bidi="ar-JO"/>
          <w14:ligatures w14:val="none"/>
        </w:rPr>
        <w:t xml:space="preserve"> </w:t>
      </w:r>
      <w:r w:rsidRPr="00747D0A">
        <w:rPr>
          <w:rFonts w:eastAsia="Times New Roman"/>
          <w:kern w:val="0"/>
          <w14:ligatures w14:val="none"/>
        </w:rPr>
        <w:t>(</w:t>
      </w:r>
      <w:r w:rsidRPr="00747D0A">
        <w:rPr>
          <w:rFonts w:eastAsia="Times New Roman"/>
          <w:bCs/>
          <w:i/>
          <w:iCs/>
          <w:kern w:val="0"/>
          <w:lang w:bidi="he-IL"/>
          <w14:ligatures w14:val="none"/>
        </w:rPr>
        <w:t>yāṣar</w:t>
      </w:r>
      <w:r w:rsidRPr="00747D0A">
        <w:rPr>
          <w:rFonts w:eastAsia="Times New Roman"/>
          <w:kern w:val="0"/>
          <w14:ligatures w14:val="none"/>
        </w:rPr>
        <w:t xml:space="preserve">) </w:t>
      </w:r>
      <w:r w:rsidRPr="00747D0A">
        <w:rPr>
          <w:rFonts w:eastAsia="Times New Roman"/>
          <w:kern w:val="0"/>
          <w:rtl/>
          <w:lang w:bidi="ar-JO"/>
          <w14:ligatures w14:val="none"/>
        </w:rPr>
        <w:t xml:space="preserve">على عمل فنان يصنع شيئاً باستخدام تصميم.  غير أن الإنسان </w:t>
      </w:r>
      <w:r w:rsidRPr="00747D0A">
        <w:rPr>
          <w:rFonts w:eastAsia="Times New Roman"/>
          <w:kern w:val="0"/>
          <w:rtl/>
          <w14:ligatures w14:val="none"/>
        </w:rPr>
        <w:t>(</w:t>
      </w:r>
      <w:r w:rsidRPr="00747D0A">
        <w:rPr>
          <w:rFonts w:ascii="Times New Roman" w:eastAsia="Times New Roman" w:hAnsi="Times New Roman" w:cs="Times New Roman" w:hint="cs"/>
          <w:kern w:val="0"/>
          <w:rtl/>
          <w:lang w:bidi="he-IL"/>
          <w14:ligatures w14:val="none"/>
        </w:rPr>
        <w:t>אָדָם</w:t>
      </w:r>
      <w:r w:rsidRPr="00747D0A">
        <w:rPr>
          <w:rFonts w:eastAsia="Times New Roman"/>
          <w:kern w:val="0"/>
          <w:rtl/>
          <w:lang w:bidi="he-IL"/>
          <w14:ligatures w14:val="none"/>
        </w:rPr>
        <w:t>)</w:t>
      </w:r>
      <w:r w:rsidRPr="00747D0A">
        <w:rPr>
          <w:rFonts w:eastAsia="Times New Roman"/>
          <w:kern w:val="0"/>
          <w:rtl/>
          <w:lang w:bidi="ar-JO"/>
          <w14:ligatures w14:val="none"/>
        </w:rPr>
        <w:t xml:space="preserve"> يذكَّر بطبيعته "الأرضية" حيث شُكّل من التراب </w:t>
      </w:r>
      <w:r w:rsidRPr="00747D0A">
        <w:rPr>
          <w:rFonts w:eastAsia="Times New Roman"/>
          <w:kern w:val="0"/>
          <w:rtl/>
          <w14:ligatures w14:val="none"/>
        </w:rPr>
        <w:t>(</w:t>
      </w:r>
      <w:r w:rsidRPr="00747D0A">
        <w:rPr>
          <w:rFonts w:ascii="Times New Roman" w:eastAsia="Times New Roman" w:hAnsi="Times New Roman" w:cs="Times New Roman" w:hint="cs"/>
          <w:kern w:val="0"/>
          <w:rtl/>
          <w:lang w:bidi="he-IL"/>
          <w14:ligatures w14:val="none"/>
        </w:rPr>
        <w:t>אָדָמָה</w:t>
      </w:r>
      <w:r w:rsidRPr="00747D0A">
        <w:rPr>
          <w:rFonts w:eastAsia="Times New Roman"/>
          <w:kern w:val="0"/>
          <w:rtl/>
          <w:lang w:bidi="he-IL"/>
          <w14:ligatures w14:val="none"/>
        </w:rPr>
        <w:t>)</w:t>
      </w:r>
      <w:r w:rsidRPr="00747D0A">
        <w:rPr>
          <w:rFonts w:eastAsia="Times New Roman"/>
          <w:kern w:val="0"/>
          <w:rtl/>
          <w:lang w:bidi="ar-JO"/>
          <w14:ligatures w14:val="none"/>
        </w:rPr>
        <w:t>، فيجب ألا تكون لديه أية آمال في الاستيلاء على مكان الله.</w:t>
      </w:r>
    </w:p>
    <w:p w14:paraId="6CA55B82" w14:textId="77777777" w:rsidR="00E84DB1" w:rsidRPr="00747D0A"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47D0A">
        <w:rPr>
          <w:rFonts w:eastAsia="Times New Roman"/>
          <w:kern w:val="0"/>
          <w:rtl/>
          <w:lang w:bidi="ar-JO"/>
          <w14:ligatures w14:val="none"/>
        </w:rPr>
        <w:t>2.</w:t>
      </w:r>
      <w:r w:rsidRPr="00747D0A">
        <w:rPr>
          <w:rFonts w:eastAsia="Times New Roman"/>
          <w:kern w:val="0"/>
          <w:rtl/>
          <w:lang w:bidi="ar-JO"/>
          <w14:ligatures w14:val="none"/>
        </w:rPr>
        <w:tab/>
        <w:t>يهوه إيلوهيم-</w:t>
      </w:r>
      <w:r w:rsidRPr="00747D0A">
        <w:rPr>
          <w:rFonts w:eastAsia="Times New Roman"/>
          <w:b/>
          <w:kern w:val="0"/>
          <w:rtl/>
          <w:lang w:bidi="he-IL"/>
          <w14:ligatures w14:val="none"/>
        </w:rPr>
        <w:t xml:space="preserve"> </w:t>
      </w:r>
      <w:r w:rsidRPr="00747D0A">
        <w:rPr>
          <w:rFonts w:ascii="Times New Roman" w:eastAsia="Times New Roman" w:hAnsi="Times New Roman" w:cs="Times New Roman" w:hint="cs"/>
          <w:b/>
          <w:kern w:val="0"/>
          <w:rtl/>
          <w:lang w:bidi="he-IL"/>
          <w14:ligatures w14:val="none"/>
        </w:rPr>
        <w:t>יְהוָה</w:t>
      </w:r>
      <w:r w:rsidRPr="00747D0A">
        <w:rPr>
          <w:rFonts w:eastAsia="Times New Roman"/>
          <w:kern w:val="0"/>
          <w:rtl/>
          <w:lang w:bidi="ar-JO"/>
          <w14:ligatures w14:val="none"/>
        </w:rPr>
        <w:t xml:space="preserve"> </w:t>
      </w:r>
      <w:r w:rsidRPr="00747D0A">
        <w:rPr>
          <w:rFonts w:ascii="Times New Roman" w:eastAsia="Times New Roman" w:hAnsi="Times New Roman" w:cs="Times New Roman" w:hint="cs"/>
          <w:b/>
          <w:kern w:val="0"/>
          <w:rtl/>
          <w:lang w:bidi="he-IL"/>
          <w14:ligatures w14:val="none"/>
        </w:rPr>
        <w:t>אֶלֹהִים</w:t>
      </w:r>
      <w:r w:rsidRPr="00747D0A">
        <w:rPr>
          <w:rFonts w:eastAsia="Times New Roman"/>
          <w:kern w:val="0"/>
          <w:rtl/>
          <w:lang w:bidi="ar-JO"/>
          <w14:ligatures w14:val="none"/>
        </w:rPr>
        <w:t>.  يوضح هذا التعبير أن إله العهد يهوه هو أيضاً الإله الخالق.</w:t>
      </w:r>
    </w:p>
    <w:p w14:paraId="1EB48363" w14:textId="77777777" w:rsidR="00E84DB1" w:rsidRPr="00747D0A"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47D0A">
        <w:rPr>
          <w:rFonts w:eastAsia="Times New Roman"/>
          <w:kern w:val="0"/>
          <w:rtl/>
          <w:lang w:bidi="ar-JO"/>
          <w14:ligatures w14:val="none"/>
        </w:rPr>
        <w:t>3.</w:t>
      </w:r>
      <w:r w:rsidRPr="00747D0A">
        <w:rPr>
          <w:rFonts w:eastAsia="Times New Roman"/>
          <w:kern w:val="0"/>
          <w:rtl/>
          <w:lang w:bidi="ar-JO"/>
          <w14:ligatures w14:val="none"/>
        </w:rPr>
        <w:tab/>
        <w:t xml:space="preserve">نِشْمت خاييم- "نسمة الحياة </w:t>
      </w:r>
      <w:r w:rsidRPr="00747D0A">
        <w:rPr>
          <w:rFonts w:eastAsia="Times New Roman"/>
          <w:bCs/>
          <w:i/>
          <w:iCs/>
          <w:kern w:val="0"/>
          <w:lang w:bidi="ar-JO"/>
          <w14:ligatures w14:val="none"/>
        </w:rPr>
        <w:t>nišmaṯ ḥayyîm</w:t>
      </w:r>
      <w:r w:rsidRPr="00747D0A">
        <w:rPr>
          <w:rFonts w:eastAsia="Times New Roman"/>
          <w:kern w:val="0"/>
          <w:rtl/>
          <w:lang w:bidi="ar-JO"/>
          <w14:ligatures w14:val="none"/>
        </w:rPr>
        <w:t xml:space="preserve">" </w:t>
      </w:r>
      <w:r w:rsidRPr="00747D0A">
        <w:rPr>
          <w:rFonts w:ascii="Times New Roman" w:eastAsia="Times New Roman" w:hAnsi="Times New Roman" w:cs="Times New Roman" w:hint="cs"/>
          <w:b/>
          <w:kern w:val="0"/>
          <w:rtl/>
          <w:lang w:bidi="he-IL"/>
          <w14:ligatures w14:val="none"/>
        </w:rPr>
        <w:t>נִשְׁמַת</w:t>
      </w:r>
      <w:r w:rsidRPr="00747D0A">
        <w:rPr>
          <w:rFonts w:eastAsia="Times New Roman"/>
          <w:b/>
          <w:kern w:val="0"/>
          <w:rtl/>
          <w:lang w:bidi="he-IL"/>
          <w14:ligatures w14:val="none"/>
        </w:rPr>
        <w:t xml:space="preserve"> </w:t>
      </w:r>
      <w:r w:rsidRPr="00747D0A">
        <w:rPr>
          <w:rFonts w:ascii="Times New Roman" w:eastAsia="Times New Roman" w:hAnsi="Times New Roman" w:cs="Times New Roman" w:hint="cs"/>
          <w:b/>
          <w:kern w:val="0"/>
          <w:rtl/>
          <w:lang w:bidi="he-IL"/>
          <w14:ligatures w14:val="none"/>
        </w:rPr>
        <w:t>חַיִּים</w:t>
      </w:r>
      <w:r w:rsidRPr="00747D0A">
        <w:rPr>
          <w:rFonts w:eastAsia="Times New Roman"/>
          <w:kern w:val="0"/>
          <w14:ligatures w14:val="none"/>
        </w:rPr>
        <w:t>]</w:t>
      </w:r>
      <w:r w:rsidRPr="00747D0A">
        <w:rPr>
          <w:rFonts w:eastAsia="Times New Roman"/>
          <w:kern w:val="0"/>
          <w:rtl/>
          <w:lang w:bidi="ar-JO"/>
          <w14:ligatures w14:val="none"/>
        </w:rPr>
        <w:t xml:space="preserve"> – ليس هذا التعبير مقصوراً بالضرورة على البشر (انظر </w:t>
      </w:r>
      <w:r w:rsidRPr="00747D0A">
        <w:rPr>
          <w:rFonts w:eastAsia="Times New Roman"/>
          <w:kern w:val="0"/>
          <w14:ligatures w14:val="none"/>
        </w:rPr>
        <w:t xml:space="preserve">Wenham, </w:t>
      </w:r>
      <w:r w:rsidRPr="00747D0A">
        <w:rPr>
          <w:rFonts w:eastAsia="Times New Roman"/>
          <w:i/>
          <w:iCs/>
          <w:kern w:val="0"/>
          <w14:ligatures w14:val="none"/>
        </w:rPr>
        <w:t>Genesis</w:t>
      </w:r>
      <w:r w:rsidRPr="00747D0A">
        <w:rPr>
          <w:rFonts w:eastAsia="Times New Roman"/>
          <w:kern w:val="0"/>
          <w14:ligatures w14:val="none"/>
        </w:rPr>
        <w:t>, 1: 60-61</w:t>
      </w:r>
      <w:r w:rsidRPr="00747D0A">
        <w:rPr>
          <w:rFonts w:eastAsia="Times New Roman"/>
          <w:kern w:val="0"/>
          <w:rtl/>
          <w:lang w:bidi="ar-JO"/>
          <w14:ligatures w14:val="none"/>
        </w:rPr>
        <w:t xml:space="preserve">).  إذ يرد تعبير مشابه (لكن مع استخدام الكلمة المرادفة </w:t>
      </w:r>
      <w:r w:rsidRPr="00747D0A">
        <w:rPr>
          <w:rFonts w:ascii="Times New Roman" w:eastAsia="Times New Roman" w:hAnsi="Times New Roman" w:cs="Times New Roman" w:hint="cs"/>
          <w:b/>
          <w:kern w:val="0"/>
          <w:rtl/>
          <w:lang w:bidi="he-IL"/>
          <w14:ligatures w14:val="none"/>
        </w:rPr>
        <w:t>רוּחַ</w:t>
      </w:r>
      <w:r w:rsidRPr="00747D0A">
        <w:rPr>
          <w:rFonts w:eastAsia="Times New Roman"/>
          <w:kern w:val="0"/>
          <w:rtl/>
          <w:lang w:bidi="ar-JO"/>
          <w14:ligatures w14:val="none"/>
        </w:rPr>
        <w:t xml:space="preserve"> مكان </w:t>
      </w:r>
      <w:r w:rsidRPr="00747D0A">
        <w:rPr>
          <w:rFonts w:ascii="Times New Roman" w:eastAsia="Times New Roman" w:hAnsi="Times New Roman" w:cs="Times New Roman" w:hint="cs"/>
          <w:b/>
          <w:kern w:val="0"/>
          <w:rtl/>
          <w:lang w:bidi="he-IL"/>
          <w14:ligatures w14:val="none"/>
        </w:rPr>
        <w:t>נִשְׁמָה</w:t>
      </w:r>
      <w:r w:rsidRPr="00747D0A">
        <w:rPr>
          <w:rFonts w:eastAsia="Times New Roman"/>
          <w:kern w:val="0"/>
          <w:rtl/>
          <w:lang w:bidi="ar-JO"/>
          <w14:ligatures w14:val="none"/>
        </w:rPr>
        <w:t xml:space="preserve">) في تكوين 6: 17 و 7: 15 حول كل حياة، سواء كانت حيوانية أم بشرية.  ونجد شكلاً معدّلاً قليلاً (مع المحافظة على كلمة </w:t>
      </w:r>
      <w:r w:rsidRPr="00747D0A">
        <w:rPr>
          <w:rFonts w:ascii="Times New Roman" w:eastAsia="Times New Roman" w:hAnsi="Times New Roman" w:cs="Times New Roman" w:hint="cs"/>
          <w:b/>
          <w:kern w:val="0"/>
          <w:rtl/>
          <w:lang w:bidi="he-IL"/>
          <w14:ligatures w14:val="none"/>
        </w:rPr>
        <w:t>נִשְׁמָה</w:t>
      </w:r>
      <w:r w:rsidRPr="00747D0A">
        <w:rPr>
          <w:rFonts w:eastAsia="Times New Roman"/>
          <w:kern w:val="0"/>
          <w:rtl/>
          <w:lang w:bidi="ar-JO"/>
          <w14:ligatures w14:val="none"/>
        </w:rPr>
        <w:t xml:space="preserve">) في تكوين 7: 22، مرتبطاً على ما يبدو بكل من العالم الحيواني والعالم البشري.  وعلى الرغم من أن روس يزعم أن هذه الكلمة الدالة على </w:t>
      </w:r>
      <w:r w:rsidRPr="00747D0A">
        <w:rPr>
          <w:rFonts w:eastAsia="Times New Roman"/>
          <w:i/>
          <w:iCs/>
          <w:kern w:val="0"/>
          <w:rtl/>
          <w:lang w:bidi="ar-JO"/>
          <w14:ligatures w14:val="none"/>
        </w:rPr>
        <w:t>نسمة</w:t>
      </w:r>
      <w:r w:rsidRPr="00747D0A">
        <w:rPr>
          <w:rFonts w:eastAsia="Times New Roman"/>
          <w:kern w:val="0"/>
          <w:rtl/>
          <w:lang w:bidi="ar-JO"/>
          <w14:ligatures w14:val="none"/>
        </w:rPr>
        <w:t xml:space="preserve"> لا تُستخدم أبداً عن الحيوانات (</w:t>
      </w:r>
      <w:r w:rsidRPr="00747D0A">
        <w:rPr>
          <w:rFonts w:eastAsia="Times New Roman"/>
          <w:i/>
          <w:iCs/>
          <w:kern w:val="0"/>
          <w14:ligatures w14:val="none"/>
        </w:rPr>
        <w:t>Creation &amp; Blessing</w:t>
      </w:r>
      <w:r w:rsidRPr="00747D0A">
        <w:rPr>
          <w:rFonts w:eastAsia="Times New Roman"/>
          <w:kern w:val="0"/>
          <w14:ligatures w14:val="none"/>
        </w:rPr>
        <w:t>, 122</w:t>
      </w:r>
      <w:r w:rsidRPr="00747D0A">
        <w:rPr>
          <w:rFonts w:eastAsia="Times New Roman"/>
          <w:kern w:val="0"/>
          <w:rtl/>
          <w:lang w:bidi="ar-JO"/>
          <w14:ligatures w14:val="none"/>
        </w:rPr>
        <w:t xml:space="preserve">)، إلا أن ونهام أكثر دقّة على الأرجح في التوكيد أن للحيوانات أيضاً "نسمة حياة".  ومن دراستنا لآيات مثل أيوب 27: 3؛ 33: 4 و 1ملوك 17: 17، نرى أنَّ الفكرة الأساسية من هذه الكلمة هي كون المرء أو الحيوان "حيّاً" (لا أن له "حياة أبدية").  فإزالة "نسمة الحياة" إذاً هي بمثابة أخذ الحياة المادية من الكائن الحي (سواء كان إنساناً أم حيواناً).  غير أن "نسمة الحياة" </w:t>
      </w:r>
      <w:r w:rsidRPr="00747D0A">
        <w:rPr>
          <w:rFonts w:eastAsia="Times New Roman"/>
          <w:kern w:val="0"/>
          <w:u w:val="single"/>
          <w:rtl/>
          <w:lang w:bidi="ar-JO"/>
          <w14:ligatures w14:val="none"/>
        </w:rPr>
        <w:t>في الإنسان</w:t>
      </w:r>
      <w:r w:rsidRPr="00747D0A">
        <w:rPr>
          <w:rFonts w:eastAsia="Times New Roman"/>
          <w:kern w:val="0"/>
          <w:rtl/>
          <w:lang w:bidi="ar-JO"/>
          <w14:ligatures w14:val="none"/>
        </w:rPr>
        <w:t xml:space="preserve"> توحي في بعض الحالات بأكثر من مجرد الحياة المادية (انظر أيوب 32: 8- "</w:t>
      </w:r>
      <w:r w:rsidRPr="00747D0A">
        <w:rPr>
          <w:rFonts w:eastAsia="Times New Roman"/>
          <w:i/>
          <w:iCs/>
          <w:kern w:val="0"/>
          <w:rtl/>
          <w:lang w:bidi="ar-JO"/>
          <w14:ligatures w14:val="none"/>
        </w:rPr>
        <w:t>ونسمة</w:t>
      </w:r>
      <w:r w:rsidRPr="00747D0A">
        <w:rPr>
          <w:rFonts w:eastAsia="Times New Roman"/>
          <w:kern w:val="0"/>
          <w:rtl/>
          <w:lang w:bidi="ar-JO"/>
          <w14:ligatures w14:val="none"/>
        </w:rPr>
        <w:t xml:space="preserve"> </w:t>
      </w:r>
      <w:r w:rsidRPr="00747D0A">
        <w:rPr>
          <w:rFonts w:ascii="Times New Roman" w:eastAsia="Times New Roman" w:hAnsi="Times New Roman" w:cs="Times New Roman" w:hint="cs"/>
          <w:b/>
          <w:kern w:val="0"/>
          <w:rtl/>
          <w:lang w:bidi="he-IL"/>
          <w14:ligatures w14:val="none"/>
        </w:rPr>
        <w:t>נִשְׁמָה</w:t>
      </w:r>
      <w:r w:rsidRPr="00747D0A">
        <w:rPr>
          <w:rFonts w:eastAsia="Times New Roman"/>
          <w:kern w:val="0"/>
          <w14:ligatures w14:val="none"/>
        </w:rPr>
        <w:t>]</w:t>
      </w:r>
      <w:r w:rsidRPr="00747D0A">
        <w:rPr>
          <w:rFonts w:eastAsia="Times New Roman"/>
          <w:kern w:val="0"/>
          <w:rtl/>
          <w:lang w:bidi="ar-JO"/>
          <w14:ligatures w14:val="none"/>
        </w:rPr>
        <w:t xml:space="preserve"> القدير تعقّلهم") وقد ترتبط أيضاً بضمير الإنسان (انظر أمثال 20: 27).  ويصعب التأكد إن كان كل هذا متضمناً في حالة تكوين 2: 7.  ويزعم ليوبولد (1: 116) أن الهام ليس النسمة نفسها، ولكن أسلوب منحها (أي مباشرةً وبشكلٍ شخصي من الله)، وهو ما يعطي الإنسان كرامتهُ. </w:t>
      </w:r>
    </w:p>
    <w:p w14:paraId="0E213BDE"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747D0A">
        <w:rPr>
          <w:rFonts w:eastAsia="Times New Roman"/>
          <w:kern w:val="0"/>
          <w:rtl/>
          <w:lang w:bidi="ar-JO"/>
          <w14:ligatures w14:val="none"/>
        </w:rPr>
        <w:t xml:space="preserve">ويجب أن نضع في اعتبارنا أيضاً يوحنا 20: 22 (التي تتوقع يوم الخمسين) الذي يعلَن فيه قبول الروح القدس بلغة تذكِّر بتكوين 2: 7، حيث نفخ يسوع على التلاميذ. </w:t>
      </w:r>
    </w:p>
    <w:p w14:paraId="2C027164"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47D0A">
        <w:rPr>
          <w:rFonts w:eastAsia="Times New Roman"/>
          <w:kern w:val="0"/>
          <w:rtl/>
          <w:lang w:bidi="ar-JO"/>
          <w14:ligatures w14:val="none"/>
        </w:rPr>
        <w:lastRenderedPageBreak/>
        <w:t>إن الفكرة الأساسية في تكوين 2: 7 هي أن الله عمل مباشرة لكي يحيي الإنسان (على الرغم من أن الإنسان كان يمتلك صفات تتجاوز صفات المملكة الحيوانية، بما في ذلك الحياة الروحية).  ويمكننا أن نفترض أن إعطاء "نسمة الحياة" في حالة الإنسان لم تسفر عن صيرورة الإنسان حياً فحسب، بل أيضاً عن امتلاكه للحياة الروحية.</w:t>
      </w:r>
    </w:p>
    <w:p w14:paraId="74C4D694" w14:textId="77777777" w:rsidR="00E84DB1" w:rsidRPr="00747D0A"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47D0A">
        <w:rPr>
          <w:rFonts w:eastAsia="Times New Roman"/>
          <w:kern w:val="0"/>
          <w:rtl/>
          <w:lang w:bidi="ar-JO"/>
          <w14:ligatures w14:val="none"/>
        </w:rPr>
        <w:t>4.</w:t>
      </w:r>
      <w:r w:rsidRPr="00747D0A">
        <w:rPr>
          <w:rFonts w:eastAsia="Times New Roman"/>
          <w:kern w:val="0"/>
          <w:rtl/>
          <w:lang w:bidi="ar-JO"/>
          <w14:ligatures w14:val="none"/>
        </w:rPr>
        <w:tab/>
        <w:t xml:space="preserve">"نفْساً حية </w:t>
      </w:r>
      <w:r w:rsidRPr="00747D0A">
        <w:rPr>
          <w:rFonts w:ascii="Times New Roman" w:eastAsia="Times New Roman" w:hAnsi="Times New Roman" w:cs="Times New Roman" w:hint="cs"/>
          <w:kern w:val="0"/>
          <w:rtl/>
          <w:lang w:bidi="he-IL"/>
          <w14:ligatures w14:val="none"/>
        </w:rPr>
        <w:t>נֶפֶשׁ</w:t>
      </w:r>
      <w:r w:rsidRPr="00747D0A">
        <w:rPr>
          <w:rFonts w:eastAsia="Times New Roman"/>
          <w:kern w:val="0"/>
          <w:rtl/>
          <w:lang w:bidi="he-IL"/>
          <w14:ligatures w14:val="none"/>
        </w:rPr>
        <w:t xml:space="preserve"> </w:t>
      </w:r>
      <w:r w:rsidRPr="00747D0A">
        <w:rPr>
          <w:rFonts w:ascii="Times New Roman" w:eastAsia="Times New Roman" w:hAnsi="Times New Roman" w:cs="Times New Roman" w:hint="cs"/>
          <w:kern w:val="0"/>
          <w:rtl/>
          <w:lang w:bidi="he-IL"/>
          <w14:ligatures w14:val="none"/>
        </w:rPr>
        <w:t>חַיָּה</w:t>
      </w:r>
      <w:r w:rsidRPr="00747D0A">
        <w:rPr>
          <w:rFonts w:eastAsia="Times New Roman"/>
          <w:kern w:val="0"/>
          <w14:ligatures w14:val="none"/>
        </w:rPr>
        <w:t xml:space="preserve"> \</w:t>
      </w:r>
      <w:r w:rsidRPr="00747D0A">
        <w:rPr>
          <w:rFonts w:eastAsia="Times New Roman"/>
          <w:kern w:val="0"/>
          <w:rtl/>
          <w:lang w:bidi="ar-JO"/>
          <w14:ligatures w14:val="none"/>
        </w:rPr>
        <w:t xml:space="preserve">" أو "كائناً حياً" حسب ترجمة </w:t>
      </w:r>
      <w:r w:rsidRPr="00747D0A">
        <w:rPr>
          <w:rFonts w:eastAsia="Times New Roman"/>
          <w:kern w:val="0"/>
          <w14:ligatures w14:val="none"/>
        </w:rPr>
        <w:t>NASB</w:t>
      </w:r>
      <w:r w:rsidRPr="00747D0A">
        <w:rPr>
          <w:rFonts w:eastAsia="Times New Roman"/>
          <w:kern w:val="0"/>
          <w:rtl/>
          <w:lang w:bidi="ar-JO"/>
          <w14:ligatures w14:val="none"/>
        </w:rPr>
        <w:t xml:space="preserve"> – كلمة "نفْس" </w:t>
      </w:r>
      <w:r w:rsidRPr="00747D0A">
        <w:rPr>
          <w:rFonts w:ascii="Times New Roman" w:eastAsia="Times New Roman" w:hAnsi="Times New Roman" w:cs="Times New Roman" w:hint="cs"/>
          <w:kern w:val="0"/>
          <w:rtl/>
          <w:lang w:bidi="he-IL"/>
          <w14:ligatures w14:val="none"/>
        </w:rPr>
        <w:t>נֶפֶשׁ</w:t>
      </w:r>
      <w:r w:rsidRPr="00747D0A">
        <w:rPr>
          <w:rFonts w:eastAsia="Times New Roman"/>
          <w:kern w:val="0"/>
          <w:rtl/>
          <w:lang w:bidi="ar-JO"/>
          <w14:ligatures w14:val="none"/>
        </w:rPr>
        <w:t xml:space="preserve"> هنا كناية عن كل "الشخص" أو "الذات".  لقد نتج عن نفخ الله في الإنسان أن أصبح الإنسان كائناً حياً (وهو تعبير يستخدم في تكوين 1: 24 و2: 19 عن المملكة الحيوانية).</w:t>
      </w:r>
    </w:p>
    <w:p w14:paraId="3E68D005"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47D0A">
        <w:rPr>
          <w:rFonts w:eastAsia="Times New Roman"/>
          <w:kern w:val="0"/>
          <w:rtl/>
          <w:lang w:bidi="ar-JO"/>
          <w14:ligatures w14:val="none"/>
        </w:rPr>
        <w:t>يستنتج ونهام (</w:t>
      </w:r>
      <w:r w:rsidRPr="00747D0A">
        <w:rPr>
          <w:rFonts w:eastAsia="Times New Roman"/>
          <w:i/>
          <w:iCs/>
          <w:kern w:val="0"/>
          <w14:ligatures w14:val="none"/>
        </w:rPr>
        <w:t>Genesis</w:t>
      </w:r>
      <w:r w:rsidRPr="00747D0A">
        <w:rPr>
          <w:rFonts w:eastAsia="Times New Roman"/>
          <w:kern w:val="0"/>
          <w14:ligatures w14:val="none"/>
        </w:rPr>
        <w:t xml:space="preserve"> 1-15, 61</w:t>
      </w:r>
      <w:r w:rsidRPr="00747D0A">
        <w:rPr>
          <w:rFonts w:eastAsia="Times New Roman"/>
          <w:kern w:val="0"/>
          <w:rtl/>
          <w:lang w:bidi="ar-JO"/>
          <w14:ligatures w14:val="none"/>
        </w:rPr>
        <w:t>):</w:t>
      </w:r>
    </w:p>
    <w:p w14:paraId="56012B27"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747D0A">
        <w:rPr>
          <w:rFonts w:eastAsia="Times New Roman"/>
          <w:kern w:val="0"/>
          <w:rtl/>
          <w:lang w:bidi="ar-JO"/>
          <w14:ligatures w14:val="none"/>
        </w:rPr>
        <w:t>ليس امتلاك الإنسان "نسمة الحياة" أو حالته بصفته "مخلوقاً حياً" هو ما يفرّقه عن الحيوانات.... فالحيوانات توصف بالتعابير نفسها.  لكن تكوين 1: 26-28 تؤكد فرادة الإنسان لأن الإنسان وحده هو الذي خُلِق على صورة الله، ولأنه أُعطي سلطة عى الحيوانات.</w:t>
      </w:r>
    </w:p>
    <w:p w14:paraId="05E1611F"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747D0A">
        <w:rPr>
          <w:rFonts w:eastAsia="Times New Roman"/>
          <w:kern w:val="0"/>
          <w:rtl/>
          <w:lang w:bidi="ar-JO"/>
          <w14:ligatures w14:val="none"/>
        </w:rPr>
        <w:t>ولقد كان للإنسان المخلوق بهذا الأسلوب المتسم بالحرص والعناية القدرة على خدمة الله.</w:t>
      </w:r>
    </w:p>
    <w:p w14:paraId="32578F98" w14:textId="77777777" w:rsidR="00E84DB1" w:rsidRPr="00C7130A"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szCs w:val="26"/>
          <w:rtl/>
          <w:lang w:bidi="ar-JO"/>
          <w14:ligatures w14:val="none"/>
        </w:rPr>
      </w:pPr>
    </w:p>
    <w:p w14:paraId="642C8FEF" w14:textId="77777777" w:rsidR="00E84DB1" w:rsidRPr="00747D0A" w:rsidRDefault="00E84DB1" w:rsidP="00C7130A">
      <w:pPr>
        <w:tabs>
          <w:tab w:val="left" w:pos="454"/>
        </w:tabs>
        <w:spacing w:after="60"/>
        <w:ind w:left="550" w:hanging="550"/>
        <w:jc w:val="both"/>
        <w:rPr>
          <w:rFonts w:eastAsia="Times New Roman"/>
          <w:bCs/>
          <w:kern w:val="0"/>
          <w:rtl/>
          <w14:ligatures w14:val="none"/>
        </w:rPr>
      </w:pPr>
      <w:r w:rsidRPr="00747D0A">
        <w:rPr>
          <w:rFonts w:eastAsia="Times New Roman"/>
          <w:bCs/>
          <w:kern w:val="0"/>
          <w:rtl/>
          <w14:ligatures w14:val="none"/>
        </w:rPr>
        <w:t>ب.</w:t>
      </w:r>
      <w:r w:rsidRPr="00747D0A">
        <w:rPr>
          <w:rFonts w:eastAsia="Times New Roman"/>
          <w:bCs/>
          <w:kern w:val="0"/>
          <w:rtl/>
          <w14:ligatures w14:val="none"/>
        </w:rPr>
        <w:tab/>
        <w:t>الخلفية المعدة لطاعة الإنسان لوصايا الله (2: 8-17)</w:t>
      </w:r>
    </w:p>
    <w:p w14:paraId="1C9ABC3D"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47D0A">
        <w:rPr>
          <w:rFonts w:eastAsia="Times New Roman"/>
          <w:kern w:val="0"/>
          <w:rtl/>
          <w:lang w:bidi="ar-JO"/>
          <w14:ligatures w14:val="none"/>
        </w:rPr>
        <w:t>يركّز هذا القسم على الجنة التي هي الحلبة لامتحان الطاعة.  والتركيز هو على الأشجار في الجنة:</w:t>
      </w:r>
    </w:p>
    <w:p w14:paraId="77341FA9"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747D0A">
        <w:rPr>
          <w:rFonts w:eastAsia="Times New Roman"/>
          <w:kern w:val="0"/>
          <w:u w:val="single"/>
          <w:rtl/>
          <w:lang w:bidi="ar-JO"/>
          <w14:ligatures w14:val="none"/>
        </w:rPr>
        <w:t>شجرة الحياة</w:t>
      </w:r>
      <w:r w:rsidRPr="00747D0A">
        <w:rPr>
          <w:rFonts w:eastAsia="Times New Roman"/>
          <w:kern w:val="0"/>
          <w:rtl/>
          <w:lang w:bidi="ar-JO"/>
          <w14:ligatures w14:val="none"/>
        </w:rPr>
        <w:t>: وسيلة للحفاظ على الحياة وتعزيزها في حالتها السعيدة.</w:t>
      </w:r>
    </w:p>
    <w:p w14:paraId="25AF9CBE"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47D0A">
        <w:rPr>
          <w:rFonts w:eastAsia="Times New Roman"/>
          <w:kern w:val="0"/>
          <w:u w:val="single"/>
          <w:rtl/>
          <w:lang w:bidi="ar-JO"/>
          <w14:ligatures w14:val="none"/>
        </w:rPr>
        <w:t>شجرة معرفة الخير والشر</w:t>
      </w:r>
      <w:r w:rsidRPr="00747D0A">
        <w:rPr>
          <w:rFonts w:eastAsia="Times New Roman"/>
          <w:kern w:val="0"/>
          <w:rtl/>
          <w:lang w:bidi="ar-JO"/>
          <w14:ligatures w14:val="none"/>
        </w:rPr>
        <w:t>- طِباق للأشياء التي تحمي وتدمّر الحياة.  وينتج عن هذا عقول جعلتها معرفة الشر تظلم.</w:t>
      </w:r>
    </w:p>
    <w:p w14:paraId="5D1CF2B9"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47D0A">
        <w:rPr>
          <w:rFonts w:eastAsia="Times New Roman"/>
          <w:kern w:val="0"/>
          <w:rtl/>
          <w:lang w:bidi="ar-JO"/>
          <w14:ligatures w14:val="none"/>
        </w:rPr>
        <w:t>إنَّ تجاوز الحدود يؤدي إلى كارثة... الموت.  وسيكون هذا الموت روحياً وجسدياً.</w:t>
      </w:r>
    </w:p>
    <w:p w14:paraId="3A988AE9"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747D0A">
        <w:rPr>
          <w:rFonts w:eastAsia="Times New Roman"/>
          <w:kern w:val="0"/>
          <w:rtl/>
          <w:lang w:bidi="ar-JO"/>
          <w14:ligatures w14:val="none"/>
        </w:rPr>
        <w:t>يجب أن ننتبه إلى أن الإنسان خُلق ليكون عابداً لا مجرد بستاني.  وقد اتسمت مهمته بالخدمة الروحية العالية والطاعة.  لنلاحظ التعابير التالية:</w:t>
      </w:r>
    </w:p>
    <w:p w14:paraId="0915CF1C"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47D0A">
        <w:rPr>
          <w:rFonts w:ascii="Times New Roman" w:eastAsia="Times New Roman" w:hAnsi="Times New Roman" w:cs="Times New Roman" w:hint="cs"/>
          <w:b/>
          <w:kern w:val="0"/>
          <w:rtl/>
          <w:lang w:bidi="he-IL"/>
          <w14:ligatures w14:val="none"/>
        </w:rPr>
        <w:t>שָׁמַר</w:t>
      </w:r>
      <w:r w:rsidRPr="00747D0A">
        <w:rPr>
          <w:rFonts w:eastAsia="Times New Roman"/>
          <w:kern w:val="0"/>
          <w:rtl/>
          <w:lang w:bidi="ar-JO"/>
          <w14:ligatures w14:val="none"/>
        </w:rPr>
        <w:t xml:space="preserve"> - </w:t>
      </w:r>
      <w:r w:rsidRPr="00747D0A">
        <w:rPr>
          <w:rFonts w:eastAsia="Times New Roman"/>
          <w:bCs/>
          <w:i/>
          <w:iCs/>
          <w:kern w:val="0"/>
          <w:lang w:bidi="ar-JO"/>
          <w14:ligatures w14:val="none"/>
        </w:rPr>
        <w:t>šāmar</w:t>
      </w:r>
      <w:r w:rsidRPr="00747D0A">
        <w:rPr>
          <w:rFonts w:eastAsia="Times New Roman"/>
          <w:kern w:val="0"/>
          <w:rtl/>
          <w:lang w:bidi="ar-JO"/>
          <w14:ligatures w14:val="none"/>
        </w:rPr>
        <w:t xml:space="preserve"> (يحفظ، يحرس)- تستخدم هذه الكلمة للتعبير عن حفظ الوصايا ومراعاة كلمة الله وطاعتها.</w:t>
      </w:r>
    </w:p>
    <w:p w14:paraId="24B71D12"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747D0A">
        <w:rPr>
          <w:rFonts w:ascii="Times New Roman" w:eastAsia="Times New Roman" w:hAnsi="Times New Roman" w:cs="Times New Roman" w:hint="cs"/>
          <w:b/>
          <w:kern w:val="0"/>
          <w:rtl/>
          <w:lang w:bidi="he-IL"/>
          <w14:ligatures w14:val="none"/>
        </w:rPr>
        <w:t>עָבַד</w:t>
      </w:r>
      <w:r w:rsidRPr="00747D0A">
        <w:rPr>
          <w:rFonts w:eastAsia="Times New Roman"/>
          <w:kern w:val="0"/>
          <w:rtl/>
          <w:lang w:bidi="ar-JO"/>
          <w14:ligatures w14:val="none"/>
        </w:rPr>
        <w:t xml:space="preserve"> - </w:t>
      </w:r>
      <w:r w:rsidRPr="00747D0A">
        <w:rPr>
          <w:rFonts w:eastAsia="Times New Roman"/>
          <w:bCs/>
          <w:i/>
          <w:iCs/>
          <w:kern w:val="0"/>
          <w:lang w:bidi="ar-JO"/>
          <w14:ligatures w14:val="none"/>
        </w:rPr>
        <w:t>ʿāḇaḏ</w:t>
      </w:r>
      <w:r w:rsidRPr="00747D0A">
        <w:rPr>
          <w:rFonts w:eastAsia="Times New Roman"/>
          <w:kern w:val="0"/>
          <w:rtl/>
          <w:lang w:bidi="ar-JO"/>
          <w14:ligatures w14:val="none"/>
        </w:rPr>
        <w:t xml:space="preserve"> (يخدم، يعبد)- تُستخدم هذه الكلمة لتصف الإنسان بصفته </w:t>
      </w:r>
      <w:r w:rsidRPr="00747D0A">
        <w:rPr>
          <w:rFonts w:eastAsia="Times New Roman"/>
          <w:kern w:val="0"/>
          <w:u w:val="single"/>
          <w:rtl/>
          <w:lang w:bidi="ar-JO"/>
          <w14:ligatures w14:val="none"/>
        </w:rPr>
        <w:t>خادماً</w:t>
      </w:r>
      <w:r w:rsidRPr="00747D0A">
        <w:rPr>
          <w:rFonts w:eastAsia="Times New Roman"/>
          <w:kern w:val="0"/>
          <w:rtl/>
          <w:lang w:bidi="ar-JO"/>
          <w14:ligatures w14:val="none"/>
        </w:rPr>
        <w:t xml:space="preserve"> ليهوه، وهي أسمى خدمة روحية يمكن أن يتمتع بها الإنسان.</w:t>
      </w:r>
    </w:p>
    <w:p w14:paraId="1FE30259"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747D0A">
        <w:rPr>
          <w:rFonts w:ascii="Times New Roman" w:eastAsia="Times New Roman" w:hAnsi="Times New Roman" w:cs="Times New Roman" w:hint="cs"/>
          <w:b/>
          <w:kern w:val="0"/>
          <w:rtl/>
          <w:lang w:bidi="he-IL"/>
          <w14:ligatures w14:val="none"/>
        </w:rPr>
        <w:t>צָוָה</w:t>
      </w:r>
      <w:r w:rsidRPr="00747D0A">
        <w:rPr>
          <w:rFonts w:eastAsia="Times New Roman"/>
          <w:kern w:val="0"/>
          <w:rtl/>
          <w:lang w:bidi="ar-JO"/>
          <w14:ligatures w14:val="none"/>
        </w:rPr>
        <w:t xml:space="preserve"> - </w:t>
      </w:r>
      <w:r w:rsidRPr="00747D0A">
        <w:rPr>
          <w:rFonts w:eastAsia="Times New Roman"/>
          <w:bCs/>
          <w:i/>
          <w:iCs/>
          <w:kern w:val="0"/>
          <w:lang w:bidi="ar-JO"/>
          <w14:ligatures w14:val="none"/>
        </w:rPr>
        <w:t>ṣāwâ</w:t>
      </w:r>
      <w:r w:rsidRPr="00747D0A">
        <w:rPr>
          <w:rFonts w:eastAsia="Times New Roman"/>
          <w:kern w:val="0"/>
          <w:rtl/>
          <w:lang w:bidi="ar-JO"/>
          <w14:ligatures w14:val="none"/>
        </w:rPr>
        <w:t xml:space="preserve"> (يوصي، يأمر)- الكلمة الرئيسية للأمر/الوصية في العهد القديم (إن الوضع الملائم للإنسان هو أن يتعلم من الرب وأن يطيع تعاليمه).</w:t>
      </w:r>
    </w:p>
    <w:p w14:paraId="62DDDCC2"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747D0A">
        <w:rPr>
          <w:rFonts w:eastAsia="Times New Roman"/>
          <w:kern w:val="0"/>
          <w:rtl/>
          <w:lang w:bidi="ar-JO"/>
          <w14:ligatures w14:val="none"/>
        </w:rPr>
        <w:lastRenderedPageBreak/>
        <w:t>الاستنتاج: لقد تمت تهيئة الجنس البشري بقدرة روحية، ومن ثم وضِع في وضعٍ لاختبار طاعته كمتعبد حقيقي لله، لتكون نتيجة لامتحان إما الحياة أو الموت.</w:t>
      </w:r>
    </w:p>
    <w:p w14:paraId="746AE2CD"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438BDAFE" w14:textId="77777777" w:rsidR="00E84DB1" w:rsidRPr="00747D0A" w:rsidRDefault="00E84DB1" w:rsidP="00C7130A">
      <w:pPr>
        <w:tabs>
          <w:tab w:val="left" w:pos="454"/>
        </w:tabs>
        <w:spacing w:after="60"/>
        <w:ind w:left="550" w:hanging="550"/>
        <w:jc w:val="both"/>
        <w:rPr>
          <w:rFonts w:eastAsia="Times New Roman"/>
          <w:bCs/>
          <w:kern w:val="0"/>
          <w:rtl/>
          <w14:ligatures w14:val="none"/>
        </w:rPr>
      </w:pPr>
      <w:r w:rsidRPr="00747D0A">
        <w:rPr>
          <w:rFonts w:eastAsia="Times New Roman"/>
          <w:bCs/>
          <w:kern w:val="0"/>
          <w:rtl/>
          <w14:ligatures w14:val="none"/>
        </w:rPr>
        <w:t>جـ.</w:t>
      </w:r>
      <w:r w:rsidRPr="00747D0A">
        <w:rPr>
          <w:rFonts w:eastAsia="Times New Roman"/>
          <w:bCs/>
          <w:kern w:val="0"/>
          <w:rtl/>
          <w14:ligatures w14:val="none"/>
        </w:rPr>
        <w:tab/>
        <w:t>اكتمال خلق الصورة (2: 18-25)</w:t>
      </w:r>
    </w:p>
    <w:p w14:paraId="675D1A50"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47D0A">
        <w:rPr>
          <w:rFonts w:eastAsia="Times New Roman"/>
          <w:kern w:val="0"/>
          <w:rtl/>
          <w:lang w:bidi="ar-JO"/>
          <w14:ligatures w14:val="none"/>
        </w:rPr>
        <w:t xml:space="preserve">يقول لنا النص إنه لم يكن أمراً </w:t>
      </w:r>
      <w:r w:rsidRPr="00747D0A">
        <w:rPr>
          <w:rFonts w:eastAsia="Times New Roman"/>
          <w:kern w:val="0"/>
          <w:u w:val="single"/>
          <w:rtl/>
          <w:lang w:bidi="ar-JO"/>
          <w14:ligatures w14:val="none"/>
        </w:rPr>
        <w:t>جيداً</w:t>
      </w:r>
      <w:r w:rsidRPr="00747D0A">
        <w:rPr>
          <w:rFonts w:eastAsia="Times New Roman"/>
          <w:kern w:val="0"/>
          <w:rtl/>
          <w:lang w:bidi="ar-JO"/>
          <w14:ligatures w14:val="none"/>
        </w:rPr>
        <w:t xml:space="preserve"> أن يكون آدم وحده، وهو الشيء الوحيد الذي يسمّيه الله "ليس جيداً".</w:t>
      </w:r>
    </w:p>
    <w:p w14:paraId="79C7594F"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47D0A">
        <w:rPr>
          <w:rFonts w:eastAsia="Times New Roman"/>
          <w:kern w:val="0"/>
          <w:rtl/>
          <w:lang w:bidi="ar-JO"/>
          <w14:ligatures w14:val="none"/>
        </w:rPr>
        <w:t>تسمية الحيوانات: كان إطلاق التسميات إشارة إلى امتلاك "السلطة" على ما يسمّيه المرء.  فعلى سبيل المثال، قام رأوبين بتغيير أسماء مدن العمّوريين بعد غزوه لها.  وهنا يمارس آدم وظيفة ممثل الله.</w:t>
      </w:r>
    </w:p>
    <w:p w14:paraId="6FBA1B44"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747D0A">
        <w:rPr>
          <w:rFonts w:eastAsia="Times New Roman"/>
          <w:kern w:val="0"/>
          <w:rtl/>
          <w:lang w:bidi="ar-JO"/>
          <w14:ligatures w14:val="none"/>
        </w:rPr>
        <w:t>الع</w:t>
      </w:r>
      <w:r w:rsidRPr="00747D0A">
        <w:rPr>
          <w:rFonts w:eastAsia="Times New Roman"/>
          <w:kern w:val="0"/>
          <w:rtl/>
          <w14:ligatures w14:val="none"/>
        </w:rPr>
        <w:t>ُ</w:t>
      </w:r>
      <w:r w:rsidRPr="00747D0A">
        <w:rPr>
          <w:rFonts w:eastAsia="Times New Roman"/>
          <w:kern w:val="0"/>
          <w:rtl/>
          <w:lang w:bidi="ar-JO"/>
          <w14:ligatures w14:val="none"/>
        </w:rPr>
        <w:t>ري- يوحي هذا بأنهما كانا مطمئنّين في علاقتهما أحدهما مع الآخر دون أي خوف من استغلال أو إدراك لإمكان حدوث شر.  ويمكن أن يقال إنهما ساذجان وساهيان عن الشر، غير عارفين أين تكمن الفخاخ.</w:t>
      </w:r>
    </w:p>
    <w:p w14:paraId="51B4EB60"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4B69C77" w14:textId="77777777" w:rsidR="00E84DB1" w:rsidRPr="00C7130A" w:rsidRDefault="00E84DB1" w:rsidP="000558B7">
      <w:pPr>
        <w:pStyle w:val="Heading3"/>
        <w:rPr>
          <w:rtl/>
          <w:lang w:bidi="ar-JO"/>
        </w:rPr>
      </w:pPr>
      <w:bookmarkStart w:id="100" w:name="_Toc193030939"/>
      <w:r w:rsidRPr="00C7130A">
        <w:rPr>
          <w:rtl/>
          <w:lang w:bidi="ar-JO"/>
        </w:rPr>
        <w:t>3.</w:t>
      </w:r>
      <w:r w:rsidRPr="00C7130A">
        <w:rPr>
          <w:rtl/>
          <w:lang w:bidi="ar-JO"/>
        </w:rPr>
        <w:tab/>
        <w:t>دخول الخطية إلى الجنس البشري (3: 1-24)</w:t>
      </w:r>
      <w:bookmarkEnd w:id="100"/>
    </w:p>
    <w:p w14:paraId="0C9D4BDD"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747D0A">
        <w:rPr>
          <w:rFonts w:eastAsia="Times New Roman"/>
          <w:kern w:val="0"/>
          <w:rtl/>
          <w:lang w:bidi="ar-JO"/>
          <w14:ligatures w14:val="none"/>
        </w:rPr>
        <w:t>هذا هو الأصحاح الرئيسي في هذه الثلاثية.  فكل ما كان للإنسان في الجنّة ضاع في السقوط.  والآن توجد لعنة، الأمر الذي يحتّم استعادة "البركة</w:t>
      </w:r>
      <w:r w:rsidRPr="00747D0A">
        <w:rPr>
          <w:rFonts w:eastAsia="Times New Roman"/>
          <w:kern w:val="0"/>
          <w:rtl/>
          <w14:ligatures w14:val="none"/>
        </w:rPr>
        <w:t>.</w:t>
      </w:r>
      <w:r w:rsidRPr="00747D0A">
        <w:rPr>
          <w:rFonts w:eastAsia="Times New Roman"/>
          <w:kern w:val="0"/>
          <w:rtl/>
          <w:lang w:bidi="ar-JO"/>
          <w14:ligatures w14:val="none"/>
        </w:rPr>
        <w:t>"</w:t>
      </w:r>
    </w:p>
    <w:p w14:paraId="09740D78" w14:textId="77777777" w:rsidR="00E84DB1" w:rsidRPr="00747D0A" w:rsidRDefault="00E84DB1" w:rsidP="00C7130A">
      <w:pPr>
        <w:tabs>
          <w:tab w:val="left" w:pos="454"/>
        </w:tabs>
        <w:spacing w:after="60"/>
        <w:ind w:left="550" w:hanging="550"/>
        <w:jc w:val="both"/>
        <w:rPr>
          <w:rFonts w:eastAsia="Times New Roman"/>
          <w:bCs/>
          <w:kern w:val="0"/>
          <w:rtl/>
          <w:lang w:bidi="ar-KW"/>
          <w14:ligatures w14:val="none"/>
        </w:rPr>
      </w:pPr>
      <w:r w:rsidRPr="00747D0A">
        <w:rPr>
          <w:rFonts w:eastAsia="Times New Roman"/>
          <w:bCs/>
          <w:kern w:val="0"/>
          <w:rtl/>
          <w14:ligatures w14:val="none"/>
        </w:rPr>
        <w:t>أ.</w:t>
      </w:r>
      <w:r w:rsidRPr="00747D0A">
        <w:rPr>
          <w:rFonts w:eastAsia="Times New Roman"/>
          <w:bCs/>
          <w:kern w:val="0"/>
          <w:rtl/>
          <w14:ligatures w14:val="none"/>
        </w:rPr>
        <w:tab/>
        <w:t>رواية التجربة بالخطية (3: 1-7)</w:t>
      </w:r>
    </w:p>
    <w:p w14:paraId="44356034" w14:textId="77777777" w:rsidR="00E84DB1" w:rsidRPr="00747D0A"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47D0A">
        <w:rPr>
          <w:rFonts w:eastAsia="Times New Roman"/>
          <w:kern w:val="0"/>
          <w:rtl/>
          <w:lang w:bidi="ar-JO"/>
          <w14:ligatures w14:val="none"/>
        </w:rPr>
        <w:t>1.</w:t>
      </w:r>
      <w:r w:rsidRPr="00747D0A">
        <w:rPr>
          <w:rFonts w:eastAsia="Times New Roman"/>
          <w:kern w:val="0"/>
          <w:rtl/>
          <w:lang w:bidi="ar-JO"/>
          <w14:ligatures w14:val="none"/>
        </w:rPr>
        <w:tab/>
        <w:t>مِيزة المجرب</w:t>
      </w:r>
    </w:p>
    <w:p w14:paraId="4EB879CA"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47D0A">
        <w:rPr>
          <w:rFonts w:eastAsia="Times New Roman"/>
          <w:kern w:val="0"/>
          <w:rtl/>
          <w:lang w:bidi="ar-JO"/>
          <w14:ligatures w14:val="none"/>
        </w:rPr>
        <w:t>يوجد تلاعب غير مباشر بالكلمات ما بين 2: 25 و 3: 1</w:t>
      </w:r>
    </w:p>
    <w:p w14:paraId="16251E7D"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747D0A">
        <w:rPr>
          <w:rFonts w:eastAsia="Times New Roman"/>
          <w:kern w:val="0"/>
          <w:rtl/>
          <w:lang w:bidi="ar-JO"/>
          <w14:ligatures w14:val="none"/>
        </w:rPr>
        <w:t xml:space="preserve">- كان الزوجان عاريين </w:t>
      </w:r>
      <w:r w:rsidRPr="00747D0A">
        <w:rPr>
          <w:rFonts w:eastAsia="Times New Roman"/>
          <w:kern w:val="0"/>
          <w:rtl/>
          <w14:ligatures w14:val="none"/>
        </w:rPr>
        <w:t>(</w:t>
      </w:r>
      <w:r w:rsidRPr="00747D0A">
        <w:rPr>
          <w:rFonts w:ascii="Times New Roman" w:eastAsia="Times New Roman" w:hAnsi="Times New Roman" w:cs="Times New Roman" w:hint="cs"/>
          <w:kern w:val="0"/>
          <w:rtl/>
          <w:lang w:bidi="he-IL"/>
          <w14:ligatures w14:val="none"/>
        </w:rPr>
        <w:t>עֲרוּמִּים</w:t>
      </w:r>
      <w:r w:rsidRPr="00747D0A">
        <w:rPr>
          <w:rFonts w:eastAsia="Times New Roman"/>
          <w:kern w:val="0"/>
          <w:rtl/>
          <w:lang w:bidi="he-IL"/>
          <w14:ligatures w14:val="none"/>
        </w:rPr>
        <w:t xml:space="preserve"> - </w:t>
      </w:r>
      <w:r w:rsidRPr="00747D0A">
        <w:rPr>
          <w:rFonts w:eastAsia="Times New Roman"/>
          <w:i/>
          <w:iCs/>
          <w:kern w:val="0"/>
          <w14:ligatures w14:val="none"/>
        </w:rPr>
        <w:t>ʿărûmmîm</w:t>
      </w:r>
      <w:r w:rsidRPr="00747D0A">
        <w:rPr>
          <w:rFonts w:eastAsia="Times New Roman"/>
          <w:kern w:val="0"/>
          <w:rtl/>
          <w:lang w:bidi="he-IL"/>
          <w14:ligatures w14:val="none"/>
        </w:rPr>
        <w:t>)</w:t>
      </w:r>
    </w:p>
    <w:p w14:paraId="290F6EAA"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747D0A">
        <w:rPr>
          <w:rFonts w:eastAsia="Times New Roman"/>
          <w:kern w:val="0"/>
          <w:rtl/>
          <w:lang w:bidi="ar-JO"/>
          <w14:ligatures w14:val="none"/>
        </w:rPr>
        <w:t xml:space="preserve">- كانت الحية ماكرة </w:t>
      </w:r>
      <w:r w:rsidRPr="00747D0A">
        <w:rPr>
          <w:rFonts w:eastAsia="Times New Roman"/>
          <w:kern w:val="0"/>
          <w:rtl/>
          <w14:ligatures w14:val="none"/>
        </w:rPr>
        <w:t>(</w:t>
      </w:r>
      <w:r w:rsidRPr="00747D0A">
        <w:rPr>
          <w:rFonts w:ascii="Times New Roman" w:eastAsia="Times New Roman" w:hAnsi="Times New Roman" w:cs="Times New Roman" w:hint="cs"/>
          <w:kern w:val="0"/>
          <w:rtl/>
          <w:lang w:bidi="he-IL"/>
          <w14:ligatures w14:val="none"/>
        </w:rPr>
        <w:t>עָרוּם</w:t>
      </w:r>
      <w:r w:rsidRPr="00747D0A">
        <w:rPr>
          <w:rFonts w:eastAsia="Times New Roman"/>
          <w:kern w:val="0"/>
          <w:rtl/>
          <w:lang w:bidi="he-IL"/>
          <w14:ligatures w14:val="none"/>
        </w:rPr>
        <w:t xml:space="preserve"> - </w:t>
      </w:r>
      <w:r w:rsidRPr="00747D0A">
        <w:rPr>
          <w:rFonts w:eastAsia="Times New Roman"/>
          <w:i/>
          <w:iCs/>
          <w:kern w:val="0"/>
          <w14:ligatures w14:val="none"/>
        </w:rPr>
        <w:t>ʿārûm</w:t>
      </w:r>
      <w:r w:rsidRPr="00747D0A">
        <w:rPr>
          <w:rFonts w:eastAsia="Times New Roman"/>
          <w:kern w:val="0"/>
          <w:rtl/>
          <w:lang w:bidi="he-IL"/>
          <w14:ligatures w14:val="none"/>
        </w:rPr>
        <w:t>)</w:t>
      </w:r>
    </w:p>
    <w:p w14:paraId="50152DA6"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47D0A">
        <w:rPr>
          <w:rFonts w:eastAsia="Times New Roman"/>
          <w:kern w:val="0"/>
          <w:rtl/>
          <w:lang w:bidi="ar-JO"/>
          <w14:ligatures w14:val="none"/>
        </w:rPr>
        <w:t>إن الفكرة هنا ذات دلالة: فقد كانا في عريهما ساهيين عن الشر، غير عارفين مواقع الأشراك.  ومن ناحية أخرى، استخدم إبليس مكره لاستغلالهما.</w:t>
      </w:r>
    </w:p>
    <w:p w14:paraId="5785147E" w14:textId="77777777" w:rsidR="00E84DB1" w:rsidRPr="00747D0A"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47D0A">
        <w:rPr>
          <w:rFonts w:eastAsia="Times New Roman"/>
          <w:kern w:val="0"/>
          <w:rtl/>
          <w:lang w:bidi="ar-JO"/>
          <w14:ligatures w14:val="none"/>
        </w:rPr>
        <w:t>2.</w:t>
      </w:r>
      <w:r w:rsidRPr="00747D0A">
        <w:rPr>
          <w:rFonts w:eastAsia="Times New Roman"/>
          <w:kern w:val="0"/>
          <w:rtl/>
          <w:lang w:bidi="ar-JO"/>
          <w14:ligatures w14:val="none"/>
        </w:rPr>
        <w:tab/>
        <w:t>عملية التجربة (الإغواء بارتكاب الخطية)</w:t>
      </w:r>
    </w:p>
    <w:p w14:paraId="277001CA"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47D0A">
        <w:rPr>
          <w:rFonts w:eastAsia="Times New Roman"/>
          <w:kern w:val="0"/>
          <w:rtl/>
          <w:lang w:bidi="ar-JO"/>
          <w14:ligatures w14:val="none"/>
        </w:rPr>
        <w:t>أ.</w:t>
      </w:r>
      <w:r w:rsidRPr="00747D0A">
        <w:rPr>
          <w:rFonts w:eastAsia="Times New Roman"/>
          <w:kern w:val="0"/>
          <w:rtl/>
          <w:lang w:bidi="ar-JO"/>
          <w14:ligatures w14:val="none"/>
        </w:rPr>
        <w:tab/>
        <w:t>تأتي التجربة مقنَّعة (على شكل حيّة)</w:t>
      </w:r>
    </w:p>
    <w:p w14:paraId="0F0157F6"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14:ligatures w14:val="none"/>
        </w:rPr>
      </w:pPr>
      <w:r w:rsidRPr="00747D0A">
        <w:rPr>
          <w:rFonts w:eastAsia="Times New Roman"/>
          <w:kern w:val="0"/>
          <w:rtl/>
          <w:lang w:bidi="ar-JO"/>
          <w14:ligatures w14:val="none"/>
        </w:rPr>
        <w:t>ب.</w:t>
      </w:r>
      <w:r w:rsidRPr="00747D0A">
        <w:rPr>
          <w:rFonts w:eastAsia="Times New Roman"/>
          <w:kern w:val="0"/>
          <w:rtl/>
          <w:lang w:bidi="ar-JO"/>
          <w14:ligatures w14:val="none"/>
        </w:rPr>
        <w:tab/>
        <w:t>التجربة ماكرة (غير مباشرة) وليست إغراء</w:t>
      </w:r>
      <w:r w:rsidRPr="00747D0A">
        <w:rPr>
          <w:rFonts w:eastAsia="Times New Roman"/>
          <w:kern w:val="0"/>
          <w:rtl/>
          <w14:ligatures w14:val="none"/>
        </w:rPr>
        <w:t>ً</w:t>
      </w:r>
      <w:r w:rsidRPr="00747D0A">
        <w:rPr>
          <w:rFonts w:eastAsia="Times New Roman"/>
          <w:kern w:val="0"/>
          <w:rtl/>
          <w:lang w:bidi="ar-JO"/>
          <w14:ligatures w14:val="none"/>
        </w:rPr>
        <w:t xml:space="preserve"> صخّاباً بالخطية.</w:t>
      </w:r>
    </w:p>
    <w:p w14:paraId="419826F9"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47D0A">
        <w:rPr>
          <w:rFonts w:eastAsia="Times New Roman"/>
          <w:kern w:val="0"/>
          <w:rtl/>
          <w:lang w:bidi="ar-JO"/>
          <w14:ligatures w14:val="none"/>
        </w:rPr>
        <w:t>جـ.</w:t>
      </w:r>
      <w:r w:rsidRPr="00747D0A">
        <w:rPr>
          <w:rFonts w:eastAsia="Times New Roman"/>
          <w:kern w:val="0"/>
          <w:rtl/>
          <w:lang w:bidi="ar-JO"/>
          <w14:ligatures w14:val="none"/>
        </w:rPr>
        <w:tab/>
        <w:t>يهاجم إبليس نقطة الضعف بالتوجّه إلى المرأة (كانت الوصية قد أُعطيت للرجل).</w:t>
      </w:r>
    </w:p>
    <w:p w14:paraId="051BF78D"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47D0A">
        <w:rPr>
          <w:rFonts w:eastAsia="Times New Roman"/>
          <w:kern w:val="0"/>
          <w:rtl/>
          <w:lang w:bidi="ar-JO"/>
          <w14:ligatures w14:val="none"/>
        </w:rPr>
        <w:t>د.</w:t>
      </w:r>
      <w:r w:rsidRPr="00747D0A">
        <w:rPr>
          <w:rFonts w:eastAsia="Times New Roman"/>
          <w:kern w:val="0"/>
          <w:rtl/>
          <w:lang w:bidi="ar-JO"/>
          <w14:ligatures w14:val="none"/>
        </w:rPr>
        <w:tab/>
        <w:t>يبدأ إبليس باستكشاف ما تعرفه المرأة عن كلمة الله (الآية 1)</w:t>
      </w:r>
    </w:p>
    <w:p w14:paraId="1CF48E94"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47D0A">
        <w:rPr>
          <w:rFonts w:eastAsia="Times New Roman"/>
          <w:kern w:val="0"/>
          <w:rtl/>
          <w:lang w:bidi="ar-JO"/>
          <w14:ligatures w14:val="none"/>
        </w:rPr>
        <w:lastRenderedPageBreak/>
        <w:t>هـ.</w:t>
      </w:r>
      <w:r w:rsidRPr="00747D0A">
        <w:rPr>
          <w:rFonts w:eastAsia="Times New Roman"/>
          <w:kern w:val="0"/>
          <w:rtl/>
          <w:lang w:bidi="ar-JO"/>
          <w14:ligatures w14:val="none"/>
        </w:rPr>
        <w:tab/>
        <w:t>يكتشف إبليس غياب الفهم لديها:</w:t>
      </w:r>
    </w:p>
    <w:p w14:paraId="6D0E79A3"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747D0A">
        <w:rPr>
          <w:rFonts w:eastAsia="Times New Roman"/>
          <w:kern w:val="0"/>
          <w:rtl/>
          <w:lang w:bidi="ar-JO"/>
          <w14:ligatures w14:val="none"/>
        </w:rPr>
        <w:t>1) تضيف إلى التحريم الذي فرضه الله ("لا تمسّاه")</w:t>
      </w:r>
    </w:p>
    <w:p w14:paraId="5F5D530E"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747D0A">
        <w:rPr>
          <w:rFonts w:eastAsia="Times New Roman"/>
          <w:kern w:val="0"/>
          <w:rtl/>
          <w:lang w:bidi="ar-JO"/>
          <w14:ligatures w14:val="none"/>
        </w:rPr>
        <w:t>2) تضعف من الجزاء</w:t>
      </w:r>
    </w:p>
    <w:p w14:paraId="1A482F35"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747D0A">
        <w:rPr>
          <w:rFonts w:eastAsia="Times New Roman"/>
          <w:kern w:val="0"/>
          <w:rtl/>
          <w:lang w:bidi="ar-JO"/>
          <w14:ligatures w14:val="none"/>
        </w:rPr>
        <w:t>قال الله: "موتاً تموت" (مع وجود مصدر مطلق للتأكيد)</w:t>
      </w:r>
    </w:p>
    <w:p w14:paraId="5E47C60A"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747D0A">
        <w:rPr>
          <w:rFonts w:eastAsia="Times New Roman"/>
          <w:kern w:val="0"/>
          <w:rtl/>
          <w:lang w:bidi="ar-JO"/>
          <w14:ligatures w14:val="none"/>
        </w:rPr>
        <w:t xml:space="preserve">أمّا حواء فقالت "نموت" فقط (في ترجمة البستاني "لئلا تموتا") </w:t>
      </w:r>
    </w:p>
    <w:p w14:paraId="028559E9"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747D0A">
        <w:rPr>
          <w:rFonts w:eastAsia="Times New Roman"/>
          <w:kern w:val="0"/>
          <w:rtl/>
          <w:lang w:bidi="ar-JO"/>
          <w14:ligatures w14:val="none"/>
        </w:rPr>
        <w:t>3) لا تفهم حوّاء المدى الكامل للغنى أو التدبير الذي وفّره الله.</w:t>
      </w:r>
    </w:p>
    <w:p w14:paraId="50D6DED0"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747D0A">
        <w:rPr>
          <w:rFonts w:eastAsia="Times New Roman"/>
          <w:kern w:val="0"/>
          <w:rtl/>
          <w:lang w:bidi="ar-JO"/>
          <w14:ligatures w14:val="none"/>
        </w:rPr>
        <w:t>قال الله: "تأكل أكلاً" (أي كل ما تريد-دون قيود</w:t>
      </w:r>
      <w:r w:rsidRPr="00747D0A">
        <w:rPr>
          <w:rFonts w:eastAsia="Times New Roman"/>
          <w:kern w:val="0"/>
          <w:rtl/>
          <w14:ligatures w14:val="none"/>
        </w:rPr>
        <w:t xml:space="preserve"> - مصدر مطلق للتأكيد على الحرية</w:t>
      </w:r>
      <w:r w:rsidRPr="00747D0A">
        <w:rPr>
          <w:rFonts w:eastAsia="Times New Roman"/>
          <w:kern w:val="0"/>
          <w:rtl/>
          <w:lang w:bidi="ar-JO"/>
          <w14:ligatures w14:val="none"/>
        </w:rPr>
        <w:t>)</w:t>
      </w:r>
    </w:p>
    <w:p w14:paraId="5E2EC0FB"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747D0A">
        <w:rPr>
          <w:rFonts w:eastAsia="Times New Roman"/>
          <w:kern w:val="0"/>
          <w:rtl/>
          <w:lang w:bidi="ar-JO"/>
          <w14:ligatures w14:val="none"/>
        </w:rPr>
        <w:t>قالت حواء: "نأكل" فقط</w:t>
      </w:r>
    </w:p>
    <w:p w14:paraId="42AE51D9"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47D0A">
        <w:rPr>
          <w:rFonts w:eastAsia="Times New Roman"/>
          <w:kern w:val="0"/>
          <w:rtl/>
          <w:lang w:bidi="ar-JO"/>
          <w14:ligatures w14:val="none"/>
        </w:rPr>
        <w:t>و.</w:t>
      </w:r>
      <w:r w:rsidRPr="00747D0A">
        <w:rPr>
          <w:rFonts w:eastAsia="Times New Roman"/>
          <w:kern w:val="0"/>
          <w:rtl/>
          <w:lang w:bidi="ar-JO"/>
          <w14:ligatures w14:val="none"/>
        </w:rPr>
        <w:tab/>
        <w:t>يتحدى إبليس كلمة الله علناً:</w:t>
      </w:r>
    </w:p>
    <w:p w14:paraId="3486C48E"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747D0A">
        <w:rPr>
          <w:rFonts w:eastAsia="Times New Roman"/>
          <w:kern w:val="0"/>
          <w:rtl/>
          <w:lang w:bidi="ar-JO"/>
          <w14:ligatures w14:val="none"/>
        </w:rPr>
        <w:t>أ.</w:t>
      </w:r>
      <w:r w:rsidRPr="00747D0A">
        <w:rPr>
          <w:rFonts w:eastAsia="Times New Roman"/>
          <w:kern w:val="0"/>
          <w:rtl/>
          <w:lang w:bidi="ar-JO"/>
          <w14:ligatures w14:val="none"/>
        </w:rPr>
        <w:tab/>
        <w:t>يكذب حول الجزاء ("لن تموتا")</w:t>
      </w:r>
    </w:p>
    <w:p w14:paraId="312F4372"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747D0A">
        <w:rPr>
          <w:rFonts w:eastAsia="Times New Roman"/>
          <w:kern w:val="0"/>
          <w:rtl/>
          <w:lang w:bidi="ar-JO"/>
          <w14:ligatures w14:val="none"/>
        </w:rPr>
        <w:t>الفكرة هنا، يمكنك أن تخطئي وتفلتي من العقاب.</w:t>
      </w:r>
    </w:p>
    <w:p w14:paraId="7D3B274E"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14:ligatures w14:val="none"/>
        </w:rPr>
      </w:pPr>
      <w:r w:rsidRPr="00747D0A">
        <w:rPr>
          <w:rFonts w:eastAsia="Times New Roman"/>
          <w:kern w:val="0"/>
          <w:rtl/>
          <w:lang w:bidi="ar-JO"/>
          <w14:ligatures w14:val="none"/>
        </w:rPr>
        <w:t>ب.</w:t>
      </w:r>
      <w:r w:rsidRPr="00747D0A">
        <w:rPr>
          <w:rFonts w:eastAsia="Times New Roman"/>
          <w:kern w:val="0"/>
          <w:rtl/>
          <w:lang w:bidi="ar-JO"/>
          <w14:ligatures w14:val="none"/>
        </w:rPr>
        <w:tab/>
        <w:t xml:space="preserve">يوحي بأن لدى الله دافعاً سيئاً- يريد أن يحرمهما من شيء </w:t>
      </w:r>
      <w:r w:rsidRPr="00747D0A">
        <w:rPr>
          <w:rFonts w:eastAsia="Times New Roman"/>
          <w:kern w:val="0"/>
          <w:rtl/>
          <w14:ligatures w14:val="none"/>
        </w:rPr>
        <w:t>ما</w:t>
      </w:r>
      <w:r w:rsidRPr="00747D0A">
        <w:rPr>
          <w:rFonts w:eastAsia="Times New Roman"/>
          <w:kern w:val="0"/>
          <w:rtl/>
          <w:lang w:bidi="ar-JO"/>
          <w14:ligatures w14:val="none"/>
        </w:rPr>
        <w:t>.</w:t>
      </w:r>
    </w:p>
    <w:p w14:paraId="615FD2B2"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14:ligatures w14:val="none"/>
        </w:rPr>
      </w:pPr>
      <w:r w:rsidRPr="00747D0A">
        <w:rPr>
          <w:rFonts w:eastAsia="Times New Roman"/>
          <w:kern w:val="0"/>
          <w:rtl/>
          <w:lang w:bidi="ar-JO"/>
          <w14:ligatures w14:val="none"/>
        </w:rPr>
        <w:t>جـ.</w:t>
      </w:r>
      <w:r w:rsidRPr="00747D0A">
        <w:rPr>
          <w:rFonts w:eastAsia="Times New Roman"/>
          <w:kern w:val="0"/>
          <w:rtl/>
          <w:lang w:bidi="ar-JO"/>
          <w14:ligatures w14:val="none"/>
        </w:rPr>
        <w:tab/>
        <w:t>يحاول إغراءها بدوافع أعلى – "كالله"</w:t>
      </w:r>
    </w:p>
    <w:p w14:paraId="3422DE24"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47D0A">
        <w:rPr>
          <w:rFonts w:eastAsia="Times New Roman"/>
          <w:kern w:val="0"/>
          <w:rtl/>
          <w:lang w:bidi="ar-JO"/>
          <w14:ligatures w14:val="none"/>
        </w:rPr>
        <w:t>ز.</w:t>
      </w:r>
      <w:r w:rsidRPr="00747D0A">
        <w:rPr>
          <w:rFonts w:eastAsia="Times New Roman"/>
          <w:kern w:val="0"/>
          <w:rtl/>
          <w:lang w:bidi="ar-JO"/>
          <w14:ligatures w14:val="none"/>
        </w:rPr>
        <w:tab/>
        <w:t>يُبعد ذهن المرأة عن الجزاء ويطلب منها أن تعتمد على منطقها الشخصي (أن تتبع انطباعاتها بدلاً من تعليمات الله) لكي تضع في اعتبارها ما تعتقد أنه نافع لها.  فجعلت من "تحقيق الذات" هدفاً لها.</w:t>
      </w:r>
    </w:p>
    <w:p w14:paraId="38B0DF00"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p>
    <w:p w14:paraId="7467C742" w14:textId="77777777" w:rsidR="00E84DB1" w:rsidRPr="00747D0A"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47D0A">
        <w:rPr>
          <w:rFonts w:eastAsia="Times New Roman"/>
          <w:kern w:val="0"/>
          <w:rtl/>
          <w:lang w:bidi="ar-JO"/>
          <w14:ligatures w14:val="none"/>
        </w:rPr>
        <w:t>3.</w:t>
      </w:r>
      <w:r w:rsidRPr="00747D0A">
        <w:rPr>
          <w:rFonts w:eastAsia="Times New Roman"/>
          <w:kern w:val="0"/>
          <w:rtl/>
          <w:lang w:bidi="ar-JO"/>
          <w14:ligatures w14:val="none"/>
        </w:rPr>
        <w:tab/>
        <w:t>النتيجة</w:t>
      </w:r>
    </w:p>
    <w:p w14:paraId="4C541B06"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47D0A">
        <w:rPr>
          <w:rFonts w:eastAsia="Times New Roman"/>
          <w:kern w:val="0"/>
          <w:rtl/>
          <w:lang w:bidi="ar-JO"/>
          <w14:ligatures w14:val="none"/>
        </w:rPr>
        <w:t>لا يتحقق وعد التنوير الإلهي.  يبصران، ولكن ليس كما توقّعا.  ويصيران غير مطمئنين ومرتاحين في علاقتهما أحدهما مع الآخر (عدم ثقة واغتراب وانفصال)، وهما غير مطمئنين في علاقتهما مع الله (يختبئان منه خائفين).</w:t>
      </w:r>
    </w:p>
    <w:p w14:paraId="519D8C52" w14:textId="77777777" w:rsidR="00E84DB1" w:rsidRPr="00747D0A"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47D0A">
        <w:rPr>
          <w:rFonts w:eastAsia="Times New Roman"/>
          <w:kern w:val="0"/>
          <w:rtl/>
          <w:lang w:bidi="ar-JO"/>
          <w14:ligatures w14:val="none"/>
        </w:rPr>
        <w:t>4.</w:t>
      </w:r>
      <w:r w:rsidRPr="00747D0A">
        <w:rPr>
          <w:rFonts w:eastAsia="Times New Roman"/>
          <w:kern w:val="0"/>
          <w:rtl/>
          <w:lang w:bidi="ar-JO"/>
          <w14:ligatures w14:val="none"/>
        </w:rPr>
        <w:tab/>
        <w:t xml:space="preserve">الرسالة </w:t>
      </w:r>
    </w:p>
    <w:p w14:paraId="241D0925"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47D0A">
        <w:rPr>
          <w:rFonts w:eastAsia="Times New Roman"/>
          <w:kern w:val="0"/>
          <w:rtl/>
          <w:lang w:bidi="ar-JO"/>
          <w14:ligatures w14:val="none"/>
        </w:rPr>
        <w:t>إن معرفة قوية بكلمة الله أمر لا غنى عنه للانتصار الروحي! [انظر عبرانيين 5: 14- يجب أن نمارس الحق لكي ننضج].</w:t>
      </w:r>
    </w:p>
    <w:p w14:paraId="08F4A4BD"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C60A766"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302CB80"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D45A000"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3180A2D" w14:textId="77777777" w:rsidR="00E84DB1" w:rsidRPr="00747D0A" w:rsidRDefault="00E84DB1" w:rsidP="00C7130A">
      <w:pPr>
        <w:tabs>
          <w:tab w:val="left" w:pos="454"/>
        </w:tabs>
        <w:spacing w:after="60"/>
        <w:ind w:left="550" w:hanging="550"/>
        <w:jc w:val="both"/>
        <w:rPr>
          <w:rFonts w:eastAsia="Times New Roman"/>
          <w:bCs/>
          <w:kern w:val="0"/>
          <w:rtl/>
          <w:lang w:bidi="ar-KW"/>
          <w14:ligatures w14:val="none"/>
        </w:rPr>
      </w:pPr>
      <w:r w:rsidRPr="00747D0A">
        <w:rPr>
          <w:rFonts w:eastAsia="Times New Roman"/>
          <w:bCs/>
          <w:kern w:val="0"/>
          <w:rtl/>
          <w14:ligatures w14:val="none"/>
        </w:rPr>
        <w:t>ب.</w:t>
      </w:r>
      <w:r w:rsidRPr="00747D0A">
        <w:rPr>
          <w:rFonts w:eastAsia="Times New Roman"/>
          <w:bCs/>
          <w:kern w:val="0"/>
          <w:rtl/>
          <w14:ligatures w14:val="none"/>
        </w:rPr>
        <w:tab/>
        <w:t>إعلانات اللعنة الإلهية (3: 8-24)</w:t>
      </w:r>
    </w:p>
    <w:p w14:paraId="6C4B22A8"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47D0A">
        <w:rPr>
          <w:rFonts w:eastAsia="Times New Roman"/>
          <w:kern w:val="0"/>
          <w:rtl/>
          <w:lang w:bidi="ar-JO"/>
          <w14:ligatures w14:val="none"/>
        </w:rPr>
        <w:t>تبين بقية الأصحاح تأثير الخطية: التأديب والتدبير الإلهيين في حضور الشر.</w:t>
      </w:r>
    </w:p>
    <w:p w14:paraId="197D7DB8"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47D0A">
        <w:rPr>
          <w:rFonts w:eastAsia="Times New Roman"/>
          <w:kern w:val="0"/>
          <w:rtl/>
          <w:lang w:bidi="ar-JO"/>
          <w14:ligatures w14:val="none"/>
        </w:rPr>
        <w:t>الدرس: يجلب التمرد الموت والألم والصراع والغم والمشقات الزمنية.</w:t>
      </w:r>
    </w:p>
    <w:p w14:paraId="7E4CCAE4"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47D0A">
        <w:rPr>
          <w:rFonts w:eastAsia="Times New Roman"/>
          <w:kern w:val="0"/>
          <w:rtl/>
          <w:lang w:bidi="ar-JO"/>
          <w14:ligatures w14:val="none"/>
        </w:rPr>
        <w:t>الحل: أطع الله، واعترف بخطيتك، وهو سيقدم لك بركات الحياة مكان اللعنة.</w:t>
      </w:r>
    </w:p>
    <w:p w14:paraId="63107EDE"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47D0A">
        <w:rPr>
          <w:rFonts w:eastAsia="Times New Roman"/>
          <w:kern w:val="0"/>
          <w:rtl/>
          <w:lang w:bidi="ar-JO"/>
          <w14:ligatures w14:val="none"/>
        </w:rPr>
        <w:t>يكشف هذا القسم النظام الجديد للوجود للبشر، والذي سيبقى حتى آخر الزمان.</w:t>
      </w:r>
    </w:p>
    <w:p w14:paraId="0ADFF62D"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CF3C290" w14:textId="77777777" w:rsidR="00E84DB1" w:rsidRPr="00747D0A"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47D0A">
        <w:rPr>
          <w:rFonts w:eastAsia="Times New Roman"/>
          <w:kern w:val="0"/>
          <w:rtl/>
          <w:lang w:bidi="ar-JO"/>
          <w14:ligatures w14:val="none"/>
        </w:rPr>
        <w:t>1.</w:t>
      </w:r>
      <w:r w:rsidRPr="00747D0A">
        <w:rPr>
          <w:rFonts w:eastAsia="Times New Roman"/>
          <w:kern w:val="0"/>
          <w:rtl/>
          <w:lang w:bidi="ar-JO"/>
          <w14:ligatures w14:val="none"/>
        </w:rPr>
        <w:tab/>
        <w:t>مواجهة مع الرب (3: 8-13)</w:t>
      </w:r>
    </w:p>
    <w:p w14:paraId="3E7BDA37" w14:textId="77777777" w:rsidR="00E84DB1" w:rsidRPr="00747D0A"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47D0A">
        <w:rPr>
          <w:rFonts w:eastAsia="Times New Roman"/>
          <w:kern w:val="0"/>
          <w:rtl/>
          <w:lang w:bidi="ar-JO"/>
          <w14:ligatures w14:val="none"/>
        </w:rPr>
        <w:t>2.</w:t>
      </w:r>
      <w:r w:rsidRPr="00747D0A">
        <w:rPr>
          <w:rFonts w:eastAsia="Times New Roman"/>
          <w:kern w:val="0"/>
          <w:rtl/>
          <w:lang w:bidi="ar-JO"/>
          <w14:ligatures w14:val="none"/>
        </w:rPr>
        <w:tab/>
        <w:t>إعلان اللعنة (3: 14-19)</w:t>
      </w:r>
    </w:p>
    <w:p w14:paraId="306F49E5"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47D0A">
        <w:rPr>
          <w:rFonts w:eastAsia="Times New Roman"/>
          <w:kern w:val="0"/>
          <w:rtl/>
          <w:lang w:bidi="ar-JO"/>
          <w14:ligatures w14:val="none"/>
        </w:rPr>
        <w:t>أ.</w:t>
      </w:r>
      <w:r w:rsidRPr="00747D0A">
        <w:rPr>
          <w:rFonts w:eastAsia="Times New Roman"/>
          <w:kern w:val="0"/>
          <w:rtl/>
          <w:lang w:bidi="ar-JO"/>
          <w14:ligatures w14:val="none"/>
        </w:rPr>
        <w:tab/>
        <w:t>الحية (الآيتان 14-15)</w:t>
      </w:r>
    </w:p>
    <w:p w14:paraId="3872AED5"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747D0A">
        <w:rPr>
          <w:rFonts w:eastAsia="Times New Roman"/>
          <w:kern w:val="0"/>
          <w:rtl/>
          <w:lang w:bidi="ar-JO"/>
          <w14:ligatures w14:val="none"/>
        </w:rPr>
        <w:t>العداوة بغض متبادل.  هذه آية تدعى غالباً "البشارة الأولية" (</w:t>
      </w:r>
      <w:r w:rsidRPr="00747D0A">
        <w:rPr>
          <w:rFonts w:eastAsia="Times New Roman"/>
          <w:kern w:val="0"/>
          <w14:ligatures w14:val="none"/>
        </w:rPr>
        <w:t>Proto-Evangelium</w:t>
      </w:r>
      <w:r w:rsidRPr="00747D0A">
        <w:rPr>
          <w:rFonts w:eastAsia="Times New Roman"/>
          <w:kern w:val="0"/>
          <w:rtl/>
          <w:lang w:bidi="ar-JO"/>
          <w14:ligatures w14:val="none"/>
        </w:rPr>
        <w:t>).  وسيشمل نسل المرأة لا قايين فحسب، بل المسيح في نهاية الأمر أيضاً.  ومن هنا فإن هذه صورة مسبقة لانتصار المسيح على إبليس في نهاية المطاف، مع أن عقبه أو كعبه سيجرح (على الصليب) أثناء ذلك.  غير أن هذا الصراع سيستمر عبر الكتاب المقدس.</w:t>
      </w:r>
    </w:p>
    <w:p w14:paraId="22A9F6A6"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47D0A">
        <w:rPr>
          <w:rFonts w:eastAsia="Times New Roman"/>
          <w:kern w:val="0"/>
          <w:rtl/>
          <w:lang w:bidi="ar-JO"/>
          <w14:ligatures w14:val="none"/>
        </w:rPr>
        <w:t>ب.</w:t>
      </w:r>
      <w:r w:rsidRPr="00747D0A">
        <w:rPr>
          <w:rFonts w:eastAsia="Times New Roman"/>
          <w:kern w:val="0"/>
          <w:rtl/>
          <w:lang w:bidi="ar-JO"/>
          <w14:ligatures w14:val="none"/>
        </w:rPr>
        <w:tab/>
        <w:t>المرأة (الآية 16)</w:t>
      </w:r>
    </w:p>
    <w:p w14:paraId="6D680CE7"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747D0A">
        <w:rPr>
          <w:rFonts w:eastAsia="Times New Roman"/>
          <w:kern w:val="0"/>
          <w:rtl/>
          <w:lang w:bidi="ar-JO"/>
          <w14:ligatures w14:val="none"/>
        </w:rPr>
        <w:t>سيسود عليها زوجها لأنها حاولت أن تستغله أو تقوده، بدلاً من أن تبقى خاضعة له.  [توجد ترجمة أخرى مقترحة هي، "وإلى رجُلكِ كان اشتياقك (إلى الآن)"]</w:t>
      </w:r>
    </w:p>
    <w:p w14:paraId="4BC3E883"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47D0A">
        <w:rPr>
          <w:rFonts w:eastAsia="Times New Roman"/>
          <w:kern w:val="0"/>
          <w:rtl/>
          <w:lang w:bidi="ar-JO"/>
          <w14:ligatures w14:val="none"/>
        </w:rPr>
        <w:t>جـ.</w:t>
      </w:r>
      <w:r w:rsidRPr="00747D0A">
        <w:rPr>
          <w:rFonts w:eastAsia="Times New Roman"/>
          <w:kern w:val="0"/>
          <w:rtl/>
          <w:lang w:bidi="ar-JO"/>
          <w14:ligatures w14:val="none"/>
        </w:rPr>
        <w:tab/>
        <w:t>الرجل (الآيات 17-19)</w:t>
      </w:r>
    </w:p>
    <w:p w14:paraId="35BBC753"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747D0A">
        <w:rPr>
          <w:rFonts w:eastAsia="Times New Roman"/>
          <w:kern w:val="0"/>
          <w:rtl/>
          <w:lang w:bidi="ar-JO"/>
          <w14:ligatures w14:val="none"/>
        </w:rPr>
        <w:t>يُترك الرجل ليكسب قوته بالمشقة والألم، وسيكون الموت نهايته.  وسيكون عمله مأزقاً محزناً لأنه لا بدّ أن يجاهد ضد العوائق والعقبات، ويتألم ويموت.</w:t>
      </w:r>
    </w:p>
    <w:p w14:paraId="7FDA9DE7"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00E8B68F" w14:textId="77777777" w:rsidR="00E84DB1" w:rsidRPr="00747D0A"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47D0A">
        <w:rPr>
          <w:rFonts w:eastAsia="Times New Roman"/>
          <w:kern w:val="0"/>
          <w:rtl/>
          <w:lang w:bidi="ar-JO"/>
          <w14:ligatures w14:val="none"/>
        </w:rPr>
        <w:t>3.</w:t>
      </w:r>
      <w:r w:rsidRPr="00747D0A">
        <w:rPr>
          <w:rFonts w:eastAsia="Times New Roman"/>
          <w:kern w:val="0"/>
          <w:rtl/>
          <w:lang w:bidi="ar-JO"/>
          <w14:ligatures w14:val="none"/>
        </w:rPr>
        <w:tab/>
        <w:t>تدبير للنظام الجديد (3: 20-24)</w:t>
      </w:r>
    </w:p>
    <w:p w14:paraId="7AB0475D" w14:textId="77777777" w:rsidR="00E84DB1" w:rsidRPr="00747D0A"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47D0A">
        <w:rPr>
          <w:rFonts w:eastAsia="Times New Roman"/>
          <w:kern w:val="0"/>
          <w:rtl/>
          <w:lang w:bidi="ar-JO"/>
          <w14:ligatures w14:val="none"/>
        </w:rPr>
        <w:t>إن الفكرة الرئيسية هنا هي تدبير ثياب جلدية التي تفترض عملية ذبح مسبقة لحيوانات.  فالله يرفض محاولاتهما في تغطية أنفسهما (3: 7) بملابس طبيعية من صنعهما؛ فلن ينفع إلا ما يدبّره الله.  لقد عرف الزوجان الآن الذبيحة الحيوانية، وتعلّما طريقة الله في التعامل مع مشكلة الخطية.  إذ لا بدّ أن تكون هنالك حياة بريئة بديلة عن حياتهما الخاطئة.</w:t>
      </w:r>
    </w:p>
    <w:p w14:paraId="57AEBC90" w14:textId="77777777" w:rsidR="00E84DB1" w:rsidRPr="00747D0A" w:rsidRDefault="00E84DB1" w:rsidP="00C7130A">
      <w:pPr>
        <w:tabs>
          <w:tab w:val="left" w:pos="454"/>
        </w:tabs>
        <w:spacing w:after="60"/>
        <w:jc w:val="both"/>
        <w:rPr>
          <w:rFonts w:eastAsia="Times New Roman"/>
          <w:bCs/>
          <w:kern w:val="0"/>
          <w:rtl/>
          <w:lang w:bidi="ar-JO"/>
          <w14:ligatures w14:val="none"/>
        </w:rPr>
      </w:pPr>
    </w:p>
    <w:p w14:paraId="24D1D1F7" w14:textId="77777777" w:rsidR="00E84DB1" w:rsidRPr="00C7130A" w:rsidRDefault="00E84DB1" w:rsidP="000558B7">
      <w:pPr>
        <w:pStyle w:val="Heading3"/>
        <w:rPr>
          <w:rtl/>
          <w:lang w:bidi="ar-JO"/>
        </w:rPr>
      </w:pPr>
      <w:bookmarkStart w:id="101" w:name="_Toc193030940"/>
      <w:r w:rsidRPr="00C7130A">
        <w:rPr>
          <w:rtl/>
          <w:lang w:bidi="ar-JO"/>
        </w:rPr>
        <w:t>4.</w:t>
      </w:r>
      <w:r w:rsidRPr="00C7130A">
        <w:rPr>
          <w:rtl/>
          <w:lang w:bidi="ar-JO"/>
        </w:rPr>
        <w:tab/>
        <w:t>امتداد المجتمع الفاجر</w:t>
      </w:r>
      <w:bookmarkEnd w:id="101"/>
    </w:p>
    <w:p w14:paraId="2070AC3A"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C011E4">
        <w:rPr>
          <w:rFonts w:eastAsia="Times New Roman"/>
          <w:kern w:val="0"/>
          <w:rtl/>
          <w:lang w:bidi="ar-JO"/>
          <w14:ligatures w14:val="none"/>
        </w:rPr>
        <w:t>لم ينتهِ العصيان بآدم وحوّاء.  فالخطية سرطان ينتشر بسرعة إلى كل الأجيال المتعاقبة، وعقيدة الفساد عاملة نشطة (رومية 5)!</w:t>
      </w:r>
    </w:p>
    <w:p w14:paraId="1D8BE917"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B79DDCA" w14:textId="77777777" w:rsidR="00E84DB1" w:rsidRPr="00C011E4" w:rsidRDefault="00E84DB1" w:rsidP="00C7130A">
      <w:pPr>
        <w:tabs>
          <w:tab w:val="left" w:pos="454"/>
        </w:tabs>
        <w:spacing w:after="60"/>
        <w:ind w:left="550" w:hanging="550"/>
        <w:jc w:val="both"/>
        <w:rPr>
          <w:rFonts w:eastAsia="Times New Roman"/>
          <w:bCs/>
          <w:kern w:val="0"/>
          <w:rtl/>
          <w:lang w:bidi="ar-KW"/>
          <w14:ligatures w14:val="none"/>
        </w:rPr>
      </w:pPr>
      <w:r w:rsidRPr="00C011E4">
        <w:rPr>
          <w:rFonts w:eastAsia="Times New Roman"/>
          <w:bCs/>
          <w:kern w:val="0"/>
          <w:rtl/>
          <w14:ligatures w14:val="none"/>
        </w:rPr>
        <w:t>أ.</w:t>
      </w:r>
      <w:r w:rsidRPr="00C011E4">
        <w:rPr>
          <w:rFonts w:eastAsia="Times New Roman"/>
          <w:bCs/>
          <w:kern w:val="0"/>
          <w:rtl/>
          <w14:ligatures w14:val="none"/>
        </w:rPr>
        <w:tab/>
        <w:t>قايين وهابيل (4: 1-15)</w:t>
      </w:r>
    </w:p>
    <w:p w14:paraId="2D3E5E55"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C011E4">
        <w:rPr>
          <w:rFonts w:eastAsia="Times New Roman"/>
          <w:kern w:val="0"/>
          <w:rtl/>
          <w:lang w:bidi="ar-JO"/>
          <w14:ligatures w14:val="none"/>
        </w:rPr>
        <w:t xml:space="preserve">نرى في أول ابنين لأول زوجين أن الفساد ينتقل كالعدوى ويؤدي إلى انحطاط المجتمع.  ويبين هذا تقدم الخطية! غير أنه يتوجب علينا أن ننظر أيضاً إلى هذه الفقرة في سياق العبادة.  نجد هنا شخصين جاءا ليمثلا أمام يهوه ليعبداه، لكن هنالك شيئاً ناقصاً في عبادة قايين.  ويمثّل هذان الأخوان </w:t>
      </w:r>
      <w:r w:rsidRPr="00C011E4">
        <w:rPr>
          <w:rFonts w:eastAsia="Times New Roman"/>
          <w:i/>
          <w:iCs/>
          <w:kern w:val="0"/>
          <w:rtl/>
          <w:lang w:bidi="ar-JO"/>
          <w14:ligatures w14:val="none"/>
        </w:rPr>
        <w:t>نموذجين أصليين</w:t>
      </w:r>
      <w:r w:rsidRPr="00C011E4">
        <w:rPr>
          <w:rFonts w:eastAsia="Times New Roman"/>
          <w:kern w:val="0"/>
          <w:rtl/>
          <w:lang w:bidi="ar-JO"/>
          <w14:ligatures w14:val="none"/>
        </w:rPr>
        <w:t xml:space="preserve"> لنوعين من الناس في سياق العبادة.  وهذا درس هام لأمة إسرائيل الخارجة من مصر ولنا اليوم أيضاً.</w:t>
      </w:r>
    </w:p>
    <w:p w14:paraId="4CB5B573"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C011E4">
        <w:rPr>
          <w:rFonts w:eastAsia="Times New Roman"/>
          <w:kern w:val="0"/>
          <w:rtl/>
          <w:lang w:bidi="ar-JO"/>
          <w14:ligatures w14:val="none"/>
        </w:rPr>
        <w:t xml:space="preserve">ليس العيب في تقدمة قايين واضحاً تماماً.  والفكرة الأساسية هنا هي أن قايين يَحْضر... لتقديم واجب لا أكثر.  وهو يجلب </w:t>
      </w:r>
      <w:r w:rsidRPr="00C011E4">
        <w:rPr>
          <w:rFonts w:eastAsia="Times New Roman"/>
          <w:i/>
          <w:iCs/>
          <w:kern w:val="0"/>
          <w:rtl/>
          <w:lang w:bidi="ar-JO"/>
          <w14:ligatures w14:val="none"/>
        </w:rPr>
        <w:t>شيئاً</w:t>
      </w:r>
      <w:r w:rsidRPr="00C011E4">
        <w:rPr>
          <w:rFonts w:eastAsia="Times New Roman"/>
          <w:kern w:val="0"/>
          <w:rtl/>
          <w:lang w:bidi="ar-JO"/>
          <w14:ligatures w14:val="none"/>
        </w:rPr>
        <w:t xml:space="preserve"> من غلال أرضه.  أمّا هابيل فيقال عنه إنه قدّم من </w:t>
      </w:r>
      <w:r w:rsidRPr="00C011E4">
        <w:rPr>
          <w:rFonts w:eastAsia="Times New Roman"/>
          <w:i/>
          <w:iCs/>
          <w:kern w:val="0"/>
          <w:rtl/>
          <w:lang w:bidi="ar-JO"/>
          <w14:ligatures w14:val="none"/>
        </w:rPr>
        <w:t>أبكار</w:t>
      </w:r>
      <w:r w:rsidRPr="00C011E4">
        <w:rPr>
          <w:rFonts w:eastAsia="Times New Roman"/>
          <w:kern w:val="0"/>
          <w:rtl/>
          <w:lang w:bidi="ar-JO"/>
          <w14:ligatures w14:val="none"/>
        </w:rPr>
        <w:t xml:space="preserve"> غنمه، أي أنه كان يحمل أكبر قدر من الإجلال للرب.  كان همّه أن يرضي الله بكل طاقته، وهذا هو النهج الصحيح للإيمان (انظر عبرانيين 11: 4).  أمّا قايين فيُظهر عدم إيمان، ويعبّر عن نفسه في استجابته لرفض الله له، أي بالغضب).  فهو يحسد ذلك الذي باركه الله، وقاده حسده هذا إلى القتل.  وعبّر غياب إيمانه عن نفسه بطرق أربع على الأقل:</w:t>
      </w:r>
    </w:p>
    <w:p w14:paraId="71FEDD0F"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011E4">
        <w:rPr>
          <w:rFonts w:eastAsia="Times New Roman"/>
          <w:kern w:val="0"/>
          <w:rtl/>
          <w:lang w:bidi="ar-JO"/>
          <w14:ligatures w14:val="none"/>
        </w:rPr>
        <w:t>1)</w:t>
      </w:r>
      <w:r w:rsidRPr="00C011E4">
        <w:rPr>
          <w:rFonts w:eastAsia="Times New Roman"/>
          <w:kern w:val="0"/>
          <w:rtl/>
          <w:lang w:bidi="ar-JO"/>
          <w14:ligatures w14:val="none"/>
        </w:rPr>
        <w:tab/>
        <w:t>الحسد بسبب تعامل الله مع أخيه البار.</w:t>
      </w:r>
    </w:p>
    <w:p w14:paraId="597371F2"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011E4">
        <w:rPr>
          <w:rFonts w:eastAsia="Times New Roman"/>
          <w:kern w:val="0"/>
          <w:rtl/>
          <w:lang w:bidi="ar-JO"/>
          <w14:ligatures w14:val="none"/>
        </w:rPr>
        <w:t>2)</w:t>
      </w:r>
      <w:r w:rsidRPr="00C011E4">
        <w:rPr>
          <w:rFonts w:eastAsia="Times New Roman"/>
          <w:kern w:val="0"/>
          <w:rtl/>
          <w:lang w:bidi="ar-JO"/>
          <w14:ligatures w14:val="none"/>
        </w:rPr>
        <w:tab/>
        <w:t>القتل.</w:t>
      </w:r>
    </w:p>
    <w:p w14:paraId="3CE74787"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011E4">
        <w:rPr>
          <w:rFonts w:eastAsia="Times New Roman"/>
          <w:kern w:val="0"/>
          <w:rtl/>
          <w:lang w:bidi="ar-JO"/>
          <w14:ligatures w14:val="none"/>
        </w:rPr>
        <w:t>3)</w:t>
      </w:r>
      <w:r w:rsidRPr="00C011E4">
        <w:rPr>
          <w:rFonts w:eastAsia="Times New Roman"/>
          <w:kern w:val="0"/>
          <w:rtl/>
          <w:lang w:bidi="ar-JO"/>
          <w14:ligatures w14:val="none"/>
        </w:rPr>
        <w:tab/>
        <w:t>إنكار لمسؤوليته.</w:t>
      </w:r>
    </w:p>
    <w:p w14:paraId="0FAFCE21"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011E4">
        <w:rPr>
          <w:rFonts w:eastAsia="Times New Roman"/>
          <w:kern w:val="0"/>
          <w:rtl/>
          <w:lang w:bidi="ar-JO"/>
          <w14:ligatures w14:val="none"/>
        </w:rPr>
        <w:t>4)</w:t>
      </w:r>
      <w:r w:rsidRPr="00C011E4">
        <w:rPr>
          <w:rFonts w:eastAsia="Times New Roman"/>
          <w:kern w:val="0"/>
          <w:rtl/>
          <w:lang w:bidi="ar-JO"/>
          <w14:ligatures w14:val="none"/>
        </w:rPr>
        <w:tab/>
        <w:t>رفض قبول العقاب.</w:t>
      </w:r>
    </w:p>
    <w:p w14:paraId="6683716C"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C011E4">
        <w:rPr>
          <w:rFonts w:eastAsia="Times New Roman"/>
          <w:kern w:val="0"/>
          <w:rtl/>
          <w:lang w:bidi="ar-JO"/>
          <w14:ligatures w14:val="none"/>
        </w:rPr>
        <w:t>هنالك دروس كثيرة يمكن تعلّمها من هذه القصة، لكن الفكرة الرئيسية هي أن علينا أن نأتي بالإيمان إلى الله ونقدم له الذبائح، باذلين كل جهد لإرضائه.  فهذا النوع من العبادة والطاعة ينال بركة الله، حتى لو قابله العالم بالاضطهاد.  أمّا البار فلا يجب أن يفسح المجال للطبيعة الداخلية الفاسدة (التي تعمل فيها الخطية).  بل يجب عليه أن يفعل ما هو صواب لئلا تنقضّ الخطية عليه لتدمّره (وهذه هي رغبة الخطية).</w:t>
      </w:r>
    </w:p>
    <w:p w14:paraId="5BA3273B" w14:textId="77777777" w:rsidR="00E84DB1" w:rsidRPr="00C011E4" w:rsidRDefault="00E84DB1" w:rsidP="00C7130A">
      <w:pPr>
        <w:tabs>
          <w:tab w:val="left" w:pos="454"/>
        </w:tabs>
        <w:spacing w:after="60"/>
        <w:ind w:left="550" w:hanging="550"/>
        <w:jc w:val="both"/>
        <w:rPr>
          <w:rFonts w:eastAsia="Times New Roman"/>
          <w:bCs/>
          <w:kern w:val="0"/>
          <w:rtl/>
          <w14:ligatures w14:val="none"/>
        </w:rPr>
      </w:pPr>
      <w:r w:rsidRPr="00C011E4">
        <w:rPr>
          <w:rFonts w:eastAsia="Times New Roman"/>
          <w:bCs/>
          <w:kern w:val="0"/>
          <w:rtl/>
          <w14:ligatures w14:val="none"/>
        </w:rPr>
        <w:t>ب.</w:t>
      </w:r>
      <w:r w:rsidRPr="00C011E4">
        <w:rPr>
          <w:rFonts w:eastAsia="Times New Roman"/>
          <w:bCs/>
          <w:kern w:val="0"/>
          <w:rtl/>
          <w14:ligatures w14:val="none"/>
        </w:rPr>
        <w:tab/>
        <w:t>انتشار المدينة (4: 16-26)</w:t>
      </w:r>
    </w:p>
    <w:p w14:paraId="1D24EAF6"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C011E4">
        <w:rPr>
          <w:rFonts w:eastAsia="Times New Roman"/>
          <w:kern w:val="0"/>
          <w:rtl/>
          <w:lang w:bidi="ar-JO"/>
          <w14:ligatures w14:val="none"/>
        </w:rPr>
        <w:t xml:space="preserve">رأينا كيف انتقلت الخطية إلى قايين؛ أمّا في هذا القسم فنرى انتشارها في كل المجتمع.  نجد هنا مجتمعاً يتمرد على الله ويترك أرض البركة في تحدٍّ غاضب لقوانينه وذبائحه.  ومن المثير للاهتمام أنهم ينجحون، لكن بمعنى دنيوي فقط.  وهم لا يدركون </w:t>
      </w:r>
      <w:r w:rsidRPr="00C011E4">
        <w:rPr>
          <w:rFonts w:eastAsia="Times New Roman"/>
          <w:kern w:val="0"/>
          <w:rtl/>
          <w:lang w:bidi="ar-JO"/>
          <w14:ligatures w14:val="none"/>
        </w:rPr>
        <w:lastRenderedPageBreak/>
        <w:t>جيداً أن الخطية تتعاظم وتسبب الانحطاط، وهم الخاسرون.  ونرى في لامك شخصاً يتباهى بخطيته! وفضلاً عن ذلك، فإنه يطالب بتساهل أكبر بالنسبة لأي انتقام منه ممّا لا يجرؤ أن يطلبه قايين نفسه.</w:t>
      </w:r>
    </w:p>
    <w:p w14:paraId="2C56A1C1"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2884068"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C011E4">
        <w:rPr>
          <w:rFonts w:eastAsia="Times New Roman"/>
          <w:kern w:val="0"/>
          <w:rtl/>
          <w:lang w:bidi="ar-JO"/>
          <w14:ligatures w14:val="none"/>
        </w:rPr>
        <w:t>لنلاحظ أن لامك هو الجيل السابع من نسل قايين، بينما أخنوخ هو الجيل السابع من نسل شيث.  أولهما هو رمز الشر المتجسد في القتال، أمّا الثاني فقد "سار مع الله</w:t>
      </w:r>
      <w:r w:rsidRPr="00C011E4">
        <w:rPr>
          <w:rFonts w:eastAsia="Times New Roman"/>
          <w:kern w:val="0"/>
          <w:rtl/>
          <w14:ligatures w14:val="none"/>
        </w:rPr>
        <w:t>.</w:t>
      </w:r>
      <w:r w:rsidRPr="00C011E4">
        <w:rPr>
          <w:rFonts w:eastAsia="Times New Roman"/>
          <w:kern w:val="0"/>
          <w:rtl/>
          <w:lang w:bidi="ar-JO"/>
          <w14:ligatures w14:val="none"/>
        </w:rPr>
        <w:t>"</w:t>
      </w:r>
    </w:p>
    <w:p w14:paraId="101BA0B6"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C011E4">
        <w:rPr>
          <w:rFonts w:eastAsia="Times New Roman"/>
          <w:kern w:val="0"/>
          <w:rtl/>
          <w:lang w:bidi="ar-JO"/>
          <w14:ligatures w14:val="none"/>
        </w:rPr>
        <w:t>يختتم الأصحاح الرابع بملاحظة قصيرة حول نسل شيث: "حينئذٍ ابتُدئ أن يدعى باسم الرب."  ليست الفكرة هنا أن كل واحد من نسل شيث كان تقيّاً، بل أن الإيمان كان موجوداً في العالم في ذلك الوقت.  إن بديل اتِّباع الانحطاط والانحلال في المجتمع هو اللجوء إلى الرب... وطلب نعمته! هذا هو شعاع الرجاء في وسط حياة متدهورة.</w:t>
      </w:r>
    </w:p>
    <w:p w14:paraId="0EF1322C"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61E8378" w14:textId="77777777" w:rsidR="00E84DB1" w:rsidRPr="00C7130A" w:rsidRDefault="00E84DB1" w:rsidP="000558B7">
      <w:pPr>
        <w:pStyle w:val="Heading3"/>
        <w:rPr>
          <w:rtl/>
          <w:lang w:bidi="ar-JO"/>
        </w:rPr>
      </w:pPr>
      <w:bookmarkStart w:id="102" w:name="_Toc193030941"/>
      <w:r w:rsidRPr="00C7130A">
        <w:rPr>
          <w:rtl/>
          <w:lang w:bidi="ar-JO"/>
        </w:rPr>
        <w:t>5.</w:t>
      </w:r>
      <w:r w:rsidRPr="00C7130A">
        <w:rPr>
          <w:rtl/>
          <w:lang w:bidi="ar-JO"/>
        </w:rPr>
        <w:tab/>
        <w:t>مقدمة لتكوين 5: 1-11: 26</w:t>
      </w:r>
      <w:bookmarkEnd w:id="102"/>
    </w:p>
    <w:p w14:paraId="6BA6895A"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C011E4">
        <w:rPr>
          <w:rFonts w:eastAsia="Times New Roman"/>
          <w:kern w:val="0"/>
          <w:rtl/>
          <w:lang w:bidi="ar-JO"/>
          <w14:ligatures w14:val="none"/>
        </w:rPr>
        <w:t>تُغطّي هذه الوحدة أربعة أجزاء من المواليد (</w:t>
      </w:r>
      <w:r w:rsidRPr="00C011E4">
        <w:rPr>
          <w:rFonts w:eastAsia="Times New Roman"/>
          <w:i/>
          <w:iCs/>
          <w:kern w:val="0"/>
          <w:rtl/>
          <w:lang w:bidi="ar-JO"/>
          <w14:ligatures w14:val="none"/>
        </w:rPr>
        <w:t xml:space="preserve">توليدوت </w:t>
      </w:r>
      <w:r w:rsidRPr="00C011E4">
        <w:rPr>
          <w:rFonts w:eastAsia="Times New Roman"/>
          <w:bCs/>
          <w:i/>
          <w:iCs/>
          <w:kern w:val="0"/>
          <w:lang w:bidi="ar-JO"/>
          <w14:ligatures w14:val="none"/>
        </w:rPr>
        <w:t>tôl</w:t>
      </w:r>
      <w:r w:rsidRPr="00C011E4">
        <w:rPr>
          <w:rFonts w:ascii="Times New Roman" w:eastAsia="Times New Roman" w:hAnsi="Times New Roman" w:cs="Times New Roman"/>
          <w:bCs/>
          <w:i/>
          <w:iCs/>
          <w:kern w:val="0"/>
          <w:lang w:bidi="ar-JO"/>
          <w14:ligatures w14:val="none"/>
        </w:rPr>
        <w:t>ᵊ</w:t>
      </w:r>
      <w:r w:rsidRPr="00C011E4">
        <w:rPr>
          <w:rFonts w:eastAsia="Times New Roman"/>
          <w:bCs/>
          <w:i/>
          <w:iCs/>
          <w:kern w:val="0"/>
          <w:lang w:bidi="ar-JO"/>
          <w14:ligatures w14:val="none"/>
        </w:rPr>
        <w:t>ḏôṯ</w:t>
      </w:r>
      <w:r w:rsidRPr="00C011E4">
        <w:rPr>
          <w:rFonts w:eastAsia="Times New Roman"/>
          <w:kern w:val="0"/>
          <w:rtl/>
          <w14:ligatures w14:val="none"/>
        </w:rPr>
        <w:t>)</w:t>
      </w:r>
      <w:r w:rsidRPr="00C011E4">
        <w:rPr>
          <w:rFonts w:eastAsia="Times New Roman"/>
          <w:kern w:val="0"/>
          <w:rtl/>
          <w:lang w:bidi="ar-JO"/>
          <w14:ligatures w14:val="none"/>
        </w:rPr>
        <w:t>، تمتد من نسل آدم إلى ظهور أبرام.  وهي مبدئياً تكملة صورة انحطاط الجنس البشري، معدةً الطريق لضرورة وجود برنامج إلهي لاختيار إبراهيم كأداة له لخلق أمة تجلب البركة إلى العالم.  فبدون التدخل الإلهي، لا يمكن للجنس البشري إلاّ أن يزداد انحطاطاً وابتعاداً عن البركة! ولا تستطيع حتى "بداية جديدة" أن تحل المعضلة.  فإزالة الأشرار من الأرض ليست هي الحل.  ومع بقاء الخطية في قلب الأبرار، ما تزال هناك إمكانية للتدهور والانحطاط.  ونحن في هذه الأصحاحات نهيَّأ للقاء إبراهيم، الذي أثمرت طاعته من خلال الإيمان والفرز لله.</w:t>
      </w:r>
    </w:p>
    <w:p w14:paraId="6EF03E13" w14:textId="77777777" w:rsidR="00E84DB1" w:rsidRPr="00C011E4" w:rsidRDefault="00E84DB1" w:rsidP="00C7130A">
      <w:pPr>
        <w:tabs>
          <w:tab w:val="left" w:pos="454"/>
        </w:tabs>
        <w:spacing w:after="60"/>
        <w:ind w:left="550" w:hanging="550"/>
        <w:jc w:val="both"/>
        <w:rPr>
          <w:rFonts w:eastAsia="Times New Roman"/>
          <w:bCs/>
          <w:kern w:val="0"/>
          <w:rtl/>
          <w:lang w:bidi="ar-JO"/>
          <w14:ligatures w14:val="none"/>
        </w:rPr>
      </w:pPr>
      <w:r w:rsidRPr="00C011E4">
        <w:rPr>
          <w:rFonts w:eastAsia="Times New Roman"/>
          <w:bCs/>
          <w:kern w:val="0"/>
          <w:rtl/>
          <w14:ligatures w14:val="none"/>
        </w:rPr>
        <w:t>أ.</w:t>
      </w:r>
      <w:r w:rsidRPr="00C011E4">
        <w:rPr>
          <w:rFonts w:eastAsia="Times New Roman"/>
          <w:bCs/>
          <w:kern w:val="0"/>
          <w:rtl/>
          <w14:ligatures w14:val="none"/>
        </w:rPr>
        <w:tab/>
        <w:t>يأس من آدم إلى نوح (5: 1-6: 8)</w:t>
      </w:r>
    </w:p>
    <w:p w14:paraId="118A4CD3"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C011E4">
        <w:rPr>
          <w:rFonts w:eastAsia="Times New Roman"/>
          <w:kern w:val="0"/>
          <w:rtl/>
          <w:lang w:bidi="ar-JO"/>
          <w14:ligatures w14:val="none"/>
        </w:rPr>
        <w:t>ينقسم هذا الجزء إلى قسمين، يتتبع أحدهما نسل شيث من آدم إلى نوح، ويتتبع ثانيهما "حدثاً غريباً" يتضمن "أبناء الله".  ويلفت كلاهما الانتباه إلى يأس الإنسان تحت الخطية واللعنة، ممّا يحتّم عملاً ما من الله.  وتتمثل الذروة في استياء الله الشديد من وجود الإنسان.</w:t>
      </w:r>
    </w:p>
    <w:p w14:paraId="01B2001D" w14:textId="77777777" w:rsidR="00E84DB1" w:rsidRPr="00C011E4"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C011E4">
        <w:rPr>
          <w:rFonts w:eastAsia="Times New Roman"/>
          <w:kern w:val="0"/>
          <w:rtl/>
          <w:lang w:bidi="ar-JO"/>
          <w14:ligatures w14:val="none"/>
        </w:rPr>
        <w:t>1.</w:t>
      </w:r>
      <w:r w:rsidRPr="00C011E4">
        <w:rPr>
          <w:rFonts w:eastAsia="Times New Roman"/>
          <w:kern w:val="0"/>
          <w:rtl/>
          <w:lang w:bidi="ar-JO"/>
          <w14:ligatures w14:val="none"/>
        </w:rPr>
        <w:tab/>
        <w:t>نسل شيث (5: 1-32)</w:t>
      </w:r>
    </w:p>
    <w:p w14:paraId="24BB1AA0"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C011E4">
        <w:rPr>
          <w:rFonts w:eastAsia="Times New Roman"/>
          <w:kern w:val="0"/>
          <w:rtl/>
          <w:lang w:bidi="ar-JO"/>
          <w14:ligatures w14:val="none"/>
        </w:rPr>
        <w:t>تبدو هذه لأول وهلة سلسلة مواليد مملة، لكنها تشكل في واقع الأمر كتاب تفسير لاهوتي، إذ تذكِّرنا مرّة أخرى بحالة الإنسان الأصلية عبارة "وباركه" في 5: 2.  ويتبع هذه الملاحظة السعيدة ملاحظة أخرى حزينة يائسة نراها تتردد عبر الأصحاح كله، وهي "ومات".  توضع هذه العبارة أمام عيوننا المرة تلو الأخرى، لكي ندرك أن الموت ساد أثناء كل تلك الفترة.  وعلى الرغم من ظهور الحضارة والتقدم الطبيعي، إلا أن الإنسان لا يستطيع الإفلات من لعنة الموت بسبب خطية آدم.  ولهذا فإنه يموت! ويرتبط هذا بالتصريح في 5: 3 أن ابن آدم كان "</w:t>
      </w:r>
      <w:r w:rsidRPr="00C011E4">
        <w:rPr>
          <w:rFonts w:eastAsia="Times New Roman"/>
          <w:i/>
          <w:iCs/>
          <w:kern w:val="0"/>
          <w:rtl/>
          <w:lang w:bidi="ar-JO"/>
          <w14:ligatures w14:val="none"/>
        </w:rPr>
        <w:t>على شبهه كصورته</w:t>
      </w:r>
      <w:r w:rsidRPr="00C011E4">
        <w:rPr>
          <w:rFonts w:eastAsia="Times New Roman"/>
          <w:kern w:val="0"/>
          <w:rtl/>
          <w:lang w:bidi="ar-JO"/>
          <w14:ligatures w14:val="none"/>
        </w:rPr>
        <w:t xml:space="preserve">"، ويحمل هذا فكرة انتقال نفس الطبيعة بإمكانات الآب وصفاته إلى الابن من خلال </w:t>
      </w:r>
      <w:r w:rsidRPr="00C011E4">
        <w:rPr>
          <w:rFonts w:eastAsia="Times New Roman"/>
          <w:kern w:val="0"/>
          <w:rtl/>
          <w:lang w:bidi="ar-JO"/>
          <w14:ligatures w14:val="none"/>
        </w:rPr>
        <w:lastRenderedPageBreak/>
        <w:t>التناسل الطبيعي.  وفضلاً عن ذلك، فإن قلب الإنسان مثقل بآفة قاسية ومأزق عويص، وهو لهذا يصرخ طالباً "الراحة" (5: 29).</w:t>
      </w:r>
    </w:p>
    <w:p w14:paraId="38F9278C"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C011E4">
        <w:rPr>
          <w:rFonts w:eastAsia="Times New Roman"/>
          <w:kern w:val="0"/>
          <w:rtl/>
          <w:lang w:bidi="ar-JO"/>
          <w14:ligatures w14:val="none"/>
        </w:rPr>
        <w:t>غير أن الأصحاح يقدّم بصيصاً من الأمل للجنس البشري.  فهنالك شخص لا يموت؛ إنه أخنوخ، وسبب ذلك هو أنه سار مع الله.  وهكذا، وعلى نقيض يأس اللعنة، لا يكون الموت هو المصير المحتم.  ومع تقدّم الإعلان الإلهي ومجيء المسيح، تنضج هذه الفكرة! وأخنوخ درس للآخرين:</w:t>
      </w:r>
    </w:p>
    <w:p w14:paraId="496EF1E9"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011E4">
        <w:rPr>
          <w:rFonts w:eastAsia="Times New Roman"/>
          <w:kern w:val="0"/>
          <w:rtl/>
          <w:lang w:bidi="ar-JO"/>
          <w14:ligatures w14:val="none"/>
        </w:rPr>
        <w:t>لا يحيا أخنوخ فحسب – فهو يسير مع الله</w:t>
      </w:r>
    </w:p>
    <w:p w14:paraId="40435F7F"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011E4">
        <w:rPr>
          <w:rFonts w:eastAsia="Times New Roman"/>
          <w:kern w:val="0"/>
          <w:rtl/>
          <w:lang w:bidi="ar-JO"/>
          <w14:ligatures w14:val="none"/>
        </w:rPr>
        <w:t>لا يموت (وانتهى الأمر)- بل يأخذه الله إليه</w:t>
      </w:r>
    </w:p>
    <w:p w14:paraId="73B35B88"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C011E4">
        <w:rPr>
          <w:rFonts w:eastAsia="Times New Roman"/>
          <w:kern w:val="0"/>
          <w:rtl/>
          <w:lang w:bidi="ar-JO"/>
          <w14:ligatures w14:val="none"/>
        </w:rPr>
        <w:t>تعبّر جملة "سار مع الله" عن النمو التدرّجي في الشركة والطاعة، مما يؤدي إلى رضا الله.</w:t>
      </w:r>
    </w:p>
    <w:p w14:paraId="42CB6CCA"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11948F1" w14:textId="77777777" w:rsidR="00E84DB1" w:rsidRPr="00C011E4"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C011E4">
        <w:rPr>
          <w:rFonts w:eastAsia="Times New Roman"/>
          <w:kern w:val="0"/>
          <w:rtl/>
          <w:lang w:bidi="ar-JO"/>
          <w14:ligatures w14:val="none"/>
        </w:rPr>
        <w:t>2.</w:t>
      </w:r>
      <w:r w:rsidRPr="00C011E4">
        <w:rPr>
          <w:rFonts w:eastAsia="Times New Roman"/>
          <w:kern w:val="0"/>
          <w:rtl/>
          <w:lang w:bidi="ar-JO"/>
          <w14:ligatures w14:val="none"/>
        </w:rPr>
        <w:tab/>
        <w:t>ذروة الإثم (6: 1-8)</w:t>
      </w:r>
    </w:p>
    <w:p w14:paraId="12100AF0" w14:textId="02AADBB8"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C011E4">
        <w:rPr>
          <w:rFonts w:eastAsia="Times New Roman"/>
          <w:kern w:val="0"/>
          <w:rtl/>
          <w:lang w:bidi="ar-JO"/>
          <w14:ligatures w14:val="none"/>
        </w:rPr>
        <w:t>ينكمش كل الجنس البشري بسبب لسعة اللعنة والموت.  ويئن نسل شيث بسبب محنتهم. والآن وفي 6: 1-8 تحاول عناصر معينة من المجتمع الإفلات من هذا المصير.  ولا تشهد هذه المحاولة العبثية إلا عن إثم الإنسان الذي يعطي الله سبباً وجيهاً لجلب الدينونة.  وهكذا يصبح الموت نتيجة محتومة، ويجب أن يحسب حساب رحمة في الدينونة.</w:t>
      </w:r>
    </w:p>
    <w:p w14:paraId="0C80544F"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322F1A3D" w14:textId="6FBBE0B5"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C011E4">
        <w:rPr>
          <w:rFonts w:eastAsia="Times New Roman"/>
          <w:kern w:val="0"/>
          <w:rtl/>
          <w:lang w:bidi="ar-JO"/>
          <w14:ligatures w14:val="none"/>
        </w:rPr>
        <w:t>يبدو أن هذه الفقرة تتناول محاولة الإنسان العبثية للالتفاف على مصير الموت (والحصول على الخلود) وتحقيق نوع من الألوهة (كذبة إبليس المستمرة أن الإنسان يستطيع أن يكون كالله؛ انظر تكوين 3: 5).  إن تفسير معنى "أبناء الله" هنا هو موضوع جدل كثير، لكن يبدو أنه يتضمن نوعاً من الممارسة الجنسية المنحرفة بين كائناتٍ شيطانية ونساء (انظر 1 بطرس 3: 19، 20؛ يهوذا 6).  يقول روس إن هؤلاء الملائكة الساقطين تركوا مسكنهم وسكنوا أجساد أشخاص طغاة ومحاربين، الذين كانت لهم بدورهم علاقات غير أخلاقية مع النساء.</w:t>
      </w:r>
      <w:r w:rsidRPr="00C011E4">
        <w:rPr>
          <w:rFonts w:eastAsia="Times New Roman"/>
          <w:kern w:val="0"/>
          <w:vertAlign w:val="superscript"/>
          <w:rtl/>
          <w:lang w:bidi="ar-JO"/>
          <w14:ligatures w14:val="none"/>
        </w:rPr>
        <w:footnoteReference w:customMarkFollows="1" w:id="32"/>
        <w:t>3</w:t>
      </w:r>
      <w:r w:rsidRPr="00C011E4">
        <w:rPr>
          <w:rFonts w:eastAsia="Times New Roman"/>
          <w:kern w:val="0"/>
          <w:rtl/>
          <w:lang w:bidi="ar-JO"/>
          <w14:ligatures w14:val="none"/>
        </w:rPr>
        <w:t xml:space="preserve"> وتدعم هذه الفرضية ذريتهم غير العادية (6: 4).  غير أن نتاج ذلك ليس الألوهة أو التحرر من الموت.  فهؤلاء الأبناء ليسوا ملوكاً إلهيين، بل مجرّد لحم ودم يموتون مثل غيرهم من أعضاء الجنس البشري.  لقد تجاوز الإنسان بشكل عنيف حدوده، وتعليق الرب على ذلك ملخص تكوين 1: 11: "شرّ الإنسان قد كثر في الأرض، وأن كل تصوُّر أفكار قلبه إنما هو شر</w:t>
      </w:r>
      <w:r w:rsidR="00FD79D7" w:rsidRPr="00C011E4">
        <w:rPr>
          <w:rFonts w:eastAsia="Times New Roman"/>
          <w:kern w:val="0"/>
          <w:rtl/>
          <w:lang w:bidi="ar-JO"/>
          <w14:ligatures w14:val="none"/>
        </w:rPr>
        <w:t>ّ</w:t>
      </w:r>
      <w:r w:rsidRPr="00C011E4">
        <w:rPr>
          <w:rFonts w:eastAsia="Times New Roman"/>
          <w:kern w:val="0"/>
          <w:rtl/>
          <w:lang w:bidi="ar-JO"/>
          <w14:ligatures w14:val="none"/>
        </w:rPr>
        <w:t>ير كلّ يوم" (6: 5).</w:t>
      </w:r>
    </w:p>
    <w:p w14:paraId="540E7132"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7D87FADD"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C011E4">
        <w:rPr>
          <w:rFonts w:eastAsia="Times New Roman"/>
          <w:kern w:val="0"/>
          <w:rtl/>
          <w:lang w:bidi="ar-JO"/>
          <w14:ligatures w14:val="none"/>
        </w:rPr>
        <w:lastRenderedPageBreak/>
        <w:t xml:space="preserve">غير أن الله يجد رجلاً يسبغ عليه </w:t>
      </w:r>
      <w:r w:rsidRPr="00C011E4">
        <w:rPr>
          <w:rFonts w:eastAsia="Times New Roman"/>
          <w:kern w:val="0"/>
          <w:u w:val="single"/>
          <w:rtl/>
          <w:lang w:bidi="ar-JO"/>
          <w14:ligatures w14:val="none"/>
        </w:rPr>
        <w:t>نعمته</w:t>
      </w:r>
      <w:r w:rsidRPr="00C011E4">
        <w:rPr>
          <w:rFonts w:eastAsia="Times New Roman"/>
          <w:kern w:val="0"/>
          <w:rtl/>
          <w:lang w:bidi="ar-JO"/>
          <w14:ligatures w14:val="none"/>
        </w:rPr>
        <w:t xml:space="preserve">.  (كلمة </w:t>
      </w:r>
      <w:r w:rsidRPr="00C011E4">
        <w:rPr>
          <w:rFonts w:ascii="Times New Roman" w:eastAsia="Times New Roman" w:hAnsi="Times New Roman" w:cs="Times New Roman" w:hint="cs"/>
          <w:kern w:val="0"/>
          <w:rtl/>
          <w:lang w:bidi="he-IL"/>
          <w14:ligatures w14:val="none"/>
        </w:rPr>
        <w:t>חֵן</w:t>
      </w:r>
      <w:r w:rsidRPr="00C011E4">
        <w:rPr>
          <w:rFonts w:eastAsia="Times New Roman"/>
          <w:kern w:val="0"/>
          <w:rtl/>
          <w:lang w:bidi="ar-JO"/>
          <w14:ligatures w14:val="none"/>
        </w:rPr>
        <w:t xml:space="preserve"> هي التعبير العبري عن "النعمة"</w:t>
      </w:r>
      <w:r w:rsidRPr="00C011E4">
        <w:rPr>
          <w:rFonts w:eastAsia="Times New Roman"/>
          <w:kern w:val="0"/>
          <w:rtl/>
          <w14:ligatures w14:val="none"/>
        </w:rPr>
        <w:t xml:space="preserve"> -</w:t>
      </w:r>
      <w:r w:rsidRPr="00C011E4">
        <w:rPr>
          <w:rFonts w:eastAsia="Times New Roman"/>
          <w:kern w:val="0"/>
          <w:rtl/>
          <w:lang w:bidi="ar-JO"/>
          <w14:ligatures w14:val="none"/>
        </w:rPr>
        <w:t xml:space="preserve"> عطية الله غير المستحقة للإنسان الذي يستحق نقيضها تماماً).  ونتيجة ذلك سار هو وعائلته مع الله، فاصلين أنفسهم عن عالم محكوم عليه بالهلاك.  وإن متلقّي النعمة هو الذي ينجو من الدينونة ويحقق الخلود.  ومع دخول إسرائيل أرض الموعد، لا يلزمهم أن يخافوا من أشخاص يزعمون أنهم من أصل إلهي (انظر عدد 13: 31-33؛ تثنية 9: 2).  ونحن نتعلم من تعامل الله مع جيل نوح أنه لكي يجلب الله ملكوت البركة الثيوقراطية (حيث يسود الحكم الإلهي)، لابد أن تتم دينونة الآثمين بالهلاك!</w:t>
      </w:r>
    </w:p>
    <w:p w14:paraId="64AFEBFD"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4BFD44EB" w14:textId="77777777" w:rsidR="00E84DB1" w:rsidRPr="00C011E4" w:rsidRDefault="00E84DB1" w:rsidP="00C7130A">
      <w:pPr>
        <w:tabs>
          <w:tab w:val="left" w:pos="454"/>
        </w:tabs>
        <w:spacing w:after="60"/>
        <w:ind w:left="550" w:hanging="550"/>
        <w:jc w:val="both"/>
        <w:rPr>
          <w:rFonts w:eastAsia="Times New Roman"/>
          <w:bCs/>
          <w:kern w:val="0"/>
          <w:rtl/>
          <w14:ligatures w14:val="none"/>
        </w:rPr>
      </w:pPr>
      <w:r w:rsidRPr="00C011E4">
        <w:rPr>
          <w:rFonts w:eastAsia="Times New Roman"/>
          <w:bCs/>
          <w:kern w:val="0"/>
          <w:rtl/>
          <w14:ligatures w14:val="none"/>
        </w:rPr>
        <w:t>ب.</w:t>
      </w:r>
      <w:r w:rsidRPr="00C011E4">
        <w:rPr>
          <w:rFonts w:eastAsia="Times New Roman"/>
          <w:bCs/>
          <w:kern w:val="0"/>
          <w:rtl/>
          <w14:ligatures w14:val="none"/>
        </w:rPr>
        <w:tab/>
        <w:t>بداية جديدة مع نوح (6: 9-9: 29)</w:t>
      </w:r>
    </w:p>
    <w:p w14:paraId="4E49B673"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C011E4">
        <w:rPr>
          <w:rFonts w:eastAsia="Times New Roman"/>
          <w:kern w:val="0"/>
          <w:rtl/>
          <w:lang w:bidi="ar-JO"/>
          <w14:ligatures w14:val="none"/>
        </w:rPr>
        <w:t>يجلب شر الإنسان المقيت دينونة كارثية من الله بالإضافة إلى بداية جديدة.  وتستمر فكرة اللعنة (مع تدمير الجنس البشري)، لكن تأتي الآن فكرة البركة مع التدبير الفدائي لعائلة نوح والعهد الجديد معه.  وهكذا تنتهي طريق التمرد الصريح على الله بالدينونة، غير أن الله قادر على أن يقدّم تدبيراً (الفُلْك) للذين يتلقّون نعمته.  فلا مجال للشك أن الله هو ديّان العالم.</w:t>
      </w:r>
    </w:p>
    <w:p w14:paraId="7CE933C3"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973C5D0" w14:textId="77777777" w:rsidR="00E84DB1" w:rsidRPr="00C011E4"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C011E4">
        <w:rPr>
          <w:rFonts w:eastAsia="Times New Roman"/>
          <w:kern w:val="0"/>
          <w:rtl/>
          <w:lang w:bidi="ar-JO"/>
          <w14:ligatures w14:val="none"/>
        </w:rPr>
        <w:t>1.</w:t>
      </w:r>
      <w:r w:rsidRPr="00C011E4">
        <w:rPr>
          <w:rFonts w:eastAsia="Times New Roman"/>
          <w:kern w:val="0"/>
          <w:rtl/>
          <w:lang w:bidi="ar-JO"/>
          <w14:ligatures w14:val="none"/>
        </w:rPr>
        <w:tab/>
        <w:t>دينونة العالم بالطوفان (6: 9-8: 19)</w:t>
      </w:r>
    </w:p>
    <w:p w14:paraId="09788DB7"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011E4">
        <w:rPr>
          <w:rFonts w:eastAsia="Times New Roman"/>
          <w:kern w:val="0"/>
          <w:rtl/>
          <w:lang w:bidi="ar-JO"/>
          <w14:ligatures w14:val="none"/>
        </w:rPr>
        <w:t>أ.</w:t>
      </w:r>
      <w:r w:rsidRPr="00C011E4">
        <w:rPr>
          <w:rFonts w:eastAsia="Times New Roman"/>
          <w:kern w:val="0"/>
          <w:rtl/>
          <w:lang w:bidi="ar-JO"/>
          <w14:ligatures w14:val="none"/>
        </w:rPr>
        <w:tab/>
        <w:t>مأمورية نوح ببناء الفلك والمحافظة على الحياة (6: 9-7: 5)</w:t>
      </w:r>
    </w:p>
    <w:p w14:paraId="70E14E17"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011E4">
        <w:rPr>
          <w:rFonts w:eastAsia="Times New Roman"/>
          <w:kern w:val="0"/>
          <w:rtl/>
          <w:lang w:bidi="ar-JO"/>
          <w14:ligatures w14:val="none"/>
        </w:rPr>
        <w:t>تشكل قصة الطوفان من نواحٍ كثيرة مشهداً موازياً لتكوين 1-2:</w:t>
      </w:r>
    </w:p>
    <w:p w14:paraId="0E7DB36E"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C011E4">
        <w:rPr>
          <w:rFonts w:eastAsia="Times New Roman"/>
          <w:kern w:val="0"/>
          <w:rtl/>
          <w:lang w:bidi="ar-JO"/>
          <w14:ligatures w14:val="none"/>
        </w:rPr>
        <w:t>1)</w:t>
      </w:r>
      <w:r w:rsidRPr="00C011E4">
        <w:rPr>
          <w:rFonts w:eastAsia="Times New Roman"/>
          <w:kern w:val="0"/>
          <w:rtl/>
          <w:lang w:bidi="ar-JO"/>
          <w14:ligatures w14:val="none"/>
        </w:rPr>
        <w:tab/>
        <w:t xml:space="preserve">كما ظهرت اليابسة من تراجع المياه في تكوين 1، فقد انخفضت المياه إلى أن استقرّ الفُلك على أراراط.  </w:t>
      </w:r>
    </w:p>
    <w:p w14:paraId="07594C2B"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C011E4">
        <w:rPr>
          <w:rFonts w:eastAsia="Times New Roman"/>
          <w:kern w:val="0"/>
          <w:rtl/>
          <w:lang w:bidi="ar-JO"/>
          <w14:ligatures w14:val="none"/>
        </w:rPr>
        <w:t>2)</w:t>
      </w:r>
      <w:r w:rsidRPr="00C011E4">
        <w:rPr>
          <w:rFonts w:eastAsia="Times New Roman"/>
          <w:kern w:val="0"/>
          <w:rtl/>
          <w:lang w:bidi="ar-JO"/>
          <w14:ligatures w14:val="none"/>
        </w:rPr>
        <w:tab/>
        <w:t>يوصي الله نوحاً أيضاً بأن يثمر ويتكاثر.</w:t>
      </w:r>
    </w:p>
    <w:p w14:paraId="07CBD2DC"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C011E4">
        <w:rPr>
          <w:rFonts w:eastAsia="Times New Roman"/>
          <w:kern w:val="0"/>
          <w:rtl/>
          <w:lang w:bidi="ar-JO"/>
          <w14:ligatures w14:val="none"/>
        </w:rPr>
        <w:t>3)</w:t>
      </w:r>
      <w:r w:rsidRPr="00C011E4">
        <w:rPr>
          <w:rFonts w:eastAsia="Times New Roman"/>
          <w:kern w:val="0"/>
          <w:rtl/>
          <w:lang w:bidi="ar-JO"/>
          <w14:ligatures w14:val="none"/>
        </w:rPr>
        <w:tab/>
        <w:t>توجد دعوة للسلطة على الحيوانات (مع اختلاط السلطة بالخوف).</w:t>
      </w:r>
    </w:p>
    <w:p w14:paraId="3164EF1B"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C011E4">
        <w:rPr>
          <w:rFonts w:eastAsia="Times New Roman"/>
          <w:kern w:val="0"/>
          <w:rtl/>
          <w:lang w:bidi="ar-JO"/>
          <w14:ligatures w14:val="none"/>
        </w:rPr>
        <w:t>4)</w:t>
      </w:r>
      <w:r w:rsidRPr="00C011E4">
        <w:rPr>
          <w:rFonts w:eastAsia="Times New Roman"/>
          <w:kern w:val="0"/>
          <w:rtl/>
          <w:lang w:bidi="ar-JO"/>
          <w14:ligatures w14:val="none"/>
        </w:rPr>
        <w:tab/>
        <w:t>يُقدَّم الطعام مع تحريم سفك الدم البشري.</w:t>
      </w:r>
    </w:p>
    <w:p w14:paraId="0835A698"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C011E4">
        <w:rPr>
          <w:rFonts w:eastAsia="Times New Roman"/>
          <w:kern w:val="0"/>
          <w:rtl/>
          <w:lang w:bidi="ar-JO"/>
          <w14:ligatures w14:val="none"/>
        </w:rPr>
        <w:t>5)</w:t>
      </w:r>
      <w:r w:rsidRPr="00C011E4">
        <w:rPr>
          <w:rFonts w:eastAsia="Times New Roman"/>
          <w:kern w:val="0"/>
          <w:rtl/>
          <w:lang w:bidi="ar-JO"/>
          <w14:ligatures w14:val="none"/>
        </w:rPr>
        <w:tab/>
        <w:t>يزرع نوح جنة بالمقابلة مع جنة آدم وحوّاء.</w:t>
      </w:r>
    </w:p>
    <w:p w14:paraId="0D44C926"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011E4">
        <w:rPr>
          <w:rFonts w:eastAsia="Times New Roman"/>
          <w:kern w:val="0"/>
          <w:rtl/>
          <w:lang w:bidi="ar-JO"/>
          <w14:ligatures w14:val="none"/>
        </w:rPr>
        <w:lastRenderedPageBreak/>
        <w:t xml:space="preserve">لا يجب أن يغيب عن بال المرء التلاعب بالكلمات المتضمن تغطية </w:t>
      </w:r>
      <w:r w:rsidRPr="00C011E4">
        <w:rPr>
          <w:rFonts w:eastAsia="Times New Roman"/>
          <w:kern w:val="0"/>
          <w:rtl/>
          <w14:ligatures w14:val="none"/>
        </w:rPr>
        <w:t>(</w:t>
      </w:r>
      <w:r w:rsidRPr="00C011E4">
        <w:rPr>
          <w:rFonts w:ascii="Times New Roman" w:eastAsia="Times New Roman" w:hAnsi="Times New Roman" w:cs="Times New Roman" w:hint="cs"/>
          <w:b/>
          <w:kern w:val="0"/>
          <w:rtl/>
          <w:lang w:bidi="he-IL"/>
          <w14:ligatures w14:val="none"/>
        </w:rPr>
        <w:t>כפר</w:t>
      </w:r>
      <w:r w:rsidRPr="00C011E4">
        <w:rPr>
          <w:rFonts w:eastAsia="Times New Roman"/>
          <w:b/>
          <w:kern w:val="0"/>
          <w:rtl/>
          <w:lang w:bidi="he-IL"/>
          <w14:ligatures w14:val="none"/>
        </w:rPr>
        <w:t>)</w:t>
      </w:r>
      <w:r w:rsidRPr="00C011E4">
        <w:rPr>
          <w:rFonts w:eastAsia="Times New Roman"/>
          <w:kern w:val="0"/>
          <w:rtl/>
          <w:lang w:bidi="ar-JO"/>
          <w14:ligatures w14:val="none"/>
        </w:rPr>
        <w:t xml:space="preserve"> الفُلك بالقار </w:t>
      </w:r>
      <w:r w:rsidRPr="00C011E4">
        <w:rPr>
          <w:rFonts w:eastAsia="Times New Roman"/>
          <w:kern w:val="0"/>
          <w:rtl/>
          <w14:ligatures w14:val="none"/>
        </w:rPr>
        <w:t>(</w:t>
      </w:r>
      <w:r w:rsidRPr="00C011E4">
        <w:rPr>
          <w:rFonts w:ascii="Times New Roman" w:eastAsia="Times New Roman" w:hAnsi="Times New Roman" w:cs="Times New Roman" w:hint="cs"/>
          <w:kern w:val="0"/>
          <w:rtl/>
          <w:lang w:bidi="he-IL"/>
          <w14:ligatures w14:val="none"/>
        </w:rPr>
        <w:t>כֹּפֶר</w:t>
      </w:r>
      <w:r w:rsidRPr="00C011E4">
        <w:rPr>
          <w:rFonts w:eastAsia="Times New Roman"/>
          <w:kern w:val="0"/>
          <w:rtl/>
          <w:lang w:bidi="he-IL"/>
          <w14:ligatures w14:val="none"/>
        </w:rPr>
        <w:t>)</w:t>
      </w:r>
      <w:r w:rsidRPr="00C011E4">
        <w:rPr>
          <w:rFonts w:eastAsia="Times New Roman"/>
          <w:kern w:val="0"/>
          <w:rtl/>
          <w:lang w:bidi="ar-JO"/>
          <w14:ligatures w14:val="none"/>
        </w:rPr>
        <w:t>.  ففي طقوس إسرائيل ستصبح الكفّارة (</w:t>
      </w:r>
      <w:r w:rsidRPr="00C011E4">
        <w:rPr>
          <w:rFonts w:ascii="Times New Roman" w:eastAsia="Times New Roman" w:hAnsi="Times New Roman" w:cs="Times New Roman" w:hint="cs"/>
          <w:b/>
          <w:kern w:val="0"/>
          <w:rtl/>
          <w:lang w:bidi="he-IL"/>
          <w14:ligatures w14:val="none"/>
        </w:rPr>
        <w:t>כַּפֹּרֶת</w:t>
      </w:r>
      <w:r w:rsidRPr="00C011E4">
        <w:rPr>
          <w:rFonts w:eastAsia="Times New Roman"/>
          <w:kern w:val="0"/>
          <w:rtl/>
          <w:lang w:bidi="ar-JO"/>
          <w14:ligatures w14:val="none"/>
        </w:rPr>
        <w:t xml:space="preserve"> = كرسي الرحمة) جزءاً رئيسياً من نشاط العبادة.</w:t>
      </w:r>
      <w:r w:rsidRPr="00C011E4">
        <w:rPr>
          <w:rFonts w:eastAsia="Times New Roman"/>
          <w:kern w:val="0"/>
          <w:vertAlign w:val="superscript"/>
          <w:rtl/>
          <w:lang w:bidi="ar-JO"/>
          <w14:ligatures w14:val="none"/>
        </w:rPr>
        <w:t xml:space="preserve"> </w:t>
      </w:r>
      <w:r w:rsidRPr="00C011E4">
        <w:rPr>
          <w:rFonts w:eastAsia="Times New Roman"/>
          <w:kern w:val="0"/>
          <w:vertAlign w:val="superscript"/>
          <w:rtl/>
          <w:lang w:bidi="ar-JO"/>
          <w14:ligatures w14:val="none"/>
        </w:rPr>
        <w:footnoteReference w:customMarkFollows="1" w:id="33"/>
        <w:t>4</w:t>
      </w:r>
      <w:r w:rsidRPr="00C011E4">
        <w:rPr>
          <w:rFonts w:eastAsia="Times New Roman"/>
          <w:kern w:val="0"/>
          <w:rtl/>
          <w:lang w:bidi="ar-JO"/>
          <w14:ligatures w14:val="none"/>
        </w:rPr>
        <w:t xml:space="preserve">  والاحتماء بالدم هو ملجأ المؤمن بالمسيح.</w:t>
      </w:r>
    </w:p>
    <w:p w14:paraId="22E56590"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557605FA"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011E4">
        <w:rPr>
          <w:rFonts w:eastAsia="Times New Roman"/>
          <w:kern w:val="0"/>
          <w:rtl/>
          <w:lang w:bidi="ar-JO"/>
          <w14:ligatures w14:val="none"/>
        </w:rPr>
        <w:t>ب.</w:t>
      </w:r>
      <w:r w:rsidRPr="00C011E4">
        <w:rPr>
          <w:rFonts w:eastAsia="Times New Roman"/>
          <w:kern w:val="0"/>
          <w:rtl/>
          <w:lang w:bidi="ar-JO"/>
          <w14:ligatures w14:val="none"/>
        </w:rPr>
        <w:tab/>
        <w:t>دينونة الطوفان (7: 6-24)</w:t>
      </w:r>
    </w:p>
    <w:p w14:paraId="2BD0184B"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011E4">
        <w:rPr>
          <w:rFonts w:eastAsia="Times New Roman"/>
          <w:kern w:val="0"/>
          <w:rtl/>
          <w:lang w:bidi="ar-JO"/>
          <w14:ligatures w14:val="none"/>
        </w:rPr>
        <w:t>تشهد روايات وثنية كثيرة على صحة وجود طوفان شامل (انظر الملاحظات حول الدرس الثاني).</w:t>
      </w:r>
      <w:r w:rsidRPr="00C011E4">
        <w:rPr>
          <w:rFonts w:eastAsia="Times New Roman"/>
          <w:kern w:val="0"/>
          <w:vertAlign w:val="superscript"/>
          <w:rtl/>
          <w:lang w:bidi="ar-JO"/>
          <w14:ligatures w14:val="none"/>
        </w:rPr>
        <w:footnoteReference w:customMarkFollows="1" w:id="34"/>
        <w:t>5</w:t>
      </w:r>
      <w:r w:rsidRPr="00C011E4">
        <w:rPr>
          <w:rFonts w:eastAsia="Times New Roman"/>
          <w:kern w:val="0"/>
          <w:rtl/>
          <w:lang w:bidi="ar-JO"/>
          <w14:ligatures w14:val="none"/>
        </w:rPr>
        <w:t xml:space="preserve"> </w:t>
      </w:r>
      <w:r w:rsidRPr="00C011E4">
        <w:rPr>
          <w:rFonts w:eastAsia="Times New Roman"/>
          <w:kern w:val="0"/>
          <w14:ligatures w14:val="none"/>
        </w:rPr>
        <w:t xml:space="preserve"> </w:t>
      </w:r>
      <w:r w:rsidRPr="00C011E4">
        <w:rPr>
          <w:rFonts w:eastAsia="Times New Roman"/>
          <w:kern w:val="0"/>
          <w:rtl/>
          <w:lang w:bidi="ar-JO"/>
          <w14:ligatures w14:val="none"/>
        </w:rPr>
        <w:t>إن قصة الطوفان رواية رئيسية في الكتاب المقدس، ويشار إليها في مواضع كثيرة منه.  وبطبيعة الحال تؤكد هذه الرواية مرة أخرى أن يهوه هو الرب على خليقته، وأن الناس المخلوقين منه مسؤولون أمامه.  ويقينية العقاب النهائي للأشرار درس هام من دروس هذه الرواية التي هي تحذير على مرّ الزمن للأشرار بأن الله لن يتغاضى عن خطيتهم (انظر 2 بطرس 3).  وإن من شأن موت جيل واحد من الخطاة أن يذكّر كل الأجيال القادمة بغضب الله الآتي.</w:t>
      </w:r>
    </w:p>
    <w:p w14:paraId="6940D23B"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76CE0B3B"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011E4">
        <w:rPr>
          <w:rFonts w:eastAsia="Times New Roman"/>
          <w:kern w:val="0"/>
          <w:rtl/>
          <w:lang w:bidi="ar-JO"/>
          <w14:ligatures w14:val="none"/>
        </w:rPr>
        <w:t>أمّا بالنسبة للمؤمن بالمسيح (مُتلقّي النعمة)، فإن الفُلك يمثّل تدبير الله للنجاة من مياه الدينونة، ويمثّل الالتجاء إلى المسيح تدبير الله للمؤمنين لتجنب الدينونة (انظر يوحنا 5: 24).  يبحر نوح عبر الدينونة إلى عصر جديد.  وتبقى الحقيقة على مر العصور أن الدينونة ستسحق الأثمة، ولن يدخل عصر الراحة الجديد، أي الملكوت، إلاّ  نخبة الأبرار.  وسينتصر الله في نهاية المطاف على الشر.</w:t>
      </w:r>
    </w:p>
    <w:p w14:paraId="5991C28E"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47E19F9F"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011E4">
        <w:rPr>
          <w:rFonts w:eastAsia="Times New Roman"/>
          <w:kern w:val="0"/>
          <w:rtl/>
          <w:lang w:bidi="ar-JO"/>
          <w14:ligatures w14:val="none"/>
        </w:rPr>
        <w:t>جـ.</w:t>
      </w:r>
      <w:r w:rsidRPr="00C011E4">
        <w:rPr>
          <w:rFonts w:eastAsia="Times New Roman"/>
          <w:kern w:val="0"/>
          <w:rtl/>
          <w:lang w:bidi="ar-JO"/>
          <w14:ligatures w14:val="none"/>
        </w:rPr>
        <w:tab/>
        <w:t xml:space="preserve">نهاية الدينونة (8: 1-19) </w:t>
      </w:r>
    </w:p>
    <w:p w14:paraId="35B56F07"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011E4">
        <w:rPr>
          <w:rFonts w:eastAsia="Times New Roman"/>
          <w:kern w:val="0"/>
          <w:rtl/>
          <w:lang w:bidi="ar-JO"/>
          <w14:ligatures w14:val="none"/>
        </w:rPr>
        <w:t>تحمل عبارة "واستقر (واستراح) الفُلك... على جبال أراراط" في 8: 4 معنى أكثر مما يمكن أن يلحظه المرء للوهلة الأولى.  إذ نجد هنا استمراراً لفكرة "الراحة".  إذ لم يستقر فعلياً على الجبل فحسب، لكن هذا الحدث أيضاً كان بداية جديدة بالبركة (9: 1).</w:t>
      </w:r>
    </w:p>
    <w:p w14:paraId="0751AE6A"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533F1B06" w14:textId="77777777" w:rsidR="00E84DB1" w:rsidRPr="00C011E4" w:rsidRDefault="00E84DB1"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C011E4">
        <w:rPr>
          <w:rFonts w:eastAsia="Times New Roman"/>
          <w:kern w:val="0"/>
          <w:rtl/>
          <w:lang w:bidi="ar-JO"/>
          <w14:ligatures w14:val="none"/>
        </w:rPr>
        <w:t>2.</w:t>
      </w:r>
      <w:r w:rsidRPr="00C011E4">
        <w:rPr>
          <w:rFonts w:eastAsia="Times New Roman"/>
          <w:kern w:val="0"/>
          <w:rtl/>
          <w:lang w:bidi="ar-JO"/>
          <w14:ligatures w14:val="none"/>
        </w:rPr>
        <w:tab/>
        <w:t>البداية الجديدة (8: 20-9: 29)</w:t>
      </w:r>
    </w:p>
    <w:p w14:paraId="36FCA8DF"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011E4">
        <w:rPr>
          <w:rFonts w:eastAsia="Times New Roman"/>
          <w:kern w:val="0"/>
          <w:rtl/>
          <w:lang w:bidi="ar-JO"/>
          <w14:ligatures w14:val="none"/>
        </w:rPr>
        <w:t>أ.</w:t>
      </w:r>
      <w:r w:rsidRPr="00C011E4">
        <w:rPr>
          <w:rFonts w:eastAsia="Times New Roman"/>
          <w:kern w:val="0"/>
          <w:rtl/>
          <w:lang w:bidi="ar-JO"/>
          <w14:ligatures w14:val="none"/>
        </w:rPr>
        <w:tab/>
        <w:t>التدبير في العالم الجديد (8: 20-9: 17)</w:t>
      </w:r>
    </w:p>
    <w:p w14:paraId="15E737E0"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C011E4">
        <w:rPr>
          <w:rFonts w:eastAsia="Times New Roman"/>
          <w:kern w:val="0"/>
          <w:rtl/>
          <w:lang w:bidi="ar-JO"/>
          <w14:ligatures w14:val="none"/>
        </w:rPr>
        <w:t>1)</w:t>
      </w:r>
      <w:r w:rsidRPr="00C011E4">
        <w:rPr>
          <w:rFonts w:eastAsia="Times New Roman"/>
          <w:kern w:val="0"/>
          <w:rtl/>
          <w:lang w:bidi="ar-JO"/>
          <w14:ligatures w14:val="none"/>
        </w:rPr>
        <w:tab/>
        <w:t>أول عمل لنوح (8: 20-22)</w:t>
      </w:r>
    </w:p>
    <w:p w14:paraId="62573D14"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14:ligatures w14:val="none"/>
        </w:rPr>
      </w:pPr>
      <w:r w:rsidRPr="00C011E4">
        <w:rPr>
          <w:rFonts w:eastAsia="Times New Roman"/>
          <w:kern w:val="0"/>
          <w:rtl/>
          <w:lang w:bidi="ar-JO"/>
          <w14:ligatures w14:val="none"/>
        </w:rPr>
        <w:t>كان أول عمل يقوم به نوح بعد مغادرته الفلك هو تقديم ذبيحة من أفضل ما لديه للرب.  وقد أكّد هذا لإسرائيل أن الشعب المفدي هو شعب عابد.</w:t>
      </w:r>
    </w:p>
    <w:p w14:paraId="47CF04A7"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C011E4">
        <w:rPr>
          <w:rFonts w:eastAsia="Times New Roman"/>
          <w:kern w:val="0"/>
          <w:rtl/>
          <w:lang w:bidi="ar-JO"/>
          <w14:ligatures w14:val="none"/>
        </w:rPr>
        <w:t>2)</w:t>
      </w:r>
      <w:r w:rsidRPr="00C011E4">
        <w:rPr>
          <w:rFonts w:eastAsia="Times New Roman"/>
          <w:kern w:val="0"/>
          <w:rtl/>
          <w:lang w:bidi="ar-JO"/>
          <w14:ligatures w14:val="none"/>
        </w:rPr>
        <w:tab/>
        <w:t xml:space="preserve">تعليمات جديدة لنوح (9: 1-7) </w:t>
      </w:r>
    </w:p>
    <w:p w14:paraId="6BF25315"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C011E4">
        <w:rPr>
          <w:rFonts w:eastAsia="Times New Roman"/>
          <w:kern w:val="0"/>
          <w:rtl/>
          <w:lang w:bidi="ar-JO"/>
          <w14:ligatures w14:val="none"/>
        </w:rPr>
        <w:t xml:space="preserve">يُعطى نوح ، كما كان الحال مع آدم، معلومات حول كيفية التصرف في هذا "العالم الجديد".  ويقدم الله على وجه الخصوص تشريعاً متعلقاً بالقتل من أجل حماية قدسية الحياة.  وبهذا تبدأ الحكومة البشرية نظاماً جديداً يكون فيه الإنسان مسؤولاً عن ضمان العدل في ما يتعلق بقيام شخص بقتل شخص آخر.  </w:t>
      </w:r>
    </w:p>
    <w:p w14:paraId="4A6A335B"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14:ligatures w14:val="none"/>
        </w:rPr>
      </w:pPr>
      <w:r w:rsidRPr="00C011E4">
        <w:rPr>
          <w:rFonts w:eastAsia="Times New Roman"/>
          <w:kern w:val="0"/>
          <w:rtl/>
          <w:lang w:bidi="ar-JO"/>
          <w14:ligatures w14:val="none"/>
        </w:rPr>
        <w:t>الدرس الذي نتعلمه: كان القانون البشري ضرورياً لاستقرار الحياة في المجتمع الجديد، ولا يمكن للإثم أن يمر دون عقاب كما كان يحدث من قبل.  وسيكون هذا المفهوم أساسياً في أهميته لأمة إسرائيل الجديدة تحت شريعة سيناء.</w:t>
      </w:r>
    </w:p>
    <w:p w14:paraId="67410518"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C011E4">
        <w:rPr>
          <w:rFonts w:eastAsia="Times New Roman"/>
          <w:kern w:val="0"/>
          <w:rtl/>
          <w:lang w:bidi="ar-JO"/>
          <w14:ligatures w14:val="none"/>
        </w:rPr>
        <w:t>3)</w:t>
      </w:r>
      <w:r w:rsidRPr="00C011E4">
        <w:rPr>
          <w:rFonts w:eastAsia="Times New Roman"/>
          <w:kern w:val="0"/>
          <w:rtl/>
          <w:lang w:bidi="ar-JO"/>
          <w14:ligatures w14:val="none"/>
        </w:rPr>
        <w:tab/>
        <w:t>عهد الله مع نوح (9: 8 – 17)</w:t>
      </w:r>
    </w:p>
    <w:p w14:paraId="446D5E28"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C011E4">
        <w:rPr>
          <w:rFonts w:eastAsia="Times New Roman"/>
          <w:kern w:val="0"/>
          <w:rtl/>
          <w:lang w:bidi="ar-JO"/>
          <w14:ligatures w14:val="none"/>
        </w:rPr>
        <w:t>الالتزام الذي أخذه الله على عاتقهِ بأنه لن يفني العالم بالطوفان فيما بعد، يتم الاحتفال به بعهد قُصِدَ به الاستقرار في الطبيعة.  علامة هذا العهد هي قوس قزح، هي تذكير أبدي بأن الله سوف يحفظ وعد النعمة هذا دائماً مع الجنس البشري.  نطاق حفظ العهد وحفظ الوعد هذا سوف يكون ذا دلالة خاصة لإسرائيل الخارجة من مصر.  يحافظ الله دائماً على دوره في عهده!</w:t>
      </w:r>
    </w:p>
    <w:p w14:paraId="32C208B6"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p>
    <w:p w14:paraId="58D50256"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14:ligatures w14:val="none"/>
        </w:rPr>
      </w:pPr>
      <w:r w:rsidRPr="00C011E4">
        <w:rPr>
          <w:rFonts w:eastAsia="Times New Roman"/>
          <w:kern w:val="0"/>
          <w:rtl/>
          <w:lang w:bidi="ar-JO"/>
          <w14:ligatures w14:val="none"/>
        </w:rPr>
        <w:t>ب.</w:t>
      </w:r>
      <w:r w:rsidRPr="00C011E4">
        <w:rPr>
          <w:rFonts w:eastAsia="Times New Roman"/>
          <w:kern w:val="0"/>
          <w:rtl/>
          <w:lang w:bidi="ar-JO"/>
          <w14:ligatures w14:val="none"/>
        </w:rPr>
        <w:tab/>
        <w:t xml:space="preserve">إعلان نوح النبوي (9: </w:t>
      </w:r>
      <w:r w:rsidRPr="00C011E4">
        <w:rPr>
          <w:rFonts w:eastAsia="Times New Roman"/>
          <w:kern w:val="0"/>
          <w:rtl/>
          <w14:ligatures w14:val="none"/>
        </w:rPr>
        <w:t>1</w:t>
      </w:r>
      <w:r w:rsidRPr="00C011E4">
        <w:rPr>
          <w:rFonts w:eastAsia="Times New Roman"/>
          <w:kern w:val="0"/>
          <w:rtl/>
          <w:lang w:bidi="ar-JO"/>
          <w14:ligatures w14:val="none"/>
        </w:rPr>
        <w:t>8 - 29)</w:t>
      </w:r>
    </w:p>
    <w:p w14:paraId="7EC77D5F"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KW"/>
          <w14:ligatures w14:val="none"/>
        </w:rPr>
      </w:pPr>
      <w:r w:rsidRPr="00C011E4">
        <w:rPr>
          <w:rFonts w:eastAsia="Times New Roman"/>
          <w:kern w:val="0"/>
          <w:rtl/>
          <w:lang w:bidi="ar-JO"/>
          <w14:ligatures w14:val="none"/>
        </w:rPr>
        <w:t>نجد نوحاً في هذا المشهد في حالة سكر وعري (بالمقابلة مع عري آدم)، وهذه مأساة في ضوء فرصة بدء خليقة جديدة.  وتخص هذه القصة في واقع الأمر كنعان، فمنه انحدر الكنعانيون.</w:t>
      </w:r>
      <w:r w:rsidRPr="00C011E4">
        <w:rPr>
          <w:rFonts w:eastAsia="Times New Roman"/>
          <w:kern w:val="0"/>
          <w:vertAlign w:val="superscript"/>
          <w:rtl/>
          <w:lang w:bidi="ar-KW"/>
          <w14:ligatures w14:val="none"/>
        </w:rPr>
        <w:footnoteReference w:customMarkFollows="1" w:id="35"/>
        <w:t>6</w:t>
      </w:r>
    </w:p>
    <w:p w14:paraId="4621A770"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011E4">
        <w:rPr>
          <w:rFonts w:eastAsia="Times New Roman"/>
          <w:kern w:val="0"/>
          <w:rtl/>
          <w:lang w:bidi="ar-JO"/>
          <w14:ligatures w14:val="none"/>
        </w:rPr>
        <w:lastRenderedPageBreak/>
        <w:t>لم تتضمن ف</w:t>
      </w:r>
      <w:r w:rsidRPr="00C011E4">
        <w:rPr>
          <w:rFonts w:eastAsia="Times New Roman"/>
          <w:kern w:val="0"/>
          <w:rtl/>
          <w14:ligatures w14:val="none"/>
        </w:rPr>
        <w:t>ِ</w:t>
      </w:r>
      <w:r w:rsidRPr="00C011E4">
        <w:rPr>
          <w:rFonts w:eastAsia="Times New Roman"/>
          <w:kern w:val="0"/>
          <w:rtl/>
          <w:lang w:bidi="ar-JO"/>
          <w14:ligatures w14:val="none"/>
        </w:rPr>
        <w:t>علة حام على الأرجح أكثر من خرق للاحترام والكرامة العائليين، لكنها دمّرت قداسة العائلة وجعلت من قوة الأب مجالاً للهزء.</w:t>
      </w:r>
    </w:p>
    <w:p w14:paraId="14214C55"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011E4">
        <w:rPr>
          <w:rFonts w:eastAsia="Times New Roman"/>
          <w:kern w:val="0"/>
          <w:rtl/>
          <w:lang w:bidi="ar-JO"/>
          <w14:ligatures w14:val="none"/>
        </w:rPr>
        <w:t>وبدلاً من أن تكون "لعنة كنعان" دينونة غير عادلة على كنعان، فإنها في واقع الأمر لعنة نبوية على الأمة التي ستنحدر من حام من خلال كنعان.  ومن الواضح أنه يفكِّر بالكنعانيين (الذين سيطردهم بنو إسرائيل لدى دخولهم "الأرض").  سيكونون شعباً منحلاً أخلاقياً ومستعبداً للسكر والخلاعة.  المواضيع الأخلاقية التي واجهها أبناء نوحٍ سيواجهها لاحقاً الذين كان عليهم مواجهة المجتمع الكنعاني اللاأخلاقي:  فإن الأشخاص الأبرار سيتصرفون بتواضع ونزاهة في وجه الفساد غير الأخلاقي! وإن لم يفعلوا ذلك، فإنهم سيدويون في مجتمع يفتقر إلى الاحترام الأخلاقي.</w:t>
      </w:r>
    </w:p>
    <w:p w14:paraId="5C7A07C8"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C011E4">
        <w:rPr>
          <w:rFonts w:eastAsia="Times New Roman"/>
          <w:kern w:val="0"/>
          <w:rtl/>
          <w:lang w:bidi="ar-JO"/>
          <w14:ligatures w14:val="none"/>
        </w:rPr>
        <w:t>وهكذا يُقصد بهذا الإعلان النبوي عن لعنة كنعان أن يعُد إسرائيل لكي ترث "الأرض"، واضعاً بذلك أساساً لسياسة إسرائيل الخارجية.  ولا بد أن يُطرد الكنعانيون من مكانهم تمهيداً لتوسع إسرائيل والحصول على البركات.</w:t>
      </w:r>
    </w:p>
    <w:p w14:paraId="5089789E"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p>
    <w:p w14:paraId="44E533FE" w14:textId="77777777" w:rsidR="00E84DB1" w:rsidRPr="00C011E4" w:rsidRDefault="00E84DB1" w:rsidP="00C7130A">
      <w:pPr>
        <w:tabs>
          <w:tab w:val="left" w:pos="454"/>
        </w:tabs>
        <w:spacing w:after="60"/>
        <w:ind w:left="550" w:hanging="550"/>
        <w:jc w:val="both"/>
        <w:rPr>
          <w:rFonts w:eastAsia="Times New Roman"/>
          <w:bCs/>
          <w:kern w:val="0"/>
          <w:rtl/>
          <w14:ligatures w14:val="none"/>
        </w:rPr>
      </w:pPr>
      <w:r w:rsidRPr="00C011E4">
        <w:rPr>
          <w:rFonts w:eastAsia="Times New Roman"/>
          <w:bCs/>
          <w:kern w:val="0"/>
          <w:rtl/>
          <w14:ligatures w14:val="none"/>
        </w:rPr>
        <w:t>جـ.</w:t>
      </w:r>
      <w:r w:rsidRPr="00C011E4">
        <w:rPr>
          <w:rFonts w:eastAsia="Times New Roman"/>
          <w:bCs/>
          <w:kern w:val="0"/>
          <w:rtl/>
          <w14:ligatures w14:val="none"/>
        </w:rPr>
        <w:tab/>
        <w:t>إعادة سكنى الأرض لكن مع استمرار الانحلال (10: 1-11: 9)</w:t>
      </w:r>
    </w:p>
    <w:p w14:paraId="28087503" w14:textId="2A339828"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C011E4">
        <w:rPr>
          <w:rFonts w:eastAsia="Times New Roman"/>
          <w:kern w:val="0"/>
          <w:rtl/>
          <w:lang w:bidi="ar-JO"/>
          <w14:ligatures w14:val="none"/>
        </w:rPr>
        <w:t xml:space="preserve">يجيب قسم </w:t>
      </w:r>
      <w:r w:rsidRPr="00C011E4">
        <w:rPr>
          <w:rFonts w:eastAsia="Times New Roman"/>
          <w:i/>
          <w:iCs/>
          <w:kern w:val="0"/>
          <w:rtl/>
          <w:lang w:bidi="ar-JO"/>
          <w14:ligatures w14:val="none"/>
        </w:rPr>
        <w:t xml:space="preserve">توليدوت </w:t>
      </w:r>
      <w:r w:rsidRPr="00C011E4">
        <w:rPr>
          <w:rFonts w:eastAsia="Times New Roman"/>
          <w:bCs/>
          <w:i/>
          <w:iCs/>
          <w:kern w:val="0"/>
          <w:lang w:bidi="ar-JO"/>
          <w14:ligatures w14:val="none"/>
        </w:rPr>
        <w:t>tôl</w:t>
      </w:r>
      <w:r w:rsidRPr="00C011E4">
        <w:rPr>
          <w:rFonts w:ascii="Times New Roman" w:eastAsia="Times New Roman" w:hAnsi="Times New Roman" w:cs="Times New Roman"/>
          <w:bCs/>
          <w:i/>
          <w:iCs/>
          <w:kern w:val="0"/>
          <w:lang w:bidi="ar-JO"/>
          <w14:ligatures w14:val="none"/>
        </w:rPr>
        <w:t>ᵊ</w:t>
      </w:r>
      <w:r w:rsidRPr="00C011E4">
        <w:rPr>
          <w:rFonts w:eastAsia="Times New Roman"/>
          <w:bCs/>
          <w:i/>
          <w:iCs/>
          <w:kern w:val="0"/>
          <w:lang w:bidi="ar-JO"/>
          <w14:ligatures w14:val="none"/>
        </w:rPr>
        <w:t>ḏôṯ</w:t>
      </w:r>
      <w:r w:rsidRPr="00C011E4">
        <w:rPr>
          <w:rFonts w:eastAsia="Times New Roman"/>
          <w:i/>
          <w:iCs/>
          <w:kern w:val="0"/>
          <w:rtl/>
          <w:lang w:bidi="ar-JO"/>
          <w14:ligatures w14:val="none"/>
        </w:rPr>
        <w:t xml:space="preserve"> </w:t>
      </w:r>
      <w:r w:rsidRPr="00C011E4">
        <w:rPr>
          <w:rFonts w:eastAsia="Times New Roman"/>
          <w:kern w:val="0"/>
          <w:rtl/>
          <w:lang w:bidi="ar-JO"/>
          <w14:ligatures w14:val="none"/>
        </w:rPr>
        <w:t xml:space="preserve">هذا عن السؤال المتعلق بما حدث لأبناء نوح.  لقد أثمروا وتكاثروا، لكنهم لم يطيعوا الله.  بل على النقيض من ذلك، تحرّكوا تجاه التدهور والانحطاط، مثلهم في ذلك مثل نسل آدم.  غير أن تتبُّعنا لحياتهم يظهرهم مختلفين عن نسل </w:t>
      </w:r>
      <w:r w:rsidR="00626E99" w:rsidRPr="00C011E4">
        <w:rPr>
          <w:rFonts w:eastAsia="Times New Roman" w:hint="cs"/>
          <w:kern w:val="0"/>
          <w:rtl/>
          <w:lang w:bidi="ar-JO"/>
          <w14:ligatures w14:val="none"/>
        </w:rPr>
        <w:t>آدم،</w:t>
      </w:r>
      <w:r w:rsidRPr="00C011E4">
        <w:rPr>
          <w:rFonts w:eastAsia="Times New Roman"/>
          <w:kern w:val="0"/>
          <w:rtl/>
          <w:lang w:bidi="ar-JO"/>
          <w14:ligatures w14:val="none"/>
        </w:rPr>
        <w:t xml:space="preserve"> حيث لا نجد في حياتهم شعاعاً من أمل.</w:t>
      </w:r>
    </w:p>
    <w:p w14:paraId="677DB07B"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C011E4">
        <w:rPr>
          <w:rFonts w:eastAsia="Times New Roman"/>
          <w:kern w:val="0"/>
          <w:rtl/>
          <w:lang w:bidi="ar-JO"/>
          <w14:ligatures w14:val="none"/>
        </w:rPr>
        <w:t>لكي نفهم هذا القسم، علينا أن ندرك أن 11: 1-9 تسبق 10: 1-32 زمنياً.  نجد أولاً صورة للأمم المشتتة بلا أمل على وجه الأرض في تمرّد وفوضى، تحارب إحداها الأخرى والله أيضاً.  وعندما نسأل كيف حدث هذا، يأتي الجواب من خلال قصة برج بابل في 11: 1-9.</w:t>
      </w:r>
    </w:p>
    <w:p w14:paraId="5BE847F5"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C011E4">
        <w:rPr>
          <w:rFonts w:eastAsia="Times New Roman"/>
          <w:kern w:val="0"/>
          <w:rtl/>
          <w:lang w:bidi="ar-JO"/>
          <w14:ligatures w14:val="none"/>
        </w:rPr>
        <w:t>الصورة قاتمة! فإلى أين يتجه الإنسان؟  فإذا تُرك لنفسه، فهو لا يكف عن الانحطاط والتمرُّد على خالقه.  وما هو طريق البركة إذاً؟ يعدّنا هذا القسم إلى البرنامج الإلهي في تكوين 12 والعهد مع إبراهيم.  سيختار الله رجلاً من هذه الكتلة المتفرّقة من الشعوب ويبدأ ببناء أمته كقناة يبارك العالم من خلالها.  وهذا القسم هو محور السفر كله، وهو يعدّنا لفترة الآباء والأحداث المرتبطة بهم.</w:t>
      </w:r>
    </w:p>
    <w:p w14:paraId="791D63B5"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011E4">
        <w:rPr>
          <w:rFonts w:eastAsia="Times New Roman"/>
          <w:kern w:val="0"/>
          <w:rtl/>
          <w:lang w:bidi="ar-JO"/>
          <w14:ligatures w14:val="none"/>
        </w:rPr>
        <w:t>1.</w:t>
      </w:r>
      <w:r w:rsidRPr="00C011E4">
        <w:rPr>
          <w:rFonts w:eastAsia="Times New Roman"/>
          <w:kern w:val="0"/>
          <w:rtl/>
          <w:lang w:bidi="ar-JO"/>
          <w14:ligatures w14:val="none"/>
        </w:rPr>
        <w:tab/>
        <w:t>إعادة سُكنى الأرض وتشكُّل الشعوب (10: 1-32)</w:t>
      </w:r>
    </w:p>
    <w:p w14:paraId="7787118F" w14:textId="1860F38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C011E4">
        <w:rPr>
          <w:rFonts w:eastAsia="Times New Roman"/>
          <w:kern w:val="0"/>
          <w:rtl/>
          <w:lang w:bidi="ar-JO"/>
          <w14:ligatures w14:val="none"/>
        </w:rPr>
        <w:t xml:space="preserve">يؤكد هذا القسم على تطور الشعوب ذات الأهمية الرئيسية لأمة </w:t>
      </w:r>
      <w:r w:rsidRPr="00C011E4">
        <w:rPr>
          <w:rFonts w:eastAsia="Times New Roman"/>
          <w:kern w:val="0"/>
          <w:u w:val="single"/>
          <w:rtl/>
          <w:lang w:bidi="ar-JO"/>
          <w14:ligatures w14:val="none"/>
        </w:rPr>
        <w:t>إسرائيل</w:t>
      </w:r>
      <w:r w:rsidRPr="00C011E4">
        <w:rPr>
          <w:rFonts w:eastAsia="Times New Roman"/>
          <w:kern w:val="0"/>
          <w:rtl/>
          <w:lang w:bidi="ar-JO"/>
          <w14:ligatures w14:val="none"/>
        </w:rPr>
        <w:t xml:space="preserve"> ضمن التركيب الكلي لقائمتها أو جدولها.</w:t>
      </w:r>
      <w:r w:rsidRPr="00C011E4">
        <w:rPr>
          <w:rFonts w:eastAsia="Times New Roman"/>
          <w:kern w:val="0"/>
          <w:vertAlign w:val="superscript"/>
          <w:rtl/>
          <w:lang w:bidi="ar-JO"/>
          <w14:ligatures w14:val="none"/>
        </w:rPr>
        <w:footnoteReference w:customMarkFollows="1" w:id="36"/>
        <w:t>7</w:t>
      </w:r>
      <w:r w:rsidRPr="00C011E4">
        <w:rPr>
          <w:rFonts w:eastAsia="Times New Roman"/>
          <w:kern w:val="0"/>
          <w:rtl/>
          <w:lang w:bidi="ar-JO"/>
          <w14:ligatures w14:val="none"/>
        </w:rPr>
        <w:t xml:space="preserve"> واهتمام الكاتب مرتبطٌ جداً برسالة السفر، خاصة وهو منشغل بأمر الكنعانيين في أرض الموعد.  </w:t>
      </w:r>
      <w:r w:rsidRPr="00C011E4">
        <w:rPr>
          <w:rFonts w:eastAsia="Times New Roman"/>
          <w:kern w:val="0"/>
          <w:rtl/>
          <w:lang w:bidi="ar-JO"/>
          <w14:ligatures w14:val="none"/>
        </w:rPr>
        <w:lastRenderedPageBreak/>
        <w:t>يرتبط جدول الأمم إذاً بتحقيق وعد الله بمباركته إسرائيل كأمة في الأرض، ومباركته الأمم التي تباركها، ولعنِه الأمم المعادية لها.  ويُذكَر سام أخيراً حيث إن معظم العهد القديم مرتبط بنسل سام – الذي يأتي من نسله إبراهيم الذي سيقطع الله عهده معه ليبارك الجنس البشري.</w:t>
      </w:r>
    </w:p>
    <w:p w14:paraId="13B99011"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C011E4">
        <w:rPr>
          <w:rFonts w:eastAsia="Times New Roman"/>
          <w:kern w:val="0"/>
          <w:rtl/>
          <w:lang w:bidi="ar-JO"/>
          <w14:ligatures w14:val="none"/>
        </w:rPr>
        <w:t>2.</w:t>
      </w:r>
      <w:r w:rsidRPr="00C011E4">
        <w:rPr>
          <w:rFonts w:eastAsia="Times New Roman"/>
          <w:kern w:val="0"/>
          <w:rtl/>
          <w:lang w:bidi="ar-JO"/>
          <w14:ligatures w14:val="none"/>
        </w:rPr>
        <w:tab/>
        <w:t>تشتت الأمم (11: 1-9)</w:t>
      </w:r>
    </w:p>
    <w:p w14:paraId="50D88C0E"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C011E4">
        <w:rPr>
          <w:rFonts w:eastAsia="Times New Roman"/>
          <w:kern w:val="0"/>
          <w:rtl/>
          <w:lang w:bidi="ar-JO"/>
          <w14:ligatures w14:val="none"/>
        </w:rPr>
        <w:t>تشرح هذه الفقرة كيف أن الشعوب تتكلم لغات مختلفة رغم أصلها المشترك، وكيف انتشرت خارج المنطقة.</w:t>
      </w:r>
      <w:r w:rsidRPr="00C011E4">
        <w:rPr>
          <w:rFonts w:eastAsia="Times New Roman"/>
          <w:kern w:val="0"/>
          <w:vertAlign w:val="superscript"/>
          <w:rtl/>
          <w:lang w:bidi="ar-JO"/>
          <w14:ligatures w14:val="none"/>
        </w:rPr>
        <w:footnoteReference w:customMarkFollows="1" w:id="37"/>
        <w:t>8</w:t>
      </w:r>
      <w:r w:rsidRPr="00C011E4">
        <w:rPr>
          <w:rFonts w:eastAsia="Times New Roman"/>
          <w:kern w:val="0"/>
          <w:rtl/>
          <w:lang w:bidi="ar-JO"/>
          <w14:ligatures w14:val="none"/>
        </w:rPr>
        <w:t xml:space="preserve"> ويركز هذا الأمر على التمرد على تعليمات الله.</w:t>
      </w:r>
    </w:p>
    <w:p w14:paraId="1E81D18D"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C011E4">
        <w:rPr>
          <w:rFonts w:eastAsia="Times New Roman"/>
          <w:kern w:val="0"/>
          <w:rtl/>
          <w:lang w:bidi="ar-JO"/>
          <w14:ligatures w14:val="none"/>
        </w:rPr>
        <w:t>أ.</w:t>
      </w:r>
      <w:r w:rsidRPr="00C011E4">
        <w:rPr>
          <w:rFonts w:eastAsia="Times New Roman"/>
          <w:kern w:val="0"/>
          <w:rtl/>
          <w:lang w:bidi="ar-JO"/>
          <w14:ligatures w14:val="none"/>
        </w:rPr>
        <w:tab/>
        <w:t xml:space="preserve">الخطية </w:t>
      </w:r>
    </w:p>
    <w:p w14:paraId="7550C73D"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C011E4">
        <w:rPr>
          <w:rFonts w:eastAsia="Times New Roman"/>
          <w:kern w:val="0"/>
          <w:rtl/>
          <w:lang w:bidi="ar-JO"/>
          <w14:ligatures w14:val="none"/>
        </w:rPr>
        <w:t>كان الهدف الإلهي في 9: 1 هو أن ينتشروا في الأرض ويحققوا قصد الله الأصلي.  لكننا نجد هنا الجنس البشري يتجمع هنا لكي ي</w:t>
      </w:r>
      <w:r w:rsidRPr="00C011E4">
        <w:rPr>
          <w:rFonts w:eastAsia="Times New Roman"/>
          <w:kern w:val="0"/>
          <w:u w:val="single"/>
          <w:rtl/>
          <w:lang w:bidi="ar-JO"/>
          <w14:ligatures w14:val="none"/>
        </w:rPr>
        <w:t>تحد</w:t>
      </w:r>
      <w:r w:rsidRPr="00C011E4">
        <w:rPr>
          <w:rFonts w:eastAsia="Times New Roman"/>
          <w:kern w:val="0"/>
          <w:rtl/>
          <w:lang w:bidi="ar-JO"/>
          <w14:ligatures w14:val="none"/>
        </w:rPr>
        <w:t>.  لم تكن المشكلة هي بناء مدينة، بل السعي إلى الوحدة والأمان والخلود الاجتماعي ("نصنع لأنفسنا اسماً") تحدياً لرغبة الله لهم في أن يملأوا الأرض ثانية.  وهكذا تُظهر الخطية نفسها في كبرياء متغطرسة تنعكس في تمردهم الصريح ضد الله واستقلالهم عنه.  إذ يريدون أن يصنعوا "اسماً" (سمعة) خاصاً بهم.</w:t>
      </w:r>
    </w:p>
    <w:p w14:paraId="36F87821"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C011E4">
        <w:rPr>
          <w:rFonts w:eastAsia="Times New Roman"/>
          <w:kern w:val="0"/>
          <w:rtl/>
          <w:lang w:bidi="ar-JO"/>
          <w14:ligatures w14:val="none"/>
        </w:rPr>
        <w:t>ب.</w:t>
      </w:r>
      <w:r w:rsidRPr="00C011E4">
        <w:rPr>
          <w:rFonts w:eastAsia="Times New Roman"/>
          <w:kern w:val="0"/>
          <w:rtl/>
          <w:lang w:bidi="ar-JO"/>
          <w14:ligatures w14:val="none"/>
        </w:rPr>
        <w:tab/>
        <w:t>العقاب الإلهي</w:t>
      </w:r>
    </w:p>
    <w:p w14:paraId="75256553"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C011E4">
        <w:rPr>
          <w:rFonts w:eastAsia="Times New Roman"/>
          <w:kern w:val="0"/>
          <w:rtl/>
          <w:lang w:bidi="ar-JO"/>
          <w14:ligatures w14:val="none"/>
        </w:rPr>
        <w:t>يتركز العقاب على اللغة التي كانت توحِّد الناس، لا على المدينة في حد ذاتها.  والعدد الهائل من اللغات التي تشكل حواجز بين الشعوب شاهد على الخطية.</w:t>
      </w:r>
    </w:p>
    <w:p w14:paraId="36AD0B1A"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C011E4">
        <w:rPr>
          <w:rFonts w:eastAsia="Times New Roman"/>
          <w:kern w:val="0"/>
          <w:rtl/>
          <w:lang w:bidi="ar-JO"/>
          <w14:ligatures w14:val="none"/>
        </w:rPr>
        <w:t>جـ.</w:t>
      </w:r>
      <w:r w:rsidRPr="00C011E4">
        <w:rPr>
          <w:rFonts w:eastAsia="Times New Roman"/>
          <w:kern w:val="0"/>
          <w:rtl/>
          <w:lang w:bidi="ar-JO"/>
          <w14:ligatures w14:val="none"/>
        </w:rPr>
        <w:tab/>
        <w:t xml:space="preserve">منع الله لمحاولاتهم </w:t>
      </w:r>
    </w:p>
    <w:p w14:paraId="278FB84B"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14:ligatures w14:val="none"/>
        </w:rPr>
      </w:pPr>
      <w:r w:rsidRPr="00C011E4">
        <w:rPr>
          <w:rFonts w:eastAsia="Times New Roman"/>
          <w:kern w:val="0"/>
          <w:rtl/>
          <w:lang w:bidi="ar-JO"/>
          <w14:ligatures w14:val="none"/>
        </w:rPr>
        <w:t>يرى الله أن في محاولتهم صنع اسم (سمعة) لأنفسهم وتحقيق وحدة بينهم إمكانية عظيمة للشر.  فوحدتهم غير مؤسسة على التقوى والإيمان، لكنها محاولة تتسم بالتحدي لتكوين سمعة لأنفسهم بعيداً عن الخالق.  ويعرف الله أن ارتداد الروح الإنسانية لن يؤدي إلاّ إلى أعظم شر (لنتذكر 6: 1-8) وأسوأ حال ممكن للجنس البشري.  وهكذا يقوم الله بإفشال قدرتهم على التخاطب والتفاهم (مجبراً إياهم على الانفصال)، ويوضح أن إقامة الدول المتعددة هي إرادته ما دامت الخطية تسكن العالم.</w:t>
      </w:r>
    </w:p>
    <w:p w14:paraId="4F9DD289" w14:textId="77777777" w:rsidR="00E84DB1" w:rsidRPr="00C011E4" w:rsidRDefault="00E84DB1" w:rsidP="00C7130A">
      <w:pPr>
        <w:tabs>
          <w:tab w:val="left" w:pos="454"/>
        </w:tabs>
        <w:spacing w:after="60"/>
        <w:ind w:left="550" w:hanging="550"/>
        <w:jc w:val="both"/>
        <w:rPr>
          <w:rFonts w:eastAsia="Times New Roman"/>
          <w:bCs/>
          <w:kern w:val="0"/>
          <w:rtl/>
          <w14:ligatures w14:val="none"/>
        </w:rPr>
      </w:pPr>
      <w:r w:rsidRPr="00C011E4">
        <w:rPr>
          <w:rFonts w:eastAsia="Times New Roman"/>
          <w:bCs/>
          <w:kern w:val="0"/>
          <w:rtl/>
          <w14:ligatures w14:val="none"/>
        </w:rPr>
        <w:t>د.</w:t>
      </w:r>
      <w:r w:rsidRPr="00C011E4">
        <w:rPr>
          <w:rFonts w:eastAsia="Times New Roman"/>
          <w:bCs/>
          <w:kern w:val="0"/>
          <w:rtl/>
          <w14:ligatures w14:val="none"/>
        </w:rPr>
        <w:tab/>
        <w:t>تتبُّع عهد نوح عبر سام إلى إبرام (11: 10-26)</w:t>
      </w:r>
    </w:p>
    <w:p w14:paraId="74A2C1EF" w14:textId="77777777" w:rsidR="00E84DB1" w:rsidRPr="00C011E4" w:rsidRDefault="00E84DB1"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C011E4">
        <w:rPr>
          <w:rFonts w:eastAsia="Times New Roman"/>
          <w:kern w:val="0"/>
          <w:rtl/>
          <w:lang w:bidi="ar-JO"/>
          <w14:ligatures w14:val="none"/>
        </w:rPr>
        <w:t xml:space="preserve">هذا القسم هو قسم انتقالي، مثله في ذلك مثل 5: 1-6: 8.  وهو قسم إعدادي لدعوة إبراهيم من حيث عودته بنسب إبراهيم إلى سام، الابن المبارك لنوح.  ويتم تضييق الخيار من سام (الذي نال البركة) إلى أبرام، متلقّي بركات الازدهار </w:t>
      </w:r>
      <w:r w:rsidRPr="00C011E4">
        <w:rPr>
          <w:rFonts w:eastAsia="Times New Roman"/>
          <w:kern w:val="0"/>
          <w:rtl/>
          <w:lang w:bidi="ar-JO"/>
          <w14:ligatures w14:val="none"/>
        </w:rPr>
        <w:lastRenderedPageBreak/>
        <w:t>والنجاح والذرية.  إذ لم يترك الله العالم لسكان منقسمين تحت اللعنة بلا رجاء.  لنلاحظ أن هنالك عشرة أجيال من سام إلى أبرام.  ولنلاحظ أيضاً غياب عبارة "ومات".  فلم يعد التنبير على الموت، بل على الحياة والتوسع.</w:t>
      </w:r>
    </w:p>
    <w:p w14:paraId="22F6EACF" w14:textId="77777777" w:rsidR="00E84DB1" w:rsidRPr="00C011E4" w:rsidRDefault="00E84DB1" w:rsidP="00C7130A">
      <w:pPr>
        <w:rPr>
          <w:rFonts w:eastAsia="Times New Roman"/>
          <w:kern w:val="0"/>
          <w:rtl/>
          <w:lang w:bidi="ar-JO"/>
          <w14:ligatures w14:val="none"/>
        </w:rPr>
      </w:pPr>
      <w:r w:rsidRPr="00C011E4">
        <w:rPr>
          <w:rFonts w:eastAsia="Times New Roman"/>
          <w:kern w:val="0"/>
          <w:rtl/>
          <w14:ligatures w14:val="none"/>
        </w:rPr>
        <w:t xml:space="preserve">   </w:t>
      </w:r>
    </w:p>
    <w:p w14:paraId="759AB9C6" w14:textId="77777777" w:rsidR="00E84DB1" w:rsidRPr="00C011E4" w:rsidRDefault="00E84DB1" w:rsidP="00C7130A">
      <w:pPr>
        <w:rPr>
          <w:rFonts w:eastAsia="Times New Roman"/>
          <w:kern w:val="0"/>
          <w:rtl/>
          <w:lang w:bidi="ar-KW"/>
          <w14:ligatures w14:val="none"/>
        </w:rPr>
      </w:pPr>
    </w:p>
    <w:p w14:paraId="74395849" w14:textId="77777777" w:rsidR="00DC6264" w:rsidRPr="00C011E4" w:rsidRDefault="00DC6264" w:rsidP="00C7130A">
      <w:pPr>
        <w:tabs>
          <w:tab w:val="left" w:pos="547"/>
          <w:tab w:val="left" w:pos="1094"/>
          <w:tab w:val="left" w:pos="1642"/>
          <w:tab w:val="left" w:pos="2189"/>
          <w:tab w:val="left" w:pos="2736"/>
          <w:tab w:val="left" w:pos="3283"/>
          <w:tab w:val="left" w:pos="3830"/>
          <w:tab w:val="left" w:pos="4378"/>
        </w:tabs>
        <w:spacing w:after="120"/>
        <w:jc w:val="both"/>
        <w:rPr>
          <w:rFonts w:eastAsia="Times New Roman"/>
          <w:bCs/>
          <w:kern w:val="0"/>
          <w14:ligatures w14:val="none"/>
        </w:rPr>
      </w:pPr>
    </w:p>
    <w:p w14:paraId="59F408E2" w14:textId="77777777" w:rsidR="00CA4EB3" w:rsidRPr="00C7130A" w:rsidRDefault="00CA4EB3" w:rsidP="000558B7">
      <w:pPr>
        <w:pStyle w:val="Heading3"/>
      </w:pPr>
      <w:r w:rsidRPr="00C7130A">
        <w:br w:type="page"/>
      </w:r>
    </w:p>
    <w:p w14:paraId="38BC31AF" w14:textId="7C7D612C" w:rsidR="006311FA" w:rsidRPr="00C7130A" w:rsidRDefault="00270560" w:rsidP="000558B7">
      <w:pPr>
        <w:pStyle w:val="Heading2B"/>
      </w:pPr>
      <w:bookmarkStart w:id="103" w:name="_Toc193030942"/>
      <w:r w:rsidRPr="00C7130A">
        <w:rPr>
          <w:rtl/>
        </w:rPr>
        <w:lastRenderedPageBreak/>
        <w:t>الموضوع 3: تاريخيّة قصّة الطوفان الكتابي</w:t>
      </w:r>
      <w:bookmarkEnd w:id="103"/>
    </w:p>
    <w:bookmarkEnd w:id="94"/>
    <w:p w14:paraId="20581CED" w14:textId="4A56FA89" w:rsidR="00684F56" w:rsidRPr="00BB10C5" w:rsidRDefault="00684F56" w:rsidP="00BB10C5">
      <w:pPr>
        <w:rPr>
          <w:rtl/>
        </w:rPr>
      </w:pPr>
      <w:r w:rsidRPr="00BB10C5">
        <w:rPr>
          <w:rtl/>
        </w:rPr>
        <w:t xml:space="preserve">ينكِر معظم اللادينيّين بل وبعض المؤمنين أن الطوفان الكوني المذكور في 6: 9 – 9: 19 حدث بالوصف الوارد هناك. فهل كان هناك رجلٌ اسمه نوحٌ حقّا عاش قبل زمن إبراهيم، </w:t>
      </w:r>
      <w:r w:rsidR="00FD79D7" w:rsidRPr="00BB10C5">
        <w:rPr>
          <w:rtl/>
        </w:rPr>
        <w:t>وصنعت</w:t>
      </w:r>
      <w:r w:rsidRPr="00BB10C5">
        <w:rPr>
          <w:rtl/>
        </w:rPr>
        <w:t xml:space="preserve"> عائلته فُلكًا جُمعت فيه حيواناتٌ، تمثِّل حيوانات العالم، من أجل حمايتها من الطوفان؟ هل أٌبيدت بقية الجنس البشري من على الأرض في ذلك الوقت بفعل ذلك الطوفان الذي غطّى كلّ الأرض؟ </w:t>
      </w:r>
    </w:p>
    <w:p w14:paraId="53473FF1" w14:textId="2EDAB83C" w:rsidR="00270560" w:rsidRPr="00BB10C5" w:rsidRDefault="00684F56" w:rsidP="00BB10C5">
      <w:pPr>
        <w:rPr>
          <w:rtl/>
        </w:rPr>
      </w:pPr>
      <w:r w:rsidRPr="00BB10C5">
        <w:rPr>
          <w:rtl/>
        </w:rPr>
        <w:t>مثيرٌ للانتباه أنّ لدى ثقافاتٍ أخرى كثيرة قصّةٌ عن طوفان، وربما أشهر هذه القص</w:t>
      </w:r>
      <w:r w:rsidR="00FD79D7" w:rsidRPr="00BB10C5">
        <w:rPr>
          <w:rtl/>
        </w:rPr>
        <w:t>ص</w:t>
      </w:r>
      <w:r w:rsidRPr="00BB10C5">
        <w:rPr>
          <w:rtl/>
        </w:rPr>
        <w:t xml:space="preserve"> "ملحمة جلجامش" البابلي</w:t>
      </w:r>
      <w:r w:rsidR="00FD79D7" w:rsidRPr="00BB10C5">
        <w:rPr>
          <w:rtl/>
        </w:rPr>
        <w:t>ّ</w:t>
      </w:r>
      <w:r w:rsidRPr="00BB10C5">
        <w:rPr>
          <w:rtl/>
        </w:rPr>
        <w:t>ة. ولكنّ قصص الطوفان الموجودة عند الثقافات الأخرى تختلف في نواحٍ بارزة عن القصّة الكتابي</w:t>
      </w:r>
      <w:r w:rsidR="00FD79D7" w:rsidRPr="00BB10C5">
        <w:rPr>
          <w:rtl/>
        </w:rPr>
        <w:t>ّ</w:t>
      </w:r>
      <w:r w:rsidRPr="00BB10C5">
        <w:rPr>
          <w:rtl/>
        </w:rPr>
        <w:t>ة. ولأنّ الكتاب المُقدَّس لا يقدِّم قصّة الطوفان بوصفها "أسطورةً" أو حتى "صورة توضيحيّة"، فإنّ ما نستنتجه بشأن تاريخي</w:t>
      </w:r>
      <w:r w:rsidR="00FD79D7" w:rsidRPr="00BB10C5">
        <w:rPr>
          <w:rtl/>
        </w:rPr>
        <w:t>ّ</w:t>
      </w:r>
      <w:r w:rsidRPr="00BB10C5">
        <w:rPr>
          <w:rtl/>
        </w:rPr>
        <w:t>ة قصّة الطوفان الكتابي</w:t>
      </w:r>
      <w:r w:rsidR="003F7C90" w:rsidRPr="00BB10C5">
        <w:rPr>
          <w:rtl/>
        </w:rPr>
        <w:t>ّ</w:t>
      </w:r>
      <w:r w:rsidRPr="00BB10C5">
        <w:rPr>
          <w:rtl/>
        </w:rPr>
        <w:t>ة مهمّ. فموثوقيّة الكتاب المُقدَّس على المحك</w:t>
      </w:r>
      <w:r w:rsidR="003F7C90" w:rsidRPr="00BB10C5">
        <w:rPr>
          <w:rtl/>
        </w:rPr>
        <w:t>ّ</w:t>
      </w:r>
      <w:r w:rsidRPr="00BB10C5">
        <w:rPr>
          <w:rtl/>
        </w:rPr>
        <w:t xml:space="preserve">! </w:t>
      </w:r>
    </w:p>
    <w:p w14:paraId="2C0358C0" w14:textId="42FAA111" w:rsidR="00684F56" w:rsidRPr="00BB10C5" w:rsidRDefault="00684F56" w:rsidP="00BB10C5">
      <w:pPr>
        <w:rPr>
          <w:rtl/>
        </w:rPr>
      </w:pPr>
      <w:r w:rsidRPr="00BB10C5">
        <w:rPr>
          <w:rtl/>
        </w:rPr>
        <w:t xml:space="preserve">وفي ما يلي بعض المقالات المفيدة (في الإنجليزية) التي قد يرغب الدارس بالرجوع إليها: </w:t>
      </w:r>
    </w:p>
    <w:p w14:paraId="4A8AEF90" w14:textId="48885545" w:rsidR="009D64BF" w:rsidRPr="00C7130A" w:rsidRDefault="009D64BF">
      <w:pPr>
        <w:pStyle w:val="ListParagraph"/>
        <w:numPr>
          <w:ilvl w:val="0"/>
          <w:numId w:val="5"/>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r w:rsidRPr="00C7130A">
        <w:rPr>
          <w:rFonts w:eastAsia="Calibri"/>
          <w:kern w:val="0"/>
          <w:szCs w:val="24"/>
          <w14:ligatures w14:val="none"/>
        </w:rPr>
        <w:t xml:space="preserve">  “</w:t>
      </w:r>
      <w:hyperlink r:id="rId24" w:history="1">
        <w:r w:rsidRPr="00C7130A">
          <w:rPr>
            <w:rStyle w:val="Hyperlink"/>
            <w:rFonts w:eastAsia="Calibri"/>
            <w:kern w:val="0"/>
            <w:szCs w:val="24"/>
            <w14:ligatures w14:val="none"/>
          </w:rPr>
          <w:t>The Genesis Flood vs. Flood Legends</w:t>
        </w:r>
      </w:hyperlink>
      <w:r w:rsidRPr="00C7130A">
        <w:rPr>
          <w:rFonts w:eastAsia="Calibri"/>
          <w:kern w:val="0"/>
          <w:szCs w:val="24"/>
          <w14:ligatures w14:val="none"/>
        </w:rPr>
        <w:t>”</w:t>
      </w:r>
      <w:r w:rsidR="00711A21" w:rsidRPr="00C7130A">
        <w:rPr>
          <w:rFonts w:eastAsia="Calibri"/>
          <w:kern w:val="0"/>
          <w:szCs w:val="24"/>
          <w14:ligatures w14:val="none"/>
        </w:rPr>
        <w:t xml:space="preserve">  </w:t>
      </w:r>
      <w:r w:rsidR="00684F56" w:rsidRPr="00C7130A">
        <w:rPr>
          <w:rFonts w:eastAsia="Calibri"/>
          <w:kern w:val="0"/>
          <w:szCs w:val="24"/>
          <w:rtl/>
          <w:lang w:bidi="ar-JO"/>
          <w14:ligatures w14:val="none"/>
        </w:rPr>
        <w:t xml:space="preserve">بقلم </w:t>
      </w:r>
      <w:r w:rsidR="00711A21" w:rsidRPr="00C7130A">
        <w:rPr>
          <w:rFonts w:eastAsia="Calibri"/>
          <w:kern w:val="0"/>
          <w:szCs w:val="24"/>
          <w14:ligatures w14:val="none"/>
        </w:rPr>
        <w:t xml:space="preserve"> </w:t>
      </w:r>
      <w:hyperlink r:id="rId25" w:history="1">
        <w:r w:rsidR="00711A21" w:rsidRPr="00C7130A">
          <w:t>Troy Lacey</w:t>
        </w:r>
      </w:hyperlink>
      <w:r w:rsidR="00711A21" w:rsidRPr="00C7130A">
        <w:t> </w:t>
      </w:r>
      <w:r w:rsidR="00711A21" w:rsidRPr="00C7130A">
        <w:rPr>
          <w:rFonts w:eastAsia="Calibri"/>
          <w:kern w:val="0"/>
          <w:szCs w:val="24"/>
          <w14:ligatures w14:val="none"/>
        </w:rPr>
        <w:t>and Lee Anderson</w:t>
      </w:r>
    </w:p>
    <w:p w14:paraId="590918F1" w14:textId="4C11441E" w:rsidR="009D64BF" w:rsidRPr="00C7130A" w:rsidRDefault="009D64BF">
      <w:pPr>
        <w:pStyle w:val="ListParagraph"/>
        <w:numPr>
          <w:ilvl w:val="0"/>
          <w:numId w:val="5"/>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r w:rsidRPr="00C7130A">
        <w:rPr>
          <w:rFonts w:eastAsia="Calibri"/>
          <w:kern w:val="0"/>
          <w:szCs w:val="24"/>
          <w14:ligatures w14:val="none"/>
        </w:rPr>
        <w:t xml:space="preserve">  “</w:t>
      </w:r>
      <w:hyperlink r:id="rId26" w:history="1">
        <w:r w:rsidRPr="00C7130A">
          <w:rPr>
            <w:rStyle w:val="Hyperlink"/>
            <w:rFonts w:eastAsia="Calibri"/>
            <w:kern w:val="0"/>
            <w:szCs w:val="24"/>
            <w14:ligatures w14:val="none"/>
          </w:rPr>
          <w:t>The Background of the Gilgamesh Epic</w:t>
        </w:r>
      </w:hyperlink>
      <w:r w:rsidRPr="00C7130A">
        <w:rPr>
          <w:rFonts w:eastAsia="Calibri"/>
          <w:kern w:val="0"/>
          <w:szCs w:val="24"/>
          <w14:ligatures w14:val="none"/>
        </w:rPr>
        <w:t>”</w:t>
      </w:r>
      <w:r w:rsidR="00711A21" w:rsidRPr="00C7130A">
        <w:rPr>
          <w:rFonts w:eastAsia="Calibri"/>
          <w:kern w:val="0"/>
          <w:szCs w:val="24"/>
          <w14:ligatures w14:val="none"/>
        </w:rPr>
        <w:t xml:space="preserve"> </w:t>
      </w:r>
      <w:r w:rsidR="00684F56" w:rsidRPr="00C7130A">
        <w:rPr>
          <w:rFonts w:eastAsia="Calibri"/>
          <w:kern w:val="0"/>
          <w:szCs w:val="24"/>
          <w:rtl/>
          <w:lang w:bidi="ar-JO"/>
          <w14:ligatures w14:val="none"/>
        </w:rPr>
        <w:t xml:space="preserve">بقلم </w:t>
      </w:r>
      <w:r w:rsidR="00684F56" w:rsidRPr="00C7130A">
        <w:rPr>
          <w:rFonts w:eastAsia="Calibri"/>
          <w:kern w:val="0"/>
          <w:szCs w:val="24"/>
          <w14:ligatures w14:val="none"/>
        </w:rPr>
        <w:t xml:space="preserve"> </w:t>
      </w:r>
      <w:r w:rsidR="00711A21" w:rsidRPr="00C7130A">
        <w:rPr>
          <w:rFonts w:eastAsia="Calibri"/>
          <w:kern w:val="0"/>
          <w:szCs w:val="24"/>
          <w14:ligatures w14:val="none"/>
        </w:rPr>
        <w:t xml:space="preserve"> </w:t>
      </w:r>
      <w:hyperlink r:id="rId27" w:history="1">
        <w:r w:rsidR="00711A21" w:rsidRPr="00C7130A">
          <w:t>Nozomi Osanai</w:t>
        </w:r>
      </w:hyperlink>
    </w:p>
    <w:p w14:paraId="5D6046EB" w14:textId="38CF9A41" w:rsidR="009D64BF" w:rsidRPr="00C7130A" w:rsidRDefault="009D64BF">
      <w:pPr>
        <w:pStyle w:val="ListParagraph"/>
        <w:numPr>
          <w:ilvl w:val="0"/>
          <w:numId w:val="5"/>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r w:rsidRPr="00C7130A">
        <w:rPr>
          <w:rFonts w:eastAsia="Calibri"/>
          <w:kern w:val="0"/>
          <w:szCs w:val="24"/>
          <w14:ligatures w14:val="none"/>
        </w:rPr>
        <w:t xml:space="preserve">  “</w:t>
      </w:r>
      <w:hyperlink r:id="rId28" w:history="1">
        <w:r w:rsidRPr="00C7130A">
          <w:rPr>
            <w:rStyle w:val="Hyperlink"/>
            <w:rFonts w:eastAsia="Calibri"/>
            <w:kern w:val="0"/>
            <w:szCs w:val="24"/>
            <w14:ligatures w14:val="none"/>
          </w:rPr>
          <w:t>What Are Some of the Best Flood Evidences?</w:t>
        </w:r>
      </w:hyperlink>
      <w:r w:rsidRPr="00C7130A">
        <w:rPr>
          <w:rFonts w:eastAsia="Calibri"/>
          <w:kern w:val="0"/>
          <w:szCs w:val="24"/>
          <w14:ligatures w14:val="none"/>
        </w:rPr>
        <w:t xml:space="preserve">” </w:t>
      </w:r>
      <w:r w:rsidR="00684F56" w:rsidRPr="00C7130A">
        <w:rPr>
          <w:rFonts w:eastAsia="Calibri"/>
          <w:kern w:val="0"/>
          <w:szCs w:val="24"/>
          <w:rtl/>
          <w:lang w:bidi="ar-JO"/>
          <w14:ligatures w14:val="none"/>
        </w:rPr>
        <w:t xml:space="preserve">بقلم </w:t>
      </w:r>
      <w:r w:rsidR="00684F56" w:rsidRPr="00C7130A">
        <w:rPr>
          <w:rFonts w:eastAsia="Calibri"/>
          <w:kern w:val="0"/>
          <w:szCs w:val="24"/>
          <w14:ligatures w14:val="none"/>
        </w:rPr>
        <w:t xml:space="preserve"> </w:t>
      </w:r>
      <w:r w:rsidRPr="00C7130A">
        <w:rPr>
          <w:rFonts w:eastAsia="Calibri"/>
          <w:kern w:val="0"/>
          <w:szCs w:val="24"/>
          <w14:ligatures w14:val="none"/>
        </w:rPr>
        <w:t xml:space="preserve"> Dr. Andrew Snelling</w:t>
      </w:r>
    </w:p>
    <w:p w14:paraId="2040B5F2" w14:textId="77777777" w:rsidR="001D3BE8" w:rsidRPr="00C7130A" w:rsidRDefault="001D3BE8"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p>
    <w:p w14:paraId="75FF6DEE" w14:textId="39B36FDD" w:rsidR="00A86DD2" w:rsidRPr="00BB10C5" w:rsidRDefault="00A86DD2"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lang w:bidi="ar-JO"/>
          <w14:ligatures w14:val="none"/>
        </w:rPr>
      </w:pPr>
      <w:r w:rsidRPr="00BB10C5">
        <w:rPr>
          <w:rFonts w:eastAsia="Calibri"/>
          <w:kern w:val="0"/>
          <w:rtl/>
          <w14:ligatures w14:val="none"/>
        </w:rPr>
        <w:t>المقال التالي، "فيضٌ من الأدلة" (</w:t>
      </w:r>
      <w:r w:rsidRPr="00BB10C5">
        <w:rPr>
          <w:rFonts w:eastAsia="Calibri"/>
          <w:kern w:val="0"/>
          <w14:ligatures w14:val="none"/>
        </w:rPr>
        <w:t>A Flood of Evidence</w:t>
      </w:r>
      <w:r w:rsidRPr="00BB10C5">
        <w:rPr>
          <w:rFonts w:eastAsia="Calibri"/>
          <w:kern w:val="0"/>
          <w:rtl/>
          <w14:ligatures w14:val="none"/>
        </w:rPr>
        <w:t>)، كتبه الدكتور تيم تشافي (</w:t>
      </w:r>
      <w:r w:rsidRPr="00BB10C5">
        <w:rPr>
          <w:rFonts w:eastAsia="Calibri"/>
          <w:kern w:val="0"/>
          <w14:ligatures w14:val="none"/>
        </w:rPr>
        <w:t>Tim Chaffey</w:t>
      </w:r>
      <w:r w:rsidRPr="00BB10C5">
        <w:rPr>
          <w:rFonts w:eastAsia="Calibri"/>
          <w:kern w:val="0"/>
          <w:rtl/>
          <w14:ligatures w14:val="none"/>
        </w:rPr>
        <w:t xml:space="preserve">)، وظهر في مجلة </w:t>
      </w:r>
      <w:r w:rsidRPr="00BB10C5">
        <w:rPr>
          <w:rFonts w:eastAsia="Calibri"/>
          <w:i/>
          <w:iCs/>
          <w:kern w:val="0"/>
          <w14:ligatures w14:val="none"/>
        </w:rPr>
        <w:t>Answers Magazine</w:t>
      </w:r>
      <w:r w:rsidRPr="00BB10C5">
        <w:rPr>
          <w:rFonts w:eastAsia="Calibri"/>
          <w:kern w:val="0"/>
          <w:rtl/>
          <w:lang w:bidi="ar-JO"/>
          <w14:ligatures w14:val="none"/>
        </w:rPr>
        <w:t xml:space="preserve"> في 20 تموز/ يوليو، 2023.</w:t>
      </w:r>
    </w:p>
    <w:p w14:paraId="0E085CF2" w14:textId="77777777" w:rsidR="001D1D85" w:rsidRPr="00BB10C5" w:rsidRDefault="001D1D85" w:rsidP="00C7130A">
      <w:pPr>
        <w:pStyle w:val="Heading4RED"/>
        <w:rPr>
          <w:rFonts w:cs="Arabic Typesetting"/>
          <w:sz w:val="36"/>
          <w:szCs w:val="36"/>
        </w:rPr>
      </w:pPr>
    </w:p>
    <w:p w14:paraId="69CBCE5D" w14:textId="3F5098D2" w:rsidR="00711A21" w:rsidRPr="0068764A" w:rsidRDefault="001D1D85" w:rsidP="000558B7">
      <w:pPr>
        <w:pStyle w:val="Heading3"/>
      </w:pPr>
      <w:bookmarkStart w:id="104" w:name="_Toc193030943"/>
      <w:r w:rsidRPr="0068764A">
        <w:rPr>
          <w:rtl/>
          <w:lang w:bidi="ar-JO"/>
        </w:rPr>
        <w:t>مُقدِّمة</w:t>
      </w:r>
      <w:bookmarkEnd w:id="104"/>
    </w:p>
    <w:p w14:paraId="405E5F68" w14:textId="5F264D54" w:rsidR="009D0E18" w:rsidRPr="00BB10C5" w:rsidRDefault="009D0E18" w:rsidP="00C7130A">
      <w:pPr>
        <w:rPr>
          <w:kern w:val="0"/>
          <w:rtl/>
        </w:rPr>
      </w:pPr>
      <w:r w:rsidRPr="00BB10C5">
        <w:rPr>
          <w:kern w:val="0"/>
          <w:rtl/>
        </w:rPr>
        <w:t xml:space="preserve">الأدلّة على الطوفان موجودة في مكان، إن لم تكن افتراضاتك تعميك عن رؤيتها. قد يعترض أحدهم قائلاً: "ليس من دليل على أنّ طوفانًا عالميًّا قد حدث!" </w:t>
      </w:r>
    </w:p>
    <w:p w14:paraId="42CC1DA6" w14:textId="7FC6EFBE" w:rsidR="001D1D85" w:rsidRPr="00BB10C5" w:rsidRDefault="009D0E18" w:rsidP="00C7130A">
      <w:pPr>
        <w:rPr>
          <w:kern w:val="0"/>
          <w:rtl/>
          <w:lang w:bidi="ar-JO"/>
        </w:rPr>
      </w:pPr>
      <w:r w:rsidRPr="00BB10C5">
        <w:rPr>
          <w:kern w:val="0"/>
          <w:rtl/>
        </w:rPr>
        <w:t>هل حدث أن سمعتَ هذا الاعتراض حين كنتَ تحاول أن تشارك إيمانك مع آخرين؟ يؤمن المُشكِّكون أن هذا الادّعاء يُظهِر بطلان</w:t>
      </w:r>
      <w:r w:rsidRPr="00BB10C5">
        <w:rPr>
          <w:kern w:val="0"/>
          <w:rtl/>
          <w:lang w:bidi="ar-JO"/>
        </w:rPr>
        <w:t xml:space="preserve"> الكتاب المُقدَّس والمسيحيّة. فإنْ كُنّا لا نستطيع أن نثق ببداية الكتاب المُقدَّس، فلماذا ينبغي أن نؤمن ببقيّته؟ </w:t>
      </w:r>
    </w:p>
    <w:p w14:paraId="2AE87BE8" w14:textId="5EB7A0E6" w:rsidR="001D1D85" w:rsidRPr="00BB10C5" w:rsidRDefault="009D0E18" w:rsidP="00C7130A">
      <w:pPr>
        <w:rPr>
          <w:kern w:val="0"/>
          <w:rtl/>
          <w:lang w:bidi="ar-JO"/>
        </w:rPr>
      </w:pPr>
      <w:r w:rsidRPr="00BB10C5">
        <w:rPr>
          <w:kern w:val="0"/>
          <w:rtl/>
          <w:lang w:bidi="ar-JO"/>
        </w:rPr>
        <w:t xml:space="preserve">لمواجهة هذه التصريحات الواثقة يفسِّر بعض المؤمنين ما يقوله الكتاب المُقدَّس عن الطوفان العالمي بطرقٍ جديدة، فيقولون إنّه كان حدثًا يخصّ منطقة ما. ويتجاهل آخرون هذه التصريحات بصورة كاملة، ولا يحاولون أن يحلّوا النزاع </w:t>
      </w:r>
      <w:r w:rsidR="003F7C90" w:rsidRPr="00BB10C5">
        <w:rPr>
          <w:kern w:val="0"/>
          <w:rtl/>
          <w:lang w:bidi="ar-JO"/>
        </w:rPr>
        <w:t>المُفترَض</w:t>
      </w:r>
      <w:r w:rsidRPr="00BB10C5">
        <w:rPr>
          <w:kern w:val="0"/>
          <w:rtl/>
          <w:lang w:bidi="ar-JO"/>
        </w:rPr>
        <w:t xml:space="preserve"> بين العلم وكلمة الله. </w:t>
      </w:r>
    </w:p>
    <w:p w14:paraId="7D135C0B" w14:textId="2DDEB2D4" w:rsidR="009D0E18" w:rsidRPr="00BB10C5" w:rsidRDefault="009D0E18" w:rsidP="00C7130A">
      <w:pPr>
        <w:rPr>
          <w:kern w:val="0"/>
          <w:rtl/>
          <w:lang w:bidi="ar-JO"/>
        </w:rPr>
      </w:pPr>
      <w:r w:rsidRPr="00BB10C5">
        <w:rPr>
          <w:kern w:val="0"/>
          <w:rtl/>
          <w:lang w:bidi="ar-JO"/>
        </w:rPr>
        <w:lastRenderedPageBreak/>
        <w:t xml:space="preserve">ولكن على المؤمنين ألا يُصابوا بالفزع بفعل التصريحات "العلميّة" التي تنكِر كلمات سفر التكوين الواضحة. فبعكس الادّعاءات الشائعة، فإن قصّة نوح والطوفان الكتابيّة تقدِّم أفضل شرح للأدلّة الموجودة حولنا. </w:t>
      </w:r>
    </w:p>
    <w:p w14:paraId="2215D35F" w14:textId="24D56960" w:rsidR="001D1D85" w:rsidRPr="00BB10C5" w:rsidRDefault="001D1D85" w:rsidP="00C7130A">
      <w:pPr>
        <w:rPr>
          <w:kern w:val="0"/>
          <w:rtl/>
        </w:rPr>
      </w:pPr>
    </w:p>
    <w:p w14:paraId="2A3860F7" w14:textId="0351C445" w:rsidR="0080070E" w:rsidRPr="00BB10C5" w:rsidRDefault="0080070E" w:rsidP="000558B7">
      <w:pPr>
        <w:pStyle w:val="Heading3"/>
        <w:rPr>
          <w:rtl/>
        </w:rPr>
      </w:pPr>
      <w:bookmarkStart w:id="105" w:name="_Toc193030944"/>
      <w:r w:rsidRPr="00BB10C5">
        <w:rPr>
          <w:rtl/>
        </w:rPr>
        <w:t>تعليم الكتاب المُقدِّس عن الطوفان</w:t>
      </w:r>
      <w:bookmarkEnd w:id="105"/>
    </w:p>
    <w:p w14:paraId="41251C12" w14:textId="18673176" w:rsidR="009D0E18" w:rsidRPr="00BB10C5" w:rsidRDefault="0080070E" w:rsidP="00C7130A">
      <w:pPr>
        <w:rPr>
          <w:kern w:val="0"/>
          <w:rtl/>
          <w:lang w:bidi="ar-JO"/>
        </w:rPr>
      </w:pPr>
      <w:r w:rsidRPr="00BB10C5">
        <w:rPr>
          <w:kern w:val="0"/>
          <w:rtl/>
        </w:rPr>
        <w:t>علينا أوّلًا أن ندرك أن</w:t>
      </w:r>
      <w:r w:rsidR="003F7C90" w:rsidRPr="00BB10C5">
        <w:rPr>
          <w:kern w:val="0"/>
          <w:rtl/>
        </w:rPr>
        <w:t>َّ</w:t>
      </w:r>
      <w:r w:rsidRPr="00BB10C5">
        <w:rPr>
          <w:kern w:val="0"/>
          <w:rtl/>
        </w:rPr>
        <w:t xml:space="preserve"> آياتٍ كثيرة في العهد القديم والعهد الجديد تُشير إلى طوفانٍ كوني</w:t>
      </w:r>
      <w:r w:rsidR="00F15831" w:rsidRPr="00BB10C5">
        <w:rPr>
          <w:kern w:val="0"/>
          <w:rtl/>
        </w:rPr>
        <w:t>ّ</w:t>
      </w:r>
      <w:r w:rsidRPr="00BB10C5">
        <w:rPr>
          <w:kern w:val="0"/>
          <w:rtl/>
        </w:rPr>
        <w:t xml:space="preserve">. ولذا فإنّ أيّ مؤمن يحاول أن يحاجج بناءً على ما يقوله الكتاب المُقدَّس بأنّ الطوفان كان حدثًا محلّيًّا يواجه معركة </w:t>
      </w:r>
      <w:r w:rsidRPr="00BB10C5">
        <w:rPr>
          <w:kern w:val="0"/>
          <w:rtl/>
          <w:lang w:bidi="ar-JO"/>
        </w:rPr>
        <w:t xml:space="preserve">شاقّة. </w:t>
      </w:r>
    </w:p>
    <w:p w14:paraId="2C10AD2A" w14:textId="5F636ED2" w:rsidR="009D0E18" w:rsidRPr="00BB10C5" w:rsidRDefault="00B847E7" w:rsidP="00C7130A">
      <w:pPr>
        <w:rPr>
          <w:kern w:val="0"/>
          <w:rtl/>
          <w:lang w:bidi="ar-JO"/>
        </w:rPr>
      </w:pPr>
      <w:r w:rsidRPr="00BB10C5">
        <w:rPr>
          <w:kern w:val="0"/>
          <w:rtl/>
          <w:lang w:bidi="ar-JO"/>
        </w:rPr>
        <w:t xml:space="preserve">تحتوي </w:t>
      </w:r>
      <w:r w:rsidR="0080070E" w:rsidRPr="00BB10C5">
        <w:rPr>
          <w:kern w:val="0"/>
          <w:rtl/>
          <w:lang w:bidi="ar-JO"/>
        </w:rPr>
        <w:t xml:space="preserve">قصّة الطوفان في تكوين 6-9 </w:t>
      </w:r>
      <w:r w:rsidRPr="00BB10C5">
        <w:rPr>
          <w:kern w:val="0"/>
          <w:rtl/>
          <w:lang w:bidi="ar-JO"/>
        </w:rPr>
        <w:t>على تعبير "كل</w:t>
      </w:r>
      <w:r w:rsidR="00F15831" w:rsidRPr="00BB10C5">
        <w:rPr>
          <w:kern w:val="0"/>
          <w:rtl/>
          <w:lang w:bidi="ar-JO"/>
        </w:rPr>
        <w:t>ّ</w:t>
      </w:r>
      <w:r w:rsidRPr="00BB10C5">
        <w:rPr>
          <w:kern w:val="0"/>
          <w:rtl/>
          <w:lang w:bidi="ar-JO"/>
        </w:rPr>
        <w:t xml:space="preserve"> ذي جسد" 13 مرّة في إشارةٍ إلى إهلاك كل الحيوانات الساكنة على الأرض. لا يمكن لطوفانٍ محلّيّ أن يهلِك "كل</w:t>
      </w:r>
      <w:r w:rsidR="00F15831" w:rsidRPr="00BB10C5">
        <w:rPr>
          <w:kern w:val="0"/>
          <w:rtl/>
          <w:lang w:bidi="ar-JO"/>
        </w:rPr>
        <w:t>ّ</w:t>
      </w:r>
      <w:r w:rsidRPr="00BB10C5">
        <w:rPr>
          <w:kern w:val="0"/>
          <w:rtl/>
          <w:lang w:bidi="ar-JO"/>
        </w:rPr>
        <w:t xml:space="preserve"> ذي جسد". </w:t>
      </w:r>
    </w:p>
    <w:p w14:paraId="733012CB" w14:textId="7BEB25B9" w:rsidR="00B847E7" w:rsidRPr="00BB10C5" w:rsidRDefault="00B847E7" w:rsidP="00C7130A">
      <w:pPr>
        <w:rPr>
          <w:kern w:val="0"/>
          <w:rtl/>
          <w:lang w:bidi="ar-JO"/>
        </w:rPr>
      </w:pPr>
      <w:r w:rsidRPr="00BB10C5">
        <w:rPr>
          <w:kern w:val="0"/>
          <w:rtl/>
          <w:lang w:bidi="ar-JO"/>
        </w:rPr>
        <w:t>لو احتاج نوح إلى أن يضع في الفُلك الحيوان</w:t>
      </w:r>
      <w:r w:rsidR="00506F7C" w:rsidRPr="00BB10C5">
        <w:rPr>
          <w:kern w:val="0"/>
          <w:rtl/>
          <w:lang w:bidi="ar-JO"/>
        </w:rPr>
        <w:t>ا</w:t>
      </w:r>
      <w:r w:rsidRPr="00BB10C5">
        <w:rPr>
          <w:kern w:val="0"/>
          <w:rtl/>
          <w:lang w:bidi="ar-JO"/>
        </w:rPr>
        <w:t>ت والنبات المحليّة، لما كان هذا الفُلك العظيم ضروريًّا، ويكون نوحٌ قد أضاع وقته في صُنْع شيءٍ بهذا ال</w:t>
      </w:r>
      <w:r w:rsidR="00506F7C" w:rsidRPr="00BB10C5">
        <w:rPr>
          <w:kern w:val="0"/>
          <w:rtl/>
          <w:lang w:bidi="ar-JO"/>
        </w:rPr>
        <w:t>حجم.</w:t>
      </w:r>
    </w:p>
    <w:p w14:paraId="508D2118" w14:textId="7DAA7B2E" w:rsidR="00506F7C" w:rsidRPr="00BB10C5" w:rsidRDefault="00506F7C" w:rsidP="00C7130A">
      <w:pPr>
        <w:rPr>
          <w:kern w:val="0"/>
          <w:rtl/>
          <w:lang w:bidi="ar-JO"/>
        </w:rPr>
      </w:pPr>
      <w:r w:rsidRPr="00BB10C5">
        <w:rPr>
          <w:kern w:val="0"/>
          <w:rtl/>
          <w:lang w:bidi="ar-JO"/>
        </w:rPr>
        <w:t xml:space="preserve">أحضر الله طيورًا إلى نوح لتُحفَظ في الفُلك، ولكنْ لن يكون لهذا معنى أو هدف لو أن العصافير والخفافيش كانت ببساطة </w:t>
      </w:r>
      <w:r w:rsidR="00F15831" w:rsidRPr="00BB10C5">
        <w:rPr>
          <w:kern w:val="0"/>
          <w:rtl/>
          <w:lang w:bidi="ar-JO"/>
        </w:rPr>
        <w:t xml:space="preserve">تستطيع </w:t>
      </w:r>
      <w:r w:rsidRPr="00BB10C5">
        <w:rPr>
          <w:kern w:val="0"/>
          <w:rtl/>
          <w:lang w:bidi="ar-JO"/>
        </w:rPr>
        <w:t xml:space="preserve">أن تطير إلى مكانٍ آمن. </w:t>
      </w:r>
    </w:p>
    <w:p w14:paraId="62B120A5" w14:textId="4E49CDE7" w:rsidR="00506F7C" w:rsidRPr="00BB10C5" w:rsidRDefault="00506F7C" w:rsidP="00C7130A">
      <w:pPr>
        <w:rPr>
          <w:kern w:val="0"/>
          <w:rtl/>
          <w:lang w:bidi="ar-JO"/>
        </w:rPr>
      </w:pPr>
      <w:r w:rsidRPr="00BB10C5">
        <w:rPr>
          <w:kern w:val="0"/>
          <w:rtl/>
          <w:lang w:bidi="ar-JO"/>
        </w:rPr>
        <w:t>يقول تكوين 7: 19 إن المياه ارتفعت فوق أعلى الجبال. وحين تراجعت المياه عن أعلى الق</w:t>
      </w:r>
      <w:r w:rsidR="00F15831" w:rsidRPr="00BB10C5">
        <w:rPr>
          <w:kern w:val="0"/>
          <w:rtl/>
          <w:lang w:bidi="ar-JO"/>
        </w:rPr>
        <w:t>ِ</w:t>
      </w:r>
      <w:r w:rsidRPr="00BB10C5">
        <w:rPr>
          <w:kern w:val="0"/>
          <w:rtl/>
          <w:lang w:bidi="ar-JO"/>
        </w:rPr>
        <w:t>مم، فلن يمنعها شيءٌ من أن تغطّي بقية الأرض في حدثٍ كوني. وعلاوةً على ذلك، فقد قضت عائلة نوح حوالي السنة في الفُلك، ولكن</w:t>
      </w:r>
      <w:r w:rsidR="00F15831" w:rsidRPr="00BB10C5">
        <w:rPr>
          <w:kern w:val="0"/>
          <w:rtl/>
          <w:lang w:bidi="ar-JO"/>
        </w:rPr>
        <w:t>ْ</w:t>
      </w:r>
      <w:r w:rsidRPr="00BB10C5">
        <w:rPr>
          <w:kern w:val="0"/>
          <w:rtl/>
          <w:lang w:bidi="ar-JO"/>
        </w:rPr>
        <w:t xml:space="preserve"> حت</w:t>
      </w:r>
      <w:r w:rsidR="00F15831" w:rsidRPr="00BB10C5">
        <w:rPr>
          <w:kern w:val="0"/>
          <w:rtl/>
          <w:lang w:bidi="ar-JO"/>
        </w:rPr>
        <w:t>ّ</w:t>
      </w:r>
      <w:r w:rsidRPr="00BB10C5">
        <w:rPr>
          <w:kern w:val="0"/>
          <w:rtl/>
          <w:lang w:bidi="ar-JO"/>
        </w:rPr>
        <w:t>ى أضخم الطوفان</w:t>
      </w:r>
      <w:r w:rsidR="00F15831" w:rsidRPr="00BB10C5">
        <w:rPr>
          <w:kern w:val="0"/>
          <w:rtl/>
          <w:lang w:bidi="ar-JO"/>
        </w:rPr>
        <w:t>ات</w:t>
      </w:r>
      <w:r w:rsidRPr="00BB10C5">
        <w:rPr>
          <w:kern w:val="0"/>
          <w:rtl/>
          <w:lang w:bidi="ar-JO"/>
        </w:rPr>
        <w:t xml:space="preserve"> المحليّة المُدمِّرة لا تدوم هذه المدة. فلماذا أخبر الله نوح بأن يقضي سنواتٍ في بناء فُلكْ إن كان الطوفان سيدمِّر منطقةً واحدةً فقط؟ لمَ لا يكون عليه وعائلته أن ينتقلوا من تلك المنطقة إلى منطقة أخرى؟ </w:t>
      </w:r>
    </w:p>
    <w:p w14:paraId="379355F6" w14:textId="5A93D9AD" w:rsidR="00506F7C" w:rsidRPr="00BB10C5" w:rsidRDefault="00506F7C" w:rsidP="00C7130A">
      <w:pPr>
        <w:rPr>
          <w:kern w:val="0"/>
          <w:rtl/>
          <w:lang w:bidi="ar-JO"/>
        </w:rPr>
      </w:pPr>
      <w:r w:rsidRPr="00BB10C5">
        <w:rPr>
          <w:kern w:val="0"/>
          <w:rtl/>
          <w:lang w:bidi="ar-JO"/>
        </w:rPr>
        <w:t>بالإضافة إلى هذه المسائل الكتابيّة، فإن</w:t>
      </w:r>
      <w:r w:rsidR="00F15831" w:rsidRPr="00BB10C5">
        <w:rPr>
          <w:kern w:val="0"/>
          <w:rtl/>
          <w:lang w:bidi="ar-JO"/>
        </w:rPr>
        <w:t>ّ</w:t>
      </w:r>
      <w:r w:rsidRPr="00BB10C5">
        <w:rPr>
          <w:kern w:val="0"/>
          <w:rtl/>
          <w:lang w:bidi="ar-JO"/>
        </w:rPr>
        <w:t xml:space="preserve"> لرفض الفُلك الكوني نتائج لاهوتيًّة. ففي متّى 24: 36-39، استخدم يسوع الطوفان صورةً للدينونة الآتية. كما أن 2بطرس 3 تربط الطوفان بالدينونة الآتية بالنار. فإن كان طوفان سفر التكوين حدثًا محليًّا فقط، فإنّه يمكننا أن نفترض أنّ الدينونة الآتية ستكون حدثًا محليًّا فقط. وعلاوةً على هذا، </w:t>
      </w:r>
      <w:r w:rsidR="00B94A99" w:rsidRPr="00BB10C5">
        <w:rPr>
          <w:kern w:val="0"/>
          <w:rtl/>
          <w:lang w:bidi="ar-JO"/>
        </w:rPr>
        <w:t>في تكوين 9: 12-17 أعطى الربّ نوحَ قوس القزح ليكون علامةً على وعده بألا يُرسِل طوفانًا آخر مثل الذي نجا منه نوح. ولكنْ إن كان طوفان سفر التكوين محليًّا فقط</w:t>
      </w:r>
      <w:r w:rsidR="00F15831" w:rsidRPr="00BB10C5">
        <w:rPr>
          <w:kern w:val="0"/>
          <w:rtl/>
          <w:lang w:bidi="ar-JO"/>
        </w:rPr>
        <w:t>،</w:t>
      </w:r>
      <w:r w:rsidR="00B94A99" w:rsidRPr="00BB10C5">
        <w:rPr>
          <w:kern w:val="0"/>
          <w:rtl/>
          <w:lang w:bidi="ar-JO"/>
        </w:rPr>
        <w:t xml:space="preserve"> يكون الله قد كسر هذا الوعد مرّاتٍ عديدة. </w:t>
      </w:r>
    </w:p>
    <w:p w14:paraId="543AFBCB" w14:textId="77777777" w:rsidR="00B94A99" w:rsidRPr="00BB10C5" w:rsidRDefault="00B94A99" w:rsidP="00C7130A">
      <w:pPr>
        <w:rPr>
          <w:kern w:val="0"/>
          <w:rtl/>
          <w:lang w:bidi="ar-JO"/>
        </w:rPr>
      </w:pPr>
    </w:p>
    <w:p w14:paraId="3D7A7AF2" w14:textId="62537200" w:rsidR="00506F7C" w:rsidRPr="00BB10C5" w:rsidRDefault="00B94A99" w:rsidP="000558B7">
      <w:pPr>
        <w:pStyle w:val="Heading3"/>
        <w:rPr>
          <w:rtl/>
          <w:lang w:bidi="ar-JO"/>
        </w:rPr>
      </w:pPr>
      <w:bookmarkStart w:id="106" w:name="_Toc193030945"/>
      <w:r w:rsidRPr="00BB10C5">
        <w:rPr>
          <w:rtl/>
          <w:lang w:bidi="ar-JO"/>
        </w:rPr>
        <w:t>الدليل العلميّ على الطوفان</w:t>
      </w:r>
      <w:bookmarkEnd w:id="106"/>
    </w:p>
    <w:p w14:paraId="7C2C608F" w14:textId="5BF934E3" w:rsidR="00506F7C" w:rsidRPr="00BB10C5" w:rsidRDefault="00B94A99" w:rsidP="00C7130A">
      <w:pPr>
        <w:rPr>
          <w:kern w:val="0"/>
          <w:rtl/>
          <w:lang w:bidi="ar-JO"/>
        </w:rPr>
      </w:pPr>
      <w:r w:rsidRPr="00BB10C5">
        <w:rPr>
          <w:kern w:val="0"/>
          <w:rtl/>
          <w:lang w:bidi="ar-JO"/>
        </w:rPr>
        <w:t xml:space="preserve">لنعُد إلى الادّعاء بعدم وجود أدلّة. يقبل الجميع فكرة أن الطبقات الصخريّة التي تحتوي على المتحجّرات تغطي القارّات، ومعظم هذه المتحجرات رسَّبتها المياه. ألا يمكن أن يكون هذا دليلًا على طوفانٍ كونيّ؟ إنّ الدليل على هذا أمامنا! </w:t>
      </w:r>
    </w:p>
    <w:p w14:paraId="026ED0EB" w14:textId="60D896D9" w:rsidR="00B94A99" w:rsidRPr="00BB10C5" w:rsidRDefault="00B94A99" w:rsidP="00C7130A">
      <w:pPr>
        <w:rPr>
          <w:kern w:val="0"/>
          <w:rtl/>
          <w:lang w:bidi="ar-JO"/>
        </w:rPr>
      </w:pPr>
      <w:r w:rsidRPr="00BB10C5">
        <w:rPr>
          <w:kern w:val="0"/>
          <w:rtl/>
          <w:lang w:bidi="ar-JO"/>
        </w:rPr>
        <w:lastRenderedPageBreak/>
        <w:t>ليست المشكلة في عدم وجود الأدلّة أو نقصها، بل المشكلة هي أن كثيرين من العلماء لا يرون هذه الأدلة لأنّهم لم يقبلوا تاريخًا آخر للأرض. فهم يقولون إن</w:t>
      </w:r>
      <w:r w:rsidR="00A43084" w:rsidRPr="00BB10C5">
        <w:rPr>
          <w:kern w:val="0"/>
          <w:rtl/>
          <w:lang w:bidi="ar-JO"/>
        </w:rPr>
        <w:t xml:space="preserve">ّ المتحجّرات سجلّ للموت عبر مئات ملايين السنين، مع أن ذلك الرأي الشائع يزخر بالمشكلات. </w:t>
      </w:r>
    </w:p>
    <w:p w14:paraId="701FE01D" w14:textId="54388CED" w:rsidR="00A43084" w:rsidRPr="00BB10C5" w:rsidRDefault="00A43084" w:rsidP="00C7130A">
      <w:pPr>
        <w:rPr>
          <w:kern w:val="0"/>
          <w:rtl/>
          <w:lang w:bidi="ar-JO"/>
        </w:rPr>
      </w:pPr>
      <w:r w:rsidRPr="00BB10C5">
        <w:rPr>
          <w:kern w:val="0"/>
          <w:rtl/>
          <w:lang w:bidi="ar-JO"/>
        </w:rPr>
        <w:t xml:space="preserve">فكِّر بحقيقة أنّ الأمر يتطلّب ظروفًا خاصًّة ليتحجّر الكائن الحي، </w:t>
      </w:r>
      <w:r w:rsidR="00F15831" w:rsidRPr="00BB10C5">
        <w:rPr>
          <w:kern w:val="0"/>
          <w:rtl/>
          <w:lang w:bidi="ar-JO"/>
        </w:rPr>
        <w:t>والعالم</w:t>
      </w:r>
      <w:r w:rsidRPr="00BB10C5">
        <w:rPr>
          <w:kern w:val="0"/>
          <w:rtl/>
          <w:lang w:bidi="ar-JO"/>
        </w:rPr>
        <w:t xml:space="preserve"> ممتلئ ببلايين المتحجّرات في مقابر جماعيّة عظيمة. ينبغي أن تُدفَن المخلوقات بسرعة قبل أن تفسد أو تأكلها الحيوانات القمّامة. وفي الحقيقة، دُفِنت أعداد كبيرة من الحيوانات وتحجّرت بسرعة كبيرة، لدرجةِ أن بعضها لم يتمكَّن من إكمال بل</w:t>
      </w:r>
      <w:r w:rsidR="00F15831" w:rsidRPr="00BB10C5">
        <w:rPr>
          <w:kern w:val="0"/>
          <w:rtl/>
          <w:lang w:bidi="ar-JO"/>
        </w:rPr>
        <w:t>ْ</w:t>
      </w:r>
      <w:r w:rsidRPr="00BB10C5">
        <w:rPr>
          <w:kern w:val="0"/>
          <w:rtl/>
          <w:lang w:bidi="ar-JO"/>
        </w:rPr>
        <w:t>ع طعامه أو إتمام عملي</w:t>
      </w:r>
      <w:r w:rsidR="00F15831" w:rsidRPr="00BB10C5">
        <w:rPr>
          <w:kern w:val="0"/>
          <w:rtl/>
          <w:lang w:bidi="ar-JO"/>
        </w:rPr>
        <w:t>ّ</w:t>
      </w:r>
      <w:r w:rsidRPr="00BB10C5">
        <w:rPr>
          <w:kern w:val="0"/>
          <w:rtl/>
          <w:lang w:bidi="ar-JO"/>
        </w:rPr>
        <w:t xml:space="preserve">ة الولادة. </w:t>
      </w:r>
    </w:p>
    <w:p w14:paraId="37153BB5" w14:textId="794B4927" w:rsidR="00A43084" w:rsidRPr="00BB10C5" w:rsidRDefault="00A43084" w:rsidP="00C7130A">
      <w:pPr>
        <w:rPr>
          <w:kern w:val="0"/>
          <w:rtl/>
          <w:lang w:bidi="ar-JO"/>
        </w:rPr>
      </w:pPr>
      <w:r w:rsidRPr="00BB10C5">
        <w:rPr>
          <w:kern w:val="0"/>
          <w:rtl/>
          <w:lang w:bidi="ar-JO"/>
        </w:rPr>
        <w:t>وثمّة دليل منطقي يدعم الطوفان الكوني هو وجود متحجّرات لجذوع أشجار منتصبة أو مقلوبة في أكثر من طبقةٍ رسوبي</w:t>
      </w:r>
      <w:r w:rsidR="00F15831" w:rsidRPr="00BB10C5">
        <w:rPr>
          <w:kern w:val="0"/>
          <w:rtl/>
          <w:lang w:bidi="ar-JO"/>
        </w:rPr>
        <w:t>ّ</w:t>
      </w:r>
      <w:r w:rsidRPr="00BB10C5">
        <w:rPr>
          <w:kern w:val="0"/>
          <w:rtl/>
          <w:lang w:bidi="ar-JO"/>
        </w:rPr>
        <w:t>ة. ليس هذا معقولًا أو ممكنًا حين تترسّب الطبقات عبر ملايين السنين، ولكنّ هذه علامة على أن</w:t>
      </w:r>
      <w:r w:rsidR="00726914" w:rsidRPr="00BB10C5">
        <w:rPr>
          <w:kern w:val="0"/>
          <w:rtl/>
          <w:lang w:bidi="ar-JO"/>
        </w:rPr>
        <w:t>ّ</w:t>
      </w:r>
      <w:r w:rsidRPr="00BB10C5">
        <w:rPr>
          <w:kern w:val="0"/>
          <w:rtl/>
          <w:lang w:bidi="ar-JO"/>
        </w:rPr>
        <w:t xml:space="preserve"> هذه المتحجّرات الموجودة في عدّة طبقات رسوبيّة قد دُفِنت بسرعة. </w:t>
      </w:r>
    </w:p>
    <w:p w14:paraId="7966497E" w14:textId="1D1EA15A" w:rsidR="00A43084" w:rsidRPr="00BB10C5" w:rsidRDefault="00A43084" w:rsidP="00C7130A">
      <w:pPr>
        <w:rPr>
          <w:kern w:val="0"/>
          <w:rtl/>
          <w:lang w:bidi="ar-JO"/>
        </w:rPr>
      </w:pPr>
      <w:r w:rsidRPr="00BB10C5">
        <w:rPr>
          <w:kern w:val="0"/>
          <w:rtl/>
          <w:lang w:bidi="ar-JO"/>
        </w:rPr>
        <w:t>وثمّة مثالٌ واضحٌ آخر، وهو موقع يمكن للسيّاح أن يزوروه حول العالم، وهو طبقات ا</w:t>
      </w:r>
      <w:r w:rsidR="0000688C" w:rsidRPr="00BB10C5">
        <w:rPr>
          <w:kern w:val="0"/>
          <w:rtl/>
          <w:lang w:bidi="ar-JO"/>
        </w:rPr>
        <w:t xml:space="preserve">لصخور التي ترسَّبت حول الكوكب في الوقت نفسه. هذا يتوافق مع قصّة سفر التكوين عن كارثة كونية، بمقابل الكارثة المحليّة التي يقدِّمها البعض. فمثلًا، </w:t>
      </w:r>
      <w:r w:rsidR="00024DDB" w:rsidRPr="00BB10C5">
        <w:rPr>
          <w:kern w:val="0"/>
          <w:rtl/>
          <w:lang w:bidi="ar-JO"/>
        </w:rPr>
        <w:t>حجارة تابيتس الرملية، الواقعة أسفل صخور الوادي العظيم (</w:t>
      </w:r>
      <w:r w:rsidR="00024DDB" w:rsidRPr="00BB10C5">
        <w:rPr>
          <w:kern w:val="0"/>
          <w:lang w:bidi="ar-JO"/>
        </w:rPr>
        <w:t>Grand Canyon</w:t>
      </w:r>
      <w:r w:rsidR="00024DDB" w:rsidRPr="00BB10C5">
        <w:rPr>
          <w:kern w:val="0"/>
          <w:rtl/>
          <w:lang w:bidi="ar-JO"/>
        </w:rPr>
        <w:t xml:space="preserve">) في أريزونا، يظهر في أماكن بعيدة جدًّا أيضاً، مثل وسكونسن ومنطقة البحر قرب فلسطين وليبيا (لكن بأسماء مختلفة). فكيف يمكن لطوفانٍ محلّيّ أن يرسِّب الطبقة الصخريّة نفسها في عدّة قارات؟ </w:t>
      </w:r>
    </w:p>
    <w:p w14:paraId="3B20C61F" w14:textId="1C5BE0BF" w:rsidR="00024DDB" w:rsidRPr="00BB10C5" w:rsidRDefault="00024DDB" w:rsidP="00C7130A">
      <w:pPr>
        <w:rPr>
          <w:kern w:val="0"/>
          <w:rtl/>
          <w:lang w:bidi="ar-JO"/>
        </w:rPr>
      </w:pPr>
      <w:r w:rsidRPr="00BB10C5">
        <w:rPr>
          <w:kern w:val="0"/>
          <w:rtl/>
          <w:lang w:bidi="ar-JO"/>
        </w:rPr>
        <w:t xml:space="preserve">كما يحتوي الوادي العظيم على طبقات سميكة تقع بعضها فوق بعضها من دون وجود دليل على الحتّ في ما بينها. ويؤمن العلماء غير المسيحيّين أن هذه الطبقات ترسَّبت عبر ملايين السنين، وفي الحقيقة، ترسّبت مواد أخرى في هذه الأثناء في أماكن أخرى. </w:t>
      </w:r>
      <w:r w:rsidR="008E7174" w:rsidRPr="00BB10C5">
        <w:rPr>
          <w:kern w:val="0"/>
          <w:rtl/>
          <w:lang w:bidi="ar-JO"/>
        </w:rPr>
        <w:t xml:space="preserve">فمثلًا، تقع طبقة صخر كوكونينو الرملي مباشرة فوق تشكيل هيرميت، ولكنْ لا تُوجَد إشارة إلى أي طبقةٍ بين هاتَين الطبقتَين (تُرى في أي مكان). يُفترَض أنّه مرّت خمسة ملايين سنة إلى عشرة قبل أن تترسب طبقة صخر كوكونينو الرمليّ </w:t>
      </w:r>
      <w:r w:rsidR="00726914" w:rsidRPr="00BB10C5">
        <w:rPr>
          <w:kern w:val="0"/>
          <w:rtl/>
          <w:lang w:bidi="ar-JO"/>
        </w:rPr>
        <w:t>فوق</w:t>
      </w:r>
      <w:r w:rsidR="008E7174" w:rsidRPr="00BB10C5">
        <w:rPr>
          <w:kern w:val="0"/>
          <w:rtl/>
          <w:lang w:bidi="ar-JO"/>
        </w:rPr>
        <w:t xml:space="preserve"> تشكيل هيرميت من دون وجود دليل على حدوث حتٍّ. تبدو طبقة كوكونينو أنّها ترسَّبت مباشرة أعلى تشكيل هيرميت. ألا تدعو هذا دليلًا على حدوث طوفانٍ كونيّ؟ </w:t>
      </w:r>
    </w:p>
    <w:p w14:paraId="2B0CED60" w14:textId="2EE744DE" w:rsidR="008E7174" w:rsidRPr="00BB10C5" w:rsidRDefault="008E7174" w:rsidP="00C7130A">
      <w:pPr>
        <w:rPr>
          <w:kern w:val="0"/>
          <w:rtl/>
          <w:lang w:bidi="ar-JO"/>
        </w:rPr>
      </w:pPr>
      <w:r w:rsidRPr="00BB10C5">
        <w:rPr>
          <w:kern w:val="0"/>
          <w:rtl/>
          <w:lang w:bidi="ar-JO"/>
        </w:rPr>
        <w:t>أو ما رأيك بما يلي؟ يمكنك أن تذهب إلى أماكن كثيرة على الكوكب وترى صفًّا فوق صفٍّ من طبقات الصخر المترسِّبة بصورة متتالية كانت لينة حين ترسَّبت ثم تعرَّض</w:t>
      </w:r>
      <w:r w:rsidR="00726914" w:rsidRPr="00BB10C5">
        <w:rPr>
          <w:kern w:val="0"/>
          <w:rtl/>
          <w:lang w:bidi="ar-JO"/>
        </w:rPr>
        <w:t>تْ</w:t>
      </w:r>
      <w:r w:rsidRPr="00BB10C5">
        <w:rPr>
          <w:kern w:val="0"/>
          <w:rtl/>
          <w:lang w:bidi="ar-JO"/>
        </w:rPr>
        <w:t xml:space="preserve"> للانحناء، وفي بعض الأحيان بصورة كبيرة. لا تُظهِر كل</w:t>
      </w:r>
      <w:r w:rsidR="00726914" w:rsidRPr="00BB10C5">
        <w:rPr>
          <w:kern w:val="0"/>
          <w:rtl/>
          <w:lang w:bidi="ar-JO"/>
        </w:rPr>
        <w:t>ّ</w:t>
      </w:r>
      <w:r w:rsidRPr="00BB10C5">
        <w:rPr>
          <w:kern w:val="0"/>
          <w:rtl/>
          <w:lang w:bidi="ar-JO"/>
        </w:rPr>
        <w:t xml:space="preserve"> هذه السلسلة من الترسُّبات أيّة علامة على حدوث</w:t>
      </w:r>
      <w:r w:rsidR="00A9760A" w:rsidRPr="00BB10C5">
        <w:rPr>
          <w:kern w:val="0"/>
          <w:rtl/>
          <w:lang w:bidi="ar-JO"/>
        </w:rPr>
        <w:t>ِ</w:t>
      </w:r>
      <w:r w:rsidRPr="00BB10C5">
        <w:rPr>
          <w:kern w:val="0"/>
          <w:rtl/>
          <w:lang w:bidi="ar-JO"/>
        </w:rPr>
        <w:t xml:space="preserve"> كسر</w:t>
      </w:r>
      <w:r w:rsidR="00A9760A" w:rsidRPr="00BB10C5">
        <w:rPr>
          <w:kern w:val="0"/>
          <w:rtl/>
          <w:lang w:bidi="ar-JO"/>
        </w:rPr>
        <w:t>ٍ</w:t>
      </w:r>
      <w:r w:rsidRPr="00BB10C5">
        <w:rPr>
          <w:kern w:val="0"/>
          <w:rtl/>
          <w:lang w:bidi="ar-JO"/>
        </w:rPr>
        <w:t xml:space="preserve">. واضحٌ أن الصخور القاسية لا تنحني، بل تتكسَّر. ثمة شرح أفضل وهو أن الطوفان رسَّب هذه الطبقات بسرعة، وأنّها </w:t>
      </w:r>
      <w:r w:rsidR="00A9760A" w:rsidRPr="00BB10C5">
        <w:rPr>
          <w:kern w:val="0"/>
          <w:rtl/>
          <w:lang w:bidi="ar-JO"/>
        </w:rPr>
        <w:t xml:space="preserve">اكتسبت الانحناءات </w:t>
      </w:r>
      <w:r w:rsidRPr="00BB10C5">
        <w:rPr>
          <w:kern w:val="0"/>
          <w:rtl/>
          <w:lang w:bidi="ar-JO"/>
        </w:rPr>
        <w:t>قبل أن تجف</w:t>
      </w:r>
      <w:r w:rsidR="00A9760A" w:rsidRPr="00BB10C5">
        <w:rPr>
          <w:kern w:val="0"/>
          <w:rtl/>
          <w:lang w:bidi="ar-JO"/>
        </w:rPr>
        <w:t>ّ</w:t>
      </w:r>
      <w:r w:rsidRPr="00BB10C5">
        <w:rPr>
          <w:kern w:val="0"/>
          <w:rtl/>
          <w:lang w:bidi="ar-JO"/>
        </w:rPr>
        <w:t xml:space="preserve"> وتقسو. </w:t>
      </w:r>
    </w:p>
    <w:p w14:paraId="0C58C723" w14:textId="6BF855E1" w:rsidR="00561B12" w:rsidRPr="00BB10C5" w:rsidRDefault="00561B12" w:rsidP="00C7130A">
      <w:pPr>
        <w:rPr>
          <w:kern w:val="0"/>
          <w:rtl/>
          <w:lang w:bidi="ar-JO"/>
        </w:rPr>
      </w:pPr>
      <w:r w:rsidRPr="00BB10C5">
        <w:rPr>
          <w:kern w:val="0"/>
          <w:rtl/>
          <w:lang w:bidi="ar-JO"/>
        </w:rPr>
        <w:t>وهكذا، نرى أن الدليل على الطوفان موجود في كل</w:t>
      </w:r>
      <w:r w:rsidR="00A9760A" w:rsidRPr="00BB10C5">
        <w:rPr>
          <w:kern w:val="0"/>
          <w:rtl/>
          <w:lang w:bidi="ar-JO"/>
        </w:rPr>
        <w:t>ّ</w:t>
      </w:r>
      <w:r w:rsidRPr="00BB10C5">
        <w:rPr>
          <w:kern w:val="0"/>
          <w:rtl/>
          <w:lang w:bidi="ar-JO"/>
        </w:rPr>
        <w:t xml:space="preserve"> مكان، إن لم تكن </w:t>
      </w:r>
      <w:r w:rsidR="00A9760A" w:rsidRPr="00BB10C5">
        <w:rPr>
          <w:kern w:val="0"/>
          <w:rtl/>
          <w:lang w:bidi="ar-JO"/>
        </w:rPr>
        <w:t xml:space="preserve">هناك </w:t>
      </w:r>
      <w:r w:rsidRPr="00BB10C5">
        <w:rPr>
          <w:kern w:val="0"/>
          <w:rtl/>
          <w:lang w:bidi="ar-JO"/>
        </w:rPr>
        <w:t xml:space="preserve">افتراضات تعمي عينيك عن رؤيتها. </w:t>
      </w:r>
    </w:p>
    <w:p w14:paraId="6F9F9511" w14:textId="2F1D8566" w:rsidR="00B94A99" w:rsidRPr="00BB10C5" w:rsidRDefault="00B94A99" w:rsidP="00C7130A">
      <w:pPr>
        <w:rPr>
          <w:kern w:val="0"/>
          <w:rtl/>
          <w:lang w:bidi="ar-JO"/>
        </w:rPr>
      </w:pPr>
    </w:p>
    <w:p w14:paraId="1A93570D" w14:textId="315DC0A1" w:rsidR="00561B12" w:rsidRPr="00BB10C5" w:rsidRDefault="00561B12" w:rsidP="000558B7">
      <w:pPr>
        <w:pStyle w:val="Heading3"/>
        <w:rPr>
          <w:rtl/>
          <w:lang w:bidi="ar-JO"/>
        </w:rPr>
      </w:pPr>
      <w:bookmarkStart w:id="107" w:name="_Toc193030946"/>
      <w:r w:rsidRPr="00BB10C5">
        <w:rPr>
          <w:rtl/>
          <w:lang w:bidi="ar-JO"/>
        </w:rPr>
        <w:t>هذا الأمر مهم</w:t>
      </w:r>
      <w:bookmarkStart w:id="108" w:name="_Hlk157433665"/>
      <w:bookmarkEnd w:id="107"/>
    </w:p>
    <w:p w14:paraId="74B3A199" w14:textId="31037BDF" w:rsidR="00561B12" w:rsidRPr="00BB10C5" w:rsidRDefault="00561B12" w:rsidP="00C7130A">
      <w:pPr>
        <w:rPr>
          <w:kern w:val="0"/>
          <w:rtl/>
          <w:lang w:bidi="ar-JO"/>
        </w:rPr>
      </w:pPr>
      <w:r w:rsidRPr="00BB10C5">
        <w:rPr>
          <w:kern w:val="0"/>
          <w:rtl/>
          <w:lang w:bidi="ar-JO"/>
        </w:rPr>
        <w:lastRenderedPageBreak/>
        <w:t>لإنكار التعليم الكتابي الواضح عن الطوفان الكوني عواقب كارثيّة. فهذا سيجعل كلام</w:t>
      </w:r>
      <w:r w:rsidR="00A9760A" w:rsidRPr="00BB10C5">
        <w:rPr>
          <w:kern w:val="0"/>
          <w:rtl/>
          <w:lang w:bidi="ar-JO"/>
        </w:rPr>
        <w:t>َ</w:t>
      </w:r>
      <w:r w:rsidRPr="00BB10C5">
        <w:rPr>
          <w:kern w:val="0"/>
          <w:rtl/>
          <w:lang w:bidi="ar-JO"/>
        </w:rPr>
        <w:t xml:space="preserve"> الله لنوح بلا معنى، وهذا يتعارض مع مقاطع عديدة في العهد القديم والجديد. </w:t>
      </w:r>
    </w:p>
    <w:p w14:paraId="4BAD0A49" w14:textId="76FC6921" w:rsidR="00561B12" w:rsidRPr="00BB10C5" w:rsidRDefault="00561B12" w:rsidP="00C7130A">
      <w:pPr>
        <w:rPr>
          <w:kern w:val="0"/>
          <w:rtl/>
          <w:lang w:bidi="ar-JO"/>
        </w:rPr>
      </w:pPr>
      <w:r w:rsidRPr="00BB10C5">
        <w:rPr>
          <w:kern w:val="0"/>
          <w:rtl/>
          <w:lang w:bidi="ar-JO"/>
        </w:rPr>
        <w:t>وللمفارقة أنّه في سعي</w:t>
      </w:r>
      <w:r w:rsidR="00A9760A" w:rsidRPr="00BB10C5">
        <w:rPr>
          <w:kern w:val="0"/>
          <w:rtl/>
          <w:lang w:bidi="ar-JO"/>
        </w:rPr>
        <w:t>ّ</w:t>
      </w:r>
      <w:r w:rsidRPr="00BB10C5">
        <w:rPr>
          <w:kern w:val="0"/>
          <w:rtl/>
          <w:lang w:bidi="ar-JO"/>
        </w:rPr>
        <w:t xml:space="preserve"> بعض المؤمنين إلى تغيير المعنى الواضح لكلمة الله من أجل أن تتوافق مع تصريحاتِ بشرٍ مُعرَّض</w:t>
      </w:r>
      <w:r w:rsidR="00A9760A" w:rsidRPr="00BB10C5">
        <w:rPr>
          <w:kern w:val="0"/>
          <w:rtl/>
          <w:lang w:bidi="ar-JO"/>
        </w:rPr>
        <w:t>ي</w:t>
      </w:r>
      <w:r w:rsidRPr="00BB10C5">
        <w:rPr>
          <w:kern w:val="0"/>
          <w:rtl/>
          <w:lang w:bidi="ar-JO"/>
        </w:rPr>
        <w:t xml:space="preserve">ن للخطأ، تخلّى وابتعد بعض المسيحيّين عن بعض أفضل </w:t>
      </w:r>
      <w:r w:rsidR="00A9760A" w:rsidRPr="00BB10C5">
        <w:rPr>
          <w:kern w:val="0"/>
          <w:rtl/>
          <w:lang w:bidi="ar-JO"/>
        </w:rPr>
        <w:t xml:space="preserve">الأدلّة </w:t>
      </w:r>
      <w:r w:rsidRPr="00BB10C5">
        <w:rPr>
          <w:kern w:val="0"/>
          <w:rtl/>
          <w:lang w:bidi="ar-JO"/>
        </w:rPr>
        <w:t xml:space="preserve">العلميّة التي تؤكِّد تصريحات الكتاب المُقدَّس. </w:t>
      </w:r>
    </w:p>
    <w:p w14:paraId="63992EC6" w14:textId="77777777" w:rsidR="00CA4EB3" w:rsidRPr="00BB10C5" w:rsidRDefault="00CA4EB3" w:rsidP="00C7130A">
      <w:pPr>
        <w:rPr>
          <w:vanish/>
          <w:kern w:val="0"/>
        </w:rPr>
      </w:pPr>
      <w:r w:rsidRPr="00BB10C5">
        <w:rPr>
          <w:vanish/>
          <w:kern w:val="0"/>
        </w:rPr>
        <w:t>Bottom of Form</w:t>
      </w:r>
    </w:p>
    <w:p w14:paraId="06A45E9D" w14:textId="537F4076" w:rsidR="00CA4EB3" w:rsidRPr="00BB10C5" w:rsidRDefault="00CA4EB3" w:rsidP="00C7130A">
      <w:pPr>
        <w:rPr>
          <w:kern w:val="0"/>
        </w:rPr>
      </w:pPr>
    </w:p>
    <w:p w14:paraId="4DB7B572" w14:textId="58269A45" w:rsidR="00CA4EB3" w:rsidRPr="00BB10C5" w:rsidRDefault="00CA4EB3" w:rsidP="00C7130A">
      <w:pPr>
        <w:rPr>
          <w:kern w:val="0"/>
        </w:rPr>
      </w:pPr>
    </w:p>
    <w:bookmarkEnd w:id="108"/>
    <w:p w14:paraId="53746DE9" w14:textId="77777777" w:rsidR="00CA4EB3" w:rsidRPr="00BB10C5" w:rsidRDefault="00CA4EB3" w:rsidP="00C7130A">
      <w:pPr>
        <w:rPr>
          <w:kern w:val="0"/>
          <w14:ligatures w14:val="none"/>
        </w:rPr>
      </w:pPr>
    </w:p>
    <w:p w14:paraId="3373BDF6" w14:textId="5EE664AC" w:rsidR="008D4481" w:rsidRPr="00C7130A" w:rsidRDefault="008D448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kern w:val="0"/>
          <w:szCs w:val="24"/>
          <w14:ligatures w14:val="none"/>
        </w:rPr>
        <w:br w:type="page"/>
      </w:r>
    </w:p>
    <w:p w14:paraId="0D370218" w14:textId="070077CE" w:rsidR="001E6B52" w:rsidRPr="00C7130A" w:rsidRDefault="003E7119" w:rsidP="00E80A44">
      <w:pPr>
        <w:pStyle w:val="Heading2"/>
        <w:rPr>
          <w:rtl/>
        </w:rPr>
      </w:pPr>
      <w:bookmarkStart w:id="109" w:name="_Toc193030947"/>
      <w:r w:rsidRPr="00C7130A">
        <w:rPr>
          <w:rtl/>
        </w:rPr>
        <w:lastRenderedPageBreak/>
        <w:t xml:space="preserve">الوحدة 2: </w:t>
      </w:r>
      <w:r w:rsidR="001E6B52" w:rsidRPr="00C7130A">
        <w:rPr>
          <w:rtl/>
        </w:rPr>
        <w:t>أساس إسرائيل في العهد والشريعة</w:t>
      </w:r>
      <w:bookmarkEnd w:id="109"/>
      <w:r w:rsidR="001E6B52" w:rsidRPr="00C7130A">
        <w:rPr>
          <w:rtl/>
        </w:rPr>
        <w:t xml:space="preserve"> </w:t>
      </w:r>
    </w:p>
    <w:p w14:paraId="3A3395FA" w14:textId="5ED785DB" w:rsidR="001E6B52" w:rsidRPr="00C51F1D" w:rsidRDefault="001E6B52" w:rsidP="00E80A44">
      <w:pPr>
        <w:pStyle w:val="Heading2"/>
        <w:rPr>
          <w:rStyle w:val="Strong"/>
          <w:rtl/>
        </w:rPr>
      </w:pPr>
      <w:bookmarkStart w:id="110" w:name="_Toc193030948"/>
      <w:r w:rsidRPr="00C51F1D">
        <w:rPr>
          <w:rStyle w:val="Strong"/>
          <w:rtl/>
        </w:rPr>
        <w:t>(تكوين 11: 27 – خروج 40: 38)</w:t>
      </w:r>
      <w:bookmarkEnd w:id="110"/>
    </w:p>
    <w:p w14:paraId="32DDF203" w14:textId="08F9056E" w:rsidR="009810D1" w:rsidRPr="00C7130A" w:rsidRDefault="005A7FF9" w:rsidP="006B4782">
      <w:pPr>
        <w:rPr>
          <w:rtl/>
          <w:lang w:bidi="ar-JO"/>
        </w:rPr>
      </w:pPr>
      <w:r w:rsidRPr="00C7130A">
        <w:rPr>
          <w:szCs w:val="24"/>
        </w:rPr>
        <w:br/>
      </w:r>
      <w:r w:rsidR="00C05A3D" w:rsidRPr="00C7130A">
        <w:rPr>
          <w:rtl/>
          <w:lang w:bidi="ar-JO"/>
        </w:rPr>
        <w:t xml:space="preserve">تشكِّل الأصحاحات الأحد عشر الأولى </w:t>
      </w:r>
      <w:r w:rsidR="000D006A" w:rsidRPr="00C7130A">
        <w:rPr>
          <w:rtl/>
          <w:lang w:bidi="ar-JO"/>
        </w:rPr>
        <w:t xml:space="preserve">من سفر التكوين </w:t>
      </w:r>
      <w:r w:rsidR="00C05A3D" w:rsidRPr="00C7130A">
        <w:rPr>
          <w:rtl/>
          <w:lang w:bidi="ar-JO"/>
        </w:rPr>
        <w:t xml:space="preserve">(حتى تكوين </w:t>
      </w:r>
      <w:r w:rsidR="000D006A" w:rsidRPr="00C7130A">
        <w:rPr>
          <w:rtl/>
          <w:lang w:bidi="ar-JO"/>
        </w:rPr>
        <w:t>11: 26) خلفية بقية السفر، وذلك بإعطائنا السبب الذي لأجله وجد الله ضرورةً في تأسيس أمّةٍ جديدة من نسل إبراهيم، وأن يدخل في عهدٍ معهم. لم تصحِّح "بداية</w:t>
      </w:r>
      <w:r w:rsidR="00674EFC" w:rsidRPr="00C7130A">
        <w:rPr>
          <w:rtl/>
          <w:lang w:bidi="ar-JO"/>
        </w:rPr>
        <w:t>ٌ</w:t>
      </w:r>
      <w:r w:rsidR="000D006A" w:rsidRPr="00C7130A">
        <w:rPr>
          <w:rtl/>
          <w:lang w:bidi="ar-JO"/>
        </w:rPr>
        <w:t xml:space="preserve"> جديدة</w:t>
      </w:r>
      <w:r w:rsidR="00674EFC" w:rsidRPr="00C7130A">
        <w:rPr>
          <w:rtl/>
          <w:lang w:bidi="ar-JO"/>
        </w:rPr>
        <w:t>ٌ</w:t>
      </w:r>
      <w:r w:rsidR="000D006A" w:rsidRPr="00C7130A">
        <w:rPr>
          <w:rtl/>
          <w:lang w:bidi="ar-JO"/>
        </w:rPr>
        <w:t>" بعد</w:t>
      </w:r>
      <w:r w:rsidR="00674EFC" w:rsidRPr="00C7130A">
        <w:rPr>
          <w:rtl/>
          <w:lang w:bidi="ar-JO"/>
        </w:rPr>
        <w:t>َ</w:t>
      </w:r>
      <w:r w:rsidR="000D006A" w:rsidRPr="00C7130A">
        <w:rPr>
          <w:rtl/>
          <w:lang w:bidi="ar-JO"/>
        </w:rPr>
        <w:t xml:space="preserve"> الطوفان ورطة</w:t>
      </w:r>
      <w:r w:rsidR="00674EFC" w:rsidRPr="00C7130A">
        <w:rPr>
          <w:rtl/>
          <w:lang w:bidi="ar-JO"/>
        </w:rPr>
        <w:t>َ</w:t>
      </w:r>
      <w:r w:rsidR="000D006A" w:rsidRPr="00C7130A">
        <w:rPr>
          <w:rtl/>
          <w:lang w:bidi="ar-JO"/>
        </w:rPr>
        <w:t xml:space="preserve"> الخطية واللعنة التي أدخلت البشرية نفسها فيها. وقد استمرّ الجنس البشري في التمرُّد والابتعاد عن الله، ممّا لم يؤدِّ إلى فسادٍ أخلاقي أعظم فقط، بل وأد</w:t>
      </w:r>
      <w:r w:rsidR="00674EFC" w:rsidRPr="00C7130A">
        <w:rPr>
          <w:rtl/>
          <w:lang w:bidi="ar-JO"/>
        </w:rPr>
        <w:t>ّ</w:t>
      </w:r>
      <w:r w:rsidR="000D006A" w:rsidRPr="00C7130A">
        <w:rPr>
          <w:rtl/>
          <w:lang w:bidi="ar-JO"/>
        </w:rPr>
        <w:t>ى أيضاً إلى فقدان بركة الله أيضًا. توثِّق الأصحاحات 12-50 من سفر التكوين إعطاء العهد الإبراهيم: خطّة الله لإرجاع أمم العالم وشعوبه إلى الخضوع له واختبار بركته، وكيف انتقلت وعود العهد الإبراهيم</w:t>
      </w:r>
      <w:r w:rsidR="00674EFC" w:rsidRPr="00C7130A">
        <w:rPr>
          <w:rtl/>
          <w:lang w:bidi="ar-JO"/>
        </w:rPr>
        <w:t>ي</w:t>
      </w:r>
      <w:r w:rsidR="000D006A" w:rsidRPr="00C7130A">
        <w:rPr>
          <w:rtl/>
          <w:lang w:bidi="ar-JO"/>
        </w:rPr>
        <w:t xml:space="preserve"> إلى نسل إبراهيم. </w:t>
      </w:r>
      <w:r w:rsidR="004E506D" w:rsidRPr="00C7130A">
        <w:rPr>
          <w:rtl/>
          <w:lang w:bidi="ar-JO"/>
        </w:rPr>
        <w:t>وسفر الخروج، الذي يعقب هذه الأصحاحات، يبدأ والأمّة</w:t>
      </w:r>
      <w:r w:rsidR="00674EFC" w:rsidRPr="00C7130A">
        <w:rPr>
          <w:rtl/>
          <w:lang w:bidi="ar-JO"/>
        </w:rPr>
        <w:t xml:space="preserve"> موجودة</w:t>
      </w:r>
      <w:r w:rsidR="004E506D" w:rsidRPr="00C7130A">
        <w:rPr>
          <w:rtl/>
          <w:lang w:bidi="ar-JO"/>
        </w:rPr>
        <w:t xml:space="preserve"> خارج أرض الموعد وفي حالة العبودية. ولكنّ الله يُظهِر قوّته في افتدائهم من مصر. وهكذا يُؤتى بهم إلى جبل سيناء، حيث عُرِض عليهم امتياز أن يكونوا شعب</w:t>
      </w:r>
      <w:r w:rsidR="00674EFC" w:rsidRPr="00C7130A">
        <w:rPr>
          <w:rtl/>
          <w:lang w:bidi="ar-JO"/>
        </w:rPr>
        <w:t>َ</w:t>
      </w:r>
      <w:r w:rsidR="004E506D" w:rsidRPr="00C7130A">
        <w:rPr>
          <w:rtl/>
          <w:lang w:bidi="ar-JO"/>
        </w:rPr>
        <w:t xml:space="preserve"> عهد</w:t>
      </w:r>
      <w:r w:rsidR="00674EFC" w:rsidRPr="00C7130A">
        <w:rPr>
          <w:rtl/>
          <w:lang w:bidi="ar-JO"/>
        </w:rPr>
        <w:t>ِ</w:t>
      </w:r>
      <w:r w:rsidR="004E506D" w:rsidRPr="00C7130A">
        <w:rPr>
          <w:rtl/>
          <w:lang w:bidi="ar-JO"/>
        </w:rPr>
        <w:t xml:space="preserve"> الله، بشرط أن يوافقوا على بنود الشريعة (العهد الموسوي). وبعد أن وافقوا على </w:t>
      </w:r>
      <w:r w:rsidR="003E7119" w:rsidRPr="00C7130A">
        <w:rPr>
          <w:rtl/>
          <w:lang w:bidi="ar-JO"/>
        </w:rPr>
        <w:t xml:space="preserve">هذه الشروط، صنعوا خيمة الاجتماع لتكون مركز عبادة يهوه بوصفه إلههم. </w:t>
      </w:r>
    </w:p>
    <w:p w14:paraId="4743E483" w14:textId="77777777" w:rsidR="000D006A" w:rsidRPr="00C7130A" w:rsidRDefault="000D006A"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rtl/>
          <w:lang w:bidi="ar-JO"/>
          <w14:ligatures w14:val="none"/>
        </w:rPr>
      </w:pPr>
    </w:p>
    <w:p w14:paraId="079A312A" w14:textId="35EE557C" w:rsidR="009810D1" w:rsidRPr="00C7130A" w:rsidRDefault="003E7119" w:rsidP="000558B7">
      <w:pPr>
        <w:pStyle w:val="Heading3"/>
      </w:pPr>
      <w:bookmarkStart w:id="111" w:name="_Toc193030949"/>
      <w:r w:rsidRPr="00C7130A">
        <w:rPr>
          <w:rtl/>
        </w:rPr>
        <w:t>مخطَّط الوحدة</w:t>
      </w:r>
      <w:bookmarkEnd w:id="111"/>
    </w:p>
    <w:p w14:paraId="48B95B72" w14:textId="77777777" w:rsidR="001E6B52" w:rsidRPr="006B4782" w:rsidRDefault="001E6B52" w:rsidP="00C7130A">
      <w:pPr>
        <w:ind w:left="1440" w:hanging="900"/>
        <w:contextualSpacing/>
        <w:rPr>
          <w:b/>
          <w:kern w:val="0"/>
          <w:rtl/>
          <w14:ligatures w14:val="none"/>
        </w:rPr>
      </w:pPr>
      <w:r w:rsidRPr="006B4782">
        <w:rPr>
          <w:b/>
          <w:kern w:val="0"/>
          <w:rtl/>
          <w14:ligatures w14:val="none"/>
        </w:rPr>
        <w:t xml:space="preserve">الدرس 4: عهد الله مع إبراهيم وصراعات الآباء (تكوين 11: 27-50: 26) </w:t>
      </w:r>
    </w:p>
    <w:p w14:paraId="09F5FA83" w14:textId="77777777" w:rsidR="001E6B52" w:rsidRPr="006B4782" w:rsidRDefault="001E6B52" w:rsidP="00C7130A">
      <w:pPr>
        <w:ind w:left="1440" w:hanging="900"/>
        <w:contextualSpacing/>
        <w:rPr>
          <w:b/>
          <w:kern w:val="0"/>
          <w:rtl/>
          <w14:ligatures w14:val="none"/>
        </w:rPr>
      </w:pPr>
      <w:r w:rsidRPr="006B4782">
        <w:rPr>
          <w:b/>
          <w:kern w:val="0"/>
          <w:rtl/>
          <w14:ligatures w14:val="none"/>
        </w:rPr>
        <w:t>الدرس 5: تحرير إسرائيل من مصر (خروج 1: 1-18: 27)</w:t>
      </w:r>
    </w:p>
    <w:p w14:paraId="3C981BC0" w14:textId="77777777" w:rsidR="001E6B52" w:rsidRPr="006B4782" w:rsidRDefault="001E6B52" w:rsidP="00C7130A">
      <w:pPr>
        <w:ind w:left="1440" w:hanging="900"/>
        <w:contextualSpacing/>
        <w:rPr>
          <w:b/>
          <w:kern w:val="0"/>
          <w:rtl/>
          <w14:ligatures w14:val="none"/>
        </w:rPr>
      </w:pPr>
      <w:r w:rsidRPr="006B4782">
        <w:rPr>
          <w:b/>
          <w:kern w:val="0"/>
          <w:rtl/>
          <w14:ligatures w14:val="none"/>
        </w:rPr>
        <w:t>الدرس 6: إعطاء الشريعة وصنع خيمة الاجتماع (خروج 19: 1-40: 38)</w:t>
      </w:r>
    </w:p>
    <w:p w14:paraId="67501EA2" w14:textId="66E05F6A" w:rsidR="009810D1" w:rsidRPr="00C7130A" w:rsidRDefault="009810D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ind w:left="540"/>
        <w:rPr>
          <w:rFonts w:eastAsia="Calibri"/>
          <w:kern w:val="0"/>
          <w:szCs w:val="24"/>
          <w14:ligatures w14:val="none"/>
        </w:rPr>
      </w:pPr>
    </w:p>
    <w:p w14:paraId="2479778C" w14:textId="538B8A3D" w:rsidR="009810D1" w:rsidRPr="00C7130A" w:rsidRDefault="003E7119" w:rsidP="000558B7">
      <w:pPr>
        <w:pStyle w:val="Heading3"/>
      </w:pPr>
      <w:bookmarkStart w:id="112" w:name="_Toc193030950"/>
      <w:r w:rsidRPr="00C7130A">
        <w:rPr>
          <w:rtl/>
        </w:rPr>
        <w:t>أهداف الوحدة</w:t>
      </w:r>
      <w:bookmarkEnd w:id="112"/>
    </w:p>
    <w:p w14:paraId="62EBF998" w14:textId="1BDBE200" w:rsidR="009810D1" w:rsidRPr="006B4782" w:rsidRDefault="003E7119"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B4782">
        <w:rPr>
          <w:rFonts w:eastAsia="Calibri"/>
          <w:kern w:val="0"/>
          <w:rtl/>
          <w14:ligatures w14:val="none"/>
        </w:rPr>
        <w:t xml:space="preserve">بانتهائك من دراسة هذه الوحدة، ستكون قادرًا على ما يلي: </w:t>
      </w:r>
    </w:p>
    <w:p w14:paraId="6A3A29B6" w14:textId="54520BAD" w:rsidR="00100636" w:rsidRPr="0068764A" w:rsidRDefault="003E7119">
      <w:pPr>
        <w:pStyle w:val="ListParagraph"/>
        <w:numPr>
          <w:ilvl w:val="0"/>
          <w:numId w:val="2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8764A">
        <w:rPr>
          <w:rFonts w:eastAsia="Calibri"/>
          <w:kern w:val="0"/>
          <w:rtl/>
          <w14:ligatures w14:val="none"/>
        </w:rPr>
        <w:t>أن تشرح أهمية العهد الإبراهيم</w:t>
      </w:r>
      <w:r w:rsidR="00674EFC" w:rsidRPr="0068764A">
        <w:rPr>
          <w:rFonts w:eastAsia="Calibri"/>
          <w:kern w:val="0"/>
          <w:rtl/>
          <w14:ligatures w14:val="none"/>
        </w:rPr>
        <w:t>ي</w:t>
      </w:r>
      <w:r w:rsidRPr="0068764A">
        <w:rPr>
          <w:rFonts w:eastAsia="Calibri"/>
          <w:kern w:val="0"/>
          <w:rtl/>
          <w14:ligatures w14:val="none"/>
        </w:rPr>
        <w:t xml:space="preserve"> والعهد الموسوي، وأن تكون قادرًا على توضيح الفوارق بينهما. </w:t>
      </w:r>
    </w:p>
    <w:p w14:paraId="1CF73CB2" w14:textId="7DFD1CF4" w:rsidR="003E7119" w:rsidRPr="0068764A" w:rsidRDefault="003E7119">
      <w:pPr>
        <w:pStyle w:val="ListParagraph"/>
        <w:numPr>
          <w:ilvl w:val="0"/>
          <w:numId w:val="2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8764A">
        <w:rPr>
          <w:rFonts w:eastAsia="Calibri"/>
          <w:kern w:val="0"/>
          <w:rtl/>
          <w14:ligatures w14:val="none"/>
        </w:rPr>
        <w:t xml:space="preserve">أن يكون لديك فهم أفضل بشأن الطريقة التي ينمّي الله بها الإيمانَ والطاعة في الذين يتبعونه، وذلك نتيجةً لدراستك حياة إبراهيم ونسله. </w:t>
      </w:r>
    </w:p>
    <w:p w14:paraId="724CC7A1" w14:textId="3858C569" w:rsidR="003E7119" w:rsidRPr="0068764A" w:rsidRDefault="003E7119">
      <w:pPr>
        <w:pStyle w:val="ListParagraph"/>
        <w:numPr>
          <w:ilvl w:val="0"/>
          <w:numId w:val="2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8764A">
        <w:rPr>
          <w:rFonts w:eastAsia="Calibri"/>
          <w:kern w:val="0"/>
          <w:rtl/>
          <w14:ligatures w14:val="none"/>
        </w:rPr>
        <w:t xml:space="preserve">أن تندهش أمام قوّة وسيادة الله في تحريره الشعب العبري من سلطة وقوة فرعون مصر. </w:t>
      </w:r>
    </w:p>
    <w:p w14:paraId="409A2E2D" w14:textId="5FB2FF72" w:rsidR="003E7119" w:rsidRPr="0068764A" w:rsidRDefault="003E7119">
      <w:pPr>
        <w:pStyle w:val="ListParagraph"/>
        <w:numPr>
          <w:ilvl w:val="0"/>
          <w:numId w:val="2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8764A">
        <w:rPr>
          <w:rFonts w:eastAsia="Calibri"/>
          <w:kern w:val="0"/>
          <w:rtl/>
          <w14:ligatures w14:val="none"/>
        </w:rPr>
        <w:t xml:space="preserve">أن تدرك حقيقة أنّ النواحي المختلفة في خيمة الاجتماع الأرض تعكس حقائق روحيّة أعظم (النماذج والرموز). </w:t>
      </w:r>
    </w:p>
    <w:p w14:paraId="70FEA98E" w14:textId="355BA069" w:rsidR="003E7119" w:rsidRPr="0068764A" w:rsidRDefault="003E7119">
      <w:pPr>
        <w:pStyle w:val="ListParagraph"/>
        <w:numPr>
          <w:ilvl w:val="0"/>
          <w:numId w:val="2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8764A">
        <w:rPr>
          <w:rFonts w:eastAsia="Calibri"/>
          <w:kern w:val="0"/>
          <w:rtl/>
          <w14:ligatures w14:val="none"/>
        </w:rPr>
        <w:lastRenderedPageBreak/>
        <w:t>أن تشرح أنّه مع أنّه قُصِد من الناموس أن يحمي شعب العهد وأن يُظهِر لهم طريق البركة، فقد أثبت في النهاية أنّه هدف</w:t>
      </w:r>
      <w:r w:rsidR="00674EFC" w:rsidRPr="0068764A">
        <w:rPr>
          <w:rFonts w:eastAsia="Calibri"/>
          <w:kern w:val="0"/>
          <w:rtl/>
          <w14:ligatures w14:val="none"/>
        </w:rPr>
        <w:t>ٌ</w:t>
      </w:r>
      <w:r w:rsidRPr="0068764A">
        <w:rPr>
          <w:rFonts w:eastAsia="Calibri"/>
          <w:kern w:val="0"/>
          <w:rtl/>
          <w14:ligatures w14:val="none"/>
        </w:rPr>
        <w:t xml:space="preserve"> لم يستطيعوا تحقيقه والعيش بحسبه. </w:t>
      </w:r>
    </w:p>
    <w:p w14:paraId="72D0BFE7" w14:textId="77777777" w:rsidR="003E7119" w:rsidRPr="006B4782" w:rsidRDefault="003E7119" w:rsidP="00C7130A">
      <w:pPr>
        <w:pStyle w:val="ListParagraph"/>
        <w:jc w:val="center"/>
        <w:rPr>
          <w:bCs/>
          <w:kern w:val="0"/>
          <w:rtl/>
          <w14:ligatures w14:val="none"/>
        </w:rPr>
      </w:pPr>
    </w:p>
    <w:p w14:paraId="1DB1EB7D" w14:textId="77777777" w:rsidR="00674EFC" w:rsidRPr="00C7130A" w:rsidRDefault="00674EFC" w:rsidP="00C7130A">
      <w:pPr>
        <w:rPr>
          <w:bCs/>
          <w:kern w:val="0"/>
          <w:sz w:val="40"/>
          <w:szCs w:val="40"/>
          <w:rtl/>
          <w14:ligatures w14:val="none"/>
        </w:rPr>
      </w:pPr>
      <w:r w:rsidRPr="00C7130A">
        <w:rPr>
          <w:bCs/>
          <w:kern w:val="0"/>
          <w:sz w:val="40"/>
          <w:szCs w:val="40"/>
          <w:rtl/>
          <w14:ligatures w14:val="none"/>
        </w:rPr>
        <w:br w:type="page"/>
      </w:r>
    </w:p>
    <w:p w14:paraId="0F0FF8DC" w14:textId="18321AB9" w:rsidR="00E41548" w:rsidRDefault="001E6B52" w:rsidP="00E80A44">
      <w:pPr>
        <w:pStyle w:val="Heading2"/>
        <w:rPr>
          <w:rtl/>
        </w:rPr>
      </w:pPr>
      <w:bookmarkStart w:id="113" w:name="_Toc193030951"/>
      <w:r w:rsidRPr="00C7130A">
        <w:rPr>
          <w:rtl/>
        </w:rPr>
        <w:lastRenderedPageBreak/>
        <w:t>الدرس 4: عهد الله مع إبراهيم وصراعات الآباء</w:t>
      </w:r>
      <w:bookmarkEnd w:id="113"/>
    </w:p>
    <w:p w14:paraId="0AD225FC" w14:textId="772E8F0B" w:rsidR="006F7738" w:rsidRPr="006F7738" w:rsidRDefault="006F7738" w:rsidP="006F7738">
      <w:pPr>
        <w:pStyle w:val="Hang2"/>
        <w:rPr>
          <w:b/>
        </w:rPr>
      </w:pPr>
      <w:bookmarkStart w:id="114" w:name="_Toc193030952"/>
      <w:r w:rsidRPr="006F7738">
        <w:rPr>
          <w:rStyle w:val="Strong"/>
          <w:b w:val="0"/>
          <w:bCs/>
          <w:rtl/>
        </w:rPr>
        <w:t>(تكوين 11: 27-50: 26)</w:t>
      </w:r>
      <w:bookmarkEnd w:id="114"/>
    </w:p>
    <w:p w14:paraId="340EBA89" w14:textId="77777777" w:rsidR="00311C51" w:rsidRPr="00C7130A" w:rsidRDefault="00311C5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p>
    <w:p w14:paraId="72CAC378" w14:textId="151BE57E" w:rsidR="00E41548" w:rsidRPr="00C7130A" w:rsidRDefault="003E7119" w:rsidP="000558B7">
      <w:pPr>
        <w:pStyle w:val="Heading3"/>
      </w:pPr>
      <w:bookmarkStart w:id="115" w:name="_Toc193030953"/>
      <w:r w:rsidRPr="00C7130A">
        <w:rPr>
          <w:rtl/>
        </w:rPr>
        <w:t>مُقدِّمة الدرس</w:t>
      </w:r>
      <w:bookmarkEnd w:id="115"/>
    </w:p>
    <w:p w14:paraId="65D2EDEA" w14:textId="35FC190F" w:rsidR="003E7119" w:rsidRPr="00C7130A" w:rsidRDefault="00FD0F16" w:rsidP="006B4782">
      <w:pPr>
        <w:rPr>
          <w:rtl/>
        </w:rPr>
      </w:pPr>
      <w:r w:rsidRPr="00C7130A">
        <w:rPr>
          <w:rtl/>
        </w:rPr>
        <w:t>نقطة تركيز هذا القسم من سفر التكوين هي إبراهيم ونسل</w:t>
      </w:r>
      <w:r w:rsidR="00674EFC" w:rsidRPr="00C7130A">
        <w:rPr>
          <w:rtl/>
        </w:rPr>
        <w:t>ه</w:t>
      </w:r>
      <w:r w:rsidRPr="00C7130A">
        <w:rPr>
          <w:rtl/>
        </w:rPr>
        <w:t>، أي إسحاق ويعقوب، ومن ثمّ أبناء الأخير. يشكِّل هؤلاء معًا نواة أمّة جديدة يخلقها الله لتكون نورًا لأمم العالم الأخرى التي وقعت في عبادة الأوثان والفساد الأخلاقي. ولأن الله إله</w:t>
      </w:r>
      <w:r w:rsidR="00674EFC" w:rsidRPr="00C7130A">
        <w:rPr>
          <w:rtl/>
        </w:rPr>
        <w:t>ُ</w:t>
      </w:r>
      <w:r w:rsidRPr="00C7130A">
        <w:rPr>
          <w:rtl/>
        </w:rPr>
        <w:t xml:space="preserve"> بركة، فإنّه يعد إبراهيم بأنّه به وبنسله سينجح في أن يبارك كل</w:t>
      </w:r>
      <w:r w:rsidR="00674EFC" w:rsidRPr="00C7130A">
        <w:rPr>
          <w:rtl/>
        </w:rPr>
        <w:t>ّ</w:t>
      </w:r>
      <w:r w:rsidRPr="00C7130A">
        <w:rPr>
          <w:rtl/>
        </w:rPr>
        <w:t xml:space="preserve"> العالم. ويوضّح العهد الجديد أنّ هذا سيحدث في النهاية في نسل إبراهيم الأعظم، الرب يسوع. </w:t>
      </w:r>
    </w:p>
    <w:p w14:paraId="7357D6A5" w14:textId="6AAD1C2E" w:rsidR="00FD0F16" w:rsidRPr="00C7130A" w:rsidRDefault="00E22190" w:rsidP="006B4782">
      <w:pPr>
        <w:rPr>
          <w:rtl/>
          <w:lang w:bidi="ar-JO"/>
        </w:rPr>
      </w:pPr>
      <w:r w:rsidRPr="00C7130A">
        <w:rPr>
          <w:rtl/>
          <w:lang w:bidi="ar-JO"/>
        </w:rPr>
        <w:t>النقطة البارزة في هذه الأصحاحات هي عم</w:t>
      </w:r>
      <w:r w:rsidR="00674EFC" w:rsidRPr="00C7130A">
        <w:rPr>
          <w:rtl/>
          <w:lang w:bidi="ar-JO"/>
        </w:rPr>
        <w:t>َ</w:t>
      </w:r>
      <w:r w:rsidRPr="00C7130A">
        <w:rPr>
          <w:rtl/>
          <w:lang w:bidi="ar-JO"/>
        </w:rPr>
        <w:t>ل</w:t>
      </w:r>
      <w:r w:rsidR="00674EFC" w:rsidRPr="00C7130A">
        <w:rPr>
          <w:rtl/>
          <w:lang w:bidi="ar-JO"/>
        </w:rPr>
        <w:t>ُ</w:t>
      </w:r>
      <w:r w:rsidRPr="00C7130A">
        <w:rPr>
          <w:rtl/>
          <w:lang w:bidi="ar-JO"/>
        </w:rPr>
        <w:t xml:space="preserve"> العهد مع إبراهيم (والذي صار يُعرَف باسم العهد الإبراهيم). انتقل خط البركة </w:t>
      </w:r>
      <w:r w:rsidR="00674EFC" w:rsidRPr="00C7130A">
        <w:rPr>
          <w:rtl/>
          <w:lang w:bidi="ar-JO"/>
        </w:rPr>
        <w:t>إ</w:t>
      </w:r>
      <w:r w:rsidRPr="00C7130A">
        <w:rPr>
          <w:rtl/>
          <w:lang w:bidi="ar-JO"/>
        </w:rPr>
        <w:t>لى ابن إبراهيم الموعود، إسحاق (لا إسماعيل)، ومن ثمّ إلى يعقوب. وولد يعقوب اثني عشر ابنًا كانوا آباء أسباط إسرائيل الاثني عشر. كما يُظهِر تكوين 11: 27 – 50: 26 أن</w:t>
      </w:r>
      <w:r w:rsidR="00674EFC" w:rsidRPr="00C7130A">
        <w:rPr>
          <w:rtl/>
          <w:lang w:bidi="ar-JO"/>
        </w:rPr>
        <w:t>ّ</w:t>
      </w:r>
      <w:r w:rsidRPr="00C7130A">
        <w:rPr>
          <w:rtl/>
          <w:lang w:bidi="ar-JO"/>
        </w:rPr>
        <w:t xml:space="preserve"> الله يتعامل مع كلّ واحدٍ من هؤلاء "الآباء"، رؤوس الأمّة، من أجل تنمية إيمانهم وتأديبهم على ضلالهم وخطيّتهم. </w:t>
      </w:r>
    </w:p>
    <w:p w14:paraId="1AC34105" w14:textId="77777777" w:rsidR="003E7119" w:rsidRPr="00C7130A" w:rsidRDefault="003E7119" w:rsidP="006B4782">
      <w:pPr>
        <w:rPr>
          <w:szCs w:val="24"/>
          <w:rtl/>
        </w:rPr>
      </w:pPr>
    </w:p>
    <w:p w14:paraId="5EAAAFEC" w14:textId="0CADA33B" w:rsidR="00E41548" w:rsidRPr="00C7130A" w:rsidRDefault="00E22190" w:rsidP="000558B7">
      <w:pPr>
        <w:pStyle w:val="Heading3"/>
      </w:pPr>
      <w:bookmarkStart w:id="116" w:name="_Toc193030954"/>
      <w:r w:rsidRPr="00C7130A">
        <w:rPr>
          <w:rtl/>
        </w:rPr>
        <w:t>مُخطّط الدرس</w:t>
      </w:r>
      <w:bookmarkEnd w:id="116"/>
    </w:p>
    <w:p w14:paraId="64E0860E" w14:textId="77777777" w:rsidR="00E22190" w:rsidRPr="006B4782" w:rsidRDefault="00E22190"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bookmarkStart w:id="117" w:name="_Hlk190487918"/>
      <w:r w:rsidRPr="006B4782">
        <w:rPr>
          <w:rFonts w:eastAsia="Calibri"/>
          <w:kern w:val="0"/>
          <w:rtl/>
          <w14:ligatures w14:val="none"/>
        </w:rPr>
        <w:t xml:space="preserve">الموضوع 1: </w:t>
      </w:r>
      <w:r w:rsidRPr="006B4782">
        <w:rPr>
          <w:rFonts w:eastAsia="Calibri"/>
          <w:kern w:val="0"/>
          <w:rtl/>
          <w14:ligatures w14:val="none"/>
        </w:rPr>
        <w:tab/>
        <w:t xml:space="preserve">إعطاء توجيهات للآباء </w:t>
      </w:r>
    </w:p>
    <w:p w14:paraId="0B5318D7" w14:textId="77777777" w:rsidR="00E22190" w:rsidRPr="006B4782" w:rsidRDefault="00E22190"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6B4782">
        <w:rPr>
          <w:rFonts w:eastAsia="Calibri"/>
          <w:kern w:val="0"/>
          <w:rtl/>
          <w14:ligatures w14:val="none"/>
        </w:rPr>
        <w:t xml:space="preserve">الموضوع 2: </w:t>
      </w:r>
      <w:r w:rsidRPr="006B4782">
        <w:rPr>
          <w:rFonts w:eastAsia="Calibri"/>
          <w:kern w:val="0"/>
          <w:rtl/>
          <w14:ligatures w14:val="none"/>
        </w:rPr>
        <w:tab/>
        <w:t xml:space="preserve">العهد مع إبراهيم (تكوين 11: 27 – 25: 11) </w:t>
      </w:r>
    </w:p>
    <w:p w14:paraId="552BECAA" w14:textId="2152D070" w:rsidR="00E41548" w:rsidRPr="006B4782" w:rsidRDefault="00E22190"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14:ligatures w14:val="none"/>
        </w:rPr>
      </w:pPr>
      <w:r w:rsidRPr="006B4782">
        <w:rPr>
          <w:rFonts w:eastAsia="Calibri"/>
          <w:kern w:val="0"/>
          <w:rtl/>
          <w14:ligatures w14:val="none"/>
        </w:rPr>
        <w:t xml:space="preserve">الموضوع 3: </w:t>
      </w:r>
      <w:r w:rsidRPr="006B4782">
        <w:rPr>
          <w:rFonts w:eastAsia="Calibri"/>
          <w:kern w:val="0"/>
          <w:rtl/>
          <w14:ligatures w14:val="none"/>
        </w:rPr>
        <w:tab/>
        <w:t>قصتا يعقوب ويوسف (تكوين 25: 12 – 50: 26)</w:t>
      </w:r>
      <w:r w:rsidR="00E41548" w:rsidRPr="006B4782">
        <w:rPr>
          <w:rFonts w:eastAsia="Calibri"/>
          <w:kern w:val="0"/>
          <w14:ligatures w14:val="none"/>
        </w:rPr>
        <w:br/>
      </w:r>
    </w:p>
    <w:p w14:paraId="1123203C" w14:textId="04069F5D" w:rsidR="00E41548" w:rsidRPr="00C7130A" w:rsidRDefault="00E22190" w:rsidP="000558B7">
      <w:pPr>
        <w:pStyle w:val="Heading3"/>
      </w:pPr>
      <w:bookmarkStart w:id="118" w:name="_Toc193030955"/>
      <w:bookmarkEnd w:id="117"/>
      <w:r w:rsidRPr="00C7130A">
        <w:rPr>
          <w:rtl/>
        </w:rPr>
        <w:t>أهداف الدرس</w:t>
      </w:r>
      <w:bookmarkStart w:id="119" w:name="_Hlk178778144"/>
      <w:bookmarkEnd w:id="118"/>
    </w:p>
    <w:p w14:paraId="0B98558C" w14:textId="0E1EFEC9" w:rsidR="00E41548" w:rsidRPr="006B4782" w:rsidRDefault="00E22190" w:rsidP="00C7130A">
      <w:pPr>
        <w:spacing w:after="80"/>
        <w:rPr>
          <w:rFonts w:eastAsia="Calibri"/>
          <w:kern w:val="0"/>
          <w14:ligatures w14:val="none"/>
        </w:rPr>
      </w:pPr>
      <w:r w:rsidRPr="006B4782">
        <w:rPr>
          <w:rFonts w:eastAsia="Calibri"/>
          <w:kern w:val="0"/>
          <w:rtl/>
          <w14:ligatures w14:val="none"/>
        </w:rPr>
        <w:t xml:space="preserve">بانتهائك من دراسة هذا الدرس، ستكون قادرًا على ما يلي: </w:t>
      </w:r>
    </w:p>
    <w:p w14:paraId="532931F5" w14:textId="79A7999A" w:rsidR="00B372E7" w:rsidRPr="005204D1" w:rsidRDefault="00E22190">
      <w:pPr>
        <w:pStyle w:val="ListParagraph"/>
        <w:numPr>
          <w:ilvl w:val="0"/>
          <w:numId w:val="23"/>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5204D1">
        <w:rPr>
          <w:rFonts w:eastAsia="Calibri"/>
          <w:kern w:val="0"/>
          <w:rtl/>
          <w14:ligatures w14:val="none"/>
        </w:rPr>
        <w:t xml:space="preserve">أن تبيّن الوعود التي أُعطيت لإبراهيم (تكوين 12: 1-3)، وتشرح مغزى العهد الذي صُنِع معه (العهد الإبراهيمي الوارد في تكوين 15). </w:t>
      </w:r>
    </w:p>
    <w:p w14:paraId="2DBC949E" w14:textId="43F9C3DB" w:rsidR="00E22190" w:rsidRPr="005204D1" w:rsidRDefault="00E22190">
      <w:pPr>
        <w:pStyle w:val="ListParagraph"/>
        <w:numPr>
          <w:ilvl w:val="0"/>
          <w:numId w:val="23"/>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5204D1">
        <w:rPr>
          <w:rFonts w:eastAsia="Calibri"/>
          <w:kern w:val="0"/>
          <w:rtl/>
          <w14:ligatures w14:val="none"/>
        </w:rPr>
        <w:t xml:space="preserve">أن تفهم كيف نمّى الله إيمان إبراهيم (بالرغم من أخطاء وسقطات مؤسِّس الأمم الكثيرة)، وتشرح ما يمكن للمؤمنين اليوم أن يتعلّموه من هذا. </w:t>
      </w:r>
    </w:p>
    <w:p w14:paraId="5FDB80BF" w14:textId="38EB3648" w:rsidR="00E22190" w:rsidRPr="005204D1" w:rsidRDefault="00E22190">
      <w:pPr>
        <w:pStyle w:val="ListParagraph"/>
        <w:numPr>
          <w:ilvl w:val="0"/>
          <w:numId w:val="23"/>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5204D1">
        <w:rPr>
          <w:rFonts w:eastAsia="Calibri"/>
          <w:kern w:val="0"/>
          <w:rtl/>
          <w14:ligatures w14:val="none"/>
        </w:rPr>
        <w:lastRenderedPageBreak/>
        <w:t>أن تشرح السبب الذي لأجله يوجِّه الله إبراهيم ليقدِّم ابنه الموعود، إسحاق، ذبيحة، وحقيقة أن</w:t>
      </w:r>
      <w:r w:rsidR="00B965B2" w:rsidRPr="005204D1">
        <w:rPr>
          <w:rFonts w:eastAsia="Calibri"/>
          <w:kern w:val="0"/>
          <w:rtl/>
          <w14:ligatures w14:val="none"/>
        </w:rPr>
        <w:t>ّ</w:t>
      </w:r>
      <w:r w:rsidRPr="005204D1">
        <w:rPr>
          <w:rFonts w:eastAsia="Calibri"/>
          <w:kern w:val="0"/>
          <w:rtl/>
          <w14:ligatures w14:val="none"/>
        </w:rPr>
        <w:t xml:space="preserve"> الله كافَأ طاعة إبراهيم. </w:t>
      </w:r>
    </w:p>
    <w:p w14:paraId="71564410" w14:textId="7E24C7F2" w:rsidR="00E22190" w:rsidRPr="005204D1" w:rsidRDefault="00054B8E">
      <w:pPr>
        <w:pStyle w:val="ListParagraph"/>
        <w:numPr>
          <w:ilvl w:val="0"/>
          <w:numId w:val="23"/>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5204D1">
        <w:rPr>
          <w:rFonts w:eastAsia="Calibri"/>
          <w:kern w:val="0"/>
          <w:rtl/>
          <w14:ligatures w14:val="none"/>
        </w:rPr>
        <w:t xml:space="preserve">أن تشرح حقيقة أن حياة يعقوب تعكس طبيعة الأمّة (وما ينبغي للأمّة أن تتعلَّمه في ضوء جهاد يعقوب مع الله). </w:t>
      </w:r>
    </w:p>
    <w:p w14:paraId="64179D80" w14:textId="672989C4" w:rsidR="00054B8E" w:rsidRPr="005204D1" w:rsidRDefault="00054B8E">
      <w:pPr>
        <w:pStyle w:val="ListParagraph"/>
        <w:numPr>
          <w:ilvl w:val="0"/>
          <w:numId w:val="23"/>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5204D1">
        <w:rPr>
          <w:rFonts w:eastAsia="Calibri"/>
          <w:kern w:val="0"/>
          <w:rtl/>
          <w14:ligatures w14:val="none"/>
        </w:rPr>
        <w:t xml:space="preserve">أن تبيّن مغزى حياة يعقوب وحقيقة أنّه كان ظلًّا يُشير إلى الرب يسوع المسيح. </w:t>
      </w:r>
    </w:p>
    <w:bookmarkEnd w:id="119"/>
    <w:p w14:paraId="10555DAE" w14:textId="77777777" w:rsidR="00E41548" w:rsidRPr="00C7130A" w:rsidRDefault="00E41548" w:rsidP="00C7130A">
      <w:pPr>
        <w:tabs>
          <w:tab w:val="left" w:pos="0"/>
          <w:tab w:val="left" w:pos="540"/>
          <w:tab w:val="left" w:pos="1080"/>
          <w:tab w:val="left" w:pos="1620"/>
          <w:tab w:val="left" w:pos="2160"/>
          <w:tab w:val="left" w:pos="2700"/>
          <w:tab w:val="left" w:pos="3240"/>
          <w:tab w:val="left" w:pos="3780"/>
          <w:tab w:val="left" w:pos="4320"/>
          <w:tab w:val="left" w:pos="4860"/>
        </w:tabs>
        <w:spacing w:after="200"/>
        <w:ind w:left="720"/>
        <w:contextualSpacing/>
        <w:rPr>
          <w:rFonts w:eastAsia="Calibri"/>
          <w:kern w:val="0"/>
          <w:szCs w:val="24"/>
          <w14:ligatures w14:val="none"/>
        </w:rPr>
      </w:pPr>
      <w:r w:rsidRPr="00C7130A">
        <w:rPr>
          <w:rFonts w:eastAsia="Calibri"/>
          <w:kern w:val="0"/>
          <w:szCs w:val="24"/>
          <w14:ligatures w14:val="none"/>
        </w:rPr>
        <w:br w:type="page"/>
      </w:r>
    </w:p>
    <w:p w14:paraId="4BD2B374" w14:textId="77777777" w:rsidR="00054B8E" w:rsidRPr="00C7130A" w:rsidRDefault="00054B8E" w:rsidP="000558B7">
      <w:pPr>
        <w:pStyle w:val="Heading2B"/>
        <w:rPr>
          <w:rtl/>
        </w:rPr>
      </w:pPr>
      <w:bookmarkStart w:id="120" w:name="_Toc193030956"/>
      <w:r w:rsidRPr="00C7130A">
        <w:rPr>
          <w:rtl/>
        </w:rPr>
        <w:lastRenderedPageBreak/>
        <w:t xml:space="preserve">الموضوع 1: </w:t>
      </w:r>
      <w:r w:rsidRPr="00C7130A">
        <w:rPr>
          <w:rtl/>
        </w:rPr>
        <w:tab/>
        <w:t>إعطاء توجيهات للآباء</w:t>
      </w:r>
      <w:bookmarkEnd w:id="120"/>
      <w:r w:rsidRPr="00C7130A">
        <w:rPr>
          <w:rtl/>
        </w:rPr>
        <w:t xml:space="preserve"> </w:t>
      </w:r>
    </w:p>
    <w:p w14:paraId="069A87CB" w14:textId="077E45DA" w:rsidR="006311FA" w:rsidRPr="00C7130A" w:rsidRDefault="00054B8E" w:rsidP="000558B7">
      <w:pPr>
        <w:pStyle w:val="Heading3"/>
      </w:pPr>
      <w:bookmarkStart w:id="121" w:name="_Toc193030957"/>
      <w:r w:rsidRPr="00C7130A">
        <w:rPr>
          <w:noProof/>
        </w:rPr>
        <w:drawing>
          <wp:anchor distT="0" distB="0" distL="114300" distR="114300" simplePos="0" relativeHeight="251652096" behindDoc="0" locked="0" layoutInCell="1" allowOverlap="1" wp14:anchorId="5A8647C8" wp14:editId="7D3DAC17">
            <wp:simplePos x="0" y="0"/>
            <wp:positionH relativeFrom="column">
              <wp:posOffset>5668645</wp:posOffset>
            </wp:positionH>
            <wp:positionV relativeFrom="paragraph">
              <wp:posOffset>394970</wp:posOffset>
            </wp:positionV>
            <wp:extent cx="612140" cy="539115"/>
            <wp:effectExtent l="0" t="0" r="0" b="0"/>
            <wp:wrapSquare wrapText="right"/>
            <wp:docPr id="2070071592" name="Picture 207007159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140" cy="53911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22" w:name="_Hlk178778165"/>
      <w:bookmarkEnd w:id="121"/>
    </w:p>
    <w:p w14:paraId="16AC96B0" w14:textId="248E707E" w:rsidR="006311FA" w:rsidRPr="006B4782" w:rsidRDefault="00054B8E"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Cs/>
          <w:caps/>
          <w:noProof/>
          <w:color w:val="006699"/>
          <w:kern w:val="0"/>
          <w:u w:val="single"/>
          <w:rtl/>
          <w14:ligatures w14:val="none"/>
        </w:rPr>
      </w:pPr>
      <w:bookmarkStart w:id="123" w:name="_Hlk157175414"/>
      <w:r w:rsidRPr="006B4782">
        <w:rPr>
          <w:rFonts w:eastAsia="Calibri"/>
          <w:bCs/>
          <w:caps/>
          <w:noProof/>
          <w:color w:val="006699"/>
          <w:kern w:val="0"/>
          <w:u w:val="single"/>
          <w:rtl/>
          <w14:ligatures w14:val="none"/>
        </w:rPr>
        <w:t>القراءة:</w:t>
      </w:r>
    </w:p>
    <w:p w14:paraId="761D97C7" w14:textId="56AB718F" w:rsidR="006311FA" w:rsidRPr="006B4782" w:rsidRDefault="008B6A9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B4782">
        <w:rPr>
          <w:rFonts w:eastAsia="Calibri"/>
          <w:kern w:val="0"/>
          <w14:ligatures w14:val="none"/>
        </w:rPr>
        <w:t xml:space="preserve">      </w:t>
      </w:r>
      <w:bookmarkEnd w:id="123"/>
      <w:r w:rsidR="00054B8E" w:rsidRPr="006B4782">
        <w:rPr>
          <w:rFonts w:eastAsia="Calibri"/>
          <w:kern w:val="0"/>
          <w:rtl/>
          <w14:ligatures w14:val="none"/>
        </w:rPr>
        <w:t>اقرأ تكوين 11: 27 – 12: 9 في كتابك المُقدَّس (دعوة الله لإبراهيم بأن يغادر أور ويذهب إلى أرض كنعان).</w:t>
      </w:r>
    </w:p>
    <w:p w14:paraId="7BD84580" w14:textId="328E29B8" w:rsidR="00E872E2" w:rsidRPr="006B4782" w:rsidRDefault="00054B8E" w:rsidP="00C7130A">
      <w:pPr>
        <w:pStyle w:val="Heading4RED"/>
        <w:rPr>
          <w:rFonts w:cs="Arabic Typesetting"/>
          <w:sz w:val="36"/>
          <w:szCs w:val="36"/>
          <w:lang w:bidi="ar-JO"/>
        </w:rPr>
      </w:pPr>
      <w:r w:rsidRPr="005204D1">
        <w:rPr>
          <w:rFonts w:cs="Arabic Typesetting"/>
          <w:color w:val="auto"/>
          <w:sz w:val="36"/>
          <w:szCs w:val="36"/>
          <w:rtl/>
        </w:rPr>
        <w:lastRenderedPageBreak/>
        <w:t xml:space="preserve">أولًا: </w:t>
      </w:r>
      <w:r w:rsidRPr="005204D1">
        <w:rPr>
          <w:rFonts w:cs="Arabic Typesetting"/>
          <w:color w:val="auto"/>
          <w:sz w:val="36"/>
          <w:szCs w:val="36"/>
          <w:rtl/>
          <w:lang w:bidi="ar-JO"/>
        </w:rPr>
        <w:t>سلالة الآباء وارتباطها بأقارب إبراهيم</w:t>
      </w:r>
      <w:bookmarkEnd w:id="122"/>
      <w:r w:rsidR="002F290C" w:rsidRPr="006B4782">
        <w:rPr>
          <w:rFonts w:cs="Arabic Typesetting"/>
          <w:noProof/>
          <w:sz w:val="36"/>
          <w:szCs w:val="36"/>
          <w14:ligatures w14:val="none"/>
        </w:rPr>
        <w:drawing>
          <wp:anchor distT="0" distB="0" distL="114300" distR="114300" simplePos="0" relativeHeight="251658240" behindDoc="0" locked="0" layoutInCell="1" allowOverlap="1" wp14:anchorId="0E0E6210" wp14:editId="3276E340">
            <wp:simplePos x="0" y="0"/>
            <wp:positionH relativeFrom="column">
              <wp:posOffset>-918845</wp:posOffset>
            </wp:positionH>
            <wp:positionV relativeFrom="paragraph">
              <wp:posOffset>1372640</wp:posOffset>
            </wp:positionV>
            <wp:extent cx="6492240" cy="4224528"/>
            <wp:effectExtent l="0" t="1143000" r="0" b="1109980"/>
            <wp:wrapSquare wrapText="bothSides"/>
            <wp:docPr id="837526049"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26049" name="Picture 1" descr="A diagram of a diagram&#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rot="16200000">
                      <a:off x="0" y="0"/>
                      <a:ext cx="6492240" cy="4224528"/>
                    </a:xfrm>
                    <a:prstGeom prst="rect">
                      <a:avLst/>
                    </a:prstGeom>
                  </pic:spPr>
                </pic:pic>
              </a:graphicData>
            </a:graphic>
            <wp14:sizeRelH relativeFrom="margin">
              <wp14:pctWidth>0</wp14:pctWidth>
            </wp14:sizeRelH>
            <wp14:sizeRelV relativeFrom="margin">
              <wp14:pctHeight>0</wp14:pctHeight>
            </wp14:sizeRelV>
          </wp:anchor>
        </w:drawing>
      </w:r>
    </w:p>
    <w:p w14:paraId="4101AACF" w14:textId="734E0A8C" w:rsidR="00B372E7" w:rsidRPr="006B4782" w:rsidRDefault="00054B8E" w:rsidP="00C7130A">
      <w:pPr>
        <w:pStyle w:val="Heading4RED"/>
        <w:rPr>
          <w:rFonts w:cs="Arabic Typesetting"/>
          <w:sz w:val="36"/>
          <w:szCs w:val="36"/>
        </w:rPr>
      </w:pPr>
      <w:r w:rsidRPr="005204D1">
        <w:rPr>
          <w:rFonts w:cs="Arabic Typesetting"/>
          <w:color w:val="auto"/>
          <w:sz w:val="36"/>
          <w:szCs w:val="36"/>
          <w:rtl/>
        </w:rPr>
        <w:lastRenderedPageBreak/>
        <w:t>ثانيًا، هجرة عائلة إبراهيم إلى حاران</w:t>
      </w:r>
    </w:p>
    <w:p w14:paraId="1FAD0849" w14:textId="78E2ACDD" w:rsidR="00361C47" w:rsidRPr="00C7130A" w:rsidRDefault="00754F86" w:rsidP="00C7130A">
      <w:pPr>
        <w:pStyle w:val="Heading4RED"/>
        <w:rPr>
          <w:rFonts w:cs="Arabic Typesetting"/>
        </w:rPr>
      </w:pPr>
      <w:r w:rsidRPr="00C7130A">
        <w:rPr>
          <w:rFonts w:cs="Arabic Typesetting"/>
          <w:noProof/>
        </w:rPr>
        <w:drawing>
          <wp:inline distT="0" distB="0" distL="0" distR="0" wp14:anchorId="41F50082" wp14:editId="3961D2D9">
            <wp:extent cx="5935980" cy="3337560"/>
            <wp:effectExtent l="0" t="0" r="0" b="0"/>
            <wp:docPr id="13128855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35980" cy="3337560"/>
                    </a:xfrm>
                    <a:prstGeom prst="rect">
                      <a:avLst/>
                    </a:prstGeom>
                    <a:noFill/>
                    <a:ln>
                      <a:noFill/>
                    </a:ln>
                  </pic:spPr>
                </pic:pic>
              </a:graphicData>
            </a:graphic>
          </wp:inline>
        </w:drawing>
      </w:r>
    </w:p>
    <w:p w14:paraId="750641B1" w14:textId="77777777" w:rsidR="006B4782" w:rsidRDefault="006B4782" w:rsidP="00C7130A">
      <w:pPr>
        <w:pStyle w:val="Heading4RED"/>
        <w:tabs>
          <w:tab w:val="clear" w:pos="540"/>
        </w:tabs>
        <w:ind w:left="0" w:firstLine="0"/>
        <w:rPr>
          <w:rFonts w:cs="Arabic Typesetting"/>
          <w:rtl/>
        </w:rPr>
      </w:pPr>
      <w:bookmarkStart w:id="124" w:name="_Hlk178778210"/>
    </w:p>
    <w:p w14:paraId="403286EF" w14:textId="65728286" w:rsidR="00F571DA" w:rsidRPr="005204D1" w:rsidRDefault="00054B8E" w:rsidP="00C7130A">
      <w:pPr>
        <w:pStyle w:val="Heading4RED"/>
        <w:tabs>
          <w:tab w:val="clear" w:pos="540"/>
        </w:tabs>
        <w:ind w:left="0" w:firstLine="0"/>
        <w:rPr>
          <w:rFonts w:cs="Arabic Typesetting"/>
          <w:b w:val="0"/>
          <w:bCs w:val="0"/>
          <w:color w:val="auto"/>
          <w:sz w:val="36"/>
          <w:szCs w:val="36"/>
        </w:rPr>
      </w:pPr>
      <w:r w:rsidRPr="005204D1">
        <w:rPr>
          <w:rFonts w:cs="Arabic Typesetting"/>
          <w:color w:val="auto"/>
          <w:sz w:val="36"/>
          <w:szCs w:val="36"/>
          <w:rtl/>
        </w:rPr>
        <w:t xml:space="preserve">ثالثًا، الخط الزمني للآباء </w:t>
      </w:r>
      <w:r w:rsidRPr="005204D1">
        <w:rPr>
          <w:rFonts w:cs="Arabic Typesetting"/>
          <w:color w:val="auto"/>
          <w:sz w:val="36"/>
          <w:szCs w:val="36"/>
          <w:rtl/>
        </w:rPr>
        <w:tab/>
      </w:r>
      <w:r w:rsidRPr="005204D1">
        <w:rPr>
          <w:rFonts w:cs="Arabic Typesetting"/>
          <w:b w:val="0"/>
          <w:bCs w:val="0"/>
          <w:color w:val="auto"/>
          <w:sz w:val="36"/>
          <w:szCs w:val="36"/>
          <w:rtl/>
        </w:rPr>
        <w:t>(وُلِد إبراهيم عام 2166 ق.م.)</w:t>
      </w:r>
    </w:p>
    <w:bookmarkEnd w:id="124"/>
    <w:p w14:paraId="7C576939" w14:textId="6B153FFD" w:rsidR="00E84DB1" w:rsidRPr="00C7130A" w:rsidRDefault="00E84DB1" w:rsidP="00C7130A">
      <w:pPr>
        <w:pStyle w:val="Heading4RED"/>
        <w:tabs>
          <w:tab w:val="clear" w:pos="540"/>
        </w:tabs>
        <w:ind w:left="0" w:firstLine="0"/>
        <w:rPr>
          <w:rFonts w:cs="Arabic Typesetting"/>
        </w:rPr>
      </w:pPr>
      <w:r w:rsidRPr="00C7130A">
        <w:rPr>
          <w:rFonts w:cs="Arabic Typesetting"/>
          <w:noProof/>
        </w:rPr>
        <w:lastRenderedPageBreak/>
        <w:drawing>
          <wp:inline distT="0" distB="0" distL="0" distR="0" wp14:anchorId="2944C193" wp14:editId="544F8B9C">
            <wp:extent cx="5444519" cy="3810000"/>
            <wp:effectExtent l="0" t="0" r="0" b="0"/>
            <wp:docPr id="2050" name="Picture 4" descr="Patri Chronology">
              <a:extLst xmlns:a="http://schemas.openxmlformats.org/drawingml/2006/main">
                <a:ext uri="{FF2B5EF4-FFF2-40B4-BE49-F238E27FC236}">
                  <a16:creationId xmlns:a16="http://schemas.microsoft.com/office/drawing/2014/main" id="{2944FB5A-9693-1093-3EC0-7473CD5D88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4" descr="Patri Chronology">
                      <a:extLst>
                        <a:ext uri="{FF2B5EF4-FFF2-40B4-BE49-F238E27FC236}">
                          <a16:creationId xmlns:a16="http://schemas.microsoft.com/office/drawing/2014/main" id="{2944FB5A-9693-1093-3EC0-7473CD5D88FF}"/>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45950" cy="3811001"/>
                    </a:xfrm>
                    <a:prstGeom prst="rect">
                      <a:avLst/>
                    </a:prstGeom>
                    <a:noFill/>
                    <a:ln>
                      <a:noFill/>
                    </a:ln>
                  </pic:spPr>
                </pic:pic>
              </a:graphicData>
            </a:graphic>
          </wp:inline>
        </w:drawing>
      </w:r>
    </w:p>
    <w:p w14:paraId="33EA781F" w14:textId="0525C21F" w:rsidR="00DC7FD4" w:rsidRPr="005204D1" w:rsidRDefault="00DC7FD4" w:rsidP="00C7130A">
      <w:pPr>
        <w:pStyle w:val="Heading4RED"/>
        <w:rPr>
          <w:rFonts w:cs="Arabic Typesetting"/>
          <w:color w:val="auto"/>
          <w:sz w:val="36"/>
          <w:szCs w:val="36"/>
        </w:rPr>
      </w:pPr>
      <w:r w:rsidRPr="005204D1">
        <w:rPr>
          <w:rFonts w:cs="Arabic Typesetting"/>
          <w:color w:val="auto"/>
          <w:sz w:val="36"/>
          <w:szCs w:val="36"/>
        </w:rPr>
        <w:br w:type="page"/>
      </w:r>
      <w:r w:rsidR="00054B8E" w:rsidRPr="005204D1">
        <w:rPr>
          <w:rFonts w:cs="Arabic Typesetting"/>
          <w:color w:val="auto"/>
          <w:sz w:val="36"/>
          <w:szCs w:val="36"/>
          <w:rtl/>
        </w:rPr>
        <w:lastRenderedPageBreak/>
        <w:t>رابعًا، لوحة النظرة العامّة إلى تكوين 11: 27 – 25: 11</w:t>
      </w:r>
    </w:p>
    <w:p w14:paraId="6AFE44F4" w14:textId="70B49311" w:rsidR="00DC7FD4" w:rsidRPr="00C7130A" w:rsidRDefault="00DC7FD4" w:rsidP="00C7130A"/>
    <w:p w14:paraId="3A253E92" w14:textId="7834F023" w:rsidR="0048608E" w:rsidRPr="00C7130A" w:rsidRDefault="0048608E" w:rsidP="00C7130A">
      <w:r w:rsidRPr="00C7130A">
        <w:rPr>
          <w:noProof/>
        </w:rPr>
        <w:drawing>
          <wp:inline distT="0" distB="0" distL="0" distR="0" wp14:anchorId="21ED6255" wp14:editId="5F6B63C3">
            <wp:extent cx="5943600" cy="3893820"/>
            <wp:effectExtent l="0" t="0" r="0" b="0"/>
            <wp:docPr id="7145140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14025" name="Picture 1" descr="A screenshot of a computer&#10;&#10;Description automatically generated"/>
                    <pic:cNvPicPr/>
                  </pic:nvPicPr>
                  <pic:blipFill>
                    <a:blip r:embed="rId32"/>
                    <a:stretch>
                      <a:fillRect/>
                    </a:stretch>
                  </pic:blipFill>
                  <pic:spPr>
                    <a:xfrm>
                      <a:off x="0" y="0"/>
                      <a:ext cx="5943600" cy="3893820"/>
                    </a:xfrm>
                    <a:prstGeom prst="rect">
                      <a:avLst/>
                    </a:prstGeom>
                  </pic:spPr>
                </pic:pic>
              </a:graphicData>
            </a:graphic>
          </wp:inline>
        </w:drawing>
      </w:r>
    </w:p>
    <w:p w14:paraId="68D4B05A" w14:textId="77777777" w:rsidR="006B4782" w:rsidRDefault="006B4782" w:rsidP="000558B7">
      <w:pPr>
        <w:pStyle w:val="Heading3"/>
        <w:rPr>
          <w:rtl/>
        </w:rPr>
      </w:pPr>
      <w:bookmarkStart w:id="125" w:name="_Hlk178778276"/>
    </w:p>
    <w:p w14:paraId="14DE23E2" w14:textId="1C439C6D" w:rsidR="006311FA" w:rsidRPr="00C7130A" w:rsidRDefault="00054B8E" w:rsidP="000558B7">
      <w:pPr>
        <w:pStyle w:val="Heading2B"/>
      </w:pPr>
      <w:bookmarkStart w:id="126" w:name="_Toc193030958"/>
      <w:r w:rsidRPr="00C7130A">
        <w:rPr>
          <w:rtl/>
        </w:rPr>
        <w:t>الموضوع 2: العهد مع إبراهيم (تكوين 11: 27 – 25: 11)</w:t>
      </w:r>
      <w:bookmarkEnd w:id="126"/>
    </w:p>
    <w:p w14:paraId="6DCEDA14" w14:textId="77777777" w:rsidR="0048608E" w:rsidRPr="002D74FD" w:rsidRDefault="0048608E" w:rsidP="000558B7">
      <w:pPr>
        <w:pStyle w:val="Heading3"/>
        <w:rPr>
          <w:rtl/>
          <w:lang w:bidi="ar-JO"/>
        </w:rPr>
      </w:pPr>
      <w:bookmarkStart w:id="127" w:name="_Toc193030959"/>
      <w:bookmarkEnd w:id="125"/>
      <w:r w:rsidRPr="002D74FD">
        <w:rPr>
          <w:rtl/>
          <w:lang w:bidi="ar-JO"/>
        </w:rPr>
        <w:t>1.</w:t>
      </w:r>
      <w:r w:rsidRPr="002D74FD">
        <w:rPr>
          <w:rtl/>
          <w:lang w:bidi="ar-JO"/>
        </w:rPr>
        <w:tab/>
        <w:t>مقدمة</w:t>
      </w:r>
      <w:bookmarkEnd w:id="127"/>
      <w:r w:rsidRPr="002D74FD">
        <w:rPr>
          <w:rtl/>
          <w:lang w:bidi="ar-JO"/>
        </w:rPr>
        <w:t xml:space="preserve"> </w:t>
      </w:r>
    </w:p>
    <w:p w14:paraId="33912D6C"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D74FD">
        <w:rPr>
          <w:rFonts w:eastAsia="Times New Roman"/>
          <w:kern w:val="0"/>
          <w:rtl/>
          <w:lang w:bidi="ar-JO"/>
          <w14:ligatures w14:val="none"/>
        </w:rPr>
        <w:t xml:space="preserve">قسم </w:t>
      </w:r>
      <w:r w:rsidRPr="002D74FD">
        <w:rPr>
          <w:rFonts w:eastAsia="Times New Roman"/>
          <w:i/>
          <w:iCs/>
          <w:kern w:val="0"/>
          <w:rtl/>
          <w:lang w:bidi="ar-JO"/>
          <w14:ligatures w14:val="none"/>
        </w:rPr>
        <w:t>التوليدوت</w:t>
      </w:r>
      <w:r w:rsidRPr="002D74FD">
        <w:rPr>
          <w:rFonts w:eastAsia="Times New Roman"/>
          <w:kern w:val="0"/>
          <w:rtl/>
          <w:lang w:bidi="ar-JO"/>
          <w14:ligatures w14:val="none"/>
        </w:rPr>
        <w:t xml:space="preserve"> (</w:t>
      </w:r>
      <w:r w:rsidRPr="002D74FD">
        <w:rPr>
          <w:rFonts w:eastAsia="Times New Roman"/>
          <w:bCs/>
          <w:i/>
          <w:iCs/>
          <w:kern w:val="0"/>
          <w:lang w:bidi="ar-JO"/>
          <w14:ligatures w14:val="none"/>
        </w:rPr>
        <w:t>tôl</w:t>
      </w:r>
      <w:r w:rsidRPr="002D74FD">
        <w:rPr>
          <w:rFonts w:ascii="Times New Roman" w:eastAsia="Times New Roman" w:hAnsi="Times New Roman" w:cs="Times New Roman"/>
          <w:bCs/>
          <w:i/>
          <w:iCs/>
          <w:kern w:val="0"/>
          <w:lang w:bidi="ar-JO"/>
          <w14:ligatures w14:val="none"/>
        </w:rPr>
        <w:t>ᵊ</w:t>
      </w:r>
      <w:r w:rsidRPr="002D74FD">
        <w:rPr>
          <w:rFonts w:eastAsia="Times New Roman"/>
          <w:bCs/>
          <w:i/>
          <w:iCs/>
          <w:kern w:val="0"/>
          <w:lang w:bidi="ar-JO"/>
          <w14:ligatures w14:val="none"/>
        </w:rPr>
        <w:t>ḏôṯ</w:t>
      </w:r>
      <w:r w:rsidRPr="002D74FD">
        <w:rPr>
          <w:rFonts w:eastAsia="Times New Roman"/>
          <w:kern w:val="0"/>
          <w:rtl/>
          <w14:ligatures w14:val="none"/>
        </w:rPr>
        <w:t>)</w:t>
      </w:r>
      <w:r w:rsidRPr="002D74FD">
        <w:rPr>
          <w:rFonts w:eastAsia="Times New Roman"/>
          <w:kern w:val="0"/>
          <w:rtl/>
          <w:lang w:bidi="ar-JO"/>
          <w14:ligatures w14:val="none"/>
        </w:rPr>
        <w:t xml:space="preserve"> هذا هو قلب سفر التكوين.  وسفر التكوين في واقع الأمر أساس أمة إسرائيل الثيوقراطية، ويتركز هذا الأساس على العهد والوعود التي قطعها الله لإبراهيم.  لقد كان كل شيء حتى هذه النقطة إعداداً لإعلان البرنامج الإلهي في تكوين 12.  فأي أمل هناك للأمم المتفرقة بلا رجاء والتي فاتتها بركات الله؟ من هذه الخلفية الكئيبة يبدأ الله برنامجاً جديداً مع رجل سينشئ من خلاله أمّة خاصة.  وسيؤدي هذا في نهاية الأمر إلى مجيء المسيح (الذي هو من نسل إبراهيم) الذي سيتحقق من خلاله ملء بركة الله لكل الشعوب.  وستتضمن خطة الله الفداء كوسيلة للوصول إلى هذه الغاية.  سنجري مسحاً مختصراً لأهم النقاط في كل وحدة من هذا القسم، وبعد ذلك سنناقش البندين الرئيسيين من </w:t>
      </w:r>
      <w:r w:rsidRPr="002D74FD">
        <w:rPr>
          <w:rFonts w:eastAsia="Times New Roman"/>
          <w:i/>
          <w:iCs/>
          <w:kern w:val="0"/>
          <w:rtl/>
          <w:lang w:bidi="ar-JO"/>
          <w14:ligatures w14:val="none"/>
        </w:rPr>
        <w:t>التوليدوت (</w:t>
      </w:r>
      <w:r w:rsidRPr="002D74FD">
        <w:rPr>
          <w:rFonts w:eastAsia="Times New Roman"/>
          <w:bCs/>
          <w:i/>
          <w:iCs/>
          <w:kern w:val="0"/>
          <w:lang w:bidi="ar-JO"/>
          <w14:ligatures w14:val="none"/>
        </w:rPr>
        <w:t>tôl</w:t>
      </w:r>
      <w:r w:rsidRPr="002D74FD">
        <w:rPr>
          <w:rFonts w:ascii="Times New Roman" w:eastAsia="Times New Roman" w:hAnsi="Times New Roman" w:cs="Times New Roman"/>
          <w:bCs/>
          <w:i/>
          <w:iCs/>
          <w:kern w:val="0"/>
          <w:lang w:bidi="ar-JO"/>
          <w14:ligatures w14:val="none"/>
        </w:rPr>
        <w:t>ᵊ</w:t>
      </w:r>
      <w:r w:rsidRPr="002D74FD">
        <w:rPr>
          <w:rFonts w:eastAsia="Times New Roman"/>
          <w:bCs/>
          <w:i/>
          <w:iCs/>
          <w:kern w:val="0"/>
          <w:lang w:bidi="ar-JO"/>
          <w14:ligatures w14:val="none"/>
        </w:rPr>
        <w:t>ḏôṯ</w:t>
      </w:r>
      <w:r w:rsidRPr="002D74FD">
        <w:rPr>
          <w:rFonts w:eastAsia="Times New Roman"/>
          <w:kern w:val="0"/>
          <w:rtl/>
          <w14:ligatures w14:val="none"/>
        </w:rPr>
        <w:t>)</w:t>
      </w:r>
      <w:r w:rsidRPr="002D74FD">
        <w:rPr>
          <w:rFonts w:eastAsia="Times New Roman"/>
          <w:kern w:val="0"/>
          <w:rtl/>
          <w:lang w:bidi="ar-JO"/>
          <w14:ligatures w14:val="none"/>
        </w:rPr>
        <w:t>: (1) العهد مع إبراهيم و (2) تطوّر إيمان إبراهيم.</w:t>
      </w:r>
    </w:p>
    <w:p w14:paraId="63886153"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20A85DF" w14:textId="77777777" w:rsidR="0048608E" w:rsidRPr="002D74FD" w:rsidRDefault="0048608E" w:rsidP="000558B7">
      <w:pPr>
        <w:pStyle w:val="Heading3"/>
        <w:rPr>
          <w:rtl/>
          <w:lang w:bidi="ar-JO"/>
        </w:rPr>
      </w:pPr>
      <w:bookmarkStart w:id="128" w:name="_Toc193030960"/>
      <w:r w:rsidRPr="002D74FD">
        <w:rPr>
          <w:rtl/>
          <w:lang w:bidi="ar-JO"/>
        </w:rPr>
        <w:lastRenderedPageBreak/>
        <w:t>2.</w:t>
      </w:r>
      <w:r w:rsidRPr="002D74FD">
        <w:rPr>
          <w:rtl/>
          <w:lang w:bidi="ar-JO"/>
        </w:rPr>
        <w:tab/>
        <w:t>أهم الأحداث في تكوين 11: 27-25: 11</w:t>
      </w:r>
      <w:bookmarkEnd w:id="128"/>
    </w:p>
    <w:p w14:paraId="68BE71E2" w14:textId="77777777" w:rsidR="0048608E" w:rsidRPr="002D74FD" w:rsidRDefault="0048608E" w:rsidP="00C7130A">
      <w:pPr>
        <w:tabs>
          <w:tab w:val="left" w:pos="454"/>
        </w:tabs>
        <w:spacing w:after="60"/>
        <w:ind w:left="550" w:hanging="550"/>
        <w:jc w:val="both"/>
        <w:rPr>
          <w:rFonts w:eastAsia="Times New Roman"/>
          <w:bCs/>
          <w:kern w:val="0"/>
          <w:rtl/>
          <w14:ligatures w14:val="none"/>
        </w:rPr>
      </w:pPr>
      <w:r w:rsidRPr="002D74FD">
        <w:rPr>
          <w:rFonts w:eastAsia="Times New Roman"/>
          <w:bCs/>
          <w:kern w:val="0"/>
          <w:rtl/>
          <w14:ligatures w14:val="none"/>
        </w:rPr>
        <w:t>أ.</w:t>
      </w:r>
      <w:r w:rsidRPr="002D74FD">
        <w:rPr>
          <w:rFonts w:eastAsia="Times New Roman"/>
          <w:bCs/>
          <w:kern w:val="0"/>
          <w:rtl/>
          <w14:ligatures w14:val="none"/>
        </w:rPr>
        <w:tab/>
        <w:t>اختيار أبرام للبرنامج الإلهي (11: 27-12: 9)</w:t>
      </w:r>
    </w:p>
    <w:p w14:paraId="6D23DBF2" w14:textId="77777777" w:rsidR="0048608E" w:rsidRPr="002D74FD"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D74FD">
        <w:rPr>
          <w:rFonts w:eastAsia="Times New Roman"/>
          <w:kern w:val="0"/>
          <w:rtl/>
          <w:lang w:bidi="ar-JO"/>
          <w14:ligatures w14:val="none"/>
        </w:rPr>
        <w:t>1.</w:t>
      </w:r>
      <w:r w:rsidRPr="002D74FD">
        <w:rPr>
          <w:rFonts w:eastAsia="Times New Roman"/>
          <w:kern w:val="0"/>
          <w:rtl/>
          <w:lang w:bidi="ar-JO"/>
          <w14:ligatures w14:val="none"/>
        </w:rPr>
        <w:tab/>
        <w:t>سجل مواليد تارح (11: 27-32)</w:t>
      </w:r>
    </w:p>
    <w:p w14:paraId="13B9B287"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D74FD">
        <w:rPr>
          <w:rFonts w:eastAsia="Times New Roman"/>
          <w:kern w:val="0"/>
          <w:rtl/>
          <w:lang w:bidi="ar-JO"/>
          <w14:ligatures w14:val="none"/>
        </w:rPr>
        <w:t xml:space="preserve">يبدأ </w:t>
      </w:r>
      <w:r w:rsidRPr="002D74FD">
        <w:rPr>
          <w:rFonts w:eastAsia="Times New Roman"/>
          <w:i/>
          <w:iCs/>
          <w:kern w:val="0"/>
          <w:rtl/>
          <w:lang w:bidi="ar-JO"/>
          <w14:ligatures w14:val="none"/>
        </w:rPr>
        <w:t>التوليدوت (</w:t>
      </w:r>
      <w:r w:rsidRPr="002D74FD">
        <w:rPr>
          <w:rFonts w:eastAsia="Times New Roman"/>
          <w:bCs/>
          <w:i/>
          <w:iCs/>
          <w:kern w:val="0"/>
          <w:lang w:bidi="ar-JO"/>
          <w14:ligatures w14:val="none"/>
        </w:rPr>
        <w:t>tôl</w:t>
      </w:r>
      <w:r w:rsidRPr="002D74FD">
        <w:rPr>
          <w:rFonts w:ascii="Times New Roman" w:eastAsia="Times New Roman" w:hAnsi="Times New Roman" w:cs="Times New Roman"/>
          <w:bCs/>
          <w:i/>
          <w:iCs/>
          <w:kern w:val="0"/>
          <w:lang w:bidi="ar-JO"/>
          <w14:ligatures w14:val="none"/>
        </w:rPr>
        <w:t>ᵊ</w:t>
      </w:r>
      <w:r w:rsidRPr="002D74FD">
        <w:rPr>
          <w:rFonts w:eastAsia="Times New Roman"/>
          <w:bCs/>
          <w:i/>
          <w:iCs/>
          <w:kern w:val="0"/>
          <w:lang w:bidi="ar-JO"/>
          <w14:ligatures w14:val="none"/>
        </w:rPr>
        <w:t>ḏôṯ</w:t>
      </w:r>
      <w:r w:rsidRPr="002D74FD">
        <w:rPr>
          <w:rFonts w:eastAsia="Times New Roman"/>
          <w:kern w:val="0"/>
          <w:rtl/>
          <w14:ligatures w14:val="none"/>
        </w:rPr>
        <w:t>)</w:t>
      </w:r>
      <w:r w:rsidRPr="002D74FD">
        <w:rPr>
          <w:rFonts w:eastAsia="Times New Roman"/>
          <w:kern w:val="0"/>
          <w:rtl/>
          <w:lang w:bidi="ar-JO"/>
          <w14:ligatures w14:val="none"/>
        </w:rPr>
        <w:t xml:space="preserve"> الجديد بالآية 11: 27 واسم تارح.  والسؤال هو: ما الذي حدث لتارح، أو ما الذي آل إليه أمره؟ لقد جاء نسل إبراهيم من تارح ونتج أيضاً برنامج إلهي من خلال العهد.  وهذا القسم مقدمة تعطينا خلفية العائلة وأصلها (انظر يشوع 24: 2، 3؛ أعمال 7: 2-8).</w:t>
      </w:r>
    </w:p>
    <w:p w14:paraId="56028FD3"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3B5486FE" w14:textId="77777777" w:rsidR="0048608E" w:rsidRPr="002D74FD"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D74FD">
        <w:rPr>
          <w:rFonts w:eastAsia="Times New Roman"/>
          <w:kern w:val="0"/>
          <w:rtl/>
          <w:lang w:bidi="ar-JO"/>
          <w14:ligatures w14:val="none"/>
        </w:rPr>
        <w:t>2.</w:t>
      </w:r>
      <w:r w:rsidRPr="002D74FD">
        <w:rPr>
          <w:rFonts w:eastAsia="Times New Roman"/>
          <w:kern w:val="0"/>
          <w:rtl/>
          <w:lang w:bidi="ar-JO"/>
          <w14:ligatures w14:val="none"/>
        </w:rPr>
        <w:tab/>
        <w:t>دعوة أبرام (12: 1-9)</w:t>
      </w:r>
    </w:p>
    <w:p w14:paraId="34CB82FC"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D74FD">
        <w:rPr>
          <w:rFonts w:eastAsia="Times New Roman"/>
          <w:kern w:val="0"/>
          <w:rtl/>
          <w:lang w:bidi="ar-JO"/>
          <w14:ligatures w14:val="none"/>
        </w:rPr>
        <w:t>يشكل هذا القسم بالإضافة إلى الأصحاح 15 مفتاحاً لفهم السفر كله (والعهد القديم كلّه أيضاً!).  كان أبرام وثنياً في أور الكلدانيين، فواجه فجأة مجد الله بخطة إلهية لجلب البركة إلى العالم.  ولا تخبرنا هذه الفقرة عن البرنامج الإلهي فحسب، لكنها تعلّمنا أيضاً أن الإيمان يطيع كلمة الرب!</w:t>
      </w:r>
    </w:p>
    <w:p w14:paraId="7E6CC6AC"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6D48311"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1B4CB31" w14:textId="77777777" w:rsidR="0048608E" w:rsidRPr="002D74FD" w:rsidRDefault="0048608E" w:rsidP="00C7130A">
      <w:pPr>
        <w:tabs>
          <w:tab w:val="left" w:pos="454"/>
        </w:tabs>
        <w:spacing w:after="60"/>
        <w:ind w:left="550" w:hanging="550"/>
        <w:jc w:val="both"/>
        <w:rPr>
          <w:rFonts w:eastAsia="Times New Roman"/>
          <w:bCs/>
          <w:kern w:val="0"/>
          <w:rtl/>
          <w14:ligatures w14:val="none"/>
        </w:rPr>
      </w:pPr>
      <w:r w:rsidRPr="002D74FD">
        <w:rPr>
          <w:rFonts w:eastAsia="Times New Roman"/>
          <w:bCs/>
          <w:kern w:val="0"/>
          <w:rtl/>
          <w14:ligatures w14:val="none"/>
        </w:rPr>
        <w:t>ب.</w:t>
      </w:r>
      <w:r w:rsidRPr="002D74FD">
        <w:rPr>
          <w:rFonts w:eastAsia="Times New Roman"/>
          <w:bCs/>
          <w:kern w:val="0"/>
          <w:rtl/>
          <w14:ligatures w14:val="none"/>
        </w:rPr>
        <w:tab/>
        <w:t>الجهاد للإيمان بالله في ما يتعلق بالأرض (12: 10-15: 21)</w:t>
      </w:r>
    </w:p>
    <w:p w14:paraId="002B02DF" w14:textId="7ACB8C35" w:rsidR="00DC7FD4" w:rsidRPr="002D74FD" w:rsidRDefault="00DC7FD4" w:rsidP="00C7130A">
      <w:pPr>
        <w:tabs>
          <w:tab w:val="left" w:pos="547"/>
          <w:tab w:val="left" w:pos="1094"/>
          <w:tab w:val="left" w:pos="1642"/>
          <w:tab w:val="left" w:pos="2189"/>
          <w:tab w:val="left" w:pos="2736"/>
          <w:tab w:val="left" w:pos="3283"/>
          <w:tab w:val="left" w:pos="3830"/>
          <w:tab w:val="left" w:pos="4378"/>
        </w:tabs>
        <w:spacing w:after="120"/>
        <w:jc w:val="both"/>
        <w:outlineLvl w:val="4"/>
        <w:rPr>
          <w:rFonts w:eastAsia="Times New Roman"/>
          <w:b/>
          <w:bCs/>
          <w:iCs/>
          <w:kern w:val="0"/>
          <w14:ligatures w14:val="none"/>
        </w:rPr>
      </w:pPr>
    </w:p>
    <w:p w14:paraId="54828648" w14:textId="3787869F" w:rsidR="001C7F8D" w:rsidRPr="002D74FD" w:rsidRDefault="001C7F8D"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129" w:name="_Hlk157175543"/>
      <w:r w:rsidRPr="00C7130A">
        <w:rPr>
          <w:rFonts w:eastAsia="Calibri"/>
          <w:b/>
          <w:caps/>
          <w:noProof/>
          <w:color w:val="006699"/>
          <w:kern w:val="0"/>
          <w:sz w:val="21"/>
          <w:szCs w:val="24"/>
          <w14:ligatures w14:val="none"/>
        </w:rPr>
        <w:drawing>
          <wp:inline distT="0" distB="0" distL="0" distR="0" wp14:anchorId="25284389" wp14:editId="14B3B11E">
            <wp:extent cx="613692" cy="541464"/>
            <wp:effectExtent l="0" t="0" r="0" b="0"/>
            <wp:docPr id="563020072" name="Picture 56302007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054B8E" w:rsidRPr="002D74FD">
        <w:rPr>
          <w:rFonts w:eastAsia="Calibri"/>
          <w:bCs/>
          <w:caps/>
          <w:color w:val="006699"/>
          <w:kern w:val="0"/>
          <w:u w:val="single"/>
          <w:rtl/>
          <w14:ligatures w14:val="none"/>
        </w:rPr>
        <w:t>القراءة:</w:t>
      </w:r>
      <w:r w:rsidR="00054B8E" w:rsidRPr="002D74FD">
        <w:rPr>
          <w:rFonts w:eastAsia="Calibri"/>
          <w:b/>
          <w:caps/>
          <w:color w:val="006699"/>
          <w:kern w:val="0"/>
          <w:u w:val="single"/>
          <w:rtl/>
          <w14:ligatures w14:val="none"/>
        </w:rPr>
        <w:t xml:space="preserve"> </w:t>
      </w:r>
    </w:p>
    <w:p w14:paraId="095EAD38" w14:textId="25E08E31" w:rsidR="001C7F8D" w:rsidRPr="002D74FD" w:rsidRDefault="001C7F8D" w:rsidP="00C7130A">
      <w:pPr>
        <w:tabs>
          <w:tab w:val="left" w:pos="547"/>
          <w:tab w:val="left" w:pos="1094"/>
          <w:tab w:val="left" w:pos="1642"/>
          <w:tab w:val="left" w:pos="2189"/>
          <w:tab w:val="left" w:pos="2736"/>
          <w:tab w:val="left" w:pos="3283"/>
          <w:tab w:val="left" w:pos="3830"/>
          <w:tab w:val="left" w:pos="4378"/>
        </w:tabs>
        <w:spacing w:after="120"/>
        <w:jc w:val="both"/>
        <w:outlineLvl w:val="4"/>
        <w:rPr>
          <w:rFonts w:eastAsia="Times New Roman"/>
          <w:b/>
          <w:bCs/>
          <w:iCs/>
          <w:kern w:val="0"/>
          <w14:ligatures w14:val="none"/>
        </w:rPr>
      </w:pPr>
      <w:r w:rsidRPr="002D74FD">
        <w:rPr>
          <w:rFonts w:eastAsia="Calibri"/>
          <w:kern w:val="0"/>
          <w14:ligatures w14:val="none"/>
        </w:rPr>
        <w:tab/>
      </w:r>
      <w:r w:rsidRPr="002D74FD">
        <w:rPr>
          <w:rFonts w:eastAsia="Calibri"/>
          <w:kern w:val="0"/>
          <w14:ligatures w14:val="none"/>
        </w:rPr>
        <w:tab/>
      </w:r>
      <w:r w:rsidR="00054B8E" w:rsidRPr="002D74FD">
        <w:rPr>
          <w:rFonts w:eastAsia="Calibri"/>
          <w:kern w:val="0"/>
          <w:rtl/>
          <w14:ligatures w14:val="none"/>
        </w:rPr>
        <w:t xml:space="preserve">اقرأ تكوين 12: 10 – 15: 21 في كتابك المُقدَّس. </w:t>
      </w:r>
    </w:p>
    <w:bookmarkEnd w:id="129"/>
    <w:p w14:paraId="3BD8F27C" w14:textId="77777777" w:rsidR="0048608E" w:rsidRPr="002D74FD" w:rsidRDefault="0048608E" w:rsidP="00C7130A">
      <w:pPr>
        <w:jc w:val="center"/>
        <w:rPr>
          <w:rFonts w:eastAsia="Times New Roman"/>
          <w:bCs/>
          <w:kern w:val="0"/>
          <w:rtl/>
          <w:lang w:bidi="ar-JO"/>
          <w14:ligatures w14:val="none"/>
        </w:rPr>
      </w:pPr>
    </w:p>
    <w:p w14:paraId="0CDB5C7C" w14:textId="77777777" w:rsidR="0048608E" w:rsidRPr="002D74FD"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D74FD">
        <w:rPr>
          <w:rFonts w:eastAsia="Times New Roman"/>
          <w:kern w:val="0"/>
          <w:rtl/>
          <w:lang w:bidi="ar-JO"/>
          <w14:ligatures w14:val="none"/>
        </w:rPr>
        <w:t>1.</w:t>
      </w:r>
      <w:r w:rsidRPr="002D74FD">
        <w:rPr>
          <w:rFonts w:eastAsia="Times New Roman"/>
          <w:kern w:val="0"/>
          <w:rtl/>
          <w:lang w:bidi="ar-JO"/>
          <w14:ligatures w14:val="none"/>
        </w:rPr>
        <w:tab/>
        <w:t>التغرّب في مصر (12: 10-20)</w:t>
      </w:r>
    </w:p>
    <w:p w14:paraId="5677C7EE"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D74FD">
        <w:rPr>
          <w:rFonts w:eastAsia="Times New Roman"/>
          <w:kern w:val="0"/>
          <w:rtl/>
          <w:lang w:bidi="ar-JO"/>
          <w14:ligatures w14:val="none"/>
        </w:rPr>
        <w:t>ليس إبراهيم عند هذه النقطة الرجل الناضج الذي يسلك بالإيمان، فهو يغادر أرض الموعد ليتغرّب في مصر بسبب مجاعة.  وفضلاً عن ذلك، فإنه يلجأ إلى خطط تتسم بالخداع.  فنحن نراه يتعثر مستخدماً الأساليب البشرية معرضاً الوعود للخطر.  غير أن الله في نعمته يحمي خطته الإلهية فيتدخل وينقذ.  لنلاحظ أيضاً التوازي المتعمّد بين هذا الحدث وبين عبودية الأمّة في مصر، كما لو أن الأحداث في حياة إبراهيم تتوقع ما سيحدث لإسرائيل في مصر.</w:t>
      </w:r>
    </w:p>
    <w:p w14:paraId="4C3DC8DB" w14:textId="77777777" w:rsidR="0048608E" w:rsidRPr="002D74FD"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D74FD">
        <w:rPr>
          <w:rFonts w:eastAsia="Times New Roman"/>
          <w:kern w:val="0"/>
          <w:rtl/>
          <w:lang w:bidi="ar-JO"/>
          <w14:ligatures w14:val="none"/>
        </w:rPr>
        <w:lastRenderedPageBreak/>
        <w:t>2.</w:t>
      </w:r>
      <w:r w:rsidRPr="002D74FD">
        <w:rPr>
          <w:rFonts w:eastAsia="Times New Roman"/>
          <w:kern w:val="0"/>
          <w:rtl/>
          <w:lang w:bidi="ar-JO"/>
          <w14:ligatures w14:val="none"/>
        </w:rPr>
        <w:tab/>
        <w:t>الخصام مع لوط (13: 11-18)</w:t>
      </w:r>
    </w:p>
    <w:p w14:paraId="794F59C3"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D74FD">
        <w:rPr>
          <w:rFonts w:eastAsia="Times New Roman"/>
          <w:kern w:val="0"/>
          <w:rtl/>
          <w:lang w:bidi="ar-JO"/>
          <w14:ligatures w14:val="none"/>
        </w:rPr>
        <w:t>ترك أبرام لوطاً، بعد الخصام بينهما، يختار أولاً الأرض التي يريدها.  والفكرة هنا هي توضيح كيف أن الإيمان يحل الخصام: بالكرم.  فليست هنالك حاجة إلى أن يتصرّف بأنانية، بل يمكنه أن يكون كريماً، لأن لديه الوعد الأكيد بالأرض من يهوه.</w:t>
      </w:r>
    </w:p>
    <w:p w14:paraId="743396BB" w14:textId="77777777" w:rsidR="0048608E" w:rsidRPr="002D74FD"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D74FD">
        <w:rPr>
          <w:rFonts w:eastAsia="Times New Roman"/>
          <w:kern w:val="0"/>
          <w:rtl/>
          <w:lang w:bidi="ar-JO"/>
          <w14:ligatures w14:val="none"/>
        </w:rPr>
        <w:t>3.</w:t>
      </w:r>
      <w:r w:rsidRPr="002D74FD">
        <w:rPr>
          <w:rFonts w:eastAsia="Times New Roman"/>
          <w:kern w:val="0"/>
          <w:rtl/>
          <w:lang w:bidi="ar-JO"/>
          <w14:ligatures w14:val="none"/>
        </w:rPr>
        <w:tab/>
        <w:t>إنقاذ لوط من الغزاة (14: 1-16)</w:t>
      </w:r>
    </w:p>
    <w:p w14:paraId="7A2A7EBD"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D74FD">
        <w:rPr>
          <w:rFonts w:eastAsia="Times New Roman"/>
          <w:kern w:val="0"/>
          <w:rtl/>
          <w:lang w:bidi="ar-JO"/>
          <w14:ligatures w14:val="none"/>
        </w:rPr>
        <w:t>في منازعات دولية، ينصر الله أبرام على جيوش الأعداء الذين ينهبون أرض الموعد.  وليس التركيز هنا على الإيمان بقدر ما هو على تطوّر الوعد لكي يجعل الله أبرام عظيماً ويبارك من يباركونه ويلعن من يلعنونه.</w:t>
      </w:r>
    </w:p>
    <w:p w14:paraId="4B4D0DC6" w14:textId="77777777" w:rsidR="0048608E" w:rsidRPr="002D74FD"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D74FD">
        <w:rPr>
          <w:rFonts w:eastAsia="Times New Roman"/>
          <w:kern w:val="0"/>
          <w:rtl/>
          <w:lang w:bidi="ar-JO"/>
          <w14:ligatures w14:val="none"/>
        </w:rPr>
        <w:t>4.</w:t>
      </w:r>
      <w:r w:rsidRPr="002D74FD">
        <w:rPr>
          <w:rFonts w:eastAsia="Times New Roman"/>
          <w:kern w:val="0"/>
          <w:rtl/>
          <w:lang w:bidi="ar-JO"/>
          <w14:ligatures w14:val="none"/>
        </w:rPr>
        <w:tab/>
        <w:t>ملكي صادق وملك سدوم يقابلان أبرام (14: 17-15: 6)</w:t>
      </w:r>
    </w:p>
    <w:p w14:paraId="66163B2C"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D74FD">
        <w:rPr>
          <w:rFonts w:eastAsia="Times New Roman"/>
          <w:kern w:val="0"/>
          <w:rtl/>
          <w:lang w:bidi="ar-JO"/>
          <w14:ligatures w14:val="none"/>
        </w:rPr>
        <w:t xml:space="preserve">بعد انتصارٍ عظيم يُمتحن إيمان إبراهيم.  فهل يثمّن صفقة دنيوية يعرضها ملك سدوم، أم أنه سيثمن بركة الله العلي من خلال ملكي صادق (الذي يوحي اسمه بحُكم بارٍّ كممثل لله)؟  من الواضح أن أبرام يرغب في شيء أكثر ديمومة من الكنوز الدنيوية؛ ولن يقنع إلاّ بتحقيق وعد الله... الوعد الإعجازي والدائم.  ويُثني الله في (15: 1-6) على قراره الحكيم، ويؤكد له أن واحداً من صلبه سيرثه ويبدأ النسل الذي لا يُحصى. </w:t>
      </w:r>
    </w:p>
    <w:p w14:paraId="7DE8E371"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D74FD">
        <w:rPr>
          <w:rFonts w:eastAsia="Times New Roman"/>
          <w:kern w:val="0"/>
          <w:rtl/>
          <w:lang w:bidi="ar-JO"/>
          <w14:ligatures w14:val="none"/>
        </w:rPr>
        <w:t xml:space="preserve"> </w:t>
      </w:r>
    </w:p>
    <w:p w14:paraId="6A6A6BCC"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2D74FD">
        <w:rPr>
          <w:rFonts w:eastAsia="Times New Roman"/>
          <w:kern w:val="0"/>
          <w:rtl/>
          <w:lang w:bidi="ar-JO"/>
          <w14:ligatures w14:val="none"/>
        </w:rPr>
        <w:t>الآية 15: 6 أساسية جداً لأنها تبين منذ بداية برنامج عهد الله أن البِر يُحسب على أساس الإيمان (انظر رومية 4).  غير أن هذه الآية لا تهدف إلى أن "اهتداء" (تجديد) أبرام جاء نتيجة للدرس الذي أُعطي للتو.</w:t>
      </w:r>
      <w:r w:rsidRPr="002D74FD">
        <w:rPr>
          <w:rFonts w:eastAsia="Times New Roman"/>
          <w:kern w:val="0"/>
          <w:vertAlign w:val="superscript"/>
          <w:rtl/>
          <w:lang w:bidi="ar-JO"/>
          <w14:ligatures w14:val="none"/>
        </w:rPr>
        <w:footnoteReference w:customMarkFollows="1" w:id="38"/>
        <w:t>1</w:t>
      </w:r>
      <w:r w:rsidRPr="002D74FD">
        <w:rPr>
          <w:rFonts w:eastAsia="Times New Roman"/>
          <w:kern w:val="0"/>
          <w:rtl/>
          <w:lang w:bidi="ar-JO"/>
          <w14:ligatures w14:val="none"/>
        </w:rPr>
        <w:t xml:space="preserve">  لكنها موضوعة هنا كتلخيص لما سبق أن حدث، مهيئاً إيانا لقطع العهد الذي سيلي ذلك.  ويقترح روس هذه الترجمة: "وكان أبرام قد آمن بالرب، فحُسب له براً."</w:t>
      </w:r>
      <w:r w:rsidRPr="002D74FD">
        <w:rPr>
          <w:rFonts w:eastAsia="Times New Roman"/>
          <w:kern w:val="0"/>
          <w:vertAlign w:val="superscript"/>
          <w:rtl/>
          <w:lang w:bidi="ar-JO"/>
          <w14:ligatures w14:val="none"/>
        </w:rPr>
        <w:footnoteReference w:customMarkFollows="1" w:id="39"/>
        <w:t>2</w:t>
      </w:r>
      <w:r w:rsidRPr="002D74FD">
        <w:rPr>
          <w:rFonts w:eastAsia="Times New Roman"/>
          <w:kern w:val="0"/>
          <w:rtl/>
          <w:lang w:bidi="ar-JO"/>
          <w14:ligatures w14:val="none"/>
        </w:rPr>
        <w:t xml:space="preserve"> </w:t>
      </w:r>
    </w:p>
    <w:p w14:paraId="0FB653CB"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p>
    <w:p w14:paraId="60B94EB0" w14:textId="77777777" w:rsidR="0048608E" w:rsidRPr="002D74FD"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D74FD">
        <w:rPr>
          <w:rFonts w:eastAsia="Times New Roman"/>
          <w:kern w:val="0"/>
          <w:rtl/>
          <w:lang w:bidi="ar-JO"/>
          <w14:ligatures w14:val="none"/>
        </w:rPr>
        <w:t>5.</w:t>
      </w:r>
      <w:r w:rsidRPr="002D74FD">
        <w:rPr>
          <w:rFonts w:eastAsia="Times New Roman"/>
          <w:kern w:val="0"/>
          <w:rtl/>
          <w:lang w:bidi="ar-JO"/>
          <w14:ligatures w14:val="none"/>
        </w:rPr>
        <w:tab/>
        <w:t>عهد يهوه المضمون (15: 7-21)</w:t>
      </w:r>
    </w:p>
    <w:p w14:paraId="400C9BC4"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D74FD">
        <w:rPr>
          <w:rFonts w:eastAsia="Times New Roman"/>
          <w:kern w:val="0"/>
          <w:rtl/>
          <w:lang w:bidi="ar-JO"/>
          <w14:ligatures w14:val="none"/>
        </w:rPr>
        <w:t>يصوّر هذا الحدث الجليل يهوه داخلاً في عهد أحادي مع أبرام، مؤكداً له أن الوعود ستتحقق في نهاية المطاف.  ويشمل حديث الله معلومات جديدة عن فترة طويلة من الاستعباد (400 سنة) في انتظار الأمة الناشئة.</w:t>
      </w:r>
      <w:r w:rsidRPr="002D74FD">
        <w:rPr>
          <w:rFonts w:eastAsia="Times New Roman"/>
          <w:kern w:val="0"/>
          <w:vertAlign w:val="superscript"/>
          <w:rtl/>
          <w:lang w:bidi="ar-JO"/>
          <w14:ligatures w14:val="none"/>
        </w:rPr>
        <w:footnoteReference w:customMarkFollows="1" w:id="40"/>
        <w:t>3</w:t>
      </w:r>
      <w:r w:rsidRPr="002D74FD">
        <w:rPr>
          <w:rFonts w:eastAsia="Times New Roman"/>
          <w:kern w:val="0"/>
          <w:rtl/>
          <w:lang w:bidi="ar-JO"/>
          <w14:ligatures w14:val="none"/>
        </w:rPr>
        <w:t xml:space="preserve"> ويُزاح أبرام من الصورة في ما يتعلق بالمصادقة على العهد، لكي تعطى ليهوه كل مسؤولية تحقيقه.  والعهد، بهذا المعنى غير مشروط! وهكذا، رغم وجود احتمالات الموت والمعاناة، فإنه يمكن لشعب الله أن يطمئن إلى أن وعود عهد الله ستتحقق في نهاية المطاف.</w:t>
      </w:r>
    </w:p>
    <w:p w14:paraId="3EC08246"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7A52899F" w14:textId="77777777" w:rsidR="0048608E" w:rsidRPr="002D74FD" w:rsidRDefault="0048608E" w:rsidP="00C7130A">
      <w:pPr>
        <w:tabs>
          <w:tab w:val="left" w:pos="454"/>
        </w:tabs>
        <w:spacing w:after="60"/>
        <w:ind w:left="550" w:hanging="550"/>
        <w:jc w:val="both"/>
        <w:rPr>
          <w:rFonts w:eastAsia="Times New Roman"/>
          <w:bCs/>
          <w:kern w:val="0"/>
          <w:rtl/>
          <w:lang w:bidi="ar-JO"/>
          <w14:ligatures w14:val="none"/>
        </w:rPr>
      </w:pPr>
      <w:r w:rsidRPr="002D74FD">
        <w:rPr>
          <w:rFonts w:eastAsia="Times New Roman"/>
          <w:bCs/>
          <w:kern w:val="0"/>
          <w:rtl/>
          <w14:ligatures w14:val="none"/>
        </w:rPr>
        <w:t>جـ.</w:t>
      </w:r>
      <w:r w:rsidRPr="002D74FD">
        <w:rPr>
          <w:rFonts w:eastAsia="Times New Roman"/>
          <w:bCs/>
          <w:kern w:val="0"/>
          <w:rtl/>
          <w14:ligatures w14:val="none"/>
        </w:rPr>
        <w:tab/>
        <w:t>الجهاد للإيمان بالله بشأنِ النسل (16: 1-18: 15)</w:t>
      </w:r>
    </w:p>
    <w:p w14:paraId="0549F337" w14:textId="192671EF" w:rsidR="001C7F8D" w:rsidRPr="002D74FD" w:rsidRDefault="001C7F8D"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130" w:name="_Hlk178778311"/>
      <w:r w:rsidRPr="00C7130A">
        <w:rPr>
          <w:rFonts w:eastAsia="Calibri"/>
          <w:b/>
          <w:caps/>
          <w:noProof/>
          <w:color w:val="006699"/>
          <w:kern w:val="0"/>
          <w:sz w:val="21"/>
          <w:szCs w:val="24"/>
          <w14:ligatures w14:val="none"/>
        </w:rPr>
        <w:drawing>
          <wp:inline distT="0" distB="0" distL="0" distR="0" wp14:anchorId="19D9F379" wp14:editId="595E1ED5">
            <wp:extent cx="613692" cy="541464"/>
            <wp:effectExtent l="0" t="0" r="0" b="0"/>
            <wp:docPr id="973799932" name="Picture 97379993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00054B8E" w:rsidRPr="002D74FD">
        <w:rPr>
          <w:rFonts w:eastAsia="Calibri"/>
          <w:bCs/>
          <w:caps/>
          <w:color w:val="006699"/>
          <w:kern w:val="0"/>
          <w:u w:val="single"/>
          <w:rtl/>
          <w14:ligatures w14:val="none"/>
        </w:rPr>
        <w:t>القراءة:</w:t>
      </w:r>
    </w:p>
    <w:p w14:paraId="010437B6" w14:textId="3AE12189" w:rsidR="001C7F8D" w:rsidRPr="002D74FD" w:rsidRDefault="001C7F8D" w:rsidP="00C7130A">
      <w:pPr>
        <w:tabs>
          <w:tab w:val="left" w:pos="547"/>
          <w:tab w:val="left" w:pos="1094"/>
          <w:tab w:val="left" w:pos="1642"/>
          <w:tab w:val="left" w:pos="2189"/>
          <w:tab w:val="left" w:pos="2736"/>
          <w:tab w:val="left" w:pos="3283"/>
          <w:tab w:val="left" w:pos="3830"/>
          <w:tab w:val="left" w:pos="4378"/>
        </w:tabs>
        <w:spacing w:after="120"/>
        <w:jc w:val="both"/>
        <w:outlineLvl w:val="4"/>
        <w:rPr>
          <w:rFonts w:eastAsia="Times New Roman"/>
          <w:b/>
          <w:bCs/>
          <w:iCs/>
          <w:kern w:val="0"/>
          <w14:ligatures w14:val="none"/>
        </w:rPr>
      </w:pPr>
      <w:r w:rsidRPr="002D74FD">
        <w:rPr>
          <w:rFonts w:eastAsia="Calibri"/>
          <w:kern w:val="0"/>
          <w14:ligatures w14:val="none"/>
        </w:rPr>
        <w:tab/>
      </w:r>
      <w:r w:rsidRPr="002D74FD">
        <w:rPr>
          <w:rFonts w:eastAsia="Calibri"/>
          <w:kern w:val="0"/>
          <w14:ligatures w14:val="none"/>
        </w:rPr>
        <w:tab/>
      </w:r>
      <w:r w:rsidR="00054B8E" w:rsidRPr="002D74FD">
        <w:rPr>
          <w:rFonts w:eastAsia="Calibri"/>
          <w:kern w:val="0"/>
          <w:rtl/>
          <w14:ligatures w14:val="none"/>
        </w:rPr>
        <w:t xml:space="preserve">اقرأ تكوين 16: 1 – 18: 15 في كتابك المُقدَّس. </w:t>
      </w:r>
    </w:p>
    <w:bookmarkEnd w:id="130"/>
    <w:p w14:paraId="2F7FB106"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D74FD">
        <w:rPr>
          <w:rFonts w:eastAsia="Times New Roman"/>
          <w:kern w:val="0"/>
          <w:rtl/>
          <w:lang w:bidi="ar-JO"/>
          <w14:ligatures w14:val="none"/>
        </w:rPr>
        <w:t>تناول القسم السابق علاقة إيمان أبرام "بأرض" الموعد.  أمّا هذا القسم فهو يهتم أكثر بمسألة "النسل</w:t>
      </w:r>
      <w:r w:rsidRPr="002D74FD">
        <w:rPr>
          <w:rFonts w:eastAsia="Times New Roman"/>
          <w:kern w:val="0"/>
          <w:rtl/>
          <w14:ligatures w14:val="none"/>
        </w:rPr>
        <w:t>.</w:t>
      </w:r>
      <w:r w:rsidRPr="002D74FD">
        <w:rPr>
          <w:rFonts w:eastAsia="Times New Roman"/>
          <w:kern w:val="0"/>
          <w:rtl/>
          <w:lang w:bidi="ar-JO"/>
          <w14:ligatures w14:val="none"/>
        </w:rPr>
        <w:t>"  فمع زواجه من هاجر (الأصحاح 16) كانت قد مرّت إحدى عشرة سنة على مغادرته حاران.  وحين نصل إلى تكوين 17: 1 تكون قد مرّت أربع وعشرون سنة على مغادرته حاران.</w:t>
      </w:r>
    </w:p>
    <w:p w14:paraId="50B6EE26" w14:textId="77777777" w:rsidR="0048608E" w:rsidRPr="002D74FD"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14:ligatures w14:val="none"/>
        </w:rPr>
      </w:pPr>
      <w:r w:rsidRPr="002D74FD">
        <w:rPr>
          <w:rFonts w:eastAsia="Times New Roman"/>
          <w:kern w:val="0"/>
          <w:rtl/>
          <w:lang w:bidi="ar-JO"/>
          <w14:ligatures w14:val="none"/>
        </w:rPr>
        <w:t>1.</w:t>
      </w:r>
      <w:r w:rsidRPr="002D74FD">
        <w:rPr>
          <w:rFonts w:eastAsia="Times New Roman"/>
          <w:kern w:val="0"/>
          <w:rtl/>
          <w:lang w:bidi="ar-JO"/>
          <w14:ligatures w14:val="none"/>
        </w:rPr>
        <w:tab/>
        <w:t>هاجر وإسماعيل (16: 1-16)</w:t>
      </w:r>
    </w:p>
    <w:p w14:paraId="14DAFFC6"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2D74FD">
        <w:rPr>
          <w:rFonts w:eastAsia="Times New Roman"/>
          <w:kern w:val="0"/>
          <w:rtl/>
          <w:lang w:bidi="ar-JO"/>
          <w14:ligatures w14:val="none"/>
        </w:rPr>
        <w:t>تنتج عن تأخر تحقيق الوعد حسابات بشرية تخلُص إلى أن ساراي عجوز لا تستطيع أن تحمل النسل الموعود.  وهكذا يُترك طريق الإيمان، أي الانتظار الصبور.  وولادة إسماعيل من هاجر هي طريقة الزوجين، لا طريقة الله، لضمان النسل.</w:t>
      </w:r>
      <w:r w:rsidRPr="002D74FD">
        <w:rPr>
          <w:rFonts w:eastAsia="Times New Roman"/>
          <w:kern w:val="0"/>
          <w:vertAlign w:val="superscript"/>
          <w:rtl/>
          <w:lang w:bidi="ar-JO"/>
          <w14:ligatures w14:val="none"/>
        </w:rPr>
        <w:footnoteReference w:customMarkFollows="1" w:id="41"/>
        <w:t>4</w:t>
      </w:r>
      <w:r w:rsidRPr="002D74FD">
        <w:rPr>
          <w:rFonts w:eastAsia="Times New Roman"/>
          <w:kern w:val="0"/>
          <w:rtl/>
          <w:lang w:bidi="ar-JO"/>
          <w14:ligatures w14:val="none"/>
        </w:rPr>
        <w:t xml:space="preserve">  والدرس الذي تتعلمه هاجر هو أن "الرب يسمع صراخ المذلة،" وهو الدرس الذي تعود هاجر لتوصله إلى الزوجين.  وهي نفس الحقيقة التي كان عليهما أن يسعيا وراءها ليطبّقاها.  الله يسمع، فاصرخ إليه في ضيقك وانتظر واصبر، واثقاً بكلمةِ الله ومتكلاً عليها!</w:t>
      </w:r>
    </w:p>
    <w:p w14:paraId="30930BD9" w14:textId="77777777" w:rsidR="0048608E" w:rsidRPr="002D74FD"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14:ligatures w14:val="none"/>
        </w:rPr>
      </w:pPr>
      <w:r w:rsidRPr="002D74FD">
        <w:rPr>
          <w:rFonts w:eastAsia="Times New Roman"/>
          <w:kern w:val="0"/>
          <w:rtl/>
          <w:lang w:bidi="ar-JO"/>
          <w14:ligatures w14:val="none"/>
        </w:rPr>
        <w:t>2.</w:t>
      </w:r>
      <w:r w:rsidRPr="002D74FD">
        <w:rPr>
          <w:rFonts w:eastAsia="Times New Roman"/>
          <w:kern w:val="0"/>
          <w:rtl/>
          <w:lang w:bidi="ar-JO"/>
          <w14:ligatures w14:val="none"/>
        </w:rPr>
        <w:tab/>
        <w:t>علامة الوعد (17: 1-17)</w:t>
      </w:r>
    </w:p>
    <w:p w14:paraId="143A5129"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D74FD">
        <w:rPr>
          <w:rFonts w:eastAsia="Times New Roman"/>
          <w:kern w:val="0"/>
          <w:rtl/>
          <w:lang w:bidi="ar-JO"/>
          <w14:ligatures w14:val="none"/>
        </w:rPr>
        <w:t xml:space="preserve">بعد أربعة عشر عاماً من الصمت، يؤكد الله وعوده لأبرام مرة أخرى، محدداً أن ساراي نفسها ستحمل النسل (إسحاق)، ويقوم الله بإعادة تسمية الزوجين لكي يعكس اسماهما الجديدان وعوده.  </w:t>
      </w:r>
      <w:r w:rsidRPr="002D74FD">
        <w:rPr>
          <w:rFonts w:eastAsia="Times New Roman"/>
          <w:kern w:val="0"/>
          <w:u w:val="single"/>
          <w:rtl/>
          <w:lang w:bidi="ar-JO"/>
          <w14:ligatures w14:val="none"/>
        </w:rPr>
        <w:t>ويستجيب</w:t>
      </w:r>
      <w:r w:rsidRPr="002D74FD">
        <w:rPr>
          <w:rFonts w:eastAsia="Times New Roman"/>
          <w:kern w:val="0"/>
          <w:rtl/>
          <w:lang w:bidi="ar-JO"/>
          <w14:ligatures w14:val="none"/>
        </w:rPr>
        <w:t xml:space="preserve"> إبراهيم </w:t>
      </w:r>
      <w:r w:rsidRPr="002D74FD">
        <w:rPr>
          <w:rFonts w:eastAsia="Times New Roman"/>
          <w:kern w:val="0"/>
          <w:u w:val="single"/>
          <w:rtl/>
          <w:lang w:bidi="ar-JO"/>
          <w14:ligatures w14:val="none"/>
        </w:rPr>
        <w:t>بالإيمان</w:t>
      </w:r>
      <w:r w:rsidRPr="002D74FD">
        <w:rPr>
          <w:rFonts w:eastAsia="Times New Roman"/>
          <w:kern w:val="0"/>
          <w:rtl/>
          <w:lang w:bidi="ar-JO"/>
          <w14:ligatures w14:val="none"/>
        </w:rPr>
        <w:t xml:space="preserve"> وذلك بقبول الاسمين الجديدين وإجراء عملية الاختتان، حيث صار الاختتان علامة العهد (مذكِّراً بالعهد بطريقة حميمة جداً).  وقد قُصد أن يكون هذا الطقس عمل إيمان يربط فيه الأب نفسه وابنه الرضيع بوعود إبراهيم الأكيدة.</w:t>
      </w:r>
    </w:p>
    <w:p w14:paraId="1C4856C2"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D74FD">
        <w:rPr>
          <w:rFonts w:eastAsia="Times New Roman"/>
          <w:kern w:val="0"/>
          <w:rtl/>
          <w:lang w:bidi="ar-JO"/>
          <w14:ligatures w14:val="none"/>
        </w:rPr>
        <w:t xml:space="preserve">ومن ناحية أخرى، بما أن العلامة لها علاقة بالعضو الجنسي، فقد كانت مذكرة لهم بأن الطبيعة البشرية عاجزة عن توليد النسل الموعود.  غير أن قطع اللحم كان أيضاً رمزاً للانفصال والطهارة والولاء للعهد.  وكان رمزاً يتطلع إلى </w:t>
      </w:r>
      <w:r w:rsidRPr="002D74FD">
        <w:rPr>
          <w:rFonts w:eastAsia="Times New Roman"/>
          <w:kern w:val="0"/>
          <w:rtl/>
          <w:lang w:bidi="ar-JO"/>
          <w14:ligatures w14:val="none"/>
        </w:rPr>
        <w:lastRenderedPageBreak/>
        <w:t>حاجة الإنسان لختّان القلب الذي لا يستطيع أن يحققه إلاّ الروح القدس، ممكِّناً قلب الإنسان من طاعة الله (انظر تثنية 30: 6؛ رومية 2: 28، 29).</w:t>
      </w:r>
    </w:p>
    <w:p w14:paraId="1E35012F" w14:textId="77777777" w:rsidR="0048608E" w:rsidRPr="002D74FD"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D74FD">
        <w:rPr>
          <w:rFonts w:eastAsia="Times New Roman"/>
          <w:kern w:val="0"/>
          <w:rtl/>
          <w:lang w:bidi="ar-JO"/>
          <w14:ligatures w14:val="none"/>
        </w:rPr>
        <w:t>3.</w:t>
      </w:r>
      <w:r w:rsidRPr="002D74FD">
        <w:rPr>
          <w:rFonts w:eastAsia="Times New Roman"/>
          <w:kern w:val="0"/>
          <w:rtl/>
          <w:lang w:bidi="ar-JO"/>
          <w14:ligatures w14:val="none"/>
        </w:rPr>
        <w:tab/>
        <w:t>الزوّار الثلاثة (18: 1-15)</w:t>
      </w:r>
    </w:p>
    <w:p w14:paraId="727B1E18"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D74FD">
        <w:rPr>
          <w:rFonts w:eastAsia="Times New Roman"/>
          <w:kern w:val="0"/>
          <w:rtl/>
          <w:lang w:bidi="ar-JO"/>
          <w14:ligatures w14:val="none"/>
        </w:rPr>
        <w:t>اقترب وقت وصول النسل الموعود، الذي يبدو عند هذه النقطة أمراً سخيفاً أن يؤمن المرء بأن الله قادر على إعطائه.  ومن هنا ينزل الرب شخصياً (18: 13) لكي يشترك في شركة عميقة مع إبراهيم (تشير إليها الوجبة التي أعدها إبراهيم) وليؤكد مولد الابن القادم.  وهذه الزيارة الشخصية دعوة للإيمان بأن الله قادر على فعل المستحيل (18: 14).</w:t>
      </w:r>
    </w:p>
    <w:p w14:paraId="783E7D7F" w14:textId="77777777" w:rsidR="0048608E" w:rsidRPr="002D74FD"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06157DE" w14:textId="77777777" w:rsidR="0048608E" w:rsidRPr="002D74FD" w:rsidRDefault="0048608E" w:rsidP="00C7130A">
      <w:pPr>
        <w:tabs>
          <w:tab w:val="left" w:pos="454"/>
        </w:tabs>
        <w:spacing w:after="60"/>
        <w:ind w:left="550" w:hanging="550"/>
        <w:jc w:val="both"/>
        <w:rPr>
          <w:rFonts w:eastAsia="Times New Roman"/>
          <w:bCs/>
          <w:kern w:val="0"/>
          <w:rtl/>
          <w14:ligatures w14:val="none"/>
        </w:rPr>
      </w:pPr>
      <w:r w:rsidRPr="002D74FD">
        <w:rPr>
          <w:rFonts w:eastAsia="Times New Roman"/>
          <w:bCs/>
          <w:kern w:val="0"/>
          <w:rtl/>
          <w14:ligatures w14:val="none"/>
        </w:rPr>
        <w:t>د.</w:t>
      </w:r>
      <w:r w:rsidRPr="002D74FD">
        <w:rPr>
          <w:rFonts w:eastAsia="Times New Roman"/>
          <w:bCs/>
          <w:kern w:val="0"/>
          <w:rtl/>
          <w14:ligatures w14:val="none"/>
        </w:rPr>
        <w:tab/>
        <w:t>الجهاد في التشفع والتوسط للبركة (18: 16-20: 18)</w:t>
      </w:r>
    </w:p>
    <w:p w14:paraId="6981A6D0" w14:textId="413DF824" w:rsidR="001C7F8D" w:rsidRPr="00D45EEB" w:rsidRDefault="001C7F8D"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131" w:name="_Hlk178778346"/>
      <w:r w:rsidRPr="00C7130A">
        <w:rPr>
          <w:rFonts w:eastAsia="Calibri"/>
          <w:b/>
          <w:caps/>
          <w:noProof/>
          <w:color w:val="006699"/>
          <w:kern w:val="0"/>
          <w:sz w:val="21"/>
          <w:szCs w:val="24"/>
          <w14:ligatures w14:val="none"/>
        </w:rPr>
        <w:drawing>
          <wp:inline distT="0" distB="0" distL="0" distR="0" wp14:anchorId="6D42504B" wp14:editId="240F2FA1">
            <wp:extent cx="613692" cy="541464"/>
            <wp:effectExtent l="0" t="0" r="0" b="0"/>
            <wp:docPr id="185788930" name="Picture 185788930"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054B8E" w:rsidRPr="00D45EEB">
        <w:rPr>
          <w:rFonts w:eastAsia="Calibri"/>
          <w:bCs/>
          <w:caps/>
          <w:color w:val="006699"/>
          <w:kern w:val="0"/>
          <w:u w:val="single"/>
          <w:rtl/>
          <w14:ligatures w14:val="none"/>
        </w:rPr>
        <w:t>القراءة:</w:t>
      </w:r>
    </w:p>
    <w:p w14:paraId="2DE96131" w14:textId="096A2969" w:rsidR="001C7F8D" w:rsidRPr="00D45EEB" w:rsidRDefault="001C7F8D" w:rsidP="00C7130A">
      <w:pPr>
        <w:tabs>
          <w:tab w:val="left" w:pos="547"/>
          <w:tab w:val="left" w:pos="1094"/>
          <w:tab w:val="left" w:pos="1642"/>
          <w:tab w:val="left" w:pos="2189"/>
          <w:tab w:val="left" w:pos="2736"/>
          <w:tab w:val="left" w:pos="3283"/>
          <w:tab w:val="left" w:pos="3830"/>
          <w:tab w:val="left" w:pos="4378"/>
        </w:tabs>
        <w:spacing w:after="120"/>
        <w:jc w:val="both"/>
        <w:outlineLvl w:val="4"/>
        <w:rPr>
          <w:rFonts w:eastAsia="Times New Roman"/>
          <w:b/>
          <w:bCs/>
          <w:iCs/>
          <w:kern w:val="0"/>
          <w14:ligatures w14:val="none"/>
        </w:rPr>
      </w:pPr>
      <w:r w:rsidRPr="00D45EEB">
        <w:rPr>
          <w:rFonts w:eastAsia="Calibri"/>
          <w:kern w:val="0"/>
          <w14:ligatures w14:val="none"/>
        </w:rPr>
        <w:tab/>
      </w:r>
      <w:r w:rsidRPr="00D45EEB">
        <w:rPr>
          <w:rFonts w:eastAsia="Calibri"/>
          <w:kern w:val="0"/>
          <w14:ligatures w14:val="none"/>
        </w:rPr>
        <w:tab/>
      </w:r>
      <w:r w:rsidR="00054B8E" w:rsidRPr="00D45EEB">
        <w:rPr>
          <w:rFonts w:eastAsia="Calibri"/>
          <w:kern w:val="0"/>
          <w:rtl/>
          <w14:ligatures w14:val="none"/>
        </w:rPr>
        <w:t xml:space="preserve">اقرأ تكوين </w:t>
      </w:r>
      <w:r w:rsidR="00613F52" w:rsidRPr="00D45EEB">
        <w:rPr>
          <w:rFonts w:eastAsia="Calibri"/>
          <w:kern w:val="0"/>
          <w:rtl/>
          <w14:ligatures w14:val="none"/>
        </w:rPr>
        <w:t xml:space="preserve">18: 16 – 20: 18. </w:t>
      </w:r>
    </w:p>
    <w:bookmarkEnd w:id="131"/>
    <w:p w14:paraId="0D73ED07"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45EEB">
        <w:rPr>
          <w:rFonts w:eastAsia="Times New Roman"/>
          <w:kern w:val="0"/>
          <w:rtl/>
          <w:lang w:bidi="ar-JO"/>
          <w14:ligatures w14:val="none"/>
        </w:rPr>
        <w:t xml:space="preserve">الفكرة الرئيسية في هذا القسم هي قصد يهوه في أن يضع إبراهيم في مركز فريد بالنسبة للشعوب الأخرى بصفته وسيط البركة (لنتذكر 12: 3).  وهكذا يتشفع للوط في سدوم، ويرتبط إنقاذ لوط بتشفع إبراهيم (انظر 19: 29).  ويجب أن يدرك حتى أبيمالك أن البركة تأتي من خلال إبراهيم، وسيط البركة في تلك المرحلة (20: 17) </w:t>
      </w:r>
    </w:p>
    <w:p w14:paraId="3358E2C3" w14:textId="77777777" w:rsidR="0048608E" w:rsidRPr="00D45EEB"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D45EEB">
        <w:rPr>
          <w:rFonts w:eastAsia="Times New Roman"/>
          <w:kern w:val="0"/>
          <w:rtl/>
          <w:lang w:bidi="ar-JO"/>
          <w14:ligatures w14:val="none"/>
        </w:rPr>
        <w:t>1.</w:t>
      </w:r>
      <w:r w:rsidRPr="00D45EEB">
        <w:rPr>
          <w:rFonts w:eastAsia="Times New Roman"/>
          <w:kern w:val="0"/>
          <w:rtl/>
          <w:lang w:bidi="ar-JO"/>
          <w14:ligatures w14:val="none"/>
        </w:rPr>
        <w:tab/>
        <w:t>تشفُّع إبراهيم (18: 16-33)</w:t>
      </w:r>
    </w:p>
    <w:p w14:paraId="740015AC"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D45EEB">
        <w:rPr>
          <w:rFonts w:eastAsia="Times New Roman"/>
          <w:kern w:val="0"/>
          <w:rtl/>
          <w:lang w:bidi="ar-JO"/>
          <w14:ligatures w14:val="none"/>
        </w:rPr>
        <w:t>ليست هذه رواية منعزلة، لكنها ترتبط بالعهد الإبراهيمي كما تبيّن 18: 17-19.  فهو الذي تأتي البركة من خلاله، ولهذا يشركه الله في هذه المسألة.  إنه الشخص الذي يتوجب عليه أن يحفظ طريق الرب بعملِ البِر والعدل.  لا يشكك إبراهيم أبداً في أن مجتمع سدوم شرير ومستحق للدينونة، غير أنه يتعلم أنه رغم الإثم الغامر، لا بد أن يتصرف الله بعدل ورحمة تجاه القلّة البارّة.  وربما هلك لوط البار مع الأشرار لو لم يتشفع فيه إبراهيم، وسيط البركة (19: 29).</w:t>
      </w:r>
    </w:p>
    <w:p w14:paraId="424C6896" w14:textId="77777777" w:rsidR="0048608E" w:rsidRPr="00D45EEB"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D45EEB">
        <w:rPr>
          <w:rFonts w:eastAsia="Times New Roman"/>
          <w:kern w:val="0"/>
          <w:rtl/>
          <w:lang w:bidi="ar-JO"/>
          <w14:ligatures w14:val="none"/>
        </w:rPr>
        <w:t>2.</w:t>
      </w:r>
      <w:r w:rsidRPr="00D45EEB">
        <w:rPr>
          <w:rFonts w:eastAsia="Times New Roman"/>
          <w:kern w:val="0"/>
          <w:rtl/>
          <w:lang w:bidi="ar-JO"/>
          <w14:ligatures w14:val="none"/>
        </w:rPr>
        <w:tab/>
        <w:t>دينونة سدوم (19: 1-38)</w:t>
      </w:r>
    </w:p>
    <w:p w14:paraId="08551B23"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D45EEB">
        <w:rPr>
          <w:rFonts w:eastAsia="Times New Roman"/>
          <w:kern w:val="0"/>
          <w:rtl/>
          <w:lang w:bidi="ar-JO"/>
          <w14:ligatures w14:val="none"/>
        </w:rPr>
        <w:t>هذا تحذير قاس للناس من أن يصبحوا مفلسين أخلاقياً كما كان الحال في الحضارة الكنعانية.  يتردَّد لوط في المغادرة، وحين يغادر فإنه يغادر على مضض.  فيا للتأثير العظيم الذي يتركه المجتمع المنحل على الأبرار! لهذا يجب على عائلة إبراهيم، وكذلك أمّة إسرائيل، أن يحترسوا لئلا يتأثروا كثيراً بالإثم الموجود في وسطهم.</w:t>
      </w:r>
    </w:p>
    <w:p w14:paraId="43FEBC9F" w14:textId="77777777" w:rsidR="0048608E" w:rsidRPr="00D45EEB"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D45EEB">
        <w:rPr>
          <w:rFonts w:eastAsia="Times New Roman"/>
          <w:kern w:val="0"/>
          <w:rtl/>
          <w:lang w:bidi="ar-JO"/>
          <w14:ligatures w14:val="none"/>
        </w:rPr>
        <w:t>3.</w:t>
      </w:r>
      <w:r w:rsidRPr="00D45EEB">
        <w:rPr>
          <w:rFonts w:eastAsia="Times New Roman"/>
          <w:kern w:val="0"/>
          <w:rtl/>
          <w:lang w:bidi="ar-JO"/>
          <w14:ligatures w14:val="none"/>
        </w:rPr>
        <w:tab/>
        <w:t>إبراهيم وأبيمالك (20: 1-18)</w:t>
      </w:r>
    </w:p>
    <w:p w14:paraId="1E96EE5D"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D45EEB">
        <w:rPr>
          <w:rFonts w:eastAsia="Times New Roman"/>
          <w:kern w:val="0"/>
          <w:rtl/>
          <w:lang w:bidi="ar-JO"/>
          <w14:ligatures w14:val="none"/>
        </w:rPr>
        <w:lastRenderedPageBreak/>
        <w:t>يتركز هذا المشهد على حفظ نقاوة سارة.  ويتضمن السياق عملاً أحمق لا يتسم بالإيمان من إبراهيم، مما يخلق تهديداً للبركة الموعودة، فتحقيق الوعد معتمد على زواجه.  والإيمان والطاعة شرطان للبركات الموعودة! وقد تدخل الله لحسن الحظ، في نعمته.  وتختتم القصة بإبراهيم وسيطاً للبركة (تكوين 12: 3) لبيت أبيمالك (20-17).</w:t>
      </w:r>
    </w:p>
    <w:p w14:paraId="1F432E05" w14:textId="77777777" w:rsidR="0048608E" w:rsidRPr="00D45EEB" w:rsidRDefault="0048608E" w:rsidP="00C7130A">
      <w:pPr>
        <w:tabs>
          <w:tab w:val="left" w:pos="454"/>
        </w:tabs>
        <w:spacing w:after="60"/>
        <w:ind w:left="550" w:hanging="550"/>
        <w:jc w:val="both"/>
        <w:rPr>
          <w:rFonts w:eastAsia="Times New Roman"/>
          <w:bCs/>
          <w:kern w:val="0"/>
          <w:rtl/>
          <w:lang w:bidi="ar-JO"/>
          <w14:ligatures w14:val="none"/>
        </w:rPr>
      </w:pPr>
      <w:r w:rsidRPr="00D45EEB">
        <w:rPr>
          <w:rFonts w:eastAsia="Times New Roman"/>
          <w:bCs/>
          <w:kern w:val="0"/>
          <w:rtl/>
          <w14:ligatures w14:val="none"/>
        </w:rPr>
        <w:t>هـ.</w:t>
      </w:r>
      <w:r w:rsidRPr="00D45EEB">
        <w:rPr>
          <w:rFonts w:eastAsia="Times New Roman"/>
          <w:bCs/>
          <w:kern w:val="0"/>
          <w:rtl/>
          <w14:ligatures w14:val="none"/>
        </w:rPr>
        <w:tab/>
        <w:t>نضج إيمان إبراهيم (21: 1-22: 19)</w:t>
      </w:r>
    </w:p>
    <w:p w14:paraId="42963F8D" w14:textId="7B659373" w:rsidR="001C7F8D" w:rsidRPr="00D45EEB" w:rsidRDefault="001C7F8D"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132" w:name="_Hlk178778367"/>
      <w:r w:rsidRPr="00C7130A">
        <w:rPr>
          <w:rFonts w:eastAsia="Calibri"/>
          <w:b/>
          <w:caps/>
          <w:noProof/>
          <w:color w:val="006699"/>
          <w:kern w:val="0"/>
          <w:sz w:val="21"/>
          <w:szCs w:val="24"/>
          <w14:ligatures w14:val="none"/>
        </w:rPr>
        <w:drawing>
          <wp:inline distT="0" distB="0" distL="0" distR="0" wp14:anchorId="34F63693" wp14:editId="649878A5">
            <wp:extent cx="613692" cy="541464"/>
            <wp:effectExtent l="0" t="0" r="0" b="0"/>
            <wp:docPr id="758744732" name="Picture 75874473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613F52" w:rsidRPr="00D45EEB">
        <w:rPr>
          <w:rFonts w:eastAsia="Calibri"/>
          <w:bCs/>
          <w:caps/>
          <w:color w:val="006699"/>
          <w:kern w:val="0"/>
          <w:u w:val="single"/>
          <w:rtl/>
          <w14:ligatures w14:val="none"/>
        </w:rPr>
        <w:t>القراءة:</w:t>
      </w:r>
      <w:r w:rsidR="00613F52" w:rsidRPr="00D45EEB">
        <w:rPr>
          <w:rFonts w:eastAsia="Calibri"/>
          <w:b/>
          <w:caps/>
          <w:color w:val="006699"/>
          <w:kern w:val="0"/>
          <w:u w:val="single"/>
          <w:rtl/>
          <w14:ligatures w14:val="none"/>
        </w:rPr>
        <w:t xml:space="preserve"> </w:t>
      </w:r>
    </w:p>
    <w:p w14:paraId="1910CF87" w14:textId="00EF0DA6" w:rsidR="001C7F8D" w:rsidRPr="00D45EEB" w:rsidRDefault="001C7F8D" w:rsidP="00C7130A">
      <w:pPr>
        <w:tabs>
          <w:tab w:val="left" w:pos="547"/>
          <w:tab w:val="left" w:pos="1094"/>
          <w:tab w:val="left" w:pos="1642"/>
          <w:tab w:val="left" w:pos="2189"/>
          <w:tab w:val="left" w:pos="2736"/>
          <w:tab w:val="left" w:pos="3283"/>
          <w:tab w:val="left" w:pos="3830"/>
          <w:tab w:val="left" w:pos="4378"/>
        </w:tabs>
        <w:spacing w:after="120"/>
        <w:jc w:val="both"/>
        <w:outlineLvl w:val="4"/>
        <w:rPr>
          <w:rFonts w:eastAsia="Times New Roman"/>
          <w:b/>
          <w:bCs/>
          <w:iCs/>
          <w:kern w:val="0"/>
          <w14:ligatures w14:val="none"/>
        </w:rPr>
      </w:pPr>
      <w:r w:rsidRPr="00D45EEB">
        <w:rPr>
          <w:rFonts w:eastAsia="Calibri"/>
          <w:kern w:val="0"/>
          <w14:ligatures w14:val="none"/>
        </w:rPr>
        <w:tab/>
      </w:r>
      <w:r w:rsidRPr="00D45EEB">
        <w:rPr>
          <w:rFonts w:eastAsia="Calibri"/>
          <w:kern w:val="0"/>
          <w14:ligatures w14:val="none"/>
        </w:rPr>
        <w:tab/>
      </w:r>
      <w:r w:rsidR="00613F52" w:rsidRPr="00D45EEB">
        <w:rPr>
          <w:rFonts w:eastAsia="Calibri"/>
          <w:kern w:val="0"/>
          <w:rtl/>
          <w14:ligatures w14:val="none"/>
        </w:rPr>
        <w:t xml:space="preserve">اقرأ تكوين 21: 1 – 22: 19 في كتابك المُقدَّس. </w:t>
      </w:r>
    </w:p>
    <w:bookmarkEnd w:id="132"/>
    <w:p w14:paraId="70EA6858"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45EEB">
        <w:rPr>
          <w:rFonts w:eastAsia="Times New Roman"/>
          <w:kern w:val="0"/>
          <w:rtl/>
          <w:lang w:bidi="ar-JO"/>
          <w14:ligatures w14:val="none"/>
        </w:rPr>
        <w:t>ويبدأ إبراهيم أخيراً باختبار المزيد من بركات يهوه الموعودة.  وأثناء ذلك ينضج إيمانه أيضاً، فهو في الأرض يبارَك، ولديه النسل.  لكن هل سيواصل طاعته للرب؟ سيقوم الله بامتحانه لمعرفة ذلك.</w:t>
      </w:r>
    </w:p>
    <w:p w14:paraId="6BB1FEFD" w14:textId="77777777" w:rsidR="0048608E" w:rsidRPr="00D45EEB"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D45EEB">
        <w:rPr>
          <w:rFonts w:eastAsia="Times New Roman"/>
          <w:kern w:val="0"/>
          <w:rtl/>
          <w:lang w:bidi="ar-JO"/>
          <w14:ligatures w14:val="none"/>
        </w:rPr>
        <w:t>1.</w:t>
      </w:r>
      <w:r w:rsidRPr="00D45EEB">
        <w:rPr>
          <w:rFonts w:eastAsia="Times New Roman"/>
          <w:kern w:val="0"/>
          <w:rtl/>
          <w:lang w:bidi="ar-JO"/>
          <w14:ligatures w14:val="none"/>
        </w:rPr>
        <w:tab/>
        <w:t>مولد إسحاق وطرد إسماعيل (21: 1-21)</w:t>
      </w:r>
    </w:p>
    <w:p w14:paraId="2690160A"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D45EEB">
        <w:rPr>
          <w:rFonts w:eastAsia="Times New Roman"/>
          <w:kern w:val="0"/>
          <w:rtl/>
          <w:lang w:bidi="ar-JO"/>
          <w14:ligatures w14:val="none"/>
        </w:rPr>
        <w:t xml:space="preserve">يتحقق أخيراً الوعد بالنسل، فيتعزز إيمان إبراهيم وسارة.  ويحتفلان بتحقيق الوعد بتسمية ابنهما إسحاق، ويتثبت الوعد بختنه.  غير أن الحادثة التي تذكر استهزاء إسماعيل تصوّر </w:t>
      </w:r>
      <w:r w:rsidRPr="00D45EEB">
        <w:rPr>
          <w:rFonts w:eastAsia="Times New Roman"/>
          <w:kern w:val="0"/>
          <w:u w:val="single"/>
          <w:rtl/>
          <w:lang w:bidi="ar-JO"/>
          <w14:ligatures w14:val="none"/>
        </w:rPr>
        <w:t>عدم الإيمان</w:t>
      </w:r>
      <w:r w:rsidRPr="00D45EEB">
        <w:rPr>
          <w:rFonts w:eastAsia="Times New Roman"/>
          <w:kern w:val="0"/>
          <w:rtl/>
          <w:lang w:bidi="ar-JO"/>
          <w14:ligatures w14:val="none"/>
        </w:rPr>
        <w:t xml:space="preserve"> الذي يهزأ بوعد الله معتبراً إياه حمقاً، مهدداً بذلك عمل الله ومستخفاً به.  لهذا يجب إزالة التهديد للنسل الموعود.</w:t>
      </w:r>
    </w:p>
    <w:p w14:paraId="00AA474B" w14:textId="77777777" w:rsidR="0048608E" w:rsidRPr="00D45EEB"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D45EEB">
        <w:rPr>
          <w:rFonts w:eastAsia="Times New Roman"/>
          <w:kern w:val="0"/>
          <w:rtl/>
          <w:lang w:bidi="ar-JO"/>
          <w14:ligatures w14:val="none"/>
        </w:rPr>
        <w:t>2.</w:t>
      </w:r>
      <w:r w:rsidRPr="00D45EEB">
        <w:rPr>
          <w:rFonts w:eastAsia="Times New Roman"/>
          <w:kern w:val="0"/>
          <w:rtl/>
          <w:lang w:bidi="ar-JO"/>
          <w14:ligatures w14:val="none"/>
        </w:rPr>
        <w:tab/>
        <w:t>العهد في بئر السبع (21: 22-34)</w:t>
      </w:r>
    </w:p>
    <w:p w14:paraId="1F7DAA91"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D45EEB">
        <w:rPr>
          <w:rFonts w:eastAsia="Times New Roman"/>
          <w:kern w:val="0"/>
          <w:rtl/>
          <w:lang w:bidi="ar-JO"/>
          <w14:ligatures w14:val="none"/>
        </w:rPr>
        <w:t>يصنع إبراهيم عهداً مع القاطنين في الأرض يمكّنه من السكنى هنالك في سلام.  وإنه لأمر ذو دلالة أنهم يعترفون به كمتلقٍ لبركات الله ويسعون إلى سلام معه.  و</w:t>
      </w:r>
      <w:r w:rsidRPr="00D45EEB">
        <w:rPr>
          <w:rFonts w:eastAsia="Times New Roman"/>
          <w:kern w:val="0"/>
          <w:rtl/>
          <w14:ligatures w14:val="none"/>
        </w:rPr>
        <w:t xml:space="preserve"> </w:t>
      </w:r>
      <w:r w:rsidRPr="00D45EEB">
        <w:rPr>
          <w:rFonts w:eastAsia="Times New Roman"/>
          <w:kern w:val="0"/>
          <w:rtl/>
          <w:lang w:bidi="ar-JO"/>
          <w14:ligatures w14:val="none"/>
        </w:rPr>
        <w:t xml:space="preserve">هاهو إبراهيم أخيراً في الأرض يتلقى بركة الله فيها. </w:t>
      </w:r>
    </w:p>
    <w:p w14:paraId="3305377F" w14:textId="77777777" w:rsidR="0048608E" w:rsidRPr="00D45EEB"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14:ligatures w14:val="none"/>
        </w:rPr>
      </w:pPr>
      <w:r w:rsidRPr="00D45EEB">
        <w:rPr>
          <w:rFonts w:eastAsia="Times New Roman"/>
          <w:kern w:val="0"/>
          <w:rtl/>
          <w:lang w:bidi="ar-JO"/>
          <w14:ligatures w14:val="none"/>
        </w:rPr>
        <w:t>3.</w:t>
      </w:r>
      <w:r w:rsidRPr="00D45EEB">
        <w:rPr>
          <w:rFonts w:eastAsia="Times New Roman"/>
          <w:kern w:val="0"/>
          <w:rtl/>
          <w:lang w:bidi="ar-JO"/>
          <w14:ligatures w14:val="none"/>
        </w:rPr>
        <w:tab/>
        <w:t>ذبيحة إسحاق (22: 1-19)</w:t>
      </w:r>
    </w:p>
    <w:p w14:paraId="6A2ED8AA"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D45EEB">
        <w:rPr>
          <w:rFonts w:eastAsia="Times New Roman"/>
          <w:kern w:val="0"/>
          <w:rtl/>
          <w:lang w:bidi="ar-JO"/>
          <w14:ligatures w14:val="none"/>
        </w:rPr>
        <w:t>هذا هو الامتحان الكبير لإيمان إبراهيم: هل سيضع الطاعة فوق المحبة؟ الآن وقد صار له نسل وازدهر في الأرض، هل سيبقى وفياً ليهوه؟ [</w:t>
      </w:r>
      <w:r w:rsidRPr="00D45EEB">
        <w:rPr>
          <w:rFonts w:eastAsia="Times New Roman"/>
          <w:kern w:val="0"/>
          <w:rtl/>
          <w14:ligatures w14:val="none"/>
        </w:rPr>
        <w:t xml:space="preserve"> </w:t>
      </w:r>
      <w:r w:rsidRPr="00D45EEB">
        <w:rPr>
          <w:rFonts w:eastAsia="Times New Roman"/>
          <w:kern w:val="0"/>
          <w:rtl/>
          <w:lang w:bidi="ar-JO"/>
          <w14:ligatures w14:val="none"/>
        </w:rPr>
        <w:t>ملاحظة: وجد الكنعانيون أن من الضروري لهم استرضاء آلهتهم، حتى من خلال الذبائح البشرية.  ويكتشف إبراهيم أن يهوه لا يطالب بأضاحٍ بشرية.  وإذا كان لا بد من ذبيحة بشرية، فلا بد أن تكون على حساب الله عندما يقدم ابنه الوحيد طوعاً ليصلب.]  لنلاحظ أن مكان الذبيحة هو جبل المريّا الذي كان واقعاً في مكان سيصبح فيما بعد أورشليم... حيث سيبنى الهيكل للذبائح وحيث سيموت المسيح في نهاية الأمر (تكوين 22: 2؛ 2 أخبار 3: 1).</w:t>
      </w:r>
    </w:p>
    <w:p w14:paraId="223AEBEE"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lang w:bidi="ar-JO"/>
          <w14:ligatures w14:val="none"/>
        </w:rPr>
      </w:pPr>
    </w:p>
    <w:p w14:paraId="4ADAB7DE" w14:textId="77777777" w:rsidR="0048608E" w:rsidRPr="00D45EEB" w:rsidRDefault="0048608E" w:rsidP="00C7130A">
      <w:pPr>
        <w:tabs>
          <w:tab w:val="left" w:pos="454"/>
        </w:tabs>
        <w:spacing w:after="60"/>
        <w:ind w:left="550" w:hanging="550"/>
        <w:jc w:val="both"/>
        <w:rPr>
          <w:rFonts w:eastAsia="Times New Roman"/>
          <w:bCs/>
          <w:kern w:val="0"/>
          <w:rtl/>
          <w14:ligatures w14:val="none"/>
        </w:rPr>
      </w:pPr>
      <w:r w:rsidRPr="00D45EEB">
        <w:rPr>
          <w:rFonts w:eastAsia="Times New Roman"/>
          <w:bCs/>
          <w:kern w:val="0"/>
          <w:rtl/>
          <w14:ligatures w14:val="none"/>
        </w:rPr>
        <w:t>و.</w:t>
      </w:r>
      <w:r w:rsidRPr="00D45EEB">
        <w:rPr>
          <w:rFonts w:eastAsia="Times New Roman"/>
          <w:bCs/>
          <w:kern w:val="0"/>
          <w:rtl/>
          <w14:ligatures w14:val="none"/>
        </w:rPr>
        <w:tab/>
        <w:t>انتقال برنامج العهد إلى إسحاق (23: 1-25: 11)</w:t>
      </w:r>
    </w:p>
    <w:p w14:paraId="5E3AB7DF" w14:textId="77A6C9C2" w:rsidR="00DC7FD4" w:rsidRPr="00C7130A" w:rsidRDefault="00DC7FD4" w:rsidP="00C7130A">
      <w:pPr>
        <w:tabs>
          <w:tab w:val="left" w:pos="547"/>
          <w:tab w:val="left" w:pos="1094"/>
          <w:tab w:val="left" w:pos="1642"/>
          <w:tab w:val="left" w:pos="2189"/>
          <w:tab w:val="left" w:pos="2736"/>
          <w:tab w:val="left" w:pos="3283"/>
          <w:tab w:val="left" w:pos="3830"/>
          <w:tab w:val="left" w:pos="4378"/>
        </w:tabs>
        <w:spacing w:after="120"/>
        <w:jc w:val="both"/>
        <w:outlineLvl w:val="4"/>
        <w:rPr>
          <w:rFonts w:eastAsia="Times New Roman"/>
          <w:b/>
          <w:bCs/>
          <w:iCs/>
          <w:kern w:val="0"/>
          <w:sz w:val="22"/>
          <w:szCs w:val="26"/>
          <w14:ligatures w14:val="none"/>
        </w:rPr>
      </w:pPr>
    </w:p>
    <w:p w14:paraId="51C15C7C" w14:textId="1C37DDA7" w:rsidR="001C7F8D" w:rsidRPr="00D45EEB" w:rsidRDefault="001C7F8D"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133" w:name="_Hlk178778393"/>
      <w:r w:rsidRPr="00C7130A">
        <w:rPr>
          <w:rFonts w:eastAsia="Calibri"/>
          <w:b/>
          <w:caps/>
          <w:noProof/>
          <w:color w:val="006699"/>
          <w:kern w:val="0"/>
          <w:sz w:val="21"/>
          <w:szCs w:val="24"/>
          <w14:ligatures w14:val="none"/>
        </w:rPr>
        <w:lastRenderedPageBreak/>
        <w:drawing>
          <wp:inline distT="0" distB="0" distL="0" distR="0" wp14:anchorId="36DBBA6E" wp14:editId="268BD885">
            <wp:extent cx="613692" cy="541464"/>
            <wp:effectExtent l="0" t="0" r="0" b="0"/>
            <wp:docPr id="384797793" name="Picture 384797793"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613F52" w:rsidRPr="00D45EEB">
        <w:rPr>
          <w:rFonts w:eastAsia="Calibri"/>
          <w:bCs/>
          <w:caps/>
          <w:color w:val="006699"/>
          <w:kern w:val="0"/>
          <w:u w:val="single"/>
          <w:rtl/>
          <w14:ligatures w14:val="none"/>
        </w:rPr>
        <w:t>القراءة:</w:t>
      </w:r>
    </w:p>
    <w:p w14:paraId="0205E2D5" w14:textId="2972181F" w:rsidR="001C7F8D" w:rsidRPr="00D45EEB" w:rsidRDefault="001C7F8D" w:rsidP="00C7130A">
      <w:pPr>
        <w:tabs>
          <w:tab w:val="left" w:pos="547"/>
          <w:tab w:val="left" w:pos="1094"/>
          <w:tab w:val="left" w:pos="1642"/>
          <w:tab w:val="left" w:pos="2189"/>
          <w:tab w:val="left" w:pos="2736"/>
          <w:tab w:val="left" w:pos="3283"/>
          <w:tab w:val="left" w:pos="3830"/>
          <w:tab w:val="left" w:pos="4378"/>
        </w:tabs>
        <w:spacing w:after="120"/>
        <w:jc w:val="both"/>
        <w:outlineLvl w:val="4"/>
        <w:rPr>
          <w:rFonts w:eastAsia="Times New Roman"/>
          <w:b/>
          <w:bCs/>
          <w:iCs/>
          <w:kern w:val="0"/>
          <w14:ligatures w14:val="none"/>
        </w:rPr>
      </w:pPr>
      <w:r w:rsidRPr="00D45EEB">
        <w:rPr>
          <w:rFonts w:eastAsia="Calibri"/>
          <w:kern w:val="0"/>
          <w14:ligatures w14:val="none"/>
        </w:rPr>
        <w:tab/>
      </w:r>
      <w:r w:rsidRPr="00D45EEB">
        <w:rPr>
          <w:rFonts w:eastAsia="Calibri"/>
          <w:kern w:val="0"/>
          <w14:ligatures w14:val="none"/>
        </w:rPr>
        <w:tab/>
      </w:r>
      <w:r w:rsidR="00613F52" w:rsidRPr="00D45EEB">
        <w:rPr>
          <w:rFonts w:eastAsia="Calibri"/>
          <w:kern w:val="0"/>
          <w:rtl/>
          <w14:ligatures w14:val="none"/>
        </w:rPr>
        <w:t xml:space="preserve">اقرأ تكوين 23: 1 – 25: 11 في كتابك المُقدَّس. </w:t>
      </w:r>
    </w:p>
    <w:bookmarkEnd w:id="133"/>
    <w:p w14:paraId="03DB7C6B"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45EEB">
        <w:rPr>
          <w:rFonts w:eastAsia="Times New Roman"/>
          <w:kern w:val="0"/>
          <w:rtl/>
          <w:lang w:bidi="ar-JO"/>
          <w14:ligatures w14:val="none"/>
        </w:rPr>
        <w:t>تتبّع الأقسام الثلاثة النهائية انتقال برنامج العهد إلى إسحاق.  وتنتهي الآن مرحلة إبراهيم، لكن البرنامج الإلهي يستمر.  قد رتّب الله لاستمرار البرنامج بمولد النسل الموعود، أي إسحاق.  غير أن ملء البركة لم يتحقق مع إبراهيم، فهو موجود في الأرض فحسب، لكن دون أن يمتلكها حقاً.  وعند موته لا يمتلك إلاّ مكاناً للدفن.  وكما تبيّن عبرانيين 11: 13 بأنَّ إبراهيم مات دون أن ينال الوعود.  ولا بد للأمة أن تتطلع إلى شخص آخر من نسل إبراهيم يأتي ملء البركة من خلاله.  وسنجد هذا "النسل" في يسوع الناصري (غلاطية 3).</w:t>
      </w:r>
    </w:p>
    <w:p w14:paraId="1640B58B" w14:textId="77777777" w:rsidR="0048608E" w:rsidRPr="00D45EEB"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D45EEB">
        <w:rPr>
          <w:rFonts w:eastAsia="Times New Roman"/>
          <w:kern w:val="0"/>
          <w:rtl/>
          <w:lang w:bidi="ar-JO"/>
          <w14:ligatures w14:val="none"/>
        </w:rPr>
        <w:t>1.</w:t>
      </w:r>
      <w:r w:rsidRPr="00D45EEB">
        <w:rPr>
          <w:rFonts w:eastAsia="Times New Roman"/>
          <w:kern w:val="0"/>
          <w:rtl/>
          <w:lang w:bidi="ar-JO"/>
          <w14:ligatures w14:val="none"/>
        </w:rPr>
        <w:tab/>
        <w:t>شراء مغارة المكفيلة (23: 1-20)</w:t>
      </w:r>
    </w:p>
    <w:p w14:paraId="4B815077"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D45EEB">
        <w:rPr>
          <w:rFonts w:eastAsia="Times New Roman"/>
          <w:kern w:val="0"/>
          <w:rtl/>
          <w:lang w:bidi="ar-JO"/>
          <w14:ligatures w14:val="none"/>
        </w:rPr>
        <w:t>الأمر الهام هنا هو أن إبراهيم يتجاهل أرض آبائه عندما جاء وقت دفن سارة.  فبدلاً من العودة إلى فدّان أرام للدفن، يشهد أن رجاءه هو في هذه الأرض.  وهو يسعى بأمانة إلى تحقيق برنامج العهد الذي لا بد أن يتضمن الأرض.</w:t>
      </w:r>
    </w:p>
    <w:p w14:paraId="3AF8BD32" w14:textId="77777777" w:rsidR="0048608E" w:rsidRPr="00D45EEB"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D45EEB">
        <w:rPr>
          <w:rFonts w:eastAsia="Times New Roman"/>
          <w:kern w:val="0"/>
          <w:rtl/>
          <w:lang w:bidi="ar-JO"/>
          <w14:ligatures w14:val="none"/>
        </w:rPr>
        <w:t>2.</w:t>
      </w:r>
      <w:r w:rsidRPr="00D45EEB">
        <w:rPr>
          <w:rFonts w:eastAsia="Times New Roman"/>
          <w:kern w:val="0"/>
          <w:rtl/>
          <w:lang w:bidi="ar-JO"/>
          <w14:ligatures w14:val="none"/>
        </w:rPr>
        <w:tab/>
        <w:t>اختيار العروس لإسحاق (24: 1-67)</w:t>
      </w:r>
    </w:p>
    <w:p w14:paraId="737F0A71"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D45EEB">
        <w:rPr>
          <w:rFonts w:eastAsia="Times New Roman"/>
          <w:kern w:val="0"/>
          <w:rtl/>
          <w:lang w:bidi="ar-JO"/>
          <w14:ligatures w14:val="none"/>
        </w:rPr>
        <w:t>ينظر هذا الجزء إلى الوفاء للعهد من منظور الله (تدبيره وعنايته) ومن منظور الإنسان (لن تصلح كنعانية وثنية زوجة لإسحاق).  و</w:t>
      </w:r>
      <w:r w:rsidRPr="00D45EEB">
        <w:rPr>
          <w:rFonts w:eastAsia="Times New Roman"/>
          <w:kern w:val="0"/>
          <w:rtl/>
          <w14:ligatures w14:val="none"/>
        </w:rPr>
        <w:t xml:space="preserve"> </w:t>
      </w:r>
      <w:r w:rsidRPr="00D45EEB">
        <w:rPr>
          <w:rFonts w:eastAsia="Times New Roman"/>
          <w:kern w:val="0"/>
          <w:rtl/>
          <w:lang w:bidi="ar-JO"/>
          <w14:ligatures w14:val="none"/>
        </w:rPr>
        <w:t>هاهي محبة الله الوفية تعمل بطريقةٍ سياديّةٍ من خلال ظروف الذين يمارسون إيمانهم.</w:t>
      </w:r>
    </w:p>
    <w:p w14:paraId="6BC084BD" w14:textId="77777777" w:rsidR="0048608E" w:rsidRPr="00D45EEB"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D45EEB">
        <w:rPr>
          <w:rFonts w:eastAsia="Times New Roman"/>
          <w:kern w:val="0"/>
          <w:rtl/>
          <w:lang w:bidi="ar-JO"/>
          <w14:ligatures w14:val="none"/>
        </w:rPr>
        <w:t>3.</w:t>
      </w:r>
      <w:r w:rsidRPr="00D45EEB">
        <w:rPr>
          <w:rFonts w:eastAsia="Times New Roman"/>
          <w:kern w:val="0"/>
          <w:rtl/>
          <w:lang w:bidi="ar-JO"/>
          <w14:ligatures w14:val="none"/>
        </w:rPr>
        <w:tab/>
        <w:t>موت إبراهيم وميراث إسحاق (25: 1-11)</w:t>
      </w:r>
    </w:p>
    <w:p w14:paraId="53B131E2"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D45EEB">
        <w:rPr>
          <w:rFonts w:eastAsia="Times New Roman"/>
          <w:kern w:val="0"/>
          <w:rtl/>
          <w:lang w:bidi="ar-JO"/>
          <w14:ligatures w14:val="none"/>
        </w:rPr>
        <w:t>مع اقتراب غروب شمس حياة إبراهيم، رتّب لانتقال ميراث البركة إلى إسحاق.  ومع انتقال البركة إلى ابن الوعد، فإن البرنامج الإلهي سيواصل تقدّمه.</w:t>
      </w:r>
    </w:p>
    <w:p w14:paraId="4FD3823E" w14:textId="77777777" w:rsidR="0048608E" w:rsidRPr="00D45EEB"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03867E2" w14:textId="77777777" w:rsidR="0048608E" w:rsidRPr="00C7130A" w:rsidRDefault="0048608E" w:rsidP="000558B7">
      <w:pPr>
        <w:pStyle w:val="Heading3"/>
        <w:rPr>
          <w:rtl/>
          <w:lang w:bidi="ar-JO"/>
        </w:rPr>
      </w:pPr>
      <w:bookmarkStart w:id="134" w:name="_Toc193030961"/>
      <w:r w:rsidRPr="00C7130A">
        <w:rPr>
          <w:rtl/>
          <w:lang w:bidi="ar-JO"/>
        </w:rPr>
        <w:t>3.</w:t>
      </w:r>
      <w:r w:rsidRPr="00C7130A">
        <w:rPr>
          <w:rtl/>
          <w:lang w:bidi="ar-JO"/>
        </w:rPr>
        <w:tab/>
        <w:t>العهد مع إبراهيم</w:t>
      </w:r>
      <w:bookmarkEnd w:id="134"/>
      <w:r w:rsidRPr="00C7130A">
        <w:rPr>
          <w:rtl/>
          <w:lang w:bidi="ar-JO"/>
        </w:rPr>
        <w:t xml:space="preserve"> </w:t>
      </w:r>
    </w:p>
    <w:p w14:paraId="0EF5F709" w14:textId="77777777" w:rsidR="0048608E" w:rsidRPr="00C7130A" w:rsidRDefault="0048608E" w:rsidP="00D45EEB">
      <w:pPr>
        <w:rPr>
          <w:rtl/>
          <w:lang w:bidi="ar-JO"/>
        </w:rPr>
      </w:pPr>
      <w:r w:rsidRPr="00C7130A">
        <w:rPr>
          <w:rtl/>
          <w:lang w:bidi="ar-JO"/>
        </w:rPr>
        <w:t>تشكل الوعود المقطوعة لإبراهيم والعهد معه مفتاح هذا السفر وحتى العهد القديم كلّه (حتى إنه يمكننا القول أيضاً إنه مفتاح الكتاب المقدس كلّه، لأن الوعود تتحقق في نهاية الأمر من خلال يسوع الذي هو نسل إبراهيم).  وبمعنى ما، فإن بقية الكتاب المقدس تشكل تطبيق وتحقيق العهد الإبراهيمي (ليس العهد الإبراهيمي تدبيراً إلهياً مؤقتاً ينتهي في خروج 19 بإعطاء الشريعة).  وفضلاً عن ذلك، فإنه يشكل أساس برنامج الله لإسرائيل.</w:t>
      </w:r>
    </w:p>
    <w:p w14:paraId="0D12D503" w14:textId="77777777" w:rsidR="0048608E" w:rsidRPr="00C7130A" w:rsidRDefault="0048608E" w:rsidP="00D45EEB">
      <w:pPr>
        <w:rPr>
          <w:rtl/>
          <w:lang w:bidi="ar-JO"/>
        </w:rPr>
      </w:pPr>
    </w:p>
    <w:p w14:paraId="2682938A" w14:textId="77777777" w:rsidR="0048608E" w:rsidRPr="00C7130A" w:rsidRDefault="0048608E" w:rsidP="00D45EEB">
      <w:pPr>
        <w:rPr>
          <w:rtl/>
          <w:lang w:bidi="ar-JO"/>
        </w:rPr>
      </w:pPr>
      <w:r w:rsidRPr="00C7130A">
        <w:rPr>
          <w:rtl/>
          <w:lang w:bidi="ar-JO"/>
        </w:rPr>
        <w:lastRenderedPageBreak/>
        <w:t xml:space="preserve">يشكل العهد مع إبراهيم بداية برنامج إلهي لجلب البركة للعالم كلّه (فلم يكن خلق أمّة إسرائيل يهدف إلى حصر بركة الله وعلاقته في أمّة واحدة).  وكما سبق أن ذكرنا، فإن القصد من تكوين 1-11 هو أن إظهار الحاجة الماسة إلى هذه البركة.  يبدأ العهد الإلهي مع إبراهيم مرسّخاً الأمّة العبرية كأمة </w:t>
      </w:r>
      <w:r w:rsidRPr="00C7130A">
        <w:rPr>
          <w:u w:val="single"/>
          <w:rtl/>
          <w:lang w:bidi="ar-JO"/>
        </w:rPr>
        <w:t>جديدة</w:t>
      </w:r>
      <w:r w:rsidRPr="00C7130A">
        <w:rPr>
          <w:rtl/>
          <w:lang w:bidi="ar-JO"/>
        </w:rPr>
        <w:t xml:space="preserve"> (كان إبراهيم قد دُعي من حضارة وثنية).  هذا هو إذاً أساس أمة إسرائيل وقصد برنامج الله لها... أن تكون وسيط البركة لكل قبائل الأرض.</w:t>
      </w:r>
    </w:p>
    <w:p w14:paraId="7A62CAAF" w14:textId="77777777" w:rsidR="0048608E" w:rsidRPr="00C7130A"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3B069EC6" w14:textId="77777777" w:rsidR="0048608E" w:rsidRPr="003315B8" w:rsidRDefault="0048608E" w:rsidP="00C7130A">
      <w:pPr>
        <w:tabs>
          <w:tab w:val="left" w:pos="454"/>
        </w:tabs>
        <w:spacing w:after="60"/>
        <w:ind w:left="550" w:hanging="550"/>
        <w:jc w:val="both"/>
        <w:rPr>
          <w:rFonts w:eastAsia="Times New Roman"/>
          <w:bCs/>
          <w:kern w:val="0"/>
          <w:rtl/>
          <w:lang w:bidi="ar-JO"/>
          <w14:ligatures w14:val="none"/>
        </w:rPr>
      </w:pPr>
      <w:r w:rsidRPr="003315B8">
        <w:rPr>
          <w:rFonts w:eastAsia="Times New Roman"/>
          <w:bCs/>
          <w:kern w:val="0"/>
          <w:rtl/>
          <w14:ligatures w14:val="none"/>
        </w:rPr>
        <w:t>أ.</w:t>
      </w:r>
      <w:r w:rsidRPr="003315B8">
        <w:rPr>
          <w:rFonts w:eastAsia="Times New Roman"/>
          <w:bCs/>
          <w:kern w:val="0"/>
          <w:rtl/>
          <w14:ligatures w14:val="none"/>
        </w:rPr>
        <w:tab/>
        <w:t>بنية تكوين 12: 1-3</w:t>
      </w:r>
    </w:p>
    <w:p w14:paraId="0805EDDF"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315B8">
        <w:rPr>
          <w:rFonts w:eastAsia="Times New Roman"/>
          <w:kern w:val="0"/>
          <w:rtl/>
          <w:lang w:bidi="ar-JO"/>
          <w14:ligatures w14:val="none"/>
        </w:rPr>
        <w:t>يوجد في هذه الآيات أمران متبوعان بثلاثة وعود:</w:t>
      </w:r>
    </w:p>
    <w:p w14:paraId="6683329D"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315B8">
        <w:rPr>
          <w:rFonts w:eastAsia="Times New Roman"/>
          <w:kern w:val="0"/>
          <w:rtl/>
          <w:lang w:bidi="ar-JO"/>
          <w14:ligatures w14:val="none"/>
        </w:rPr>
        <w:t>1.</w:t>
      </w:r>
      <w:r w:rsidRPr="003315B8">
        <w:rPr>
          <w:rFonts w:eastAsia="Times New Roman"/>
          <w:kern w:val="0"/>
          <w:rtl/>
          <w:lang w:bidi="ar-JO"/>
          <w14:ligatures w14:val="none"/>
        </w:rPr>
        <w:tab/>
        <w:t>الأمر الأول: اذهب!</w:t>
      </w:r>
    </w:p>
    <w:p w14:paraId="5239B07D"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3315B8">
        <w:rPr>
          <w:rFonts w:eastAsia="Times New Roman"/>
          <w:kern w:val="0"/>
          <w:rtl/>
          <w:lang w:bidi="ar-JO"/>
          <w14:ligatures w14:val="none"/>
        </w:rPr>
        <w:t>أ.</w:t>
      </w:r>
      <w:r w:rsidRPr="003315B8">
        <w:rPr>
          <w:rFonts w:eastAsia="Times New Roman"/>
          <w:kern w:val="0"/>
          <w:rtl/>
          <w:lang w:bidi="ar-JO"/>
          <w14:ligatures w14:val="none"/>
        </w:rPr>
        <w:tab/>
        <w:t xml:space="preserve">سأجعلك أمة عظيمة </w:t>
      </w:r>
    </w:p>
    <w:p w14:paraId="0A348421"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3315B8">
        <w:rPr>
          <w:rFonts w:eastAsia="Times New Roman"/>
          <w:kern w:val="0"/>
          <w:rtl/>
          <w:lang w:bidi="ar-JO"/>
          <w14:ligatures w14:val="none"/>
        </w:rPr>
        <w:t>ب.</w:t>
      </w:r>
      <w:r w:rsidRPr="003315B8">
        <w:rPr>
          <w:rFonts w:eastAsia="Times New Roman"/>
          <w:kern w:val="0"/>
          <w:rtl/>
          <w:lang w:bidi="ar-JO"/>
          <w14:ligatures w14:val="none"/>
        </w:rPr>
        <w:tab/>
        <w:t>سأباركك</w:t>
      </w:r>
    </w:p>
    <w:p w14:paraId="1BBD9BDD"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3315B8">
        <w:rPr>
          <w:rFonts w:eastAsia="Times New Roman"/>
          <w:kern w:val="0"/>
          <w:rtl/>
          <w:lang w:bidi="ar-JO"/>
          <w14:ligatures w14:val="none"/>
        </w:rPr>
        <w:t>جـ.</w:t>
      </w:r>
      <w:r w:rsidRPr="003315B8">
        <w:rPr>
          <w:rFonts w:eastAsia="Times New Roman"/>
          <w:kern w:val="0"/>
          <w:rtl/>
          <w:lang w:bidi="ar-JO"/>
          <w14:ligatures w14:val="none"/>
        </w:rPr>
        <w:tab/>
        <w:t>سأعظّم اسمك</w:t>
      </w:r>
    </w:p>
    <w:p w14:paraId="541137C3"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p>
    <w:p w14:paraId="339522CF"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p>
    <w:p w14:paraId="7B653969"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315B8">
        <w:rPr>
          <w:rFonts w:eastAsia="Times New Roman"/>
          <w:kern w:val="0"/>
          <w:rtl/>
          <w:lang w:bidi="ar-JO"/>
          <w14:ligatures w14:val="none"/>
        </w:rPr>
        <w:t>2.</w:t>
      </w:r>
      <w:r w:rsidRPr="003315B8">
        <w:rPr>
          <w:rFonts w:eastAsia="Times New Roman"/>
          <w:kern w:val="0"/>
          <w:rtl/>
          <w:lang w:bidi="ar-JO"/>
          <w14:ligatures w14:val="none"/>
        </w:rPr>
        <w:tab/>
        <w:t>الأمر الثاني: كن بركة!</w:t>
      </w:r>
    </w:p>
    <w:p w14:paraId="755865A8"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3315B8">
        <w:rPr>
          <w:rFonts w:eastAsia="Times New Roman"/>
          <w:kern w:val="0"/>
          <w:rtl/>
          <w:lang w:bidi="ar-JO"/>
          <w14:ligatures w14:val="none"/>
        </w:rPr>
        <w:t>أ.</w:t>
      </w:r>
      <w:r w:rsidRPr="003315B8">
        <w:rPr>
          <w:rFonts w:eastAsia="Times New Roman"/>
          <w:kern w:val="0"/>
          <w:rtl/>
          <w:lang w:bidi="ar-JO"/>
          <w14:ligatures w14:val="none"/>
        </w:rPr>
        <w:tab/>
        <w:t xml:space="preserve">سأبارك مباركيك </w:t>
      </w:r>
    </w:p>
    <w:p w14:paraId="5B40C941"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3315B8">
        <w:rPr>
          <w:rFonts w:eastAsia="Times New Roman"/>
          <w:kern w:val="0"/>
          <w:rtl/>
          <w:lang w:bidi="ar-JO"/>
          <w14:ligatures w14:val="none"/>
        </w:rPr>
        <w:t>ب.</w:t>
      </w:r>
      <w:r w:rsidRPr="003315B8">
        <w:rPr>
          <w:rFonts w:eastAsia="Times New Roman"/>
          <w:kern w:val="0"/>
          <w:rtl/>
          <w:lang w:bidi="ar-JO"/>
          <w14:ligatures w14:val="none"/>
        </w:rPr>
        <w:tab/>
        <w:t>سألعن (</w:t>
      </w:r>
      <w:bookmarkStart w:id="135" w:name="_Hlk125988690"/>
      <w:r w:rsidRPr="003315B8">
        <w:rPr>
          <w:rFonts w:ascii="Times New Roman" w:eastAsia="Times New Roman" w:hAnsi="Times New Roman" w:cs="Times New Roman" w:hint="cs"/>
          <w:b/>
          <w:kern w:val="0"/>
          <w:rtl/>
          <w:lang w:bidi="he-IL"/>
          <w14:ligatures w14:val="none"/>
        </w:rPr>
        <w:t>ארר</w:t>
      </w:r>
      <w:bookmarkEnd w:id="135"/>
      <w:r w:rsidRPr="003315B8">
        <w:rPr>
          <w:rFonts w:eastAsia="Times New Roman"/>
          <w:kern w:val="0"/>
          <w:rtl/>
          <w:lang w:bidi="ar-JO"/>
          <w14:ligatures w14:val="none"/>
        </w:rPr>
        <w:t>) لاعنيك (</w:t>
      </w:r>
      <w:bookmarkStart w:id="136" w:name="_Hlk125988650"/>
      <w:r w:rsidRPr="003315B8">
        <w:rPr>
          <w:rFonts w:ascii="Times New Roman" w:eastAsia="Times New Roman" w:hAnsi="Times New Roman" w:cs="Times New Roman" w:hint="cs"/>
          <w:b/>
          <w:kern w:val="0"/>
          <w:rtl/>
          <w:lang w:bidi="he-IL"/>
          <w14:ligatures w14:val="none"/>
        </w:rPr>
        <w:t>קלל</w:t>
      </w:r>
      <w:bookmarkEnd w:id="136"/>
      <w:r w:rsidRPr="003315B8">
        <w:rPr>
          <w:rFonts w:eastAsia="Times New Roman"/>
          <w:kern w:val="0"/>
          <w:rtl/>
          <w:lang w:bidi="ar-JO"/>
          <w14:ligatures w14:val="none"/>
        </w:rPr>
        <w:t>)</w:t>
      </w:r>
    </w:p>
    <w:p w14:paraId="5F7599C1"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3315B8">
        <w:rPr>
          <w:rFonts w:eastAsia="Times New Roman"/>
          <w:kern w:val="0"/>
          <w:rtl/>
          <w:lang w:bidi="ar-JO"/>
          <w14:ligatures w14:val="none"/>
        </w:rPr>
        <w:t>جـ.</w:t>
      </w:r>
      <w:r w:rsidRPr="003315B8">
        <w:rPr>
          <w:rFonts w:eastAsia="Times New Roman"/>
          <w:kern w:val="0"/>
          <w:rtl/>
          <w:lang w:bidi="ar-JO"/>
          <w14:ligatures w14:val="none"/>
        </w:rPr>
        <w:tab/>
        <w:t>ستتبارك فيك جميع قبائل الأرض</w:t>
      </w:r>
    </w:p>
    <w:p w14:paraId="3D986478"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p>
    <w:p w14:paraId="1A5323E4"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315B8">
        <w:rPr>
          <w:rFonts w:eastAsia="Times New Roman"/>
          <w:kern w:val="0"/>
          <w:rtl/>
          <w:lang w:bidi="ar-JO"/>
          <w14:ligatures w14:val="none"/>
        </w:rPr>
        <w:t>يركز الجزء الأول على إبراهيم وعلى ما سيصبح إذا أطاع الأمر بالمغادرة.  أما الجزء الثاني فيركز على كل من إبراهيم ونسله وما سيفعله الله معهم إذا أطاعوا الأمر بأن يكونوا بركة.  وفي المرحلة الأخيرة ستتمتع الأمة برضى الله وحمايته.  وخلاصة هذا المبدأ هو أن الله سيظهر نعمته ورضاه على الذين يعاملون الأمة المختارة معاملة حسنة، وأما الذين يعاملون إبراهيم (وإسرائيل) بلا مبالاة (</w:t>
      </w:r>
      <w:r w:rsidRPr="003315B8">
        <w:rPr>
          <w:rFonts w:ascii="Times New Roman" w:eastAsia="Times New Roman" w:hAnsi="Times New Roman" w:cs="Times New Roman" w:hint="cs"/>
          <w:b/>
          <w:kern w:val="0"/>
          <w:rtl/>
          <w:lang w:bidi="he-IL"/>
          <w14:ligatures w14:val="none"/>
        </w:rPr>
        <w:t>קלל</w:t>
      </w:r>
      <w:r w:rsidRPr="003315B8">
        <w:rPr>
          <w:rFonts w:eastAsia="Times New Roman"/>
          <w:kern w:val="0"/>
          <w:rtl/>
          <w:lang w:bidi="ar-JO"/>
          <w14:ligatures w14:val="none"/>
        </w:rPr>
        <w:t>)، فسيجلب الله الدينونة عليهم (</w:t>
      </w:r>
      <w:r w:rsidRPr="003315B8">
        <w:rPr>
          <w:rFonts w:ascii="Times New Roman" w:eastAsia="Times New Roman" w:hAnsi="Times New Roman" w:cs="Times New Roman" w:hint="cs"/>
          <w:b/>
          <w:kern w:val="0"/>
          <w:rtl/>
          <w:lang w:bidi="he-IL"/>
          <w14:ligatures w14:val="none"/>
        </w:rPr>
        <w:t>ארר</w:t>
      </w:r>
      <w:r w:rsidRPr="003315B8">
        <w:rPr>
          <w:rFonts w:eastAsia="Times New Roman"/>
          <w:kern w:val="0"/>
          <w:rtl/>
          <w:lang w:bidi="ar-JO"/>
          <w14:ligatures w14:val="none"/>
        </w:rPr>
        <w:t xml:space="preserve">).  لكن يجب عدم أخذ هذا المبدأ في معزلٍ عن غيره من المبادئ، إذ هناك مبادئ كتابية أُخرى تُطبَّق كهذا المبدأ بالضبط.  لدى إسرائيل (كأمة) مسؤوليات أخلاقية، وسلوكها غير الأمين نحو الله وتصرُّفها غير الأخلاقي نحو الآخرين يجب ألا يُغض النظر عنهما (مثل مسؤوليتها بأن تحب الغريب الساكن في الأرض- تث 10: 19).  سيحاسب الله الأمة في هذه الأمور، وسيؤدِّبها حين تكون غير أمينة (تث 28-29).  نتيجة لهذا، لا يُتوقع من أمم العالم أن تصادق على إسرائيل أو تدعمها في مثل هذه الأحوال.  في </w:t>
      </w:r>
      <w:r w:rsidRPr="003315B8">
        <w:rPr>
          <w:rFonts w:eastAsia="Times New Roman"/>
          <w:kern w:val="0"/>
          <w:rtl/>
          <w:lang w:bidi="ar-JO"/>
          <w14:ligatures w14:val="none"/>
        </w:rPr>
        <w:lastRenderedPageBreak/>
        <w:t xml:space="preserve">نهاية المطاف، سيتحقق مبدأ البركة بنسل إبراهيم من خلال المسيح: فعلى المرء ألا يمر عن يسوع بلا مبالاةٍ؛  لأن من يعمل ذلك لن يكون له خلاص لكن دينونة أبدية فقط. </w:t>
      </w:r>
    </w:p>
    <w:p w14:paraId="0294A292"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315B8">
        <w:rPr>
          <w:rFonts w:eastAsia="Times New Roman"/>
          <w:kern w:val="0"/>
          <w:rtl/>
          <w:lang w:bidi="ar-JO"/>
          <w14:ligatures w14:val="none"/>
        </w:rPr>
        <w:t xml:space="preserve"> </w:t>
      </w:r>
    </w:p>
    <w:p w14:paraId="1B2D6C1F" w14:textId="77777777" w:rsidR="0048608E" w:rsidRPr="003315B8" w:rsidRDefault="0048608E" w:rsidP="00C7130A">
      <w:pPr>
        <w:tabs>
          <w:tab w:val="left" w:pos="454"/>
        </w:tabs>
        <w:spacing w:after="60"/>
        <w:ind w:left="550" w:hanging="550"/>
        <w:jc w:val="both"/>
        <w:rPr>
          <w:rFonts w:eastAsia="Times New Roman"/>
          <w:bCs/>
          <w:kern w:val="0"/>
          <w:rtl/>
          <w:lang w:bidi="ar-JO"/>
          <w14:ligatures w14:val="none"/>
        </w:rPr>
      </w:pPr>
      <w:r w:rsidRPr="003315B8">
        <w:rPr>
          <w:rFonts w:eastAsia="Times New Roman"/>
          <w:bCs/>
          <w:kern w:val="0"/>
          <w:rtl/>
          <w14:ligatures w14:val="none"/>
        </w:rPr>
        <w:t>ب.</w:t>
      </w:r>
      <w:r w:rsidRPr="003315B8">
        <w:rPr>
          <w:rFonts w:eastAsia="Times New Roman"/>
          <w:bCs/>
          <w:kern w:val="0"/>
          <w:rtl/>
          <w14:ligatures w14:val="none"/>
        </w:rPr>
        <w:tab/>
        <w:t xml:space="preserve">استجابة إبراهيم </w:t>
      </w:r>
    </w:p>
    <w:p w14:paraId="389993C4"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315B8">
        <w:rPr>
          <w:rFonts w:eastAsia="Times New Roman"/>
          <w:kern w:val="0"/>
          <w:rtl/>
          <w:lang w:bidi="ar-JO"/>
          <w14:ligatures w14:val="none"/>
        </w:rPr>
        <w:t>تعتمد الوعود في تكوين 12: 1-3 على استجابة أبرام بالطاعة، وهذا يتطلب إيماناً.  ويستجيب أبرام بالإيمان ويطيع بالفعل.  إذ يخرج من الأرض ويبدأ مشوار صيرورته بركة:</w:t>
      </w:r>
    </w:p>
    <w:p w14:paraId="76C6A103"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315B8">
        <w:rPr>
          <w:rFonts w:eastAsia="Times New Roman"/>
          <w:kern w:val="0"/>
          <w:rtl/>
          <w:lang w:bidi="ar-JO"/>
          <w14:ligatures w14:val="none"/>
        </w:rPr>
        <w:t>اذهب!</w:t>
      </w:r>
      <w:r w:rsidRPr="003315B8">
        <w:rPr>
          <w:rFonts w:eastAsia="Times New Roman"/>
          <w:kern w:val="0"/>
          <w:rtl/>
          <w:lang w:bidi="ar-JO"/>
          <w14:ligatures w14:val="none"/>
        </w:rPr>
        <w:tab/>
      </w:r>
      <w:r w:rsidRPr="003315B8">
        <w:rPr>
          <w:rFonts w:eastAsia="Times New Roman"/>
          <w:kern w:val="0"/>
          <w:rtl/>
          <w:lang w:bidi="ar-JO"/>
          <w14:ligatures w14:val="none"/>
        </w:rPr>
        <w:tab/>
        <w:t xml:space="preserve">12: 4 </w:t>
      </w:r>
      <w:r w:rsidRPr="003315B8">
        <w:rPr>
          <w:rFonts w:eastAsia="Times New Roman"/>
          <w:kern w:val="0"/>
          <w:rtl/>
          <w:lang w:bidi="ar-JO"/>
          <w14:ligatures w14:val="none"/>
        </w:rPr>
        <w:tab/>
        <w:t>"فذهب أبرام..."</w:t>
      </w:r>
    </w:p>
    <w:p w14:paraId="3D1BF5FD"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315B8">
        <w:rPr>
          <w:rFonts w:eastAsia="Times New Roman"/>
          <w:kern w:val="0"/>
          <w:rtl/>
          <w:lang w:bidi="ar-JO"/>
          <w14:ligatures w14:val="none"/>
        </w:rPr>
        <w:t>كن بركة</w:t>
      </w:r>
      <w:r w:rsidRPr="003315B8">
        <w:rPr>
          <w:rFonts w:eastAsia="Times New Roman"/>
          <w:kern w:val="0"/>
          <w:rtl/>
          <w14:ligatures w14:val="none"/>
        </w:rPr>
        <w:tab/>
      </w:r>
      <w:r w:rsidRPr="003315B8">
        <w:rPr>
          <w:rFonts w:eastAsia="Times New Roman"/>
          <w:kern w:val="0"/>
          <w:rtl/>
          <w:lang w:bidi="ar-JO"/>
          <w14:ligatures w14:val="none"/>
        </w:rPr>
        <w:tab/>
        <w:t>2: 8</w:t>
      </w:r>
      <w:r w:rsidRPr="003315B8">
        <w:rPr>
          <w:rFonts w:eastAsia="Times New Roman"/>
          <w:kern w:val="0"/>
          <w:rtl/>
          <w:lang w:bidi="ar-JO"/>
          <w14:ligatures w14:val="none"/>
        </w:rPr>
        <w:tab/>
        <w:t>" فبنى هناك مذبحاً للرب ودعا باسم الرب"</w:t>
      </w:r>
    </w:p>
    <w:p w14:paraId="74B8B529"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p>
    <w:p w14:paraId="6D0AE652" w14:textId="19142738"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315B8">
        <w:rPr>
          <w:rFonts w:eastAsia="Times New Roman"/>
          <w:kern w:val="0"/>
          <w:rtl/>
          <w:lang w:bidi="ar-JO"/>
          <w14:ligatures w14:val="none"/>
        </w:rPr>
        <w:t>يعمل إبراهيم لهذا، فهو يشهد ليهوه في وسط الكنعانيين، وهو في هذه بركة لهم.  فهو في هذه المرحلة يطيع الرب (على الرغم من أن ذلك جزئي، إذ يسمح للوط باللحاق به).  وربما تشير عبارة "</w:t>
      </w:r>
      <w:r w:rsidRPr="003315B8">
        <w:rPr>
          <w:rFonts w:eastAsia="Times New Roman"/>
          <w:i/>
          <w:iCs/>
          <w:kern w:val="0"/>
          <w:rtl/>
          <w:lang w:bidi="ar-JO"/>
          <w14:ligatures w14:val="none"/>
        </w:rPr>
        <w:t>فآمن بالرب</w:t>
      </w:r>
      <w:r w:rsidRPr="003315B8">
        <w:rPr>
          <w:rFonts w:eastAsia="Times New Roman"/>
          <w:kern w:val="0"/>
          <w:rtl/>
          <w:lang w:bidi="ar-JO"/>
          <w14:ligatures w14:val="none"/>
        </w:rPr>
        <w:t>" في تكوين 15: 6 إلى هذه النقطة التي يطيع فيها الدعوة بإيمان.  فهو يأخذ كلام الله على محمل الجد ويعتمد عليه، وهذا هو جوهر الإيمان؛ الاتكال على كلام الله.  وحين يصل أبرام إلى الأرض، يعد يهوه بأن يعطي الأرض لنسله.  يوجد هنا درس لجيل الخروج: إذ عليهم أن يغادروا بالإيمان مصر إلى أرض الموعد.</w:t>
      </w:r>
    </w:p>
    <w:p w14:paraId="5632BE84"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3C3A8FD" w14:textId="77777777" w:rsidR="0048608E" w:rsidRPr="003315B8" w:rsidRDefault="0048608E" w:rsidP="00C7130A">
      <w:pPr>
        <w:tabs>
          <w:tab w:val="left" w:pos="454"/>
        </w:tabs>
        <w:spacing w:after="60"/>
        <w:ind w:left="550" w:hanging="550"/>
        <w:jc w:val="both"/>
        <w:rPr>
          <w:rFonts w:eastAsia="Times New Roman"/>
          <w:bCs/>
          <w:kern w:val="0"/>
          <w:rtl/>
          <w14:ligatures w14:val="none"/>
        </w:rPr>
      </w:pPr>
      <w:r w:rsidRPr="003315B8">
        <w:rPr>
          <w:rFonts w:eastAsia="Times New Roman"/>
          <w:bCs/>
          <w:kern w:val="0"/>
          <w:rtl/>
          <w14:ligatures w14:val="none"/>
        </w:rPr>
        <w:t>جـ.</w:t>
      </w:r>
      <w:r w:rsidRPr="003315B8">
        <w:rPr>
          <w:rFonts w:eastAsia="Times New Roman"/>
          <w:bCs/>
          <w:kern w:val="0"/>
          <w:rtl/>
          <w14:ligatures w14:val="none"/>
        </w:rPr>
        <w:tab/>
        <w:t xml:space="preserve"> مراحل البرنامج الإلهي</w:t>
      </w:r>
    </w:p>
    <w:p w14:paraId="3436E65A" w14:textId="77777777" w:rsidR="0048608E" w:rsidRPr="003315B8"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3315B8">
        <w:rPr>
          <w:rFonts w:eastAsia="Times New Roman"/>
          <w:kern w:val="0"/>
          <w:rtl/>
          <w:lang w:bidi="ar-JO"/>
          <w14:ligatures w14:val="none"/>
        </w:rPr>
        <w:t>1.</w:t>
      </w:r>
      <w:r w:rsidRPr="003315B8">
        <w:rPr>
          <w:rFonts w:eastAsia="Times New Roman"/>
          <w:kern w:val="0"/>
          <w:rtl/>
          <w:lang w:bidi="ar-JO"/>
          <w14:ligatures w14:val="none"/>
        </w:rPr>
        <w:tab/>
        <w:t xml:space="preserve">يفرز الله شخصاً واحداً – إبراهيم </w:t>
      </w:r>
    </w:p>
    <w:p w14:paraId="392FC8A9"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315B8">
        <w:rPr>
          <w:rFonts w:eastAsia="Times New Roman"/>
          <w:kern w:val="0"/>
          <w:rtl/>
          <w:lang w:bidi="ar-JO"/>
          <w14:ligatures w14:val="none"/>
        </w:rPr>
        <w:t>يغادر حاران في سن الخامسة والسبعين في حوالي عام 2019ق م ليدخل كنعان.</w:t>
      </w:r>
      <w:r w:rsidRPr="003315B8">
        <w:rPr>
          <w:rFonts w:eastAsia="Times New Roman"/>
          <w:kern w:val="0"/>
          <w:vertAlign w:val="superscript"/>
          <w:rtl/>
          <w:lang w:bidi="ar-JO"/>
          <w14:ligatures w14:val="none"/>
        </w:rPr>
        <w:footnoteReference w:customMarkFollows="1" w:id="42"/>
        <w:t>5</w:t>
      </w:r>
      <w:r w:rsidRPr="003315B8">
        <w:rPr>
          <w:rFonts w:eastAsia="Times New Roman"/>
          <w:kern w:val="0"/>
          <w:rtl/>
          <w14:ligatures w14:val="none"/>
        </w:rPr>
        <w:t xml:space="preserve">  </w:t>
      </w:r>
      <w:r w:rsidRPr="003315B8">
        <w:rPr>
          <w:rFonts w:eastAsia="Times New Roman"/>
          <w:kern w:val="0"/>
          <w:rtl/>
          <w:lang w:bidi="ar-JO"/>
          <w14:ligatures w14:val="none"/>
        </w:rPr>
        <w:t>كانت أور في ذلك الوقت مدينة متطورة غنية (ربما كانت تضمّ أكثر الحضارات تقدماً في ذلك العصر)، أما حضارة الكنعانيين فكانت غير أخلاقية.  غير أن هذا هو المكان الذي قرر الله أن يبدأ برنامجه فيه.</w:t>
      </w:r>
    </w:p>
    <w:p w14:paraId="7931DD8C" w14:textId="77777777" w:rsidR="0048608E" w:rsidRPr="003315B8"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3315B8">
        <w:rPr>
          <w:rFonts w:eastAsia="Times New Roman"/>
          <w:kern w:val="0"/>
          <w:rtl/>
          <w:lang w:bidi="ar-JO"/>
          <w14:ligatures w14:val="none"/>
        </w:rPr>
        <w:t>2.</w:t>
      </w:r>
      <w:r w:rsidRPr="003315B8">
        <w:rPr>
          <w:rFonts w:eastAsia="Times New Roman"/>
          <w:kern w:val="0"/>
          <w:rtl/>
          <w:lang w:bidi="ar-JO"/>
          <w14:ligatures w14:val="none"/>
        </w:rPr>
        <w:tab/>
        <w:t xml:space="preserve">يصنع الله أمّة واحدة من نسل إبراهيم </w:t>
      </w:r>
    </w:p>
    <w:p w14:paraId="090D421E"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315B8">
        <w:rPr>
          <w:rFonts w:eastAsia="Times New Roman"/>
          <w:kern w:val="0"/>
          <w:rtl/>
          <w:lang w:bidi="ar-JO"/>
          <w14:ligatures w14:val="none"/>
        </w:rPr>
        <w:t>لا يصبح نسل إبراهيم أمّة إلى أن يقودهم موسى خارج مصر (1446ق م) لينضموا إلى علاقة العهد مع يهوه في خروج 19.  إذاً توجد فترة 600 سنة بين الوعد والتحقيق.  توجد ثلاثة عوامل لتشكيل الأمة:</w:t>
      </w:r>
    </w:p>
    <w:p w14:paraId="5CAE2EEC"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315B8">
        <w:rPr>
          <w:rFonts w:eastAsia="Times New Roman"/>
          <w:kern w:val="0"/>
          <w:rtl/>
          <w:lang w:bidi="ar-JO"/>
          <w14:ligatures w14:val="none"/>
        </w:rPr>
        <w:t>أ.</w:t>
      </w:r>
      <w:r w:rsidRPr="003315B8">
        <w:rPr>
          <w:rFonts w:eastAsia="Times New Roman"/>
          <w:kern w:val="0"/>
          <w:rtl/>
          <w:lang w:bidi="ar-JO"/>
          <w14:ligatures w14:val="none"/>
        </w:rPr>
        <w:tab/>
        <w:t xml:space="preserve">شعب </w:t>
      </w:r>
    </w:p>
    <w:p w14:paraId="214AEC27"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315B8">
        <w:rPr>
          <w:rFonts w:eastAsia="Times New Roman"/>
          <w:kern w:val="0"/>
          <w:rtl/>
          <w:lang w:bidi="ar-JO"/>
          <w14:ligatures w14:val="none"/>
        </w:rPr>
        <w:lastRenderedPageBreak/>
        <w:t>ب.</w:t>
      </w:r>
      <w:r w:rsidRPr="003315B8">
        <w:rPr>
          <w:rFonts w:eastAsia="Times New Roman"/>
          <w:kern w:val="0"/>
          <w:rtl/>
          <w:lang w:bidi="ar-JO"/>
          <w14:ligatures w14:val="none"/>
        </w:rPr>
        <w:tab/>
        <w:t>أرض (وهي تحدد بشكل عام في تكوين 15: 18)</w:t>
      </w:r>
    </w:p>
    <w:p w14:paraId="52525488"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315B8">
        <w:rPr>
          <w:rFonts w:eastAsia="Times New Roman"/>
          <w:kern w:val="0"/>
          <w:rtl/>
          <w:lang w:bidi="ar-JO"/>
          <w14:ligatures w14:val="none"/>
        </w:rPr>
        <w:t>جـ.</w:t>
      </w:r>
      <w:r w:rsidRPr="003315B8">
        <w:rPr>
          <w:rFonts w:eastAsia="Times New Roman"/>
          <w:kern w:val="0"/>
          <w:rtl/>
          <w:lang w:bidi="ar-JO"/>
          <w14:ligatures w14:val="none"/>
        </w:rPr>
        <w:tab/>
        <w:t>دستور يربطهم معاً</w:t>
      </w:r>
    </w:p>
    <w:p w14:paraId="3B81C05F"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3315B8">
        <w:rPr>
          <w:rFonts w:eastAsia="Times New Roman"/>
          <w:kern w:val="0"/>
          <w:rtl/>
          <w:lang w:bidi="ar-JO"/>
          <w14:ligatures w14:val="none"/>
        </w:rPr>
        <w:t>(شكل بدائي في تكوين 17؛ وبشكل رسمي في خروج 19)</w:t>
      </w:r>
    </w:p>
    <w:p w14:paraId="7BBDC39E" w14:textId="77777777" w:rsidR="0048608E" w:rsidRPr="003315B8"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3315B8">
        <w:rPr>
          <w:rFonts w:eastAsia="Times New Roman"/>
          <w:kern w:val="0"/>
          <w:rtl/>
          <w:lang w:bidi="ar-JO"/>
          <w14:ligatures w14:val="none"/>
        </w:rPr>
        <w:t>3.</w:t>
      </w:r>
      <w:r w:rsidRPr="003315B8">
        <w:rPr>
          <w:rFonts w:eastAsia="Times New Roman"/>
          <w:kern w:val="0"/>
          <w:rtl/>
          <w:lang w:bidi="ar-JO"/>
          <w14:ligatures w14:val="none"/>
        </w:rPr>
        <w:tab/>
        <w:t>مأمورية الله لإبراهيم بأن يكون بركة</w:t>
      </w:r>
    </w:p>
    <w:p w14:paraId="3A066CB3"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315B8">
        <w:rPr>
          <w:rFonts w:eastAsia="Times New Roman"/>
          <w:kern w:val="0"/>
          <w:rtl/>
          <w:lang w:bidi="ar-JO"/>
          <w14:ligatures w14:val="none"/>
        </w:rPr>
        <w:t xml:space="preserve"> أن "تبارِك" شخصاً يعني أن تُثريه، ويتضمن هذا الجانبين المادي والروحي.  وما يجب أن نلاحظه هنا هو أن هذه المأمورية يجب أن تصل إلى "كل قبائل الأرض"، أي إلى الأمم أيضاً.  وسيتحقق هذا في نهاية المطاف من خلال يسوع المسيح، ويفسّر هذا إدخال الأمميين ليكونوا شركاء في الكنيسة (أفسس 2).  وتشمل هذه البركة الإعلان الإلهي أيضاً، حيث بارك اليهود العالم بإعطاء الكتاب المقدس للجميع (رومية 3: 1-2).</w:t>
      </w:r>
    </w:p>
    <w:p w14:paraId="2384E2E0"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3C0068AB" w14:textId="77777777" w:rsidR="0048608E" w:rsidRPr="003315B8" w:rsidRDefault="0048608E" w:rsidP="00C7130A">
      <w:pPr>
        <w:tabs>
          <w:tab w:val="left" w:pos="454"/>
        </w:tabs>
        <w:spacing w:after="60"/>
        <w:ind w:left="550" w:hanging="550"/>
        <w:jc w:val="both"/>
        <w:rPr>
          <w:rFonts w:eastAsia="Times New Roman"/>
          <w:bCs/>
          <w:kern w:val="0"/>
          <w:rtl/>
          <w14:ligatures w14:val="none"/>
        </w:rPr>
      </w:pPr>
      <w:r w:rsidRPr="003315B8">
        <w:rPr>
          <w:rFonts w:eastAsia="Times New Roman"/>
          <w:bCs/>
          <w:kern w:val="0"/>
          <w:rtl/>
          <w14:ligatures w14:val="none"/>
        </w:rPr>
        <w:t>د.</w:t>
      </w:r>
      <w:r w:rsidRPr="003315B8">
        <w:rPr>
          <w:rFonts w:eastAsia="Times New Roman"/>
          <w:bCs/>
          <w:kern w:val="0"/>
          <w:rtl/>
          <w14:ligatures w14:val="none"/>
        </w:rPr>
        <w:tab/>
        <w:t xml:space="preserve">المصادقة على الوعود </w:t>
      </w:r>
    </w:p>
    <w:p w14:paraId="76BC31EC"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315B8">
        <w:rPr>
          <w:rFonts w:eastAsia="Times New Roman"/>
          <w:kern w:val="0"/>
          <w:rtl/>
          <w:lang w:bidi="ar-JO"/>
          <w14:ligatures w14:val="none"/>
        </w:rPr>
        <w:t>على الأرجح أن تكوين 15: 7-21 أكثر أجزاء العهد القديم أهمية.  وهنا يصادق العهد على الوعد المعطى لأبرام في الأصحاح 12.  لقد أُعطي وعد الأرض عند الدخول إلى الأرض (12: 7)، وهو يتعزز بوعد "إلى الأبد" بعد انفصال لوط (13: 15)، وهو يتحدد الآن في تكوين 15 في المصادقة على العهد.  وهذا العهد هام، لأنه يقرر برنامج الله الأخروي كله لأمة إسرائيل.</w:t>
      </w:r>
    </w:p>
    <w:p w14:paraId="2CD427B7" w14:textId="77777777" w:rsidR="0048608E" w:rsidRPr="003315B8"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3315B8">
        <w:rPr>
          <w:rFonts w:eastAsia="Times New Roman"/>
          <w:kern w:val="0"/>
          <w:rtl/>
          <w:lang w:bidi="ar-JO"/>
          <w14:ligatures w14:val="none"/>
        </w:rPr>
        <w:t>1.</w:t>
      </w:r>
      <w:r w:rsidRPr="003315B8">
        <w:rPr>
          <w:rFonts w:eastAsia="Times New Roman"/>
          <w:kern w:val="0"/>
          <w:rtl/>
          <w:lang w:bidi="ar-JO"/>
          <w14:ligatures w14:val="none"/>
        </w:rPr>
        <w:tab/>
        <w:t xml:space="preserve">أنواع من العهود </w:t>
      </w:r>
    </w:p>
    <w:p w14:paraId="6204706B"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315B8">
        <w:rPr>
          <w:rFonts w:eastAsia="Times New Roman"/>
          <w:kern w:val="0"/>
          <w:rtl/>
          <w:lang w:bidi="ar-JO"/>
          <w14:ligatures w14:val="none"/>
        </w:rPr>
        <w:t>شاعت في العادات الشرقية القديمة طرق للمصادقة على عقد شرعي بين طرفي العقد الموافقين عليه:</w:t>
      </w:r>
    </w:p>
    <w:p w14:paraId="5F59AA03"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315B8">
        <w:rPr>
          <w:rFonts w:eastAsia="Times New Roman"/>
          <w:kern w:val="0"/>
          <w:rtl/>
          <w:lang w:bidi="ar-JO"/>
          <w14:ligatures w14:val="none"/>
        </w:rPr>
        <w:t>أ.</w:t>
      </w:r>
      <w:r w:rsidRPr="003315B8">
        <w:rPr>
          <w:rFonts w:eastAsia="Times New Roman"/>
          <w:kern w:val="0"/>
          <w:rtl/>
          <w:lang w:bidi="ar-JO"/>
          <w14:ligatures w14:val="none"/>
        </w:rPr>
        <w:tab/>
        <w:t>عهد الحذاء (انظر روث 4: 8)</w:t>
      </w:r>
    </w:p>
    <w:p w14:paraId="0DDC1992"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315B8">
        <w:rPr>
          <w:rFonts w:eastAsia="Times New Roman"/>
          <w:kern w:val="0"/>
          <w:rtl/>
          <w:lang w:bidi="ar-JO"/>
          <w14:ligatures w14:val="none"/>
        </w:rPr>
        <w:t>ب.</w:t>
      </w:r>
      <w:r w:rsidRPr="003315B8">
        <w:rPr>
          <w:rFonts w:eastAsia="Times New Roman"/>
          <w:kern w:val="0"/>
          <w:rtl/>
          <w:lang w:bidi="ar-JO"/>
          <w14:ligatures w14:val="none"/>
        </w:rPr>
        <w:tab/>
        <w:t>عهد الملح (انظر عدد 18: 19)</w:t>
      </w:r>
    </w:p>
    <w:p w14:paraId="4FCDBFC5"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315B8">
        <w:rPr>
          <w:rFonts w:eastAsia="Times New Roman"/>
          <w:kern w:val="0"/>
          <w:rtl/>
          <w:lang w:bidi="ar-JO"/>
          <w14:ligatures w14:val="none"/>
        </w:rPr>
        <w:t>جـ.</w:t>
      </w:r>
      <w:r w:rsidRPr="003315B8">
        <w:rPr>
          <w:rFonts w:eastAsia="Times New Roman"/>
          <w:kern w:val="0"/>
          <w:rtl/>
          <w:lang w:bidi="ar-JO"/>
          <w14:ligatures w14:val="none"/>
        </w:rPr>
        <w:tab/>
        <w:t xml:space="preserve">عهد الدم </w:t>
      </w:r>
    </w:p>
    <w:p w14:paraId="2342B838"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3315B8">
        <w:rPr>
          <w:rFonts w:eastAsia="Times New Roman"/>
          <w:kern w:val="0"/>
          <w:rtl/>
          <w:lang w:bidi="ar-JO"/>
          <w14:ligatures w14:val="none"/>
        </w:rPr>
        <w:t>إذا أراد شخصان أن يربطا نفسيهما بعهد غير قابل للنقض، كانا يعمدان إلى قتل حيوان حي.  حمل هذا دلالة مزدوجة: (1) يمثّل الحيوان الشخص الذي يقطع العهد، والفكرة هنا هي أن الشخص الميت لا يستطيع أن يتراجع عن وعده؛ و (2) إذا لم يفِ أحد الطرفين بدوره في العهد، فإنه كان يشترط موته وسفك دمه.</w:t>
      </w:r>
    </w:p>
    <w:p w14:paraId="51A1F30A"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3315B8">
        <w:rPr>
          <w:rFonts w:eastAsia="Times New Roman"/>
          <w:kern w:val="0"/>
          <w:rtl/>
          <w:lang w:bidi="ar-JO"/>
          <w14:ligatures w14:val="none"/>
        </w:rPr>
        <w:t xml:space="preserve">مراسم عهد الدم كانت تتم بأن يقوم الطرفان بشق الحيوان الميت والمشي بين نصفي الجثة دلالة على المصادقة على العهد.  وفي مشهد تكوين 15 نجد أبرام في نوم عميق، بينما يمر يهوه (المرموز له بتنور الدخان والمصباح) بين الأجزاء وحده (15: 17).  والنقطة هنا واضحة: إن تحقيق العهد أمر معتمد على يهوه وحده، لا على إبراهيم.  ولهذا فإنه عهد غير مشروط! لقد ألزم الله نفسه بتحقيق الوعود، وتعتمد الشروط </w:t>
      </w:r>
      <w:r w:rsidRPr="003315B8">
        <w:rPr>
          <w:rFonts w:eastAsia="Times New Roman"/>
          <w:kern w:val="0"/>
          <w:rtl/>
          <w:lang w:bidi="ar-JO"/>
          <w14:ligatures w14:val="none"/>
        </w:rPr>
        <w:lastRenderedPageBreak/>
        <w:t>على الله وحده، لا على إبراهيم.  غير أن للعهد غير المشروط بركات مشروطة.</w:t>
      </w:r>
      <w:r w:rsidRPr="003315B8">
        <w:rPr>
          <w:rFonts w:eastAsia="Times New Roman"/>
          <w:kern w:val="0"/>
          <w:vertAlign w:val="superscript"/>
          <w:rtl/>
          <w:lang w:bidi="ar-JO"/>
          <w14:ligatures w14:val="none"/>
        </w:rPr>
        <w:footnoteReference w:customMarkFollows="1" w:id="43"/>
        <w:t>6</w:t>
      </w:r>
      <w:r w:rsidRPr="003315B8">
        <w:rPr>
          <w:rFonts w:eastAsia="Times New Roman"/>
          <w:kern w:val="0"/>
          <w:rtl/>
          <w:lang w:bidi="ar-JO"/>
          <w14:ligatures w14:val="none"/>
        </w:rPr>
        <w:t xml:space="preserve">ولن يحقق أي جيل الوعود بعيداً عن الإيمان والطاعة.  أمّا في ما يتعلق بجيل الخروج، فقد كان هذا العهد أساس مغادرتهم مصر والحصول على أرض الموعد.  وسيكون العهد مع إبراهيم على أساس معاملات الله مع إسرائيل عبر الكتاب المقدس.  وعندما يدعوهم الله إلى الخروج من مصر، تكون هذه الدعوة على أساس العهد (تكوين 50: 24؛ خروج 2: 24، 25؛ 3: 16).  وعندما يقطع عهداً جديداً في سفر التثنية، يكون ذلك بسبب العهد الإبراهيمي (تثنية 1: 8-11).  وعندما تعصيه الأمّة، لا يقوم بمحوها (2ملوك 13: 22-23).  ويقوم صاحب المزامير بتسبيح الله وحمده في ضوء هذا العهد (مزمور 105: 8-11).  ويأتي ميلاد يسوع متوافقاً مع العهد (لوقا 1: 55).  ورسالة بطرس إلى اليهود في أعمال الرسل 3 مبنية على العهد.  وأخيراً فإن هذا هو أساس الرجاء المستقبلي لإسرائيل كأمةٍ (رومية 9-11).  </w:t>
      </w:r>
    </w:p>
    <w:p w14:paraId="4CF5B766" w14:textId="77777777" w:rsidR="0048608E" w:rsidRPr="003315B8" w:rsidRDefault="0048608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3315B8">
        <w:rPr>
          <w:rFonts w:eastAsia="Times New Roman"/>
          <w:kern w:val="0"/>
          <w:rtl/>
          <w:lang w:bidi="ar-JO"/>
          <w14:ligatures w14:val="none"/>
        </w:rPr>
        <w:t>2.</w:t>
      </w:r>
      <w:r w:rsidRPr="003315B8">
        <w:rPr>
          <w:rFonts w:eastAsia="Times New Roman"/>
          <w:kern w:val="0"/>
          <w:rtl/>
          <w:lang w:bidi="ar-JO"/>
          <w14:ligatures w14:val="none"/>
        </w:rPr>
        <w:tab/>
        <w:t xml:space="preserve">جوانب الوعد لأبرام ونسله </w:t>
      </w:r>
    </w:p>
    <w:p w14:paraId="0989AC0F"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315B8">
        <w:rPr>
          <w:rFonts w:eastAsia="Times New Roman"/>
          <w:kern w:val="0"/>
          <w:rtl/>
          <w:lang w:bidi="ar-JO"/>
          <w14:ligatures w14:val="none"/>
        </w:rPr>
        <w:t>أ.</w:t>
      </w:r>
      <w:r w:rsidRPr="003315B8">
        <w:rPr>
          <w:rFonts w:eastAsia="Times New Roman"/>
          <w:kern w:val="0"/>
          <w:rtl/>
          <w:lang w:bidi="ar-JO"/>
          <w14:ligatures w14:val="none"/>
        </w:rPr>
        <w:tab/>
        <w:t>أرض</w:t>
      </w:r>
      <w:r w:rsidRPr="003315B8">
        <w:rPr>
          <w:rFonts w:eastAsia="Times New Roman"/>
          <w:kern w:val="0"/>
          <w:rtl/>
          <w:lang w:bidi="ar-JO"/>
          <w14:ligatures w14:val="none"/>
        </w:rPr>
        <w:tab/>
      </w:r>
      <w:r w:rsidRPr="003315B8">
        <w:rPr>
          <w:rFonts w:eastAsia="Times New Roman"/>
          <w:kern w:val="0"/>
          <w:rtl/>
          <w:lang w:bidi="ar-JO"/>
          <w14:ligatures w14:val="none"/>
        </w:rPr>
        <w:tab/>
        <w:t>ب.</w:t>
      </w:r>
      <w:r w:rsidRPr="003315B8">
        <w:rPr>
          <w:rFonts w:eastAsia="Times New Roman"/>
          <w:kern w:val="0"/>
          <w:rtl/>
          <w:lang w:bidi="ar-JO"/>
          <w14:ligatures w14:val="none"/>
        </w:rPr>
        <w:tab/>
        <w:t>نسل</w:t>
      </w:r>
      <w:r w:rsidRPr="003315B8">
        <w:rPr>
          <w:rFonts w:eastAsia="Times New Roman"/>
          <w:kern w:val="0"/>
          <w:rtl/>
          <w:lang w:bidi="ar-JO"/>
          <w14:ligatures w14:val="none"/>
        </w:rPr>
        <w:tab/>
        <w:t>جـ.</w:t>
      </w:r>
      <w:r w:rsidRPr="003315B8">
        <w:rPr>
          <w:rFonts w:eastAsia="Times New Roman"/>
          <w:kern w:val="0"/>
          <w:rtl/>
          <w:lang w:bidi="ar-JO"/>
          <w14:ligatures w14:val="none"/>
        </w:rPr>
        <w:tab/>
        <w:t>بركة</w:t>
      </w:r>
    </w:p>
    <w:p w14:paraId="019A736D" w14:textId="35314D89"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315B8">
        <w:rPr>
          <w:rFonts w:eastAsia="Times New Roman"/>
          <w:kern w:val="0"/>
          <w:rtl/>
          <w:lang w:bidi="ar-JO"/>
          <w14:ligatures w14:val="none"/>
        </w:rPr>
        <w:t>سيتم تناول هذه الوجوه الثلاث من الوعد وتطويرها في إعلانات لاحقة خاصة بالعهود: المبادئ الإلهية لامتلاك الأرض (تثنية 28-30)، والعهد الداودي (2صموئيل 7) والعهد الجديد (إرميا 31).  وعلى الرغم من أن هذه العهود ستتحقق في ملكوت المسيح الألفي في نهاية الأمر، إلاّ أنه سيكون هنالك تحقيق جزئي في الفترة المتوسطة.</w:t>
      </w:r>
    </w:p>
    <w:p w14:paraId="1D4AC403"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84E6F65" w14:textId="77777777" w:rsidR="0048608E" w:rsidRPr="00C7130A" w:rsidRDefault="0048608E" w:rsidP="00C7130A">
      <w:pPr>
        <w:rPr>
          <w:rFonts w:eastAsia="Times New Roman"/>
          <w:kern w:val="0"/>
          <w:szCs w:val="18"/>
          <w:rtl/>
          <w:lang w:bidi="ar-JO"/>
          <w14:ligatures w14:val="none"/>
        </w:rPr>
      </w:pPr>
    </w:p>
    <w:bookmarkStart w:id="137" w:name="_MON_1166425479"/>
    <w:bookmarkStart w:id="138" w:name="_MON_1166424979"/>
    <w:bookmarkEnd w:id="137"/>
    <w:bookmarkEnd w:id="138"/>
    <w:bookmarkStart w:id="139" w:name="_MON_1166425040"/>
    <w:bookmarkEnd w:id="139"/>
    <w:p w14:paraId="541465E5" w14:textId="7518FC56" w:rsidR="0048608E" w:rsidRPr="00C7130A" w:rsidRDefault="0048608E" w:rsidP="00C7130A">
      <w:pPr>
        <w:jc w:val="center"/>
        <w:rPr>
          <w:rFonts w:eastAsia="Times New Roman"/>
          <w:kern w:val="0"/>
          <w:sz w:val="32"/>
          <w:szCs w:val="18"/>
          <w:rtl/>
          <w:lang w:bidi="ar-KW"/>
          <w14:ligatures w14:val="none"/>
        </w:rPr>
      </w:pPr>
      <w:r w:rsidRPr="00C7130A">
        <w:rPr>
          <w:rFonts w:eastAsia="Times New Roman"/>
          <w:kern w:val="0"/>
          <w:szCs w:val="18"/>
          <w14:ligatures w14:val="none"/>
        </w:rPr>
        <w:object w:dxaOrig="3960" w:dyaOrig="2340" w14:anchorId="3B09D920">
          <v:shape id="_x0000_i1030" type="#_x0000_t75" style="width:396.6pt;height:234.6pt" o:ole="">
            <v:imagedata r:id="rId33" o:title=""/>
          </v:shape>
          <o:OLEObject Type="Embed" ProgID="PowerPoint.Show.8" ShapeID="_x0000_i1030" DrawAspect="Content" ObjectID="_1803892145" r:id="rId34"/>
        </w:object>
      </w:r>
    </w:p>
    <w:p w14:paraId="2D95EF70" w14:textId="77777777" w:rsidR="0048608E" w:rsidRPr="00C7130A" w:rsidRDefault="0048608E" w:rsidP="00C7130A">
      <w:pPr>
        <w:tabs>
          <w:tab w:val="left" w:pos="454"/>
        </w:tabs>
        <w:spacing w:after="60"/>
        <w:jc w:val="both"/>
        <w:rPr>
          <w:rFonts w:eastAsia="Times New Roman"/>
          <w:bCs/>
          <w:kern w:val="0"/>
          <w:szCs w:val="28"/>
          <w:rtl/>
          <w:lang w:bidi="ar-JO"/>
          <w14:ligatures w14:val="none"/>
        </w:rPr>
      </w:pPr>
    </w:p>
    <w:p w14:paraId="6C0F6F15" w14:textId="77777777" w:rsidR="0048608E" w:rsidRPr="00C7130A" w:rsidRDefault="0048608E" w:rsidP="000558B7">
      <w:pPr>
        <w:pStyle w:val="Heading3"/>
        <w:rPr>
          <w:rtl/>
        </w:rPr>
      </w:pPr>
      <w:bookmarkStart w:id="140" w:name="_Toc193030962"/>
      <w:r w:rsidRPr="00C7130A">
        <w:rPr>
          <w:rtl/>
          <w:lang w:bidi="ar-JO"/>
        </w:rPr>
        <w:t>4.</w:t>
      </w:r>
      <w:r w:rsidRPr="00C7130A">
        <w:rPr>
          <w:rtl/>
          <w:lang w:bidi="ar-JO"/>
        </w:rPr>
        <w:tab/>
        <w:t>تطور إيمان إبراهيم</w:t>
      </w:r>
      <w:bookmarkEnd w:id="140"/>
    </w:p>
    <w:p w14:paraId="272558D7"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315B8">
        <w:rPr>
          <w:rFonts w:eastAsia="Times New Roman"/>
          <w:kern w:val="0"/>
          <w:rtl/>
          <w:lang w:bidi="ar-JO"/>
          <w14:ligatures w14:val="none"/>
        </w:rPr>
        <w:t>يوجد عبرَ هذا التوليدوت</w:t>
      </w:r>
      <w:r w:rsidRPr="003315B8">
        <w:rPr>
          <w:rFonts w:eastAsia="Times New Roman"/>
          <w:kern w:val="0"/>
          <w:rtl/>
          <w14:ligatures w14:val="none"/>
        </w:rPr>
        <w:t xml:space="preserve"> </w:t>
      </w:r>
      <w:r w:rsidRPr="003315B8">
        <w:rPr>
          <w:rFonts w:eastAsia="Times New Roman"/>
          <w:bCs/>
          <w:i/>
          <w:iCs/>
          <w:kern w:val="0"/>
          <w:lang w:bidi="ar-JO"/>
          <w14:ligatures w14:val="none"/>
        </w:rPr>
        <w:t>tôl</w:t>
      </w:r>
      <w:r w:rsidRPr="003315B8">
        <w:rPr>
          <w:rFonts w:ascii="Times New Roman" w:eastAsia="Times New Roman" w:hAnsi="Times New Roman" w:cs="Times New Roman"/>
          <w:bCs/>
          <w:i/>
          <w:iCs/>
          <w:kern w:val="0"/>
          <w:lang w:bidi="ar-JO"/>
          <w14:ligatures w14:val="none"/>
        </w:rPr>
        <w:t>ᵊ</w:t>
      </w:r>
      <w:r w:rsidRPr="003315B8">
        <w:rPr>
          <w:rFonts w:eastAsia="Times New Roman"/>
          <w:bCs/>
          <w:i/>
          <w:iCs/>
          <w:kern w:val="0"/>
          <w:lang w:bidi="ar-JO"/>
          <w14:ligatures w14:val="none"/>
        </w:rPr>
        <w:t>ḏôṯ</w:t>
      </w:r>
      <w:r w:rsidRPr="003315B8">
        <w:rPr>
          <w:rFonts w:eastAsia="Times New Roman"/>
          <w:kern w:val="0"/>
          <w:rtl/>
          <w:lang w:bidi="ar-JO"/>
          <w14:ligatures w14:val="none"/>
        </w:rPr>
        <w:t xml:space="preserve"> </w:t>
      </w:r>
      <w:r w:rsidRPr="003315B8">
        <w:rPr>
          <w:rFonts w:eastAsia="Times New Roman"/>
          <w:kern w:val="0"/>
          <w:u w:val="single"/>
          <w:rtl/>
          <w:lang w:bidi="ar-JO"/>
          <w14:ligatures w14:val="none"/>
        </w:rPr>
        <w:t>جهاد</w:t>
      </w:r>
      <w:r w:rsidRPr="003315B8">
        <w:rPr>
          <w:rFonts w:eastAsia="Times New Roman"/>
          <w:kern w:val="0"/>
          <w:rtl/>
          <w:lang w:bidi="ar-JO"/>
          <w14:ligatures w14:val="none"/>
        </w:rPr>
        <w:t xml:space="preserve"> دائم لدى أبرام للثقة بوعود الله... للطاعة... للسير في إيمان وعندما يأتي إلى كنعان يجلب معه لوطاً، على الرغم من أن دعوة الله له اشتملت على انفصاله الكامل عن كل أقربائه.  ويغامر بالخروج من الأرض دون أي إرشاد من الله عندما جاءت المجاعة.  وهو يحاول الحصول على النسل من خلال هاجر.  إنّهُ يتعثر من نواحٍ كثيرة.  ومن ناحية أخرى يظهر أبرام إيماناً في مناسبات كثيرة (مثلاً، عند لقائه بملك سدوم).</w:t>
      </w:r>
    </w:p>
    <w:p w14:paraId="5ECDEC45"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315B8">
        <w:rPr>
          <w:rFonts w:eastAsia="Times New Roman"/>
          <w:kern w:val="0"/>
          <w:rtl/>
          <w:lang w:bidi="ar-JO"/>
          <w14:ligatures w14:val="none"/>
        </w:rPr>
        <w:t xml:space="preserve"> </w:t>
      </w:r>
    </w:p>
    <w:p w14:paraId="1CEE0DCD" w14:textId="3F785178"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315B8">
        <w:rPr>
          <w:rFonts w:eastAsia="Times New Roman"/>
          <w:kern w:val="0"/>
          <w:u w:val="single"/>
          <w:rtl/>
          <w:lang w:bidi="ar-JO"/>
          <w14:ligatures w14:val="none"/>
        </w:rPr>
        <w:t>يؤخّر</w:t>
      </w:r>
      <w:r w:rsidRPr="003315B8">
        <w:rPr>
          <w:rFonts w:eastAsia="Times New Roman"/>
          <w:kern w:val="0"/>
          <w:rtl/>
          <w:lang w:bidi="ar-JO"/>
          <w14:ligatures w14:val="none"/>
        </w:rPr>
        <w:t xml:space="preserve"> الله الوعود لكي يسمح بأن ينضج إبراهيم في الإيمان والطاعة.  وأخيراً ينال النسل الموعود ويبارَك في الأرض.  لكن هل سيبقى مطيعاً؟ هذا هو السؤال الذي يجيب عنه تكوين 22 بذبيحة إسحاق.  وينجح إبراهيم في امتحان الطاعة فيعيد الله توكيد الوعود له.  والدرس هنا هام: على الرغم من توكيد الله لوعود العهد، إلا أن الإيمان والطاعة شرطان مسبقان لتحقيقها!</w:t>
      </w:r>
    </w:p>
    <w:p w14:paraId="7394392D" w14:textId="77777777" w:rsidR="0048608E" w:rsidRPr="003315B8" w:rsidRDefault="0048608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8626D09" w14:textId="77777777" w:rsidR="0048608E" w:rsidRPr="003315B8" w:rsidRDefault="0048608E" w:rsidP="00C7130A">
      <w:pPr>
        <w:rPr>
          <w:rFonts w:eastAsia="Times New Roman"/>
          <w:kern w:val="0"/>
          <w:rtl/>
          <w:lang w:bidi="ar-KW"/>
          <w14:ligatures w14:val="none"/>
        </w:rPr>
      </w:pPr>
      <w:r w:rsidRPr="003315B8">
        <w:rPr>
          <w:rFonts w:eastAsia="Times New Roman"/>
          <w:kern w:val="0"/>
          <w:rtl/>
          <w14:ligatures w14:val="none"/>
        </w:rPr>
        <w:t xml:space="preserve">        </w:t>
      </w:r>
    </w:p>
    <w:p w14:paraId="36F4B9A9" w14:textId="779F72F3" w:rsidR="00DC7FD4" w:rsidRPr="003315B8" w:rsidRDefault="00DC7FD4" w:rsidP="00C7130A">
      <w:pPr>
        <w:tabs>
          <w:tab w:val="left" w:pos="547"/>
          <w:tab w:val="left" w:pos="1094"/>
          <w:tab w:val="left" w:pos="1642"/>
          <w:tab w:val="left" w:pos="2189"/>
          <w:tab w:val="left" w:pos="2736"/>
          <w:tab w:val="left" w:pos="3283"/>
          <w:tab w:val="left" w:pos="3830"/>
          <w:tab w:val="left" w:pos="4378"/>
        </w:tabs>
        <w:spacing w:after="120"/>
        <w:jc w:val="both"/>
        <w:rPr>
          <w:rFonts w:eastAsia="Times New Roman"/>
          <w:bCs/>
          <w:kern w:val="0"/>
          <w:lang w:bidi="ar-KW"/>
          <w14:ligatures w14:val="none"/>
        </w:rPr>
      </w:pPr>
    </w:p>
    <w:p w14:paraId="65834D2D" w14:textId="77777777" w:rsidR="00DC7FD4" w:rsidRPr="003315B8" w:rsidRDefault="00DC7FD4" w:rsidP="00C7130A">
      <w:pPr>
        <w:tabs>
          <w:tab w:val="left" w:pos="547"/>
          <w:tab w:val="left" w:pos="1094"/>
          <w:tab w:val="left" w:pos="1642"/>
          <w:tab w:val="left" w:pos="2189"/>
          <w:tab w:val="left" w:pos="2736"/>
          <w:tab w:val="left" w:pos="3283"/>
          <w:tab w:val="left" w:pos="3830"/>
          <w:tab w:val="left" w:pos="4378"/>
        </w:tabs>
        <w:spacing w:after="120"/>
        <w:jc w:val="both"/>
        <w:rPr>
          <w:rFonts w:eastAsia="Times New Roman"/>
          <w:kern w:val="0"/>
          <w14:ligatures w14:val="none"/>
        </w:rPr>
      </w:pPr>
    </w:p>
    <w:p w14:paraId="1F128659" w14:textId="77777777" w:rsidR="00A5655F" w:rsidRPr="00C7130A" w:rsidRDefault="00A5655F" w:rsidP="000558B7">
      <w:pPr>
        <w:pStyle w:val="Heading3"/>
      </w:pPr>
      <w:bookmarkStart w:id="141" w:name="_Hlk157171859"/>
      <w:r w:rsidRPr="00C7130A">
        <w:br w:type="page"/>
      </w:r>
    </w:p>
    <w:p w14:paraId="1F1BB510" w14:textId="62E0487C" w:rsidR="006311FA" w:rsidRDefault="00DD15FF" w:rsidP="000558B7">
      <w:pPr>
        <w:pStyle w:val="Heading2B"/>
        <w:rPr>
          <w:rtl/>
        </w:rPr>
      </w:pPr>
      <w:bookmarkStart w:id="142" w:name="_Toc193030963"/>
      <w:bookmarkStart w:id="143" w:name="_Hlk178778418"/>
      <w:r w:rsidRPr="00C7130A">
        <w:rPr>
          <w:rtl/>
        </w:rPr>
        <w:lastRenderedPageBreak/>
        <w:t>الموضوع 3: قصتا يعقوب ويوسف (تكوين 25: 12 – 50: 26)</w:t>
      </w:r>
      <w:bookmarkEnd w:id="142"/>
    </w:p>
    <w:p w14:paraId="61E7CFB6" w14:textId="77777777" w:rsidR="003315B8" w:rsidRPr="003315B8" w:rsidRDefault="003315B8" w:rsidP="000558B7">
      <w:pPr>
        <w:pStyle w:val="Heading2B"/>
      </w:pPr>
    </w:p>
    <w:bookmarkEnd w:id="141"/>
    <w:bookmarkEnd w:id="143"/>
    <w:p w14:paraId="69B12692" w14:textId="6A0E1A73" w:rsidR="00EC3F3A" w:rsidRPr="00C7130A" w:rsidRDefault="00560A0E" w:rsidP="00C7130A">
      <w:r w:rsidRPr="00C7130A">
        <w:rPr>
          <w:noProof/>
        </w:rPr>
        <w:drawing>
          <wp:inline distT="0" distB="0" distL="0" distR="0" wp14:anchorId="193615DB" wp14:editId="3095F92D">
            <wp:extent cx="5935980" cy="3893820"/>
            <wp:effectExtent l="0" t="0" r="0" b="0"/>
            <wp:docPr id="1106419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1885" cy="3897693"/>
                    </a:xfrm>
                    <a:prstGeom prst="rect">
                      <a:avLst/>
                    </a:prstGeom>
                    <a:noFill/>
                    <a:ln>
                      <a:noFill/>
                    </a:ln>
                  </pic:spPr>
                </pic:pic>
              </a:graphicData>
            </a:graphic>
          </wp:inline>
        </w:drawing>
      </w:r>
    </w:p>
    <w:p w14:paraId="7BCEF888" w14:textId="77777777" w:rsidR="005755E0" w:rsidRPr="00C7130A" w:rsidRDefault="005755E0" w:rsidP="00C7130A">
      <w:pPr>
        <w:tabs>
          <w:tab w:val="left" w:pos="454"/>
        </w:tabs>
        <w:spacing w:after="60"/>
        <w:jc w:val="both"/>
        <w:rPr>
          <w:rFonts w:eastAsia="Times New Roman"/>
          <w:bCs/>
          <w:kern w:val="0"/>
          <w:szCs w:val="28"/>
          <w:rtl/>
          <w:lang w:bidi="ar-JO"/>
          <w14:ligatures w14:val="none"/>
        </w:rPr>
      </w:pPr>
      <w:r w:rsidRPr="00C7130A">
        <w:rPr>
          <w:rFonts w:eastAsia="Times New Roman"/>
          <w:bCs/>
          <w:kern w:val="0"/>
          <w:szCs w:val="28"/>
          <w:rtl/>
          <w:lang w:bidi="ar-JO"/>
          <w14:ligatures w14:val="none"/>
        </w:rPr>
        <w:t>.</w:t>
      </w:r>
      <w:r w:rsidRPr="00C7130A">
        <w:rPr>
          <w:rFonts w:eastAsia="Times New Roman"/>
          <w:bCs/>
          <w:kern w:val="0"/>
          <w:szCs w:val="28"/>
          <w:rtl/>
          <w:lang w:bidi="ar-JO"/>
          <w14:ligatures w14:val="none"/>
        </w:rPr>
        <w:tab/>
      </w:r>
      <w:r w:rsidRPr="003315B8">
        <w:rPr>
          <w:rStyle w:val="Heading3Char"/>
          <w:rFonts w:hint="cs"/>
          <w:rtl/>
        </w:rPr>
        <w:t>مقدمة</w:t>
      </w:r>
    </w:p>
    <w:p w14:paraId="4E21806D" w14:textId="77777777" w:rsidR="005755E0" w:rsidRPr="00C7130A" w:rsidRDefault="005755E0" w:rsidP="003315B8">
      <w:pPr>
        <w:rPr>
          <w:rtl/>
          <w:lang w:bidi="ar-JO"/>
        </w:rPr>
      </w:pPr>
      <w:r w:rsidRPr="00C7130A">
        <w:rPr>
          <w:rtl/>
          <w:lang w:bidi="ar-JO"/>
        </w:rPr>
        <w:t>تتناول بقية سفر التكوين (25: 12-50: 26) بشكل رئيسي حياة شخصين هما يعقوب ويوسف.  غير أن هاتين الشخصيتين لا تأتيان في معزل عما سبق.  فهما جزء من عمل الله المستمر في ما يتعلق بالوعد الإبراهيمي.  سيفي الله بوعده بإقامة أمّة من نسل إبراهيم الذي سينفّذ برنامجه الإلهي من خلاله كما أُعلن في تكوين 12: 1-3.  غير أنه بعمله هذا لن يتجاهل الشخصية الأخلاقية وغياب الإيمان في النسل.  بل سيؤدبهم ويطور إيمانهم.  وفي ضوء هذا ترتبط هذه الأصحاحات بتطوير النسل الموعود والجهاد من أجل الحصول على البركة.  وعندما يتدخل الله لكي يعيد توكيد وعود العهد، يكون مشهد دخوله رائعاً وهاماً.</w:t>
      </w:r>
    </w:p>
    <w:p w14:paraId="7648BBB9" w14:textId="77777777" w:rsidR="005755E0" w:rsidRPr="00C7130A" w:rsidRDefault="005755E0" w:rsidP="003315B8">
      <w:pPr>
        <w:rPr>
          <w:rtl/>
          <w:lang w:bidi="ar-JO"/>
        </w:rPr>
      </w:pPr>
    </w:p>
    <w:p w14:paraId="5F569826" w14:textId="77777777" w:rsidR="005755E0" w:rsidRPr="00C7130A" w:rsidRDefault="005755E0" w:rsidP="003315B8">
      <w:pPr>
        <w:rPr>
          <w:rtl/>
        </w:rPr>
      </w:pPr>
      <w:r w:rsidRPr="00C7130A">
        <w:rPr>
          <w:rtl/>
          <w:lang w:bidi="ar-JO"/>
        </w:rPr>
        <w:t xml:space="preserve">غير أنه في مسألة نقل البركة لا نجد النسل "رجال إيمان" كما صار إبراهيم.  وفضلاً عن ذلك، يحدث تدهور خطير في العائلة (خاصة مع يعقوب وأبنائه) يعرّض نسل البركة للخطر.  فهم يتعرَّضون لخطر أن ينتقل إليهم الفساد وأن تبتلعهم الحضارة الكنعانية.  وبدلاً من أن يكونوا بركة لسكان الأرض، جالبين إليهم المعرفة الروحية وشهادة يهوه، فإنهم يزدادون انحلالاً شيئاً </w:t>
      </w:r>
      <w:r w:rsidRPr="00C7130A">
        <w:rPr>
          <w:rtl/>
          <w:lang w:bidi="ar-JO"/>
        </w:rPr>
        <w:lastRenderedPageBreak/>
        <w:t>فشيئاً ليصيروا مثل الكنعانيين.  يجيب هذا عن  السؤال الذي يطرحه سفر الخروج، إن كان الله قد وعد أمّة إسرائيل بالحصول على كنعان، فما الذي يفعلونه في مصر (ناهيك عن عبوديتهم المزرية هناك)؟ تشرح رواية يوسف سبب وجودهم في مصر.  لقد سبق أن سمحوا لأنفسهم بالانجراف وراء الفساد فتعرض نسل البركة للخطر من خلال عصيانهم وانحلالهم.  وقد فقدوا تقريباً تميزّهم كشعب الله.  ولكي يحفظهم الله من مزيد من التأثيرات الكنعانية، أرسلهم إلى مصر حيث يمكنهم أن يتطوروا إلى أمة.  وعندما تكتمل هذه العملية، سيعيدهم الله إلى أرض الموعد.</w:t>
      </w:r>
    </w:p>
    <w:p w14:paraId="1817D208" w14:textId="77777777" w:rsidR="005755E0" w:rsidRPr="00C7130A" w:rsidRDefault="005755E0" w:rsidP="003315B8">
      <w:pPr>
        <w:rPr>
          <w:rtl/>
        </w:rPr>
      </w:pPr>
    </w:p>
    <w:p w14:paraId="64E149C8" w14:textId="77777777" w:rsidR="005755E0" w:rsidRPr="00C7130A" w:rsidRDefault="005755E0" w:rsidP="000558B7">
      <w:pPr>
        <w:pStyle w:val="Heading3"/>
        <w:rPr>
          <w:rtl/>
          <w:lang w:bidi="ar-JO"/>
        </w:rPr>
      </w:pPr>
      <w:bookmarkStart w:id="144" w:name="_Toc193030964"/>
      <w:r w:rsidRPr="00C7130A">
        <w:rPr>
          <w:rtl/>
          <w:lang w:bidi="ar-JO"/>
        </w:rPr>
        <w:t>2.</w:t>
      </w:r>
      <w:r w:rsidRPr="00C7130A">
        <w:rPr>
          <w:rtl/>
          <w:lang w:bidi="ar-JO"/>
        </w:rPr>
        <w:tab/>
        <w:t>رواية يعقوب (تكوين 25: 19-35: 29) [</w:t>
      </w:r>
      <w:r w:rsidRPr="00C7130A">
        <w:rPr>
          <w:rtl/>
        </w:rPr>
        <w:t xml:space="preserve"> </w:t>
      </w:r>
      <w:r w:rsidRPr="00C7130A">
        <w:rPr>
          <w:rtl/>
          <w:lang w:bidi="ar-JO"/>
        </w:rPr>
        <w:t>يعقوب 2006-1859ق م</w:t>
      </w:r>
      <w:r w:rsidRPr="00C7130A">
        <w:rPr>
          <w:rtl/>
        </w:rPr>
        <w:t xml:space="preserve"> </w:t>
      </w:r>
      <w:r w:rsidRPr="00C7130A">
        <w:rPr>
          <w:rtl/>
          <w:lang w:bidi="ar-JO"/>
        </w:rPr>
        <w:t>]</w:t>
      </w:r>
      <w:bookmarkEnd w:id="144"/>
    </w:p>
    <w:p w14:paraId="5FB1643C" w14:textId="577D450D" w:rsidR="00DC7FD4" w:rsidRPr="00C7130A" w:rsidRDefault="00DC7FD4" w:rsidP="00C7130A">
      <w:pPr>
        <w:pStyle w:val="Heading4"/>
        <w:spacing w:line="240" w:lineRule="auto"/>
        <w:rPr>
          <w:rFonts w:cs="Arabic Typesetting"/>
          <w:lang w:bidi="ar-JO"/>
        </w:rPr>
      </w:pPr>
    </w:p>
    <w:p w14:paraId="242A344C" w14:textId="6F8F4736" w:rsidR="001C7F8D" w:rsidRPr="006D23C4" w:rsidRDefault="001C7F8D"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145" w:name="_Hlk178778439"/>
      <w:r w:rsidRPr="00C7130A">
        <w:rPr>
          <w:rFonts w:eastAsia="Calibri"/>
          <w:b/>
          <w:caps/>
          <w:noProof/>
          <w:color w:val="006699"/>
          <w:kern w:val="0"/>
          <w:sz w:val="21"/>
          <w:szCs w:val="24"/>
          <w14:ligatures w14:val="none"/>
        </w:rPr>
        <w:drawing>
          <wp:inline distT="0" distB="0" distL="0" distR="0" wp14:anchorId="6239B036" wp14:editId="5A29EF18">
            <wp:extent cx="613692" cy="541464"/>
            <wp:effectExtent l="0" t="0" r="0" b="0"/>
            <wp:docPr id="816899505" name="Picture 816899505"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DD15FF" w:rsidRPr="006D23C4">
        <w:rPr>
          <w:rFonts w:eastAsia="Calibri"/>
          <w:bCs/>
          <w:caps/>
          <w:color w:val="006699"/>
          <w:kern w:val="0"/>
          <w:u w:val="single"/>
          <w:rtl/>
          <w14:ligatures w14:val="none"/>
        </w:rPr>
        <w:t>القراءة:</w:t>
      </w:r>
      <w:r w:rsidR="00DD15FF" w:rsidRPr="006D23C4">
        <w:rPr>
          <w:rFonts w:eastAsia="Calibri"/>
          <w:b/>
          <w:caps/>
          <w:color w:val="006699"/>
          <w:kern w:val="0"/>
          <w:u w:val="single"/>
          <w:rtl/>
          <w14:ligatures w14:val="none"/>
        </w:rPr>
        <w:t xml:space="preserve"> </w:t>
      </w:r>
    </w:p>
    <w:p w14:paraId="02250B93" w14:textId="31F81114" w:rsidR="001C7F8D" w:rsidRPr="006D23C4" w:rsidRDefault="001C7F8D" w:rsidP="00C7130A">
      <w:pPr>
        <w:tabs>
          <w:tab w:val="left" w:pos="547"/>
          <w:tab w:val="left" w:pos="1094"/>
          <w:tab w:val="left" w:pos="1642"/>
          <w:tab w:val="left" w:pos="2189"/>
          <w:tab w:val="left" w:pos="2736"/>
          <w:tab w:val="left" w:pos="3283"/>
          <w:tab w:val="left" w:pos="3830"/>
          <w:tab w:val="left" w:pos="4378"/>
        </w:tabs>
        <w:spacing w:after="120"/>
        <w:jc w:val="both"/>
        <w:outlineLvl w:val="4"/>
        <w:rPr>
          <w:rFonts w:eastAsia="Times New Roman"/>
          <w:b/>
          <w:bCs/>
          <w:iCs/>
          <w:kern w:val="0"/>
          <w14:ligatures w14:val="none"/>
        </w:rPr>
      </w:pPr>
      <w:r w:rsidRPr="006D23C4">
        <w:rPr>
          <w:rFonts w:eastAsia="Calibri"/>
          <w:kern w:val="0"/>
          <w14:ligatures w14:val="none"/>
        </w:rPr>
        <w:tab/>
      </w:r>
      <w:r w:rsidRPr="006D23C4">
        <w:rPr>
          <w:rFonts w:eastAsia="Calibri"/>
          <w:kern w:val="0"/>
          <w14:ligatures w14:val="none"/>
        </w:rPr>
        <w:tab/>
      </w:r>
      <w:r w:rsidR="00DD15FF" w:rsidRPr="006D23C4">
        <w:rPr>
          <w:rFonts w:eastAsia="Calibri"/>
          <w:kern w:val="0"/>
          <w:rtl/>
          <w14:ligatures w14:val="none"/>
        </w:rPr>
        <w:t xml:space="preserve">اقرأ تكوين 25: 19 – 35: 29 في كتابك المُقدَّس. </w:t>
      </w:r>
    </w:p>
    <w:bookmarkEnd w:id="145"/>
    <w:p w14:paraId="15FDB84C" w14:textId="390D8DC5" w:rsidR="005755E0" w:rsidRPr="006D23C4" w:rsidRDefault="005755E0" w:rsidP="00C7130A">
      <w:pPr>
        <w:tabs>
          <w:tab w:val="left" w:pos="454"/>
        </w:tabs>
        <w:spacing w:after="60"/>
        <w:jc w:val="both"/>
        <w:rPr>
          <w:rFonts w:eastAsia="Times New Roman"/>
          <w:bCs/>
          <w:kern w:val="0"/>
          <w:rtl/>
          <w:lang w:bidi="ar-JO"/>
          <w14:ligatures w14:val="none"/>
        </w:rPr>
      </w:pPr>
    </w:p>
    <w:p w14:paraId="41940377"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6D23C4">
        <w:rPr>
          <w:rFonts w:eastAsia="Times New Roman"/>
          <w:kern w:val="0"/>
          <w:rtl/>
          <w:lang w:bidi="ar-JO"/>
          <w14:ligatures w14:val="none"/>
        </w:rPr>
        <w:t xml:space="preserve">إن أحد الأمور التي تكشفها رواية يعقوب هو أن الله ليس في عجلة من أمره بحيث يدفع برنامج البركة دفعاً.  فهو قانع تماماً بالتعامل مع </w:t>
      </w:r>
      <w:r w:rsidRPr="006D23C4">
        <w:rPr>
          <w:rFonts w:eastAsia="Times New Roman"/>
          <w:kern w:val="0"/>
          <w:u w:val="single"/>
          <w:rtl/>
          <w:lang w:bidi="ar-JO"/>
          <w14:ligatures w14:val="none"/>
        </w:rPr>
        <w:t>الطبيعة الأخلاقية</w:t>
      </w:r>
      <w:r w:rsidRPr="006D23C4">
        <w:rPr>
          <w:rFonts w:eastAsia="Times New Roman"/>
          <w:kern w:val="0"/>
          <w:rtl/>
          <w:lang w:bidi="ar-JO"/>
          <w14:ligatures w14:val="none"/>
        </w:rPr>
        <w:t xml:space="preserve"> "لنسل البركة" وتطويرها أثناء هذه العملية.  وهذا هو أحد الاهتمامات الرئيسية لهذا القسم: يعمل الله بحرص على تطوير </w:t>
      </w:r>
      <w:r w:rsidRPr="006D23C4">
        <w:rPr>
          <w:rFonts w:eastAsia="Times New Roman"/>
          <w:kern w:val="0"/>
          <w:u w:val="single"/>
          <w:rtl/>
          <w:lang w:bidi="ar-JO"/>
          <w14:ligatures w14:val="none"/>
        </w:rPr>
        <w:t>الشخصية الأخلاقية</w:t>
      </w:r>
      <w:r w:rsidRPr="006D23C4">
        <w:rPr>
          <w:rFonts w:eastAsia="Times New Roman"/>
          <w:kern w:val="0"/>
          <w:rtl/>
          <w:lang w:bidi="ar-JO"/>
          <w14:ligatures w14:val="none"/>
        </w:rPr>
        <w:t xml:space="preserve"> ليعقوب إلى أن يجعله أقرب ما يكون إلى "رجل إيمان" منه إلى شخص مستغل خائن مخادع.  غير أن الشخصية الأخلاقية للأمة نفسها تنعكس في شخصيته، كما لو كان الأمر توقعاً نبوياً.</w:t>
      </w:r>
    </w:p>
    <w:p w14:paraId="6655CD7C"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لا شك أن الله أراد البركة ليعقوب.  وإن اللجوء إلى حيلة مخادعة للحصول على البركة الإبراهيمية من أبيه ليس طريق الإيمان.  ولا يملك يعقوب عند هذه المرحلة نوعية الشخصية الأخلاقية التي يرغب الله أن يتحلى بها "الإداري الثيوقراطي" خاصته.  وهكذا يخرجه الله من أرض البركة ليؤدّبه (على يد لابان) ويرجعه في نهاية المطاف بعد سنوات طويلة من العمل الشاق.  وعند عودته يخش</w:t>
      </w:r>
      <w:r w:rsidRPr="006D23C4">
        <w:rPr>
          <w:rFonts w:eastAsia="Times New Roman"/>
          <w:kern w:val="0"/>
          <w:rtl/>
          <w14:ligatures w14:val="none"/>
        </w:rPr>
        <w:t>ى</w:t>
      </w:r>
      <w:r w:rsidRPr="006D23C4">
        <w:rPr>
          <w:rFonts w:eastAsia="Times New Roman"/>
          <w:kern w:val="0"/>
          <w:rtl/>
          <w:lang w:bidi="ar-JO"/>
          <w14:ligatures w14:val="none"/>
        </w:rPr>
        <w:t xml:space="preserve"> مواجهة "ساكن" الأرض، أي أخاه عيسو.  وهنا لا بدّ أن يعمل الله في حياته بشكل فريد لكي يعدّه (من خلال قصة المصارعة) لمواجهة عيسو بالإيمان.  وعندما يدخل الأرض، لا يقاومه عيسو، لأن الله سبق أن تعامل مع عيسو لمصلحة يعقوب.  وبالرغم من انتصار أبناء يعقوب بعودتهم إلى الأرض، إلاّ أنهم ينجرفون وراء الانحطاط والفساد، وتشكل سلسلة الأحداث هذه صورة دقيقة لوضع الأمّة.  وعلى الرغم من أنهم وريثو الوعد بالاختيار، إلاّ أن الله أبعدهم عن الأرض تأديباً لهم إلى أن حان وقت أعادهم الله فيه تحت قيادة موسى.  وقد اقتربوا هم أيضاً من الأرض في خوف، فتعامل معهم الله بشكل فريد إلى أن دخلوا الأرض بإيمان تحت قيادة يشوع.  وفي يعقوب تعرف الأمة طبيعتها الأخلاقية الحقيقية!</w:t>
      </w:r>
    </w:p>
    <w:p w14:paraId="04B90569"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9114E2F" w14:textId="77777777" w:rsidR="005755E0" w:rsidRPr="006D23C4" w:rsidRDefault="005755E0" w:rsidP="00C7130A">
      <w:pPr>
        <w:tabs>
          <w:tab w:val="left" w:pos="454"/>
        </w:tabs>
        <w:spacing w:after="60"/>
        <w:ind w:left="550" w:hanging="550"/>
        <w:jc w:val="both"/>
        <w:rPr>
          <w:rFonts w:eastAsia="Times New Roman"/>
          <w:bCs/>
          <w:kern w:val="0"/>
          <w:rtl/>
          <w14:ligatures w14:val="none"/>
        </w:rPr>
      </w:pPr>
      <w:r w:rsidRPr="006D23C4">
        <w:rPr>
          <w:rFonts w:eastAsia="Times New Roman"/>
          <w:bCs/>
          <w:kern w:val="0"/>
          <w:rtl/>
          <w14:ligatures w14:val="none"/>
        </w:rPr>
        <w:t>أ.</w:t>
      </w:r>
      <w:r w:rsidRPr="006D23C4">
        <w:rPr>
          <w:rFonts w:eastAsia="Times New Roman"/>
          <w:bCs/>
          <w:kern w:val="0"/>
          <w:rtl/>
          <w14:ligatures w14:val="none"/>
        </w:rPr>
        <w:tab/>
        <w:t>يعقوب يحصل على البركة بالخديعة (25: 19-28: 9)</w:t>
      </w:r>
    </w:p>
    <w:p w14:paraId="37F12E07"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 xml:space="preserve">رواية عيسو ويعقوب مثيرة للاهتمام.  يأخذ إسحاق البركة الإبراهيمية من أبيه إبراهيم (25: 5، 11).  غير أن زوجته رفقة، مثلها مثل سارة، عاقر، ولا يوجد أي نسل ليواصل خط البركة.  لكن إسحاق كان قد تعلم من خبرة أبيه درساً: لا يلجأ المرء إلى وسائل بشرية للحصول على الذرية.  بل عليه أن يصلي، وأن يصرخ إلى الرب، وأن يتكل عليه.  وبعد أن صلى إسحاق لرفقه، اكتشف اكتشافاً مفرحاً أن رفقة لم تكن حبلى فحسب، لكنها سترزق </w:t>
      </w:r>
      <w:r w:rsidRPr="006D23C4">
        <w:rPr>
          <w:rFonts w:eastAsia="Times New Roman"/>
          <w:kern w:val="0"/>
          <w:u w:val="single"/>
          <w:rtl/>
          <w:lang w:bidi="ar-JO"/>
          <w14:ligatures w14:val="none"/>
        </w:rPr>
        <w:t>بتوأمين</w:t>
      </w:r>
      <w:r w:rsidRPr="006D23C4">
        <w:rPr>
          <w:rFonts w:eastAsia="Times New Roman"/>
          <w:kern w:val="0"/>
          <w:rtl/>
          <w:lang w:bidi="ar-JO"/>
          <w14:ligatures w14:val="none"/>
        </w:rPr>
        <w:t>.  والبكر حسب العادات الشرقية هو الوريث الرئيسي لأملاك والده.  تشمل حقوق البكورية الحق في أن يكون البكر الرئيس الروحي للعائلة، وهكذا يأتي من خلاله النسل الروحي.  وبما أن عيسو هو البكر، فإن حقوق البكورية له.  غير أن الله يتدخل ليثبت أمراً.  فحتى حين كان التوأمان ما يزالان في بطن أمهما، أعلن الله (تكوين 25: 23):</w:t>
      </w:r>
    </w:p>
    <w:p w14:paraId="3A7F8AED"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D23C4">
        <w:rPr>
          <w:rFonts w:eastAsia="Times New Roman"/>
          <w:kern w:val="0"/>
          <w:rtl/>
          <w:lang w:bidi="ar-JO"/>
          <w14:ligatures w14:val="none"/>
        </w:rPr>
        <w:t>"في بطنك أمّتان، ومن أحشائك يفترق شعبان: شعب يقوى على شعب، وكبير يُستعبد لصغير."</w:t>
      </w:r>
    </w:p>
    <w:p w14:paraId="4A016B68"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 xml:space="preserve">سيكون يعقوب الأصغر، إذ سيولد بعد عيسو، غير أن الله يعلن أنه سيسود.  والفكرة هنا هي أن الله يقاطع النظام الطبيعي لكي يبيّن أن متلقّي البركة سيعيَّن </w:t>
      </w:r>
      <w:r w:rsidRPr="006D23C4">
        <w:rPr>
          <w:rFonts w:eastAsia="Times New Roman"/>
          <w:kern w:val="0"/>
          <w:u w:val="single"/>
          <w:rtl/>
          <w:lang w:bidi="ar-JO"/>
          <w14:ligatures w14:val="none"/>
        </w:rPr>
        <w:t>بالاختيار</w:t>
      </w:r>
      <w:r w:rsidRPr="006D23C4">
        <w:rPr>
          <w:rFonts w:eastAsia="Times New Roman"/>
          <w:kern w:val="0"/>
          <w:rtl/>
          <w:lang w:bidi="ar-JO"/>
          <w14:ligatures w14:val="none"/>
        </w:rPr>
        <w:t>، أي باختيار الله (وهذا أمر أساسي بالنسبة لحجة بولس حول عقيدة اختيار المؤمن في رومية 9).  لكن ما هو متضمّن هنا هو أكثر من شخصين.  إذ نحن أمام أمّتين، والفكرة الواضحة هنا هي أن أمّة إسرائيل ستأخذ دورها عن طريق اختيار الله.  ومنذ البداية، كان مولد أمّة إسرائيل تحت إشراف العناية الإلهية الخارق.  غير أنه يوجد درس لإسرائيل على المستوى الفردي: أن يكون المرء من بني إسرائيل لم يكن يعني أن يصير بشكل آلي ضمن "عائلة الإيمان."  ألم يكن عيسو ابناً لإسحاق؟ غير أن عيسو لم يُشمَل بتلقي البركة، إذ لم يكن مختاراً ولم يكن من الإيمان (حيث احتقر البكورية).  والانحدار من نسل إبراهيم لا "يخلّص" أي واحد من بني إسرائيل... وهذه فكرة سيواجه بها يسوع فيما بعد اليهود غير المؤمنين في جيله.</w:t>
      </w:r>
    </w:p>
    <w:p w14:paraId="33824F4C"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والآن لننتقل إلى المشهد الذي يكسب فيه يعقوب حقوق البكورية من عيسو.  وما يجب أن نفهمه هنا هو أن الله أراد على الدوام أن يحصل يعقوب في نهاية الأمر على البركة الإبراهيمية (وهذه هي دلالة الإعلان الإلهي قبل مولده).  ولم يكن اللجوء إلى الحيلة والخداع ضرورياً قط ليعقوب.  كان في مقدوره أن يحصل عليها بالإيمان... واثقاً بأن الله سيعطيه حقوق البكورية.  غير أن يعقوب عند هذه النقطة رجل يأخذ الأمور على عاتقه.  ويعني اسمه "القابض على العقب"، وسيأخذ هذا فيما بعد معنى سلبياً" "المُعْثِر" أو المخادع الماكر.  ويشهد اسمه على طبيعته الأخلاقية.</w:t>
      </w:r>
    </w:p>
    <w:p w14:paraId="2928DA45"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F4A63BB" w14:textId="1C6BA465"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6D23C4">
        <w:rPr>
          <w:rFonts w:eastAsia="Times New Roman"/>
          <w:kern w:val="0"/>
          <w:rtl/>
          <w:lang w:bidi="ar-JO"/>
          <w14:ligatures w14:val="none"/>
        </w:rPr>
        <w:t>ومن ناحية أخرى، فإن</w:t>
      </w:r>
      <w:r w:rsidR="00B965B2" w:rsidRPr="006D23C4">
        <w:rPr>
          <w:rFonts w:eastAsia="Times New Roman"/>
          <w:kern w:val="0"/>
          <w:rtl/>
          <w:lang w:bidi="ar-JO"/>
          <w14:ligatures w14:val="none"/>
        </w:rPr>
        <w:t>َّ</w:t>
      </w:r>
      <w:r w:rsidRPr="006D23C4">
        <w:rPr>
          <w:rFonts w:eastAsia="Times New Roman"/>
          <w:kern w:val="0"/>
          <w:rtl/>
          <w:lang w:bidi="ar-JO"/>
          <w14:ligatures w14:val="none"/>
        </w:rPr>
        <w:t xml:space="preserve"> الشخصية الأخلاقية لعيسو أدنى من يعقوب.  تخبرنا تكوين 25: 34: "</w:t>
      </w:r>
      <w:r w:rsidRPr="006D23C4">
        <w:rPr>
          <w:rFonts w:eastAsia="Times New Roman"/>
          <w:i/>
          <w:iCs/>
          <w:kern w:val="0"/>
          <w:rtl/>
          <w:lang w:bidi="ar-JO"/>
          <w14:ligatures w14:val="none"/>
        </w:rPr>
        <w:t>فاحتقر عيسو البكورية</w:t>
      </w:r>
      <w:r w:rsidRPr="006D23C4">
        <w:rPr>
          <w:rFonts w:eastAsia="Times New Roman"/>
          <w:kern w:val="0"/>
          <w:rtl/>
          <w:lang w:bidi="ar-JO"/>
          <w14:ligatures w14:val="none"/>
        </w:rPr>
        <w:t xml:space="preserve">،" أي أنه احتقر ذاك الذي له قيمة.  والأمر الهام هنا هو البرنامج الإلهي... بركة إبراهيم، وسيط البركة.  احتقرها... لم يرَ فيها قيمة كبيرة... بل إنه كان في واقع الأمر يحتقر ما يقدّره الله... وهذه صفعة على وجه الله.  وعلى الرغم من الطريقة التي سعى بها يعقوب إلى الحصول على ما كان امتيازاً لعيسو، إلاّ أنه يجب علينا أن نمتدح معرفته لما هو ثمين وسعيه وراءه.  يدرك يعقوب القيمة الروحية في حق البكورية! وهكذا فإن كلا الرجلين درس لإسرائيل.  من خلال يعقوب، يجب أن </w:t>
      </w:r>
      <w:r w:rsidRPr="006D23C4">
        <w:rPr>
          <w:rFonts w:eastAsia="Times New Roman"/>
          <w:kern w:val="0"/>
          <w:rtl/>
          <w:lang w:bidi="ar-JO"/>
          <w14:ligatures w14:val="none"/>
        </w:rPr>
        <w:lastRenderedPageBreak/>
        <w:t>يتعلموا أن الوعود لا تتحقق بتلك الطريقة (بالخداع والمكر).  ومن خلال عيسو، فقد حُذِّروا من احتقار ما هو ثمين.  ونتيجة لذلك، ينتهي المطاف بيعقوب بالهروب من أرض الموعد (وفي هذا توازٍ مع تغرّب العائلة في مصر).  لكن مع ذهابه، يدرك حتى إسحاق أن البركة ستكون ليعقوب: "</w:t>
      </w:r>
      <w:r w:rsidRPr="006D23C4">
        <w:rPr>
          <w:rFonts w:eastAsia="Times New Roman"/>
          <w:i/>
          <w:iCs/>
          <w:kern w:val="0"/>
          <w:rtl/>
          <w:lang w:bidi="ar-JO"/>
          <w14:ligatures w14:val="none"/>
        </w:rPr>
        <w:t>يعطيك (الرب) بركة إبراهيم لك ولنسلك معك، لترث أرض غربتك التي أعطاها الله لإبراهيم</w:t>
      </w:r>
      <w:r w:rsidRPr="006D23C4">
        <w:rPr>
          <w:rFonts w:eastAsia="Times New Roman"/>
          <w:kern w:val="0"/>
          <w:rtl/>
          <w:lang w:bidi="ar-JO"/>
          <w14:ligatures w14:val="none"/>
        </w:rPr>
        <w:t>." (28: 4)</w:t>
      </w:r>
    </w:p>
    <w:p w14:paraId="03E0CE89"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p>
    <w:p w14:paraId="626009D3" w14:textId="77777777" w:rsidR="005755E0" w:rsidRPr="006D23C4" w:rsidRDefault="005755E0" w:rsidP="00C7130A">
      <w:pPr>
        <w:tabs>
          <w:tab w:val="left" w:pos="454"/>
        </w:tabs>
        <w:spacing w:after="60"/>
        <w:ind w:left="550" w:hanging="550"/>
        <w:jc w:val="both"/>
        <w:rPr>
          <w:rFonts w:eastAsia="Times New Roman"/>
          <w:bCs/>
          <w:kern w:val="0"/>
          <w:rtl/>
          <w:lang w:bidi="ar-JO"/>
          <w14:ligatures w14:val="none"/>
        </w:rPr>
      </w:pPr>
      <w:r w:rsidRPr="006D23C4">
        <w:rPr>
          <w:rFonts w:eastAsia="Times New Roman"/>
          <w:bCs/>
          <w:kern w:val="0"/>
          <w:rtl/>
          <w14:ligatures w14:val="none"/>
        </w:rPr>
        <w:t>ب.</w:t>
      </w:r>
      <w:r w:rsidRPr="006D23C4">
        <w:rPr>
          <w:rFonts w:eastAsia="Times New Roman"/>
          <w:bCs/>
          <w:kern w:val="0"/>
          <w:rtl/>
          <w14:ligatures w14:val="none"/>
        </w:rPr>
        <w:tab/>
        <w:t>الرؤيا في بيت إيل (28: 10-22)</w:t>
      </w:r>
    </w:p>
    <w:p w14:paraId="1965DC5D"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وضع أحدهم هذا المشهد على صورة ترنيمة بعنوان، "أنا أتسلق سلّم يعقوب".  غير أن الرواية الكتابية مختلفة جداً.  تهدف هذه الفقرة إلى تشجيع يعقوب وهو يغادر أرض كنعان.  لم يكن مفترضاً، في القصص السابقة، أن يغادر الآباء الأرض.  أمّا في حالة يعقوب، فلم تكن مغادرته ضد مشيئة الله، بل كانت ضمن التأديب الإلهي (كلما كانت أمّة إسرائيل خارج الأرض، كان ذلك إجراء تأديبياً من الله).  لدى مغادرته يتلقى توكيداً من أبيه أن البركة له، أمّا الآن فإن يهوه نفسه يؤكد له هذه الوعود.  وهكذا يرمز السلّم إلى حضور الله مع يعقوب حيثما يذهب وإلى تأهب الملائكة لخدمته بتوجيه الله (انظر 32: 1، 2).  هذا وعد بالحماية والتدبير أينما يذهب، وفي هذا توكيد على الوعد الإبراهيمي ليعقوب.  وحصوله على البركة أمر واضح حتى أثناء مدة إقامته عند لابان، فقد باركه يهوه كثيراً، حتى إن لابان نفسه نال بركة من خلال يعقوب (30: 27، 30).   استجاب يعقوب لهذا الإعلان بالعبادة ونذر الولاء ليهوه (28: 18-20).</w:t>
      </w:r>
    </w:p>
    <w:p w14:paraId="73C3A729"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53F3076"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43301FF" w14:textId="77777777" w:rsidR="005755E0" w:rsidRPr="006D23C4" w:rsidRDefault="005755E0" w:rsidP="00C7130A">
      <w:pPr>
        <w:tabs>
          <w:tab w:val="left" w:pos="454"/>
        </w:tabs>
        <w:spacing w:after="60"/>
        <w:ind w:left="550" w:hanging="550"/>
        <w:jc w:val="both"/>
        <w:rPr>
          <w:rFonts w:eastAsia="Times New Roman"/>
          <w:bCs/>
          <w:kern w:val="0"/>
          <w:rtl/>
          <w:lang w:bidi="ar-JO"/>
          <w14:ligatures w14:val="none"/>
        </w:rPr>
      </w:pPr>
      <w:r w:rsidRPr="006D23C4">
        <w:rPr>
          <w:rFonts w:eastAsia="Times New Roman"/>
          <w:bCs/>
          <w:kern w:val="0"/>
          <w:rtl/>
          <w14:ligatures w14:val="none"/>
        </w:rPr>
        <w:t>جـ.</w:t>
      </w:r>
      <w:r w:rsidRPr="006D23C4">
        <w:rPr>
          <w:rFonts w:eastAsia="Times New Roman"/>
          <w:bCs/>
          <w:kern w:val="0"/>
          <w:rtl/>
          <w14:ligatures w14:val="none"/>
        </w:rPr>
        <w:tab/>
        <w:t>صراع يعقوب-لابان (29: 1-31: 55)</w:t>
      </w:r>
    </w:p>
    <w:p w14:paraId="43E07964"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إن كان يعقوب يتسم بالخداع، فإنه يقابل في لابان خصماً يتفوق عليه في الخداع.  وفي هذا ترتيب إلهي لتأديب يعقوب.  وتعمل السنوات التي قضاها يعقوب عند لابان على تطوير إيمانه بجعله يدرك بطريقة مؤلمة نقائصه وخطاياه.  غير أنه توجد بركة ممتزجة بالتأديب، حيث يرزق يعقوب بنسل من خلال راحيل وليئة (والجاريتين) مما سيديم نسل البركة.  ويصبح يوسف، بكر راحيل، المفضّل لدى أبيه الذي كانت راحيل موضوع حبه الأعظم.</w:t>
      </w:r>
    </w:p>
    <w:p w14:paraId="159DBE6F"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F9F5847" w14:textId="77777777" w:rsidR="005755E0" w:rsidRPr="006D23C4" w:rsidRDefault="005755E0" w:rsidP="00C7130A">
      <w:pPr>
        <w:tabs>
          <w:tab w:val="left" w:pos="454"/>
        </w:tabs>
        <w:spacing w:after="60"/>
        <w:ind w:left="550" w:hanging="550"/>
        <w:jc w:val="both"/>
        <w:rPr>
          <w:rFonts w:eastAsia="Times New Roman"/>
          <w:bCs/>
          <w:kern w:val="0"/>
          <w:rtl/>
          <w14:ligatures w14:val="none"/>
        </w:rPr>
      </w:pPr>
      <w:r w:rsidRPr="006D23C4">
        <w:rPr>
          <w:rFonts w:eastAsia="Times New Roman"/>
          <w:bCs/>
          <w:kern w:val="0"/>
          <w:rtl/>
          <w14:ligatures w14:val="none"/>
        </w:rPr>
        <w:t>د.</w:t>
      </w:r>
      <w:r w:rsidRPr="006D23C4">
        <w:rPr>
          <w:rFonts w:eastAsia="Times New Roman"/>
          <w:bCs/>
          <w:kern w:val="0"/>
          <w:rtl/>
          <w14:ligatures w14:val="none"/>
        </w:rPr>
        <w:tab/>
        <w:t>لقاء عيسو: من الخوف إلى الإيمان (32: 1-33: 20)</w:t>
      </w:r>
    </w:p>
    <w:p w14:paraId="7F0A7F38" w14:textId="5783A0B0"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لم يكن ممكناً أن يخدم يعقوب لابان مدى العمر، إذ كانت الخطة الإلهية أن يعطي الله يعقوب أرض الموعد (لنتذكر أن فرعون سيطارد بني إسرائيل بقيادة موسى كما طارد لابان يعقوب).  غير أن يعقوب، في تقدير الله، لم يكن جاهزاً بعد لأخذ الأرض؛ فالخوف يتملك قلبه، لا الإيمان.  وقد عاد الرسل الذين أرسلهم يعقوب قبله بخبر مفاده أن عيسو يتقدم نحوه مع قوة عظيمة (32: 6).  ونجد استجابة يعقوب في 32: 7: "</w:t>
      </w:r>
      <w:r w:rsidRPr="006D23C4">
        <w:rPr>
          <w:rFonts w:eastAsia="Times New Roman"/>
          <w:i/>
          <w:iCs/>
          <w:kern w:val="0"/>
          <w:rtl/>
          <w:lang w:bidi="ar-JO"/>
          <w14:ligatures w14:val="none"/>
        </w:rPr>
        <w:t>فخاف يعقوب جداً وضاق به الأمر</w:t>
      </w:r>
      <w:r w:rsidRPr="006D23C4">
        <w:rPr>
          <w:rFonts w:eastAsia="Times New Roman"/>
          <w:kern w:val="0"/>
          <w:rtl/>
          <w:lang w:bidi="ar-JO"/>
          <w14:ligatures w14:val="none"/>
        </w:rPr>
        <w:t xml:space="preserve">" (ولا يسع المرء هنا إلاّ أن يتذكر الإثني عشر جاسوساً الذين أرسلهم موسى).  أراد أن يلجأ إلى أساليبه ووسائله الخاصة لكي ينجح؛ </w:t>
      </w:r>
      <w:r w:rsidRPr="006D23C4">
        <w:rPr>
          <w:rFonts w:eastAsia="Times New Roman"/>
          <w:kern w:val="0"/>
          <w:rtl/>
          <w:lang w:bidi="ar-JO"/>
          <w14:ligatures w14:val="none"/>
        </w:rPr>
        <w:lastRenderedPageBreak/>
        <w:t>فقسّم عائلته إلى مجموعات مختلفة من المسافرين، وحاول أن يرسل هدايا لكي يسترضي أخاه.  خشي يعقوب لقاء أخيه، وهو يتوقع معركة معه.  والملاحظة المذهلة هنا هي أنه لا يلقي بنفسه على قوة الله في اتكال كامل ليحل الصراع مع أخيه.  بل يسعى إلى معالجة الأمر بنفسه.  نجح دائماً في الاحتيال على الآخرين (حتى لابان)، لكن هل سينجح هذه المرة؟ أخذ منه اليأس كل مأخذ، فصلّى للرب أن يخلّصه على أساس الوعود الإبراهيمية له (32: 9-12).  كان ما عمله هو الصواب، لكن أفعاله التي تلت ذلك كشفت أنه كان ما يزال يحاول أن يقاتل بنفسه بدلاً من السماح لله بأن يقاتل عنه.  وهذا هو ما يجب أن يتعلّمه مهما كلّف الأمر: لن يستطيع أن يأخذ الأرض إلى أن يسمح للرب بأن يقاتل عنه! والحادثة الغريبة التي يصارع فيها يعقوب رجلاً في يبوق (32: 23-33) هي مفتاح هذا القسم كلّه الذي يتعلم فيه يعقوب هذا الدرس نفسه.</w:t>
      </w:r>
    </w:p>
    <w:p w14:paraId="50BF88F8"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EF67539"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 xml:space="preserve">كان يعقوب قد صلّى من أجل أن ينقذه الله (32: 9-12)، لكن الله يعرف أن هنالك حاجة أكبر إلى شيء آخر.  يجب أن يخلَّص يعقوب أولاً من الخوف الذي يشل نفسه.  وهكذا، وفي مخاضة يبوق، يواجه يعقوب رجلاً يتصارع معه طوال اليوم.  وسيخرج يعقوب من هذه الموقعة رجلاً آخر، رجلاً مختلفاً. </w:t>
      </w:r>
    </w:p>
    <w:p w14:paraId="5BBBCDBD"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ED0B59C"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وقبل أن يتسنى ليعقوب أن ينفّذ أحد أساليبه وحيله، فإن هنالك من يريد أن يقابله وجهاً لوجه.  وتبقى هوية هذا الخصم غير محدَّده، ولا نعلم هويّته إلاّ من كلامه وتصرفات يعقوب.  ومن الواضح هنا أن خصم يعقوب هو الرب نفسه، لأن يعقوب كان يصارع كل حياته مع الرب.  والآن سيقوم الرب بتعليم يعقوب درساً هامّاً من خلال طريقة مثيرة.  يستمر الصراع طوال الليل، ويبدو أنه لا يحسم إلاّ حين يلجأ "الرجل" إلى عمل خارق، لمسة بسيطة.  تؤدّي هذه "اللمسة البسيطة" إلى خلع حُقِّ فخذه (ومن السخرية الأدبية أن هذه ضربة مخادعة).  والفكرة هنا واضحة: صارع يعقوب الرب طوال حياته، غير أن الرب أحجم عن محو يعقوب عن وجه الأرض.  كان في مقدوره أن يفعل ذلك، إذ أصابت يعقوب بالعجز "لمسة" واحدة خارقة من الرب.  لطالما منعَ الله نفسه عن محو يعقوب، فهو وفيٌ لموضوع اختياره الذي يحمل بركة إبراهيم.  لكن هذا المشهد كله يمثّل أكثر من يعقوب نفسه.  فهذه هي الطبيعة الأخلاقية للأمة المختارة، وحتى طبيعتك وطبيعتي.</w:t>
      </w:r>
    </w:p>
    <w:p w14:paraId="37D3F55E"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978ECDD"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يدرك يعقوب أنه ليس ندّاً لهذا الإنسان أو "الرجل</w:t>
      </w:r>
      <w:r w:rsidRPr="006D23C4">
        <w:rPr>
          <w:rFonts w:eastAsia="Times New Roman"/>
          <w:kern w:val="0"/>
          <w:rtl/>
          <w14:ligatures w14:val="none"/>
        </w:rPr>
        <w:t>،</w:t>
      </w:r>
      <w:r w:rsidRPr="006D23C4">
        <w:rPr>
          <w:rFonts w:eastAsia="Times New Roman"/>
          <w:kern w:val="0"/>
          <w:rtl/>
          <w:lang w:bidi="ar-JO"/>
          <w14:ligatures w14:val="none"/>
        </w:rPr>
        <w:t>" فلا يمكن لأحد أن يباريه وينتصر.  وتصبح هذه الخبرة كشفاً ليعقوب، حيث يدرك حقيقة هذا الرجل، فيتعلق به ولا يدعه يتركه دون بركة.  هذا هو يعقوب الذي يمتدحه الله؛ هذا هو يعقوب الذي يدرك القيمة الموجودة في البكورية؛ هذا هو يعقوب الجائع لبركة الله والذي يطلبها بشكل مُلح.  هذا هو يعقوب صاحب القلب المؤمن!</w:t>
      </w:r>
    </w:p>
    <w:p w14:paraId="0F23D2B3"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C56CC88"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lastRenderedPageBreak/>
        <w:t xml:space="preserve">يصرخ يعقوب طالباً البركة، ويستجيب الله بأن يسأل يعقوب عن اسمه.  وهذا أمر ذو دلالة لأن الاسم هو الذي يعكس الطبيعة الأخلاقية لصاحبه.  وعندما يذكر يعقوب اسمه، فإنما يذكر شخصيته الأخلاقية لشخص كان طوال عمره مخادعاً ماكراً، شخص سعى إلى الحصول على البركة بطريقة غير نزيهة.  جعل الله يعقوب يعترف باسمه وبطبيعته الأخلاقية، مطالباً إياه بهذا بتغيير نمط حياته هذا بشكل جذري.  ويعطيه الله اسماً جديداً، وهذه هي الاستجابة الإلهية لطلب يعقوب بركة.  يدل الاسم الجديد على شخصية أخلاقية جديدة، واسمه الجديد هو "إسرائيل"، ويعني هذا الاسم "الله يقاتل".  والتفسير (32: 28) هو أن يعقوب جاهد مع الله والناس وقدر.  يقول روس: </w:t>
      </w:r>
    </w:p>
    <w:p w14:paraId="58F15D63"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D23C4">
        <w:rPr>
          <w:rFonts w:eastAsia="Times New Roman"/>
          <w:kern w:val="0"/>
          <w:rtl/>
          <w:lang w:bidi="ar-JO"/>
          <w14:ligatures w14:val="none"/>
        </w:rPr>
        <w:t>حاول يعقوب طوال حياته استخدام بركة الله في كل الظروف من أجل منفعته الخاصة.  كانت إرادته الذاتية قوية جداً، وكان أكثر اعتزازاً بنفسه من أن يسمح بأن تعطى له بركة الله دون جهد منه.</w:t>
      </w:r>
    </w:p>
    <w:p w14:paraId="3E989307"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7E4D5B3E"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D23C4">
        <w:rPr>
          <w:rFonts w:eastAsia="Times New Roman"/>
          <w:kern w:val="0"/>
          <w:rtl/>
          <w:lang w:bidi="ar-JO"/>
          <w14:ligatures w14:val="none"/>
        </w:rPr>
        <w:t>.... وهذا عنى، أولاً، أن الله اختار أن يقاتله، بسبب عناده وكبريائه.  وعنى ثانياً أن الله مستعد أن يقاتل من أجل أمّة إسرائيل.</w:t>
      </w:r>
    </w:p>
    <w:p w14:paraId="78B24258"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D23C4">
        <w:rPr>
          <w:rFonts w:eastAsia="Times New Roman"/>
          <w:kern w:val="0"/>
          <w:rtl/>
          <w:lang w:bidi="ar-JO"/>
          <w14:ligatures w14:val="none"/>
        </w:rPr>
        <w:t>سيذكّر اسم يعقوب صاحبه وآخرين بهذه المعركة التي غلبت فيها.  وكانت هذه الكلمات مصدر رجاء لنبي إسرائيل.  فإذا استطاع المرء أن يجاهد مع الله، فإنه يستطيع أن يربح المعركة مع الإنسان.  وهكذا فإن اسم "الله يقاتل" والتفسير أن يعقوب قد "قدر" أظهر للأمة أهمية الوعد في صراعاتها القادمة."</w:t>
      </w:r>
      <w:r w:rsidRPr="006D23C4">
        <w:rPr>
          <w:rFonts w:eastAsia="Times New Roman"/>
          <w:kern w:val="0"/>
          <w:vertAlign w:val="superscript"/>
          <w:rtl/>
          <w:lang w:bidi="ar-JO"/>
          <w14:ligatures w14:val="none"/>
        </w:rPr>
        <w:footnoteReference w:customMarkFollows="1" w:id="44"/>
        <w:t>1</w:t>
      </w:r>
    </w:p>
    <w:p w14:paraId="69A82EAA"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ستكون هذه الحادثة تذكيراً، لا ليعقوب وحده، بل للأمة أيضاً، أنهم جاهدوا مع الله.  وهم يغلبون، لا بمعنى أنهم يهزمون الرب، بل بمعنى أن يحصلوا على البركة في نهاية الأمر رغم الجهاد.</w:t>
      </w:r>
    </w:p>
    <w:p w14:paraId="741323F8"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D57D6BC"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لا شك أن هذه المواجهة مبكِّتة، لكنها تشكّل بداية جديدة أيضاً.  ومنذ هذه اللحظة فصاعداً، سيكون يعقوب شخصاً آخر (من نواح أكثر من مجرد أنه سيعرج في مشيته بسبب حُقّه المخلوع).  سيعرج مدى الحياة، لكنه يتعلم وهو في هذه الحالة بالذات، أن الله قوّته، ويجب أن ينظر إلى المكائد والحيل الماكرة على أنها أسلوب الحياة القديم.  وسيتذكر على الدوام بأن الله هو الذي يقدر "بلمسة" واحدة أن يجعل خصمه عاجزاً.  صار يعقوب الآن إسرائيل ("الله يقاتل")، وهو يستطيع الآن أن يواجه عيسو ولديه اليقين المشجع أن الله يحارب عنه معاركه.  اختفت ثقته بنفسه، واختفى معها استخدام الأسلحة الجسدية.  وكانت إحدى نتائج تلك المواجهة أن يعقوب سمّى المكان "فِنيئيل" (الذي يعني "وجه الرب")، لأنه اضطر في هذه المرحلة إلى أن يتعامل مع الله وجهاً لوجه.</w:t>
      </w:r>
    </w:p>
    <w:p w14:paraId="4DD5A4AA" w14:textId="77777777" w:rsidR="005755E0"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732BC65" w14:textId="77777777" w:rsidR="00BD2389" w:rsidRPr="006D23C4" w:rsidRDefault="005755E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lang w:bidi="ar-JO"/>
          <w14:ligatures w14:val="none"/>
        </w:rPr>
      </w:pPr>
      <w:r w:rsidRPr="006D23C4">
        <w:rPr>
          <w:rFonts w:eastAsia="Times New Roman"/>
          <w:kern w:val="0"/>
          <w:rtl/>
          <w:lang w:bidi="ar-JO"/>
          <w14:ligatures w14:val="none"/>
        </w:rPr>
        <w:lastRenderedPageBreak/>
        <w:t>كانت حصيلة هذا كله أقرب إلى السخرية الأدبية: إذ لم يكن لقاؤه مع عيسو لقاء قتال مطلقاً، لأن الرب أخضع قلب عيسو (والأمر أشبه ما حدث عندما هزم بنو إسرائيل أريحا).  ويمكن للأمة أن تتعلم الكثير من هذا وهي تستعد لدخول أرض الموعد بقيادة موسى.  ويتوجب عليهم بوجه خاص أن يتقدموا بالإيمان تاركين الله يحارب عنهم.  وتختتم رواية يعقوب برجوعه إلى الأرض كما وعد الله.  ولسوء الحظ، فإن هذه العائلة تتدهور روحياً، وهذا هو الموضوع الذي سنبحثه في رواية يوسف.</w:t>
      </w:r>
    </w:p>
    <w:p w14:paraId="5A4A08DB" w14:textId="0624BE5F"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lang w:bidi="ar-JO"/>
          <w14:ligatures w14:val="none"/>
        </w:rPr>
      </w:pPr>
    </w:p>
    <w:p w14:paraId="08CC9136" w14:textId="77777777" w:rsidR="00BD2389" w:rsidRPr="006D23C4" w:rsidRDefault="00BD2389"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14:ligatures w14:val="none"/>
        </w:rPr>
      </w:pPr>
    </w:p>
    <w:p w14:paraId="27F7B08C" w14:textId="77777777" w:rsidR="00BD2389" w:rsidRPr="006D23C4" w:rsidRDefault="00BD2389"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14:ligatures w14:val="none"/>
        </w:rPr>
      </w:pPr>
    </w:p>
    <w:p w14:paraId="0584900E" w14:textId="77777777" w:rsidR="00BD2389" w:rsidRPr="006D23C4" w:rsidRDefault="00BD2389"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14:ligatures w14:val="none"/>
        </w:rPr>
      </w:pPr>
    </w:p>
    <w:p w14:paraId="0CD086FB" w14:textId="643CA4A1" w:rsidR="00DE116E" w:rsidRPr="00C7130A" w:rsidRDefault="00BD2389" w:rsidP="00C7130A">
      <w:pPr>
        <w:pBdr>
          <w:top w:val="single" w:sz="4" w:space="1" w:color="auto"/>
          <w:left w:val="single" w:sz="4" w:space="4" w:color="auto"/>
          <w:bottom w:val="single" w:sz="4" w:space="1" w:color="auto"/>
          <w:right w:val="single" w:sz="4" w:space="4" w:color="auto"/>
        </w:pBd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14:ligatures w14:val="none"/>
        </w:rPr>
      </w:pPr>
      <w:r w:rsidRPr="00C7130A">
        <w:rPr>
          <w:rFonts w:eastAsia="Times New Roman"/>
          <w:kern w:val="0"/>
          <w:szCs w:val="26"/>
          <w14:ligatures w14:val="none"/>
        </w:rPr>
        <w:object w:dxaOrig="7210" w:dyaOrig="5396" w14:anchorId="6D3DD21A">
          <v:shape id="_x0000_i1031" type="#_x0000_t75" style="width:360.6pt;height:270pt" o:ole="">
            <v:imagedata r:id="rId36" o:title=""/>
          </v:shape>
          <o:OLEObject Type="Embed" ProgID="PowerPoint.Show.12" ShapeID="_x0000_i1031" DrawAspect="Content" ObjectID="_1803892146" r:id="rId37"/>
        </w:object>
      </w:r>
    </w:p>
    <w:p w14:paraId="5E10A946" w14:textId="77777777" w:rsidR="005755E0" w:rsidRPr="00C7130A" w:rsidRDefault="005755E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Cs w:val="26"/>
          <w:rtl/>
          <w:lang w:bidi="ar-JO"/>
          <w14:ligatures w14:val="none"/>
        </w:rPr>
      </w:pPr>
    </w:p>
    <w:p w14:paraId="403AD31F" w14:textId="77777777" w:rsidR="005755E0" w:rsidRPr="00C7130A" w:rsidRDefault="005755E0" w:rsidP="000558B7">
      <w:pPr>
        <w:pStyle w:val="Heading3"/>
        <w:rPr>
          <w:rtl/>
          <w:lang w:bidi="ar-JO"/>
        </w:rPr>
      </w:pPr>
      <w:bookmarkStart w:id="146" w:name="_Toc193030965"/>
      <w:r w:rsidRPr="00C7130A">
        <w:rPr>
          <w:rtl/>
          <w:lang w:bidi="ar-JO"/>
        </w:rPr>
        <w:t>3</w:t>
      </w:r>
      <w:bookmarkStart w:id="147" w:name="_Hlk164680137"/>
      <w:r w:rsidRPr="00C7130A">
        <w:rPr>
          <w:rtl/>
          <w:lang w:bidi="ar-JO"/>
        </w:rPr>
        <w:t>.</w:t>
      </w:r>
      <w:r w:rsidRPr="00C7130A">
        <w:rPr>
          <w:rtl/>
          <w:lang w:bidi="ar-JO"/>
        </w:rPr>
        <w:tab/>
        <w:t>رواية يوسف (تكوين 37: 1-50: 26) [يوسف 1916-1806ق م]</w:t>
      </w:r>
      <w:bookmarkEnd w:id="146"/>
      <w:bookmarkEnd w:id="147"/>
    </w:p>
    <w:p w14:paraId="3138CAFB" w14:textId="1C66EE39" w:rsidR="001C7F8D" w:rsidRPr="006D23C4" w:rsidRDefault="001C7F8D"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148" w:name="_Hlk178778466"/>
      <w:r w:rsidRPr="00C7130A">
        <w:rPr>
          <w:rFonts w:eastAsia="Calibri"/>
          <w:b/>
          <w:caps/>
          <w:noProof/>
          <w:color w:val="006699"/>
          <w:kern w:val="0"/>
          <w:sz w:val="21"/>
          <w:szCs w:val="24"/>
          <w14:ligatures w14:val="none"/>
        </w:rPr>
        <w:drawing>
          <wp:inline distT="0" distB="0" distL="0" distR="0" wp14:anchorId="3EBABB69" wp14:editId="1CB47819">
            <wp:extent cx="613692" cy="541464"/>
            <wp:effectExtent l="0" t="0" r="0" b="0"/>
            <wp:docPr id="679329651" name="Picture 679329651"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DD15FF" w:rsidRPr="006D23C4">
        <w:rPr>
          <w:rFonts w:eastAsia="Calibri"/>
          <w:b/>
          <w:caps/>
          <w:color w:val="006699"/>
          <w:kern w:val="0"/>
          <w:u w:val="single"/>
          <w:rtl/>
          <w14:ligatures w14:val="none"/>
        </w:rPr>
        <w:t xml:space="preserve">القراءة: </w:t>
      </w:r>
    </w:p>
    <w:p w14:paraId="6ACFBE0C" w14:textId="190678F8" w:rsidR="001C7F8D" w:rsidRPr="006D23C4" w:rsidRDefault="001C7F8D" w:rsidP="00C7130A">
      <w:pPr>
        <w:tabs>
          <w:tab w:val="left" w:pos="547"/>
          <w:tab w:val="left" w:pos="1094"/>
          <w:tab w:val="left" w:pos="1642"/>
          <w:tab w:val="left" w:pos="2189"/>
          <w:tab w:val="left" w:pos="2736"/>
          <w:tab w:val="left" w:pos="3283"/>
          <w:tab w:val="left" w:pos="3830"/>
          <w:tab w:val="left" w:pos="4378"/>
        </w:tabs>
        <w:spacing w:after="120"/>
        <w:jc w:val="both"/>
        <w:outlineLvl w:val="4"/>
        <w:rPr>
          <w:rFonts w:eastAsia="Times New Roman"/>
          <w:b/>
          <w:bCs/>
          <w:iCs/>
          <w:kern w:val="0"/>
          <w14:ligatures w14:val="none"/>
        </w:rPr>
      </w:pPr>
      <w:r w:rsidRPr="006D23C4">
        <w:rPr>
          <w:rFonts w:eastAsia="Calibri"/>
          <w:kern w:val="0"/>
          <w14:ligatures w14:val="none"/>
        </w:rPr>
        <w:tab/>
      </w:r>
      <w:r w:rsidRPr="006D23C4">
        <w:rPr>
          <w:rFonts w:eastAsia="Calibri"/>
          <w:kern w:val="0"/>
          <w14:ligatures w14:val="none"/>
        </w:rPr>
        <w:tab/>
      </w:r>
      <w:r w:rsidR="00DD15FF" w:rsidRPr="006D23C4">
        <w:rPr>
          <w:rFonts w:eastAsia="Calibri"/>
          <w:kern w:val="0"/>
          <w:rtl/>
          <w14:ligatures w14:val="none"/>
        </w:rPr>
        <w:t xml:space="preserve">اقرأ تكوين 37: 1 – 50: 26 في كتابك المُقدَّس. </w:t>
      </w:r>
    </w:p>
    <w:p w14:paraId="23F1609F" w14:textId="77777777" w:rsidR="00DE116E" w:rsidRPr="006D23C4" w:rsidRDefault="00DE116E" w:rsidP="00C7130A">
      <w:pPr>
        <w:tabs>
          <w:tab w:val="left" w:pos="454"/>
        </w:tabs>
        <w:spacing w:after="60"/>
        <w:jc w:val="both"/>
        <w:rPr>
          <w:rFonts w:eastAsia="Times New Roman"/>
          <w:bCs/>
          <w:kern w:val="0"/>
          <w:rtl/>
          <w:lang w:bidi="ar-JO"/>
          <w14:ligatures w14:val="none"/>
        </w:rPr>
      </w:pPr>
      <w:bookmarkStart w:id="149" w:name="_Hlk164680068"/>
      <w:bookmarkEnd w:id="148"/>
    </w:p>
    <w:bookmarkEnd w:id="149"/>
    <w:p w14:paraId="7E14801C"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إلى ماذا يؤول مصير يعقوب؟ يصبح أولاده الاثنا عشر أسباط إسرائيل الإثني عشر، لكنهم انحطوا كثيراً.  وسنتتبع في هذا القسم التدهور الأخلاقي في نسل البركة، مما ينتج عنه إبعادهم عن أرض الموعد إلى مصر بغرض التأديب الإلهي.  وإن ما يدفعهم إلى مصر أكثر من مجرد مجاعة.  وإذا صاروا في مصر، فإن السؤال يبرز، "ما الخلل الذي أصاب برنامج الله؟ ولماذا أخرجهم الله من الأرض الموعودة ليحضرهم إلى "أتون مصر الحديدي"؟ وهم ليسوا في مصر بالصدفة؛ لكنهم هناك حسب قصد إلهي.  وفي هذه الأثناء، يقيم الله رجلاً من وسط اخوتهم سيكون محرر الأمة، أي يوسف.</w:t>
      </w:r>
    </w:p>
    <w:p w14:paraId="7383B5E5" w14:textId="77777777" w:rsidR="00DE116E" w:rsidRPr="006D23C4" w:rsidRDefault="00DE116E" w:rsidP="00C7130A">
      <w:pPr>
        <w:tabs>
          <w:tab w:val="left" w:pos="454"/>
        </w:tabs>
        <w:spacing w:after="60"/>
        <w:ind w:left="550" w:hanging="550"/>
        <w:jc w:val="both"/>
        <w:rPr>
          <w:rFonts w:eastAsia="Times New Roman"/>
          <w:bCs/>
          <w:kern w:val="0"/>
          <w:rtl/>
          <w14:ligatures w14:val="none"/>
        </w:rPr>
      </w:pPr>
      <w:r w:rsidRPr="006D23C4">
        <w:rPr>
          <w:rFonts w:eastAsia="Times New Roman"/>
          <w:bCs/>
          <w:kern w:val="0"/>
          <w:rtl/>
          <w14:ligatures w14:val="none"/>
        </w:rPr>
        <w:t>أ.</w:t>
      </w:r>
      <w:r w:rsidRPr="006D23C4">
        <w:rPr>
          <w:rFonts w:eastAsia="Times New Roman"/>
          <w:bCs/>
          <w:kern w:val="0"/>
          <w:rtl/>
          <w14:ligatures w14:val="none"/>
        </w:rPr>
        <w:tab/>
        <w:t xml:space="preserve">تدهور نسل البركة </w:t>
      </w:r>
    </w:p>
    <w:p w14:paraId="1EE5F89F"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لكي يفهم المرء رواية يوسف، يجب أن يدرك ما يحدث لنسل البركة.  لقد خُلقوا ليكونوا وسيط البركة للأمم الأخرى وليحملوا شهادة يهوه.  ويتطلب هذا تميّزهم كشعب الله، وليس أن يكونوا مقيَّدين بالخطية.  لكن بدلاً من أن يأتوا بالكنعانيين إلى معرفة يهوه، فإنهم، وهم النسل الموعود، يصيرون أكثر شبهاً بهم.  وهم يفشلون في ثلاث نواح هامة:</w:t>
      </w:r>
    </w:p>
    <w:p w14:paraId="777FAAEC" w14:textId="77777777" w:rsidR="00DE116E" w:rsidRPr="006D23C4" w:rsidRDefault="00DE11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D23C4">
        <w:rPr>
          <w:rFonts w:eastAsia="Times New Roman"/>
          <w:kern w:val="0"/>
          <w:rtl/>
          <w:lang w:bidi="ar-JO"/>
          <w14:ligatures w14:val="none"/>
        </w:rPr>
        <w:t>1.</w:t>
      </w:r>
      <w:r w:rsidRPr="006D23C4">
        <w:rPr>
          <w:rFonts w:eastAsia="Times New Roman"/>
          <w:kern w:val="0"/>
          <w:rtl/>
          <w:lang w:bidi="ar-JO"/>
          <w14:ligatures w14:val="none"/>
        </w:rPr>
        <w:tab/>
        <w:t>قصْد يهوه لهم في أن يكونوا شهادة له</w:t>
      </w:r>
    </w:p>
    <w:p w14:paraId="77CD24A7"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D23C4">
        <w:rPr>
          <w:rFonts w:eastAsia="Times New Roman"/>
          <w:kern w:val="0"/>
          <w:rtl/>
          <w:lang w:bidi="ar-JO"/>
          <w14:ligatures w14:val="none"/>
        </w:rPr>
        <w:t>لنتذكر تكوين 12: 8 و26: 25 و33: 20 حيث قام الآباء ببناء مذابح.  كانوا يدعون باسم الرب، وبعملهم هذا فإنهم كانوا شهوداً لاسم يهوه.  كانت دعوتهم أن يكونوا بركة في وسط الكنعانيين.  لكن للأسف، تلاشى هذا القصد في أن يكونوا شهادة.</w:t>
      </w:r>
    </w:p>
    <w:p w14:paraId="140423DD" w14:textId="77777777" w:rsidR="00DE116E" w:rsidRPr="006D23C4" w:rsidRDefault="00DE11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D23C4">
        <w:rPr>
          <w:rFonts w:eastAsia="Times New Roman"/>
          <w:kern w:val="0"/>
          <w:rtl/>
          <w:lang w:bidi="ar-JO"/>
          <w14:ligatures w14:val="none"/>
        </w:rPr>
        <w:t>2.</w:t>
      </w:r>
      <w:r w:rsidRPr="006D23C4">
        <w:rPr>
          <w:rFonts w:eastAsia="Times New Roman"/>
          <w:kern w:val="0"/>
          <w:rtl/>
          <w:lang w:bidi="ar-JO"/>
          <w14:ligatures w14:val="none"/>
        </w:rPr>
        <w:tab/>
        <w:t xml:space="preserve">الاهتمام بالوحدة </w:t>
      </w:r>
    </w:p>
    <w:p w14:paraId="7DE09F3C"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D23C4">
        <w:rPr>
          <w:rFonts w:eastAsia="Times New Roman"/>
          <w:kern w:val="0"/>
          <w:rtl/>
          <w:lang w:bidi="ar-JO"/>
          <w14:ligatures w14:val="none"/>
        </w:rPr>
        <w:t>لا يجب أن يكون هناك انقسام وتوتّر بين عُبّاد يهوه</w:t>
      </w:r>
    </w:p>
    <w:p w14:paraId="2D49CBB7"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D23C4">
        <w:rPr>
          <w:rFonts w:eastAsia="Times New Roman"/>
          <w:kern w:val="0"/>
          <w:rtl/>
          <w:lang w:bidi="ar-JO"/>
          <w14:ligatures w14:val="none"/>
        </w:rPr>
        <w:t>أ.</w:t>
      </w:r>
      <w:r w:rsidRPr="006D23C4">
        <w:rPr>
          <w:rFonts w:eastAsia="Times New Roman"/>
          <w:kern w:val="0"/>
          <w:rtl/>
          <w:lang w:bidi="ar-JO"/>
          <w14:ligatures w14:val="none"/>
        </w:rPr>
        <w:tab/>
        <w:t>في تكوين 13: 5-8 يعطي أبرام اختيار الأرض للوط (لنلاحظ الآية السابعة التي توحي بأن هذا كان على مرأى من الكنعانيين).</w:t>
      </w:r>
    </w:p>
    <w:p w14:paraId="0318FC55"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D23C4">
        <w:rPr>
          <w:rFonts w:eastAsia="Times New Roman"/>
          <w:kern w:val="0"/>
          <w:rtl/>
          <w:lang w:bidi="ar-JO"/>
          <w14:ligatures w14:val="none"/>
        </w:rPr>
        <w:t>ب.</w:t>
      </w:r>
      <w:r w:rsidRPr="006D23C4">
        <w:rPr>
          <w:rFonts w:eastAsia="Times New Roman"/>
          <w:kern w:val="0"/>
          <w:rtl/>
          <w:lang w:bidi="ar-JO"/>
          <w14:ligatures w14:val="none"/>
        </w:rPr>
        <w:tab/>
        <w:t>على نقيض ذلك يقوم أبناء يعقوب الاثنا عشر بأخذ يوسف ومحاولة التخلص منه.  إذ يوجد حسد وغيرة بينهم.</w:t>
      </w:r>
    </w:p>
    <w:p w14:paraId="7094FBFA" w14:textId="77777777" w:rsidR="00DE116E" w:rsidRPr="006D23C4" w:rsidRDefault="00DE11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D23C4">
        <w:rPr>
          <w:rFonts w:eastAsia="Times New Roman"/>
          <w:kern w:val="0"/>
          <w:rtl/>
          <w:lang w:bidi="ar-JO"/>
          <w14:ligatures w14:val="none"/>
        </w:rPr>
        <w:t>3.</w:t>
      </w:r>
      <w:r w:rsidRPr="006D23C4">
        <w:rPr>
          <w:rFonts w:eastAsia="Times New Roman"/>
          <w:kern w:val="0"/>
          <w:rtl/>
          <w:lang w:bidi="ar-JO"/>
          <w14:ligatures w14:val="none"/>
        </w:rPr>
        <w:tab/>
        <w:t>ضرورة البقاء متميزين (منفصلين عن الكنعانيين)</w:t>
      </w:r>
    </w:p>
    <w:p w14:paraId="1E93A162"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D23C4">
        <w:rPr>
          <w:rFonts w:eastAsia="Times New Roman"/>
          <w:kern w:val="0"/>
          <w:rtl/>
          <w:lang w:bidi="ar-JO"/>
          <w14:ligatures w14:val="none"/>
        </w:rPr>
        <w:t>حرصت الأجيال السابقة على عدم التزاوج مع الكنعانيين (انظر تكوين 24: 1-3؛ 27: 46).  أمّا الآن فيوجد تدهور:</w:t>
      </w:r>
    </w:p>
    <w:p w14:paraId="20A2E4E0"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14:ligatures w14:val="none"/>
        </w:rPr>
      </w:pPr>
      <w:r w:rsidRPr="006D23C4">
        <w:rPr>
          <w:rFonts w:eastAsia="Times New Roman"/>
          <w:kern w:val="0"/>
          <w:rtl/>
          <w:lang w:bidi="ar-JO"/>
          <w14:ligatures w14:val="none"/>
        </w:rPr>
        <w:t>أ.</w:t>
      </w:r>
      <w:r w:rsidRPr="006D23C4">
        <w:rPr>
          <w:rFonts w:eastAsia="Times New Roman"/>
          <w:kern w:val="0"/>
          <w:rtl/>
          <w:lang w:bidi="ar-JO"/>
          <w14:ligatures w14:val="none"/>
        </w:rPr>
        <w:tab/>
        <w:t>بعد اغتصاب دينة، قام شمعون ولاوي بتحريف الاستعمال الروحي للختان لجلب الموت على شعب تلك المنطقة (الأصحاح 34).</w:t>
      </w:r>
    </w:p>
    <w:p w14:paraId="243328AA"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14:ligatures w14:val="none"/>
        </w:rPr>
      </w:pPr>
      <w:r w:rsidRPr="006D23C4">
        <w:rPr>
          <w:rFonts w:eastAsia="Times New Roman"/>
          <w:kern w:val="0"/>
          <w:rtl/>
          <w:lang w:bidi="ar-JO"/>
          <w14:ligatures w14:val="none"/>
        </w:rPr>
        <w:lastRenderedPageBreak/>
        <w:t>ب.</w:t>
      </w:r>
      <w:r w:rsidRPr="006D23C4">
        <w:rPr>
          <w:rFonts w:eastAsia="Times New Roman"/>
          <w:kern w:val="0"/>
          <w:rtl/>
          <w:lang w:bidi="ar-JO"/>
          <w14:ligatures w14:val="none"/>
        </w:rPr>
        <w:tab/>
        <w:t>ارتكب رأوبين، أكبر أبناء يعقوب، السّفاح مع محظيّة أبيه (35: 22).</w:t>
      </w:r>
      <w:r w:rsidRPr="006D23C4">
        <w:rPr>
          <w:rFonts w:eastAsia="Times New Roman"/>
          <w:kern w:val="0"/>
          <w:vertAlign w:val="superscript"/>
          <w:rtl/>
          <w:lang w:bidi="ar-JO"/>
          <w14:ligatures w14:val="none"/>
        </w:rPr>
        <w:footnoteReference w:customMarkFollows="1" w:id="45"/>
        <w:t>2</w:t>
      </w:r>
    </w:p>
    <w:p w14:paraId="59ABB994"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D23C4">
        <w:rPr>
          <w:rFonts w:eastAsia="Times New Roman"/>
          <w:kern w:val="0"/>
          <w:rtl/>
          <w:lang w:bidi="ar-JO"/>
          <w14:ligatures w14:val="none"/>
        </w:rPr>
        <w:t>جـ.</w:t>
      </w:r>
      <w:r w:rsidRPr="006D23C4">
        <w:rPr>
          <w:rFonts w:eastAsia="Times New Roman"/>
          <w:kern w:val="0"/>
          <w:rtl/>
          <w:lang w:bidi="ar-JO"/>
          <w14:ligatures w14:val="none"/>
        </w:rPr>
        <w:tab/>
        <w:t>يذهب يهوذا ويأخذ زوجة كنعانية.  ويؤدّي هذا بدوره إلى عمل بغاء مع كنّته تامار.  ونتيجة لذلك يصوَّر لنا يهوذا على أنه لا يصلح ممثلاً ليهوه (38: 26)، ويفقد شهادته المؤثرة أمام الكنعانيين (38: 21-22).</w:t>
      </w:r>
    </w:p>
    <w:p w14:paraId="2BFB48F8"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22B22A4" w14:textId="1531B6DF"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أضاع نسل يعقوب القصد السامي من المأمورية التي أوكلها يهوه إليهم، وصاروا في خطر الاندماج مع الكنعانيين وبهذا يعمل الله بطريقةٍ فريدة ليحضر "النسل" إلى مصر.</w:t>
      </w:r>
      <w:r w:rsidRPr="006D23C4">
        <w:rPr>
          <w:rFonts w:eastAsia="Times New Roman"/>
          <w:kern w:val="0"/>
          <w:vertAlign w:val="superscript"/>
          <w:rtl/>
          <w:lang w:bidi="ar-JO"/>
          <w14:ligatures w14:val="none"/>
        </w:rPr>
        <w:footnoteReference w:customMarkFollows="1" w:id="46"/>
        <w:t>3</w:t>
      </w:r>
      <w:r w:rsidRPr="006D23C4">
        <w:rPr>
          <w:rFonts w:eastAsia="Times New Roman"/>
          <w:kern w:val="0"/>
          <w:rtl/>
          <w:lang w:bidi="ar-JO"/>
          <w14:ligatures w14:val="none"/>
        </w:rPr>
        <w:t xml:space="preserve"> ولم تكن الهجرة إلى مصر تصرفاً يتسم بالعصيان منهم، بل كانت إرادة الله لهم (قارن 15: 13؛ 46: 3) والسؤال هو: لماذا مصر؟</w:t>
      </w:r>
    </w:p>
    <w:p w14:paraId="2BDCD189"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حمل المصريون نظرة مختلفة إلى العبرانيين من تلك التي حملها الكنعانيون.  ففي الوقت الذي رحّب فيه الكنعانيون بالعبرانيين وأبدوا استعداداً لإدماجهم في مجتمعهم، مارس المصريون التمييز العنصري ولم يريدوا أن تكون لهم صلة بالعبرانيين (انظر 43: 32، 34؛ 46: 34).  ونتيجة لذلك، جاء العبرانيون إلى مصر وبقوا في عزلة (ممّا مكنهم من التطوّر إلى أمّة).  وبوضع الله لهم في حضارة مختلفة يرفض فيها المصريون مخالطتهم، فإنه كان يحفظ برنامجه اللاهوتي بخلق درع حامٍ لشعبه.  فالله لم يتخلَّ عن برنامجه.  لكنه يعمل فيهم (رغم أخطائهم وعيوبهم) ليبنيهم كأمة متميزة (50: 20).</w:t>
      </w:r>
    </w:p>
    <w:p w14:paraId="515F3415"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C5DF620" w14:textId="77777777" w:rsidR="00DE116E" w:rsidRPr="006D23C4" w:rsidRDefault="00DE11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D23C4">
        <w:rPr>
          <w:rFonts w:eastAsia="Times New Roman"/>
          <w:kern w:val="0"/>
          <w:rtl/>
          <w:lang w:bidi="ar-JO"/>
          <w14:ligatures w14:val="none"/>
        </w:rPr>
        <w:t>وبطبيعة الحال تتسلط الأضواء على يوسف.</w:t>
      </w:r>
      <w:r w:rsidRPr="006D23C4">
        <w:rPr>
          <w:rFonts w:eastAsia="Times New Roman"/>
          <w:kern w:val="0"/>
          <w:vertAlign w:val="superscript"/>
          <w:rtl/>
          <w:lang w:bidi="ar-JO"/>
          <w14:ligatures w14:val="none"/>
        </w:rPr>
        <w:footnoteReference w:customMarkFollows="1" w:id="47"/>
        <w:t>4</w:t>
      </w:r>
      <w:r w:rsidRPr="006D23C4">
        <w:rPr>
          <w:rFonts w:eastAsia="Times New Roman"/>
          <w:kern w:val="0"/>
          <w:rtl/>
          <w:lang w:bidi="ar-JO"/>
          <w14:ligatures w14:val="none"/>
        </w:rPr>
        <w:t xml:space="preserve">  كان الثوب (القميص) الذي أخذه من والده (تكوين 37: 3) إشارة إلى أنه سيكون الوريث (المدير الثيوقراطي – بمثابة تقليد للسلطة).  وقد تملّكت الغيرة إخوته وحاولوا أن يتخلصوا منه.  وإنه لمن السخرية الأدبية أن هذا كلّه يؤدي إلى أن يتولى منصبه الكبير في مصر الذي يصبح وسيلة لتخليص إخوته ونسل البركة.  وتشبه حياة يوسف من نواح كثيرة حياة المسيح.  فمع أن المسيح احتُقر ورُفض من بني أمته اليهود إلاّ أنه صار مخلّص إخوته.</w:t>
      </w:r>
    </w:p>
    <w:p w14:paraId="4BB80410" w14:textId="77777777" w:rsidR="00DE116E" w:rsidRPr="00C7130A" w:rsidRDefault="00DE116E" w:rsidP="006D23C4">
      <w:pPr>
        <w:rPr>
          <w:rtl/>
          <w:lang w:bidi="ar-JO"/>
        </w:rPr>
      </w:pPr>
    </w:p>
    <w:p w14:paraId="6D80BCDE" w14:textId="77777777" w:rsidR="00DE116E" w:rsidRPr="00C7130A" w:rsidRDefault="00DE116E" w:rsidP="006D23C4">
      <w:pPr>
        <w:rPr>
          <w:rtl/>
          <w:lang w:bidi="ar-JO"/>
        </w:rPr>
      </w:pPr>
      <w:r w:rsidRPr="00C7130A">
        <w:rPr>
          <w:rtl/>
          <w:lang w:bidi="ar-JO"/>
        </w:rPr>
        <w:t>ومع اقتراب السفر من نهايته، نسمع من شفتي يوسف ثقته بالعهد الإبراهيمي: "أنا أموت، لكن الله سيفتقدكم ويُصعدكم من هذه الأرض إلى الأرض التي حلف لإبراهيم وإسحاق ويعقوب (50: 24).  لقد بدأ سفر التكوين في جنة عدن، لكنه ينتهي بيوسف في كفن.  لكننا الآن مستعدون لفهم أحداث سفر الخروج.  ونحن نفهم أن البرنامج الإلهي هو على هذا النحو لكي يدركوا أنه يجب عليهم أن يخرجوا من مصر إلى كنعان، ونحن نفهم كيف وصلوا إلى مصر أصلاً.</w:t>
      </w:r>
    </w:p>
    <w:p w14:paraId="7EDA6F6E" w14:textId="77777777" w:rsidR="00DE116E" w:rsidRPr="00C7130A" w:rsidRDefault="00DE116E" w:rsidP="006D23C4">
      <w:pPr>
        <w:rPr>
          <w:rtl/>
          <w:lang w:bidi="ar-JO"/>
        </w:rPr>
      </w:pPr>
    </w:p>
    <w:p w14:paraId="1CF1C6A0" w14:textId="77777777" w:rsidR="00DE116E" w:rsidRPr="00C7130A" w:rsidRDefault="00DE116E" w:rsidP="006D23C4">
      <w:pPr>
        <w:rPr>
          <w:rtl/>
          <w:lang w:bidi="ar-JO"/>
        </w:rPr>
      </w:pPr>
      <w:r w:rsidRPr="00C7130A">
        <w:rPr>
          <w:rtl/>
          <w:lang w:bidi="ar-JO"/>
        </w:rPr>
        <w:t xml:space="preserve">هنالك تعليق أخير حول البركة على الأبناء في تكوين 49.  نرى في الآية العاشرة نبوءة مسيّانية: "لا يزول قضيب (صولجان) من يهوذا ومشترع (أو حاكم) من بين رجليه </w:t>
      </w:r>
      <w:r w:rsidRPr="00C7130A">
        <w:rPr>
          <w:u w:val="single"/>
          <w:rtl/>
          <w:lang w:bidi="ar-JO"/>
        </w:rPr>
        <w:t xml:space="preserve">حتى يأتي شيلون </w:t>
      </w:r>
      <w:r w:rsidRPr="00C7130A">
        <w:rPr>
          <w:rtl/>
          <w:lang w:bidi="ar-JO"/>
        </w:rPr>
        <w:t xml:space="preserve">وله يكون خضوع الشعوب."  يمكن أن تعني شيلون "السلام الكامل" (وهي مرتبطة بكلمة </w:t>
      </w:r>
      <w:r w:rsidRPr="00C7130A">
        <w:rPr>
          <w:rFonts w:ascii="Times New Roman" w:hAnsi="Times New Roman" w:cs="Times New Roman" w:hint="cs"/>
          <w:sz w:val="20"/>
          <w:szCs w:val="20"/>
          <w:rtl/>
          <w:lang w:bidi="he-IL"/>
        </w:rPr>
        <w:t>שָׁלוֺם</w:t>
      </w:r>
      <w:r w:rsidRPr="00C7130A">
        <w:rPr>
          <w:rtl/>
          <w:lang w:bidi="ar-JO"/>
        </w:rPr>
        <w:t xml:space="preserve">)، لكن يجب ترجمتها على الأرجح إلى "ذاك الذي له الصولجان"  (حسب ترجمة </w:t>
      </w:r>
      <w:r w:rsidRPr="00C7130A">
        <w:t>NIV</w:t>
      </w:r>
      <w:r w:rsidRPr="00C7130A">
        <w:rPr>
          <w:rtl/>
          <w:lang w:bidi="ar-JO"/>
        </w:rPr>
        <w:t xml:space="preserve"> المفضلة في هذه النقطة على </w:t>
      </w:r>
      <w:r w:rsidRPr="00C7130A">
        <w:t>NASB</w:t>
      </w:r>
      <w:r w:rsidRPr="00C7130A">
        <w:rPr>
          <w:rtl/>
          <w:lang w:bidi="ar-JO"/>
        </w:rPr>
        <w:t xml:space="preserve">).  وإذا كانت الترجمة الأخيرة صحيحة، فإن الآية تعني أن صولجان الحكم سينتقل عبر سبط يهوذا </w:t>
      </w:r>
      <w:r w:rsidRPr="00C7130A">
        <w:rPr>
          <w:u w:val="single"/>
          <w:rtl/>
          <w:lang w:bidi="ar-JO"/>
        </w:rPr>
        <w:t>حتى</w:t>
      </w:r>
      <w:r w:rsidRPr="00C7130A">
        <w:rPr>
          <w:rtl/>
          <w:lang w:bidi="ar-JO"/>
        </w:rPr>
        <w:t xml:space="preserve"> مجيء ذاك الذي سيحكم كل الشعوب.  إذاً يعتمد رجاء الشعب على شخص واحد من نسل يهوذا، ولا شك أن يسوع الناصري سيُخضع الشعوب له ويجعلها تطيعه!</w:t>
      </w:r>
      <w:r w:rsidRPr="00C7130A">
        <w:rPr>
          <w:u w:val="single"/>
          <w:rtl/>
          <w:lang w:bidi="ar-JO"/>
        </w:rPr>
        <w:t xml:space="preserve">  </w:t>
      </w:r>
      <w:r w:rsidRPr="00C7130A">
        <w:rPr>
          <w:rtl/>
          <w:lang w:bidi="ar-JO"/>
        </w:rPr>
        <w:t xml:space="preserve">   </w:t>
      </w:r>
    </w:p>
    <w:p w14:paraId="025D9EC0" w14:textId="77777777" w:rsidR="00DE116E" w:rsidRPr="00C7130A" w:rsidRDefault="00DE116E" w:rsidP="006D23C4">
      <w:pPr>
        <w:rPr>
          <w:szCs w:val="18"/>
          <w:rtl/>
          <w:lang w:bidi="ar-JO"/>
        </w:rPr>
      </w:pPr>
      <w:r w:rsidRPr="00C7130A">
        <w:rPr>
          <w:szCs w:val="18"/>
          <w:rtl/>
        </w:rPr>
        <w:t xml:space="preserve"> </w:t>
      </w:r>
    </w:p>
    <w:p w14:paraId="5C9FEF2F" w14:textId="77777777" w:rsidR="00DE116E" w:rsidRPr="00C7130A" w:rsidRDefault="00DE116E" w:rsidP="006D23C4">
      <w:pPr>
        <w:rPr>
          <w:szCs w:val="18"/>
          <w:rtl/>
          <w:lang w:bidi="ar-KW"/>
        </w:rPr>
      </w:pPr>
    </w:p>
    <w:p w14:paraId="4AB95FC4" w14:textId="77777777" w:rsidR="00DC7FD4" w:rsidRPr="00C7130A" w:rsidRDefault="00DC7FD4" w:rsidP="006D23C4">
      <w:pPr>
        <w:rPr>
          <w:sz w:val="22"/>
          <w:szCs w:val="24"/>
        </w:rPr>
      </w:pPr>
    </w:p>
    <w:p w14:paraId="7D1FC0C4" w14:textId="77777777" w:rsidR="006311FA" w:rsidRPr="00C7130A" w:rsidRDefault="006311FA"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p>
    <w:p w14:paraId="31FE22FA" w14:textId="557768D8" w:rsidR="00E41548" w:rsidRPr="00C7130A" w:rsidRDefault="00E41548"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kern w:val="0"/>
          <w:szCs w:val="24"/>
          <w14:ligatures w14:val="none"/>
        </w:rPr>
        <w:br w:type="page"/>
      </w:r>
    </w:p>
    <w:p w14:paraId="09F478AB" w14:textId="63E6C644" w:rsidR="00E41548" w:rsidRPr="00C7130A" w:rsidRDefault="001E6B52" w:rsidP="00E80A44">
      <w:pPr>
        <w:pStyle w:val="Heading2"/>
      </w:pPr>
      <w:bookmarkStart w:id="150" w:name="_Toc193030966"/>
      <w:r w:rsidRPr="00C7130A">
        <w:rPr>
          <w:rtl/>
        </w:rPr>
        <w:lastRenderedPageBreak/>
        <w:t>الدرس 5: تحرير إسرائيل من مصر</w:t>
      </w:r>
      <w:bookmarkEnd w:id="150"/>
      <w:r w:rsidRPr="00C7130A">
        <w:rPr>
          <w:rtl/>
        </w:rPr>
        <w:t xml:space="preserve"> </w:t>
      </w:r>
    </w:p>
    <w:p w14:paraId="0A84D3FD" w14:textId="15E8ADA5" w:rsidR="00311C51" w:rsidRPr="006F7738" w:rsidRDefault="006F7738" w:rsidP="006F7738">
      <w:pPr>
        <w:tabs>
          <w:tab w:val="left" w:pos="0"/>
          <w:tab w:val="left" w:pos="540"/>
          <w:tab w:val="left" w:pos="1080"/>
          <w:tab w:val="left" w:pos="1620"/>
          <w:tab w:val="left" w:pos="2160"/>
          <w:tab w:val="left" w:pos="2700"/>
          <w:tab w:val="left" w:pos="3240"/>
          <w:tab w:val="left" w:pos="3780"/>
          <w:tab w:val="left" w:pos="4320"/>
          <w:tab w:val="left" w:pos="4860"/>
        </w:tabs>
        <w:spacing w:after="200"/>
        <w:jc w:val="center"/>
        <w:rPr>
          <w:rFonts w:eastAsia="Calibri"/>
          <w:b/>
          <w:bCs/>
          <w:kern w:val="0"/>
          <w:sz w:val="52"/>
          <w:szCs w:val="52"/>
          <w14:ligatures w14:val="none"/>
        </w:rPr>
      </w:pPr>
      <w:bookmarkStart w:id="151" w:name="_Toc193030967"/>
      <w:r w:rsidRPr="006F7738">
        <w:rPr>
          <w:b/>
          <w:bCs/>
          <w:sz w:val="52"/>
          <w:szCs w:val="52"/>
          <w:rtl/>
        </w:rPr>
        <w:t>(خروج 1: 1-18: 27)</w:t>
      </w:r>
      <w:bookmarkEnd w:id="151"/>
    </w:p>
    <w:p w14:paraId="02C5FFAF" w14:textId="1BD11681" w:rsidR="00E41548" w:rsidRPr="00C7130A" w:rsidRDefault="00ED6082" w:rsidP="000558B7">
      <w:pPr>
        <w:pStyle w:val="Heading3"/>
      </w:pPr>
      <w:bookmarkStart w:id="152" w:name="_Toc193030968"/>
      <w:r w:rsidRPr="00C7130A">
        <w:rPr>
          <w:rtl/>
        </w:rPr>
        <w:t>مُقدِّمة الدرس</w:t>
      </w:r>
      <w:bookmarkEnd w:id="152"/>
    </w:p>
    <w:p w14:paraId="3B93BB32" w14:textId="38EC1771" w:rsidR="001F5A1B" w:rsidRPr="00C7130A" w:rsidRDefault="00ED6082" w:rsidP="007D38AF">
      <w:pPr>
        <w:rPr>
          <w:rtl/>
        </w:rPr>
      </w:pPr>
      <w:r w:rsidRPr="00C7130A">
        <w:rPr>
          <w:rtl/>
        </w:rPr>
        <w:t>في الجزء الأخير من سفر التكوين، نرى العبرانيّين يعيشون في مصر، بدل أن يكونوا في أرض الموعد في هناء. في سيادة الله كانوا في نوعٍ من "السبي" من الأرض. فبدل</w:t>
      </w:r>
      <w:r w:rsidR="00B965B2" w:rsidRPr="00C7130A">
        <w:rPr>
          <w:rtl/>
        </w:rPr>
        <w:t>َ</w:t>
      </w:r>
      <w:r w:rsidRPr="00C7130A">
        <w:rPr>
          <w:rtl/>
        </w:rPr>
        <w:t xml:space="preserve"> أن يكونوا شهودًا أمناء للرب</w:t>
      </w:r>
      <w:r w:rsidR="00475B9B" w:rsidRPr="00C7130A">
        <w:rPr>
          <w:rtl/>
        </w:rPr>
        <w:t>ّ</w:t>
      </w:r>
      <w:r w:rsidRPr="00C7130A">
        <w:rPr>
          <w:rtl/>
        </w:rPr>
        <w:t xml:space="preserve"> الإله</w:t>
      </w:r>
      <w:r w:rsidR="0043414B" w:rsidRPr="00C7130A">
        <w:rPr>
          <w:rtl/>
        </w:rPr>
        <w:t>، كانوا يصيرون أكثر شب</w:t>
      </w:r>
      <w:r w:rsidR="001E0CC1" w:rsidRPr="00C7130A">
        <w:rPr>
          <w:rtl/>
        </w:rPr>
        <w:t>َ</w:t>
      </w:r>
      <w:r w:rsidR="0043414B" w:rsidRPr="00C7130A">
        <w:rPr>
          <w:rtl/>
        </w:rPr>
        <w:t>هًا بالكنعانيّين. ولذا، فقد أتى اغترابهم في مصر تأديبًا لهم من الرب</w:t>
      </w:r>
      <w:r w:rsidR="001E0CC1" w:rsidRPr="00C7130A">
        <w:rPr>
          <w:rtl/>
        </w:rPr>
        <w:t>ّ</w:t>
      </w:r>
      <w:r w:rsidR="0043414B" w:rsidRPr="00C7130A">
        <w:rPr>
          <w:rtl/>
        </w:rPr>
        <w:t xml:space="preserve">. وفي الوقت المناسب، قاد هذا إلى صيرورتهم عبيدًا لفرعون مصر. ومع هذا، فإنّه بسبب العهد الإبراهيم، لم يكن الله قد تركهم. فحين وصلت صرخاتهم إلى السماء، أقام الله لهم مُخلِّصًا هو موسى. تروي هذه الأصحاحات الأحد عشر قصّة المواجهة التي كانت لموسى وهارون مع فرعون، وكيف أظهر الله قوّته العظيمة في إجبار فرعون على أن يخضع لإرادته نتيجةً للضربات فوق الطبيعيّة التي أتت على المصريّين. </w:t>
      </w:r>
    </w:p>
    <w:p w14:paraId="083419DD" w14:textId="0990A1EA" w:rsidR="0043414B" w:rsidRPr="00C7130A" w:rsidRDefault="0043414B" w:rsidP="007D38AF">
      <w:pPr>
        <w:rPr>
          <w:rtl/>
        </w:rPr>
      </w:pPr>
      <w:r w:rsidRPr="00C7130A">
        <w:rPr>
          <w:rtl/>
        </w:rPr>
        <w:t>وقبل أن يغادر العبرانيّون مصر، احتفلوا بأول عشاء فصحٍ، حيثُ وُضِع دم خروفٍ بريء</w:t>
      </w:r>
      <w:r w:rsidR="001E0CC1" w:rsidRPr="00C7130A">
        <w:rPr>
          <w:rtl/>
        </w:rPr>
        <w:t>ٍ</w:t>
      </w:r>
      <w:r w:rsidRPr="00C7130A">
        <w:rPr>
          <w:rtl/>
        </w:rPr>
        <w:t xml:space="preserve"> على قائمتي أبواب بيوتهم (وهو رمزٌ لدم المسيح الكفّاري)، فحماهم من ملاك الموت المُهلِك. أم</w:t>
      </w:r>
      <w:r w:rsidR="001E0CC1" w:rsidRPr="00C7130A">
        <w:rPr>
          <w:rtl/>
        </w:rPr>
        <w:t>ّ</w:t>
      </w:r>
      <w:r w:rsidRPr="00C7130A">
        <w:rPr>
          <w:rtl/>
        </w:rPr>
        <w:t xml:space="preserve">ا بقيّة الأصحاحات 12-18 فتوثِّق لنا معجزة عبور البحر الأحمر العظيمة، متبوعةً بامتحان إيمانهم في الرحلة إلى جبل سيناء. </w:t>
      </w:r>
    </w:p>
    <w:p w14:paraId="4ADE25A3" w14:textId="77777777" w:rsidR="00ED6082" w:rsidRPr="00C7130A" w:rsidRDefault="00ED6082" w:rsidP="007D38AF">
      <w:pPr>
        <w:rPr>
          <w:szCs w:val="24"/>
        </w:rPr>
      </w:pPr>
    </w:p>
    <w:p w14:paraId="580857B4" w14:textId="236EC2BF" w:rsidR="00E41548" w:rsidRPr="00C7130A" w:rsidRDefault="0043414B" w:rsidP="000558B7">
      <w:pPr>
        <w:pStyle w:val="Heading3"/>
      </w:pPr>
      <w:bookmarkStart w:id="153" w:name="_Toc193030969"/>
      <w:r w:rsidRPr="00C7130A">
        <w:rPr>
          <w:rtl/>
        </w:rPr>
        <w:t>مخطّط الدرس</w:t>
      </w:r>
      <w:bookmarkEnd w:id="153"/>
    </w:p>
    <w:p w14:paraId="377E8D69" w14:textId="77777777" w:rsidR="0043414B" w:rsidRPr="00C7130A" w:rsidRDefault="0043414B" w:rsidP="007D38AF">
      <w:pPr>
        <w:ind w:left="720"/>
        <w:rPr>
          <w:rtl/>
        </w:rPr>
      </w:pPr>
      <w:r w:rsidRPr="00C7130A">
        <w:rPr>
          <w:rtl/>
        </w:rPr>
        <w:t xml:space="preserve">الموضوع 1: نظرة عامّة إلى سفر الخروج </w:t>
      </w:r>
    </w:p>
    <w:p w14:paraId="1C777E53" w14:textId="77777777" w:rsidR="0043414B" w:rsidRPr="00C7130A" w:rsidRDefault="0043414B" w:rsidP="007D38AF">
      <w:pPr>
        <w:ind w:left="720"/>
        <w:rPr>
          <w:rtl/>
        </w:rPr>
      </w:pPr>
      <w:r w:rsidRPr="00C7130A">
        <w:rPr>
          <w:rtl/>
        </w:rPr>
        <w:t xml:space="preserve">الموضوع 2: عبوديّة الشعب في مصر (خروج 1-11) </w:t>
      </w:r>
    </w:p>
    <w:p w14:paraId="53196AED" w14:textId="5BAC1BF7" w:rsidR="00E41548" w:rsidRPr="00C7130A" w:rsidRDefault="0043414B" w:rsidP="007D38AF">
      <w:pPr>
        <w:ind w:left="720"/>
        <w:rPr>
          <w:szCs w:val="24"/>
        </w:rPr>
      </w:pPr>
      <w:r w:rsidRPr="00C7130A">
        <w:rPr>
          <w:rtl/>
        </w:rPr>
        <w:t>الموضوع 3: الافتداء من العبودية (خروج 12: 1 – 18: 27)</w:t>
      </w:r>
      <w:r w:rsidR="00E41548" w:rsidRPr="00C7130A">
        <w:rPr>
          <w:szCs w:val="24"/>
        </w:rPr>
        <w:br/>
      </w:r>
    </w:p>
    <w:p w14:paraId="1127EB54" w14:textId="1A3C67B4" w:rsidR="00E41548" w:rsidRPr="00C7130A" w:rsidRDefault="00825859" w:rsidP="000558B7">
      <w:pPr>
        <w:pStyle w:val="Heading3"/>
      </w:pPr>
      <w:bookmarkStart w:id="154" w:name="_Toc193030970"/>
      <w:r w:rsidRPr="00C7130A">
        <w:rPr>
          <w:rtl/>
        </w:rPr>
        <w:t>أهداف الدرس</w:t>
      </w:r>
      <w:bookmarkEnd w:id="154"/>
    </w:p>
    <w:p w14:paraId="437BB834" w14:textId="5D79E347" w:rsidR="00E41548" w:rsidRPr="007D38AF" w:rsidRDefault="00825859" w:rsidP="00C7130A">
      <w:pPr>
        <w:spacing w:after="80"/>
        <w:rPr>
          <w:rFonts w:eastAsia="Calibri"/>
          <w:kern w:val="0"/>
          <w14:ligatures w14:val="none"/>
        </w:rPr>
      </w:pPr>
      <w:r w:rsidRPr="007D38AF">
        <w:rPr>
          <w:rFonts w:eastAsia="Calibri"/>
          <w:kern w:val="0"/>
          <w:rtl/>
          <w14:ligatures w14:val="none"/>
        </w:rPr>
        <w:t xml:space="preserve">بانتهائك من دراسة هذا الدرس، ستكون قادرًا على ما يلي: </w:t>
      </w:r>
    </w:p>
    <w:p w14:paraId="14D3FB9E" w14:textId="34895DA5" w:rsidR="000F57FB" w:rsidRPr="004470BD" w:rsidRDefault="00825859">
      <w:pPr>
        <w:pStyle w:val="ListParagraph"/>
        <w:numPr>
          <w:ilvl w:val="0"/>
          <w:numId w:val="24"/>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470BD">
        <w:rPr>
          <w:rFonts w:eastAsia="Calibri"/>
          <w:kern w:val="0"/>
          <w:rtl/>
          <w14:ligatures w14:val="none"/>
        </w:rPr>
        <w:t xml:space="preserve">أن تبيّن مغزى وأهمّيّة اسم الله الشخصي، يهوه، وعلاقته بتحرير العبرانيّين من مصر. </w:t>
      </w:r>
    </w:p>
    <w:p w14:paraId="14DA5969" w14:textId="5582CCBB" w:rsidR="00825859" w:rsidRPr="004470BD" w:rsidRDefault="00825859">
      <w:pPr>
        <w:pStyle w:val="ListParagraph"/>
        <w:numPr>
          <w:ilvl w:val="0"/>
          <w:numId w:val="24"/>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470BD">
        <w:rPr>
          <w:rFonts w:eastAsia="Calibri"/>
          <w:kern w:val="0"/>
          <w:rtl/>
          <w14:ligatures w14:val="none"/>
        </w:rPr>
        <w:t xml:space="preserve">أن تندهش أمام قوّة الله وسيادته في مواجهة فرعون (أقوى حكّام الأرض في ذلك الوقت). </w:t>
      </w:r>
    </w:p>
    <w:p w14:paraId="15F508F6" w14:textId="17EA7350" w:rsidR="00825859" w:rsidRPr="004470BD" w:rsidRDefault="00825859">
      <w:pPr>
        <w:pStyle w:val="ListParagraph"/>
        <w:numPr>
          <w:ilvl w:val="0"/>
          <w:numId w:val="24"/>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470BD">
        <w:rPr>
          <w:rFonts w:eastAsia="Calibri"/>
          <w:kern w:val="0"/>
          <w:rtl/>
          <w14:ligatures w14:val="none"/>
        </w:rPr>
        <w:t xml:space="preserve">أن تشرح مغزى الرموز التي يتضمّنها عشاء الفصح وأكل الخبز الفطير. </w:t>
      </w:r>
    </w:p>
    <w:p w14:paraId="185691B1" w14:textId="0CA05006" w:rsidR="00825859" w:rsidRPr="004470BD" w:rsidRDefault="00825859">
      <w:pPr>
        <w:pStyle w:val="ListParagraph"/>
        <w:numPr>
          <w:ilvl w:val="0"/>
          <w:numId w:val="24"/>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470BD">
        <w:rPr>
          <w:rFonts w:eastAsia="Calibri"/>
          <w:kern w:val="0"/>
          <w:rtl/>
          <w14:ligatures w14:val="none"/>
        </w:rPr>
        <w:t>أن تتولَّد لديك ثقة</w:t>
      </w:r>
      <w:r w:rsidR="001E0CC1" w:rsidRPr="004470BD">
        <w:rPr>
          <w:rFonts w:eastAsia="Calibri"/>
          <w:kern w:val="0"/>
          <w:rtl/>
          <w14:ligatures w14:val="none"/>
        </w:rPr>
        <w:t>ٌ</w:t>
      </w:r>
      <w:r w:rsidRPr="004470BD">
        <w:rPr>
          <w:rFonts w:eastAsia="Calibri"/>
          <w:kern w:val="0"/>
          <w:rtl/>
          <w14:ligatures w14:val="none"/>
        </w:rPr>
        <w:t xml:space="preserve"> أعظم بقدرة الله على تحرير شعب في ضوء معجزة البحر الأحمر. </w:t>
      </w:r>
    </w:p>
    <w:p w14:paraId="69597DAA" w14:textId="3385F2D0" w:rsidR="00825859" w:rsidRPr="004470BD" w:rsidRDefault="00825859">
      <w:pPr>
        <w:pStyle w:val="ListParagraph"/>
        <w:numPr>
          <w:ilvl w:val="0"/>
          <w:numId w:val="24"/>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470BD">
        <w:rPr>
          <w:rFonts w:eastAsia="Calibri"/>
          <w:kern w:val="0"/>
          <w:rtl/>
          <w14:ligatures w14:val="none"/>
        </w:rPr>
        <w:lastRenderedPageBreak/>
        <w:t xml:space="preserve">أن تدرِك الدروس </w:t>
      </w:r>
      <w:r w:rsidR="001E0CC1" w:rsidRPr="004470BD">
        <w:rPr>
          <w:rFonts w:eastAsia="Calibri"/>
          <w:kern w:val="0"/>
          <w:rtl/>
          <w14:ligatures w14:val="none"/>
        </w:rPr>
        <w:t>التي ت</w:t>
      </w:r>
      <w:r w:rsidRPr="004470BD">
        <w:rPr>
          <w:rFonts w:eastAsia="Calibri"/>
          <w:kern w:val="0"/>
          <w:rtl/>
          <w14:ligatures w14:val="none"/>
        </w:rPr>
        <w:t xml:space="preserve">تعلَّمها من تذمُّر العبرانيّين في ارتحالهم إلى جبل سيناء. </w:t>
      </w:r>
    </w:p>
    <w:p w14:paraId="5BA324A0" w14:textId="6C6AC756" w:rsidR="007D38AF" w:rsidRDefault="00825859" w:rsidP="00A81291">
      <w:pPr>
        <w:tabs>
          <w:tab w:val="left" w:pos="0"/>
          <w:tab w:val="left" w:pos="540"/>
          <w:tab w:val="left" w:pos="1080"/>
          <w:tab w:val="left" w:pos="1620"/>
          <w:tab w:val="left" w:pos="2160"/>
          <w:tab w:val="left" w:pos="2700"/>
          <w:tab w:val="left" w:pos="3240"/>
          <w:tab w:val="left" w:pos="3780"/>
          <w:tab w:val="left" w:pos="4320"/>
          <w:tab w:val="left" w:pos="4860"/>
        </w:tabs>
        <w:spacing w:after="200"/>
        <w:ind w:left="360"/>
        <w:contextualSpacing/>
        <w:rPr>
          <w:rtl/>
        </w:rPr>
      </w:pPr>
      <w:r w:rsidRPr="007D38AF">
        <w:rPr>
          <w:rFonts w:eastAsia="Calibri"/>
          <w:kern w:val="0"/>
          <w:rtl/>
          <w14:ligatures w14:val="none"/>
        </w:rPr>
        <w:t xml:space="preserve"> </w:t>
      </w:r>
      <w:bookmarkStart w:id="155" w:name="_Hlk157171992"/>
    </w:p>
    <w:p w14:paraId="52AF098B" w14:textId="77777777" w:rsidR="007D38AF" w:rsidRDefault="00825859" w:rsidP="000558B7">
      <w:pPr>
        <w:pStyle w:val="Heading2B"/>
        <w:rPr>
          <w:rtl/>
        </w:rPr>
      </w:pPr>
      <w:bookmarkStart w:id="156" w:name="_Toc193030971"/>
      <w:r w:rsidRPr="00C7130A">
        <w:rPr>
          <w:rtl/>
        </w:rPr>
        <w:t>الموضوع 1: نظرة عامّة إلى سفر الخروج</w:t>
      </w:r>
      <w:bookmarkEnd w:id="156"/>
      <w:r w:rsidR="001E0CC1" w:rsidRPr="00C7130A">
        <w:rPr>
          <w:rtl/>
        </w:rPr>
        <w:t xml:space="preserve"> </w:t>
      </w:r>
      <w:bookmarkStart w:id="157" w:name="_Hlk157176458"/>
      <w:bookmarkEnd w:id="155"/>
    </w:p>
    <w:p w14:paraId="00BC59B2" w14:textId="1CC5287D" w:rsidR="006311FA" w:rsidRPr="00F479CB" w:rsidRDefault="006311FA" w:rsidP="000558B7">
      <w:pPr>
        <w:pStyle w:val="Heading2B"/>
      </w:pPr>
      <w:bookmarkStart w:id="158" w:name="_Toc193030972"/>
      <w:r w:rsidRPr="00C7130A">
        <w:rPr>
          <w:noProof/>
          <w:sz w:val="21"/>
          <w:szCs w:val="24"/>
        </w:rPr>
        <w:drawing>
          <wp:inline distT="0" distB="0" distL="0" distR="0" wp14:anchorId="35873E50" wp14:editId="206E4F6B">
            <wp:extent cx="613692" cy="541464"/>
            <wp:effectExtent l="0" t="0" r="0" b="0"/>
            <wp:docPr id="103953203" name="Picture 103953203"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sz w:val="21"/>
          <w:szCs w:val="24"/>
        </w:rPr>
        <w:t xml:space="preserve"> </w:t>
      </w:r>
      <w:r w:rsidR="00D12AA9" w:rsidRPr="00F479CB">
        <w:rPr>
          <w:rtl/>
        </w:rPr>
        <w:t>القراءة:</w:t>
      </w:r>
      <w:bookmarkEnd w:id="158"/>
    </w:p>
    <w:p w14:paraId="1C7C7B5C" w14:textId="77D22FFF" w:rsidR="002B24E1" w:rsidRPr="00F479CB" w:rsidRDefault="00D12AA9">
      <w:pPr>
        <w:pStyle w:val="Heading4RED"/>
        <w:numPr>
          <w:ilvl w:val="0"/>
          <w:numId w:val="13"/>
        </w:numPr>
        <w:rPr>
          <w:rFonts w:cs="Arabic Typesetting"/>
          <w:b w:val="0"/>
          <w:bCs w:val="0"/>
          <w:color w:val="auto"/>
          <w:sz w:val="36"/>
          <w:szCs w:val="36"/>
        </w:rPr>
      </w:pPr>
      <w:r w:rsidRPr="00F479CB">
        <w:rPr>
          <w:rFonts w:cs="Arabic Typesetting"/>
          <w:b w:val="0"/>
          <w:bCs w:val="0"/>
          <w:color w:val="auto"/>
          <w:sz w:val="36"/>
          <w:szCs w:val="36"/>
          <w:rtl/>
        </w:rPr>
        <w:t>اقرأ ميرل، لاهوت العهد القديم، "مُقدِّمة".</w:t>
      </w:r>
    </w:p>
    <w:p w14:paraId="39D24D12" w14:textId="1674C0FD" w:rsidR="00D12AA9" w:rsidRPr="00F479CB" w:rsidRDefault="00D12AA9">
      <w:pPr>
        <w:pStyle w:val="Heading4RED"/>
        <w:numPr>
          <w:ilvl w:val="0"/>
          <w:numId w:val="13"/>
        </w:numPr>
        <w:rPr>
          <w:rFonts w:cs="Arabic Typesetting"/>
          <w:b w:val="0"/>
          <w:bCs w:val="0"/>
          <w:color w:val="auto"/>
          <w:sz w:val="36"/>
          <w:szCs w:val="36"/>
        </w:rPr>
      </w:pPr>
      <w:r w:rsidRPr="00F479CB">
        <w:rPr>
          <w:rFonts w:cs="Arabic Typesetting"/>
          <w:b w:val="0"/>
          <w:bCs w:val="0"/>
          <w:color w:val="auto"/>
          <w:sz w:val="36"/>
          <w:szCs w:val="36"/>
          <w:rtl/>
        </w:rPr>
        <w:t>اقرأ ميرل، لاهوت العهد القديم، "لاهوت سفر التكوين".</w:t>
      </w:r>
    </w:p>
    <w:bookmarkEnd w:id="157"/>
    <w:p w14:paraId="606E60A7" w14:textId="77777777" w:rsidR="00A5655F" w:rsidRPr="00F479CB" w:rsidRDefault="00A5655F" w:rsidP="00C7130A">
      <w:pPr>
        <w:pStyle w:val="Heading4RED"/>
        <w:rPr>
          <w:rFonts w:cs="Arabic Typesetting"/>
          <w:color w:val="auto"/>
          <w:sz w:val="36"/>
          <w:szCs w:val="36"/>
        </w:rPr>
      </w:pPr>
    </w:p>
    <w:p w14:paraId="230145D4" w14:textId="58EDD2DE" w:rsidR="006C5779" w:rsidRPr="00C7130A" w:rsidRDefault="000467AC" w:rsidP="000558B7">
      <w:pPr>
        <w:pStyle w:val="Heading3"/>
      </w:pPr>
      <w:bookmarkStart w:id="159" w:name="_Toc193030973"/>
      <w:r w:rsidRPr="00C7130A">
        <w:rPr>
          <w:rtl/>
        </w:rPr>
        <w:t>أوّلًا، لوحة سفر الخروج</w:t>
      </w:r>
      <w:bookmarkStart w:id="160" w:name="_Hlk178778489"/>
      <w:bookmarkEnd w:id="159"/>
    </w:p>
    <w:bookmarkEnd w:id="160"/>
    <w:p w14:paraId="6ECDDD4E" w14:textId="77777777" w:rsidR="00A5655F" w:rsidRPr="00C7130A" w:rsidRDefault="00A5655F" w:rsidP="00C7130A">
      <w:pPr>
        <w:pStyle w:val="Heading4RED"/>
        <w:rPr>
          <w:rFonts w:cs="Arabic Typesetting"/>
        </w:rPr>
      </w:pPr>
    </w:p>
    <w:p w14:paraId="590630F2" w14:textId="3B0E79B8" w:rsidR="006311FA" w:rsidRPr="00C7130A" w:rsidRDefault="00E166B2"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noProof/>
          <w:kern w:val="0"/>
          <w:szCs w:val="24"/>
          <w14:ligatures w14:val="none"/>
        </w:rPr>
        <w:drawing>
          <wp:inline distT="0" distB="0" distL="0" distR="0" wp14:anchorId="35606295" wp14:editId="2A7EC431">
            <wp:extent cx="5943600" cy="4614545"/>
            <wp:effectExtent l="0" t="0" r="0" b="0"/>
            <wp:docPr id="361235162" name="Picture 1" descr="A white sheet with black text and a picture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35162" name="Picture 1" descr="A white sheet with black text and a picture of a tree&#10;&#10;Description automatically generated"/>
                    <pic:cNvPicPr/>
                  </pic:nvPicPr>
                  <pic:blipFill>
                    <a:blip r:embed="rId38"/>
                    <a:stretch>
                      <a:fillRect/>
                    </a:stretch>
                  </pic:blipFill>
                  <pic:spPr>
                    <a:xfrm>
                      <a:off x="0" y="0"/>
                      <a:ext cx="5943600" cy="4614545"/>
                    </a:xfrm>
                    <a:prstGeom prst="rect">
                      <a:avLst/>
                    </a:prstGeom>
                  </pic:spPr>
                </pic:pic>
              </a:graphicData>
            </a:graphic>
          </wp:inline>
        </w:drawing>
      </w:r>
    </w:p>
    <w:p w14:paraId="421F1C50" w14:textId="3A722569" w:rsidR="00B3103C" w:rsidRPr="00C7130A" w:rsidRDefault="00B3103C" w:rsidP="000558B7">
      <w:pPr>
        <w:pStyle w:val="Heading3"/>
      </w:pPr>
      <w:r w:rsidRPr="00C7130A">
        <w:br w:type="page"/>
      </w:r>
      <w:bookmarkStart w:id="161" w:name="_Toc193030974"/>
      <w:r w:rsidR="000467AC" w:rsidRPr="00C7130A">
        <w:rPr>
          <w:rtl/>
        </w:rPr>
        <w:lastRenderedPageBreak/>
        <w:t>ثانيًا، الخروج وحياة موسى في تزامنٍ مع فراعنة مصر.</w:t>
      </w:r>
      <w:bookmarkStart w:id="162" w:name="_Hlk178778510"/>
      <w:bookmarkEnd w:id="161"/>
      <w:r w:rsidR="000467AC" w:rsidRPr="00C7130A">
        <w:rPr>
          <w:rtl/>
        </w:rPr>
        <w:t xml:space="preserve"> </w:t>
      </w:r>
    </w:p>
    <w:bookmarkEnd w:id="162"/>
    <w:p w14:paraId="558B8280" w14:textId="3624D866" w:rsidR="00C1309E" w:rsidRPr="00C7130A" w:rsidRDefault="002F290C" w:rsidP="00C7130A">
      <w:pPr>
        <w:jc w:val="center"/>
      </w:pPr>
      <w:r w:rsidRPr="00C7130A">
        <w:rPr>
          <w:noProof/>
        </w:rPr>
        <w:drawing>
          <wp:inline distT="0" distB="0" distL="0" distR="0" wp14:anchorId="3E8E9F9D" wp14:editId="6ED3877B">
            <wp:extent cx="5612506" cy="7609263"/>
            <wp:effectExtent l="0" t="0" r="0" b="0"/>
            <wp:docPr id="2296515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5158" name="Picture 1" descr="A screenshot of a document&#10;&#10;Description automatically generated"/>
                    <pic:cNvPicPr/>
                  </pic:nvPicPr>
                  <pic:blipFill>
                    <a:blip r:embed="rId39"/>
                    <a:stretch>
                      <a:fillRect/>
                    </a:stretch>
                  </pic:blipFill>
                  <pic:spPr>
                    <a:xfrm>
                      <a:off x="0" y="0"/>
                      <a:ext cx="5613008" cy="7609944"/>
                    </a:xfrm>
                    <a:prstGeom prst="rect">
                      <a:avLst/>
                    </a:prstGeom>
                  </pic:spPr>
                </pic:pic>
              </a:graphicData>
            </a:graphic>
          </wp:inline>
        </w:drawing>
      </w:r>
    </w:p>
    <w:p w14:paraId="5D9090D3" w14:textId="1AF9DE29" w:rsidR="006311FA" w:rsidRPr="00C7130A" w:rsidRDefault="00C1309E" w:rsidP="000558B7">
      <w:pPr>
        <w:pStyle w:val="Heading2B"/>
      </w:pPr>
      <w:r w:rsidRPr="00C7130A">
        <w:br w:type="page"/>
      </w:r>
      <w:bookmarkStart w:id="163" w:name="_Toc193030975"/>
      <w:r w:rsidR="000467AC" w:rsidRPr="00C7130A">
        <w:rPr>
          <w:rtl/>
        </w:rPr>
        <w:lastRenderedPageBreak/>
        <w:t>الموضوع 2: عبوديّة الشعب في مصر (خروج 1-11)</w:t>
      </w:r>
      <w:bookmarkStart w:id="164" w:name="_Hlk178778527"/>
      <w:bookmarkEnd w:id="163"/>
    </w:p>
    <w:p w14:paraId="020AA0B0" w14:textId="155D3A0A" w:rsidR="006311FA" w:rsidRPr="00F479CB" w:rsidRDefault="006311FA"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r w:rsidRPr="00C7130A">
        <w:rPr>
          <w:rFonts w:eastAsia="Calibri"/>
          <w:b/>
          <w:caps/>
          <w:noProof/>
          <w:color w:val="006699"/>
          <w:kern w:val="0"/>
          <w:sz w:val="21"/>
          <w:szCs w:val="24"/>
          <w14:ligatures w14:val="none"/>
        </w:rPr>
        <w:drawing>
          <wp:inline distT="0" distB="0" distL="0" distR="0" wp14:anchorId="42E972DE" wp14:editId="10E894EE">
            <wp:extent cx="613692" cy="541464"/>
            <wp:effectExtent l="0" t="0" r="0" b="0"/>
            <wp:docPr id="1640776784" name="Picture 1640776784"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0467AC" w:rsidRPr="00F479CB">
        <w:rPr>
          <w:rFonts w:eastAsia="Calibri"/>
          <w:bCs/>
          <w:caps/>
          <w:color w:val="006699"/>
          <w:kern w:val="0"/>
          <w:u w:val="single"/>
          <w:rtl/>
          <w14:ligatures w14:val="none"/>
        </w:rPr>
        <w:t>القراءة:</w:t>
      </w:r>
      <w:r w:rsidR="000467AC" w:rsidRPr="00F479CB">
        <w:rPr>
          <w:rFonts w:eastAsia="Calibri"/>
          <w:b/>
          <w:caps/>
          <w:color w:val="006699"/>
          <w:kern w:val="0"/>
          <w:u w:val="single"/>
          <w:rtl/>
          <w14:ligatures w14:val="none"/>
        </w:rPr>
        <w:t xml:space="preserve"> </w:t>
      </w:r>
    </w:p>
    <w:p w14:paraId="6CC32E64" w14:textId="49033FBE" w:rsidR="006311FA" w:rsidRPr="00F479CB" w:rsidRDefault="00F67B20"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F479CB">
        <w:rPr>
          <w:rFonts w:eastAsia="Calibri"/>
          <w:kern w:val="0"/>
          <w14:ligatures w14:val="none"/>
        </w:rPr>
        <w:tab/>
      </w:r>
      <w:r w:rsidRPr="00F479CB">
        <w:rPr>
          <w:rFonts w:eastAsia="Calibri"/>
          <w:kern w:val="0"/>
          <w14:ligatures w14:val="none"/>
        </w:rPr>
        <w:tab/>
      </w:r>
      <w:r w:rsidR="000467AC" w:rsidRPr="00F479CB">
        <w:rPr>
          <w:rFonts w:eastAsia="Calibri"/>
          <w:kern w:val="0"/>
          <w:rtl/>
          <w14:ligatures w14:val="none"/>
        </w:rPr>
        <w:t xml:space="preserve">اقرأ خروج 1: 1 – 11: 10 في كتابك المُقدَّس. </w:t>
      </w:r>
    </w:p>
    <w:bookmarkEnd w:id="164"/>
    <w:p w14:paraId="16D7A3DA" w14:textId="07C62980" w:rsidR="006311FA" w:rsidRPr="00C7130A" w:rsidRDefault="002F290C"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noProof/>
          <w:kern w:val="0"/>
          <w:szCs w:val="24"/>
          <w14:ligatures w14:val="none"/>
        </w:rPr>
        <w:drawing>
          <wp:inline distT="0" distB="0" distL="0" distR="0" wp14:anchorId="5832D1FD" wp14:editId="19222DB3">
            <wp:extent cx="5943600" cy="4140835"/>
            <wp:effectExtent l="0" t="0" r="0" b="0"/>
            <wp:docPr id="7633009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00957" name="Picture 1" descr="A screenshot of a computer&#10;&#10;Description automatically generated"/>
                    <pic:cNvPicPr/>
                  </pic:nvPicPr>
                  <pic:blipFill>
                    <a:blip r:embed="rId40"/>
                    <a:stretch>
                      <a:fillRect/>
                    </a:stretch>
                  </pic:blipFill>
                  <pic:spPr>
                    <a:xfrm>
                      <a:off x="0" y="0"/>
                      <a:ext cx="5943600" cy="4140835"/>
                    </a:xfrm>
                    <a:prstGeom prst="rect">
                      <a:avLst/>
                    </a:prstGeom>
                  </pic:spPr>
                </pic:pic>
              </a:graphicData>
            </a:graphic>
          </wp:inline>
        </w:drawing>
      </w:r>
    </w:p>
    <w:p w14:paraId="190AA457" w14:textId="77777777" w:rsidR="00B35650" w:rsidRPr="002252B7" w:rsidRDefault="00B35650" w:rsidP="00C7130A">
      <w:pPr>
        <w:tabs>
          <w:tab w:val="left" w:pos="454"/>
        </w:tabs>
        <w:spacing w:after="60"/>
        <w:jc w:val="both"/>
        <w:rPr>
          <w:rFonts w:eastAsia="Times New Roman"/>
          <w:bCs/>
          <w:kern w:val="0"/>
          <w:rtl/>
          <w:lang w:bidi="ar-JO"/>
          <w14:ligatures w14:val="none"/>
        </w:rPr>
      </w:pPr>
      <w:r w:rsidRPr="002252B7">
        <w:rPr>
          <w:rFonts w:eastAsia="Times New Roman"/>
          <w:bCs/>
          <w:kern w:val="0"/>
          <w:rtl/>
          <w:lang w:bidi="ar-JO"/>
          <w14:ligatures w14:val="none"/>
        </w:rPr>
        <w:t>1.</w:t>
      </w:r>
      <w:r w:rsidRPr="002252B7">
        <w:rPr>
          <w:rFonts w:eastAsia="Times New Roman"/>
          <w:bCs/>
          <w:kern w:val="0"/>
          <w:rtl/>
          <w:lang w:bidi="ar-JO"/>
          <w14:ligatures w14:val="none"/>
        </w:rPr>
        <w:tab/>
        <w:t xml:space="preserve">تعريف بسفر الخروج </w:t>
      </w:r>
    </w:p>
    <w:p w14:paraId="484F4AC0"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سفر الخروج أكثر من رد فعل لإله عادل على اضطهاد مجتمع لآخر أو شريحة اجتماعية لأخرى.  وهو أكثر من مجرّد قصة شفقة الله على محنة شعب وضيقهم.  ولسوء الحظ فإن كثيراً من اللاهوتيين المتحررين يتناولون السفر بمثل هذه الطريقة.  غير أن سفر الخروج لا يتناول أي "مجتمع مضطهَد".  فنحن نتحدث عن أمة إسرائيل، أمّة الله الفريدة المختارة من بين الشعوب من أجل تنفيذ برنامج الله (تكوين 12).  يقول ميريل:</w:t>
      </w:r>
    </w:p>
    <w:p w14:paraId="24F37F3B"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2252B7">
        <w:rPr>
          <w:rFonts w:eastAsia="Times New Roman"/>
          <w:kern w:val="0"/>
          <w:rtl/>
          <w14:ligatures w14:val="none"/>
        </w:rPr>
        <w:lastRenderedPageBreak/>
        <w:tab/>
      </w:r>
      <w:r w:rsidRPr="002252B7">
        <w:rPr>
          <w:rFonts w:eastAsia="Times New Roman"/>
          <w:kern w:val="0"/>
          <w:rtl/>
          <w:lang w:bidi="ar-JO"/>
          <w14:ligatures w14:val="none"/>
        </w:rPr>
        <w:t>إن الخروج أهم حدث تاريخي ولاهوتي في العهد القديم، لأنه يشكل أقوى أعمال الله التي قام بها لأجل شعبه.  وهو عمل نقلهم من العبودية إلى الحرية، ومن التشرذُم إلى التضامن، ومن شعب الوعد –العبرانيين- إلى أمة تحقيق الوعد –إسرائيل.</w:t>
      </w:r>
      <w:r w:rsidRPr="002252B7">
        <w:rPr>
          <w:rFonts w:eastAsia="Times New Roman"/>
          <w:kern w:val="0"/>
          <w:vertAlign w:val="superscript"/>
          <w:rtl/>
          <w:lang w:bidi="ar-JO"/>
          <w14:ligatures w14:val="none"/>
        </w:rPr>
        <w:footnoteReference w:customMarkFollows="1" w:id="48"/>
        <w:t>1</w:t>
      </w:r>
    </w:p>
    <w:p w14:paraId="2C64C391"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30AF4FF1"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لا يمكن للمرء أن يفهم الخروج دون أن يفهم سفر التكوين.  فالخروج خطوة إلى الأمام في تنفيذ الوعود الإلهية لإبراهيم.  وخطة الله هي أن يجلب البركة إلى العالم من خلال ذرية إبراهيم، ويتضمن هذا تشكيل أمة ترتبط بيهوه بشكل فريد.  ويتضمن برنامج بناء الأمة ما يلي:          (1) شعباً و(2) دستوراً و(3) أرضاً.  وقد وصل سفر التكوين ذروته بإحضار عائلة يعقوب (وريث البركة الإبراهيمية) إلى مصر لكي تُحفظ وتتطور.  وقبل موت يوسف في مصر عبّر عن توقُّعه أن يحقق الله وعوده لإبراهيم.  ونتيجة لذلك يتناول سفر الخروج موضوع العهد الإبراهيمي هذا وتطوّر القصة المثيرة بتفصيلِ علاقة العهد القومي القائم بين يهوه وإسرائيل.  وباختصار، يركّز سفر الخروج على تشكيل إسرائيل كأمة تحت حكم يهوه.</w:t>
      </w:r>
    </w:p>
    <w:p w14:paraId="509AA837"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83433C0"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 xml:space="preserve">يتألف سفر الخروج من أربعة تقسيمات رئيسية (انظر </w:t>
      </w:r>
      <w:r w:rsidRPr="002252B7">
        <w:rPr>
          <w:rFonts w:eastAsia="Times New Roman"/>
          <w:i/>
          <w:iCs/>
          <w:kern w:val="0"/>
          <w:rtl/>
          <w:lang w:bidi="ar-JO"/>
          <w14:ligatures w14:val="none"/>
        </w:rPr>
        <w:t>الملحق 8-1</w:t>
      </w:r>
      <w:r w:rsidRPr="002252B7">
        <w:rPr>
          <w:rFonts w:eastAsia="Times New Roman"/>
          <w:kern w:val="0"/>
          <w:rtl/>
          <w:lang w:bidi="ar-JO"/>
          <w14:ligatures w14:val="none"/>
        </w:rPr>
        <w:t>):</w:t>
      </w:r>
    </w:p>
    <w:p w14:paraId="65B22A8F"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F1799AB" w14:textId="792F6381" w:rsidR="00B35650" w:rsidRPr="00C7130A" w:rsidRDefault="009D4EAB" w:rsidP="00C7130A">
      <w:pPr>
        <w:tabs>
          <w:tab w:val="left" w:pos="550"/>
          <w:tab w:val="left" w:pos="1100"/>
          <w:tab w:val="left" w:pos="1650"/>
          <w:tab w:val="left" w:pos="2200"/>
          <w:tab w:val="left" w:pos="2750"/>
          <w:tab w:val="left" w:pos="3300"/>
          <w:tab w:val="left" w:pos="3850"/>
          <w:tab w:val="left" w:pos="4400"/>
        </w:tabs>
        <w:ind w:left="454"/>
        <w:jc w:val="center"/>
        <w:rPr>
          <w:rFonts w:eastAsia="Times New Roman"/>
          <w:kern w:val="0"/>
          <w:szCs w:val="26"/>
          <w:rtl/>
          <w14:ligatures w14:val="none"/>
        </w:rPr>
      </w:pPr>
      <w:r w:rsidRPr="00C7130A">
        <w:rPr>
          <w:rFonts w:eastAsia="Times New Roman"/>
          <w:noProof/>
          <w:kern w:val="0"/>
          <w:szCs w:val="26"/>
          <w:rtl/>
          <w14:ligatures w14:val="none"/>
        </w:rPr>
        <w:drawing>
          <wp:inline distT="0" distB="0" distL="0" distR="0" wp14:anchorId="2A09568F" wp14:editId="03DAF0C6">
            <wp:extent cx="5547358" cy="1386840"/>
            <wp:effectExtent l="0" t="0" r="0" b="0"/>
            <wp:docPr id="1622575985" name="Picture 1" descr="A diagram of a math equ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75985" name="Picture 1" descr="A diagram of a math equation&#10;&#10;Description automatically generated with medium confidence"/>
                    <pic:cNvPicPr/>
                  </pic:nvPicPr>
                  <pic:blipFill>
                    <a:blip r:embed="rId41"/>
                    <a:stretch>
                      <a:fillRect/>
                    </a:stretch>
                  </pic:blipFill>
                  <pic:spPr>
                    <a:xfrm>
                      <a:off x="0" y="0"/>
                      <a:ext cx="5552293" cy="1388074"/>
                    </a:xfrm>
                    <a:prstGeom prst="rect">
                      <a:avLst/>
                    </a:prstGeom>
                  </pic:spPr>
                </pic:pic>
              </a:graphicData>
            </a:graphic>
          </wp:inline>
        </w:drawing>
      </w:r>
    </w:p>
    <w:p w14:paraId="476F40A3" w14:textId="77777777" w:rsidR="00B35650" w:rsidRPr="00C7130A" w:rsidRDefault="00B35650" w:rsidP="00C7130A">
      <w:pPr>
        <w:rPr>
          <w:rFonts w:eastAsia="Times New Roman"/>
          <w:kern w:val="0"/>
          <w:szCs w:val="18"/>
          <w:rtl/>
          <w14:ligatures w14:val="none"/>
        </w:rPr>
      </w:pPr>
    </w:p>
    <w:p w14:paraId="120F8F73" w14:textId="77777777" w:rsidR="00B35650" w:rsidRPr="00C7130A" w:rsidRDefault="00B35650" w:rsidP="002252B7">
      <w:pPr>
        <w:rPr>
          <w:rtl/>
          <w:lang w:bidi="ar-JO"/>
        </w:rPr>
      </w:pPr>
      <w:r w:rsidRPr="00C7130A">
        <w:rPr>
          <w:rtl/>
          <w:lang w:bidi="ar-JO"/>
        </w:rPr>
        <w:t xml:space="preserve">لتشكيل أمّة من إسرائيل، يجب أن يحرَّروا أولاً من عبودية مصر وسيادتها.  ومن هنا يعلن يهوه نفسه من خلال عرض أعمال قوة ودينونة لقوى الشر (مثلاً، 9: 16).  وبتحرير يهوه لشعبه من الظلم الشرير، فإنه يعلن نفسه كإله الخلاص – الإنقاذ.  وعندما فداهم يهوه، أتى بهم إلى سيناء لكي يدخلوا في دستور مع يهوه، (يأخذ هذا الدستور شكل معاهدات الشرق الأدنى المألوفة بين دولة متسلطة تفرض سلطانها في حقل الشؤون الخارجية على دولة تابعة، تاركة لها حرية التصرف في الشؤون الداخلية).  وهنا صار الشعبُ أمّةً (دولةً) باتفاقية عهد بين الدولة التابعة، إسرائيل، وبين الدولة المتسلطة، يهوه (تأسيس حكم ثيوقراطي).  ويختتم السفر ببناء خيمة الاجتماع (الإصحاح 25-40) لكي يسكن يهوه في وسطهم، أي لكي يتوّج ملكاً في وسط الأمة.  وفي ما يلي </w:t>
      </w:r>
      <w:r w:rsidRPr="00C7130A">
        <w:rPr>
          <w:i/>
          <w:iCs/>
          <w:rtl/>
          <w:lang w:bidi="ar-JO"/>
        </w:rPr>
        <w:t xml:space="preserve">جملة تلخيصية </w:t>
      </w:r>
      <w:r w:rsidRPr="00C7130A">
        <w:rPr>
          <w:rtl/>
          <w:lang w:bidi="ar-JO"/>
        </w:rPr>
        <w:t>لسفر الخروج:</w:t>
      </w:r>
    </w:p>
    <w:p w14:paraId="79FEE745" w14:textId="77777777" w:rsidR="00B35650" w:rsidRPr="00C7130A" w:rsidRDefault="00B35650" w:rsidP="002252B7">
      <w:pPr>
        <w:rPr>
          <w:rtl/>
          <w:lang w:bidi="ar-JO"/>
        </w:rPr>
      </w:pPr>
      <w:r w:rsidRPr="00C7130A">
        <w:rPr>
          <w:rtl/>
          <w:lang w:bidi="ar-JO"/>
        </w:rPr>
        <w:lastRenderedPageBreak/>
        <w:t>يقوم يهوه في أمانته للعهد الإبراهيمي بتحرير شعبه المختار من مصر لكي يجعل منهم شعباً عابداً تحت حكمه الملكي استعداداً لنوال أرض الموعد.</w:t>
      </w:r>
    </w:p>
    <w:p w14:paraId="42FB409F" w14:textId="77777777" w:rsidR="00B35650" w:rsidRPr="00C7130A" w:rsidRDefault="00B35650" w:rsidP="002252B7">
      <w:pPr>
        <w:rPr>
          <w:rtl/>
          <w:lang w:bidi="ar-JO"/>
        </w:rPr>
      </w:pPr>
      <w:r w:rsidRPr="00C7130A">
        <w:rPr>
          <w:rtl/>
          <w:lang w:bidi="ar-JO"/>
        </w:rPr>
        <w:t xml:space="preserve">يتعلق القسم الرئيسي الأول (الأصحاحات 1-11) بالعبودية في مصر، موثِّقاً ما حُرِّرت إسرائيل منه.  ويركز الأصحاح الأول على حالة الظلم التي عاشتها إسرائيل، وتفصّل الأصحاحات 2-4 كيف يقيم الله موسى ليحرر العبرانيين.  وتتحدث الأصحاحات 5-11 عن ترسيخ الله سيادته على مصر كتمهيد لتحرير إسرائيل.  </w:t>
      </w:r>
    </w:p>
    <w:p w14:paraId="3BEAE5A9" w14:textId="77777777" w:rsidR="00B35650" w:rsidRPr="00C7130A"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3D794C54" w14:textId="77777777" w:rsidR="00B35650" w:rsidRPr="00C7130A" w:rsidRDefault="00B35650" w:rsidP="000558B7">
      <w:pPr>
        <w:pStyle w:val="Heading3"/>
        <w:rPr>
          <w:rtl/>
          <w:lang w:bidi="ar-JO"/>
        </w:rPr>
      </w:pPr>
      <w:bookmarkStart w:id="165" w:name="_Toc193030976"/>
      <w:r w:rsidRPr="00C7130A">
        <w:rPr>
          <w:rtl/>
          <w:lang w:bidi="ar-JO"/>
        </w:rPr>
        <w:t>2.</w:t>
      </w:r>
      <w:r w:rsidRPr="00C7130A">
        <w:rPr>
          <w:rtl/>
          <w:lang w:bidi="ar-JO"/>
        </w:rPr>
        <w:tab/>
        <w:t>اضطهاد العبرانيين (1: 1-22)</w:t>
      </w:r>
      <w:bookmarkEnd w:id="165"/>
    </w:p>
    <w:p w14:paraId="7171F460" w14:textId="77777777" w:rsidR="00B35650" w:rsidRPr="00C7130A" w:rsidRDefault="00B35650" w:rsidP="002252B7">
      <w:pPr>
        <w:rPr>
          <w:rtl/>
          <w:lang w:bidi="ar-JO"/>
        </w:rPr>
      </w:pPr>
      <w:r w:rsidRPr="00C7130A">
        <w:rPr>
          <w:rtl/>
          <w:lang w:bidi="ar-JO"/>
        </w:rPr>
        <w:t>بعد ختام سفر التكوين بقي بنو إسرائيل في مصر مدة 400 سنة.  وعلى الرغم من أنهم كانوا يلقون معاملة طيبة أثناء حياة يوسف، إلا أنهم استُعبدوا في نهاية الأمر.  لكن حتى في ذلك الحين، كانت مقاصد الله تتحقق في أنهم كانوا يتكاثرون حتى أصبحوا شعباً كثير العدد.  وهذا هو ما ينبّر عليه الأصحاح الأول في الآيات 7 و12 و20.  يقول كاسوتو:  "يعاد التوكيد على الفكرة الرئيسية في نهاية كل فقرة، وهي أنه رغم جهود كل أعداء إسرائيل، فإن البركة التي يمنحها لهم الله العلي تتحقق فيهم بشكل يؤكدها وتجعلهم ينمون بشكل متزايد عدداً وقوة."</w:t>
      </w:r>
      <w:r w:rsidRPr="00C7130A">
        <w:rPr>
          <w:sz w:val="30"/>
          <w:szCs w:val="28"/>
          <w:vertAlign w:val="superscript"/>
          <w:rtl/>
          <w:lang w:bidi="ar-JO"/>
        </w:rPr>
        <w:footnoteReference w:customMarkFollows="1" w:id="49"/>
        <w:t>2</w:t>
      </w:r>
      <w:r w:rsidRPr="00C7130A">
        <w:rPr>
          <w:rtl/>
          <w:lang w:bidi="ar-JO"/>
        </w:rPr>
        <w:t xml:space="preserve">  وعلى الرغم من أنهم استعبدوا إلاّ أنهم ظلّوا متميزين وتكاثروا جداً.  وصاروا الآن جاهزين لأن يشكّلوا أمّة!</w:t>
      </w:r>
    </w:p>
    <w:p w14:paraId="3BB8FA1E" w14:textId="77777777" w:rsidR="00B35650" w:rsidRPr="00C7130A" w:rsidRDefault="00B35650" w:rsidP="002252B7">
      <w:pPr>
        <w:rPr>
          <w:rtl/>
          <w:lang w:bidi="ar-JO"/>
        </w:rPr>
      </w:pPr>
    </w:p>
    <w:p w14:paraId="42601276" w14:textId="389D3189" w:rsidR="00B35650" w:rsidRPr="00C7130A" w:rsidRDefault="00B35650" w:rsidP="002252B7">
      <w:pPr>
        <w:rPr>
          <w:rtl/>
          <w:lang w:bidi="ar-JO"/>
        </w:rPr>
      </w:pPr>
      <w:r w:rsidRPr="00C7130A">
        <w:rPr>
          <w:rtl/>
          <w:lang w:bidi="ar-JO"/>
        </w:rPr>
        <w:t>ينصب كل المشهد في الأصحاحات 1-11 على مسألة العهد الإبراهيمي (لاحظ على وجه الخصوص 2: 24-25).  ويُعِد</w:t>
      </w:r>
      <w:r w:rsidR="001E0CC1" w:rsidRPr="00C7130A">
        <w:rPr>
          <w:rtl/>
          <w:lang w:bidi="ar-JO"/>
        </w:rPr>
        <w:t>ّ</w:t>
      </w:r>
      <w:r w:rsidRPr="00C7130A">
        <w:rPr>
          <w:rtl/>
          <w:lang w:bidi="ar-JO"/>
        </w:rPr>
        <w:t xml:space="preserve"> الأصحاح الأول المسرح الذي سيُكرم منه الله العهد الإبراهيمي (بالإضافة إلى تحقيق تكوين 15: 13-15).</w:t>
      </w:r>
    </w:p>
    <w:p w14:paraId="7AB1103B" w14:textId="77777777" w:rsidR="00B35650" w:rsidRPr="00C7130A" w:rsidRDefault="00B35650" w:rsidP="002252B7">
      <w:pPr>
        <w:rPr>
          <w:lang w:bidi="ar-JO"/>
        </w:rPr>
      </w:pPr>
      <w:r w:rsidRPr="00C7130A">
        <w:rPr>
          <w:rtl/>
          <w:lang w:bidi="ar-JO"/>
        </w:rPr>
        <w:t>ويجب أن نلحظ أيضاً التنبير في الفصل الأول على "العمل الشاق" الذي فُرض على بني إسرائيل و"الصرامة الشديدة" التي كانوا يُعامَلون بها (1: 13-14).  وفكرة العبودية مهيمنة على هذا الجزء.  وهذا أمر جدير بالملاحظة لأن سفر الخروج يصوغ عدّة أفكار كتابية رئيسية (خاصة العبودية للخطية، والفداء، والعهد).</w:t>
      </w:r>
    </w:p>
    <w:p w14:paraId="7CE82381" w14:textId="77777777" w:rsidR="009D4EAB" w:rsidRPr="00C7130A" w:rsidRDefault="009D4EAB" w:rsidP="002252B7">
      <w:pPr>
        <w:rPr>
          <w:rtl/>
          <w:lang w:bidi="ar-JO"/>
        </w:rPr>
      </w:pPr>
    </w:p>
    <w:p w14:paraId="75C89FB1" w14:textId="77777777" w:rsidR="00B35650" w:rsidRPr="00C7130A" w:rsidRDefault="00B35650" w:rsidP="000558B7">
      <w:pPr>
        <w:pStyle w:val="Heading3"/>
        <w:rPr>
          <w:rtl/>
          <w:lang w:bidi="ar-JO"/>
        </w:rPr>
      </w:pPr>
      <w:bookmarkStart w:id="166" w:name="_Toc193030977"/>
      <w:r w:rsidRPr="00C7130A">
        <w:rPr>
          <w:rtl/>
          <w:lang w:bidi="ar-JO"/>
        </w:rPr>
        <w:t>3.</w:t>
      </w:r>
      <w:r w:rsidRPr="00C7130A">
        <w:rPr>
          <w:rtl/>
          <w:lang w:bidi="ar-JO"/>
        </w:rPr>
        <w:tab/>
        <w:t>إقامة الله لموسى المنقذ (2: 1-4: 31)</w:t>
      </w:r>
      <w:bookmarkEnd w:id="166"/>
    </w:p>
    <w:p w14:paraId="2CA337AC"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تتطلب المرحلة التالية في إخراج الشعب من العبودية إقامة منقذ، أي موسى [حوالي 1526-1406ق م].</w:t>
      </w:r>
    </w:p>
    <w:p w14:paraId="0C9B8A65"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4618EE0D" w14:textId="77777777" w:rsidR="00B35650" w:rsidRPr="002252B7" w:rsidRDefault="00B35650" w:rsidP="00C7130A">
      <w:pPr>
        <w:tabs>
          <w:tab w:val="left" w:pos="454"/>
        </w:tabs>
        <w:spacing w:after="60"/>
        <w:ind w:left="550" w:hanging="550"/>
        <w:jc w:val="both"/>
        <w:rPr>
          <w:rFonts w:eastAsia="Times New Roman"/>
          <w:bCs/>
          <w:kern w:val="0"/>
          <w:rtl/>
          <w14:ligatures w14:val="none"/>
        </w:rPr>
      </w:pPr>
      <w:r w:rsidRPr="002252B7">
        <w:rPr>
          <w:rFonts w:eastAsia="Times New Roman"/>
          <w:bCs/>
          <w:kern w:val="0"/>
          <w:rtl/>
          <w14:ligatures w14:val="none"/>
        </w:rPr>
        <w:t>أ.</w:t>
      </w:r>
      <w:r w:rsidRPr="002252B7">
        <w:rPr>
          <w:rFonts w:eastAsia="Times New Roman"/>
          <w:bCs/>
          <w:kern w:val="0"/>
          <w:rtl/>
          <w14:ligatures w14:val="none"/>
        </w:rPr>
        <w:tab/>
        <w:t>خلفية موسى (2: 1- 22)</w:t>
      </w:r>
    </w:p>
    <w:p w14:paraId="45714CC0"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lastRenderedPageBreak/>
        <w:t>تدرّب موسى 80 سنة وخدم مدة 40 (أعمال 7: 23؛ خروج 7: 7).  وقد تضمن تدريبه قضاء 40 سنة في بلاط فرعون:  "</w:t>
      </w:r>
      <w:r w:rsidRPr="002252B7">
        <w:rPr>
          <w:rFonts w:eastAsia="Times New Roman"/>
          <w:i/>
          <w:iCs/>
          <w:kern w:val="0"/>
          <w:rtl/>
          <w:lang w:bidi="ar-JO"/>
          <w14:ligatures w14:val="none"/>
        </w:rPr>
        <w:t>فتهذب موسى بكل حكمة المصريين</w:t>
      </w:r>
      <w:r w:rsidRPr="002252B7">
        <w:rPr>
          <w:rFonts w:eastAsia="Times New Roman"/>
          <w:kern w:val="0"/>
          <w:rtl/>
          <w:lang w:bidi="ar-JO"/>
          <w14:ligatures w14:val="none"/>
        </w:rPr>
        <w:t>"  (أعمال 7: 22).  وفي نهاية الأمر اضطر إلى مواجهة خيار هويته.  نقرأ في 2: 10 أنه "</w:t>
      </w:r>
      <w:r w:rsidRPr="002252B7">
        <w:rPr>
          <w:rFonts w:eastAsia="Times New Roman"/>
          <w:i/>
          <w:iCs/>
          <w:kern w:val="0"/>
          <w:rtl/>
          <w:lang w:bidi="ar-JO"/>
          <w14:ligatures w14:val="none"/>
        </w:rPr>
        <w:t>صار لها ابناً</w:t>
      </w:r>
      <w:r w:rsidRPr="002252B7">
        <w:rPr>
          <w:rFonts w:eastAsia="Times New Roman"/>
          <w:kern w:val="0"/>
          <w:rtl/>
          <w:lang w:bidi="ar-JO"/>
          <w14:ligatures w14:val="none"/>
        </w:rPr>
        <w:t>"، أي أن ابنة فرعون كانت مستعدة أن تعطي موسى كل حقوق الميراث وامتيازاته.  ولا بد أن تعيينه وريثاً عنى مسؤوليات معينة في البلاط الملكي، التي كان يمكن بدورها أن تجرّه إلى ممارسات دنيوية ودينية كثيرة آثمة.  كان أمام موسى الخيار بين أن يكون إدارياً دنيوياً وبين أن يكون إدارياً ثيوقراطياً.  فرفض موسى الخيار الأول كما توضح عبرانيين 11: 24-25: "</w:t>
      </w:r>
      <w:r w:rsidRPr="002252B7">
        <w:rPr>
          <w:rFonts w:eastAsia="Times New Roman"/>
          <w:i/>
          <w:iCs/>
          <w:kern w:val="0"/>
          <w:rtl/>
          <w:lang w:bidi="ar-JO"/>
          <w14:ligatures w14:val="none"/>
        </w:rPr>
        <w:t>بالإيمان موسى لما كبر أبى أن يدعى ابن ابنة فرعون، مفضلاً بالأحرى أن يذل مع شعب الله على أن يكون له تمتع وقتي بالخَطيّة</w:t>
      </w:r>
      <w:r w:rsidRPr="002252B7">
        <w:rPr>
          <w:rFonts w:eastAsia="Times New Roman"/>
          <w:kern w:val="0"/>
          <w:rtl/>
          <w:lang w:bidi="ar-JO"/>
          <w14:ligatures w14:val="none"/>
        </w:rPr>
        <w:t>."</w:t>
      </w:r>
    </w:p>
    <w:p w14:paraId="269A4E66"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8BE6112"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توجد بعض التشابهات المثيرة للاهتمام بين المخلّص موسى وبين "موسى الجديد."  فالله في سيادته يحفظ كليهما من ملك شرير يحاول أن يقتلهما (وبنفس الأسلوب في محاولة قتل كل الذكور الرُّضع).  ومن نسب عادي متواضع، يقيم الله فادياً مخلِّصاً! وكان لا بد أن يُخفى كلاهما؛ إذ قامت أم موسى بإخفائه في مصر، وقام أبوا يسوع الأرضيان بإخفائه في مصر.</w:t>
      </w:r>
    </w:p>
    <w:p w14:paraId="0A9EA3FE"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 xml:space="preserve">وحين رُزِق موسى بابن من صفّورة أسماه جرشوم (وهو يعني "غريب هناك"، </w:t>
      </w:r>
      <w:r w:rsidRPr="002252B7">
        <w:rPr>
          <w:rFonts w:eastAsia="Times New Roman"/>
          <w:i/>
          <w:iCs/>
          <w:kern w:val="0"/>
          <w:rtl/>
          <w:lang w:bidi="ar-JO"/>
          <w14:ligatures w14:val="none"/>
        </w:rPr>
        <w:t>قائلاً "كنت نزيلاً في أرضٍ غريبة."</w:t>
      </w:r>
      <w:r w:rsidRPr="002252B7">
        <w:rPr>
          <w:rFonts w:eastAsia="Times New Roman"/>
          <w:kern w:val="0"/>
          <w:rtl/>
          <w:lang w:bidi="ar-JO"/>
          <w14:ligatures w14:val="none"/>
        </w:rPr>
        <w:t xml:space="preserve"> يدرك موسى حقّه في الأرض التي وُعِد بها إبراهيم وأن هناك ضرورة لتحقيق العهد.  ومع تسمية ابنه، صار مستعداً لدعوة الله له.</w:t>
      </w:r>
    </w:p>
    <w:p w14:paraId="03060073"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84BDF99" w14:textId="77777777" w:rsidR="00B35650" w:rsidRPr="002252B7" w:rsidRDefault="00B35650" w:rsidP="00C7130A">
      <w:pPr>
        <w:tabs>
          <w:tab w:val="left" w:pos="454"/>
        </w:tabs>
        <w:spacing w:after="60"/>
        <w:ind w:left="550" w:hanging="550"/>
        <w:jc w:val="both"/>
        <w:rPr>
          <w:rFonts w:eastAsia="Times New Roman"/>
          <w:bCs/>
          <w:kern w:val="0"/>
          <w:rtl/>
          <w14:ligatures w14:val="none"/>
        </w:rPr>
      </w:pPr>
      <w:r w:rsidRPr="002252B7">
        <w:rPr>
          <w:rFonts w:eastAsia="Times New Roman"/>
          <w:bCs/>
          <w:kern w:val="0"/>
          <w:rtl/>
          <w14:ligatures w14:val="none"/>
        </w:rPr>
        <w:t>ب.</w:t>
      </w:r>
      <w:r w:rsidRPr="002252B7">
        <w:rPr>
          <w:rFonts w:eastAsia="Times New Roman"/>
          <w:bCs/>
          <w:kern w:val="0"/>
          <w:rtl/>
          <w14:ligatures w14:val="none"/>
        </w:rPr>
        <w:tab/>
        <w:t>دعوة موسى (2: 32-4: 17)</w:t>
      </w:r>
    </w:p>
    <w:p w14:paraId="31CD9D51"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لا توجد علاقة كبيرة بين ذكر موت الملك في 2: 23 وبين العبودية وصراخ بني إسرائيل، لكن هذه الآية توضح أنه بموت الملك الذي كان يسعى إلى قتل موسى، لم يعد هناك ما يمنع موسى من العودة إلى مصر.</w:t>
      </w:r>
    </w:p>
    <w:p w14:paraId="381907C4"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252B7">
        <w:rPr>
          <w:rFonts w:eastAsia="Times New Roman"/>
          <w:kern w:val="0"/>
          <w:rtl/>
          <w:lang w:bidi="ar-JO"/>
          <w14:ligatures w14:val="none"/>
        </w:rPr>
        <w:t>مع إدراك موسى أن المكان الصحيح لبني إسرائيل هو أرض الموعد، كان الله مستعداً أن يحقق وعد العهد (2: 23-25).  فالله لم ينس بني إسرائيل في مصر! فهم الشعب الذي ينوي أن ينفّذ من خلالهم برنامجه الإلهي.  وعلى الرغم من مرور مئات السنوات على هذا الشعب في أرض مصر، إلاّ أن هذا لم يبطل العهد.  لكن هذه الفترة المتوسطة قدّمت إسهاماً في البرنامج الإلهي</w:t>
      </w:r>
      <w:r w:rsidRPr="002252B7">
        <w:rPr>
          <w:rFonts w:eastAsia="Times New Roman"/>
          <w:kern w:val="0"/>
          <w:rtl/>
          <w14:ligatures w14:val="none"/>
        </w:rPr>
        <w:t>.</w:t>
      </w:r>
    </w:p>
    <w:p w14:paraId="334BADCA"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لا شك أن الكلمات الافتتاحية للأصحاح الثالث ذات معنى: "وأمّا موسى فكان يرعى الغنم..."  ربما لم يدرك مدى أهمية هذه المهمة العادية لدوره مستقبلاً كراعٍ لشعب الله.</w:t>
      </w:r>
    </w:p>
    <w:p w14:paraId="7956F213"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 xml:space="preserve">عندما يظهر الله لموسى في العلّيقة المشتعلة، فإنه يعرّف نفسه على أساس الوعد الإبراهيمي معبّراً عن رغبته في إعطاء الأرض لشعبه.  وبظهور العلّيقة المشتعلة، كان الله يقدّم إعلاناً عن </w:t>
      </w:r>
      <w:r w:rsidRPr="002252B7">
        <w:rPr>
          <w:rFonts w:eastAsia="Times New Roman"/>
          <w:i/>
          <w:iCs/>
          <w:kern w:val="0"/>
          <w:rtl/>
          <w:lang w:bidi="ar-JO"/>
          <w14:ligatures w14:val="none"/>
        </w:rPr>
        <w:t>الشكينة</w:t>
      </w:r>
      <w:r w:rsidRPr="002252B7">
        <w:rPr>
          <w:rFonts w:eastAsia="Times New Roman"/>
          <w:kern w:val="0"/>
          <w:rtl/>
          <w:lang w:bidi="ar-JO"/>
          <w14:ligatures w14:val="none"/>
        </w:rPr>
        <w:t xml:space="preserve"> (وهي كلمة تصف الحضور الإلهي في العالم).  كان قصد هذا هو أن يشير إلى أي إله هو (3: 5-"</w:t>
      </w:r>
      <w:r w:rsidRPr="002252B7">
        <w:rPr>
          <w:rFonts w:eastAsia="Times New Roman"/>
          <w:i/>
          <w:iCs/>
          <w:kern w:val="0"/>
          <w:rtl/>
          <w:lang w:bidi="ar-JO"/>
          <w14:ligatures w14:val="none"/>
        </w:rPr>
        <w:t>لا تقترب إلى ههنا</w:t>
      </w:r>
      <w:r w:rsidRPr="002252B7">
        <w:rPr>
          <w:rFonts w:eastAsia="Times New Roman"/>
          <w:kern w:val="0"/>
          <w:rtl/>
          <w:lang w:bidi="ar-JO"/>
          <w14:ligatures w14:val="none"/>
        </w:rPr>
        <w:t xml:space="preserve">.) ... إنه إله مجد.  كانت العلّيقة مجرّد مسكن </w:t>
      </w:r>
      <w:r w:rsidRPr="002252B7">
        <w:rPr>
          <w:rFonts w:eastAsia="Times New Roman"/>
          <w:kern w:val="0"/>
          <w:rtl/>
          <w:lang w:bidi="ar-JO"/>
          <w14:ligatures w14:val="none"/>
        </w:rPr>
        <w:lastRenderedPageBreak/>
        <w:t>مؤقت كما ستكون خيمة الاجتماع فيما بعد، لكن لم يستطع موسى أن يقترب لأن الله لم يكن قد قدّم بع</w:t>
      </w:r>
      <w:r w:rsidRPr="002252B7">
        <w:rPr>
          <w:rFonts w:eastAsia="Times New Roman"/>
          <w:kern w:val="0"/>
          <w:rtl/>
          <w14:ligatures w14:val="none"/>
        </w:rPr>
        <w:t>د</w:t>
      </w:r>
      <w:r w:rsidRPr="002252B7">
        <w:rPr>
          <w:rFonts w:eastAsia="Times New Roman"/>
          <w:kern w:val="0"/>
          <w:rtl/>
          <w:lang w:bidi="ar-JO"/>
          <w14:ligatures w14:val="none"/>
        </w:rPr>
        <w:t xml:space="preserve"> طريقة الوصول إليه.  وتشكل بقية سفر الخروج والعدد ويشوع تطبيق ما وعد به الله في 3: 8.</w:t>
      </w:r>
    </w:p>
    <w:p w14:paraId="1791BEFD"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ويتضح من الآية السادسة الغرض من الإعلان عن طريق العلّيقة المشتعلة، إذ نرى أن هذه هي طريقة الله في أن يُفهم شعبه أنه يعلم أحوالهم ويهتم بهم، وأنه مستمرٌ في تذكُّر العهد (2: 24-25).</w:t>
      </w:r>
    </w:p>
    <w:p w14:paraId="4D589B98"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u w:val="single"/>
          <w:rtl/>
          <w:lang w:bidi="ar-JO"/>
          <w14:ligatures w14:val="none"/>
        </w:rPr>
      </w:pPr>
    </w:p>
    <w:p w14:paraId="5B55EC16" w14:textId="77777777" w:rsidR="00B35650" w:rsidRPr="002252B7" w:rsidRDefault="00B35650" w:rsidP="00C7130A">
      <w:pPr>
        <w:tabs>
          <w:tab w:val="left" w:pos="454"/>
        </w:tabs>
        <w:spacing w:after="60"/>
        <w:jc w:val="both"/>
        <w:rPr>
          <w:rFonts w:eastAsia="Times New Roman"/>
          <w:bCs/>
          <w:kern w:val="0"/>
          <w:rtl/>
          <w:lang w:bidi="ar-JO"/>
          <w14:ligatures w14:val="none"/>
        </w:rPr>
      </w:pPr>
      <w:r w:rsidRPr="002252B7">
        <w:rPr>
          <w:rFonts w:eastAsia="Times New Roman"/>
          <w:bCs/>
          <w:kern w:val="0"/>
          <w:rtl/>
          <w:lang w:bidi="ar-JO"/>
          <w14:ligatures w14:val="none"/>
        </w:rPr>
        <w:t xml:space="preserve">الاسم الإلهي: يهوه </w:t>
      </w:r>
    </w:p>
    <w:p w14:paraId="0A4EE7FB"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 xml:space="preserve">لابدّ أن فكرة تحرير بني إسرائيل كانت أخباراً رائعة لموسى، لكنه تلقى على مضض فكرة أن يكون هو المحرّض على التحرير.  وهكذا يعد الله بأن يكون معه، ويعلن له نفسه بصفته "أنا من أنا" أو "أكون من أكون"، وهو أساس اسم يهوه (وكلا التعبيرين مصاغ من الفعل </w:t>
      </w:r>
      <w:r w:rsidRPr="002252B7">
        <w:rPr>
          <w:rFonts w:eastAsia="Times New Roman"/>
          <w:kern w:val="0"/>
          <w14:ligatures w14:val="none"/>
        </w:rPr>
        <w:t>hy`h* [h*y*h]</w:t>
      </w:r>
      <w:r w:rsidRPr="002252B7">
        <w:rPr>
          <w:rFonts w:eastAsia="Times New Roman"/>
          <w:kern w:val="0"/>
          <w:rtl/>
          <w:lang w:bidi="ar-JO"/>
          <w14:ligatures w14:val="none"/>
        </w:rPr>
        <w:t xml:space="preserve"> (هاياه)، الذي يعني "يكون").</w:t>
      </w:r>
      <w:r w:rsidRPr="002252B7">
        <w:rPr>
          <w:rFonts w:eastAsia="Times New Roman"/>
          <w:kern w:val="0"/>
          <w:vertAlign w:val="superscript"/>
          <w:rtl/>
          <w:lang w:bidi="ar-JO"/>
          <w14:ligatures w14:val="none"/>
        </w:rPr>
        <w:footnoteReference w:customMarkFollows="1" w:id="50"/>
        <w:t>3</w:t>
      </w:r>
      <w:r w:rsidRPr="002252B7">
        <w:rPr>
          <w:rFonts w:eastAsia="Times New Roman"/>
          <w:kern w:val="0"/>
          <w:rtl/>
          <w:lang w:bidi="ar-JO"/>
          <w14:ligatures w14:val="none"/>
        </w:rPr>
        <w:t xml:space="preserve"> ويؤكد هذا الاسم على استقلاله السيادي وعلاقته العهدية.  والاسم كشفٌ لطبيعته الأخلاقية.  وبهذه الطبيعة الأخلاقية، سيقوم بالسيطرة على التاريخ بشكل فاعل في انسجام مع عهده مع إبراهيم.</w:t>
      </w:r>
    </w:p>
    <w:p w14:paraId="10262F73"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3F70926"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وهكذا فإن هذا الاسم يرتبط بوعود الله وأمانته.  يقول كاسوتو: "وتوجد أيضاً فكرة متضمنة حول تنفيذ الوعود في هذا التفسير: أنا من أنا على الدوام، باقٍ أبداً على نفس الطبيعة؛ ولهذا فإني مخلص لكلمتي وأحققها...."</w:t>
      </w:r>
      <w:r w:rsidRPr="002252B7">
        <w:rPr>
          <w:rFonts w:eastAsia="Times New Roman"/>
          <w:kern w:val="0"/>
          <w:vertAlign w:val="superscript"/>
          <w:rtl/>
          <w:lang w:bidi="ar-JO"/>
          <w14:ligatures w14:val="none"/>
        </w:rPr>
        <w:footnoteReference w:customMarkFollows="1" w:id="51"/>
        <w:t>4</w:t>
      </w:r>
      <w:r w:rsidRPr="002252B7">
        <w:rPr>
          <w:rFonts w:eastAsia="Times New Roman"/>
          <w:kern w:val="0"/>
          <w:rtl/>
          <w:lang w:bidi="ar-JO"/>
          <w14:ligatures w14:val="none"/>
        </w:rPr>
        <w:t xml:space="preserve">  وهكذا يذكرنا اسم الله بأمانته والتزامه غير المتزعزع بوعوده وشعبه وعهوده! هذا هو كل ما سيقوله لشعبه عن نفسه: "أنا كائن" (أنا أكون).  لكن حين يجرؤون على العمل استجابة لأوامره وتعليماته، فإنهم سيجدون فعلاً أنه المعين الوفي الأمين أبداً لكلمته ... الذي يمكن الاعتماد عليه! وإذا كان هنالك قدر من عدم المحدودية في هذا الاسم، فإنه يهدف إلى أن يستحضر في أذهانهم فكرة أنه تماماً كما أعلن عن نفسه في الماضي، خاصةً للآباء.  وهو لا يقول إنه لا يريد أن يُعرف بشكل أكثر حميمية؛ لكنه كشف كل ما أراد أن يكشفه عن نفسه في هذه المرحلة.  ويتفق هذا مع الإعلان التدرّجي... حيث سيُكشف المزيد في الوقت المناسب.  [انظر التعليقات على 6: 3]  </w:t>
      </w:r>
    </w:p>
    <w:p w14:paraId="5726BD63"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مع مفاتحة موسى للعبرانيين بخطة الله المعلنة له، عليه أن يذكّرهم بأن يهوه يتصرف وفق العهد الإبراهيمي (انظر 3: 16).  عليه أن يطلعهم أولاً على واقعة الظهور الإلهي له، ثم على الأخبار السارة: "</w:t>
      </w:r>
      <w:r w:rsidRPr="002252B7">
        <w:rPr>
          <w:rFonts w:eastAsia="Times New Roman"/>
          <w:i/>
          <w:iCs/>
          <w:kern w:val="0"/>
          <w:rtl/>
          <w:lang w:bidi="ar-JO"/>
          <w14:ligatures w14:val="none"/>
        </w:rPr>
        <w:t>إني قد افتقدتكم</w:t>
      </w:r>
      <w:r w:rsidRPr="002252B7">
        <w:rPr>
          <w:rFonts w:eastAsia="Times New Roman"/>
          <w:kern w:val="0"/>
          <w:rtl/>
          <w:lang w:bidi="ar-JO"/>
          <w14:ligatures w14:val="none"/>
        </w:rPr>
        <w:t>."  "تهدف طريقة صياغة هذه الفقرة إلى أن توقظ في قلوب الشعب المستعبد في مصر حقيقة أن وقت الفداء قد حان."</w:t>
      </w:r>
      <w:r w:rsidRPr="002252B7">
        <w:rPr>
          <w:rFonts w:eastAsia="Times New Roman"/>
          <w:kern w:val="0"/>
          <w:vertAlign w:val="superscript"/>
          <w:rtl/>
          <w:lang w:bidi="ar-JO"/>
          <w14:ligatures w14:val="none"/>
        </w:rPr>
        <w:footnoteReference w:customMarkFollows="1" w:id="52"/>
        <w:t>5</w:t>
      </w:r>
      <w:r w:rsidRPr="002252B7">
        <w:rPr>
          <w:rFonts w:eastAsia="Times New Roman"/>
          <w:kern w:val="0"/>
          <w:rtl/>
          <w14:ligatures w14:val="none"/>
        </w:rPr>
        <w:t xml:space="preserve"> </w:t>
      </w:r>
      <w:r w:rsidRPr="002252B7">
        <w:rPr>
          <w:rFonts w:eastAsia="Times New Roman"/>
          <w:kern w:val="0"/>
          <w:rtl/>
          <w:lang w:bidi="ar-JO"/>
          <w14:ligatures w14:val="none"/>
        </w:rPr>
        <w:t xml:space="preserve"> في 4: 1-17 يقاوم موسى دعوة الله مقدماً ثلاثة اعتراضات:</w:t>
      </w:r>
    </w:p>
    <w:p w14:paraId="043C5CDB" w14:textId="77777777"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14:ligatures w14:val="none"/>
        </w:rPr>
      </w:pPr>
      <w:r w:rsidRPr="002252B7">
        <w:rPr>
          <w:rFonts w:eastAsia="Times New Roman"/>
          <w:kern w:val="0"/>
          <w:rtl/>
          <w:lang w:bidi="ar-JO"/>
          <w14:ligatures w14:val="none"/>
        </w:rPr>
        <w:lastRenderedPageBreak/>
        <w:t>1.</w:t>
      </w:r>
      <w:r w:rsidRPr="002252B7">
        <w:rPr>
          <w:rFonts w:eastAsia="Times New Roman"/>
          <w:kern w:val="0"/>
          <w:rtl/>
          <w:lang w:bidi="ar-JO"/>
          <w14:ligatures w14:val="none"/>
        </w:rPr>
        <w:tab/>
        <w:t>عدم ثقته من قبول الشعب له (4: 1-9)</w:t>
      </w:r>
    </w:p>
    <w:p w14:paraId="1AC2E187"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كان الجيل الأقدم منه يربطه ببلاط فرعون، أمّا جيل الشباب الذين لم يعرفوه فلن يرضوا بأن يتبعوا راعياً من الصحراء.  وردّاً على ذلك أعطاه الله "آيات إعجازية" (وهذا هو أول عرض للمعجزات في الكتاب المقدس) لكي يصادق على الرسول ورسالته (لاحظ في 4: 29-31 كيف أن الآية أو المعجزة ثانوية بالنسبة للكلمة التي أراده الله أن يوصلها).  عندما تعطى آيات (علامات) في الكتاب المقدس، فإنها تدل عادة على بدء برنامج جديد.  والعصا هنا ذات دلالة لأنها تبين "أن موسى ليس أقل من السحرة المصريين الذين يعرفون كيف يرقون الأفاعي ويجعلونها بلا حراك كالعصا، ثم يأمرونها فيما بعد أن تعود إلى حيويتها العادية فحسب، لكنها تبين أيضاً أنه قادر على فعل العمليات العكسية أيضاً، والتي هي أكثر إدهاشاً."</w:t>
      </w:r>
      <w:r w:rsidRPr="002252B7">
        <w:rPr>
          <w:rFonts w:eastAsia="Times New Roman"/>
          <w:kern w:val="0"/>
          <w:vertAlign w:val="superscript"/>
          <w:rtl/>
          <w:lang w:bidi="ar-JO"/>
          <w14:ligatures w14:val="none"/>
        </w:rPr>
        <w:footnoteReference w:customMarkFollows="1" w:id="53"/>
        <w:t>6</w:t>
      </w:r>
      <w:r w:rsidRPr="002252B7">
        <w:rPr>
          <w:rFonts w:eastAsia="Times New Roman"/>
          <w:kern w:val="0"/>
          <w:rtl/>
          <w:lang w:bidi="ar-JO"/>
          <w14:ligatures w14:val="none"/>
        </w:rPr>
        <w:t xml:space="preserve">  وكانت اليد البرصاء ذات دلالة أيضاً:</w:t>
      </w:r>
    </w:p>
    <w:p w14:paraId="4152B2B6"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2252B7">
        <w:rPr>
          <w:rFonts w:eastAsia="Times New Roman"/>
          <w:kern w:val="0"/>
          <w:rtl/>
          <w:lang w:bidi="ar-JO"/>
          <w14:ligatures w14:val="none"/>
        </w:rPr>
        <w:t>تنسجم هذه المعجزة أيضاً مع البيئة المصرية، إذ كان البرص منتشراً في مصر.  وبما أن البرص كان يعتبر مرضاً لا شفاء منه، فإن إزالته عن يد موسى عمل إعجازي تهدف إلى ترك انطباع عميق في نفوس كل الذين شهدوه.</w:t>
      </w:r>
      <w:r w:rsidRPr="002252B7">
        <w:rPr>
          <w:rFonts w:eastAsia="Times New Roman"/>
          <w:kern w:val="0"/>
          <w:vertAlign w:val="superscript"/>
          <w:rtl/>
          <w:lang w:bidi="ar-JO"/>
          <w14:ligatures w14:val="none"/>
        </w:rPr>
        <w:footnoteReference w:customMarkFollows="1" w:id="54"/>
        <w:t>7</w:t>
      </w:r>
    </w:p>
    <w:p w14:paraId="1C9ED293"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أمّا في ما يتعلق بمعجزة ماء النيل الذي تحوّل إلى دم، فيقول كاسوتو:</w:t>
      </w:r>
    </w:p>
    <w:p w14:paraId="14011ECE"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2252B7">
        <w:rPr>
          <w:rFonts w:eastAsia="Times New Roman"/>
          <w:kern w:val="0"/>
          <w:rtl/>
          <w:lang w:bidi="ar-JO"/>
          <w14:ligatures w14:val="none"/>
        </w:rPr>
        <w:t>اعتبر المصريون نهر النيل، وهو مصدر الحياة والخصب في أرض مصر، إلهاً. فكأن الله يقول لموسى:</w:t>
      </w:r>
      <w:r w:rsidRPr="002252B7">
        <w:rPr>
          <w:rFonts w:eastAsia="Times New Roman"/>
          <w:kern w:val="0"/>
          <w:rtl/>
          <w14:ligatures w14:val="none"/>
        </w:rPr>
        <w:t xml:space="preserve"> </w:t>
      </w:r>
      <w:r w:rsidRPr="002252B7">
        <w:rPr>
          <w:rFonts w:eastAsia="Times New Roman"/>
          <w:kern w:val="0"/>
          <w:rtl/>
          <w:lang w:bidi="ar-JO"/>
          <w14:ligatures w14:val="none"/>
        </w:rPr>
        <w:t>إذا أريت اخوتك أن الذي أرسلك يسود حتى على النيل، فسيرون في ذلك برهاناً واضحاً على أنه قادر على التغلب على كل القوات التي تقف إلى جانب مصر، بمن في ذلك أولئك الذين يُعتَبرون آلهة، ولن يعودوا يشكّون في مهمّتك.</w:t>
      </w:r>
      <w:r w:rsidRPr="002252B7">
        <w:rPr>
          <w:rFonts w:eastAsia="Times New Roman"/>
          <w:kern w:val="0"/>
          <w:vertAlign w:val="superscript"/>
          <w:rtl/>
          <w:lang w:bidi="ar-JO"/>
          <w14:ligatures w14:val="none"/>
        </w:rPr>
        <w:footnoteReference w:customMarkFollows="1" w:id="55"/>
        <w:t>8</w:t>
      </w:r>
    </w:p>
    <w:p w14:paraId="0A0790AB" w14:textId="77777777"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2.</w:t>
      </w:r>
      <w:r w:rsidRPr="002252B7">
        <w:rPr>
          <w:rFonts w:eastAsia="Times New Roman"/>
          <w:kern w:val="0"/>
          <w:rtl/>
          <w:lang w:bidi="ar-JO"/>
          <w14:ligatures w14:val="none"/>
        </w:rPr>
        <w:tab/>
        <w:t>إدّعاء موسى بأنه غير قادر على الكلام والتواصل (4: 10-12)</w:t>
      </w:r>
    </w:p>
    <w:p w14:paraId="5F459CB4"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 xml:space="preserve">لنلاحظ أن الوعد في الآية 12 هو </w:t>
      </w:r>
      <w:r w:rsidRPr="002252B7">
        <w:rPr>
          <w:rFonts w:eastAsia="Times New Roman"/>
          <w:i/>
          <w:iCs/>
          <w:kern w:val="0"/>
          <w:rtl/>
          <w:lang w:bidi="ar-JO"/>
          <w14:ligatures w14:val="none"/>
        </w:rPr>
        <w:t>رسالة</w:t>
      </w:r>
      <w:r w:rsidRPr="002252B7">
        <w:rPr>
          <w:rFonts w:eastAsia="Times New Roman"/>
          <w:kern w:val="0"/>
          <w:rtl/>
          <w:lang w:bidi="ar-JO"/>
          <w14:ligatures w14:val="none"/>
        </w:rPr>
        <w:t>، مشيراً بذلك إلى أن المشكلة ليست مشكلة نُطق، لكنها مشكلة غياب الرسالة.</w:t>
      </w:r>
    </w:p>
    <w:p w14:paraId="0C998228"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7822E70F" w14:textId="77777777"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3.</w:t>
      </w:r>
      <w:r w:rsidRPr="002252B7">
        <w:rPr>
          <w:rFonts w:eastAsia="Times New Roman"/>
          <w:kern w:val="0"/>
          <w:rtl/>
          <w:lang w:bidi="ar-JO"/>
          <w14:ligatures w14:val="none"/>
        </w:rPr>
        <w:tab/>
        <w:t>عدم الرغبة أو الاستعداد (4: 13-17)</w:t>
      </w:r>
    </w:p>
    <w:p w14:paraId="6E0722EE"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 xml:space="preserve">الاعتراض الثالث هو أكثرها خطورة: فهو لا يرغب حقاً في الذهاب.  وقد أثار هذا غضب الله.  ونتيجة لذلك عيّن هارون مساعداً له (وهو قرار سيندم عليه موسى فيما بعد).  وقد حدد الله دوري موسى وهارون "وأنت تكون له إلهاً (كإله)" (الآية 16)، لتحديد قناة الرسالة الإلهية (الله </w:t>
      </w:r>
      <w:r w:rsidRPr="002252B7">
        <w:rPr>
          <w:rFonts w:eastAsia="Times New Roman"/>
          <w:kern w:val="0"/>
          <w:lang w:bidi="ar-JO"/>
          <w14:ligatures w14:val="none"/>
        </w:rPr>
        <w:sym w:font="Wingdings" w:char="F0DF"/>
      </w:r>
      <w:r w:rsidRPr="002252B7">
        <w:rPr>
          <w:rFonts w:eastAsia="Times New Roman"/>
          <w:kern w:val="0"/>
          <w:rtl/>
          <w:lang w:bidi="ar-JO"/>
          <w14:ligatures w14:val="none"/>
        </w:rPr>
        <w:t xml:space="preserve"> موسى </w:t>
      </w:r>
      <w:r w:rsidRPr="002252B7">
        <w:rPr>
          <w:rFonts w:eastAsia="Times New Roman"/>
          <w:kern w:val="0"/>
          <w:lang w:bidi="ar-JO"/>
          <w14:ligatures w14:val="none"/>
        </w:rPr>
        <w:sym w:font="Wingdings" w:char="F0DF"/>
      </w:r>
      <w:r w:rsidRPr="002252B7">
        <w:rPr>
          <w:rFonts w:eastAsia="Times New Roman"/>
          <w:kern w:val="0"/>
          <w:rtl/>
          <w:lang w:bidi="ar-JO"/>
          <w14:ligatures w14:val="none"/>
        </w:rPr>
        <w:t>هارون).</w:t>
      </w:r>
    </w:p>
    <w:p w14:paraId="22D407AA"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3B36BA55" w14:textId="77777777" w:rsidR="00B35650" w:rsidRPr="002252B7" w:rsidRDefault="00B35650" w:rsidP="00C7130A">
      <w:pPr>
        <w:tabs>
          <w:tab w:val="left" w:pos="454"/>
        </w:tabs>
        <w:spacing w:after="60"/>
        <w:ind w:left="550" w:hanging="550"/>
        <w:jc w:val="both"/>
        <w:rPr>
          <w:rFonts w:eastAsia="Times New Roman"/>
          <w:bCs/>
          <w:kern w:val="0"/>
          <w:rtl/>
          <w14:ligatures w14:val="none"/>
        </w:rPr>
      </w:pPr>
      <w:r w:rsidRPr="002252B7">
        <w:rPr>
          <w:rFonts w:eastAsia="Times New Roman"/>
          <w:bCs/>
          <w:kern w:val="0"/>
          <w:rtl/>
          <w14:ligatures w14:val="none"/>
        </w:rPr>
        <w:t>جـ.</w:t>
      </w:r>
      <w:r w:rsidRPr="002252B7">
        <w:rPr>
          <w:rFonts w:eastAsia="Times New Roman"/>
          <w:bCs/>
          <w:kern w:val="0"/>
          <w:rtl/>
          <w14:ligatures w14:val="none"/>
        </w:rPr>
        <w:tab/>
        <w:t>العودة إلى مصر (4: 18-31)</w:t>
      </w:r>
    </w:p>
    <w:p w14:paraId="3D9723D9"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أوشك الرب أن يقتل موسى وهو في طريقه إلى مصر.  وقد غضب الله من موسى بسبب مسألة ختّان ابنه، ويبدو أن موسى كان يتّبع رغبات زوجته بدلاً من أمر الرب في هذا الأمر (انظر تكوين 17: 14).  كانت هذه مسؤولية موسى، وعدم القيام بختن ابنه كان علامة على عدم الأمانة نحو العهد وعدم الإيمان به.  والفكرة هنا هي أنه كانت لموسى التزامات تجاه العهد، ولم يكن حتى موسى معفياً منها!</w:t>
      </w:r>
    </w:p>
    <w:p w14:paraId="6A4714EB"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3FA7A73" w14:textId="77777777" w:rsidR="00B35650" w:rsidRPr="00C7130A" w:rsidRDefault="00B35650" w:rsidP="000558B7">
      <w:pPr>
        <w:pStyle w:val="Heading3"/>
        <w:rPr>
          <w:rtl/>
          <w:lang w:bidi="ar-JO"/>
        </w:rPr>
      </w:pPr>
      <w:bookmarkStart w:id="167" w:name="_Toc193030978"/>
      <w:r w:rsidRPr="00C7130A">
        <w:rPr>
          <w:rtl/>
          <w:lang w:bidi="ar-JO"/>
        </w:rPr>
        <w:t>4.</w:t>
      </w:r>
      <w:r w:rsidRPr="00C7130A">
        <w:rPr>
          <w:rtl/>
          <w:lang w:bidi="ar-JO"/>
        </w:rPr>
        <w:tab/>
        <w:t>سيادة يهوه على مصر (5: 1-11: 10)</w:t>
      </w:r>
      <w:bookmarkEnd w:id="167"/>
    </w:p>
    <w:p w14:paraId="7B386A03" w14:textId="4600BA76" w:rsidR="00B35650" w:rsidRPr="00C7130A" w:rsidRDefault="00B35650" w:rsidP="002252B7">
      <w:pPr>
        <w:rPr>
          <w:rtl/>
          <w:lang w:bidi="ar-JO"/>
        </w:rPr>
      </w:pPr>
      <w:r w:rsidRPr="00C7130A">
        <w:rPr>
          <w:rtl/>
          <w:lang w:bidi="ar-JO"/>
        </w:rPr>
        <w:t xml:space="preserve">هذه الأصحاحات دروس في اللاهوت عن الله.  وهي تشرح من هو الله ولماذا يجب أن يخضع فرعون له.  يبدأ فرعون بطرح سؤال "من هو الرب؟" فأعلمه موسى معنى اسم الله، أي طبيعته الأخلاقية (7: 5، 17؛ 8: 22؛ 10: 2؛ 14: 4، 18؛ 16: 12؛ 29: </w:t>
      </w:r>
      <w:r w:rsidR="002252B7" w:rsidRPr="00C7130A">
        <w:rPr>
          <w:rFonts w:hint="cs"/>
          <w:rtl/>
          <w:lang w:bidi="ar-JO"/>
        </w:rPr>
        <w:t xml:space="preserve">46؛ </w:t>
      </w:r>
      <w:r w:rsidRPr="00C7130A">
        <w:rPr>
          <w:rtl/>
          <w:lang w:bidi="ar-JO"/>
        </w:rPr>
        <w:t>31: 13).</w:t>
      </w:r>
    </w:p>
    <w:p w14:paraId="3E47E5EF" w14:textId="77777777" w:rsidR="00B35650" w:rsidRPr="002252B7" w:rsidRDefault="00B35650" w:rsidP="00C7130A">
      <w:pPr>
        <w:tabs>
          <w:tab w:val="left" w:pos="454"/>
        </w:tabs>
        <w:spacing w:after="60"/>
        <w:ind w:left="550" w:hanging="550"/>
        <w:jc w:val="both"/>
        <w:rPr>
          <w:rFonts w:eastAsia="Times New Roman"/>
          <w:bCs/>
          <w:kern w:val="0"/>
          <w:sz w:val="48"/>
          <w:rtl/>
          <w14:ligatures w14:val="none"/>
        </w:rPr>
      </w:pPr>
      <w:r w:rsidRPr="002252B7">
        <w:rPr>
          <w:rFonts w:eastAsia="Times New Roman"/>
          <w:bCs/>
          <w:kern w:val="0"/>
          <w:sz w:val="48"/>
          <w:rtl/>
          <w14:ligatures w14:val="none"/>
        </w:rPr>
        <w:t>أ.</w:t>
      </w:r>
      <w:r w:rsidRPr="002252B7">
        <w:rPr>
          <w:rFonts w:eastAsia="Times New Roman"/>
          <w:bCs/>
          <w:kern w:val="0"/>
          <w:sz w:val="48"/>
          <w:rtl/>
          <w14:ligatures w14:val="none"/>
        </w:rPr>
        <w:tab/>
        <w:t>خطة الله لإعلان نفسه كيهوه (5: 1-7: 7)</w:t>
      </w:r>
    </w:p>
    <w:p w14:paraId="674CCA94" w14:textId="018218E2"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 xml:space="preserve">يبدأ هذا القسم بمواجهة أولية بين موسى وفرعون تُسهم في زيادة الصعوبات والمشقات على العبرانيين، مما أثار استياء العبرانيين.  ويوضح لنا النص أن فرعون لا يعرف اسم يهوه، فهو لا يعرف إلا تعبير "إله العبرانيين".  لم يعرف من هو هذا الإله الذي يطالبه بإطلاق العبرانيين." وفي غطرسته وجهله يسمّي </w:t>
      </w:r>
      <w:r w:rsidRPr="002252B7">
        <w:rPr>
          <w:rFonts w:eastAsia="Times New Roman"/>
          <w:i/>
          <w:iCs/>
          <w:kern w:val="0"/>
          <w:rtl/>
          <w:lang w:bidi="ar-JO"/>
          <w14:ligatures w14:val="none"/>
        </w:rPr>
        <w:t>الكلام الذي تكلم به الرب</w:t>
      </w:r>
      <w:r w:rsidRPr="002252B7">
        <w:rPr>
          <w:rFonts w:eastAsia="Times New Roman"/>
          <w:kern w:val="0"/>
          <w:rtl/>
          <w:lang w:bidi="ar-JO"/>
          <w14:ligatures w14:val="none"/>
        </w:rPr>
        <w:t xml:space="preserve"> ’كلام الكذب,</w:t>
      </w:r>
      <w:r w:rsidRPr="002252B7">
        <w:rPr>
          <w:rFonts w:eastAsia="Times New Roman"/>
          <w:kern w:val="0"/>
          <w:vertAlign w:val="superscript"/>
          <w:rtl/>
          <w:lang w:bidi="ar-JO"/>
          <w14:ligatures w14:val="none"/>
        </w:rPr>
        <w:footnoteReference w:customMarkFollows="1" w:id="56"/>
        <w:t>9</w:t>
      </w:r>
      <w:r w:rsidRPr="002252B7">
        <w:rPr>
          <w:rFonts w:eastAsia="Times New Roman"/>
          <w:kern w:val="0"/>
          <w:rtl/>
          <w:lang w:bidi="ar-JO"/>
          <w14:ligatures w14:val="none"/>
        </w:rPr>
        <w:t xml:space="preserve"> (5: 9).</w:t>
      </w:r>
    </w:p>
    <w:p w14:paraId="080477EB"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E793848"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252B7">
        <w:rPr>
          <w:rFonts w:eastAsia="Times New Roman"/>
          <w:kern w:val="0"/>
          <w:rtl/>
          <w:lang w:bidi="ar-JO"/>
          <w14:ligatures w14:val="none"/>
        </w:rPr>
        <w:t>يقدّم استياء اخوته العبرانيين المسحوقين خلفية ودلالة للإعلان الوشيك.  "فقد خاب أمل موسى أيضاً، وعبّر عن لومه (للرب)، لا لأن فرعون رفض أن ينصاع لطلبه، فقد كان مستعداً لهذا الأمر منذ البداية، بل لأنه علم أن تصرّفه الأولي جلب مصيبة جديدة على رؤوس إخوته المضطهدين."</w:t>
      </w:r>
      <w:r w:rsidRPr="002252B7">
        <w:rPr>
          <w:rFonts w:eastAsia="Times New Roman"/>
          <w:kern w:val="0"/>
          <w:vertAlign w:val="superscript"/>
          <w:rtl/>
          <w:lang w:bidi="ar-JO"/>
          <w14:ligatures w14:val="none"/>
        </w:rPr>
        <w:footnoteReference w:customMarkFollows="1" w:id="57"/>
        <w:t>10</w:t>
      </w:r>
    </w:p>
    <w:p w14:paraId="7B70E7B0"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تحيّر موسى وذهب إلى الرب ساعياً إلى جواب.  وتتركز مشورة الله لموسى (5: 22-6: 13) على العهد الإبراهيمي! فبعيداً عن العهد الإبراهيمي لا يوجد أي سبب يجعل الله يتحرك لتحرير العبرانيين.</w:t>
      </w:r>
    </w:p>
    <w:p w14:paraId="35753A5B"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وبصفته إيل شاداي (الله القدير)، فإن لديه القدرة على تحريرهم.  وبصفته يهوه، فقد كان وفياً وملتزماً أخلاقياً بإنقاذهم.  والفكرة من قوله في 6: 3: "</w:t>
      </w:r>
      <w:r w:rsidRPr="002252B7">
        <w:rPr>
          <w:rFonts w:eastAsia="Times New Roman"/>
          <w:i/>
          <w:iCs/>
          <w:kern w:val="0"/>
          <w:rtl/>
          <w:lang w:bidi="ar-JO"/>
          <w14:ligatures w14:val="none"/>
        </w:rPr>
        <w:t>وأمّا باسم يهوه فلم أُعرف عندهم</w:t>
      </w:r>
      <w:r w:rsidRPr="002252B7">
        <w:rPr>
          <w:rFonts w:eastAsia="Times New Roman"/>
          <w:kern w:val="0"/>
          <w:rtl/>
          <w:lang w:bidi="ar-JO"/>
          <w14:ligatures w14:val="none"/>
        </w:rPr>
        <w:t xml:space="preserve">"، هو أن الدلالة الخاصة لاسم يهوه لم تُظهر لهم بالطريقة </w:t>
      </w:r>
      <w:r w:rsidRPr="002252B7">
        <w:rPr>
          <w:rFonts w:eastAsia="Times New Roman"/>
          <w:kern w:val="0"/>
          <w:rtl/>
          <w:lang w:bidi="ar-JO"/>
          <w14:ligatures w14:val="none"/>
        </w:rPr>
        <w:lastRenderedPageBreak/>
        <w:t>التي سيوشك على إظهارها (لا أنه لم يُعترف به من قبل).  [انظر الملاحظات على 3: 13 فصاعداً].  لقد سبق أن أظهر نفسه في الطبيعة الأخلاقية بصفته إيل شاداي، لكن ليس في طبيعته الأخلاقية كيهوه (انظر الآيتين 3 و7)، خاصة في مجال القوة الفادية.</w:t>
      </w:r>
    </w:p>
    <w:p w14:paraId="6D4C92CB"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DA85881"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إن أحد الأعمدة الأساسية "للفرضية الوثائقية" (انظر الملاحظات حول تحليل المصادر -</w:t>
      </w:r>
      <w:r w:rsidRPr="002252B7">
        <w:rPr>
          <w:rFonts w:eastAsia="Times New Roman"/>
          <w:kern w:val="0"/>
          <w:rtl/>
          <w14:ligatures w14:val="none"/>
        </w:rPr>
        <w:t xml:space="preserve"> </w:t>
      </w:r>
      <w:r w:rsidRPr="002252B7">
        <w:rPr>
          <w:rFonts w:eastAsia="Times New Roman"/>
          <w:kern w:val="0"/>
          <w:rtl/>
          <w:lang w:bidi="ar-JO"/>
          <w14:ligatures w14:val="none"/>
        </w:rPr>
        <w:t>الدرس 12) مأخوذ من خروج 6 بسبب علاقته المفترضة بما يسمى "المصادر" المحدَّدة بالاستعمالات المختلفة لأسماء الله.  وليست الفكرة هنا أن اسم يهوه لم يكن معروفاً لبني إسرائيل القدماء، لكن إظهار طبيعته التي يعكسها اسم يهوه لم يكن واضحاً بعد.</w:t>
      </w:r>
      <w:r w:rsidRPr="002252B7">
        <w:rPr>
          <w:rFonts w:eastAsia="Times New Roman"/>
          <w:kern w:val="0"/>
          <w:vertAlign w:val="superscript"/>
          <w:rtl/>
          <w:lang w:bidi="ar-JO"/>
          <w14:ligatures w14:val="none"/>
        </w:rPr>
        <w:footnoteReference w:customMarkFollows="1" w:id="58"/>
        <w:t>11</w:t>
      </w:r>
    </w:p>
    <w:p w14:paraId="2E580FED"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 xml:space="preserve"> </w:t>
      </w:r>
    </w:p>
    <w:p w14:paraId="0367C062"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يجب أن نحرص على ملاحظة كلمة "أنقذ" (أفدي) في الآية السادسة.  إذ سيخرجهم الله من تحت العبودية، وسيحرّرهم، وسيفديهم.  هذه هي أول إشارة في الكتابة المقدس إلى افتداء الله لشعبه.  يشكّل عمل الفداء في الخروج خلفية فكرتنا عن الفداء في العهد الجديد.</w:t>
      </w:r>
    </w:p>
    <w:p w14:paraId="3E4C1571"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وإن الأمر مذهل بعد هذه المواجهة الجديدة الرائعة مع يهوه وتصاعد الوعود العظيمة، أن نقرأ في 6: 9 أن بني إسرائيل رفضوا الاستماع إلى موسى.  يقول كاسوتو:</w:t>
      </w:r>
    </w:p>
    <w:p w14:paraId="07DF5F7B"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i/>
          <w:iCs/>
          <w:kern w:val="0"/>
          <w:rtl/>
          <w14:ligatures w14:val="none"/>
        </w:rPr>
      </w:pPr>
      <w:r w:rsidRPr="002252B7">
        <w:rPr>
          <w:rFonts w:eastAsia="Times New Roman"/>
          <w:i/>
          <w:iCs/>
          <w:kern w:val="0"/>
          <w:rtl/>
          <w:lang w:bidi="ar-JO"/>
          <w14:ligatures w14:val="none"/>
        </w:rPr>
        <w:t>مرة أخرى يُسَد طريق موسى.  وهذا هو قدَر كل من ينشغل بمشروع فائق الأهمية ومحفوف بالمخاطر في نفس الوقت.  إنه يمر بلحظات انتصار ويمر أيضاً بنقيضها، لكن عظمته الحقيقية تظهر عندما لا يسمح لساعة الهزيمة أن تحوّله عن طريقه أو قضيته إلى اليأس من النجاح في نهاية الأمر.</w:t>
      </w:r>
      <w:r w:rsidRPr="002252B7">
        <w:rPr>
          <w:rFonts w:eastAsia="Times New Roman"/>
          <w:i/>
          <w:iCs/>
          <w:kern w:val="0"/>
          <w:vertAlign w:val="superscript"/>
          <w:rtl/>
          <w:lang w:bidi="ar-JO"/>
          <w14:ligatures w14:val="none"/>
        </w:rPr>
        <w:footnoteReference w:customMarkFollows="1" w:id="59"/>
        <w:t>12</w:t>
      </w:r>
    </w:p>
    <w:p w14:paraId="1F5E937B" w14:textId="10433576"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يتطلع إيراد سلسلة النسب في 6: 14-27 إلى اللاهوت اللاوي الآتي ويؤكد على إدخال موسى وهارون في هذا النسل الهام.  فدورهما في إعلان يهوه لنفسه وطبيعته الفدائية من خلال تقسي</w:t>
      </w:r>
      <w:r w:rsidR="001E0CC1" w:rsidRPr="002252B7">
        <w:rPr>
          <w:rFonts w:eastAsia="Times New Roman"/>
          <w:kern w:val="0"/>
          <w:rtl/>
          <w:lang w:bidi="ar-JO"/>
          <w14:ligatures w14:val="none"/>
        </w:rPr>
        <w:t>ة</w:t>
      </w:r>
      <w:r w:rsidRPr="002252B7">
        <w:rPr>
          <w:rFonts w:eastAsia="Times New Roman"/>
          <w:kern w:val="0"/>
          <w:rtl/>
          <w:lang w:bidi="ar-JO"/>
          <w14:ligatures w14:val="none"/>
        </w:rPr>
        <w:t xml:space="preserve"> فرعون كان عملاً كهنوتياً.</w:t>
      </w:r>
    </w:p>
    <w:p w14:paraId="0A4C8617"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يكشف لنا القسم 6: 28-7: 7 الخطة الإلهية لتقسية قلب فرعون بغرض الإكثار من آيات يهوه الإعجازية وعجائبه في مصر، مضخماً بهذا من عظمة عمله الفدائي.</w:t>
      </w:r>
    </w:p>
    <w:p w14:paraId="34C0E0DF" w14:textId="3679EB9D"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lastRenderedPageBreak/>
        <w:t>قبل الظهور السابق لموسى أمام فرعون، أخبر الله موسى أن فرعون لن يوافق على طلبه.  وهنا يقدم الله تحذيراً مسبقاً ثانياً. ويعكس التوكيد على طاعتهما في 7: 6 إدراكهما لـ 7: 3. إن من شأن عدم تردُّد فرعون أن يؤول إلى تقدّم مقاصد الله (قارن 6: 12، 13 بـ 7: 6).  لقد أخذا على ما يبدو يستوعبان خطة يهوه وضرورة رفض فرعون طلبهما كجزء من هذه الخطة.</w:t>
      </w:r>
    </w:p>
    <w:p w14:paraId="667F8D8C"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6661916" w14:textId="77777777" w:rsidR="00B35650" w:rsidRPr="002252B7" w:rsidRDefault="00B35650" w:rsidP="00C7130A">
      <w:pPr>
        <w:tabs>
          <w:tab w:val="left" w:pos="454"/>
        </w:tabs>
        <w:spacing w:after="60"/>
        <w:ind w:left="550" w:hanging="550"/>
        <w:jc w:val="both"/>
        <w:rPr>
          <w:rFonts w:eastAsia="Times New Roman"/>
          <w:bCs/>
          <w:kern w:val="0"/>
          <w:rtl/>
          <w14:ligatures w14:val="none"/>
        </w:rPr>
      </w:pPr>
      <w:r w:rsidRPr="002252B7">
        <w:rPr>
          <w:rFonts w:eastAsia="Times New Roman"/>
          <w:bCs/>
          <w:kern w:val="0"/>
          <w:rtl/>
          <w14:ligatures w14:val="none"/>
        </w:rPr>
        <w:t>ب.</w:t>
      </w:r>
      <w:r w:rsidRPr="002252B7">
        <w:rPr>
          <w:rFonts w:eastAsia="Times New Roman"/>
          <w:bCs/>
          <w:kern w:val="0"/>
          <w:rtl/>
          <w14:ligatures w14:val="none"/>
        </w:rPr>
        <w:tab/>
        <w:t>سكب الكوارث العشر (7: 8-11: 10)</w:t>
      </w:r>
    </w:p>
    <w:p w14:paraId="55DD4A0A" w14:textId="520A9F8B"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إن تقسية قلب الفرعون أمر ضروري لإعلان يهوه عن نفسه لكل من مصر وإسرائيل.  وسيظهر الله تفوقه بإرساله الكوارث العشر.  وليست هذه الكوارث لمجرد التسبب بإزعاج المصريين. بل أكثر من ذلك، تشكّل هذه الكوارث دينونة للعبادة المتعددة الآلهة وانغماس المصريين في الأمور الخارقة الشريرة (كأنواع السحر المختلفة).  لهذا يجب أن نقضي وقتاً كافياً في فهم هذه الكوارث في ضوء العبادة الدينية المصرية.</w:t>
      </w:r>
    </w:p>
    <w:p w14:paraId="256E54CD"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4B7F6EB"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إن المواجهة الأولية مع الأفعى- العصا إشارة يُفهم منها أن الكوارث ليست مجرّد عرض لألعاب نارية خارقة، إذ يقدر حتى سحرة المصريين أن يقوموا بما هو خارق.  ففي وسط مجتمع منشغل بالخوارق، كيف يستطيع الفرعون أن يميز يد الله؟ هذه هي المسألة كما يوضح بريفارد تشايلدز:</w:t>
      </w:r>
    </w:p>
    <w:p w14:paraId="708862EB"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2252B7">
        <w:rPr>
          <w:rFonts w:eastAsia="Times New Roman"/>
          <w:kern w:val="0"/>
          <w:rtl/>
          <w:lang w:bidi="ar-JO"/>
          <w14:ligatures w14:val="none"/>
        </w:rPr>
        <w:t>كيف يمكن لله أن يجعل فرعون يميز أن يده هي التي تعمل؟ لم يكن العنصر "الخارق" في حد ذاته كافياً.  إذ تبدو الآية الإلهية كحيلة بهلوانية رخيصة يمكن لمجموعة كبيرة من السحرة المصريين أن يقلّدوها ببساطة ظاهرة.</w:t>
      </w:r>
      <w:r w:rsidRPr="002252B7">
        <w:rPr>
          <w:rFonts w:eastAsia="Times New Roman"/>
          <w:kern w:val="0"/>
          <w:vertAlign w:val="superscript"/>
          <w:rtl/>
          <w:lang w:bidi="ar-JO"/>
          <w14:ligatures w14:val="none"/>
        </w:rPr>
        <w:footnoteReference w:customMarkFollows="1" w:id="60"/>
        <w:t>13</w:t>
      </w:r>
    </w:p>
    <w:p w14:paraId="3B47D180"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p>
    <w:p w14:paraId="4D3CE65A"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إن ما نجد</w:t>
      </w:r>
      <w:r w:rsidRPr="002252B7">
        <w:rPr>
          <w:rFonts w:eastAsia="Times New Roman"/>
          <w:kern w:val="0"/>
          <w:rtl/>
          <w14:ligatures w14:val="none"/>
        </w:rPr>
        <w:t>ه</w:t>
      </w:r>
      <w:r w:rsidRPr="002252B7">
        <w:rPr>
          <w:rFonts w:eastAsia="Times New Roman"/>
          <w:kern w:val="0"/>
          <w:rtl/>
          <w:lang w:bidi="ar-JO"/>
          <w14:ligatures w14:val="none"/>
        </w:rPr>
        <w:t xml:space="preserve"> هنا صراع قوة حقيقي، ويجب أن يظهر الله لا ما هو خارق فحسب، لكن سيادته على العالم فوق الطبيعي أيضاً.  لن يكتفي يهوه بالقيام بما هو خارق وغير طبيعي، بل سيفعل ما لا يقدرون أن يفعلوه، وسيوجه ضربة ساحقة للآلهة التي يعبدونها.  يتألّف عالم الديانة المصرية من عدد لا يُحصى من الآلهة، إذ كان هنالك ما لا يقل عن 80 إلهاً رئيسياً.  فكان نهر النيل والشمس من بين الآلهة الأكثر شهرة.  وكان </w:t>
      </w:r>
      <w:r w:rsidRPr="002252B7">
        <w:rPr>
          <w:rFonts w:eastAsia="Times New Roman"/>
          <w:kern w:val="0"/>
          <w:rtl/>
          <w14:ligatures w14:val="none"/>
        </w:rPr>
        <w:t>"</w:t>
      </w:r>
      <w:r w:rsidRPr="002252B7">
        <w:rPr>
          <w:rFonts w:eastAsia="Times New Roman"/>
          <w:kern w:val="0"/>
          <w:rtl/>
          <w:lang w:bidi="ar-JO"/>
          <w14:ligatures w14:val="none"/>
        </w:rPr>
        <w:t>رع</w:t>
      </w:r>
      <w:r w:rsidRPr="002252B7">
        <w:rPr>
          <w:rFonts w:eastAsia="Times New Roman"/>
          <w:kern w:val="0"/>
          <w:rtl/>
          <w14:ligatures w14:val="none"/>
        </w:rPr>
        <w:t>"</w:t>
      </w:r>
      <w:r w:rsidRPr="002252B7">
        <w:rPr>
          <w:rFonts w:eastAsia="Times New Roman"/>
          <w:kern w:val="0"/>
          <w:rtl/>
          <w:lang w:bidi="ar-JO"/>
          <w14:ligatures w14:val="none"/>
        </w:rPr>
        <w:t xml:space="preserve"> هو إله الشمس.  وأثناء فترة المملكة الجديدة في مصر صار </w:t>
      </w:r>
      <w:r w:rsidRPr="002252B7">
        <w:rPr>
          <w:rFonts w:eastAsia="Times New Roman"/>
          <w:kern w:val="0"/>
          <w:rtl/>
          <w14:ligatures w14:val="none"/>
        </w:rPr>
        <w:t>"</w:t>
      </w:r>
      <w:r w:rsidRPr="002252B7">
        <w:rPr>
          <w:rFonts w:eastAsia="Times New Roman"/>
          <w:kern w:val="0"/>
          <w:rtl/>
          <w:lang w:bidi="ar-JO"/>
          <w14:ligatures w14:val="none"/>
        </w:rPr>
        <w:t>رع</w:t>
      </w:r>
      <w:r w:rsidRPr="002252B7">
        <w:rPr>
          <w:rFonts w:eastAsia="Times New Roman"/>
          <w:kern w:val="0"/>
          <w:rtl/>
          <w14:ligatures w14:val="none"/>
        </w:rPr>
        <w:t>"</w:t>
      </w:r>
      <w:r w:rsidRPr="002252B7">
        <w:rPr>
          <w:rFonts w:eastAsia="Times New Roman"/>
          <w:kern w:val="0"/>
          <w:rtl/>
          <w:lang w:bidi="ar-JO"/>
          <w14:ligatures w14:val="none"/>
        </w:rPr>
        <w:t xml:space="preserve"> يسيطر على الديانة الوطنية بصفته إله الدولة، آمون- رع.</w:t>
      </w:r>
      <w:r w:rsidRPr="002252B7">
        <w:rPr>
          <w:rFonts w:eastAsia="Times New Roman"/>
          <w:kern w:val="0"/>
          <w:vertAlign w:val="superscript"/>
          <w:rtl/>
          <w:lang w:bidi="ar-JO"/>
          <w14:ligatures w14:val="none"/>
        </w:rPr>
        <w:footnoteReference w:customMarkFollows="1" w:id="61"/>
        <w:t>14</w:t>
      </w:r>
      <w:r w:rsidRPr="002252B7">
        <w:rPr>
          <w:rFonts w:eastAsia="Times New Roman"/>
          <w:kern w:val="0"/>
          <w:rtl/>
          <w:lang w:bidi="ar-JO"/>
          <w14:ligatures w14:val="none"/>
        </w:rPr>
        <w:t xml:space="preserve"> لكن النيل كان هاماً أيضاً:</w:t>
      </w:r>
    </w:p>
    <w:p w14:paraId="345DF625"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2252B7">
        <w:rPr>
          <w:rFonts w:eastAsia="Times New Roman"/>
          <w:kern w:val="0"/>
          <w:rtl/>
          <w:lang w:bidi="ar-JO"/>
          <w14:ligatures w14:val="none"/>
        </w:rPr>
        <w:lastRenderedPageBreak/>
        <w:t xml:space="preserve">أُدمجت الآلهة التي تشكّل تشخيصاً لقوى الطبيعة النباتية في إله يدعى أوزيريس، الذي كان إله النيل أيضاً.  وعلى مدى التاريخ المصري، تنافست هاتان القوتان اللتان حكمتا الكون، </w:t>
      </w:r>
      <w:r w:rsidRPr="002252B7">
        <w:rPr>
          <w:rFonts w:eastAsia="Times New Roman"/>
          <w:kern w:val="0"/>
          <w:rtl/>
          <w14:ligatures w14:val="none"/>
        </w:rPr>
        <w:t>"</w:t>
      </w:r>
      <w:r w:rsidRPr="002252B7">
        <w:rPr>
          <w:rFonts w:eastAsia="Times New Roman"/>
          <w:kern w:val="0"/>
          <w:rtl/>
          <w:lang w:bidi="ar-JO"/>
          <w14:ligatures w14:val="none"/>
        </w:rPr>
        <w:t>رع</w:t>
      </w:r>
      <w:r w:rsidRPr="002252B7">
        <w:rPr>
          <w:rFonts w:eastAsia="Times New Roman"/>
          <w:kern w:val="0"/>
          <w:rtl/>
          <w14:ligatures w14:val="none"/>
        </w:rPr>
        <w:t>"</w:t>
      </w:r>
      <w:r w:rsidRPr="002252B7">
        <w:rPr>
          <w:rFonts w:eastAsia="Times New Roman"/>
          <w:kern w:val="0"/>
          <w:rtl/>
          <w:lang w:bidi="ar-JO"/>
          <w14:ligatures w14:val="none"/>
        </w:rPr>
        <w:t xml:space="preserve"> و</w:t>
      </w:r>
      <w:r w:rsidRPr="002252B7">
        <w:rPr>
          <w:rFonts w:eastAsia="Times New Roman"/>
          <w:kern w:val="0"/>
          <w:rtl/>
          <w14:ligatures w14:val="none"/>
        </w:rPr>
        <w:t xml:space="preserve"> "</w:t>
      </w:r>
      <w:r w:rsidRPr="002252B7">
        <w:rPr>
          <w:rFonts w:eastAsia="Times New Roman"/>
          <w:kern w:val="0"/>
          <w:rtl/>
          <w:lang w:bidi="ar-JO"/>
          <w14:ligatures w14:val="none"/>
        </w:rPr>
        <w:t>أوزيريس"، أحدهما مع الآخر على مركز السيادة.</w:t>
      </w:r>
      <w:r w:rsidRPr="002252B7">
        <w:rPr>
          <w:rFonts w:eastAsia="Times New Roman"/>
          <w:kern w:val="0"/>
          <w:vertAlign w:val="superscript"/>
          <w:rtl/>
          <w:lang w:bidi="ar-JO"/>
          <w14:ligatures w14:val="none"/>
        </w:rPr>
        <w:footnoteReference w:customMarkFollows="1" w:id="62"/>
        <w:t>15</w:t>
      </w:r>
    </w:p>
    <w:p w14:paraId="13B8AF0E"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لم يكن تحويل النيل إلى دم وإعتام السماء مجرد نصر ليهوه، لكنه كان إهانة ما بعدها إهانة لهذا المجتمع الوثني.</w:t>
      </w:r>
    </w:p>
    <w:p w14:paraId="2F2055BF"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rtl/>
          <w:lang w:bidi="ar-JO"/>
          <w14:ligatures w14:val="none"/>
        </w:rPr>
        <w:t>لقد حققت الكوارث التي نزلت على مصر أكثر من موافقة فرعون على إخلاء سبيل العبرانيين.  فقد نزعت أيضاً المصداقية عن آلهة مصر وجعلت الفرعون يدرك أن يهوه متسيد.  وكانت هذه دروساً لإسرائيل أيضاً، خاصة في ما يخص أشكال عبادة الأوثان الباطلة.  يقول جون ديفيس: "استخدم الله هذه الكوارث لكي يبين قوّته الهائلة المهوب</w:t>
      </w:r>
      <w:r w:rsidRPr="002252B7">
        <w:rPr>
          <w:rFonts w:eastAsia="Times New Roman"/>
          <w:kern w:val="0"/>
          <w:rtl/>
          <w14:ligatures w14:val="none"/>
        </w:rPr>
        <w:t>ة</w:t>
      </w:r>
      <w:r w:rsidRPr="002252B7">
        <w:rPr>
          <w:rFonts w:eastAsia="Times New Roman"/>
          <w:kern w:val="0"/>
          <w:rtl/>
          <w:lang w:bidi="ar-JO"/>
          <w14:ligatures w14:val="none"/>
        </w:rPr>
        <w:t xml:space="preserve"> لا في افتداء شعبه من أرض مصر فحسب، بل أيضاً في قدرته على الاهتمام بهم ورعايتهم وسد حاجاتهم."</w:t>
      </w:r>
      <w:r w:rsidRPr="002252B7">
        <w:rPr>
          <w:rFonts w:eastAsia="Times New Roman"/>
          <w:kern w:val="0"/>
          <w:vertAlign w:val="superscript"/>
          <w:rtl/>
          <w:lang w:bidi="ar-JO"/>
          <w14:ligatures w14:val="none"/>
        </w:rPr>
        <w:footnoteReference w:customMarkFollows="1" w:id="63"/>
        <w:t>16</w:t>
      </w:r>
    </w:p>
    <w:p w14:paraId="068659EE"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B34B542" w14:textId="77777777" w:rsidR="00B35650" w:rsidRPr="002252B7" w:rsidRDefault="00B35650" w:rsidP="00C7130A">
      <w:pPr>
        <w:tabs>
          <w:tab w:val="left" w:pos="454"/>
        </w:tabs>
        <w:spacing w:after="60"/>
        <w:ind w:left="550" w:hanging="550"/>
        <w:jc w:val="both"/>
        <w:rPr>
          <w:rFonts w:eastAsia="Times New Roman"/>
          <w:bCs/>
          <w:kern w:val="0"/>
          <w:rtl/>
          <w14:ligatures w14:val="none"/>
        </w:rPr>
      </w:pPr>
      <w:r w:rsidRPr="002252B7">
        <w:rPr>
          <w:rFonts w:eastAsia="Times New Roman"/>
          <w:bCs/>
          <w:kern w:val="0"/>
          <w:rtl/>
          <w14:ligatures w14:val="none"/>
        </w:rPr>
        <w:t>ج.</w:t>
      </w:r>
      <w:r w:rsidRPr="002252B7">
        <w:rPr>
          <w:rFonts w:eastAsia="Times New Roman"/>
          <w:bCs/>
          <w:kern w:val="0"/>
          <w:rtl/>
          <w14:ligatures w14:val="none"/>
        </w:rPr>
        <w:tab/>
        <w:t>ملاحظات أخرى حول الكوارث</w:t>
      </w:r>
    </w:p>
    <w:p w14:paraId="601A8ED9"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u w:val="single"/>
          <w:rtl/>
          <w:lang w:bidi="ar-JO"/>
          <w14:ligatures w14:val="none"/>
        </w:rPr>
        <w:t>مقدّمة</w:t>
      </w:r>
      <w:r w:rsidRPr="002252B7">
        <w:rPr>
          <w:rFonts w:eastAsia="Times New Roman"/>
          <w:kern w:val="0"/>
          <w:rtl/>
          <w:lang w:bidi="ar-JO"/>
          <w14:ligatures w14:val="none"/>
        </w:rPr>
        <w:t>: تعكس الفقرات التي تتحدث عن الكوارث التي أنزلها الله بمصر بنية منسجمة.  ويمكن تقسيم الكوارث التسع الأولى إلى ثلاث دورات تتألف كل واحدة منها من ثلاث وحدات. "تحدث الكارثتان الأولى والثانية من كل دورة بعد أن يكون موسى قد حذّر فرعون؛ أمّا الثالثة فتأتي دون تحذير... وقبل كل كارثة من كل دورة يأمر موسى بأن يقف في الصباح أمام فرعون في العراء، أمّا قبل الكارثة الثانية فيؤمر أن يمثل أمام فرعون في قصره." (</w:t>
      </w:r>
      <w:r w:rsidRPr="002252B7">
        <w:rPr>
          <w:rFonts w:eastAsia="Times New Roman"/>
          <w:kern w:val="0"/>
          <w14:ligatures w14:val="none"/>
        </w:rPr>
        <w:t>Cassuto 92-3</w:t>
      </w:r>
      <w:r w:rsidRPr="002252B7">
        <w:rPr>
          <w:rFonts w:eastAsia="Times New Roman"/>
          <w:kern w:val="0"/>
          <w:rtl/>
          <w:lang w:bidi="ar-JO"/>
          <w14:ligatures w14:val="none"/>
        </w:rPr>
        <w:t>).  ويقول كاسوتو: "... من الواضح أننا أمام نص كتب أصلاً بتركيب متجانس، ولم يكن نتيجة صدفة تضمنت وضع أجزاء متنوعة من مصادر مختلفة جنباً إلى جنب." (93).</w:t>
      </w:r>
    </w:p>
    <w:p w14:paraId="75E70DFE"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u w:val="single"/>
          <w:rtl/>
          <w:lang w:bidi="ar-JO"/>
          <w14:ligatures w14:val="none"/>
        </w:rPr>
      </w:pPr>
    </w:p>
    <w:p w14:paraId="3C10D072"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252B7">
        <w:rPr>
          <w:rFonts w:eastAsia="Times New Roman"/>
          <w:kern w:val="0"/>
          <w:u w:val="single"/>
          <w:rtl/>
          <w:lang w:bidi="ar-JO"/>
          <w14:ligatures w14:val="none"/>
        </w:rPr>
        <w:t>تمهيد</w:t>
      </w:r>
      <w:r w:rsidRPr="002252B7">
        <w:rPr>
          <w:rFonts w:eastAsia="Times New Roman"/>
          <w:kern w:val="0"/>
          <w:rtl/>
          <w:lang w:bidi="ar-JO"/>
          <w14:ligatures w14:val="none"/>
        </w:rPr>
        <w:t xml:space="preserve"> (7: 8-13)</w:t>
      </w:r>
      <w:r w:rsidRPr="002252B7">
        <w:rPr>
          <w:rFonts w:eastAsia="Times New Roman"/>
          <w:kern w:val="0"/>
          <w:rtl/>
          <w14:ligatures w14:val="none"/>
        </w:rPr>
        <w:t xml:space="preserve"> </w:t>
      </w:r>
      <w:r w:rsidRPr="002252B7">
        <w:rPr>
          <w:rFonts w:eastAsia="Times New Roman"/>
          <w:kern w:val="0"/>
          <w:rtl/>
          <w:lang w:bidi="ar-JO"/>
          <w14:ligatures w14:val="none"/>
        </w:rPr>
        <w:t>تعارض التوراة كل أشكال السحر، لأنه يسعى إلى إجبار قوى الطبيعة والأرواح الشريرة وحتى الآلهة على تنفيذ إرادة الإنسان بعيداً عن الله.  وعلى الرغم من قدرة السحرة على القيام بالسحر، فإن إله إسرائيل متفوق عليها! وسيكون هذا درساً هاماً لمستقبل إسرائيل في كنعان.</w:t>
      </w:r>
    </w:p>
    <w:p w14:paraId="6C1972F6"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75C477F" w14:textId="77777777"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1.</w:t>
      </w:r>
      <w:r w:rsidRPr="002252B7">
        <w:rPr>
          <w:rFonts w:eastAsia="Times New Roman"/>
          <w:kern w:val="0"/>
          <w:rtl/>
          <w:lang w:bidi="ar-JO"/>
          <w14:ligatures w14:val="none"/>
        </w:rPr>
        <w:tab/>
      </w:r>
      <w:r w:rsidRPr="002252B7">
        <w:rPr>
          <w:rFonts w:eastAsia="Times New Roman"/>
          <w:i/>
          <w:iCs/>
          <w:kern w:val="0"/>
          <w:rtl/>
          <w:lang w:bidi="ar-JO"/>
          <w14:ligatures w14:val="none"/>
        </w:rPr>
        <w:t>الكارثة الأولى</w:t>
      </w:r>
      <w:r w:rsidRPr="002252B7">
        <w:rPr>
          <w:rFonts w:eastAsia="Times New Roman"/>
          <w:kern w:val="0"/>
          <w:rtl/>
          <w:lang w:bidi="ar-JO"/>
          <w14:ligatures w14:val="none"/>
        </w:rPr>
        <w:t xml:space="preserve"> (7: 14-25)</w:t>
      </w:r>
    </w:p>
    <w:p w14:paraId="1A2F9DFE"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تركز الكارثة الأولى على النيل، العامل الأكثر أهمية في رفاه مصر.  وحتى اليوم يسكن ما يزيد على 90% من سكان مصر ضمن مناطق قريبة جداً من نهر النيل، فالنيل هو شريان الحياة في مصر!</w:t>
      </w:r>
    </w:p>
    <w:p w14:paraId="2FCCDE5C"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lastRenderedPageBreak/>
        <w:t>يعتبر المصريون نهر النيل الذي يعطي أرض مصر خصبها إلهاً.  وكأن موسى يقول لفرعون: لكنك سترى يا فرعون أنني، بأمر إلهي الذي يهيمن على كل الأشياء، سأضرب هذا المخلوق "الإلهي</w:t>
      </w:r>
      <w:r w:rsidRPr="002252B7">
        <w:rPr>
          <w:rFonts w:eastAsia="Times New Roman"/>
          <w:kern w:val="0"/>
          <w:rtl/>
          <w14:ligatures w14:val="none"/>
        </w:rPr>
        <w:t>،</w:t>
      </w:r>
      <w:r w:rsidRPr="002252B7">
        <w:rPr>
          <w:rFonts w:eastAsia="Times New Roman"/>
          <w:kern w:val="0"/>
          <w:rtl/>
          <w:lang w:bidi="ar-JO"/>
          <w14:ligatures w14:val="none"/>
        </w:rPr>
        <w:t>" أي نهر النيل.  وبعد هذه الضربة ستتحلل طبيعته، ولن تعود مياهه مصدر بركة لمصر كالمعتاد (كاسوتو، 97).</w:t>
      </w:r>
    </w:p>
    <w:p w14:paraId="617B3507" w14:textId="77777777"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2.</w:t>
      </w:r>
      <w:r w:rsidRPr="002252B7">
        <w:rPr>
          <w:rFonts w:eastAsia="Times New Roman"/>
          <w:kern w:val="0"/>
          <w:rtl/>
          <w:lang w:bidi="ar-JO"/>
          <w14:ligatures w14:val="none"/>
        </w:rPr>
        <w:tab/>
        <w:t xml:space="preserve">الكارثة الثانية (8: 1-15) </w:t>
      </w:r>
    </w:p>
    <w:p w14:paraId="4EAE43EE"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كان استخدام الضفادع أمراً ذا دلالة في الحضارة المصرية.  يقول كاسوتو (101):</w:t>
      </w:r>
    </w:p>
    <w:p w14:paraId="0E70DB01"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 xml:space="preserve">نسب المصريون إلى الضفادع التي كانت تعج بها المياه بأعداد لا حصر لها قوة إلهية، واعتبروها رمزاً للخصب.  وكان يُعتقد أن إلهة من مجموعة الآلهة المصرية واسمها هِكِت، زوجة الإله خنوم، والتي تصوَّر على شكل امرأة لها رأس ضفدع، تنفخ نفَس الحياة في مناخير الأجساد، التي شكَّلها زوجها على دولاب الخزاف من تراب الأرض.... تهدف رواية التوراة إلى توصيل فكرة أن إله إسرائيل هو وحده الذي يحكم العالم، وهو وحده الذي يمنح مخلوقاته حسب إرادته القدرة على الخصب، وأن هذه الضفادع التي اعتبرها المصريون رمزاً للخصب بمكن أن تتحول، إذا شاء يهوه ذلك .... من رمز للبركة إلى رمز للآفة والتلف. </w:t>
      </w:r>
    </w:p>
    <w:p w14:paraId="1A8E6B2A"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4B1EDC4"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 xml:space="preserve">ستصبح فكرة "الخصب" هذه فكرة مهيمنة حال وجود إسرائيل في الأرض! وتتسم نتيجة الكارثة بالسخرية، عندما يدعو فرعون السحرة لاتخاذ إجراء ما.  فهم قادرون على زيادة الكارثة، لكنهم عاجزون عن إنهائها؛ ولا شك أن هذا أغضب فرعون.  هذه هي النقطة الهامّة: فالله الحقيقي وحده هو القادر على جلب الراحة المطلوبة ..." </w:t>
      </w:r>
      <w:r w:rsidRPr="002252B7">
        <w:rPr>
          <w:rFonts w:eastAsia="Times New Roman"/>
          <w:i/>
          <w:iCs/>
          <w:kern w:val="0"/>
          <w:rtl/>
          <w:lang w:bidi="ar-JO"/>
          <w14:ligatures w14:val="none"/>
        </w:rPr>
        <w:t>لكي تعرف أن ليس مثل الرب إلهنا</w:t>
      </w:r>
      <w:r w:rsidRPr="002252B7">
        <w:rPr>
          <w:rFonts w:eastAsia="Times New Roman"/>
          <w:kern w:val="0"/>
          <w:rtl/>
          <w:lang w:bidi="ar-JO"/>
          <w14:ligatures w14:val="none"/>
        </w:rPr>
        <w:t>"               (8: 10).</w:t>
      </w:r>
    </w:p>
    <w:p w14:paraId="18FB6B4C"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04FF617" w14:textId="7E50A951"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3.</w:t>
      </w:r>
      <w:r w:rsidRPr="002252B7">
        <w:rPr>
          <w:rFonts w:eastAsia="Times New Roman"/>
          <w:kern w:val="0"/>
          <w:rtl/>
          <w:lang w:bidi="ar-JO"/>
          <w14:ligatures w14:val="none"/>
        </w:rPr>
        <w:tab/>
        <w:t>الكارثة الثالثة: البعوض (8: 16-19)</w:t>
      </w:r>
    </w:p>
    <w:p w14:paraId="16A07BAB"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لا يوجد تحذير من الكارثة الثالثة أو أي مثول لموسى أمام الفرعون.  وإنه لأمر ذو دلالة أن السحرة مستعدون للإقرار بهزيمتهم بقولهم لفرعون: "</w:t>
      </w:r>
      <w:r w:rsidRPr="002252B7">
        <w:rPr>
          <w:rFonts w:eastAsia="Times New Roman"/>
          <w:i/>
          <w:iCs/>
          <w:kern w:val="0"/>
          <w:rtl/>
          <w:lang w:bidi="ar-JO"/>
          <w14:ligatures w14:val="none"/>
        </w:rPr>
        <w:t>هذا إصبع الله</w:t>
      </w:r>
      <w:r w:rsidRPr="002252B7">
        <w:rPr>
          <w:rFonts w:eastAsia="Times New Roman"/>
          <w:kern w:val="0"/>
          <w:rtl/>
          <w:lang w:bidi="ar-JO"/>
          <w14:ligatures w14:val="none"/>
        </w:rPr>
        <w:t>" (8: 19).  لكن لنلاحظ أنهم يقولون "الله" فقط، ولا يقولون "يهوه"؛ فهو اعتراف جزئي فقط.</w:t>
      </w:r>
    </w:p>
    <w:p w14:paraId="25B50227"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 xml:space="preserve">     </w:t>
      </w:r>
    </w:p>
    <w:p w14:paraId="2C204866" w14:textId="77777777"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4.</w:t>
      </w:r>
      <w:r w:rsidRPr="002252B7">
        <w:rPr>
          <w:rFonts w:eastAsia="Times New Roman"/>
          <w:kern w:val="0"/>
          <w:rtl/>
          <w:lang w:bidi="ar-JO"/>
          <w14:ligatures w14:val="none"/>
        </w:rPr>
        <w:tab/>
        <w:t>الكارثة الرابعة: حشرات (8: 20-32)</w:t>
      </w:r>
    </w:p>
    <w:p w14:paraId="6D863FE0"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إن إحدى السمات الملحوظة لهذه الكارثة هي التوكيد على التمييز بين شعب الرب والشعب المصري: "</w:t>
      </w:r>
      <w:r w:rsidRPr="002252B7">
        <w:rPr>
          <w:rFonts w:eastAsia="Times New Roman"/>
          <w:i/>
          <w:iCs/>
          <w:kern w:val="0"/>
          <w:rtl/>
          <w:lang w:bidi="ar-JO"/>
          <w14:ligatures w14:val="none"/>
        </w:rPr>
        <w:t>أجعل فرقاً بين شعبي وشعبك</w:t>
      </w:r>
      <w:r w:rsidRPr="002252B7">
        <w:rPr>
          <w:rFonts w:eastAsia="Times New Roman"/>
          <w:kern w:val="0"/>
          <w:rtl/>
          <w:lang w:bidi="ar-JO"/>
          <w14:ligatures w14:val="none"/>
        </w:rPr>
        <w:t xml:space="preserve">."  ويتعظم يهوه من خلال هذا.  ففي كل الأرض يتم كل شيء حسب إرادته، وشعبه مميز في نظره.  لكن فرعون مازال غير قادر على استيعاب حق الرب في الحكم المطلق: فعلى الرغم من أنه بدأ يتنازل عن حقوق (كالسماح لهم بالذهاب ليقدّموا ذبائح)، فإنه يحاول أن يقيّد هذا العمل، كما لو أنه ما زال من بيده القرار! </w:t>
      </w:r>
    </w:p>
    <w:p w14:paraId="524D77E0"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0FC9DD4" w14:textId="77777777"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5.</w:t>
      </w:r>
      <w:r w:rsidRPr="002252B7">
        <w:rPr>
          <w:rFonts w:eastAsia="Times New Roman"/>
          <w:kern w:val="0"/>
          <w:rtl/>
          <w:lang w:bidi="ar-JO"/>
          <w14:ligatures w14:val="none"/>
        </w:rPr>
        <w:tab/>
        <w:t>الكارثة الخامسة: وبأ شديد لقتل المواشي (9: 1-7)</w:t>
      </w:r>
    </w:p>
    <w:p w14:paraId="763F6C22"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إنه لأمر مثير للاهتمام أن نلاحظ أن "يد الله" هي التي تتهددهم بالخطر، بينما لاحظ السحرة في ما مضى "إصبع الله" (8: 19).  وفضلاً عن ذلك، يمتد التفريق بين الشعبين إلى مواشي إسرائيل، ولا يعطى الفرعون فرصة اختيار الوقت.</w:t>
      </w:r>
    </w:p>
    <w:p w14:paraId="7A24554D"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EE96794" w14:textId="777C8CF9"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6.</w:t>
      </w:r>
      <w:r w:rsidRPr="002252B7">
        <w:rPr>
          <w:rFonts w:eastAsia="Times New Roman"/>
          <w:kern w:val="0"/>
          <w:rtl/>
          <w:lang w:bidi="ar-JO"/>
          <w14:ligatures w14:val="none"/>
        </w:rPr>
        <w:tab/>
        <w:t>الكارثة السادسة: الدمامل (9: 8-12)</w:t>
      </w:r>
    </w:p>
    <w:p w14:paraId="3B37754D"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مرة أخرى لا يعطى تحذير من الكارثة الثالثة لهذه الدورة الثانية.  ويتعرض السحرة المرافقون لفرعون لهجوم عنيف: لم يعجزوا عن إزالة المرض من أرض مصر فقط، لكنهم لم يستطيعوا أن يحموا أنفسهم منه أيضاً، نجد هنا تطوّراً تدرُّجياً: لقد انتقلوا من المشاركة الفاعلة إلى الصمت، وهم الآن غير قادرين حتى على الوقوف بصمت!</w:t>
      </w:r>
    </w:p>
    <w:p w14:paraId="599BF153"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4E85DBA3" w14:textId="77777777"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7.</w:t>
      </w:r>
      <w:r w:rsidRPr="002252B7">
        <w:rPr>
          <w:rFonts w:eastAsia="Times New Roman"/>
          <w:kern w:val="0"/>
          <w:rtl/>
          <w:lang w:bidi="ar-JO"/>
          <w14:ligatures w14:val="none"/>
        </w:rPr>
        <w:tab/>
        <w:t>الكارثة السابعة: البَرَد (9: 13-35)</w:t>
      </w:r>
    </w:p>
    <w:p w14:paraId="0047D7EE" w14:textId="32CDB6CC"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هذه هي بداية الدورة الثالثة، وهي أكثر قسوة وحسماً من سابقتيها.  وهنا لا يمثل موسى أمام الفرعون ثانية فحسب، لكنه يجلب معه توبيخاً لاسعاً من الرب أيضاً.  ويعلن يهوه عن نيّته في استخدام المسألة كلها لكي يعلّم الأرض كلّها درساً: لا يوجد إله آخر مثله؛ ولا يوجد من يملك قوّته؛ وسينادى باسمه في كل الأرض.  ومن ناحية أخرى، يوبّخ الرب فرعون لأنه مستمر في تعظيم نفسه بعدم تواضعه أمام يهوه (9: 17).  ومع هذا الوبأ، يصل فرعون إلى نقطة الاعتراف (9: 27)، لكن هذا الاعتراف كان ناقصاً: "لكنه مازال متمسكاً بغطرسته ويرفض الاعتراف بخطاياه الأولى والكبيرة؛ ومن هنا فإنه يضيف: ’هذه المرة‘، كما لو أنه لم تكن له أية خطية أخرى تؤرق ضميره إلاّ رفضه في هذه المرة" (كاسوتو، 120).  وعلى الرغم من الخضوع الشكلي للفرعون، إلا أن موسى يتهمه قائلاً: "</w:t>
      </w:r>
      <w:r w:rsidRPr="002252B7">
        <w:rPr>
          <w:rFonts w:eastAsia="Times New Roman"/>
          <w:i/>
          <w:iCs/>
          <w:kern w:val="0"/>
          <w:rtl/>
          <w:lang w:bidi="ar-JO"/>
          <w14:ligatures w14:val="none"/>
        </w:rPr>
        <w:t>أنا أعلم أنكم لم تخشوا بعد من الرب الإله</w:t>
      </w:r>
      <w:r w:rsidRPr="002252B7">
        <w:rPr>
          <w:rFonts w:eastAsia="Times New Roman"/>
          <w:kern w:val="0"/>
          <w:rtl/>
          <w:lang w:bidi="ar-JO"/>
          <w14:ligatures w14:val="none"/>
        </w:rPr>
        <w:t>" (9: 30).  "على الرغم من أنك تخشى من قسوة الكارثة، وتخشى أيضاً بشكل عام من القوة الإلهية، إلاّ أنك لم تميّز بعد ولم تخش بعد الرب الإله، الرب الذي ندعوه باسم يهوه" (كاسوتو، 121).</w:t>
      </w:r>
    </w:p>
    <w:p w14:paraId="5F338586"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6964B22" w14:textId="77777777"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8.</w:t>
      </w:r>
      <w:r w:rsidRPr="002252B7">
        <w:rPr>
          <w:rFonts w:eastAsia="Times New Roman"/>
          <w:kern w:val="0"/>
          <w:rtl/>
          <w:lang w:bidi="ar-JO"/>
          <w14:ligatures w14:val="none"/>
        </w:rPr>
        <w:tab/>
        <w:t>الكارثة الثامنة: الجراد (10: 1-20)</w:t>
      </w:r>
    </w:p>
    <w:p w14:paraId="5ECD3D54"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 xml:space="preserve">لا شك أن هذه الكارثة دمّرت مصر اقتصادياً، مما دعا حتى خدم الفرعون (الآية 7) إلى تبني نظرية تصالحية.  لكن موافقته في الآية الثامنة سطحية، كما في المرة السابقة، ويشهد على ذلك سؤال عن تحديد هوية الذين سيذهبون.  فكأنه يقول: "أرغب أن أعرف بالضبط من هم من بينكم الذين سيذهبون، فأنا لن أعطي إذناً بالخروج في هذه الرحلة إلاّ للذين أوافق عليهم" (كاسوتو، 125).  لم يتعلم بعد أن يهوه يستحق خضوعاً كاملاً... </w:t>
      </w:r>
      <w:r w:rsidRPr="002252B7">
        <w:rPr>
          <w:rFonts w:eastAsia="Times New Roman"/>
          <w:kern w:val="0"/>
          <w:rtl/>
          <w:lang w:bidi="ar-JO"/>
          <w14:ligatures w14:val="none"/>
        </w:rPr>
        <w:lastRenderedPageBreak/>
        <w:t>وأن الفرعون هو لا شيء! وبعد الكارثة يصير اعترافه أكثر صدقاً: فهو يعترف بخطيته ضدّ يهوه، ولا يلجأ إلى فرض قيود كما فعل في السابق.</w:t>
      </w:r>
    </w:p>
    <w:p w14:paraId="02B6A187" w14:textId="77777777"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9.</w:t>
      </w:r>
      <w:r w:rsidRPr="002252B7">
        <w:rPr>
          <w:rFonts w:eastAsia="Times New Roman"/>
          <w:kern w:val="0"/>
          <w:rtl/>
          <w:lang w:bidi="ar-JO"/>
          <w14:ligatures w14:val="none"/>
        </w:rPr>
        <w:tab/>
        <w:t>الكارثة التاسعة: الظلمة (10: 21-29)</w:t>
      </w:r>
    </w:p>
    <w:p w14:paraId="335F5BA3"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تشكل هذه الكارثة اللقاء الأخير بين القائدين (الآيتان 28-29).  ولأن هذه هي الكارثة الثالثة في هذه الدورة.  فإنها تأتي دون سابق إنذار.  قد تبدو هذه الكارثة من القراءة الأولى غير شديدة (وهي واقعة أكثر لفتاً للنظر لأنها الكارثة الثالثة للدورة الثالثة).  غير أن هذا كان هجوماً قوياً ضد نظام العبادة المصرية البعيدة عن التقوى، إذ كانت الشمس في حضارتهم تُعبد فوق كل شيء وفوق كُل إله آخر.  يقول كاسوتو: "ستُثبِت هذه الكارثة مدى عِظم قوة الرب ضد آلهة مصر؛ فعندما يشاء إله إسرائيل، فإن الشمس التي يعتبرها المصريون الإله الرئيسي ستختفي ولن تستطيع أن تسطع على عابديها" (129).  فهذه الكارثة لا تسبب مجرد ألم، لكنها تنسف ديانتهم كلها!</w:t>
      </w:r>
    </w:p>
    <w:p w14:paraId="6C4B3A68"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D0C8F7C" w14:textId="77777777" w:rsidR="00B35650" w:rsidRPr="002252B7" w:rsidRDefault="00B35650"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252B7">
        <w:rPr>
          <w:rFonts w:eastAsia="Times New Roman"/>
          <w:kern w:val="0"/>
          <w:rtl/>
          <w:lang w:bidi="ar-JO"/>
          <w14:ligatures w14:val="none"/>
        </w:rPr>
        <w:t>10.</w:t>
      </w:r>
      <w:r w:rsidRPr="002252B7">
        <w:rPr>
          <w:rFonts w:eastAsia="Times New Roman"/>
          <w:kern w:val="0"/>
          <w:rtl/>
          <w:lang w:bidi="ar-JO"/>
          <w14:ligatures w14:val="none"/>
        </w:rPr>
        <w:tab/>
        <w:t>الكارثة العاشرة: موت كل بكر (11: 1-8)</w:t>
      </w:r>
    </w:p>
    <w:p w14:paraId="05E94A83" w14:textId="77777777" w:rsidR="00B35650" w:rsidRPr="002252B7" w:rsidRDefault="00B35650"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252B7">
        <w:rPr>
          <w:rFonts w:eastAsia="Times New Roman"/>
          <w:kern w:val="0"/>
          <w:rtl/>
          <w:lang w:bidi="ar-JO"/>
          <w14:ligatures w14:val="none"/>
        </w:rPr>
        <w:t xml:space="preserve">الكلام هنا استمرار للآية (10: 29)، فهو ينتهي بموسى وهو يغادر قصر فرعون في غضب شديد.  فعلى الرغم من أن فرعون هدد موسى بالموت (10: 28)، إلا أن الأمر سيكون معكوساً: إذ سيصيب الموت المصريين، حتى بيت فرعون نفسه.  لم تكن مغادرة موسى النهائية مغادرة شخص يُنفى، لكنها كانت مغادرة من يذهب بملء إرادته، مغادرة من لم يعد يرغب أن يقف في حضرة الفرعون! </w:t>
      </w:r>
    </w:p>
    <w:p w14:paraId="61DC3B7C" w14:textId="77777777" w:rsidR="00B35650" w:rsidRPr="002252B7" w:rsidRDefault="00B35650" w:rsidP="00C7130A">
      <w:pPr>
        <w:rPr>
          <w:rFonts w:eastAsia="Times New Roman"/>
          <w:kern w:val="0"/>
          <w:rtl/>
          <w14:ligatures w14:val="none"/>
        </w:rPr>
      </w:pPr>
      <w:r w:rsidRPr="002252B7">
        <w:rPr>
          <w:rFonts w:eastAsia="Times New Roman"/>
          <w:kern w:val="0"/>
          <w:rtl/>
          <w14:ligatures w14:val="none"/>
        </w:rPr>
        <w:t xml:space="preserve">    </w:t>
      </w:r>
    </w:p>
    <w:p w14:paraId="58E2F137" w14:textId="77777777" w:rsidR="00B35650" w:rsidRPr="00C7130A" w:rsidRDefault="00B35650"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14:ligatures w14:val="none"/>
        </w:rPr>
      </w:pPr>
    </w:p>
    <w:p w14:paraId="69B58D6D" w14:textId="6B4AB24C" w:rsidR="006311FA" w:rsidRPr="00C7130A" w:rsidRDefault="000467AC" w:rsidP="000558B7">
      <w:pPr>
        <w:pStyle w:val="Heading2B"/>
      </w:pPr>
      <w:bookmarkStart w:id="168" w:name="_Toc193030979"/>
      <w:r w:rsidRPr="00C7130A">
        <w:rPr>
          <w:rtl/>
        </w:rPr>
        <w:t xml:space="preserve">الموضوع 3: </w:t>
      </w:r>
      <w:r w:rsidR="00B46125" w:rsidRPr="00C7130A">
        <w:rPr>
          <w:rtl/>
        </w:rPr>
        <w:t>الافتداء من العبودية (خروج 12: 1 – 18: 27)</w:t>
      </w:r>
      <w:bookmarkEnd w:id="168"/>
    </w:p>
    <w:p w14:paraId="6E216BDB" w14:textId="77777777" w:rsidR="00F67B20" w:rsidRPr="00C7130A" w:rsidRDefault="00F67B20" w:rsidP="00C7130A"/>
    <w:p w14:paraId="4D9F7F6C" w14:textId="27D9C866" w:rsidR="006311FA" w:rsidRPr="00C7130A" w:rsidRDefault="005221F7"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noProof/>
          <w:kern w:val="0"/>
          <w:szCs w:val="24"/>
          <w14:ligatures w14:val="none"/>
        </w:rPr>
        <w:lastRenderedPageBreak/>
        <w:drawing>
          <wp:inline distT="0" distB="0" distL="0" distR="0" wp14:anchorId="33D4004A" wp14:editId="1F695B21">
            <wp:extent cx="5943600" cy="4152900"/>
            <wp:effectExtent l="0" t="0" r="0" b="0"/>
            <wp:docPr id="9401792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4152900"/>
                    </a:xfrm>
                    <a:prstGeom prst="rect">
                      <a:avLst/>
                    </a:prstGeom>
                    <a:noFill/>
                    <a:ln>
                      <a:noFill/>
                    </a:ln>
                  </pic:spPr>
                </pic:pic>
              </a:graphicData>
            </a:graphic>
          </wp:inline>
        </w:drawing>
      </w:r>
    </w:p>
    <w:p w14:paraId="4CCD5FCF" w14:textId="2700C3AA" w:rsidR="00F67B20" w:rsidRPr="007711B9" w:rsidRDefault="00F67B20"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169" w:name="_Hlk178778630"/>
      <w:r w:rsidRPr="00C7130A">
        <w:rPr>
          <w:rFonts w:eastAsia="Calibri"/>
          <w:b/>
          <w:caps/>
          <w:noProof/>
          <w:color w:val="006699"/>
          <w:kern w:val="0"/>
          <w:sz w:val="21"/>
          <w:szCs w:val="24"/>
          <w14:ligatures w14:val="none"/>
        </w:rPr>
        <w:drawing>
          <wp:inline distT="0" distB="0" distL="0" distR="0" wp14:anchorId="4B8EDEE4" wp14:editId="43099E61">
            <wp:extent cx="613692" cy="541464"/>
            <wp:effectExtent l="0" t="0" r="0" b="0"/>
            <wp:docPr id="81674109" name="Picture 81674109"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B46125" w:rsidRPr="007711B9">
        <w:rPr>
          <w:rFonts w:eastAsia="Calibri"/>
          <w:bCs/>
          <w:caps/>
          <w:color w:val="006699"/>
          <w:kern w:val="0"/>
          <w:u w:val="single"/>
          <w:rtl/>
          <w14:ligatures w14:val="none"/>
        </w:rPr>
        <w:t>القراءة:</w:t>
      </w:r>
      <w:r w:rsidR="00B46125" w:rsidRPr="007711B9">
        <w:rPr>
          <w:rFonts w:eastAsia="Calibri"/>
          <w:b/>
          <w:caps/>
          <w:color w:val="006699"/>
          <w:kern w:val="0"/>
          <w:u w:val="single"/>
          <w:rtl/>
          <w14:ligatures w14:val="none"/>
        </w:rPr>
        <w:t xml:space="preserve"> </w:t>
      </w:r>
    </w:p>
    <w:p w14:paraId="7DE1693A" w14:textId="2335D29A" w:rsidR="00F67B20" w:rsidRPr="007711B9" w:rsidRDefault="00F67B20"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7711B9">
        <w:rPr>
          <w:rFonts w:eastAsia="Calibri"/>
          <w:kern w:val="0"/>
          <w14:ligatures w14:val="none"/>
        </w:rPr>
        <w:tab/>
      </w:r>
      <w:r w:rsidRPr="007711B9">
        <w:rPr>
          <w:rFonts w:eastAsia="Calibri"/>
          <w:kern w:val="0"/>
          <w14:ligatures w14:val="none"/>
        </w:rPr>
        <w:tab/>
      </w:r>
      <w:r w:rsidR="00B46125" w:rsidRPr="007711B9">
        <w:rPr>
          <w:rFonts w:eastAsia="Calibri"/>
          <w:kern w:val="0"/>
          <w:rtl/>
          <w14:ligatures w14:val="none"/>
        </w:rPr>
        <w:t xml:space="preserve">اقرأ خروج 12: 1 – 18: 27 في كتابك المُقدَّس. </w:t>
      </w:r>
    </w:p>
    <w:p w14:paraId="1AFB97C9" w14:textId="77777777" w:rsidR="00355D9E" w:rsidRPr="00C7130A" w:rsidRDefault="00355D9E" w:rsidP="000558B7">
      <w:pPr>
        <w:pStyle w:val="Heading3"/>
        <w:rPr>
          <w:rtl/>
        </w:rPr>
      </w:pPr>
      <w:bookmarkStart w:id="170" w:name="_Toc193030980"/>
      <w:bookmarkEnd w:id="169"/>
      <w:r w:rsidRPr="00C7130A">
        <w:rPr>
          <w:rtl/>
        </w:rPr>
        <w:t>1.</w:t>
      </w:r>
      <w:r w:rsidRPr="00C7130A">
        <w:rPr>
          <w:rtl/>
        </w:rPr>
        <w:tab/>
        <w:t>مقدمة</w:t>
      </w:r>
      <w:bookmarkEnd w:id="170"/>
    </w:p>
    <w:p w14:paraId="40FAB60A" w14:textId="77777777" w:rsidR="00355D9E" w:rsidRPr="00C7130A" w:rsidRDefault="00355D9E" w:rsidP="007711B9">
      <w:pPr>
        <w:rPr>
          <w:rtl/>
        </w:rPr>
      </w:pPr>
      <w:r w:rsidRPr="00C7130A">
        <w:rPr>
          <w:rtl/>
        </w:rPr>
        <w:t>يتضمن سفر الخروج تطبيق الوعد الإبراهيمي بتشكيل أمّة من نسل إبراهيم.  يتعلق الجزء الأول من السفر (1-18) بتحرير رعايا الشعب من خلال الوسيط موسى.  توضح الأصحاحات 1-11 عبوديتهم، بينما تصوّر الأصحاحات 12-18 فداءهم.  وسنتتبع في هذا القسم الأحداث الهامة منذ إخلاء سبيل إسرائيل إلى مجيئهم إلى جبل سيناء.  وسيتضمن هذا ثلاث مراحل: (1) الفصح والخروج (2) الإنقاذ عند البحر الأحمر (3) هجرة إسرائيل إلى سيناء.</w:t>
      </w:r>
    </w:p>
    <w:p w14:paraId="6D266410" w14:textId="77777777" w:rsidR="00355D9E" w:rsidRPr="00C7130A" w:rsidRDefault="00355D9E" w:rsidP="00C7130A">
      <w:pPr>
        <w:pStyle w:val="BodyTxt"/>
        <w:rPr>
          <w:rFonts w:cs="Arabic Typesetting"/>
          <w:rtl/>
        </w:rPr>
      </w:pPr>
    </w:p>
    <w:p w14:paraId="74D9B01F" w14:textId="77777777" w:rsidR="00355D9E" w:rsidRPr="00C7130A" w:rsidRDefault="00355D9E" w:rsidP="000558B7">
      <w:pPr>
        <w:pStyle w:val="Heading3"/>
        <w:rPr>
          <w:rtl/>
        </w:rPr>
      </w:pPr>
      <w:bookmarkStart w:id="171" w:name="_Toc193030981"/>
      <w:r w:rsidRPr="00C7130A">
        <w:rPr>
          <w:rtl/>
        </w:rPr>
        <w:t>2.</w:t>
      </w:r>
      <w:r w:rsidRPr="00C7130A">
        <w:rPr>
          <w:rtl/>
        </w:rPr>
        <w:tab/>
        <w:t>الفصح والخروج (12: 1-13: 16)</w:t>
      </w:r>
      <w:bookmarkEnd w:id="171"/>
    </w:p>
    <w:p w14:paraId="5E468E45" w14:textId="77777777" w:rsidR="00355D9E" w:rsidRPr="007711B9" w:rsidRDefault="00355D9E" w:rsidP="00BB48D7">
      <w:pPr>
        <w:pStyle w:val="Head5"/>
        <w:rPr>
          <w:rtl/>
        </w:rPr>
      </w:pPr>
      <w:r w:rsidRPr="007711B9">
        <w:rPr>
          <w:rtl/>
        </w:rPr>
        <w:t>أ.</w:t>
      </w:r>
      <w:r w:rsidRPr="007711B9">
        <w:rPr>
          <w:rtl/>
        </w:rPr>
        <w:tab/>
        <w:t xml:space="preserve">فريضة الفصح </w:t>
      </w:r>
    </w:p>
    <w:p w14:paraId="53CCD464" w14:textId="77777777" w:rsidR="00355D9E" w:rsidRPr="007711B9" w:rsidRDefault="00355D9E" w:rsidP="00C7130A">
      <w:pPr>
        <w:pStyle w:val="BodyTxt"/>
        <w:rPr>
          <w:rFonts w:cs="Arabic Typesetting"/>
          <w:szCs w:val="36"/>
          <w:rtl/>
        </w:rPr>
      </w:pPr>
      <w:r w:rsidRPr="007711B9">
        <w:rPr>
          <w:rFonts w:cs="Arabic Typesetting"/>
          <w:szCs w:val="36"/>
          <w:rtl/>
        </w:rPr>
        <w:lastRenderedPageBreak/>
        <w:t>الفصح (</w:t>
      </w:r>
      <w:r w:rsidRPr="007711B9">
        <w:rPr>
          <w:rFonts w:ascii="Times New Roman" w:hAnsi="Times New Roman" w:cs="Times New Roman" w:hint="cs"/>
          <w:b/>
          <w:szCs w:val="36"/>
          <w:rtl/>
          <w:lang w:bidi="he-IL"/>
        </w:rPr>
        <w:t>פֶּסַח</w:t>
      </w:r>
      <w:r w:rsidRPr="007711B9">
        <w:rPr>
          <w:rFonts w:cs="Arabic Typesetting"/>
          <w:b/>
          <w:szCs w:val="36"/>
          <w:rtl/>
          <w:lang w:bidi="he-IL"/>
        </w:rPr>
        <w:t xml:space="preserve"> </w:t>
      </w:r>
      <w:r w:rsidRPr="007711B9">
        <w:rPr>
          <w:rFonts w:cs="Arabic Typesetting"/>
          <w:szCs w:val="36"/>
          <w:lang w:bidi="ar-SA"/>
        </w:rPr>
        <w:t xml:space="preserve">, </w:t>
      </w:r>
      <w:r w:rsidRPr="007711B9">
        <w:rPr>
          <w:rFonts w:cs="Arabic Typesetting"/>
          <w:bCs/>
          <w:i/>
          <w:iCs/>
          <w:szCs w:val="36"/>
        </w:rPr>
        <w:t>pesaḥ</w:t>
      </w:r>
      <w:r w:rsidRPr="007711B9">
        <w:rPr>
          <w:rFonts w:cs="Arabic Typesetting"/>
          <w:szCs w:val="36"/>
          <w:rtl/>
        </w:rPr>
        <w:t xml:space="preserve"> </w:t>
      </w:r>
      <w:r w:rsidRPr="007711B9">
        <w:rPr>
          <w:rFonts w:cs="Arabic Typesetting"/>
          <w:i/>
          <w:iCs/>
          <w:szCs w:val="36"/>
          <w:rtl/>
        </w:rPr>
        <w:t>بيساخ</w:t>
      </w:r>
      <w:r w:rsidRPr="007711B9">
        <w:rPr>
          <w:rFonts w:cs="Arabic Typesetting"/>
          <w:szCs w:val="36"/>
          <w:rtl/>
        </w:rPr>
        <w:t>) هو الطقس المشروط المسبق لتحرير يهوه لبني إسرائيل.  وخلفية الفصح هو الكارثة العاشرة على المصريين التي حُكِم فيها على كل بكر في مصر بالموت، بما في ذلك إسرائيل، ما لم تقم إسرائيل بالطقس المطلوب.</w:t>
      </w:r>
    </w:p>
    <w:p w14:paraId="73FCECAC" w14:textId="77777777" w:rsidR="00355D9E" w:rsidRPr="007711B9" w:rsidRDefault="00355D9E" w:rsidP="00C7130A">
      <w:pPr>
        <w:pStyle w:val="BodyTxt"/>
        <w:rPr>
          <w:rFonts w:cs="Arabic Typesetting"/>
          <w:szCs w:val="36"/>
          <w:rtl/>
        </w:rPr>
      </w:pPr>
    </w:p>
    <w:p w14:paraId="49107559" w14:textId="77777777" w:rsidR="00355D9E" w:rsidRPr="007711B9" w:rsidRDefault="00355D9E" w:rsidP="00C7130A">
      <w:pPr>
        <w:pStyle w:val="BodyTxt"/>
        <w:rPr>
          <w:rFonts w:cs="Arabic Typesetting"/>
          <w:szCs w:val="36"/>
          <w:rtl/>
        </w:rPr>
      </w:pPr>
      <w:r w:rsidRPr="007711B9">
        <w:rPr>
          <w:rFonts w:cs="Arabic Typesetting"/>
          <w:szCs w:val="36"/>
          <w:rtl/>
        </w:rPr>
        <w:t>إن الفكرة الأساسية لهذا القسم هو "الفداء."  وسيحدد هذا من نواحٍ كثيرة المفهوم الكتابي للفداء الذي سنراه في نهاية الأمر في ملئه في العهد الجديد.  غير أن ما نجده في هذا القسم هو فداء أمّة، لا فداء أفراد.  فالآن يفتدي الله إسرائيل كأمّة.... وهو يحرّرهم من عبودية أرضية ليكونوا شعب الله.  ولا يعني هذا أنهم كانوا جميعاً مخلَّصين بالمعنى الذي يقدّمه العهد الجديد لكلمة الخلاص.  فعلى الرغم من اختيارهم من خلال إبراهيم، إلا أنهم لم يستطيعوا أن يشكّلوا أمّة من دون أن يفتديهم الله.</w:t>
      </w:r>
    </w:p>
    <w:p w14:paraId="1772C2B5" w14:textId="77777777" w:rsidR="00355D9E" w:rsidRPr="007711B9" w:rsidRDefault="00355D9E" w:rsidP="00C7130A">
      <w:pPr>
        <w:pStyle w:val="BodyTxt"/>
        <w:rPr>
          <w:rFonts w:cs="Arabic Typesetting"/>
          <w:szCs w:val="36"/>
          <w:rtl/>
        </w:rPr>
      </w:pPr>
    </w:p>
    <w:p w14:paraId="28A45865" w14:textId="368905DB" w:rsidR="00355D9E" w:rsidRPr="007711B9" w:rsidRDefault="00355D9E" w:rsidP="00C7130A">
      <w:pPr>
        <w:pStyle w:val="BodyTxt"/>
        <w:rPr>
          <w:rFonts w:cs="Arabic Typesetting"/>
          <w:szCs w:val="36"/>
          <w:rtl/>
        </w:rPr>
      </w:pPr>
      <w:r w:rsidRPr="007711B9">
        <w:rPr>
          <w:rFonts w:cs="Arabic Typesetting"/>
          <w:szCs w:val="36"/>
          <w:rtl/>
        </w:rPr>
        <w:t>يتركز "فداء" سفر الخروج على طقس الفصح.  كان وعد الرب في خروج 6: 6 بالفداء: "</w:t>
      </w:r>
      <w:r w:rsidRPr="007711B9">
        <w:rPr>
          <w:rFonts w:cs="Arabic Typesetting"/>
          <w:i/>
          <w:iCs/>
          <w:szCs w:val="36"/>
          <w:rtl/>
        </w:rPr>
        <w:t>وأخلّصكم (أفديكم</w:t>
      </w:r>
      <w:r w:rsidRPr="007711B9">
        <w:rPr>
          <w:rFonts w:cs="Arabic Typesetting"/>
          <w:szCs w:val="36"/>
          <w:rtl/>
        </w:rPr>
        <w:t xml:space="preserve">) </w:t>
      </w:r>
      <w:r w:rsidRPr="007711B9">
        <w:rPr>
          <w:rFonts w:cs="Arabic Typesetting"/>
          <w:i/>
          <w:iCs/>
          <w:szCs w:val="36"/>
          <w:rtl/>
        </w:rPr>
        <w:t>بذراع ممدودة وبأحكام عظيمة</w:t>
      </w:r>
      <w:r w:rsidRPr="007711B9">
        <w:rPr>
          <w:rFonts w:cs="Arabic Typesetting"/>
          <w:szCs w:val="36"/>
          <w:rtl/>
        </w:rPr>
        <w:t xml:space="preserve">."  وفي ترنيمة التسبيح التي رنّمها العبرانيون بعد إنقاذهم في البحر الأحمر، قالوا: "ترشد (تقود) برأفتك الشعب الذي </w:t>
      </w:r>
      <w:r w:rsidRPr="007711B9">
        <w:rPr>
          <w:rFonts w:cs="Arabic Typesetting"/>
          <w:szCs w:val="36"/>
          <w:u w:val="single"/>
          <w:rtl/>
        </w:rPr>
        <w:t>فديته</w:t>
      </w:r>
      <w:r w:rsidRPr="007711B9">
        <w:rPr>
          <w:rFonts w:cs="Arabic Typesetting"/>
          <w:szCs w:val="36"/>
          <w:rtl/>
        </w:rPr>
        <w:t>" (خروج 15: 13) غير أن عمل "الفداء" القديم هذا يعد الطريق "للفداء الأعظم" الآتي.  إذ سيكون في أيام مستقبلية فداء مستقبلي سيفعل الله بموجبه أكثر من مجرد تحريرهم من عبودية أرضية.</w:t>
      </w:r>
    </w:p>
    <w:p w14:paraId="43DFEED6" w14:textId="77777777" w:rsidR="00355D9E" w:rsidRPr="007711B9" w:rsidRDefault="00355D9E" w:rsidP="00C7130A">
      <w:pPr>
        <w:pStyle w:val="BodyTxt"/>
        <w:rPr>
          <w:rFonts w:cs="Arabic Typesetting"/>
          <w:szCs w:val="36"/>
          <w:rtl/>
        </w:rPr>
      </w:pPr>
    </w:p>
    <w:p w14:paraId="00DA60E9" w14:textId="77777777" w:rsidR="00355D9E" w:rsidRPr="007711B9" w:rsidRDefault="00355D9E" w:rsidP="00C7130A">
      <w:pPr>
        <w:pStyle w:val="BodyTxt"/>
        <w:rPr>
          <w:rFonts w:cs="Arabic Typesetting"/>
          <w:szCs w:val="36"/>
          <w:rtl/>
        </w:rPr>
      </w:pPr>
      <w:r w:rsidRPr="007711B9">
        <w:rPr>
          <w:rFonts w:cs="Arabic Typesetting"/>
          <w:szCs w:val="36"/>
          <w:rtl/>
        </w:rPr>
        <w:t>ولاشك أن أحداث خروج 12-14 تشير إلى ذروة أعظم.  ولا يجب علينا أن نغفل عن أن الفصح صورة لخلاصنا من العالم اليوم.  إذ تصرّح 1كورنثوس 5: 7 أن المسيح هو فِصحنا! يشكل خروف الفصح توقّعاً واضحاً للمسيح وتألُّمه من أجلنا، حيث يقدّم دمه حماية لنا.  ولا يخرج المرء من حكم الموت ليصبح جزءاً من شعب الله إلاّ حين يشارك في طقس الفصح.  ويتبع الفداء من عبودية مصر التحرير والنجاة عند البحر الأحمر، لكن الاشتراك في طقس الفصح هو التمهيد الضروري للتحرير والنجاة.</w:t>
      </w:r>
    </w:p>
    <w:p w14:paraId="54C483F7" w14:textId="77777777" w:rsidR="00355D9E" w:rsidRPr="007711B9" w:rsidRDefault="00355D9E" w:rsidP="00C7130A">
      <w:pPr>
        <w:pStyle w:val="BodyTxt"/>
        <w:rPr>
          <w:rFonts w:cs="Arabic Typesetting"/>
          <w:szCs w:val="36"/>
          <w:rtl/>
        </w:rPr>
      </w:pPr>
    </w:p>
    <w:p w14:paraId="120772DA" w14:textId="77777777" w:rsidR="00355D9E" w:rsidRPr="007711B9" w:rsidRDefault="00355D9E" w:rsidP="00C7130A">
      <w:pPr>
        <w:pStyle w:val="BodyTxt"/>
        <w:rPr>
          <w:rFonts w:cs="Arabic Typesetting"/>
          <w:szCs w:val="36"/>
          <w:rtl/>
        </w:rPr>
      </w:pPr>
      <w:r w:rsidRPr="007711B9">
        <w:rPr>
          <w:rFonts w:cs="Arabic Typesetting"/>
          <w:szCs w:val="36"/>
          <w:rtl/>
        </w:rPr>
        <w:t>إنه لأمر واضح من خروج 12: 1-2 أن هذا "الفداء" عنصر هام من عناصر تاريخ إسرائيل: "</w:t>
      </w:r>
      <w:r w:rsidRPr="007711B9">
        <w:rPr>
          <w:rFonts w:cs="Arabic Typesetting"/>
          <w:i/>
          <w:iCs/>
          <w:szCs w:val="36"/>
          <w:rtl/>
        </w:rPr>
        <w:t>هذا الشهر يكون لكم رأس الشهور</w:t>
      </w:r>
      <w:r w:rsidRPr="007711B9">
        <w:rPr>
          <w:rFonts w:cs="Arabic Typesetting"/>
          <w:szCs w:val="36"/>
          <w:rtl/>
        </w:rPr>
        <w:t>."  لم يعد التقويم المصري مقبولاً لدى شعب الله؛ إذ شكّل الفصح بداية جديدة.  وصار لدى إسرائيل في نهاية الأمر طريقتان لحساب شهور السنة: النظام الديني والنظام المدني (انظر الملحق 9-2).  تبدأ السنة الجديدة حسب التقويم الديني بهذا الشهر الذي احتفلوا فيه لأول مرة بالفصح (انظر خروج 40: 2، 17؛ لاويين 23: 5).  فقد أوصى الله أن يكون ذاك أول شهر، لأنه جلب معه، بمعنى ما، تغييراً في مصيرهم!</w:t>
      </w:r>
    </w:p>
    <w:p w14:paraId="42CDC526" w14:textId="77777777" w:rsidR="00355D9E" w:rsidRPr="007711B9" w:rsidRDefault="00355D9E" w:rsidP="00C7130A">
      <w:pPr>
        <w:pStyle w:val="BodyTxt"/>
        <w:rPr>
          <w:rFonts w:cs="Arabic Typesetting"/>
          <w:szCs w:val="36"/>
          <w:rtl/>
        </w:rPr>
      </w:pPr>
    </w:p>
    <w:p w14:paraId="6B11263B" w14:textId="77777777" w:rsidR="00355D9E" w:rsidRPr="00BB48D7" w:rsidRDefault="00355D9E" w:rsidP="00BB48D7">
      <w:pPr>
        <w:pStyle w:val="Head5"/>
        <w:rPr>
          <w:rtl/>
        </w:rPr>
      </w:pPr>
      <w:r w:rsidRPr="00BB48D7">
        <w:rPr>
          <w:rtl/>
        </w:rPr>
        <w:t>ب.</w:t>
      </w:r>
      <w:r w:rsidRPr="00BB48D7">
        <w:rPr>
          <w:rtl/>
        </w:rPr>
        <w:tab/>
        <w:t>حمل الفصح (12: 1-7)</w:t>
      </w:r>
    </w:p>
    <w:p w14:paraId="0BF4A710" w14:textId="77777777" w:rsidR="00355D9E" w:rsidRPr="00BB48D7" w:rsidRDefault="00355D9E" w:rsidP="00C7130A">
      <w:pPr>
        <w:pStyle w:val="BodyTxt"/>
        <w:rPr>
          <w:rFonts w:cs="Arabic Typesetting"/>
          <w:szCs w:val="36"/>
          <w:rtl/>
        </w:rPr>
      </w:pPr>
      <w:r w:rsidRPr="00BB48D7">
        <w:rPr>
          <w:rFonts w:cs="Arabic Typesetting"/>
          <w:szCs w:val="36"/>
          <w:rtl/>
        </w:rPr>
        <w:lastRenderedPageBreak/>
        <w:t>ينقسم طقس الفصح إلى قسمين: 1) ذبح الحمل الذي يوفّر الدم الذي يحمي (الآيات 1-7)؛ و2) العشاء أو تناول الحمل (الآيات 8-11).</w:t>
      </w:r>
    </w:p>
    <w:p w14:paraId="43B9CD94" w14:textId="77777777" w:rsidR="00355D9E" w:rsidRPr="00BB48D7" w:rsidRDefault="00355D9E" w:rsidP="00C7130A">
      <w:pPr>
        <w:pStyle w:val="Hang1"/>
        <w:rPr>
          <w:rFonts w:cs="Arabic Typesetting"/>
          <w:szCs w:val="36"/>
          <w:rtl/>
        </w:rPr>
      </w:pPr>
      <w:r w:rsidRPr="00BB48D7">
        <w:rPr>
          <w:rFonts w:cs="Arabic Typesetting"/>
          <w:szCs w:val="36"/>
          <w:rtl/>
        </w:rPr>
        <w:t>1.</w:t>
      </w:r>
      <w:r w:rsidRPr="00BB48D7">
        <w:rPr>
          <w:rFonts w:cs="Arabic Typesetting"/>
          <w:szCs w:val="36"/>
          <w:rtl/>
        </w:rPr>
        <w:tab/>
        <w:t>ذبح الحمل (12: 1-7)</w:t>
      </w:r>
    </w:p>
    <w:p w14:paraId="4A108C85" w14:textId="77777777" w:rsidR="00355D9E" w:rsidRPr="00BB48D7" w:rsidRDefault="00355D9E" w:rsidP="006F7738">
      <w:pPr>
        <w:pStyle w:val="Hang2"/>
        <w:rPr>
          <w:rtl/>
        </w:rPr>
      </w:pPr>
      <w:r w:rsidRPr="00BB48D7">
        <w:rPr>
          <w:rtl/>
        </w:rPr>
        <w:t>أ.</w:t>
      </w:r>
      <w:r w:rsidRPr="00BB48D7">
        <w:rPr>
          <w:rtl/>
        </w:rPr>
        <w:tab/>
        <w:t>تقديم الحمل (3-4)</w:t>
      </w:r>
    </w:p>
    <w:p w14:paraId="77EB976A" w14:textId="77777777" w:rsidR="00355D9E" w:rsidRPr="00BB48D7" w:rsidRDefault="00355D9E" w:rsidP="00C7130A">
      <w:pPr>
        <w:pStyle w:val="BodyInd2"/>
        <w:rPr>
          <w:rFonts w:cs="Arabic Typesetting"/>
          <w:szCs w:val="36"/>
          <w:rtl/>
        </w:rPr>
      </w:pPr>
      <w:r w:rsidRPr="00BB48D7">
        <w:rPr>
          <w:rFonts w:cs="Arabic Typesetting"/>
          <w:szCs w:val="36"/>
          <w:rtl/>
        </w:rPr>
        <w:t>كانت الوسيلة التي سيوفّر الله الفداء لشعبه بواسطتها هي ذبح الحمل.  ومثَّل هذا العمل والنشاطات المتنوعة المرتبطة به درساً موضوعياً للشعب.  ومن الواضح أنه لم يكون واضحاً لدى الشعب أن الرب يسوع المسيح هو الحمل الحقيقي.  فمثل هذا الإدراك لا يأتي إلاّ بعد إعلان لاحق.  لكن ذبح الحمل، كدرس موضوعي، علّم الشعب عدة دروس ليس أقلها الثمن الفظيع الذي تطالب به الخطية والحاجة إلى بديل مقبول ليحمل الخطية.  وفي زمن مستقبلي، يصرّح نبي معروف باسم يوحنّا المعمدان علناً: "</w:t>
      </w:r>
      <w:r w:rsidRPr="00BB48D7">
        <w:rPr>
          <w:rFonts w:cs="Arabic Typesetting"/>
          <w:i/>
          <w:iCs/>
          <w:szCs w:val="36"/>
          <w:rtl/>
        </w:rPr>
        <w:t>هوذا حمل الله الذي يرفع خطية العالم</w:t>
      </w:r>
      <w:r w:rsidRPr="00BB48D7">
        <w:rPr>
          <w:rFonts w:cs="Arabic Typesetting"/>
          <w:szCs w:val="36"/>
          <w:rtl/>
        </w:rPr>
        <w:t>!" (يوحنا 1: 29).  كان الله يتطلع إلى ذبيحة ابنه نفسه عندما استخدم صورة الحمل الذبيحي ليُعد الشعب لمجيئه.</w:t>
      </w:r>
    </w:p>
    <w:p w14:paraId="241CBA31" w14:textId="77777777" w:rsidR="00355D9E" w:rsidRPr="00BB48D7" w:rsidRDefault="00355D9E" w:rsidP="00C7130A">
      <w:pPr>
        <w:pStyle w:val="BodyInd2"/>
        <w:rPr>
          <w:rFonts w:cs="Arabic Typesetting"/>
          <w:szCs w:val="36"/>
          <w:rtl/>
        </w:rPr>
      </w:pPr>
    </w:p>
    <w:p w14:paraId="7D1FA6DD" w14:textId="77777777" w:rsidR="00355D9E" w:rsidRPr="00BB48D7" w:rsidRDefault="00355D9E" w:rsidP="00C7130A">
      <w:pPr>
        <w:pStyle w:val="BodyInd2"/>
        <w:rPr>
          <w:rFonts w:cs="Arabic Typesetting"/>
          <w:szCs w:val="36"/>
          <w:rtl/>
        </w:rPr>
      </w:pPr>
      <w:r w:rsidRPr="00BB48D7">
        <w:rPr>
          <w:rFonts w:cs="Arabic Typesetting"/>
          <w:szCs w:val="36"/>
          <w:rtl/>
        </w:rPr>
        <w:t>كان على كل عائلة أن تأخذ حملاً (الآية 3)... فكانت المؤونة كافية لكل من يرغب في الحمل، أي لكل من يرغب في أن يحرَّر من حكم الموت الآتي على مصر.  وكانت المؤونة ثمينة أيضاً ولا يجوز تبديدها (الآية 4).  فحيث يوجد تدبير كافٍ للجميع بموت يسوع المسيح، لا يجب أن يبدَّد، وأن يحسب رخيصاً.</w:t>
      </w:r>
    </w:p>
    <w:p w14:paraId="42516DE9" w14:textId="77777777" w:rsidR="00355D9E" w:rsidRPr="00BB48D7" w:rsidRDefault="00355D9E" w:rsidP="00C7130A">
      <w:pPr>
        <w:pStyle w:val="BodyInd2"/>
        <w:rPr>
          <w:rFonts w:cs="Arabic Typesetting"/>
          <w:szCs w:val="36"/>
          <w:rtl/>
        </w:rPr>
      </w:pPr>
    </w:p>
    <w:p w14:paraId="48F266C6" w14:textId="77777777" w:rsidR="00355D9E" w:rsidRPr="00BB48D7" w:rsidRDefault="00355D9E" w:rsidP="006F7738">
      <w:pPr>
        <w:pStyle w:val="Hang2"/>
        <w:rPr>
          <w:rtl/>
        </w:rPr>
      </w:pPr>
      <w:r w:rsidRPr="00BB48D7">
        <w:rPr>
          <w:rtl/>
        </w:rPr>
        <w:t>ب.</w:t>
      </w:r>
      <w:r w:rsidRPr="00BB48D7">
        <w:rPr>
          <w:rtl/>
        </w:rPr>
        <w:tab/>
        <w:t>مقاييس للحمل (5-6أ)</w:t>
      </w:r>
    </w:p>
    <w:p w14:paraId="165D9FAF" w14:textId="77777777" w:rsidR="00355D9E" w:rsidRPr="00BB48D7" w:rsidRDefault="00355D9E" w:rsidP="00C7130A">
      <w:pPr>
        <w:pStyle w:val="BodyInd2"/>
        <w:rPr>
          <w:rFonts w:cs="Arabic Typesetting"/>
          <w:szCs w:val="36"/>
          <w:rtl/>
        </w:rPr>
      </w:pPr>
      <w:r w:rsidRPr="00BB48D7">
        <w:rPr>
          <w:rFonts w:cs="Arabic Typesetting"/>
          <w:szCs w:val="36"/>
          <w:rtl/>
        </w:rPr>
        <w:t>توجّب أن يكون الحمل الذي سيُختار لذبيحة الفصح "</w:t>
      </w:r>
      <w:r w:rsidRPr="00BB48D7">
        <w:rPr>
          <w:rFonts w:cs="Arabic Typesetting"/>
          <w:i/>
          <w:iCs/>
          <w:szCs w:val="36"/>
          <w:rtl/>
        </w:rPr>
        <w:t>شاةً صحيحة ذكراً ابن سنة</w:t>
      </w:r>
      <w:r w:rsidRPr="00BB48D7">
        <w:rPr>
          <w:rFonts w:cs="Arabic Typesetting"/>
          <w:szCs w:val="36"/>
          <w:rtl/>
        </w:rPr>
        <w:t>."  عَكَسَ هذا الشرط الحاجة إلى أن يكون البديل الذبيحي مقبولاً لدى الله.  وبطبيعة الحال، لم يوجد قط حمل يحقق هذا الشرط تماماً... فالله كان يتطلع إلى "الذبيحة الكاملة"، أي ذبيحة ابن الله.  وهكذا رمزت الحاجة إلى حمل كامل إلى طهارة المسيح وخلوّه من أية خطية.  حتى إن بيلاطس لم يجد فيه عيباً أو علّة، كما أن تلاميذه الذين عرفوه أوثق معرفة صرّحوا أنه كان بلا خطية!</w:t>
      </w:r>
    </w:p>
    <w:p w14:paraId="20C3C9AD" w14:textId="77777777" w:rsidR="00355D9E" w:rsidRPr="00BB48D7" w:rsidRDefault="00355D9E" w:rsidP="00C7130A">
      <w:pPr>
        <w:pStyle w:val="BodyInd2"/>
        <w:rPr>
          <w:rFonts w:cs="Arabic Typesetting"/>
          <w:szCs w:val="36"/>
          <w:rtl/>
        </w:rPr>
      </w:pPr>
    </w:p>
    <w:p w14:paraId="121CC82B" w14:textId="77777777" w:rsidR="00355D9E" w:rsidRPr="00BB48D7" w:rsidRDefault="00355D9E" w:rsidP="006F7738">
      <w:pPr>
        <w:pStyle w:val="Hang2"/>
        <w:rPr>
          <w:rtl/>
        </w:rPr>
      </w:pPr>
      <w:r w:rsidRPr="00BB48D7">
        <w:rPr>
          <w:rtl/>
        </w:rPr>
        <w:t>جـ.</w:t>
      </w:r>
      <w:r w:rsidRPr="00BB48D7">
        <w:rPr>
          <w:rtl/>
        </w:rPr>
        <w:tab/>
        <w:t>ذبح الحمل (6ب)</w:t>
      </w:r>
    </w:p>
    <w:p w14:paraId="7537D6AF" w14:textId="77777777" w:rsidR="00355D9E" w:rsidRPr="00BB48D7" w:rsidRDefault="00355D9E" w:rsidP="00C7130A">
      <w:pPr>
        <w:pStyle w:val="BodyInd2"/>
        <w:rPr>
          <w:rFonts w:cs="Arabic Typesetting"/>
          <w:szCs w:val="36"/>
          <w:rtl/>
        </w:rPr>
      </w:pPr>
      <w:r w:rsidRPr="00BB48D7">
        <w:rPr>
          <w:rFonts w:cs="Arabic Typesetting"/>
          <w:szCs w:val="36"/>
          <w:rtl/>
        </w:rPr>
        <w:t xml:space="preserve">كان على "كل جمهور" الجماعة أن يذبحوا الحمل في العشيّة (عند الغسق).  وعلى الرغم من أن الباحثين منقسمون حول المعنى الدقيق للعبارة المستخدمة هنا، ("بين العشائين")، إلاّ أن آلان كول يقول: "فهم </w:t>
      </w:r>
      <w:r w:rsidRPr="00BB48D7">
        <w:rPr>
          <w:rFonts w:cs="Arabic Typesetting"/>
          <w:szCs w:val="36"/>
          <w:rtl/>
        </w:rPr>
        <w:lastRenderedPageBreak/>
        <w:t>اليهود الأتقياء الأرثوذكس من جماعة الفريسيين معنى هذا التعبير على أنه بين ذاك الوقت الذي تقل فيه حرارة الشمس بعد الظهر (حوالي الثالثة أو الرابعة) وبين الغروب."</w:t>
      </w:r>
      <w:r w:rsidRPr="00BB48D7">
        <w:rPr>
          <w:rStyle w:val="FootnoteReference"/>
          <w:rFonts w:cs="Arabic Typesetting"/>
          <w:szCs w:val="36"/>
          <w:rtl/>
        </w:rPr>
        <w:footnoteReference w:customMarkFollows="1" w:id="64"/>
        <w:t>1</w:t>
      </w:r>
      <w:r w:rsidRPr="00BB48D7">
        <w:rPr>
          <w:rFonts w:cs="Arabic Typesetting"/>
          <w:szCs w:val="36"/>
          <w:rtl/>
        </w:rPr>
        <w:t xml:space="preserve"> ولاحظ يوسيفس (وهو مؤرخ يهودي معاصر للمسيح) أن العادة في عصره كانت تقديم حمل في حوالي الساعة الثالثة من بعد الظهر (</w:t>
      </w:r>
      <w:r w:rsidRPr="00BB48D7">
        <w:rPr>
          <w:rFonts w:cs="Arabic Typesetting"/>
          <w:i/>
          <w:iCs/>
          <w:szCs w:val="36"/>
          <w:lang w:bidi="ar-SA"/>
        </w:rPr>
        <w:t>Antiquities</w:t>
      </w:r>
      <w:r w:rsidRPr="00BB48D7">
        <w:rPr>
          <w:rFonts w:cs="Arabic Typesetting"/>
          <w:szCs w:val="36"/>
          <w:lang w:bidi="ar-SA"/>
        </w:rPr>
        <w:t>, XIV, 4: 3</w:t>
      </w:r>
      <w:r w:rsidRPr="00BB48D7">
        <w:rPr>
          <w:rFonts w:cs="Arabic Typesetting"/>
          <w:szCs w:val="36"/>
          <w:rtl/>
        </w:rPr>
        <w:t>).  وليست مجرّد مصادفة أن يسوع مات في يوم الفصح؛ وفضلاً عن ذلك، يخبرنا العهد الجديد أن موته حدث بين الساعتين 3 و6 من بعد الظهر.  وفي الساعة التاسعة (أي الثالثة بعد الظهر) صرخ، "إلهي إلهي،" وقبل الساعة السادسة بعد الظهر كان يتوجب إنزاله عن الصليب لئلا تنتهك عادة حفظ يوم السبت.</w:t>
      </w:r>
    </w:p>
    <w:p w14:paraId="7A33F932" w14:textId="77777777" w:rsidR="00355D9E" w:rsidRPr="00BB48D7" w:rsidRDefault="00355D9E" w:rsidP="00C7130A">
      <w:pPr>
        <w:pStyle w:val="BodyInd2"/>
        <w:rPr>
          <w:rFonts w:cs="Arabic Typesetting"/>
          <w:szCs w:val="36"/>
          <w:rtl/>
        </w:rPr>
      </w:pPr>
    </w:p>
    <w:p w14:paraId="36EBFCA9" w14:textId="77777777" w:rsidR="00355D9E" w:rsidRPr="00BB48D7" w:rsidRDefault="00355D9E" w:rsidP="00C7130A">
      <w:pPr>
        <w:pStyle w:val="BodyInd2"/>
        <w:rPr>
          <w:rFonts w:cs="Arabic Typesetting"/>
          <w:szCs w:val="36"/>
          <w:rtl/>
        </w:rPr>
      </w:pPr>
      <w:r w:rsidRPr="00BB48D7">
        <w:rPr>
          <w:rFonts w:cs="Arabic Typesetting"/>
          <w:szCs w:val="36"/>
          <w:rtl/>
        </w:rPr>
        <w:t>يضيف خروج 12: 46 أنه لا يجب أن يكسر أي عظم من عظام الحمل، منبئاً بحقيقة أن الجنود الذين صلبوا يسوع لم يكسروا عظامه (يوحنا 19: 33).  أمّا اشتراط اشتراك كل الجماعة في ذبح الحمل فيعكس حقيقة أن الجميع يشتركون في مسؤولية موت الحمل.  وبنفس الطريقة فإننا جميعاً مسؤولون عن ذهاب يسوع إلى الصليب.  فخطاياي وخطاياك هي التي سمّرته على الصليب؛ ولا يمكننا أن نكتفي بلوم بعض اليهود القساة القلوب الذين عاشوا في القرن الأول!</w:t>
      </w:r>
    </w:p>
    <w:p w14:paraId="16489EDD" w14:textId="77777777" w:rsidR="00355D9E" w:rsidRPr="00BB48D7" w:rsidRDefault="00355D9E" w:rsidP="00C7130A">
      <w:pPr>
        <w:pStyle w:val="BodyInd2"/>
        <w:rPr>
          <w:rFonts w:cs="Arabic Typesetting"/>
          <w:szCs w:val="36"/>
          <w:rtl/>
        </w:rPr>
      </w:pPr>
    </w:p>
    <w:p w14:paraId="7B0331FD" w14:textId="77777777" w:rsidR="00355D9E" w:rsidRPr="00BB48D7" w:rsidRDefault="00355D9E" w:rsidP="006F7738">
      <w:pPr>
        <w:pStyle w:val="Hang2"/>
        <w:rPr>
          <w:rtl/>
        </w:rPr>
      </w:pPr>
      <w:r w:rsidRPr="00BB48D7">
        <w:rPr>
          <w:rtl/>
        </w:rPr>
        <w:t>د.</w:t>
      </w:r>
      <w:r w:rsidRPr="00BB48D7">
        <w:rPr>
          <w:rtl/>
        </w:rPr>
        <w:tab/>
        <w:t>رش دم الحمل (7)</w:t>
      </w:r>
    </w:p>
    <w:p w14:paraId="44A1AF78" w14:textId="77777777" w:rsidR="00355D9E" w:rsidRPr="00BB48D7" w:rsidRDefault="00355D9E" w:rsidP="00C7130A">
      <w:pPr>
        <w:pStyle w:val="BodyInd2"/>
        <w:rPr>
          <w:rFonts w:cs="Arabic Typesetting"/>
          <w:szCs w:val="36"/>
          <w:rtl/>
        </w:rPr>
      </w:pPr>
      <w:r w:rsidRPr="00BB48D7">
        <w:rPr>
          <w:rFonts w:cs="Arabic Typesetting"/>
          <w:szCs w:val="36"/>
          <w:rtl/>
        </w:rPr>
        <w:t>يقول النص إنه كان عليهم أن يضعوا الدم على قائمتي الباب وعتبته العليا لكي يكون فعّالاً.  مثّل الدم الثمن الذي دفعه الحمل، وكان يوفِّر حمايةً للبيت من هلاك البكر.  يقول ديفيس:</w:t>
      </w:r>
    </w:p>
    <w:p w14:paraId="09D5727A" w14:textId="77777777" w:rsidR="00355D9E" w:rsidRPr="00BB48D7" w:rsidRDefault="00355D9E" w:rsidP="00C7130A">
      <w:pPr>
        <w:pStyle w:val="BodyInd2"/>
        <w:rPr>
          <w:rFonts w:cs="Arabic Typesetting"/>
          <w:szCs w:val="36"/>
          <w:rtl/>
        </w:rPr>
      </w:pPr>
      <w:r w:rsidRPr="00BB48D7">
        <w:rPr>
          <w:rFonts w:cs="Arabic Typesetting"/>
          <w:szCs w:val="36"/>
          <w:rtl/>
        </w:rPr>
        <w:t>يعبّر رش الدم بشكل فصيح عن كفّارة بديلية.  فكما كان الحمل بديلاً عن البكر حامياً إياه بذلك من الموت، فإن حمل الله سيموت يوماً ما مكان كل الخطاة، موفّراً بهذا النجاة من دينونة الله.</w:t>
      </w:r>
      <w:r w:rsidRPr="00BB48D7">
        <w:rPr>
          <w:rStyle w:val="FootnoteReference"/>
          <w:rFonts w:cs="Arabic Typesetting"/>
          <w:szCs w:val="36"/>
          <w:rtl/>
        </w:rPr>
        <w:footnoteReference w:customMarkFollows="1" w:id="65"/>
        <w:t>2</w:t>
      </w:r>
      <w:r w:rsidRPr="00BB48D7">
        <w:rPr>
          <w:rFonts w:cs="Arabic Typesetting"/>
          <w:szCs w:val="36"/>
          <w:rtl/>
        </w:rPr>
        <w:t xml:space="preserve"> </w:t>
      </w:r>
    </w:p>
    <w:p w14:paraId="5C956AAA" w14:textId="77777777" w:rsidR="00355D9E" w:rsidRPr="00BB48D7" w:rsidRDefault="00355D9E" w:rsidP="00C7130A">
      <w:pPr>
        <w:pStyle w:val="BodyInd2"/>
        <w:rPr>
          <w:rFonts w:cs="Arabic Typesetting"/>
          <w:szCs w:val="36"/>
          <w:rtl/>
        </w:rPr>
      </w:pPr>
    </w:p>
    <w:p w14:paraId="6B29EC5F" w14:textId="77777777" w:rsidR="00355D9E" w:rsidRPr="00BB48D7" w:rsidRDefault="00355D9E" w:rsidP="00C7130A">
      <w:pPr>
        <w:pStyle w:val="BodyInd2"/>
        <w:rPr>
          <w:rFonts w:cs="Arabic Typesetting"/>
          <w:szCs w:val="36"/>
          <w:rtl/>
          <w:lang w:bidi="ar-SA"/>
        </w:rPr>
      </w:pPr>
      <w:r w:rsidRPr="00BB48D7">
        <w:rPr>
          <w:rFonts w:cs="Arabic Typesetting"/>
          <w:szCs w:val="36"/>
          <w:rtl/>
        </w:rPr>
        <w:t>لكن لم يكن كافياً أن يذبح الحمل؛ إذ كان لا بد أن يوضع الدم على قائمتي الباب وعتبته العليا لكي يكون فعّالاً.  يقول كاسوتو: "القائمتان والعتبة العليا مناسِبة بشكل طبيعي لحمْل علامة الشخص الذي يسكن البيت، وهذه هي العادة المعمول بها حتى يومنا هذا" (139).  ميّز الدم البيوت التي آمنت من البيوت التي لم تؤمن.  وبنفس الطريقة، يجب على كل واحد أن يتكل على دم المسيح بشكل شخصي بالإيمان!</w:t>
      </w:r>
    </w:p>
    <w:p w14:paraId="425DF8F0" w14:textId="77777777" w:rsidR="00355D9E" w:rsidRPr="00BB48D7" w:rsidRDefault="00355D9E" w:rsidP="00C7130A">
      <w:pPr>
        <w:pStyle w:val="BodyInd4"/>
        <w:rPr>
          <w:rFonts w:cs="Arabic Typesetting"/>
          <w:szCs w:val="36"/>
          <w:rtl/>
          <w:lang w:bidi="ar-SA"/>
        </w:rPr>
      </w:pPr>
    </w:p>
    <w:p w14:paraId="2A23F5EA" w14:textId="77777777" w:rsidR="00355D9E" w:rsidRPr="00BB48D7" w:rsidRDefault="00355D9E" w:rsidP="000558B7">
      <w:pPr>
        <w:pStyle w:val="Heading3"/>
        <w:rPr>
          <w:rtl/>
        </w:rPr>
      </w:pPr>
      <w:bookmarkStart w:id="172" w:name="_Toc193030982"/>
      <w:r w:rsidRPr="00BB48D7">
        <w:rPr>
          <w:rtl/>
        </w:rPr>
        <w:t>2.</w:t>
      </w:r>
      <w:r w:rsidRPr="00BB48D7">
        <w:rPr>
          <w:rtl/>
        </w:rPr>
        <w:tab/>
        <w:t>عشاء الحمل (12: 8-13)</w:t>
      </w:r>
      <w:bookmarkEnd w:id="172"/>
    </w:p>
    <w:p w14:paraId="409DECF9" w14:textId="77777777" w:rsidR="00355D9E" w:rsidRPr="00BB48D7" w:rsidRDefault="00355D9E" w:rsidP="006F7738">
      <w:pPr>
        <w:pStyle w:val="Hang2"/>
        <w:rPr>
          <w:rtl/>
        </w:rPr>
      </w:pPr>
      <w:r w:rsidRPr="00BB48D7">
        <w:rPr>
          <w:rtl/>
        </w:rPr>
        <w:t>أ.</w:t>
      </w:r>
      <w:r w:rsidRPr="00BB48D7">
        <w:rPr>
          <w:rtl/>
        </w:rPr>
        <w:tab/>
        <w:t>الوجبة (8)</w:t>
      </w:r>
    </w:p>
    <w:p w14:paraId="0598D391" w14:textId="77777777" w:rsidR="00355D9E" w:rsidRPr="00BB48D7" w:rsidRDefault="00355D9E" w:rsidP="00C7130A">
      <w:pPr>
        <w:pStyle w:val="BodyInd2"/>
        <w:rPr>
          <w:rFonts w:cs="Arabic Typesetting"/>
          <w:szCs w:val="36"/>
          <w:rtl/>
        </w:rPr>
      </w:pPr>
      <w:r w:rsidRPr="00BB48D7">
        <w:rPr>
          <w:rFonts w:cs="Arabic Typesetting"/>
          <w:szCs w:val="36"/>
          <w:rtl/>
        </w:rPr>
        <w:t xml:space="preserve">كانت الوجبة تتألَّف من ثلاثة أجزاء رئيسية </w:t>
      </w:r>
    </w:p>
    <w:p w14:paraId="52F9239D" w14:textId="77777777" w:rsidR="00355D9E" w:rsidRPr="00BB48D7" w:rsidRDefault="00355D9E" w:rsidP="00C7130A">
      <w:pPr>
        <w:pStyle w:val="Hang3"/>
        <w:rPr>
          <w:rFonts w:cs="Arabic Typesetting"/>
          <w:szCs w:val="36"/>
          <w:rtl/>
        </w:rPr>
      </w:pPr>
      <w:r w:rsidRPr="00BB48D7">
        <w:rPr>
          <w:rFonts w:cs="Arabic Typesetting"/>
          <w:szCs w:val="36"/>
          <w:rtl/>
        </w:rPr>
        <w:t>1)</w:t>
      </w:r>
      <w:r w:rsidRPr="00BB48D7">
        <w:rPr>
          <w:rFonts w:cs="Arabic Typesetting"/>
          <w:szCs w:val="36"/>
          <w:rtl/>
        </w:rPr>
        <w:tab/>
        <w:t xml:space="preserve">تناوْل الحمل المشوي </w:t>
      </w:r>
    </w:p>
    <w:p w14:paraId="3AD811E1" w14:textId="77777777" w:rsidR="00355D9E" w:rsidRPr="00BB48D7" w:rsidRDefault="00355D9E" w:rsidP="00C7130A">
      <w:pPr>
        <w:pStyle w:val="BodyInd3"/>
        <w:rPr>
          <w:rFonts w:cs="Arabic Typesetting"/>
          <w:szCs w:val="36"/>
          <w:rtl/>
        </w:rPr>
      </w:pPr>
      <w:r w:rsidRPr="00BB48D7">
        <w:rPr>
          <w:rFonts w:cs="Arabic Typesetting"/>
          <w:szCs w:val="36"/>
          <w:rtl/>
        </w:rPr>
        <w:t>كان يجب أن يشوى الحمل بالنار قبل ن يؤكل.  وغالباً ما تستخدم النار في العهد القديم لتصوير الدينونة كما هو الحال هنا.  ويعبّر شي الحمل عن الدينونة التي حملها.  عندما عانى يسوع من نار غضب الله ودينونته، صرخ على الصليب: "إلهي، إلهي، لماذا تركتَني؟" (متى 27: 46؛ قارن إشعياء 53: 7، 10).  عندما نؤمن بالمسيح ونرتبط به، يجب أن ندرك أننا نشترك في ذاك الذي تألم من أجلنا تحت غضب الله.</w:t>
      </w:r>
    </w:p>
    <w:p w14:paraId="0E32C865" w14:textId="77777777" w:rsidR="00355D9E" w:rsidRPr="00BB48D7" w:rsidRDefault="00355D9E" w:rsidP="00C7130A">
      <w:pPr>
        <w:pStyle w:val="BodyInd3"/>
        <w:rPr>
          <w:rFonts w:cs="Arabic Typesetting"/>
          <w:szCs w:val="36"/>
          <w:rtl/>
        </w:rPr>
      </w:pPr>
    </w:p>
    <w:p w14:paraId="4D3E947F" w14:textId="77777777" w:rsidR="00355D9E" w:rsidRPr="00BB48D7" w:rsidRDefault="00355D9E">
      <w:pPr>
        <w:pStyle w:val="Hang3"/>
        <w:numPr>
          <w:ilvl w:val="0"/>
          <w:numId w:val="7"/>
        </w:numPr>
        <w:tabs>
          <w:tab w:val="clear" w:pos="547"/>
          <w:tab w:val="clear" w:pos="1094"/>
          <w:tab w:val="clear" w:pos="1642"/>
          <w:tab w:val="clear" w:pos="2189"/>
          <w:tab w:val="clear" w:pos="2736"/>
          <w:tab w:val="clear" w:pos="3283"/>
          <w:tab w:val="clear" w:pos="3830"/>
          <w:tab w:val="clear" w:pos="4378"/>
          <w:tab w:val="left" w:pos="550"/>
          <w:tab w:val="left" w:pos="1100"/>
          <w:tab w:val="left" w:pos="1650"/>
          <w:tab w:val="left" w:pos="2200"/>
          <w:tab w:val="left" w:pos="2750"/>
          <w:tab w:val="left" w:pos="3300"/>
          <w:tab w:val="left" w:pos="3850"/>
          <w:tab w:val="left" w:pos="4400"/>
        </w:tabs>
        <w:rPr>
          <w:rFonts w:cs="Arabic Typesetting"/>
          <w:szCs w:val="36"/>
          <w:rtl/>
        </w:rPr>
      </w:pPr>
      <w:r w:rsidRPr="00BB48D7">
        <w:rPr>
          <w:rFonts w:cs="Arabic Typesetting"/>
          <w:szCs w:val="36"/>
          <w:rtl/>
        </w:rPr>
        <w:t>الخبز غير المخمّر (انظر التعليقات أو 12: 14 فصاعداً)</w:t>
      </w:r>
    </w:p>
    <w:p w14:paraId="74D3A2C0" w14:textId="77777777" w:rsidR="00355D9E" w:rsidRPr="00BB48D7" w:rsidRDefault="00355D9E" w:rsidP="00C7130A">
      <w:pPr>
        <w:pStyle w:val="Hang3"/>
        <w:ind w:left="1588" w:firstLine="0"/>
        <w:rPr>
          <w:rFonts w:cs="Arabic Typesetting"/>
          <w:szCs w:val="36"/>
          <w:rtl/>
        </w:rPr>
      </w:pPr>
    </w:p>
    <w:p w14:paraId="76179F0D" w14:textId="77777777" w:rsidR="00355D9E" w:rsidRPr="00BB48D7" w:rsidRDefault="00355D9E" w:rsidP="00C7130A">
      <w:pPr>
        <w:pStyle w:val="Hang3"/>
        <w:rPr>
          <w:rFonts w:cs="Arabic Typesetting"/>
          <w:szCs w:val="36"/>
          <w:rtl/>
        </w:rPr>
      </w:pPr>
      <w:r w:rsidRPr="00BB48D7">
        <w:rPr>
          <w:rFonts w:cs="Arabic Typesetting"/>
          <w:szCs w:val="36"/>
          <w:rtl/>
        </w:rPr>
        <w:t>3)</w:t>
      </w:r>
      <w:r w:rsidRPr="00BB48D7">
        <w:rPr>
          <w:rFonts w:cs="Arabic Typesetting"/>
          <w:szCs w:val="36"/>
          <w:rtl/>
        </w:rPr>
        <w:tab/>
        <w:t xml:space="preserve">أكل الحمل مع أعشاب مرّة </w:t>
      </w:r>
    </w:p>
    <w:p w14:paraId="033DA6F1" w14:textId="77777777" w:rsidR="00355D9E" w:rsidRPr="00BB48D7" w:rsidRDefault="00355D9E" w:rsidP="00C7130A">
      <w:pPr>
        <w:pStyle w:val="BodyInd3"/>
        <w:rPr>
          <w:rFonts w:cs="Arabic Typesetting"/>
          <w:szCs w:val="36"/>
          <w:rtl/>
        </w:rPr>
      </w:pPr>
      <w:r w:rsidRPr="00BB48D7">
        <w:rPr>
          <w:rFonts w:cs="Arabic Typesetting"/>
          <w:szCs w:val="36"/>
          <w:rtl/>
        </w:rPr>
        <w:t>كان هذا تذكيراً لهم بمرارة عبودية مصر.  وبنفس الطريقة، لا يجب أن تغيب عن بالنا مرارة عبوديتنا للخطية وحياتنا السابقة قبل المسيح.</w:t>
      </w:r>
    </w:p>
    <w:p w14:paraId="6F3A30B5" w14:textId="77777777" w:rsidR="00355D9E" w:rsidRPr="00BB48D7" w:rsidRDefault="00355D9E" w:rsidP="00C7130A">
      <w:pPr>
        <w:pStyle w:val="BodyInd3"/>
        <w:rPr>
          <w:rFonts w:cs="Arabic Typesetting"/>
          <w:szCs w:val="36"/>
          <w:rtl/>
        </w:rPr>
      </w:pPr>
    </w:p>
    <w:p w14:paraId="266B82B3" w14:textId="77777777" w:rsidR="00355D9E" w:rsidRPr="00BB48D7" w:rsidRDefault="00355D9E" w:rsidP="00C7130A">
      <w:pPr>
        <w:pStyle w:val="BodyInd3"/>
        <w:rPr>
          <w:rFonts w:cs="Arabic Typesetting"/>
          <w:szCs w:val="36"/>
          <w:rtl/>
        </w:rPr>
      </w:pPr>
    </w:p>
    <w:p w14:paraId="0581C9A6" w14:textId="77777777" w:rsidR="00355D9E" w:rsidRPr="00BB48D7" w:rsidRDefault="00355D9E" w:rsidP="00C7130A">
      <w:pPr>
        <w:pStyle w:val="BodyInd3"/>
        <w:rPr>
          <w:rFonts w:cs="Arabic Typesetting"/>
          <w:szCs w:val="36"/>
          <w:rtl/>
        </w:rPr>
      </w:pPr>
    </w:p>
    <w:p w14:paraId="5F2196C1" w14:textId="77777777" w:rsidR="00355D9E" w:rsidRPr="00BB48D7" w:rsidRDefault="00355D9E" w:rsidP="00C7130A">
      <w:pPr>
        <w:pStyle w:val="BodyInd3"/>
        <w:rPr>
          <w:rFonts w:cs="Arabic Typesetting"/>
          <w:szCs w:val="36"/>
          <w:rtl/>
        </w:rPr>
      </w:pPr>
    </w:p>
    <w:p w14:paraId="26A165D2" w14:textId="77777777" w:rsidR="00355D9E" w:rsidRPr="00BB48D7" w:rsidRDefault="00355D9E" w:rsidP="00C7130A">
      <w:pPr>
        <w:pStyle w:val="BodyInd3"/>
        <w:rPr>
          <w:rFonts w:cs="Arabic Typesetting"/>
          <w:szCs w:val="36"/>
          <w:rtl/>
        </w:rPr>
      </w:pPr>
    </w:p>
    <w:p w14:paraId="18CBFEDC" w14:textId="77777777" w:rsidR="00355D9E" w:rsidRPr="00BB48D7" w:rsidRDefault="00355D9E" w:rsidP="006F7738">
      <w:pPr>
        <w:pStyle w:val="Hang2"/>
        <w:rPr>
          <w:rtl/>
        </w:rPr>
      </w:pPr>
      <w:r w:rsidRPr="00BB48D7">
        <w:rPr>
          <w:rtl/>
        </w:rPr>
        <w:t>ب.</w:t>
      </w:r>
      <w:r w:rsidRPr="00BB48D7">
        <w:rPr>
          <w:rtl/>
        </w:rPr>
        <w:tab/>
        <w:t xml:space="preserve">ملبسهم استعداداً لوجبة الفصح </w:t>
      </w:r>
    </w:p>
    <w:p w14:paraId="64FD0208" w14:textId="77777777" w:rsidR="00355D9E" w:rsidRPr="00BB48D7" w:rsidRDefault="00355D9E" w:rsidP="00C7130A">
      <w:pPr>
        <w:pStyle w:val="BodyInd2"/>
        <w:rPr>
          <w:rFonts w:cs="Arabic Typesetting"/>
          <w:szCs w:val="36"/>
          <w:rtl/>
        </w:rPr>
      </w:pPr>
      <w:r w:rsidRPr="00BB48D7">
        <w:rPr>
          <w:rFonts w:cs="Arabic Typesetting"/>
          <w:szCs w:val="36"/>
          <w:rtl/>
        </w:rPr>
        <w:t xml:space="preserve">أوعز الله لبني إسرائيل أن يأكلوا وجبة الفصح وأحْقاؤهم مشدودة وأحذيتهم في أرجلهم، وعِصِيُّهم في أيديهم.  وشد الأحْقاء هو رفع الثياب الطويلة إلى الخصر.  والفكرة واضحة هنا: يجب أن يلبسوا كما لو أنهم ذاهبون إلى مكان ما، أي، كسوّاح غرباء.  فلن يعودوا موضع ترحيب في أرض مصر.  وتطبيقاً لهذا </w:t>
      </w:r>
      <w:r w:rsidRPr="00BB48D7">
        <w:rPr>
          <w:rFonts w:cs="Arabic Typesetting"/>
          <w:szCs w:val="36"/>
          <w:rtl/>
        </w:rPr>
        <w:lastRenderedPageBreak/>
        <w:t>علينا، لا يجب أن نتباطأ أو نتردد، بل يجب علينا أن ننطلق فوراً في رحلة الحياة المسيحية.  لا يجب أن نؤخِّر انضمامنا إلى طريق التلمذة، بل يتوجب علينا أن نباشر بذلك فوراً.</w:t>
      </w:r>
    </w:p>
    <w:p w14:paraId="5943CB04" w14:textId="77777777" w:rsidR="00355D9E" w:rsidRPr="00BB48D7" w:rsidRDefault="00355D9E" w:rsidP="00C7130A">
      <w:pPr>
        <w:pStyle w:val="BodyInd2"/>
        <w:rPr>
          <w:rFonts w:cs="Arabic Typesetting"/>
          <w:szCs w:val="36"/>
          <w:rtl/>
        </w:rPr>
      </w:pPr>
    </w:p>
    <w:p w14:paraId="18D037B1" w14:textId="77777777" w:rsidR="00355D9E" w:rsidRPr="00BB48D7" w:rsidRDefault="00355D9E" w:rsidP="00C7130A">
      <w:pPr>
        <w:pStyle w:val="BodyInd2"/>
        <w:rPr>
          <w:rFonts w:cs="Arabic Typesetting"/>
          <w:szCs w:val="36"/>
          <w:rtl/>
          <w:lang w:bidi="ar-KW"/>
        </w:rPr>
      </w:pPr>
      <w:r w:rsidRPr="00BB48D7">
        <w:rPr>
          <w:rFonts w:cs="Arabic Typesetting"/>
          <w:i/>
          <w:iCs/>
          <w:szCs w:val="36"/>
          <w:rtl/>
        </w:rPr>
        <w:t>تعليقات إضافية</w:t>
      </w:r>
      <w:r w:rsidRPr="00BB48D7">
        <w:rPr>
          <w:rFonts w:cs="Arabic Typesetting"/>
          <w:szCs w:val="36"/>
          <w:rtl/>
        </w:rPr>
        <w:t>: لنلاحظ في الآية 12 أن الكارثة العاشرة لم تؤثر على أبكار المصريين فحسب، لكنها شكلت دينونة لآلهة مصر أيضاً.  وفي عملية الدينونة هذه، سيوضح الله عجز عبادة الأوثان المصرية. "لم تكن صرخة الموت التي سُمعت في كل أرجاء مصر مجرّد نواح على خسارة ابن أو حيوانات ثمينة، لكنها كانت ندباً لعجز آلهة مصر الكثيرة على الرد وحمايتهم من مثل هذه المأساة."</w:t>
      </w:r>
      <w:r w:rsidRPr="00BB48D7">
        <w:rPr>
          <w:rStyle w:val="FootnoteReference"/>
          <w:rFonts w:cs="Arabic Typesetting"/>
          <w:szCs w:val="36"/>
          <w:rtl/>
        </w:rPr>
        <w:footnoteReference w:customMarkFollows="1" w:id="66"/>
        <w:t>3</w:t>
      </w:r>
    </w:p>
    <w:p w14:paraId="06F52F9C" w14:textId="77777777" w:rsidR="00355D9E" w:rsidRPr="00BB48D7" w:rsidRDefault="00355D9E" w:rsidP="00C7130A">
      <w:pPr>
        <w:pStyle w:val="BodyInd2"/>
        <w:rPr>
          <w:rFonts w:cs="Arabic Typesetting"/>
          <w:szCs w:val="36"/>
          <w:rtl/>
          <w:lang w:bidi="ar-KW"/>
        </w:rPr>
      </w:pPr>
    </w:p>
    <w:p w14:paraId="073030E4" w14:textId="77777777" w:rsidR="00355D9E" w:rsidRPr="00BB48D7" w:rsidRDefault="00355D9E" w:rsidP="00C7130A">
      <w:pPr>
        <w:pStyle w:val="BodyInd2"/>
        <w:rPr>
          <w:rFonts w:cs="Arabic Typesetting"/>
          <w:szCs w:val="36"/>
          <w:rtl/>
        </w:rPr>
      </w:pPr>
      <w:r w:rsidRPr="00BB48D7">
        <w:rPr>
          <w:rFonts w:cs="Arabic Typesetting"/>
          <w:szCs w:val="36"/>
          <w:rtl/>
        </w:rPr>
        <w:t>ما أروع كلمات الآية 13: "</w:t>
      </w:r>
      <w:r w:rsidRPr="00BB48D7">
        <w:rPr>
          <w:rFonts w:cs="Arabic Typesetting"/>
          <w:i/>
          <w:iCs/>
          <w:szCs w:val="36"/>
          <w:rtl/>
        </w:rPr>
        <w:t>فأرى (حين أرى) الدم وأعبُر عنكم، فلا يكون عليكم ضربة للهلاك حين أضرب أرض مصر</w:t>
      </w:r>
      <w:r w:rsidRPr="00BB48D7">
        <w:rPr>
          <w:rFonts w:cs="Arabic Typesetting"/>
          <w:szCs w:val="36"/>
          <w:rtl/>
        </w:rPr>
        <w:t>."  يعلمنا إعلان العهد الجديد أننا بالإيمان بالمسيح نكون تحت دم المسيح متمتعين بمناعة من دينونة الله على الهالكين.  "</w:t>
      </w:r>
      <w:r w:rsidRPr="00BB48D7">
        <w:rPr>
          <w:rFonts w:cs="Arabic Typesetting"/>
          <w:i/>
          <w:iCs/>
          <w:szCs w:val="36"/>
          <w:rtl/>
        </w:rPr>
        <w:t>الحق الحق أقول لكم: إن من يسمع كلامي ويؤمن بالذي أرسلني فله حياة أبدية، ولا يأتي إلى الدينونة، بل يكون قد انتقل من الموت إلى الحياة</w:t>
      </w:r>
      <w:r w:rsidRPr="00BB48D7">
        <w:rPr>
          <w:rFonts w:cs="Arabic Typesetting"/>
          <w:szCs w:val="36"/>
          <w:rtl/>
        </w:rPr>
        <w:t>" (يوحنا 5: 24).</w:t>
      </w:r>
    </w:p>
    <w:p w14:paraId="5ED05DAA" w14:textId="77777777" w:rsidR="00355D9E" w:rsidRPr="00BB48D7" w:rsidRDefault="00355D9E" w:rsidP="00C7130A">
      <w:pPr>
        <w:pStyle w:val="BodyInd2"/>
        <w:rPr>
          <w:rFonts w:cs="Arabic Typesetting"/>
          <w:szCs w:val="36"/>
          <w:rtl/>
        </w:rPr>
      </w:pPr>
    </w:p>
    <w:p w14:paraId="7AA61D7E" w14:textId="77777777" w:rsidR="00355D9E" w:rsidRPr="00BB48D7" w:rsidRDefault="00355D9E" w:rsidP="00BB48D7">
      <w:pPr>
        <w:pStyle w:val="Head5"/>
        <w:rPr>
          <w:rtl/>
        </w:rPr>
      </w:pPr>
      <w:r w:rsidRPr="00BB48D7">
        <w:rPr>
          <w:rtl/>
        </w:rPr>
        <w:t>جـ.</w:t>
      </w:r>
      <w:r w:rsidRPr="00BB48D7">
        <w:rPr>
          <w:rtl/>
        </w:rPr>
        <w:tab/>
        <w:t>الفطير (الخبز غير المخمّر) (12: 14-20)</w:t>
      </w:r>
    </w:p>
    <w:p w14:paraId="51C669B4" w14:textId="77777777" w:rsidR="00355D9E" w:rsidRPr="00C7130A" w:rsidRDefault="00355D9E" w:rsidP="00BB48D7">
      <w:pPr>
        <w:rPr>
          <w:rtl/>
        </w:rPr>
      </w:pPr>
      <w:r w:rsidRPr="00C7130A">
        <w:rPr>
          <w:rtl/>
        </w:rPr>
        <w:t>أصبح طقس الفصح حدثاً مقدّساً عند إسرائيل، واحتفلوا به دائماً أثناء فترة الأيام السبعة المعروفة بعيد الفطير أو عيد الخبز غير المختمر (الفطير).  وكان العيدان لا ينفصلان أحدهما عن الآخر.  تحمل هذه الفقرة الإجراءات التي يجب أن تتبعها الأجيال القادمة في الاحتفال بالفصح، حيثُ سيُحتفل بالفصح أثناء عيد الفطير الذي يستمر أسبوعاً.  حمل مطلب الخبز الفطير، حتى في بداية تأسيس هذا الاحتفال، معنى رمزياً، إذ كان مرتبطاً بالعجلة التي كان على العبرانيين أن يتركوا بها مصر (دون أن يكون لديهم حتى الوقت الكافي لاختمار عجينهم- انظر 12: 33-34).  غير أن هنالك بعداً آخر لهذا المطلب: يجب أن يغادروا في عجلة، لا لمجرد أنهم غير مرغوب فيهم في مصر، بل أيضاً لأن مصر شريرة وتمثل حياة العبودية القديمة.</w:t>
      </w:r>
    </w:p>
    <w:p w14:paraId="43D1ECD7" w14:textId="77777777" w:rsidR="00355D9E" w:rsidRPr="00C7130A" w:rsidRDefault="00355D9E" w:rsidP="00BB48D7">
      <w:pPr>
        <w:rPr>
          <w:rtl/>
        </w:rPr>
      </w:pPr>
      <w:r w:rsidRPr="00C7130A">
        <w:rPr>
          <w:rtl/>
        </w:rPr>
        <w:t xml:space="preserve"> لنلاحظ كيف يطوّر العهد الجديد هذه الفكرة: تقول 1كورنثوس 5: 8 إن الخمير رمز للخطية... والمكر والإثم وهي أمور يجب الانفصال عنها.  يجب أن يكون الاشتراك في خلاص الحمل (الفصح) متبوعاً دائماً بالانفصال عن الخطية وبالحياة المقدسة.  يجب أن نترك الأسلوب القديم للحياة في عجلة، متّكلين على تدبيره لنا ونحن نبدأ حياة الإيمان الجديدة.</w:t>
      </w:r>
    </w:p>
    <w:p w14:paraId="6777D4C3" w14:textId="77777777" w:rsidR="00355D9E" w:rsidRPr="00C7130A" w:rsidRDefault="00355D9E" w:rsidP="00BB48D7">
      <w:pPr>
        <w:rPr>
          <w:rtl/>
        </w:rPr>
      </w:pPr>
      <w:r w:rsidRPr="00C7130A">
        <w:rPr>
          <w:rtl/>
        </w:rPr>
        <w:t>وتلخيصاً لما سبق نقول إن الفصح كان بداية جديدة تحتّم تقويماً زمنياً جديداً، ويشكل بداية الأمّة كشعب مفدي (أمّة اقتناها الله لنفسه؛ انظر إشعياء 43: 1).</w:t>
      </w:r>
    </w:p>
    <w:p w14:paraId="7B2A22D0" w14:textId="77777777" w:rsidR="00355D9E" w:rsidRPr="00C7130A" w:rsidRDefault="00355D9E" w:rsidP="00C7130A">
      <w:pPr>
        <w:pStyle w:val="BodyTxt"/>
        <w:rPr>
          <w:rFonts w:cs="Arabic Typesetting"/>
          <w:rtl/>
        </w:rPr>
      </w:pPr>
    </w:p>
    <w:p w14:paraId="1A868DEF" w14:textId="77777777" w:rsidR="00355D9E" w:rsidRPr="00BB48D7" w:rsidRDefault="00355D9E" w:rsidP="00BB48D7">
      <w:pPr>
        <w:pStyle w:val="Head5"/>
        <w:rPr>
          <w:sz w:val="36"/>
          <w:rtl/>
        </w:rPr>
      </w:pPr>
      <w:r w:rsidRPr="00BB48D7">
        <w:rPr>
          <w:sz w:val="36"/>
          <w:rtl/>
        </w:rPr>
        <w:lastRenderedPageBreak/>
        <w:t>د.</w:t>
      </w:r>
      <w:r w:rsidRPr="00BB48D7">
        <w:rPr>
          <w:sz w:val="36"/>
          <w:rtl/>
        </w:rPr>
        <w:tab/>
        <w:t>تكريس البكر (13: 1-16)</w:t>
      </w:r>
    </w:p>
    <w:p w14:paraId="36FFD3C8" w14:textId="77777777" w:rsidR="00355D9E" w:rsidRPr="00BB48D7" w:rsidRDefault="00355D9E" w:rsidP="00C7130A">
      <w:pPr>
        <w:pStyle w:val="BodyTxt"/>
        <w:rPr>
          <w:rFonts w:cs="Arabic Typesetting"/>
          <w:szCs w:val="36"/>
          <w:rtl/>
        </w:rPr>
      </w:pPr>
      <w:r w:rsidRPr="00BB48D7">
        <w:rPr>
          <w:rFonts w:cs="Arabic Typesetting"/>
          <w:szCs w:val="36"/>
          <w:rtl/>
        </w:rPr>
        <w:t>قد يبدو موضع هذا القسم غريباً للوهلة الأولى، لكن يجب أن يلاحظ المرء أن الآيتين 1-2 تشكّلان إعلاناً إلهياً يعطي الله بموجبه تعليمات لموسى.  أمّا الآيات 3-16 فتدوِّن لنا خطاب موسى للشعب.  يوجد هنا توازٍ بين عيد الفطر – الخبز غير المختمر – (الآيات 3-10) وتكريس البكر في الآيات 11-16 (لاحظ الموازاة بين 5 و11؛ و8 و14؛ و9 و16).  فالاهتمام المهيمن في هذين القسمين هو الجواب الذي يعطيه الأب لابنه في شرحه للإيمان.  يقول تشايلدز:</w:t>
      </w:r>
    </w:p>
    <w:p w14:paraId="0F6C5DDA" w14:textId="77777777" w:rsidR="00355D9E" w:rsidRPr="00BB48D7" w:rsidRDefault="00355D9E" w:rsidP="00C7130A">
      <w:pPr>
        <w:pStyle w:val="BodyInd1"/>
        <w:rPr>
          <w:rFonts w:cs="Arabic Typesetting"/>
          <w:szCs w:val="36"/>
          <w:rtl/>
          <w:lang w:bidi="ar-SA"/>
        </w:rPr>
      </w:pPr>
      <w:r w:rsidRPr="00BB48D7">
        <w:rPr>
          <w:rFonts w:cs="Arabic Typesetting"/>
          <w:szCs w:val="36"/>
          <w:rtl/>
        </w:rPr>
        <w:t>لقد تمت رَوْحَنة (إعطاء بعد روحي لـ) الفكرة الأولية التي تتحدث عن مطالبة الله بالبكر له.  وقد امتدت هذه المطالبة لتشمل كل إسرائيل، لا البكر فحسب.  فلله حق خاص في شعبه: "إنه لي".</w:t>
      </w:r>
      <w:r w:rsidRPr="00BB48D7">
        <w:rPr>
          <w:rStyle w:val="FootnoteReference"/>
          <w:rFonts w:cs="Arabic Typesetting"/>
          <w:szCs w:val="36"/>
          <w:rtl/>
        </w:rPr>
        <w:footnoteReference w:customMarkFollows="1" w:id="67"/>
        <w:t>4</w:t>
      </w:r>
    </w:p>
    <w:p w14:paraId="4B591E88" w14:textId="77777777" w:rsidR="00355D9E" w:rsidRPr="00BB48D7" w:rsidRDefault="00355D9E" w:rsidP="00C7130A">
      <w:pPr>
        <w:pStyle w:val="BodyTxt"/>
        <w:rPr>
          <w:rFonts w:cs="Arabic Typesetting"/>
          <w:szCs w:val="36"/>
          <w:rtl/>
        </w:rPr>
      </w:pPr>
      <w:r w:rsidRPr="00BB48D7">
        <w:rPr>
          <w:rFonts w:cs="Arabic Typesetting"/>
          <w:szCs w:val="36"/>
          <w:rtl/>
        </w:rPr>
        <w:t>ولا يعني هذا أقل من تكريس اختباري مستمر من القلب استجابة لما يفعله الله.  فكل ما هو دون التكريس غير مقبول (13: 13)، ممّا يذكّرنا بالأمر الموجه لنا في رومية 12: 1-2.  أمّا التوكيد على "بيت العبودية" (13، 14، 16) فهو تذكير للمرء بأن لا ينسى من أين جاء  (أي من العبودية)، وألا ينسى عظمة العمل الذي فداه به يهوه.</w:t>
      </w:r>
    </w:p>
    <w:p w14:paraId="34F512EF" w14:textId="77777777" w:rsidR="00355D9E" w:rsidRPr="00C7130A" w:rsidRDefault="00355D9E" w:rsidP="00C7130A">
      <w:pPr>
        <w:pStyle w:val="BodyTxt"/>
        <w:rPr>
          <w:rFonts w:cs="Arabic Typesetting"/>
          <w:rtl/>
        </w:rPr>
      </w:pPr>
    </w:p>
    <w:p w14:paraId="38E43843" w14:textId="77777777" w:rsidR="00355D9E" w:rsidRPr="00C7130A" w:rsidRDefault="00355D9E" w:rsidP="000558B7">
      <w:pPr>
        <w:pStyle w:val="Heading3"/>
        <w:rPr>
          <w:rtl/>
        </w:rPr>
      </w:pPr>
      <w:bookmarkStart w:id="173" w:name="_Toc193030983"/>
      <w:r w:rsidRPr="00C7130A">
        <w:rPr>
          <w:rtl/>
        </w:rPr>
        <w:t>3.</w:t>
      </w:r>
      <w:r w:rsidRPr="00C7130A">
        <w:rPr>
          <w:rtl/>
        </w:rPr>
        <w:tab/>
        <w:t>إنقاذ في البحر (13: 17-15: 21)</w:t>
      </w:r>
      <w:bookmarkEnd w:id="173"/>
    </w:p>
    <w:p w14:paraId="264F2939" w14:textId="77777777" w:rsidR="00355D9E" w:rsidRPr="00C7130A" w:rsidRDefault="00355D9E" w:rsidP="00BB48D7">
      <w:pPr>
        <w:rPr>
          <w:rtl/>
        </w:rPr>
      </w:pPr>
      <w:r w:rsidRPr="00C7130A">
        <w:rPr>
          <w:rtl/>
        </w:rPr>
        <w:t>يركّز هذا القسم على الخلاص (أي الإنقاذ) من العبودية.  وتستخدم فكرة "الخلاص" بالمعنى الأكثر شيوعاً للكلمة وهو الإنقاذ (وهو في هذه الحالة إنقاذ مادي من فرعون والجيش المصري).  كان هذا تحقيق لخروج 6: 6: "</w:t>
      </w:r>
      <w:r w:rsidRPr="00C7130A">
        <w:rPr>
          <w:i/>
          <w:iCs/>
          <w:rtl/>
        </w:rPr>
        <w:t>أنا الرب، وأنا أُخرجكم من تحت أثقال المصريين وأُنقذكم من عبوديتهم</w:t>
      </w:r>
      <w:r w:rsidRPr="00C7130A">
        <w:rPr>
          <w:rtl/>
        </w:rPr>
        <w:t>." والخلاص-الإنقاذ أو التحرير في هذه الحالة هو على نطاق قومي (ولا يعكس بالضرورة خلاص المرء الروحي الشخصي، أي نحن لا نستنتج بالضرورة أن كل العبرانيين الخارجين من مصر كانوا "مخلَّصين روحياً").  لكن توجد بلا شك خطوط توازٍ يمكن استخلاصها ودروس يمكن تعلّمها على سبيل التطبيق (انظر 1كورنثوس 10).</w:t>
      </w:r>
    </w:p>
    <w:p w14:paraId="45ED431A" w14:textId="77777777" w:rsidR="00355D9E" w:rsidRPr="00C7130A" w:rsidRDefault="00355D9E" w:rsidP="00BB48D7">
      <w:pPr>
        <w:rPr>
          <w:rtl/>
        </w:rPr>
      </w:pPr>
      <w:r w:rsidRPr="00C7130A">
        <w:rPr>
          <w:rtl/>
        </w:rPr>
        <w:t>منع الله شعبه في 13: 17 من المرور في طريق الفلسطيين (</w:t>
      </w:r>
      <w:r w:rsidRPr="00C7130A">
        <w:t>Philistines</w:t>
      </w:r>
      <w:r w:rsidRPr="00C7130A">
        <w:rPr>
          <w:rtl/>
        </w:rPr>
        <w:t>) (على الرغم من كونه الطريق الأقرب).  وقد كان لهذا غرض.  "بحسب هذه الآية، على الرغم من أن هذه الطريق كانت مناسِبة بصفتها أقصر الطرق إلى كنعان، إلاّ أن الله لم يسمح لشعبه باستخدامها.  والسبب الرئيسي لذلك هو تجنيبهم الحرب؛ فقد كانت هذه الطريق مرصوفة بحصون مصرية.  فكان المرور منها يعني مواجهة قوية وربما تثبيطاً لعزيمة الشعب."</w:t>
      </w:r>
      <w:r w:rsidRPr="00C7130A">
        <w:rPr>
          <w:rStyle w:val="FootnoteReference"/>
          <w:sz w:val="30"/>
          <w:szCs w:val="28"/>
          <w:rtl/>
        </w:rPr>
        <w:footnoteReference w:customMarkFollows="1" w:id="68"/>
        <w:t>5</w:t>
      </w:r>
      <w:r w:rsidRPr="00C7130A">
        <w:rPr>
          <w:rtl/>
        </w:rPr>
        <w:t xml:space="preserve"> لم يُرد الله أن تثبّط عزيمة شعبه خاصة أنهم ما زالوا في طور "الطفولة الروحية."  أمّا "الطريق الالتفافية" فستعلّمهم الكثير عن الله، والسير معه، والاتكال عليه، إلخ.  وبالنسبة لهم، كما هو الحال معنا، لا توجد طرق مختصرة للنضج الروحي!</w:t>
      </w:r>
    </w:p>
    <w:p w14:paraId="3A341CA7" w14:textId="77777777" w:rsidR="00355D9E" w:rsidRPr="00C7130A" w:rsidRDefault="00355D9E" w:rsidP="00BB48D7">
      <w:pPr>
        <w:rPr>
          <w:rtl/>
        </w:rPr>
      </w:pPr>
      <w:r w:rsidRPr="00C7130A">
        <w:rPr>
          <w:rtl/>
        </w:rPr>
        <w:lastRenderedPageBreak/>
        <w:t>ربطت عملية حمل عظام يوسف من مصر الجيل الحاضر بالآباء الذين أكد لهم الله العهد.  وقد أعاد هذا لأذهانهم أن الله لم يفشل في تحقيق وعوده أو برنامجه بعد كل هذه المئات من السنوات.</w:t>
      </w:r>
    </w:p>
    <w:p w14:paraId="7C3C1532" w14:textId="77777777" w:rsidR="00355D9E" w:rsidRPr="00C7130A" w:rsidRDefault="00355D9E" w:rsidP="00BB48D7">
      <w:pPr>
        <w:rPr>
          <w:rtl/>
        </w:rPr>
      </w:pPr>
    </w:p>
    <w:p w14:paraId="280619E6" w14:textId="77777777" w:rsidR="00355D9E" w:rsidRPr="00C7130A" w:rsidRDefault="00355D9E" w:rsidP="00BB48D7">
      <w:pPr>
        <w:rPr>
          <w:rtl/>
        </w:rPr>
      </w:pPr>
      <w:r w:rsidRPr="00C7130A">
        <w:rPr>
          <w:rtl/>
        </w:rPr>
        <w:t>ونتعلم من 13: 21-22 أن مجد الله كان بينهم منذ بداية رحلتهم، وسمّي هذا المجد فيما بعد "شكينة" (16: 10؛ 40: 34).  فكان هذا مصدر تعزية وطمأنة للذين ارتحلوا وهم مضطربون.  فكم بالأحرى نحن الذين نتمتع اليوم بامتياز أعظم بسكنى روح المجد، الروح المعزيّ فينا!</w:t>
      </w:r>
    </w:p>
    <w:p w14:paraId="0D1C546A" w14:textId="77777777" w:rsidR="00355D9E" w:rsidRPr="00C7130A" w:rsidRDefault="00355D9E" w:rsidP="00BB48D7">
      <w:pPr>
        <w:rPr>
          <w:rtl/>
        </w:rPr>
      </w:pPr>
      <w:r w:rsidRPr="00C7130A">
        <w:rPr>
          <w:rtl/>
        </w:rPr>
        <w:t xml:space="preserve"> </w:t>
      </w:r>
    </w:p>
    <w:p w14:paraId="12DF2168" w14:textId="77777777" w:rsidR="00355D9E" w:rsidRPr="00C7130A" w:rsidRDefault="00355D9E" w:rsidP="00BB48D7">
      <w:pPr>
        <w:rPr>
          <w:rtl/>
        </w:rPr>
      </w:pPr>
      <w:r w:rsidRPr="00C7130A">
        <w:rPr>
          <w:rtl/>
        </w:rPr>
        <w:t>وكان هنالك درس أخير يحتاج أن يفهمه كل من المصريين وإسرائيل، وهو ما قصده الله حين قال: "</w:t>
      </w:r>
      <w:r w:rsidRPr="00C7130A">
        <w:rPr>
          <w:i/>
          <w:iCs/>
          <w:rtl/>
        </w:rPr>
        <w:t>أنا الرب.</w:t>
      </w:r>
      <w:r w:rsidRPr="00C7130A">
        <w:rPr>
          <w:rtl/>
        </w:rPr>
        <w:t xml:space="preserve">"  سيتذكّر الجميع خلاص بني إسرائيل في البحر الأحمر (حرفياً </w:t>
      </w:r>
      <w:r w:rsidRPr="00C7130A">
        <w:rPr>
          <w:u w:val="single"/>
          <w:rtl/>
        </w:rPr>
        <w:t>بحر القصب</w:t>
      </w:r>
      <w:r w:rsidRPr="00C7130A">
        <w:rPr>
          <w:rtl/>
        </w:rPr>
        <w:t>) بصفته أعظم معجزة في العهد القديم.  فمن شأن هزيمة عسكرية على يد الرب أن تبرهن بشكل حاسم لفرعون وجيشه أنهم بلا حول ولا قوة أمامه.  فهو، بصفته الرب، منتصر! وقد احتاج بنو إسرائيل أن يروا بأعينهم هزيمة عدوهم.  فكم يفوق نصر الصليب كل ذلك عظمةً! لنلاحظ في 14: 1-9 أن الرب تعمّد أن يجعل شعبه يسلكون بشكل يُظهرهم مرتبكين وفريسة عاجزة أمام فرعون.  وبهذا العمل جلبهم الله للمواجهة التي ستبرهن أنه الرب!</w:t>
      </w:r>
    </w:p>
    <w:p w14:paraId="15113D6B" w14:textId="77777777" w:rsidR="00355D9E" w:rsidRPr="00C7130A" w:rsidRDefault="00355D9E" w:rsidP="00C7130A">
      <w:pPr>
        <w:pStyle w:val="BodyTxt"/>
        <w:rPr>
          <w:rFonts w:cs="Arabic Typesetting"/>
          <w:rtl/>
        </w:rPr>
      </w:pPr>
    </w:p>
    <w:p w14:paraId="516DF2E8" w14:textId="77777777" w:rsidR="00355D9E" w:rsidRPr="002F5DD2" w:rsidRDefault="00355D9E" w:rsidP="00C7130A">
      <w:pPr>
        <w:pStyle w:val="BodyTxt"/>
        <w:rPr>
          <w:rFonts w:cs="Arabic Typesetting"/>
          <w:szCs w:val="36"/>
          <w:rtl/>
        </w:rPr>
      </w:pPr>
      <w:r w:rsidRPr="002F5DD2">
        <w:rPr>
          <w:rFonts w:cs="Arabic Typesetting"/>
          <w:szCs w:val="36"/>
          <w:rtl/>
        </w:rPr>
        <w:t>بيّن الاحتجاج على موسى (10-12) أن العبرانيين لم يكونوا خاضعين لموسى عن طيب خاطر (قابل مع 14: 31)؛ إذ رفضوا الاعتراف بسلطته.  ويكشف احتجاجهم أيضاً ضحالة إيمانهم:</w:t>
      </w:r>
    </w:p>
    <w:p w14:paraId="020CA19A" w14:textId="77777777" w:rsidR="00355D9E" w:rsidRPr="002F5DD2" w:rsidRDefault="00355D9E" w:rsidP="00C7130A">
      <w:pPr>
        <w:pStyle w:val="BodyInd1"/>
        <w:rPr>
          <w:rFonts w:cs="Arabic Typesetting"/>
          <w:szCs w:val="36"/>
          <w:rtl/>
          <w:lang w:bidi="ar-SA"/>
        </w:rPr>
      </w:pPr>
      <w:r w:rsidRPr="002F5DD2">
        <w:rPr>
          <w:rFonts w:cs="Arabic Typesetting"/>
          <w:szCs w:val="36"/>
          <w:rtl/>
        </w:rPr>
        <w:t>يعبّر قولهم إنهم كان أفضل لهم أن يخدموا المصريين من أن يموتوا في البرّية عن ذاكرة ضعيفة جداً.  فهل نسوا بهذه السرعة الإذلال واليأس في الوضع الذي أُنقذوا منه (انظر 2: 23-24)؟ ينطبق رد فعل العبرانيين على أولئك الذين يكيّف الحاضر وحده منظورهم الروحي.</w:t>
      </w:r>
      <w:r w:rsidRPr="002F5DD2">
        <w:rPr>
          <w:rStyle w:val="FootnoteReference"/>
          <w:rFonts w:cs="Arabic Typesetting"/>
          <w:szCs w:val="36"/>
          <w:rtl/>
        </w:rPr>
        <w:footnoteReference w:customMarkFollows="1" w:id="69"/>
        <w:t>6</w:t>
      </w:r>
    </w:p>
    <w:p w14:paraId="39A032F7" w14:textId="77777777" w:rsidR="00355D9E" w:rsidRPr="002F5DD2" w:rsidRDefault="00355D9E" w:rsidP="00C7130A">
      <w:pPr>
        <w:pStyle w:val="BodyTxt"/>
        <w:rPr>
          <w:rFonts w:cs="Arabic Typesetting"/>
          <w:szCs w:val="36"/>
          <w:rtl/>
        </w:rPr>
      </w:pPr>
      <w:r w:rsidRPr="002F5DD2">
        <w:rPr>
          <w:rFonts w:cs="Arabic Typesetting"/>
          <w:szCs w:val="36"/>
          <w:rtl/>
        </w:rPr>
        <w:t>على الرغم من صرخات الشعب غير الناضجة، إلاّ أن موسى يظهر إيماناً ناضجاً وشجاعة (14: 13): "</w:t>
      </w:r>
      <w:r w:rsidRPr="002F5DD2">
        <w:rPr>
          <w:rFonts w:cs="Arabic Typesetting"/>
          <w:i/>
          <w:iCs/>
          <w:szCs w:val="36"/>
          <w:rtl/>
        </w:rPr>
        <w:t>لا تخافوا.   قفوا وانظروا خلاص الرب الذي يصنعه لكم اليوم... الرب يقاتل عنكم وأنتم تصمتون</w:t>
      </w:r>
      <w:r w:rsidRPr="002F5DD2">
        <w:rPr>
          <w:rFonts w:cs="Arabic Typesetting"/>
          <w:szCs w:val="36"/>
          <w:rtl/>
        </w:rPr>
        <w:t>."  على الرغم من أن هذا الخلاص ليس تحريراً من الخطية، وإنما من الجيش المصري، إلا أنه يعكس بالفعل حقيقة هامة: الخلاص هو عمل الله وحده! وسيكون "الخلاص الأعظم الآتي" وفق هذا (انظر 1كورنثوس 1: 30-31).</w:t>
      </w:r>
    </w:p>
    <w:p w14:paraId="51CFF30A" w14:textId="77777777" w:rsidR="00355D9E" w:rsidRPr="002F5DD2" w:rsidRDefault="00355D9E" w:rsidP="00C7130A">
      <w:pPr>
        <w:pStyle w:val="BodyTxt"/>
        <w:rPr>
          <w:rFonts w:cs="Arabic Typesetting"/>
          <w:szCs w:val="36"/>
          <w:rtl/>
        </w:rPr>
      </w:pPr>
    </w:p>
    <w:p w14:paraId="31ABB826" w14:textId="77777777" w:rsidR="00355D9E" w:rsidRPr="002F5DD2" w:rsidRDefault="00355D9E" w:rsidP="00C7130A">
      <w:pPr>
        <w:pStyle w:val="BodyTxt"/>
        <w:rPr>
          <w:rFonts w:cs="Arabic Typesetting"/>
          <w:szCs w:val="36"/>
          <w:rtl/>
        </w:rPr>
      </w:pPr>
      <w:r w:rsidRPr="002F5DD2">
        <w:rPr>
          <w:rFonts w:cs="Arabic Typesetting"/>
          <w:szCs w:val="36"/>
          <w:rtl/>
        </w:rPr>
        <w:lastRenderedPageBreak/>
        <w:t xml:space="preserve">قد يتأثر تقرير مكان العبور بالترجمة الصحيحة للعبارة العبرية نفسها.  وإن من الواضح أن البحر "الذي عبره العبرانيون في الأصحاح 14 كان يم – سوف </w:t>
      </w:r>
      <w:r w:rsidRPr="002F5DD2">
        <w:rPr>
          <w:rFonts w:cs="Arabic Typesetting"/>
          <w:i/>
          <w:iCs/>
          <w:szCs w:val="36"/>
        </w:rPr>
        <w:t>yam-sûp̄</w:t>
      </w:r>
      <w:r w:rsidRPr="002F5DD2">
        <w:rPr>
          <w:rFonts w:cs="Arabic Typesetting"/>
          <w:szCs w:val="36"/>
          <w:rtl/>
        </w:rPr>
        <w:t xml:space="preserve"> (</w:t>
      </w:r>
      <w:r w:rsidRPr="002F5DD2">
        <w:rPr>
          <w:rFonts w:ascii="Times New Roman" w:hAnsi="Times New Roman" w:cs="Times New Roman" w:hint="cs"/>
          <w:szCs w:val="36"/>
          <w:rtl/>
          <w:lang w:bidi="he-IL"/>
        </w:rPr>
        <w:t>יַם־סוּף</w:t>
      </w:r>
      <w:r w:rsidRPr="002F5DD2">
        <w:rPr>
          <w:rFonts w:cs="Arabic Typesetting"/>
          <w:szCs w:val="36"/>
          <w:rtl/>
          <w:lang w:bidi="he-IL"/>
        </w:rPr>
        <w:t>)</w:t>
      </w:r>
      <w:r w:rsidRPr="002F5DD2">
        <w:rPr>
          <w:rFonts w:cs="Arabic Typesetting"/>
          <w:szCs w:val="36"/>
          <w:rtl/>
        </w:rPr>
        <w:t>، أي "بحر القصب."</w:t>
      </w:r>
      <w:r w:rsidRPr="002F5DD2">
        <w:rPr>
          <w:rStyle w:val="FootnoteReference"/>
          <w:rFonts w:cs="Arabic Typesetting"/>
          <w:szCs w:val="36"/>
          <w:rtl/>
        </w:rPr>
        <w:footnoteReference w:customMarkFollows="1" w:id="70"/>
        <w:t>7</w:t>
      </w:r>
      <w:r w:rsidRPr="002F5DD2">
        <w:rPr>
          <w:rFonts w:cs="Arabic Typesetting"/>
          <w:szCs w:val="36"/>
          <w:rtl/>
        </w:rPr>
        <w:t xml:space="preserve"> </w:t>
      </w:r>
      <w:r w:rsidRPr="002F5DD2">
        <w:rPr>
          <w:rFonts w:cs="Arabic Typesetting"/>
          <w:szCs w:val="36"/>
          <w:rtl/>
          <w:lang w:bidi="ar-SA"/>
        </w:rPr>
        <w:t xml:space="preserve"> </w:t>
      </w:r>
      <w:r w:rsidRPr="002F5DD2">
        <w:rPr>
          <w:rFonts w:cs="Arabic Typesetting"/>
          <w:szCs w:val="36"/>
          <w:rtl/>
        </w:rPr>
        <w:t>أمّا تعبير "البحر ال</w:t>
      </w:r>
      <w:r w:rsidRPr="002F5DD2">
        <w:rPr>
          <w:rFonts w:cs="Arabic Typesetting"/>
          <w:szCs w:val="36"/>
          <w:rtl/>
          <w:lang w:bidi="ar-SA"/>
        </w:rPr>
        <w:t>أحمر</w:t>
      </w:r>
      <w:r w:rsidRPr="002F5DD2">
        <w:rPr>
          <w:rFonts w:cs="Arabic Typesetting"/>
          <w:szCs w:val="36"/>
          <w:rtl/>
        </w:rPr>
        <w:t>" المأخوذ من الترجمة السبعينية فلا يمثّل أفضل ترجمة للنص العبري."</w:t>
      </w:r>
      <w:r w:rsidRPr="002F5DD2">
        <w:rPr>
          <w:rStyle w:val="FootnoteReference"/>
          <w:rFonts w:cs="Arabic Typesetting"/>
          <w:szCs w:val="36"/>
          <w:rtl/>
        </w:rPr>
        <w:footnoteReference w:customMarkFollows="1" w:id="71"/>
        <w:t>8</w:t>
      </w:r>
      <w:r w:rsidRPr="002F5DD2">
        <w:rPr>
          <w:rFonts w:cs="Arabic Typesetting"/>
          <w:szCs w:val="36"/>
          <w:rtl/>
        </w:rPr>
        <w:t xml:space="preserve"> </w:t>
      </w:r>
      <w:r w:rsidRPr="002F5DD2">
        <w:rPr>
          <w:rFonts w:cs="Arabic Typesetting"/>
          <w:szCs w:val="36"/>
          <w:rtl/>
          <w:lang w:bidi="ar-SA"/>
        </w:rPr>
        <w:t xml:space="preserve"> </w:t>
      </w:r>
      <w:r w:rsidRPr="002F5DD2">
        <w:rPr>
          <w:rFonts w:cs="Arabic Typesetting"/>
          <w:szCs w:val="36"/>
          <w:rtl/>
        </w:rPr>
        <w:t>ويعتقد عدد من الباحثين المحافظين أن المكان الفعلي للعبور هو في مكان ما من منطقة البحيرات المُرّة، على الرغم من أنه لا يمكن تحديد موقع العبور بدقة اليوم.  يقترح ك. أ. كتشن طريقاً ممكناً للخروج:</w:t>
      </w:r>
    </w:p>
    <w:p w14:paraId="23C46AC4" w14:textId="77777777" w:rsidR="00355D9E" w:rsidRPr="002F5DD2" w:rsidRDefault="00355D9E" w:rsidP="00C7130A">
      <w:pPr>
        <w:pStyle w:val="BodyInd1"/>
        <w:rPr>
          <w:rFonts w:cs="Arabic Typesetting"/>
          <w:szCs w:val="36"/>
          <w:rtl/>
          <w:lang w:bidi="ar-SA"/>
        </w:rPr>
      </w:pPr>
      <w:r w:rsidRPr="002F5DD2">
        <w:rPr>
          <w:rFonts w:cs="Arabic Typesetting"/>
          <w:szCs w:val="36"/>
          <w:rtl/>
        </w:rPr>
        <w:t>... من رمسيس (في القنطير) إلى سكوث (تل المسخوطة) ثم إلى حافة البرية عائدين إلى بحيرة البلح عبر بحر القصب في منطقة ما هناك.  ومن ذلك المكان توجّهوا جنوباً عبر شور/إيثام نحو الساحل الغربي لشبه جزيرة سيناء.</w:t>
      </w:r>
      <w:r w:rsidRPr="002F5DD2">
        <w:rPr>
          <w:rStyle w:val="FootnoteReference"/>
          <w:rFonts w:cs="Arabic Typesetting"/>
          <w:szCs w:val="36"/>
          <w:rtl/>
        </w:rPr>
        <w:footnoteReference w:customMarkFollows="1" w:id="72"/>
        <w:t>9</w:t>
      </w:r>
    </w:p>
    <w:p w14:paraId="41409654" w14:textId="77777777" w:rsidR="00355D9E" w:rsidRPr="002F5DD2" w:rsidRDefault="00355D9E" w:rsidP="00C7130A">
      <w:pPr>
        <w:pStyle w:val="BodyTxt"/>
        <w:rPr>
          <w:rFonts w:cs="Arabic Typesetting"/>
          <w:szCs w:val="36"/>
          <w:rtl/>
        </w:rPr>
      </w:pPr>
      <w:r w:rsidRPr="002F5DD2">
        <w:rPr>
          <w:rFonts w:cs="Arabic Typesetting"/>
          <w:szCs w:val="36"/>
          <w:rtl/>
        </w:rPr>
        <w:t>على الرغم من أن الله استخدم ريحاً لشق البحر، إلاّ أن هذا كان عملاً خارقاً (انظر مزمور 74: 13- "</w:t>
      </w:r>
      <w:r w:rsidRPr="002F5DD2">
        <w:rPr>
          <w:rFonts w:cs="Arabic Typesetting"/>
          <w:i/>
          <w:iCs/>
          <w:szCs w:val="36"/>
          <w:rtl/>
        </w:rPr>
        <w:t>أنتَ شققت البحر بقوّتك</w:t>
      </w:r>
      <w:r w:rsidRPr="002F5DD2">
        <w:rPr>
          <w:rFonts w:cs="Arabic Typesetting"/>
          <w:szCs w:val="36"/>
          <w:rtl/>
        </w:rPr>
        <w:t>...").</w:t>
      </w:r>
    </w:p>
    <w:p w14:paraId="65D3E609" w14:textId="77777777" w:rsidR="00355D9E" w:rsidRPr="002F5DD2" w:rsidRDefault="00355D9E" w:rsidP="00C7130A">
      <w:pPr>
        <w:pStyle w:val="BodyTxt"/>
        <w:rPr>
          <w:rFonts w:cs="Arabic Typesetting"/>
          <w:szCs w:val="36"/>
          <w:rtl/>
        </w:rPr>
      </w:pPr>
    </w:p>
    <w:p w14:paraId="0D2CD917" w14:textId="77777777" w:rsidR="00355D9E" w:rsidRPr="002F5DD2" w:rsidRDefault="00355D9E" w:rsidP="00C7130A">
      <w:pPr>
        <w:pStyle w:val="BodyTxt"/>
        <w:rPr>
          <w:rFonts w:cs="Arabic Typesetting"/>
          <w:szCs w:val="36"/>
          <w:rtl/>
        </w:rPr>
      </w:pPr>
      <w:r w:rsidRPr="002F5DD2">
        <w:rPr>
          <w:rFonts w:cs="Arabic Typesetting"/>
          <w:szCs w:val="36"/>
          <w:rtl/>
        </w:rPr>
        <w:t>تنعكس نتيجة عمل الرب في البحر في الآية 14: 13: "</w:t>
      </w:r>
      <w:r w:rsidRPr="002F5DD2">
        <w:rPr>
          <w:rFonts w:cs="Arabic Typesetting"/>
          <w:i/>
          <w:iCs/>
          <w:szCs w:val="36"/>
          <w:rtl/>
        </w:rPr>
        <w:t>ورأى إسرائيل الفعل العظيم الذي صنعه الرب بالمصريين، فخاف الشعب الرب وآمنوا بالرب وبعبده موسى.</w:t>
      </w:r>
      <w:r w:rsidRPr="002F5DD2">
        <w:rPr>
          <w:rFonts w:cs="Arabic Typesetting"/>
          <w:szCs w:val="36"/>
          <w:rtl/>
        </w:rPr>
        <w:t>"  ولا يجب أن نفهم أن هذا يعني أن الشعب مارسوا "إيمان مخَلِّصاً" في هذه المرة.  فالفكرة هنا هي أنهم بدأوا يفهمون ويؤمنون بما كان يعلنه الله الآن عن نفسه كيهوه (يجب أن نفهم هذا كمقابلة مع 14: 10، 11).  استخدم موسى عصاه في شق البحر، فرَّسخ الله بهذا سلطة موسى أمام الشعب المفدي.  وقد أدّى قضاء الله على المصريين بهذه الطريقة إلى إخضاع الشعب له وللإداري الثيوقراطي الذي عيّنه، أي موسى.</w:t>
      </w:r>
    </w:p>
    <w:p w14:paraId="0C90F777" w14:textId="77777777" w:rsidR="00355D9E" w:rsidRPr="002F5DD2" w:rsidRDefault="00355D9E" w:rsidP="00C7130A">
      <w:pPr>
        <w:pStyle w:val="BodyTxt"/>
        <w:rPr>
          <w:rFonts w:cs="Arabic Typesetting"/>
          <w:szCs w:val="36"/>
          <w:rtl/>
        </w:rPr>
      </w:pPr>
    </w:p>
    <w:p w14:paraId="307234DF" w14:textId="77777777" w:rsidR="00355D9E" w:rsidRPr="002F5DD2" w:rsidRDefault="00355D9E" w:rsidP="00C7130A">
      <w:pPr>
        <w:pStyle w:val="BodyTxt"/>
        <w:rPr>
          <w:rFonts w:cs="Arabic Typesetting"/>
          <w:szCs w:val="36"/>
          <w:rtl/>
        </w:rPr>
      </w:pPr>
    </w:p>
    <w:p w14:paraId="28632209" w14:textId="77777777" w:rsidR="00355D9E" w:rsidRPr="002F5DD2" w:rsidRDefault="00355D9E" w:rsidP="00C7130A">
      <w:pPr>
        <w:pStyle w:val="BodyTxt"/>
        <w:rPr>
          <w:rFonts w:cs="Arabic Typesetting"/>
          <w:szCs w:val="36"/>
          <w:rtl/>
        </w:rPr>
      </w:pPr>
    </w:p>
    <w:p w14:paraId="7E1D70A2" w14:textId="77777777" w:rsidR="00355D9E" w:rsidRPr="002F5DD2" w:rsidRDefault="00355D9E" w:rsidP="00C7130A">
      <w:pPr>
        <w:pStyle w:val="BodyTxt"/>
        <w:rPr>
          <w:rFonts w:cs="Arabic Typesetting"/>
          <w:szCs w:val="36"/>
          <w:rtl/>
        </w:rPr>
      </w:pPr>
      <w:r w:rsidRPr="002F5DD2">
        <w:rPr>
          <w:rFonts w:cs="Arabic Typesetting"/>
          <w:szCs w:val="36"/>
          <w:u w:val="single"/>
          <w:rtl/>
        </w:rPr>
        <w:t>ترنيمة موسى</w:t>
      </w:r>
      <w:r w:rsidRPr="002F5DD2">
        <w:rPr>
          <w:rFonts w:cs="Arabic Typesetting"/>
          <w:szCs w:val="36"/>
          <w:rtl/>
        </w:rPr>
        <w:t xml:space="preserve"> (15: 1-21).</w:t>
      </w:r>
      <w:r w:rsidRPr="002F5DD2">
        <w:rPr>
          <w:rFonts w:cs="Arabic Typesetting"/>
          <w:szCs w:val="36"/>
          <w:rtl/>
          <w:lang w:bidi="ar-SA"/>
        </w:rPr>
        <w:t xml:space="preserve">  </w:t>
      </w:r>
      <w:r w:rsidRPr="002F5DD2">
        <w:rPr>
          <w:rFonts w:cs="Arabic Typesetting"/>
          <w:szCs w:val="36"/>
          <w:rtl/>
        </w:rPr>
        <w:t>تتبع "ترنيمة موسى" الإنقاذ والتحرير.  ونتعلم من هذه الترنيمة أن الشعب المفدي سيكون شعباً عابداً.  وتؤكد الترنيمة أيضاً على حقائق هامة تعلمها المفديون:</w:t>
      </w:r>
    </w:p>
    <w:p w14:paraId="4A76EDFD" w14:textId="77777777" w:rsidR="00355D9E" w:rsidRPr="002F5DD2" w:rsidRDefault="00355D9E" w:rsidP="006F7738">
      <w:pPr>
        <w:pStyle w:val="Hang2"/>
        <w:rPr>
          <w:rtl/>
        </w:rPr>
      </w:pPr>
      <w:r w:rsidRPr="002F5DD2">
        <w:rPr>
          <w:rtl/>
        </w:rPr>
        <w:t>1)</w:t>
      </w:r>
      <w:r w:rsidRPr="002F5DD2">
        <w:rPr>
          <w:rtl/>
        </w:rPr>
        <w:tab/>
        <w:t xml:space="preserve">إدراك فرادة يهوه </w:t>
      </w:r>
    </w:p>
    <w:p w14:paraId="4F94D58E" w14:textId="77777777" w:rsidR="00355D9E" w:rsidRPr="002F5DD2" w:rsidRDefault="00355D9E" w:rsidP="00C7130A">
      <w:pPr>
        <w:pStyle w:val="BodyInd2"/>
        <w:rPr>
          <w:rFonts w:cs="Arabic Typesetting"/>
          <w:szCs w:val="36"/>
          <w:rtl/>
        </w:rPr>
      </w:pPr>
      <w:r w:rsidRPr="002F5DD2">
        <w:rPr>
          <w:rFonts w:cs="Arabic Typesetting"/>
          <w:szCs w:val="36"/>
          <w:rtl/>
        </w:rPr>
        <w:t xml:space="preserve">"من مثلك بين الآلهة يا رب؟" </w:t>
      </w:r>
    </w:p>
    <w:p w14:paraId="1BD18FD7" w14:textId="77777777" w:rsidR="00355D9E" w:rsidRPr="002F5DD2" w:rsidRDefault="00355D9E" w:rsidP="006F7738">
      <w:pPr>
        <w:pStyle w:val="Hang2"/>
        <w:rPr>
          <w:rtl/>
        </w:rPr>
      </w:pPr>
      <w:r w:rsidRPr="002F5DD2">
        <w:rPr>
          <w:rtl/>
        </w:rPr>
        <w:lastRenderedPageBreak/>
        <w:t>2)</w:t>
      </w:r>
      <w:r w:rsidRPr="002F5DD2">
        <w:rPr>
          <w:rtl/>
        </w:rPr>
        <w:tab/>
        <w:t xml:space="preserve">الإقرار بحق يهوه في الحكم </w:t>
      </w:r>
    </w:p>
    <w:p w14:paraId="5187EA1F" w14:textId="77777777" w:rsidR="00355D9E" w:rsidRPr="002F5DD2" w:rsidRDefault="00355D9E" w:rsidP="00C7130A">
      <w:pPr>
        <w:pStyle w:val="BodyInd2"/>
        <w:rPr>
          <w:rFonts w:cs="Arabic Typesetting"/>
          <w:szCs w:val="36"/>
          <w:rtl/>
        </w:rPr>
      </w:pPr>
      <w:r w:rsidRPr="002F5DD2">
        <w:rPr>
          <w:rFonts w:cs="Arabic Typesetting"/>
          <w:szCs w:val="36"/>
          <w:rtl/>
        </w:rPr>
        <w:t>"الرب يملك (سيملك) إلى الدهر والأبد" (الآية 8).  يفسّر الشعب المفدي فداءهم كعلامة وفاء من الله لوعده، ويرون أنه يرسّخ حقه في الحكم من خلال وعده.</w:t>
      </w:r>
    </w:p>
    <w:p w14:paraId="662D77E2" w14:textId="77777777" w:rsidR="00355D9E" w:rsidRPr="002F5DD2" w:rsidRDefault="00355D9E" w:rsidP="00C7130A">
      <w:pPr>
        <w:pStyle w:val="BodyInd2"/>
        <w:rPr>
          <w:rFonts w:cs="Arabic Typesetting"/>
          <w:szCs w:val="36"/>
          <w:rtl/>
        </w:rPr>
      </w:pPr>
    </w:p>
    <w:p w14:paraId="795D0405" w14:textId="77777777" w:rsidR="00355D9E" w:rsidRPr="00C7130A" w:rsidRDefault="00355D9E" w:rsidP="000558B7">
      <w:pPr>
        <w:pStyle w:val="Heading3"/>
        <w:rPr>
          <w:rtl/>
        </w:rPr>
      </w:pPr>
      <w:bookmarkStart w:id="174" w:name="_Toc193030984"/>
      <w:r w:rsidRPr="00C7130A">
        <w:rPr>
          <w:rtl/>
        </w:rPr>
        <w:t>4.</w:t>
      </w:r>
      <w:r w:rsidRPr="00C7130A">
        <w:rPr>
          <w:rtl/>
        </w:rPr>
        <w:tab/>
        <w:t>هجرة إسرائيل إلى سيناء (15: 22-18: 27)</w:t>
      </w:r>
      <w:bookmarkEnd w:id="174"/>
    </w:p>
    <w:p w14:paraId="00703BBE" w14:textId="77777777" w:rsidR="00355D9E" w:rsidRPr="00CD2F04" w:rsidRDefault="00355D9E" w:rsidP="00BB48D7">
      <w:pPr>
        <w:pStyle w:val="Head5"/>
        <w:rPr>
          <w:sz w:val="36"/>
          <w:rtl/>
        </w:rPr>
      </w:pPr>
      <w:r w:rsidRPr="00CD2F04">
        <w:rPr>
          <w:sz w:val="36"/>
          <w:rtl/>
        </w:rPr>
        <w:t>امتحانات في البرية (15: 22-17: 16)</w:t>
      </w:r>
    </w:p>
    <w:p w14:paraId="6CB08851" w14:textId="77777777" w:rsidR="00355D9E" w:rsidRPr="00CD2F04" w:rsidRDefault="00355D9E" w:rsidP="00C7130A">
      <w:pPr>
        <w:pStyle w:val="BodyTxt"/>
        <w:rPr>
          <w:rFonts w:cs="Arabic Typesetting"/>
          <w:szCs w:val="36"/>
          <w:rtl/>
        </w:rPr>
      </w:pPr>
      <w:r w:rsidRPr="00CD2F04">
        <w:rPr>
          <w:rFonts w:cs="Arabic Typesetting"/>
          <w:szCs w:val="36"/>
          <w:rtl/>
        </w:rPr>
        <w:t>يتناول معظم هذا القسم الشعب المفدي في البرية (انظر 15: 25؛ 16: 4).  لم تكن الصعوبات والمشقات التي واجهوها مجرد صدفة.  فقد كان الله يقودهم مستخدماً الظروف أداة لتثقيف شعبه.  أمّا التذمر والتمرد على الرب فليس الاستجابة الصحيحة لشعب مفدي.  فالله قادر على تسديد حاجاتهم وقيادتهم إلى البركة إذا كانوا على استعداد لطلب نعمته والسلوك بالإيمان.  كان واضحاً من هذه التجارب أنهم جلبوا معهم أجزاء من حياتهم الماضية وأنه لا بدّ أن يتعامل الله معها.  غير أنهم لم يكونوا وحدهم هناك: "</w:t>
      </w:r>
      <w:r w:rsidRPr="00CD2F04">
        <w:rPr>
          <w:rFonts w:cs="Arabic Typesetting"/>
          <w:i/>
          <w:iCs/>
          <w:szCs w:val="36"/>
          <w:rtl/>
        </w:rPr>
        <w:t>وجميعهم شربوا شراباً واحداً روحياً، لأنهم كانوا يشربون من صخرة روحيّة تابعتهم، والصخرة كانت المسيح</w:t>
      </w:r>
      <w:r w:rsidRPr="00CD2F04">
        <w:rPr>
          <w:rFonts w:cs="Arabic Typesetting"/>
          <w:szCs w:val="36"/>
          <w:rtl/>
        </w:rPr>
        <w:t>" (1كونثوس 10: 4).  وفي يوحنا 6: 33 ذكّر المسيح بنزول المنّ من السماء، ذلك المن الذي يعطي الحياة للعالم (ومن يأتي إليه- إلى المسيح- لن يجوع).  لقد دبّر الله احتياجات شعبه في البرية بشكل خارق للطبيعة، على الرغم من أنه لم يكن راضياً عن معظمهم (1كورنثوس 10).</w:t>
      </w:r>
    </w:p>
    <w:p w14:paraId="4B6A7048" w14:textId="77777777" w:rsidR="00355D9E" w:rsidRPr="00CD2F04" w:rsidRDefault="00355D9E" w:rsidP="00C7130A">
      <w:pPr>
        <w:pStyle w:val="BodyTxt"/>
        <w:rPr>
          <w:rFonts w:cs="Arabic Typesetting"/>
          <w:szCs w:val="36"/>
          <w:rtl/>
        </w:rPr>
      </w:pPr>
      <w:r w:rsidRPr="00CD2F04">
        <w:rPr>
          <w:rFonts w:cs="Arabic Typesetting"/>
          <w:szCs w:val="36"/>
          <w:rtl/>
        </w:rPr>
        <w:t xml:space="preserve"> </w:t>
      </w:r>
    </w:p>
    <w:p w14:paraId="4D624BE7" w14:textId="77777777" w:rsidR="00355D9E" w:rsidRPr="00CD2F04" w:rsidRDefault="00355D9E" w:rsidP="00005C98">
      <w:pPr>
        <w:pStyle w:val="Head4"/>
        <w:rPr>
          <w:rtl/>
        </w:rPr>
      </w:pPr>
      <w:r w:rsidRPr="00CD2F04">
        <w:rPr>
          <w:rtl/>
        </w:rPr>
        <w:t xml:space="preserve">5. </w:t>
      </w:r>
      <w:r w:rsidRPr="00CD2F04">
        <w:rPr>
          <w:rtl/>
        </w:rPr>
        <w:tab/>
        <w:t xml:space="preserve">درس لحياتنا </w:t>
      </w:r>
    </w:p>
    <w:p w14:paraId="4F06BD46" w14:textId="77777777" w:rsidR="00355D9E" w:rsidRPr="00CD2F04" w:rsidRDefault="00355D9E" w:rsidP="00C7130A">
      <w:pPr>
        <w:pStyle w:val="BodyTxt"/>
        <w:rPr>
          <w:rFonts w:cs="Arabic Typesetting"/>
          <w:szCs w:val="36"/>
          <w:rtl/>
        </w:rPr>
      </w:pPr>
      <w:r w:rsidRPr="00CD2F04">
        <w:rPr>
          <w:rFonts w:cs="Arabic Typesetting"/>
          <w:szCs w:val="36"/>
          <w:rtl/>
        </w:rPr>
        <w:t xml:space="preserve">يمكننا أن نتعلم الكثير من خروج : 13: 1-16.  فهو يذكِّرنا أيضاً بمسؤوليتنا نحو أبنائنا.  يحتاج أبناؤنا أن يعرفوا عن العبودية التي عشناها وعن عمل التحرير العظيم الذي أوصلنا إلى نقطة التكريس للرب.  وعندما أتذكر عبوديتي للخطية والظلمة التي كنت محتجزاً فيها، وعندما أذكر عمل الله القوي الذي حقق لي الخلاص في المسيح، يجب أن تكون استجابتي لهذا تكريساً كلياً له.      </w:t>
      </w:r>
    </w:p>
    <w:p w14:paraId="509816E5" w14:textId="77777777" w:rsidR="00355D9E" w:rsidRPr="00CD2F04" w:rsidRDefault="00355D9E" w:rsidP="00C7130A">
      <w:pPr>
        <w:pStyle w:val="FootnoteTxt"/>
        <w:rPr>
          <w:rFonts w:cs="Arabic Typesetting"/>
          <w:sz w:val="36"/>
          <w:szCs w:val="36"/>
          <w:lang w:bidi="ar-SA"/>
        </w:rPr>
      </w:pPr>
    </w:p>
    <w:p w14:paraId="2F7596D6" w14:textId="7A2DD317" w:rsidR="00227002" w:rsidRPr="00C7130A" w:rsidRDefault="001E6B52" w:rsidP="00E80A44">
      <w:pPr>
        <w:pStyle w:val="Heading2"/>
      </w:pPr>
      <w:bookmarkStart w:id="175" w:name="_Toc193030985"/>
      <w:r w:rsidRPr="00C7130A">
        <w:rPr>
          <w:rtl/>
        </w:rPr>
        <w:t>الدرس 6: إعطاء الشريعة وصنع خيمة الاجتماع</w:t>
      </w:r>
      <w:bookmarkEnd w:id="175"/>
      <w:r w:rsidRPr="00C7130A">
        <w:rPr>
          <w:rtl/>
        </w:rPr>
        <w:t xml:space="preserve"> </w:t>
      </w:r>
    </w:p>
    <w:p w14:paraId="64F40451" w14:textId="76B47807" w:rsidR="00311C51" w:rsidRPr="00243985" w:rsidRDefault="00243985" w:rsidP="00243985">
      <w:pPr>
        <w:tabs>
          <w:tab w:val="left" w:pos="0"/>
          <w:tab w:val="left" w:pos="540"/>
          <w:tab w:val="left" w:pos="1080"/>
          <w:tab w:val="left" w:pos="1620"/>
          <w:tab w:val="left" w:pos="2160"/>
          <w:tab w:val="left" w:pos="2700"/>
          <w:tab w:val="left" w:pos="3240"/>
          <w:tab w:val="left" w:pos="3780"/>
          <w:tab w:val="left" w:pos="4320"/>
          <w:tab w:val="left" w:pos="4860"/>
        </w:tabs>
        <w:spacing w:after="200"/>
        <w:jc w:val="center"/>
        <w:rPr>
          <w:rFonts w:eastAsia="Calibri"/>
          <w:b/>
          <w:bCs/>
          <w:kern w:val="0"/>
          <w:sz w:val="52"/>
          <w:szCs w:val="52"/>
          <w14:ligatures w14:val="none"/>
        </w:rPr>
      </w:pPr>
      <w:bookmarkStart w:id="176" w:name="_Toc193030986"/>
      <w:r w:rsidRPr="00243985">
        <w:rPr>
          <w:b/>
          <w:bCs/>
          <w:sz w:val="52"/>
          <w:szCs w:val="52"/>
          <w:rtl/>
        </w:rPr>
        <w:t>(خروج 19: 1-40: 38)</w:t>
      </w:r>
      <w:bookmarkEnd w:id="176"/>
    </w:p>
    <w:p w14:paraId="3A6EC712" w14:textId="26B3F834" w:rsidR="00E41548" w:rsidRPr="00DB7436" w:rsidRDefault="00CE2100" w:rsidP="000558B7">
      <w:pPr>
        <w:pStyle w:val="Heading3"/>
      </w:pPr>
      <w:bookmarkStart w:id="177" w:name="_Toc193030987"/>
      <w:r w:rsidRPr="00C7130A">
        <w:rPr>
          <w:rtl/>
        </w:rPr>
        <w:t>مُقدِّمة الدرس</w:t>
      </w:r>
      <w:bookmarkEnd w:id="177"/>
    </w:p>
    <w:p w14:paraId="1F758C83" w14:textId="7A49F2DE" w:rsidR="00CE2100" w:rsidRPr="00C7130A" w:rsidRDefault="00CE2100" w:rsidP="00DB7436">
      <w:pPr>
        <w:rPr>
          <w:rtl/>
        </w:rPr>
      </w:pPr>
      <w:r w:rsidRPr="00C7130A">
        <w:rPr>
          <w:rtl/>
        </w:rPr>
        <w:lastRenderedPageBreak/>
        <w:t>بعد خروج العبرانيين من مصر وإنقاذهم عند البحر الأحمر، أتوا إلى جبل سيناء. وما حدث هناك كان حدثًا رئيسيًّا بالغ الأهمّيّة في حياة الأمة. ففي جبل سيناء، أعطى الله العبرانيين الفرصّة لأن يكونوا شعبه المختار والخاص</w:t>
      </w:r>
      <w:r w:rsidR="00727D64" w:rsidRPr="00C7130A">
        <w:rPr>
          <w:rtl/>
        </w:rPr>
        <w:t>ّ</w:t>
      </w:r>
      <w:r w:rsidRPr="00C7130A">
        <w:rPr>
          <w:rtl/>
        </w:rPr>
        <w:t xml:space="preserve"> الذي به سيتمِّم خطته للخلاص وبركة العالم. لكنّ هذه البركة كان مشروطة بموافقتهم على أن يطيعوا الشريعة (العهد الموسوي). وحين وافق العبراني</w:t>
      </w:r>
      <w:r w:rsidR="00727D64" w:rsidRPr="00C7130A">
        <w:rPr>
          <w:rtl/>
        </w:rPr>
        <w:t>ّ</w:t>
      </w:r>
      <w:r w:rsidRPr="00C7130A">
        <w:rPr>
          <w:rtl/>
        </w:rPr>
        <w:t>ون على هذا، أُعطي موسى الوصايا العشرة، التي كانت جوهر كل</w:t>
      </w:r>
      <w:r w:rsidR="00727D64" w:rsidRPr="00C7130A">
        <w:rPr>
          <w:rtl/>
        </w:rPr>
        <w:t>ّ</w:t>
      </w:r>
      <w:r w:rsidRPr="00C7130A">
        <w:rPr>
          <w:rtl/>
        </w:rPr>
        <w:t xml:space="preserve"> التشريعات المُفصَّلة التي تلته. ومع أن</w:t>
      </w:r>
      <w:r w:rsidR="0007568B" w:rsidRPr="00C7130A">
        <w:rPr>
          <w:rtl/>
        </w:rPr>
        <w:t>ّ</w:t>
      </w:r>
      <w:r w:rsidRPr="00C7130A">
        <w:rPr>
          <w:rtl/>
        </w:rPr>
        <w:t xml:space="preserve"> الشريعة لم تُعطَ لتكون وسيلة</w:t>
      </w:r>
      <w:r w:rsidR="0007568B" w:rsidRPr="00C7130A">
        <w:rPr>
          <w:rtl/>
        </w:rPr>
        <w:t>ً</w:t>
      </w:r>
      <w:r w:rsidRPr="00C7130A">
        <w:rPr>
          <w:rtl/>
        </w:rPr>
        <w:t xml:space="preserve"> للخلاص، فإنّ</w:t>
      </w:r>
      <w:r w:rsidR="0007568B" w:rsidRPr="00C7130A">
        <w:rPr>
          <w:rtl/>
        </w:rPr>
        <w:t xml:space="preserve"> الأم نالت بركةً من الله بقدر طاعتها </w:t>
      </w:r>
      <w:r w:rsidRPr="00C7130A">
        <w:rPr>
          <w:rtl/>
        </w:rPr>
        <w:t>للشريعة. وقد تعلَّمت الأم</w:t>
      </w:r>
      <w:r w:rsidR="0007568B" w:rsidRPr="00C7130A">
        <w:rPr>
          <w:rtl/>
        </w:rPr>
        <w:t>ّ</w:t>
      </w:r>
      <w:r w:rsidRPr="00C7130A">
        <w:rPr>
          <w:rtl/>
        </w:rPr>
        <w:t xml:space="preserve">ة من خلال حفظها الناموس أن إلهها إله قدّوس. قُطِع العهد في سيناء بدم حيوانات، ولكنّ هذا العهد سيتنحّى يومًا ما بالعهد الجديد الذي يُقطَع بدم المسيح نفسه. </w:t>
      </w:r>
    </w:p>
    <w:p w14:paraId="5FBD2B92" w14:textId="4A740758" w:rsidR="00CE2100" w:rsidRPr="00C7130A" w:rsidRDefault="00CE2100" w:rsidP="00DB7436">
      <w:pPr>
        <w:rPr>
          <w:rtl/>
        </w:rPr>
      </w:pPr>
      <w:r w:rsidRPr="00C7130A">
        <w:rPr>
          <w:rtl/>
        </w:rPr>
        <w:t>يركِّز جزءٌ كبير من هذه الأصحاحات على مخطَّطات خيمة الاجتماع وص</w:t>
      </w:r>
      <w:r w:rsidR="0007568B" w:rsidRPr="00C7130A">
        <w:rPr>
          <w:rtl/>
        </w:rPr>
        <w:t>ُ</w:t>
      </w:r>
      <w:r w:rsidRPr="00C7130A">
        <w:rPr>
          <w:rtl/>
        </w:rPr>
        <w:t xml:space="preserve">نعها. تمثِّل خيمة الاجتماع مركز نظام العبادة عند الشعب، الذي كان يشملّ ذبائح حيوانية، وكان كل هذا النظام بذبائحه يرمز </w:t>
      </w:r>
      <w:r w:rsidR="0007568B" w:rsidRPr="00C7130A">
        <w:rPr>
          <w:rtl/>
        </w:rPr>
        <w:t>إ</w:t>
      </w:r>
      <w:r w:rsidRPr="00C7130A">
        <w:rPr>
          <w:rtl/>
        </w:rPr>
        <w:t xml:space="preserve">لى المسيح وذبيحته الكفاريّة التي ستأتي لاحقًا. </w:t>
      </w:r>
    </w:p>
    <w:p w14:paraId="33049FFC" w14:textId="77777777" w:rsidR="00CE2100" w:rsidRPr="00C7130A" w:rsidRDefault="00CE2100" w:rsidP="00DB7436">
      <w:pPr>
        <w:rPr>
          <w:szCs w:val="24"/>
          <w:rtl/>
        </w:rPr>
      </w:pPr>
    </w:p>
    <w:p w14:paraId="5F0FF132" w14:textId="31E93A55" w:rsidR="00E41548" w:rsidRPr="00C7130A" w:rsidRDefault="00CE2100" w:rsidP="000558B7">
      <w:pPr>
        <w:pStyle w:val="Heading3"/>
      </w:pPr>
      <w:bookmarkStart w:id="178" w:name="_Toc193030988"/>
      <w:r w:rsidRPr="00C7130A">
        <w:rPr>
          <w:rtl/>
        </w:rPr>
        <w:t>مُخطَّط الدرس</w:t>
      </w:r>
      <w:bookmarkEnd w:id="178"/>
    </w:p>
    <w:p w14:paraId="7D458268" w14:textId="52138405" w:rsidR="00A8569F" w:rsidRPr="00DB7436" w:rsidRDefault="006C789F"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bookmarkStart w:id="179" w:name="_Hlk190495001"/>
      <w:r w:rsidRPr="00DB7436">
        <w:rPr>
          <w:rFonts w:eastAsia="Calibri"/>
          <w:kern w:val="0"/>
          <w:rtl/>
          <w14:ligatures w14:val="none"/>
        </w:rPr>
        <w:t xml:space="preserve">الموضوع 1: العهد في سيناء (خروج 19: 1 – 24: 18) </w:t>
      </w:r>
    </w:p>
    <w:p w14:paraId="3A43D28D" w14:textId="51BC84E3" w:rsidR="006C789F" w:rsidRPr="00DB7436" w:rsidRDefault="006C789F"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DB7436">
        <w:rPr>
          <w:rFonts w:eastAsia="Calibri"/>
          <w:kern w:val="0"/>
          <w:rtl/>
          <w14:ligatures w14:val="none"/>
        </w:rPr>
        <w:t xml:space="preserve">الموضوع 2: الخلاص في العهد القديم </w:t>
      </w:r>
    </w:p>
    <w:p w14:paraId="7AF924D9" w14:textId="67AB13C7" w:rsidR="006C789F" w:rsidRPr="00DB7436" w:rsidRDefault="006C789F"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DB7436">
        <w:rPr>
          <w:rFonts w:eastAsia="Calibri"/>
          <w:kern w:val="0"/>
          <w:rtl/>
          <w14:ligatures w14:val="none"/>
        </w:rPr>
        <w:t>الموضوع 3: خيمة الاجتماع في البرّيّة (خروج 25: 1 – 40: 38)</w:t>
      </w:r>
    </w:p>
    <w:p w14:paraId="2922AD6F" w14:textId="77777777" w:rsidR="006C789F" w:rsidRPr="00DB7436" w:rsidRDefault="006C789F"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rPr>
          <w:rFonts w:eastAsia="Calibri"/>
          <w:b/>
          <w:bCs/>
        </w:rPr>
      </w:pPr>
    </w:p>
    <w:p w14:paraId="31B51DB6" w14:textId="56BE901A" w:rsidR="00E41548" w:rsidRPr="00C7130A" w:rsidRDefault="006C789F" w:rsidP="000558B7">
      <w:pPr>
        <w:pStyle w:val="Heading3"/>
      </w:pPr>
      <w:bookmarkStart w:id="180" w:name="_Toc193030989"/>
      <w:bookmarkEnd w:id="179"/>
      <w:r w:rsidRPr="00C7130A">
        <w:rPr>
          <w:rtl/>
        </w:rPr>
        <w:t>أهداف الدرس</w:t>
      </w:r>
      <w:bookmarkEnd w:id="180"/>
    </w:p>
    <w:p w14:paraId="0C41A909" w14:textId="28110D5C" w:rsidR="00E41548" w:rsidRPr="00DB7436" w:rsidRDefault="006C789F" w:rsidP="00C7130A">
      <w:pPr>
        <w:spacing w:after="80"/>
        <w:rPr>
          <w:rFonts w:eastAsia="Calibri"/>
          <w:kern w:val="0"/>
          <w14:ligatures w14:val="none"/>
        </w:rPr>
      </w:pPr>
      <w:r w:rsidRPr="00DB7436">
        <w:rPr>
          <w:rFonts w:eastAsia="Calibri"/>
          <w:kern w:val="0"/>
          <w:rtl/>
          <w14:ligatures w14:val="none"/>
        </w:rPr>
        <w:t xml:space="preserve">بانتهائك من دراسة هذا الدرس، ستكون قادرًا على ما يلي: </w:t>
      </w:r>
    </w:p>
    <w:p w14:paraId="4DFE7C0C" w14:textId="5AFAC919" w:rsidR="00E41548" w:rsidRPr="004470BD" w:rsidRDefault="006C789F">
      <w:pPr>
        <w:pStyle w:val="ListParagraph"/>
        <w:numPr>
          <w:ilvl w:val="0"/>
          <w:numId w:val="25"/>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470BD">
        <w:rPr>
          <w:rFonts w:eastAsia="Calibri"/>
          <w:kern w:val="0"/>
          <w:rtl/>
          <w14:ligatures w14:val="none"/>
        </w:rPr>
        <w:t xml:space="preserve">أن تفهم الامتيازات التي مُنِحت لشعب إسرائيل بموافقتها على أن تلتزم بحفظ الناموس الموسوي (العهد القديم). </w:t>
      </w:r>
    </w:p>
    <w:p w14:paraId="6201A723" w14:textId="2B40AA14" w:rsidR="006C789F" w:rsidRPr="004470BD" w:rsidRDefault="006C789F">
      <w:pPr>
        <w:pStyle w:val="ListParagraph"/>
        <w:numPr>
          <w:ilvl w:val="0"/>
          <w:numId w:val="25"/>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470BD">
        <w:rPr>
          <w:rFonts w:eastAsia="Calibri"/>
          <w:kern w:val="0"/>
          <w:rtl/>
          <w14:ligatures w14:val="none"/>
        </w:rPr>
        <w:t>أن تقد</w:t>
      </w:r>
      <w:r w:rsidR="0007568B" w:rsidRPr="004470BD">
        <w:rPr>
          <w:rFonts w:eastAsia="Calibri"/>
          <w:kern w:val="0"/>
          <w:rtl/>
          <w14:ligatures w14:val="none"/>
        </w:rPr>
        <w:t>ّ</w:t>
      </w:r>
      <w:r w:rsidRPr="004470BD">
        <w:rPr>
          <w:rFonts w:eastAsia="Calibri"/>
          <w:kern w:val="0"/>
          <w:rtl/>
          <w14:ligatures w14:val="none"/>
        </w:rPr>
        <w:t xml:space="preserve">ر جمال الوصايا العشرة وأهميتها العميقة بوصفها أساس مؤسَّستي العائلة والأمّة. </w:t>
      </w:r>
    </w:p>
    <w:p w14:paraId="6A07DADF" w14:textId="284EE733" w:rsidR="006C789F" w:rsidRPr="004470BD" w:rsidRDefault="006C789F">
      <w:pPr>
        <w:pStyle w:val="ListParagraph"/>
        <w:numPr>
          <w:ilvl w:val="0"/>
          <w:numId w:val="25"/>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470BD">
        <w:rPr>
          <w:rFonts w:eastAsia="Calibri"/>
          <w:kern w:val="0"/>
          <w:rtl/>
          <w14:ligatures w14:val="none"/>
        </w:rPr>
        <w:t xml:space="preserve">أن تعرف المقاصد الأساسية من الشريعة الموسوية، وأن تتكلَّم عن أهميتها المؤقتة بمقابل العهد الإبراهيم. </w:t>
      </w:r>
    </w:p>
    <w:p w14:paraId="76085668" w14:textId="6AC98A65" w:rsidR="006C789F" w:rsidRPr="004470BD" w:rsidRDefault="006C789F">
      <w:pPr>
        <w:pStyle w:val="ListParagraph"/>
        <w:numPr>
          <w:ilvl w:val="0"/>
          <w:numId w:val="25"/>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470BD">
        <w:rPr>
          <w:rFonts w:eastAsia="Calibri"/>
          <w:kern w:val="0"/>
          <w:rtl/>
          <w14:ligatures w14:val="none"/>
        </w:rPr>
        <w:t>أن توضِّح كيف كان الناس "يخل</w:t>
      </w:r>
      <w:r w:rsidR="0007568B" w:rsidRPr="004470BD">
        <w:rPr>
          <w:rFonts w:eastAsia="Calibri"/>
          <w:kern w:val="0"/>
          <w:rtl/>
          <w14:ligatures w14:val="none"/>
        </w:rPr>
        <w:t>ُ</w:t>
      </w:r>
      <w:r w:rsidRPr="004470BD">
        <w:rPr>
          <w:rFonts w:eastAsia="Calibri"/>
          <w:kern w:val="0"/>
          <w:rtl/>
          <w14:ligatures w14:val="none"/>
        </w:rPr>
        <w:t xml:space="preserve">صون" في أزمنة العهد القديم من عقاب خطاياهم. </w:t>
      </w:r>
    </w:p>
    <w:p w14:paraId="0163D3B5" w14:textId="1CB8DD55" w:rsidR="006C789F" w:rsidRPr="004470BD" w:rsidRDefault="006C789F">
      <w:pPr>
        <w:pStyle w:val="ListParagraph"/>
        <w:numPr>
          <w:ilvl w:val="0"/>
          <w:numId w:val="25"/>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470BD">
        <w:rPr>
          <w:rFonts w:eastAsia="Calibri"/>
          <w:kern w:val="0"/>
          <w:rtl/>
          <w14:ligatures w14:val="none"/>
        </w:rPr>
        <w:t xml:space="preserve">أن تشرح الرموز الكامنة في مخطَّطات خيمة الاجتماع الأرضيّة وتصميمها. </w:t>
      </w:r>
    </w:p>
    <w:p w14:paraId="78BFE676" w14:textId="257D4746" w:rsidR="002630DB" w:rsidRPr="00DB7436" w:rsidRDefault="002630D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ind w:left="720"/>
        <w:contextualSpacing/>
        <w:rPr>
          <w:rFonts w:eastAsia="Calibri"/>
          <w:kern w:val="0"/>
          <w14:ligatures w14:val="none"/>
        </w:rPr>
      </w:pPr>
    </w:p>
    <w:p w14:paraId="3FE8BEC5" w14:textId="77777777" w:rsidR="00E41548" w:rsidRPr="00C7130A" w:rsidRDefault="00E41548" w:rsidP="00C7130A">
      <w:pPr>
        <w:tabs>
          <w:tab w:val="left" w:pos="0"/>
          <w:tab w:val="left" w:pos="540"/>
          <w:tab w:val="left" w:pos="1080"/>
          <w:tab w:val="left" w:pos="1620"/>
          <w:tab w:val="left" w:pos="2160"/>
          <w:tab w:val="left" w:pos="2700"/>
          <w:tab w:val="left" w:pos="3240"/>
          <w:tab w:val="left" w:pos="3780"/>
          <w:tab w:val="left" w:pos="4320"/>
          <w:tab w:val="left" w:pos="4860"/>
        </w:tabs>
        <w:spacing w:after="200"/>
        <w:ind w:left="720"/>
        <w:contextualSpacing/>
        <w:rPr>
          <w:rFonts w:eastAsia="Calibri"/>
          <w:kern w:val="0"/>
          <w:szCs w:val="24"/>
          <w14:ligatures w14:val="none"/>
        </w:rPr>
      </w:pPr>
      <w:r w:rsidRPr="00C7130A">
        <w:rPr>
          <w:rFonts w:eastAsia="Calibri"/>
          <w:kern w:val="0"/>
          <w:szCs w:val="24"/>
          <w14:ligatures w14:val="none"/>
        </w:rPr>
        <w:br w:type="page"/>
      </w:r>
    </w:p>
    <w:p w14:paraId="5EF36A99" w14:textId="21627905" w:rsidR="00432F08" w:rsidRDefault="006C789F" w:rsidP="000558B7">
      <w:pPr>
        <w:pStyle w:val="Heading2B"/>
      </w:pPr>
      <w:bookmarkStart w:id="181" w:name="_Toc193030990"/>
      <w:r w:rsidRPr="00C7130A">
        <w:rPr>
          <w:rtl/>
        </w:rPr>
        <w:lastRenderedPageBreak/>
        <w:t>الموضوع 1: العهد في سيناء (خروج 19: 1 – 24: 18)</w:t>
      </w:r>
      <w:bookmarkStart w:id="182" w:name="_Hlk178778659"/>
      <w:bookmarkStart w:id="183" w:name="_Hlk156482615"/>
      <w:bookmarkEnd w:id="181"/>
    </w:p>
    <w:p w14:paraId="5B80BDFC" w14:textId="77777777" w:rsidR="00DB7436" w:rsidRPr="00C7130A" w:rsidRDefault="00DB7436" w:rsidP="000558B7">
      <w:pPr>
        <w:pStyle w:val="Heading3"/>
      </w:pPr>
    </w:p>
    <w:p w14:paraId="630DC900" w14:textId="7EB40A9B" w:rsidR="00F67B20" w:rsidRPr="00DB7436" w:rsidRDefault="00F40A90"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r w:rsidRPr="00C7130A">
        <w:rPr>
          <w:rFonts w:eastAsia="Calibri"/>
          <w:noProof/>
          <w:kern w:val="0"/>
          <w:szCs w:val="24"/>
        </w:rPr>
        <w:drawing>
          <wp:anchor distT="0" distB="0" distL="114300" distR="114300" simplePos="0" relativeHeight="251648000" behindDoc="0" locked="0" layoutInCell="1" allowOverlap="1" wp14:anchorId="372F88D2" wp14:editId="68BFE99E">
            <wp:simplePos x="0" y="0"/>
            <wp:positionH relativeFrom="column">
              <wp:posOffset>3402330</wp:posOffset>
            </wp:positionH>
            <wp:positionV relativeFrom="paragraph">
              <wp:posOffset>262255</wp:posOffset>
            </wp:positionV>
            <wp:extent cx="2569210" cy="1929130"/>
            <wp:effectExtent l="0" t="0" r="2540" b="0"/>
            <wp:wrapSquare wrapText="bothSides"/>
            <wp:docPr id="1549081437" name="Picture 3" descr="A desert landscape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81437" name="Picture 3" descr="A desert landscape with a mountain in the background&#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2569210" cy="1929130"/>
                    </a:xfrm>
                    <a:prstGeom prst="rect">
                      <a:avLst/>
                    </a:prstGeom>
                  </pic:spPr>
                </pic:pic>
              </a:graphicData>
            </a:graphic>
            <wp14:sizeRelH relativeFrom="margin">
              <wp14:pctWidth>0</wp14:pctWidth>
            </wp14:sizeRelH>
            <wp14:sizeRelV relativeFrom="margin">
              <wp14:pctHeight>0</wp14:pctHeight>
            </wp14:sizeRelV>
          </wp:anchor>
        </w:drawing>
      </w:r>
      <w:r w:rsidR="00F67B20" w:rsidRPr="00C7130A">
        <w:rPr>
          <w:rFonts w:eastAsia="Calibri"/>
          <w:b/>
          <w:caps/>
          <w:noProof/>
          <w:color w:val="006699"/>
          <w:kern w:val="0"/>
          <w:sz w:val="21"/>
          <w:szCs w:val="24"/>
          <w14:ligatures w14:val="none"/>
        </w:rPr>
        <w:drawing>
          <wp:inline distT="0" distB="0" distL="0" distR="0" wp14:anchorId="44C0C7B0" wp14:editId="32B978CA">
            <wp:extent cx="613692" cy="541464"/>
            <wp:effectExtent l="0" t="0" r="0" b="0"/>
            <wp:docPr id="1872286407" name="Picture 1872286407"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00F67B20" w:rsidRPr="00DB7436">
        <w:rPr>
          <w:rFonts w:eastAsia="Calibri"/>
          <w:b/>
          <w:caps/>
          <w:color w:val="006699"/>
          <w:kern w:val="0"/>
          <w14:ligatures w14:val="none"/>
        </w:rPr>
        <w:t xml:space="preserve"> </w:t>
      </w:r>
      <w:r w:rsidR="006C789F" w:rsidRPr="00DB7436">
        <w:rPr>
          <w:rFonts w:eastAsia="Calibri"/>
          <w:bCs/>
          <w:caps/>
          <w:color w:val="006699"/>
          <w:kern w:val="0"/>
          <w:u w:val="single"/>
          <w:rtl/>
          <w14:ligatures w14:val="none"/>
        </w:rPr>
        <w:t>القراءة:</w:t>
      </w:r>
    </w:p>
    <w:p w14:paraId="22E4F612" w14:textId="0284F732" w:rsidR="00F67B20" w:rsidRPr="00DB7436" w:rsidRDefault="00F67B20"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DB7436">
        <w:rPr>
          <w:rFonts w:eastAsia="Calibri"/>
          <w:kern w:val="0"/>
          <w14:ligatures w14:val="none"/>
        </w:rPr>
        <w:tab/>
      </w:r>
      <w:r w:rsidRPr="00DB7436">
        <w:rPr>
          <w:rFonts w:eastAsia="Calibri"/>
          <w:kern w:val="0"/>
          <w14:ligatures w14:val="none"/>
        </w:rPr>
        <w:tab/>
      </w:r>
      <w:r w:rsidR="006C789F" w:rsidRPr="00DB7436">
        <w:rPr>
          <w:rFonts w:eastAsia="Calibri"/>
          <w:kern w:val="0"/>
          <w:rtl/>
          <w14:ligatures w14:val="none"/>
        </w:rPr>
        <w:t xml:space="preserve">اقرأ خروج 19: 1 – 24: 18 في كتابك المُقدَّس. </w:t>
      </w:r>
    </w:p>
    <w:bookmarkEnd w:id="182"/>
    <w:bookmarkEnd w:id="183"/>
    <w:p w14:paraId="5902747B"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B7436">
        <w:rPr>
          <w:rFonts w:eastAsia="Times New Roman"/>
          <w:kern w:val="0"/>
          <w:rtl/>
          <w:lang w:bidi="ar-JO"/>
          <w14:ligatures w14:val="none"/>
        </w:rPr>
        <w:t>تمثُل الأصحاحات 19-24 واحداً من أهم أقسام الكتاب المقدس كلّه.  إذ يشكّل هذا القسم تقدّماً كبيراً ذا دلالة في تطبيق العهد الإبراهيمي مع الأمّة التي اختارها الله.  وقد صارت هذه الأمة مرتبطة بيهوه بوساطة دستور يفرض عليها التزامات من نواحٍ كثيرة أمام ملكها.  غير أن هذه النقلة فتحت الباب أمام عالم "الشريعة" وعلاقة الإنسان بالله من خلالها.</w:t>
      </w:r>
    </w:p>
    <w:p w14:paraId="4E3B8459"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C513939" w14:textId="77777777" w:rsidR="00355D9E" w:rsidRPr="00C7130A" w:rsidRDefault="00355D9E" w:rsidP="000558B7">
      <w:pPr>
        <w:pStyle w:val="Heading3"/>
        <w:rPr>
          <w:rtl/>
          <w:lang w:bidi="ar-JO"/>
        </w:rPr>
      </w:pPr>
      <w:bookmarkStart w:id="184" w:name="_Toc193030991"/>
      <w:r w:rsidRPr="00C7130A">
        <w:rPr>
          <w:rtl/>
          <w:lang w:bidi="ar-JO"/>
        </w:rPr>
        <w:t>1.</w:t>
      </w:r>
      <w:r w:rsidRPr="00C7130A">
        <w:rPr>
          <w:rtl/>
          <w:lang w:bidi="ar-JO"/>
        </w:rPr>
        <w:tab/>
        <w:t>مقدمة لعهد سيناء</w:t>
      </w:r>
      <w:bookmarkEnd w:id="184"/>
      <w:r w:rsidRPr="00C7130A">
        <w:rPr>
          <w:rtl/>
          <w:lang w:bidi="ar-JO"/>
        </w:rPr>
        <w:t xml:space="preserve"> </w:t>
      </w:r>
    </w:p>
    <w:p w14:paraId="330D3951" w14:textId="77777777" w:rsidR="00355D9E" w:rsidRPr="00C7130A" w:rsidRDefault="00355D9E" w:rsidP="00DB7436">
      <w:pPr>
        <w:rPr>
          <w:rtl/>
          <w:lang w:bidi="ar-JO"/>
        </w:rPr>
      </w:pPr>
      <w:r w:rsidRPr="00C7130A">
        <w:rPr>
          <w:rtl/>
          <w:lang w:bidi="ar-JO"/>
        </w:rPr>
        <w:t>إن أول ملاحظة جديرة بالذكر حول الشريعة هي أن الله لم يقصد لها أن تكون وسيلة للخلاص. فقد سبق أن حدّد الله وسيلة التبرير في تعامله مع إبراهيم: آمن إبراهيم (أي أنه اتكل على كلمة الله ووعوده) فحُسب إيمانه هذا له براً (انظر رومية 4؛ غلاطية 2).  إن أساس هذا التبرير في كل عصر هو ذبيحة المسيح الكفّارية، على الرغم من أن الفهم الواعي لهذا الجانب كان يوضَّح بشكل تدرّجي مع الكشف عن مزيد من الإعلان.</w:t>
      </w:r>
      <w:r w:rsidRPr="00C7130A">
        <w:rPr>
          <w:sz w:val="28"/>
          <w:szCs w:val="28"/>
          <w:vertAlign w:val="superscript"/>
          <w:rtl/>
          <w:lang w:bidi="ar-JO"/>
        </w:rPr>
        <w:footnoteReference w:id="73"/>
      </w:r>
      <w:r w:rsidRPr="00C7130A">
        <w:rPr>
          <w:rtl/>
          <w:lang w:bidi="ar-JO"/>
        </w:rPr>
        <w:t xml:space="preserve"> </w:t>
      </w:r>
    </w:p>
    <w:p w14:paraId="1D5CAAB3" w14:textId="77777777" w:rsidR="00355D9E" w:rsidRPr="00C7130A" w:rsidRDefault="00355D9E" w:rsidP="00DB7436">
      <w:pPr>
        <w:rPr>
          <w:rtl/>
          <w:lang w:bidi="ar-JO"/>
        </w:rPr>
      </w:pPr>
    </w:p>
    <w:p w14:paraId="070D5971" w14:textId="77777777" w:rsidR="00355D9E" w:rsidRPr="00C7130A" w:rsidRDefault="00355D9E" w:rsidP="00DB7436">
      <w:pPr>
        <w:rPr>
          <w:rtl/>
          <w:lang w:bidi="ar-JO"/>
        </w:rPr>
      </w:pPr>
      <w:r w:rsidRPr="00C7130A">
        <w:rPr>
          <w:rtl/>
          <w:lang w:bidi="ar-JO"/>
        </w:rPr>
        <w:t>لم تكن الشريعة، كما سبق أن ذكرت، وسيلة للخلاص، بل كانت تشكل خطوة أخرى في تنفيذ البرنامج الإلهي الذي بدأ بإبراهيم.  وقد وعد الله بأن تخرج من إبراهيم أمّة ستكون وسيطة البركة للعالم.  والآن، لدينا الشعب لتكوين الأمة، لكن ليس لديهم دستوراً أو أرضاً.  والشريعة في خروج 20-24 هي الدستور لرعايا الأمّة. وبقبولهم لشروط العهد، فإنهم يوافقون على ربط أنفسهم بيهوه، وربما يكونون وسيط البركة لبقية العالم.  ووعد البركة أمر يقيني، لأنه يعتمد على الوعد الإبراهيمي.  غير أن تحقيق البركة يعتمد على الطاعة.  فإذا أطاعت الأمّة، فسيحصدون البركة وتكون قناة للبركة للعالم.</w:t>
      </w:r>
    </w:p>
    <w:p w14:paraId="262CF14F" w14:textId="77777777" w:rsidR="00355D9E" w:rsidRPr="00C7130A" w:rsidRDefault="00355D9E" w:rsidP="00DB7436">
      <w:pPr>
        <w:rPr>
          <w:rtl/>
          <w:lang w:bidi="ar-JO"/>
        </w:rPr>
      </w:pPr>
      <w:r w:rsidRPr="00C7130A">
        <w:rPr>
          <w:rtl/>
          <w:lang w:bidi="ar-JO"/>
        </w:rPr>
        <w:lastRenderedPageBreak/>
        <w:t>تُطرح العلاقة بين يهوه والأمّة على شكل معاهدة من تلك المعاهدات التي كانت سائدة في الشرق الأدنى القديم بين ملك متسيد منتصر ودولة تابعة، يلتزم بموجبها الطرفان بالشروط الصريحة للمعاهدة (انظر القسم 2).  ويقدّم الملك المتسيد (يهوه) امتيازات ومزايا إذا وافقت الأمّة التابعة (إسرائيل) على الشروط.  ستُذكر هذه الشروط في خروج 20: 1-23: 33: أمّا المزايا فتذكر في خروج 19: 5-6.  وكأن لسان حال الله يقول: "إن وافقتم على أن تفعلوا هذا، فسأقدم لكم هذه الامتيازات."</w:t>
      </w:r>
    </w:p>
    <w:p w14:paraId="25323273" w14:textId="77777777" w:rsidR="00355D9E" w:rsidRPr="00C7130A" w:rsidRDefault="00355D9E" w:rsidP="00DB7436">
      <w:pPr>
        <w:rPr>
          <w:rtl/>
          <w:lang w:bidi="ar-JO"/>
        </w:rPr>
      </w:pPr>
      <w:r w:rsidRPr="00C7130A">
        <w:rPr>
          <w:rtl/>
          <w:lang w:bidi="ar-JO"/>
        </w:rPr>
        <w:t>فالآن إن سمعتم لصوتي، وحفظتم عهدي تكونون لي خاصّة بين جميع الشعوب.  فإن لي كلّ الأرض.  وأنتم تكونون لي مملكة  كهنة، وأمّة مقدسة. (خروج 19: 5-6).</w:t>
      </w:r>
    </w:p>
    <w:p w14:paraId="11C63BF3" w14:textId="77777777" w:rsidR="00355D9E" w:rsidRPr="00C7130A" w:rsidRDefault="00355D9E" w:rsidP="00DB7436">
      <w:pPr>
        <w:rPr>
          <w:rtl/>
          <w:lang w:bidi="ar-JO"/>
        </w:rPr>
      </w:pPr>
      <w:r w:rsidRPr="00C7130A">
        <w:rPr>
          <w:rtl/>
          <w:lang w:bidi="ar-JO"/>
        </w:rPr>
        <w:t xml:space="preserve">توافق أمّة إسرائيل في 19: 8 على هذا العرض: "كلَّ ما تكلم به الرب نفعل."  (قارن 24: 7).  ولسوء الحظ فقد فهم بعضهم أن هذا يعني أن إسرائيل كانت بهذا تتخلى عن مبدأ النعمة لتقبل مبدأ الشريعة عوضاً عنه (انظر </w:t>
      </w:r>
      <w:r w:rsidRPr="00C7130A">
        <w:t>The Scofield Ref. Bible</w:t>
      </w:r>
      <w:r w:rsidRPr="00C7130A">
        <w:rPr>
          <w:rtl/>
          <w:lang w:bidi="ar-JO"/>
        </w:rPr>
        <w:t>).  لكن في ضوء امتداح الله لقرارهم (انظر تثنية 5: 27، 28)، فإن هذا أمر بعيد الاحتمال جداً.  لكن المسألة هنا هي الفرصة المتاحة لهم في أن يكونوا وسيط يهوه للبركة.  لنلاحظ الوعود المتاحة لإسرائيل في خروج 19: 5-6.</w:t>
      </w:r>
    </w:p>
    <w:p w14:paraId="7CF68867"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DB7436">
        <w:rPr>
          <w:rFonts w:eastAsia="Times New Roman"/>
          <w:kern w:val="0"/>
          <w:rtl/>
          <w:lang w:bidi="ar-JO"/>
          <w14:ligatures w14:val="none"/>
        </w:rPr>
        <w:t>1.</w:t>
      </w:r>
      <w:r w:rsidRPr="00DB7436">
        <w:rPr>
          <w:rFonts w:eastAsia="Times New Roman"/>
          <w:kern w:val="0"/>
          <w:rtl/>
          <w:lang w:bidi="ar-JO"/>
          <w14:ligatures w14:val="none"/>
        </w:rPr>
        <w:tab/>
        <w:t xml:space="preserve">"لي خاصّة (أي مقتنى، </w:t>
      </w:r>
      <w:r w:rsidRPr="00DB7436">
        <w:rPr>
          <w:rFonts w:ascii="Times New Roman" w:eastAsia="Times New Roman" w:hAnsi="Times New Roman" w:cs="Times New Roman" w:hint="cs"/>
          <w:b/>
          <w:kern w:val="0"/>
          <w:rtl/>
          <w:lang w:bidi="he-IL"/>
          <w14:ligatures w14:val="none"/>
        </w:rPr>
        <w:t>סְגֻלָּה</w:t>
      </w:r>
      <w:r w:rsidRPr="00DB7436">
        <w:rPr>
          <w:rFonts w:eastAsia="Times New Roman"/>
          <w:kern w:val="0"/>
          <w14:ligatures w14:val="none"/>
        </w:rPr>
        <w:t xml:space="preserve">, </w:t>
      </w:r>
      <w:r w:rsidRPr="00DB7436">
        <w:rPr>
          <w:rFonts w:eastAsia="Times New Roman"/>
          <w:bCs/>
          <w:i/>
          <w:iCs/>
          <w:kern w:val="0"/>
          <w:lang w:bidi="ar-JO"/>
          <w14:ligatures w14:val="none"/>
        </w:rPr>
        <w:t>s</w:t>
      </w:r>
      <w:r w:rsidRPr="00DB7436">
        <w:rPr>
          <w:rFonts w:ascii="Times New Roman" w:eastAsia="Times New Roman" w:hAnsi="Times New Roman" w:cs="Times New Roman"/>
          <w:bCs/>
          <w:i/>
          <w:iCs/>
          <w:kern w:val="0"/>
          <w:lang w:bidi="ar-JO"/>
          <w14:ligatures w14:val="none"/>
        </w:rPr>
        <w:t>ᵊ</w:t>
      </w:r>
      <w:r w:rsidRPr="00DB7436">
        <w:rPr>
          <w:rFonts w:eastAsia="Times New Roman"/>
          <w:bCs/>
          <w:i/>
          <w:iCs/>
          <w:kern w:val="0"/>
          <w:lang w:bidi="ar-JO"/>
          <w14:ligatures w14:val="none"/>
        </w:rPr>
        <w:t>ḡullâ</w:t>
      </w:r>
      <w:r w:rsidRPr="00DB7436">
        <w:rPr>
          <w:rFonts w:eastAsia="Times New Roman"/>
          <w:bCs/>
          <w:kern w:val="0"/>
          <w:lang w:bidi="he-IL"/>
          <w14:ligatures w14:val="none"/>
        </w:rPr>
        <w:t xml:space="preserve">, </w:t>
      </w:r>
      <w:r w:rsidRPr="00DB7436">
        <w:rPr>
          <w:rFonts w:eastAsia="Times New Roman"/>
          <w:kern w:val="0"/>
          <w:rtl/>
          <w:lang w:bidi="ar-JO"/>
          <w14:ligatures w14:val="none"/>
        </w:rPr>
        <w:t xml:space="preserve"> س</w:t>
      </w:r>
      <w:r w:rsidRPr="00DB7436">
        <w:rPr>
          <w:rFonts w:eastAsia="Times New Roman"/>
          <w:kern w:val="0"/>
          <w:rtl/>
          <w14:ligatures w14:val="none"/>
        </w:rPr>
        <w:t>ـِ</w:t>
      </w:r>
      <w:r w:rsidRPr="00DB7436">
        <w:rPr>
          <w:rFonts w:eastAsia="Times New Roman"/>
          <w:kern w:val="0"/>
          <w:vertAlign w:val="subscript"/>
          <w14:ligatures w14:val="none"/>
        </w:rPr>
        <w:t>ﮕ</w:t>
      </w:r>
      <w:r w:rsidRPr="00DB7436">
        <w:rPr>
          <w:rFonts w:eastAsia="Times New Roman"/>
          <w:kern w:val="0"/>
          <w:rtl/>
          <w14:ligatures w14:val="none"/>
        </w:rPr>
        <w:t>و</w:t>
      </w:r>
      <w:r w:rsidRPr="00DB7436">
        <w:rPr>
          <w:rFonts w:eastAsia="Times New Roman"/>
          <w:kern w:val="0"/>
          <w:rtl/>
          <w:lang w:bidi="ar-JO"/>
          <w14:ligatures w14:val="none"/>
        </w:rPr>
        <w:t>لـل</w:t>
      </w:r>
      <w:r w:rsidRPr="00DB7436">
        <w:rPr>
          <w:rFonts w:eastAsia="Times New Roman"/>
          <w:kern w:val="0"/>
          <w:rtl/>
          <w14:ligatures w14:val="none"/>
        </w:rPr>
        <w:t>ي</w:t>
      </w:r>
      <w:r w:rsidRPr="00DB7436">
        <w:rPr>
          <w:rFonts w:eastAsia="Times New Roman"/>
          <w:kern w:val="0"/>
          <w:rtl/>
          <w:lang w:bidi="ar-JO"/>
          <w14:ligatures w14:val="none"/>
        </w:rPr>
        <w:t>ـه) من بين جميع الشعوب."  أي أنهم يمكن أن يكونوا كنزاً مميَّزاً.  يقول يهوه ما مفاده: "على الرغم من أن كل الأرض لي، فإنكم ستكون كنزاً فريداً وثميناً لي."</w:t>
      </w:r>
    </w:p>
    <w:p w14:paraId="18DBE14A"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DB7436">
        <w:rPr>
          <w:rFonts w:eastAsia="Times New Roman"/>
          <w:kern w:val="0"/>
          <w:rtl/>
          <w:lang w:bidi="ar-JO"/>
          <w14:ligatures w14:val="none"/>
        </w:rPr>
        <w:t>2.</w:t>
      </w:r>
      <w:r w:rsidRPr="00DB7436">
        <w:rPr>
          <w:rFonts w:eastAsia="Times New Roman"/>
          <w:kern w:val="0"/>
          <w:rtl/>
          <w:lang w:bidi="ar-JO"/>
          <w14:ligatures w14:val="none"/>
        </w:rPr>
        <w:tab/>
        <w:t>"مملكة كهنة" يشكل الكاهن صلة وصل بين الله والإنسان.  كان يمكن أن تكون لإسرائيل وظيفة كهنوتية تخدم فيها الأمم الأخرى بأن تدلهم على الطريق إلى يهوه (انظر إشعياء 49: 6 حيث يُنظر إلى عبد يهوه بصفته "نوراً للأمم").  يقول ميريل:</w:t>
      </w:r>
    </w:p>
    <w:p w14:paraId="465E8FC0"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14:ligatures w14:val="none"/>
        </w:rPr>
      </w:pPr>
      <w:r w:rsidRPr="00DB7436">
        <w:rPr>
          <w:rFonts w:eastAsia="Times New Roman"/>
          <w:kern w:val="0"/>
          <w:rtl/>
          <w:lang w:bidi="ar-JO"/>
          <w14:ligatures w14:val="none"/>
        </w:rPr>
        <w:t>كان يفترض أن يكون دورهم منذ ذلك الوقت فصاعداً هو التشّفع أو التوسط بين الله القدوس وأمم العالم الضالّة.  وليس الهدف المنظور هو أن يعلنوا خلاصه فحسب، بل أيضاً أن يكونوا القناة التي يُنجز من خلالها ذلك الخلاص.</w:t>
      </w:r>
      <w:r w:rsidRPr="00DB7436">
        <w:rPr>
          <w:rFonts w:eastAsia="Times New Roman"/>
          <w:kern w:val="0"/>
          <w:vertAlign w:val="superscript"/>
          <w:rtl/>
          <w:lang w:bidi="ar-JO"/>
          <w14:ligatures w14:val="none"/>
        </w:rPr>
        <w:footnoteReference w:id="74"/>
      </w:r>
    </w:p>
    <w:p w14:paraId="34BD979C"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DB7436">
        <w:rPr>
          <w:rFonts w:eastAsia="Times New Roman"/>
          <w:kern w:val="0"/>
          <w:rtl/>
          <w:lang w:bidi="ar-JO"/>
          <w14:ligatures w14:val="none"/>
        </w:rPr>
        <w:t>3.</w:t>
      </w:r>
      <w:r w:rsidRPr="00DB7436">
        <w:rPr>
          <w:rFonts w:eastAsia="Times New Roman"/>
          <w:kern w:val="0"/>
          <w:rtl/>
          <w:lang w:bidi="ar-JO"/>
          <w14:ligatures w14:val="none"/>
        </w:rPr>
        <w:tab/>
        <w:t>"أمّة مقدّسة."  يمكن أن يُفرَزوا ويميَّزوا، لا أن يُستعبَدوا للخطية كالشعوب الأخرى.</w:t>
      </w:r>
    </w:p>
    <w:p w14:paraId="686E13DC"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1FCD71B"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B7436">
        <w:rPr>
          <w:rFonts w:eastAsia="Times New Roman"/>
          <w:kern w:val="0"/>
          <w:rtl/>
          <w:lang w:bidi="ar-JO"/>
          <w14:ligatures w14:val="none"/>
        </w:rPr>
        <w:t>كانت هذه فرصة الامتياز.  فبعد أن يوافَق على الشريعة، صارت الشريعة شكلاً لعلاقة بين يهوه والأمّة إلى أن مات المسيح على الصليب.</w:t>
      </w:r>
    </w:p>
    <w:p w14:paraId="3BD50E23" w14:textId="77777777" w:rsidR="00355D9E"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B7436">
        <w:rPr>
          <w:rFonts w:eastAsia="Times New Roman"/>
          <w:kern w:val="0"/>
          <w:rtl/>
          <w:lang w:bidi="ar-JO"/>
          <w14:ligatures w14:val="none"/>
        </w:rPr>
        <w:t xml:space="preserve">ومع تقدّم التاريخ كان واضحاً أن الأمّة لن تكون وفية لعلاقة العهد هذه.  وبالمقابلة مع العهد الإبراهيمي غير المشروط، كان العهد الموسوي مشروطاً.  ونتيجة لذلك، كان لابد من تجديد العهد.  ويمكننا أن نرى عدة أمثلة على تجديد العهد.  يعطى </w:t>
      </w:r>
      <w:r w:rsidRPr="00DB7436">
        <w:rPr>
          <w:rFonts w:eastAsia="Times New Roman"/>
          <w:kern w:val="0"/>
          <w:rtl/>
          <w:lang w:bidi="ar-JO"/>
          <w14:ligatures w14:val="none"/>
        </w:rPr>
        <w:lastRenderedPageBreak/>
        <w:t>العهد الأولي ويوافَق عليه في خروج 19-24.  ويجدَّد العهد في خروج 32-34 عند دخول الأرض (تثنية)، وتحت قيادة يشوع (انظر يشوع 24).  وهذا هو ما يجعل عمل الأنبياء ذا أهمية خاصّة. إذ كانوا يدعون الأمّة إلى تحمّل مسؤولياتها في ما يتعلق بخرق العهد، وينبّهون الأمّة إلى عواقب عدم طاعتهم (انظر تثنية 28-30).</w:t>
      </w:r>
    </w:p>
    <w:p w14:paraId="463F4073" w14:textId="77777777" w:rsidR="00DB7436" w:rsidRPr="00DB7436" w:rsidRDefault="00DB743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78C1AB2" w14:textId="77777777" w:rsidR="00355D9E" w:rsidRPr="00C7130A" w:rsidRDefault="00355D9E" w:rsidP="000558B7">
      <w:pPr>
        <w:pStyle w:val="Heading3"/>
        <w:rPr>
          <w:rtl/>
          <w:lang w:bidi="ar-JO"/>
        </w:rPr>
      </w:pPr>
      <w:bookmarkStart w:id="185" w:name="_Toc193030992"/>
      <w:r w:rsidRPr="00C7130A">
        <w:rPr>
          <w:rtl/>
          <w:lang w:bidi="ar-JO"/>
        </w:rPr>
        <w:t>2.</w:t>
      </w:r>
      <w:r w:rsidRPr="00C7130A">
        <w:rPr>
          <w:rtl/>
          <w:lang w:bidi="ar-JO"/>
        </w:rPr>
        <w:tab/>
        <w:t>شكَّل العهد</w:t>
      </w:r>
      <w:bookmarkEnd w:id="185"/>
      <w:r w:rsidRPr="00C7130A">
        <w:rPr>
          <w:rtl/>
          <w:lang w:bidi="ar-JO"/>
        </w:rPr>
        <w:t xml:space="preserve"> </w:t>
      </w:r>
    </w:p>
    <w:p w14:paraId="54E91187" w14:textId="77777777" w:rsidR="00355D9E" w:rsidRPr="00C7130A" w:rsidRDefault="00355D9E" w:rsidP="00DB7436">
      <w:pPr>
        <w:rPr>
          <w:sz w:val="28"/>
          <w:szCs w:val="28"/>
          <w:rtl/>
          <w:lang w:bidi="ar-JO"/>
        </w:rPr>
      </w:pPr>
      <w:r w:rsidRPr="00C7130A">
        <w:rPr>
          <w:rtl/>
          <w:lang w:bidi="ar-JO"/>
        </w:rPr>
        <w:t>قدّم لنا جـ. إي. مندنهال، وميريديث كلاين، و ك. أ. كتشن خدمة قيّمة جدّاً في ما يتعلق بالتوازي الموجود بين العهد الموسوي وعهود الشرق الأدنى في الألفية الثانية ق م.</w:t>
      </w:r>
      <w:r w:rsidRPr="00C7130A">
        <w:rPr>
          <w:vertAlign w:val="superscript"/>
          <w:rtl/>
          <w:lang w:bidi="ar-JO"/>
        </w:rPr>
        <w:footnoteReference w:id="75"/>
      </w:r>
      <w:r w:rsidRPr="00C7130A">
        <w:rPr>
          <w:rtl/>
        </w:rPr>
        <w:t xml:space="preserve">  </w:t>
      </w:r>
      <w:r w:rsidRPr="00C7130A">
        <w:rPr>
          <w:rtl/>
          <w:lang w:bidi="ar-JO"/>
        </w:rPr>
        <w:t>ي</w:t>
      </w:r>
      <w:r w:rsidRPr="00C7130A">
        <w:rPr>
          <w:rtl/>
        </w:rPr>
        <w:t>ُ</w:t>
      </w:r>
      <w:r w:rsidRPr="00C7130A">
        <w:rPr>
          <w:rtl/>
          <w:lang w:bidi="ar-JO"/>
        </w:rPr>
        <w:t>طلق على هذا الشكل أو هذه الصيغة "صيغة المعاهدة بين الدولة المتسيدة (أو الملك المتسيد) والدولة التابعة".  وقد كانت هذه صيغة معاهدة شائعة متعارفاً عليها في العالم الحِثّي، حيث كان</w:t>
      </w:r>
      <w:r w:rsidRPr="00C7130A">
        <w:rPr>
          <w:rtl/>
        </w:rPr>
        <w:t>ت</w:t>
      </w:r>
      <w:r w:rsidRPr="00C7130A">
        <w:rPr>
          <w:rtl/>
          <w:lang w:bidi="ar-JO"/>
        </w:rPr>
        <w:t xml:space="preserve"> ت</w:t>
      </w:r>
      <w:r w:rsidRPr="00C7130A">
        <w:rPr>
          <w:rtl/>
        </w:rPr>
        <w:t>دخل</w:t>
      </w:r>
      <w:r w:rsidRPr="00C7130A">
        <w:rPr>
          <w:rtl/>
          <w:lang w:bidi="ar-JO"/>
        </w:rPr>
        <w:t xml:space="preserve"> الدولة </w:t>
      </w:r>
      <w:r w:rsidRPr="00C7130A">
        <w:rPr>
          <w:rtl/>
        </w:rPr>
        <w:t>ال</w:t>
      </w:r>
      <w:r w:rsidRPr="00C7130A">
        <w:rPr>
          <w:rtl/>
          <w:lang w:bidi="ar-JO"/>
        </w:rPr>
        <w:t>أقوى و</w:t>
      </w:r>
      <w:r w:rsidRPr="00C7130A">
        <w:rPr>
          <w:rtl/>
        </w:rPr>
        <w:t>ال</w:t>
      </w:r>
      <w:r w:rsidRPr="00C7130A">
        <w:rPr>
          <w:rtl/>
          <w:lang w:bidi="ar-JO"/>
        </w:rPr>
        <w:t xml:space="preserve">أعظم في معاهدة مع دولة تابعة أضعف </w:t>
      </w:r>
      <w:r w:rsidRPr="00C7130A">
        <w:rPr>
          <w:rtl/>
        </w:rPr>
        <w:t>"</w:t>
      </w:r>
      <w:r w:rsidRPr="00C7130A">
        <w:rPr>
          <w:rtl/>
          <w:lang w:bidi="ar-JO"/>
        </w:rPr>
        <w:t>مُقْطَعة</w:t>
      </w:r>
      <w:r w:rsidRPr="00C7130A">
        <w:rPr>
          <w:rtl/>
        </w:rPr>
        <w:t>"</w:t>
      </w:r>
      <w:r w:rsidRPr="00C7130A">
        <w:rPr>
          <w:rtl/>
          <w:lang w:bidi="ar-JO"/>
        </w:rPr>
        <w:t xml:space="preserve"> (وتَشهد بهذا بكثرة وفيرة السجلات الملكية الحثية التي وجدت في بوغازكوي في تركيا).  كانت الدولة التابعة تربط نفسها بقسمٍ بالدولة/الملك المتسيد وتتعهد بأداء واجبات معينة.  وكان لهذه المعاهدات شكل واضح المعالم (على الرغم من أنها لم تكن تأخذ شكل قالب غير مرن على الإطلاق).</w:t>
      </w:r>
      <w:r w:rsidRPr="00C7130A">
        <w:rPr>
          <w:sz w:val="28"/>
          <w:szCs w:val="28"/>
          <w:vertAlign w:val="superscript"/>
          <w:rtl/>
          <w:lang w:bidi="ar-JO"/>
        </w:rPr>
        <w:footnoteReference w:id="76"/>
      </w:r>
      <w:r w:rsidRPr="00C7130A">
        <w:rPr>
          <w:sz w:val="28"/>
          <w:szCs w:val="28"/>
          <w:rtl/>
          <w:lang w:bidi="ar-JO"/>
        </w:rPr>
        <w:t xml:space="preserve"> </w:t>
      </w:r>
    </w:p>
    <w:p w14:paraId="0C52536B" w14:textId="77777777" w:rsidR="00355D9E" w:rsidRPr="00C7130A"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r w:rsidRPr="00C7130A">
        <w:rPr>
          <w:rFonts w:eastAsia="Times New Roman"/>
          <w:kern w:val="0"/>
          <w:szCs w:val="26"/>
          <w:rtl/>
          <w:lang w:bidi="ar-JO"/>
          <w14:ligatures w14:val="none"/>
        </w:rPr>
        <w:t xml:space="preserve">      </w:t>
      </w:r>
    </w:p>
    <w:p w14:paraId="4D56EE83"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sz w:val="48"/>
          <w:rtl/>
          <w:lang w:bidi="ar-JO"/>
          <w14:ligatures w14:val="none"/>
        </w:rPr>
      </w:pPr>
      <w:r w:rsidRPr="00DB7436">
        <w:rPr>
          <w:rFonts w:eastAsia="Times New Roman"/>
          <w:kern w:val="0"/>
          <w:sz w:val="48"/>
          <w:rtl/>
          <w:lang w:bidi="ar-JO"/>
          <w14:ligatures w14:val="none"/>
        </w:rPr>
        <w:t>1.</w:t>
      </w:r>
      <w:r w:rsidRPr="00DB7436">
        <w:rPr>
          <w:rFonts w:eastAsia="Times New Roman"/>
          <w:kern w:val="0"/>
          <w:sz w:val="48"/>
          <w:rtl/>
          <w:lang w:bidi="ar-JO"/>
          <w14:ligatures w14:val="none"/>
        </w:rPr>
        <w:tab/>
        <w:t>مقدمة المعاهدة- تعريف بالدولة/الملك المتسيدة.</w:t>
      </w:r>
    </w:p>
    <w:p w14:paraId="1B08EBBD"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sz w:val="48"/>
          <w:rtl/>
          <w:lang w:bidi="ar-JO"/>
          <w14:ligatures w14:val="none"/>
        </w:rPr>
      </w:pPr>
      <w:r w:rsidRPr="00DB7436">
        <w:rPr>
          <w:rFonts w:eastAsia="Times New Roman"/>
          <w:kern w:val="0"/>
          <w:sz w:val="48"/>
          <w:rtl/>
          <w:lang w:bidi="ar-JO"/>
          <w14:ligatures w14:val="none"/>
        </w:rPr>
        <w:t>2.</w:t>
      </w:r>
      <w:r w:rsidRPr="00DB7436">
        <w:rPr>
          <w:rFonts w:eastAsia="Times New Roman"/>
          <w:kern w:val="0"/>
          <w:sz w:val="48"/>
          <w:rtl/>
          <w:lang w:bidi="ar-JO"/>
          <w14:ligatures w14:val="none"/>
        </w:rPr>
        <w:tab/>
        <w:t>تمهيد تاريخي- يشمل هذا ذكر الأعمال التي تتم لفائدة الدولة التابعة، حتى تكون الدولة التابعة مدينةً بالعرفان الدائم للملك العظيم بسبب الخير والاعتبار والأفضال التي تلقّتها.</w:t>
      </w:r>
    </w:p>
    <w:p w14:paraId="40486476"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sz w:val="48"/>
          <w:rtl/>
          <w:lang w:bidi="ar-JO"/>
          <w14:ligatures w14:val="none"/>
        </w:rPr>
      </w:pPr>
      <w:r w:rsidRPr="00DB7436">
        <w:rPr>
          <w:rFonts w:eastAsia="Times New Roman"/>
          <w:kern w:val="0"/>
          <w:sz w:val="48"/>
          <w:rtl/>
          <w:lang w:bidi="ar-JO"/>
          <w14:ligatures w14:val="none"/>
        </w:rPr>
        <w:t>3.</w:t>
      </w:r>
      <w:r w:rsidRPr="00DB7436">
        <w:rPr>
          <w:rFonts w:eastAsia="Times New Roman"/>
          <w:kern w:val="0"/>
          <w:sz w:val="48"/>
          <w:rtl/>
          <w:lang w:bidi="ar-JO"/>
          <w14:ligatures w14:val="none"/>
        </w:rPr>
        <w:tab/>
        <w:t>شروط التعاقد- أي الالتزامات التي فُرضت وقبلتها الدولة التابعة (وتتضمن تعبيراً عن الولاء للملك المتسيد).</w:t>
      </w:r>
    </w:p>
    <w:p w14:paraId="3442E28D"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sz w:val="48"/>
          <w:rtl/>
          <w:lang w:bidi="ar-JO"/>
          <w14:ligatures w14:val="none"/>
        </w:rPr>
      </w:pPr>
      <w:r w:rsidRPr="00DB7436">
        <w:rPr>
          <w:rFonts w:eastAsia="Times New Roman"/>
          <w:kern w:val="0"/>
          <w:sz w:val="48"/>
          <w:rtl/>
          <w:lang w:bidi="ar-JO"/>
          <w14:ligatures w14:val="none"/>
        </w:rPr>
        <w:t>4.</w:t>
      </w:r>
      <w:r w:rsidRPr="00DB7436">
        <w:rPr>
          <w:rFonts w:eastAsia="Times New Roman"/>
          <w:kern w:val="0"/>
          <w:sz w:val="48"/>
          <w:rtl/>
          <w:lang w:bidi="ar-JO"/>
          <w14:ligatures w14:val="none"/>
        </w:rPr>
        <w:tab/>
        <w:t>ترتيب وضع نسخة في الهيكل وقراءة دورية علنية لنص المعاهدة.</w:t>
      </w:r>
    </w:p>
    <w:p w14:paraId="04FA1358"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sz w:val="48"/>
          <w:rtl/>
          <w:lang w:bidi="ar-JO"/>
          <w14:ligatures w14:val="none"/>
        </w:rPr>
      </w:pPr>
      <w:r w:rsidRPr="00DB7436">
        <w:rPr>
          <w:rFonts w:eastAsia="Times New Roman"/>
          <w:kern w:val="0"/>
          <w:sz w:val="48"/>
          <w:rtl/>
          <w:lang w:bidi="ar-JO"/>
          <w14:ligatures w14:val="none"/>
        </w:rPr>
        <w:t>5.</w:t>
      </w:r>
      <w:r w:rsidRPr="00DB7436">
        <w:rPr>
          <w:rFonts w:eastAsia="Times New Roman"/>
          <w:kern w:val="0"/>
          <w:sz w:val="48"/>
          <w:rtl/>
          <w:lang w:bidi="ar-JO"/>
          <w14:ligatures w14:val="none"/>
        </w:rPr>
        <w:tab/>
        <w:t>دعوة الآلهة للشهادة تشهد على العهد.</w:t>
      </w:r>
    </w:p>
    <w:p w14:paraId="08C4BB76"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sz w:val="48"/>
          <w:rtl/>
          <w:lang w:bidi="ar-JO"/>
          <w14:ligatures w14:val="none"/>
        </w:rPr>
      </w:pPr>
      <w:r w:rsidRPr="00DB7436">
        <w:rPr>
          <w:rFonts w:eastAsia="Times New Roman"/>
          <w:kern w:val="0"/>
          <w:sz w:val="48"/>
          <w:rtl/>
          <w:lang w:bidi="ar-JO"/>
          <w14:ligatures w14:val="none"/>
        </w:rPr>
        <w:t>6.</w:t>
      </w:r>
      <w:r w:rsidRPr="00DB7436">
        <w:rPr>
          <w:rFonts w:eastAsia="Times New Roman"/>
          <w:kern w:val="0"/>
          <w:sz w:val="48"/>
          <w:rtl/>
          <w:lang w:bidi="ar-JO"/>
          <w14:ligatures w14:val="none"/>
        </w:rPr>
        <w:tab/>
        <w:t>إعلان لعنات وبركات.</w:t>
      </w:r>
    </w:p>
    <w:p w14:paraId="7E5862F3"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sz w:val="48"/>
          <w:rtl/>
          <w:lang w:bidi="ar-JO"/>
          <w14:ligatures w14:val="none"/>
        </w:rPr>
      </w:pPr>
      <w:r w:rsidRPr="00DB7436">
        <w:rPr>
          <w:rFonts w:eastAsia="Times New Roman"/>
          <w:kern w:val="0"/>
          <w:sz w:val="48"/>
          <w:rtl/>
          <w:lang w:bidi="ar-JO"/>
          <w14:ligatures w14:val="none"/>
        </w:rPr>
        <w:t>7.</w:t>
      </w:r>
      <w:r w:rsidRPr="00DB7436">
        <w:rPr>
          <w:rFonts w:eastAsia="Times New Roman"/>
          <w:kern w:val="0"/>
          <w:sz w:val="48"/>
          <w:rtl/>
          <w:lang w:bidi="ar-JO"/>
          <w14:ligatures w14:val="none"/>
        </w:rPr>
        <w:tab/>
        <w:t>القسَم الرسمي الذي يُعلن بموجبه الملك التابع الولاء.</w:t>
      </w:r>
      <w:r w:rsidRPr="00DB7436">
        <w:rPr>
          <w:rFonts w:eastAsia="Times New Roman"/>
          <w:kern w:val="0"/>
          <w:sz w:val="48"/>
          <w:rtl/>
          <w:lang w:bidi="ar-JO"/>
          <w14:ligatures w14:val="none"/>
        </w:rPr>
        <w:tab/>
      </w:r>
    </w:p>
    <w:p w14:paraId="1FD8F040" w14:textId="77777777" w:rsidR="00355D9E" w:rsidRPr="00DB7436"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sz w:val="48"/>
          <w:rtl/>
          <w:lang w:bidi="ar-JO"/>
          <w14:ligatures w14:val="none"/>
        </w:rPr>
      </w:pPr>
      <w:r w:rsidRPr="00DB7436">
        <w:rPr>
          <w:rFonts w:eastAsia="Times New Roman"/>
          <w:kern w:val="0"/>
          <w:sz w:val="48"/>
          <w:rtl/>
          <w:lang w:bidi="ar-JO"/>
          <w14:ligatures w14:val="none"/>
        </w:rPr>
        <w:t>8.</w:t>
      </w:r>
      <w:r w:rsidRPr="00DB7436">
        <w:rPr>
          <w:rFonts w:eastAsia="Times New Roman"/>
          <w:kern w:val="0"/>
          <w:sz w:val="48"/>
          <w:rtl/>
          <w:lang w:bidi="ar-JO"/>
          <w14:ligatures w14:val="none"/>
        </w:rPr>
        <w:tab/>
        <w:t xml:space="preserve">احتفال مهيب مرافق للقسَم. </w:t>
      </w:r>
    </w:p>
    <w:p w14:paraId="60859759" w14:textId="77777777" w:rsidR="00355D9E" w:rsidRPr="00DB7436" w:rsidRDefault="00355D9E">
      <w:pPr>
        <w:numPr>
          <w:ilvl w:val="0"/>
          <w:numId w:val="8"/>
        </w:numPr>
        <w:tabs>
          <w:tab w:val="left" w:pos="550"/>
          <w:tab w:val="left" w:pos="1100"/>
          <w:tab w:val="left" w:pos="1650"/>
          <w:tab w:val="left" w:pos="2200"/>
          <w:tab w:val="left" w:pos="2750"/>
          <w:tab w:val="left" w:pos="3300"/>
          <w:tab w:val="left" w:pos="3850"/>
          <w:tab w:val="left" w:pos="4400"/>
        </w:tabs>
        <w:jc w:val="both"/>
        <w:rPr>
          <w:rFonts w:eastAsia="Times New Roman"/>
          <w:kern w:val="0"/>
          <w:sz w:val="48"/>
          <w:rtl/>
          <w:lang w:bidi="ar-JO"/>
          <w14:ligatures w14:val="none"/>
        </w:rPr>
      </w:pPr>
      <w:r w:rsidRPr="00DB7436">
        <w:rPr>
          <w:rFonts w:eastAsia="Times New Roman"/>
          <w:kern w:val="0"/>
          <w:sz w:val="48"/>
          <w:rtl/>
          <w:lang w:bidi="ar-JO"/>
          <w14:ligatures w14:val="none"/>
        </w:rPr>
        <w:lastRenderedPageBreak/>
        <w:t>شكل من أشكال الإجراءات الأولية ضد الدولة التابعة إن تمرَّدت.</w:t>
      </w:r>
    </w:p>
    <w:p w14:paraId="4BD79EB1" w14:textId="77777777" w:rsidR="00355D9E" w:rsidRPr="00DB7436" w:rsidRDefault="00355D9E" w:rsidP="00DB7436">
      <w:pPr>
        <w:tabs>
          <w:tab w:val="left" w:pos="550"/>
          <w:tab w:val="left" w:pos="1100"/>
          <w:tab w:val="left" w:pos="1650"/>
          <w:tab w:val="left" w:pos="2200"/>
          <w:tab w:val="left" w:pos="2750"/>
          <w:tab w:val="left" w:pos="3300"/>
          <w:tab w:val="left" w:pos="3850"/>
          <w:tab w:val="left" w:pos="4400"/>
        </w:tabs>
        <w:jc w:val="both"/>
        <w:rPr>
          <w:rFonts w:eastAsia="Times New Roman"/>
          <w:kern w:val="0"/>
          <w:sz w:val="48"/>
          <w:rtl/>
          <w:lang w:bidi="ar-JO"/>
          <w14:ligatures w14:val="none"/>
        </w:rPr>
      </w:pPr>
    </w:p>
    <w:p w14:paraId="29EFC325" w14:textId="77777777" w:rsidR="00355D9E" w:rsidRPr="00C7130A" w:rsidRDefault="00355D9E" w:rsidP="00DB7436">
      <w:pPr>
        <w:rPr>
          <w:rtl/>
          <w:lang w:bidi="ar-JO"/>
        </w:rPr>
      </w:pPr>
      <w:r w:rsidRPr="00C7130A">
        <w:rPr>
          <w:rtl/>
          <w:lang w:bidi="ar-JO"/>
        </w:rPr>
        <w:t>إن كثيراً من هذه التفصيلات (على الرغم من أنها معدَّلة من بعض النواحي) موجودة في العهد الموسوي، خاصّة مقدمة العهد، والتمهيد التاريخي، والشروط.  ومن الطبيعي أنه لا يوجد إشهاد لآلهة أخرى على العهد.  وبفهمنا لهذا النوع من المعاهدات بين الملك القوي المتسيد والدولة التابعة، يمكننا أن نحصل على فكرة أفضل لأهمية هذه الأصحاحات بالنسبة لبني إسرائيل.  وأخيراً يجب أن نلخّص نشاطات سيناء بصفتها عهداً يربط الشعب بيهوه كملك عليهم، ويربط الأسباط بعضهم ببعض بصفتهم تابعين للملك.  ويشكّل هذا العهد ولادة دولة ثيوقراطية (دينية يحكمها الله).</w:t>
      </w:r>
    </w:p>
    <w:p w14:paraId="6E1E29EC" w14:textId="77777777" w:rsidR="00355D9E" w:rsidRPr="00C7130A"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163B2784" w14:textId="77777777" w:rsidR="00355D9E" w:rsidRPr="00C7130A" w:rsidRDefault="00355D9E" w:rsidP="000558B7">
      <w:pPr>
        <w:pStyle w:val="Heading3"/>
        <w:rPr>
          <w:rtl/>
          <w:lang w:bidi="ar-JO"/>
        </w:rPr>
      </w:pPr>
      <w:bookmarkStart w:id="186" w:name="_Toc193030993"/>
      <w:r w:rsidRPr="00C7130A">
        <w:rPr>
          <w:rtl/>
          <w:lang w:bidi="ar-JO"/>
        </w:rPr>
        <w:t>3.</w:t>
      </w:r>
      <w:r w:rsidRPr="00C7130A">
        <w:rPr>
          <w:rtl/>
          <w:lang w:bidi="ar-JO"/>
        </w:rPr>
        <w:tab/>
        <w:t>تعليقات على الوصايا العشر</w:t>
      </w:r>
      <w:bookmarkEnd w:id="186"/>
    </w:p>
    <w:p w14:paraId="7667B244" w14:textId="77777777" w:rsidR="00355D9E" w:rsidRPr="00C7130A" w:rsidRDefault="00355D9E" w:rsidP="00DB7436">
      <w:pPr>
        <w:rPr>
          <w:rtl/>
          <w:lang w:bidi="ar-JO"/>
        </w:rPr>
      </w:pPr>
      <w:r w:rsidRPr="00C7130A">
        <w:rPr>
          <w:rtl/>
          <w:lang w:bidi="ar-JO"/>
        </w:rPr>
        <w:t>من المؤكد أن الوصايا العشر لا تُمثِّل كل شروط العهد.  غير أنها تمثّل الدستور الأساسي (لنلاحظ أنها الوحيدة التي وُضعت في تابوت العهد).  وتنقسم الوصايا العشر إلى فئتين رئيسيتين، حيث تتعلق الوصايا الأربع الأولى منها بيهوه، بينما تتعلق الوصايا الست الأخيرة بعلاقة الأعضاء التابعين أحدهم بالآخر.</w:t>
      </w:r>
    </w:p>
    <w:p w14:paraId="032EC734" w14:textId="77777777" w:rsidR="00355D9E" w:rsidRPr="00C7130A" w:rsidRDefault="00355D9E" w:rsidP="00DB7436">
      <w:pPr>
        <w:rPr>
          <w:rtl/>
          <w:lang w:bidi="ar-JO"/>
        </w:rPr>
      </w:pPr>
    </w:p>
    <w:p w14:paraId="349CC9F8" w14:textId="77777777" w:rsidR="00355D9E" w:rsidRPr="00C7130A" w:rsidRDefault="00355D9E" w:rsidP="00DB7436">
      <w:pPr>
        <w:rPr>
          <w:rtl/>
          <w:lang w:bidi="ar-JO"/>
        </w:rPr>
      </w:pPr>
      <w:r w:rsidRPr="00C7130A">
        <w:rPr>
          <w:rtl/>
          <w:lang w:bidi="ar-JO"/>
        </w:rPr>
        <w:t>يجب أن يلاحظ المرء العبارات التفسيرية في الوصايا الأربع الأولى (افعل هذا من أجل...أو لكي...) ويتوقف استخدام العبارات التفسيرية بدءاً بالوصية الخامسة، وهو بهذا سمة خاصة للقسم المرتبط بيهوه (انظر الآيات 5، 7، 11)؛ وتغطّي العبارة التفسيرية في الآية الخامسة أول وصيتين).  ويرجع السبب في وجود هذه العبارات التفسيرية إلى الطبيعة الفريدة للوصايا الأربع الأولى.  أمّا الوصايا الست الأخيرة فكانت عادية شائعة، إذ كانت موجودة في قوانين أخرى في الشرق الأدنى القديم (مثلاً قانون حمورابي) حيث كانت ضرورية للحفاظ على المجتمع.  كانت الوصايا الأربع الأولى فريدة، ولهذا فهي تحتاج تفسيراً (خاصّة فكرة عبادة إله واحد فقط).</w:t>
      </w:r>
    </w:p>
    <w:p w14:paraId="7DFCEBC9" w14:textId="77777777" w:rsidR="00355D9E" w:rsidRPr="00C7130A" w:rsidRDefault="00355D9E" w:rsidP="00DB7436">
      <w:pPr>
        <w:rPr>
          <w:rtl/>
          <w:lang w:bidi="ar-JO"/>
        </w:rPr>
      </w:pPr>
    </w:p>
    <w:p w14:paraId="6AEE73CE" w14:textId="77777777" w:rsidR="00355D9E" w:rsidRPr="00C7130A" w:rsidRDefault="00355D9E" w:rsidP="00DB7436">
      <w:pPr>
        <w:rPr>
          <w:rtl/>
          <w:lang w:bidi="ar-JO"/>
        </w:rPr>
      </w:pPr>
      <w:r w:rsidRPr="00C7130A">
        <w:rPr>
          <w:rtl/>
          <w:lang w:bidi="ar-JO"/>
        </w:rPr>
        <w:t xml:space="preserve">لا تهدف الوصية الأولى بعدم عبادة آلهة أخرى بأن توحي بالاعتراف بتعدد الآلهة.  فالفكرة هي ما يلي: "لا تفضّلوا علي آلهة أخرى." ففي اللحظة التي يذهب فيها رجل إلى أي إله آخر (وإن لم يكن هذا الإله حقيقياً، أي أنه كان مجرّد صنم)، فإنه يفضّل هذا الإله غير الحقيقي أو الصنم على يهوه.  وبالتضمين فإن عليهم أن يرفضوا كل العلاقات الأجنبية أيضاً، لأن التحالف مع أمّة أجنبية بمثابة الاعتراف بآلهتها.  وتعود بنا الوصية الثانية المتعلقة بالنهي عن عبادة الأصنام إلى الأصحاح الأول من سفر التكوين وعملية الخلق.  إن يهوه إله غيور، وهذا يعني أن له غيرة ورغبة حارّة في امتلاك ما يخصّه.  أمّا الوصية الثالثة التي تحرّم استخدام اسم الرب باطلاً فتتحدث عمّا هو أكثر بكثير من لعن اسمه.  وهي تعني أنه لا يجب أن تستخدم اسم الرب في قضية باطلة (كالحروب الصليبية، مثلاً)، وأن تفعل الشر باسم يهوه.  ويرجّح أن هذا تضمّن تحريم القسم الكاذب الذي </w:t>
      </w:r>
      <w:r w:rsidRPr="00C7130A">
        <w:rPr>
          <w:rtl/>
          <w:lang w:bidi="ar-JO"/>
        </w:rPr>
        <w:lastRenderedPageBreak/>
        <w:t>من شأنه أن يسيء إلى اسمه (لاويين 19: 12)، على الرغم من أنه كان أمراً مشروعاً أن يقسم المرء صادقاً باسم يهوه (تثنية 6: 13).</w:t>
      </w:r>
    </w:p>
    <w:p w14:paraId="58DD945B" w14:textId="77777777" w:rsidR="00355D9E" w:rsidRPr="00C7130A" w:rsidRDefault="00355D9E" w:rsidP="00DB7436">
      <w:pPr>
        <w:rPr>
          <w:rtl/>
          <w:lang w:bidi="ar-JO"/>
        </w:rPr>
      </w:pPr>
      <w:r w:rsidRPr="00C7130A">
        <w:rPr>
          <w:rtl/>
          <w:lang w:bidi="ar-JO"/>
        </w:rPr>
        <w:t xml:space="preserve">أمّا الوصية الرابعة المتعلقة بحفظ السبت فهي علامة العهد.  وهي تعكس على ما يبدو نمط الله في الخلق، مناديةً بهذا أن يهوه هو الخالق المتسيّد المطلق، وهو بالتالي متسيّد على الأمّة أيضاً.  </w:t>
      </w:r>
    </w:p>
    <w:p w14:paraId="47913DE6" w14:textId="77777777" w:rsidR="00355D9E" w:rsidRPr="00C7130A" w:rsidRDefault="00355D9E" w:rsidP="00DB7436">
      <w:pPr>
        <w:rPr>
          <w:rtl/>
          <w:lang w:bidi="ar-JO"/>
        </w:rPr>
      </w:pPr>
      <w:r w:rsidRPr="00C7130A">
        <w:rPr>
          <w:rtl/>
          <w:lang w:bidi="ar-JO"/>
        </w:rPr>
        <w:t>أمّا الوصايا الست الأخيرة فمتعلقة بالإنسان، وهي تدل على أن كل الرعايا التابعين متساوون ومحميون من الملك، وأن العداء لتابع شريك هو بمثابة عداوة للملك نفسه (حيث إن ذلك يعرض مصالح الملك للخطر).  إن تعبير "أَكْرِم" في الآية 12 مأخوذ من جذر معناه "ثقيل"، والذي تشتق منه فكرة "يحسب شيئاً ثميناً".  أمّا أفضل ترجمة للوصية السادسة المتعلقة بانتزاع الحياة فهي "لا تَغْتَلْ أحداً"، أي أن لا ينتزع المرء حياة أحد بشكل إجرامي (أي بأسلوب لا تسمح به إرادة الله المعلنة).  وإنه لأمر مثير للاهتمام أن بولس يختار الوصية الأخيرة ("لا تشتهِ") في رومية 7.  فإذا استطاع البشر حفظ الوصايا التسع الأخرى، فإن هذه الوصية الأخيرة هي مقتل الجميع.  فلا يمكننا أن نتحايل على الوصية العاشرة بأن لا نشتهي.</w:t>
      </w:r>
    </w:p>
    <w:p w14:paraId="2A008E67" w14:textId="77777777" w:rsidR="00355D9E" w:rsidRPr="00C7130A" w:rsidRDefault="00355D9E"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7263C3D5" w14:textId="77777777" w:rsidR="00355D9E" w:rsidRPr="00C7130A" w:rsidRDefault="00355D9E" w:rsidP="000558B7">
      <w:pPr>
        <w:pStyle w:val="Heading3"/>
        <w:rPr>
          <w:rtl/>
          <w:lang w:bidi="ar-JO"/>
        </w:rPr>
      </w:pPr>
      <w:bookmarkStart w:id="187" w:name="_Toc193030994"/>
      <w:r w:rsidRPr="00C7130A">
        <w:rPr>
          <w:rtl/>
          <w:lang w:bidi="ar-JO"/>
        </w:rPr>
        <w:t>4.</w:t>
      </w:r>
      <w:r w:rsidRPr="00C7130A">
        <w:rPr>
          <w:rtl/>
          <w:lang w:bidi="ar-JO"/>
        </w:rPr>
        <w:tab/>
        <w:t>علاقة الناموس بالبرنامج الثيوقراطي (الحكم الإلهي)</w:t>
      </w:r>
      <w:bookmarkEnd w:id="187"/>
    </w:p>
    <w:p w14:paraId="785CA7FB" w14:textId="77777777" w:rsidR="00355D9E" w:rsidRPr="00C7130A" w:rsidRDefault="00355D9E" w:rsidP="005A55C3">
      <w:pPr>
        <w:rPr>
          <w:rtl/>
          <w:lang w:bidi="ar-JO"/>
        </w:rPr>
      </w:pPr>
      <w:r w:rsidRPr="00C7130A">
        <w:rPr>
          <w:rtl/>
          <w:lang w:bidi="ar-JO"/>
        </w:rPr>
        <w:t>هنالك ملاحظة هامة وهي أن الوصايا العشر أعطيت لشعب مفدي (لم يعطَ لهم كأفرادٍِ فحسب، بل كأمّة أيضاً).  فهم كأمة مفديون ولديهم التزام نحو فاديهم.  وبربط الأمّة نفسها بيهوه، تشكّلت الأمة ككهنوت، فكانت بهذا مسؤولة عن تمثيل الله أمام الناس.</w:t>
      </w:r>
    </w:p>
    <w:p w14:paraId="15A52DB7" w14:textId="77777777" w:rsidR="00355D9E" w:rsidRPr="00C7130A" w:rsidRDefault="00355D9E" w:rsidP="005A55C3">
      <w:pPr>
        <w:rPr>
          <w:rtl/>
          <w:lang w:bidi="ar-JO"/>
        </w:rPr>
      </w:pPr>
      <w:r w:rsidRPr="00C7130A">
        <w:rPr>
          <w:rtl/>
          <w:lang w:bidi="ar-JO"/>
        </w:rPr>
        <w:t>وبتعبير مبسط فإن الله يعيّن إسرائيل ممثّلة له أمام شعوب الأرض.  لكن قبل أن يقوموا بوظيفتهم ككهنة، يجب أن يعرفوا الله (بما في ذلك قداسته).  يجب أن يفرز الله إسرائيل لهذه الخدمة، ويجب أن تكون لديها رسالة من الله توصلها لهذه الشعوب.  لقد عرفوا الله فادياً وعرفوه معيلاً لهم يسد احتياجاتهم، لكن كانت أمامهم أمور كثيرة لم يتعلّموها بعد.</w:t>
      </w:r>
    </w:p>
    <w:p w14:paraId="7CD77DC0" w14:textId="77777777" w:rsidR="00355D9E" w:rsidRPr="00C7130A" w:rsidRDefault="00355D9E" w:rsidP="005A55C3">
      <w:pPr>
        <w:rPr>
          <w:rtl/>
          <w:lang w:bidi="ar-JO"/>
        </w:rPr>
      </w:pPr>
    </w:p>
    <w:p w14:paraId="72001865" w14:textId="77777777" w:rsidR="00355D9E" w:rsidRPr="00C7130A" w:rsidRDefault="00355D9E" w:rsidP="005A55C3">
      <w:pPr>
        <w:rPr>
          <w:rtl/>
          <w:lang w:bidi="ar-JO"/>
        </w:rPr>
      </w:pPr>
      <w:r w:rsidRPr="00C7130A">
        <w:rPr>
          <w:rtl/>
          <w:lang w:bidi="ar-JO"/>
        </w:rPr>
        <w:t>كانت المنارة تذكاراً دائماً لهم بأن عليهم أن يكونوا نوراً للشعوب.  ونتيجة لفشلهم في أن يرتفعوا إلى مستوى دعوتهم، أرسل الله شخصاً أعلن قائلاً: "أنا هو النور الحقيقي." وبنفس الطريقة كان يسوع "الكرمة الحقيقية" و"الراعي الحقيقي".</w:t>
      </w:r>
    </w:p>
    <w:p w14:paraId="08B4DF65" w14:textId="77777777" w:rsidR="00355D9E" w:rsidRPr="00C7130A" w:rsidRDefault="00355D9E" w:rsidP="005A55C3">
      <w:pPr>
        <w:rPr>
          <w:rtl/>
          <w:lang w:bidi="ar-JO"/>
        </w:rPr>
      </w:pPr>
    </w:p>
    <w:p w14:paraId="1DEACD2E" w14:textId="77777777" w:rsidR="00355D9E" w:rsidRPr="00C7130A" w:rsidRDefault="00355D9E" w:rsidP="005A55C3">
      <w:pPr>
        <w:rPr>
          <w:rtl/>
          <w:lang w:bidi="ar-JO"/>
        </w:rPr>
      </w:pPr>
      <w:r w:rsidRPr="00C7130A">
        <w:rPr>
          <w:rtl/>
          <w:lang w:bidi="ar-JO"/>
        </w:rPr>
        <w:t>بوجود الشريعة</w:t>
      </w:r>
      <w:r w:rsidRPr="00C7130A">
        <w:rPr>
          <w:rtl/>
        </w:rPr>
        <w:t>،</w:t>
      </w:r>
      <w:r w:rsidRPr="00C7130A">
        <w:rPr>
          <w:rtl/>
          <w:lang w:bidi="ar-JO"/>
        </w:rPr>
        <w:t xml:space="preserve"> تم تعيين إسرائيل لكي تؤدي وظيفة ثيوقراطية في انسجام مع خط</w:t>
      </w:r>
      <w:r w:rsidRPr="00C7130A">
        <w:rPr>
          <w:rtl/>
        </w:rPr>
        <w:t>ة الله</w:t>
      </w:r>
      <w:r w:rsidRPr="00C7130A">
        <w:rPr>
          <w:rtl/>
          <w:lang w:bidi="ar-JO"/>
        </w:rPr>
        <w:t xml:space="preserve"> الأصلية في جعل الإنسان يحكم الخليقة.  وكان يفترض أن تكون إسرائيل أداة الله في جلب الشعوب تحت سلطة الله، وذلك بكشف الحق الذي كان يُعلن لها.  وهكذا كانت استجابتهم الإيجابية في خروج 19: 8 عمل خضوع وافقوا بموجبه على أن يفعلوا كل ما يريده الله.  وقد امتُدحوا على هذا (تثنية 5: 27-28)، لكن الله تحسَّر قائلاً: "يا ليت قلبهم كان هكذا فيهم" (تثنية 5: 29).  غير أنهم كانوا مستعدين أن يكونوا القناة التي عمل الله من خلالها (تكوين 12: 3).</w:t>
      </w:r>
    </w:p>
    <w:p w14:paraId="53CE2CFC" w14:textId="77777777" w:rsidR="00355D9E" w:rsidRPr="00C7130A" w:rsidRDefault="00355D9E" w:rsidP="005A55C3">
      <w:pPr>
        <w:rPr>
          <w:rtl/>
          <w:lang w:bidi="ar-JO"/>
        </w:rPr>
      </w:pPr>
    </w:p>
    <w:p w14:paraId="27A0A022" w14:textId="77777777" w:rsidR="00355D9E" w:rsidRPr="00C7130A" w:rsidRDefault="00355D9E" w:rsidP="005A55C3">
      <w:pPr>
        <w:rPr>
          <w:rtl/>
          <w:lang w:bidi="ar-JO"/>
        </w:rPr>
      </w:pPr>
      <w:r w:rsidRPr="00C7130A">
        <w:rPr>
          <w:rtl/>
          <w:lang w:bidi="ar-JO"/>
        </w:rPr>
        <w:lastRenderedPageBreak/>
        <w:t>كان العهد الإبراهيمي غير مشروط، غير أن البركات كانت مشروطة.  عرفت أمّة إسرائيل أن عليها مسؤولية الطاعة، لكنها لم تعرف كيف يجب أن تحي</w:t>
      </w:r>
      <w:r w:rsidRPr="00C7130A">
        <w:rPr>
          <w:rtl/>
        </w:rPr>
        <w:t>َ</w:t>
      </w:r>
      <w:r w:rsidRPr="00C7130A">
        <w:rPr>
          <w:rtl/>
          <w:lang w:bidi="ar-JO"/>
        </w:rPr>
        <w:t xml:space="preserve"> لترضي إلهاً قدوساً بارّاً.  ونتيجة لذلك، وُجِّهت الشريعة إلى طفولتهم الروحية، لتخبرهم بما يجب وما لا يجب أن يفعلوه.  ومن الواضح أن تقديرهم لأنفسهم جعلهم يعتقدون أنهم قادرون على الوفاء بهذا الواجب.  أمّا الله فيعرف في كمال معرفته أنهم لن يكونوا قادرين على ذلك دون قلب جديد (وسيعطى هذا القلب الجديد من خلال العهد الجديد؛ انظر إرميا 31).  وسيكون هنالك يوم نضج لإسرائيل عندما تعطى قلباً جديداً.  وفي هذه العملية سيرسل الله يسوع –وهو واحد من هذه الأمّة- الذي سيطيع وينجز المهمة التي كانت معطاة لإسرائيل كوسيط البركة لهذا العالم.</w:t>
      </w:r>
    </w:p>
    <w:p w14:paraId="582BF0FF" w14:textId="77777777" w:rsidR="00355D9E" w:rsidRPr="00C7130A" w:rsidRDefault="00355D9E"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28C94CC4" w14:textId="77777777" w:rsidR="00355D9E" w:rsidRPr="00C7130A" w:rsidRDefault="00355D9E" w:rsidP="000558B7">
      <w:pPr>
        <w:pStyle w:val="Heading3"/>
        <w:rPr>
          <w:rtl/>
          <w:lang w:bidi="ar-JO"/>
        </w:rPr>
      </w:pPr>
      <w:bookmarkStart w:id="188" w:name="_Toc193030995"/>
      <w:r w:rsidRPr="00C7130A">
        <w:rPr>
          <w:rtl/>
          <w:lang w:bidi="ar-JO"/>
        </w:rPr>
        <w:t>5.</w:t>
      </w:r>
      <w:r w:rsidRPr="00C7130A">
        <w:rPr>
          <w:rtl/>
          <w:lang w:bidi="ar-JO"/>
        </w:rPr>
        <w:tab/>
        <w:t>أغراض أساسية للشريعة</w:t>
      </w:r>
      <w:bookmarkEnd w:id="188"/>
      <w:r w:rsidRPr="00C7130A">
        <w:rPr>
          <w:rtl/>
          <w:lang w:bidi="ar-JO"/>
        </w:rPr>
        <w:t xml:space="preserve">    </w:t>
      </w:r>
    </w:p>
    <w:p w14:paraId="4D92C4C8"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A55C3">
        <w:rPr>
          <w:rFonts w:eastAsia="Times New Roman"/>
          <w:kern w:val="0"/>
          <w:rtl/>
          <w:lang w:bidi="ar-JO"/>
          <w14:ligatures w14:val="none"/>
        </w:rPr>
        <w:t>للشريعة عدة مقاصد للتطبيق الشامل لبرنامج الله:</w:t>
      </w:r>
    </w:p>
    <w:p w14:paraId="129414BC"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A55C3">
        <w:rPr>
          <w:rFonts w:eastAsia="Times New Roman"/>
          <w:kern w:val="0"/>
          <w:rtl/>
          <w:lang w:bidi="ar-JO"/>
          <w14:ligatures w14:val="none"/>
        </w:rPr>
        <w:t>1.</w:t>
      </w:r>
      <w:r w:rsidRPr="005A55C3">
        <w:rPr>
          <w:rFonts w:eastAsia="Times New Roman"/>
          <w:kern w:val="0"/>
          <w:rtl/>
          <w:lang w:bidi="ar-JO"/>
          <w14:ligatures w14:val="none"/>
        </w:rPr>
        <w:tab/>
        <w:t>تكشف الشريعة قداسة الله.</w:t>
      </w:r>
    </w:p>
    <w:p w14:paraId="55EC2F3C"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5A55C3">
        <w:rPr>
          <w:rFonts w:eastAsia="Times New Roman"/>
          <w:kern w:val="0"/>
          <w:rtl/>
          <w:lang w:bidi="ar-JO"/>
          <w14:ligatures w14:val="none"/>
        </w:rPr>
        <w:t>الشريعة كالمرآة.  فهي ليست الواقع، بل انعكاس للواقع.  فالله على الأقل قدّوس بقداسة الشريعة.</w:t>
      </w:r>
    </w:p>
    <w:p w14:paraId="60DD00D0"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A55C3">
        <w:rPr>
          <w:rFonts w:eastAsia="Times New Roman"/>
          <w:kern w:val="0"/>
          <w:rtl/>
          <w:lang w:bidi="ar-JO"/>
          <w14:ligatures w14:val="none"/>
        </w:rPr>
        <w:t>2.</w:t>
      </w:r>
      <w:r w:rsidRPr="005A55C3">
        <w:rPr>
          <w:rFonts w:eastAsia="Times New Roman"/>
          <w:kern w:val="0"/>
          <w:rtl/>
          <w:lang w:bidi="ar-JO"/>
          <w14:ligatures w14:val="none"/>
        </w:rPr>
        <w:tab/>
        <w:t>تكشف الشريعة نجاسة الإنسان بكشفها لقداسة الله!</w:t>
      </w:r>
    </w:p>
    <w:p w14:paraId="19751A9C"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5A55C3">
        <w:rPr>
          <w:rFonts w:eastAsia="Times New Roman"/>
          <w:kern w:val="0"/>
          <w:rtl/>
          <w:lang w:bidi="ar-JO"/>
          <w14:ligatures w14:val="none"/>
        </w:rPr>
        <w:t>تكشف الشريعة القداسة، ويقاس الإنسان حسب تلك القداسة، ولهذا تبيَّن أنه يفتقر إلى القداسة (انظر رومية 3: 23؛ غلاطية 3: 19-22).</w:t>
      </w:r>
    </w:p>
    <w:p w14:paraId="3C8A8D7E"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A55C3">
        <w:rPr>
          <w:rFonts w:eastAsia="Times New Roman"/>
          <w:kern w:val="0"/>
          <w:rtl/>
          <w:lang w:bidi="ar-JO"/>
          <w14:ligatures w14:val="none"/>
        </w:rPr>
        <w:t>3.</w:t>
      </w:r>
      <w:r w:rsidRPr="005A55C3">
        <w:rPr>
          <w:rFonts w:eastAsia="Times New Roman"/>
          <w:kern w:val="0"/>
          <w:rtl/>
          <w:lang w:bidi="ar-JO"/>
          <w14:ligatures w14:val="none"/>
        </w:rPr>
        <w:tab/>
        <w:t>تكشف الشريعة مقياس القداسة الذي يطلبه الله من الذين يريدهم الله أن يحيوا في شركة معه.</w:t>
      </w:r>
    </w:p>
    <w:p w14:paraId="2A62E4CE" w14:textId="50CF2952"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A55C3">
        <w:rPr>
          <w:rFonts w:eastAsia="Times New Roman"/>
          <w:kern w:val="0"/>
          <w:rtl/>
          <w:lang w:bidi="ar-JO"/>
          <w14:ligatures w14:val="none"/>
        </w:rPr>
        <w:t>4.</w:t>
      </w:r>
      <w:r w:rsidRPr="005A55C3">
        <w:rPr>
          <w:rFonts w:eastAsia="Times New Roman"/>
          <w:kern w:val="0"/>
          <w:rtl/>
          <w:lang w:bidi="ar-JO"/>
          <w14:ligatures w14:val="none"/>
        </w:rPr>
        <w:tab/>
        <w:t>لعبت الشريعة دور مؤدِّب الطفل أو مُربٍّ خاص (غلاطية 3: 23 فصاعداً) من أجل حماية الشعب والإشراف عليهم إلى أن جاء إعلان المسيح الكامل.</w:t>
      </w:r>
    </w:p>
    <w:p w14:paraId="2EF077FF"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A55C3">
        <w:rPr>
          <w:rFonts w:eastAsia="Times New Roman"/>
          <w:kern w:val="0"/>
          <w:rtl/>
          <w:lang w:bidi="ar-JO"/>
          <w14:ligatures w14:val="none"/>
        </w:rPr>
        <w:t>5.</w:t>
      </w:r>
      <w:r w:rsidRPr="005A55C3">
        <w:rPr>
          <w:rFonts w:eastAsia="Times New Roman"/>
          <w:kern w:val="0"/>
          <w:rtl/>
          <w:lang w:bidi="ar-JO"/>
          <w14:ligatures w14:val="none"/>
        </w:rPr>
        <w:tab/>
        <w:t>أُعطيت الشريعة لتكون المبدأ الموحِّد للأمّة، مقدّمة طريقة للخضوع لسلطة معترف بها.</w:t>
      </w:r>
    </w:p>
    <w:p w14:paraId="5A383E36"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A55C3">
        <w:rPr>
          <w:rFonts w:eastAsia="Times New Roman"/>
          <w:kern w:val="0"/>
          <w:rtl/>
          <w:lang w:bidi="ar-JO"/>
          <w14:ligatures w14:val="none"/>
        </w:rPr>
        <w:t>6.</w:t>
      </w:r>
      <w:r w:rsidRPr="005A55C3">
        <w:rPr>
          <w:rFonts w:eastAsia="Times New Roman"/>
          <w:kern w:val="0"/>
          <w:rtl/>
          <w:lang w:bidi="ar-JO"/>
          <w14:ligatures w14:val="none"/>
        </w:rPr>
        <w:tab/>
        <w:t>هدفت الشريعة إلى فصل إسرائيل عن الأمم لكي تستطيع أن تؤدي وظيفة مملكة الكهنة، حافظةً بهذا الشعب.</w:t>
      </w:r>
    </w:p>
    <w:p w14:paraId="3AB78FE2"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A55C3">
        <w:rPr>
          <w:rFonts w:eastAsia="Times New Roman"/>
          <w:kern w:val="0"/>
          <w:rtl/>
          <w:lang w:bidi="ar-JO"/>
          <w14:ligatures w14:val="none"/>
        </w:rPr>
        <w:t>7.</w:t>
      </w:r>
      <w:r w:rsidRPr="005A55C3">
        <w:rPr>
          <w:rFonts w:eastAsia="Times New Roman"/>
          <w:kern w:val="0"/>
          <w:rtl/>
          <w:lang w:bidi="ar-JO"/>
          <w14:ligatures w14:val="none"/>
        </w:rPr>
        <w:tab/>
        <w:t>قدّمت الشريعة وسيلة للعبادة، حيث لم يكن في إمكان الشعب أن يتّبعوا نظام عبادة الهيكل في مصر.  وقدّمت أيضاً وسيلة لردّ العلاقة مع الله (انظر لاويين 1-7).</w:t>
      </w:r>
    </w:p>
    <w:p w14:paraId="2F17AB04"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A55C3">
        <w:rPr>
          <w:rFonts w:eastAsia="Times New Roman"/>
          <w:kern w:val="0"/>
          <w:rtl/>
          <w:lang w:bidi="ar-JO"/>
          <w14:ligatures w14:val="none"/>
        </w:rPr>
        <w:t>8.</w:t>
      </w:r>
      <w:r w:rsidRPr="005A55C3">
        <w:rPr>
          <w:rFonts w:eastAsia="Times New Roman"/>
          <w:kern w:val="0"/>
          <w:rtl/>
          <w:lang w:bidi="ar-JO"/>
          <w14:ligatures w14:val="none"/>
        </w:rPr>
        <w:tab/>
        <w:t>كانت الشريعة ترتيباً مؤقتاً حتى مجيء المسيح.  والجانب الدائم هو العهد الإبراهيمي الذي سيبقى عاملاً عبر الكتاب المقدس.  وقد أضيفت الشريعة إلى جانب العهد الإبراهيمي لكي تساعد الذين كانوا تحت العهد الإبراهيمي.  كان العهد الإبراهيمي غير مشروط، لكن البركات كانت مشروطة.  وتُطلعنا الشريعة على الشروط التي يجب تلبيتها من أجل الحصول على البركات المشروطة من العهد غير المشروط.</w:t>
      </w:r>
    </w:p>
    <w:p w14:paraId="3A089118" w14:textId="77777777" w:rsidR="00355D9E" w:rsidRPr="00C7130A" w:rsidRDefault="00355D9E"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75B31AFC" w14:textId="77777777" w:rsidR="00355D9E" w:rsidRPr="00C7130A" w:rsidRDefault="00355D9E" w:rsidP="000558B7">
      <w:pPr>
        <w:pStyle w:val="Heading3"/>
        <w:rPr>
          <w:rtl/>
          <w:lang w:bidi="ar-JO"/>
        </w:rPr>
      </w:pPr>
      <w:bookmarkStart w:id="189" w:name="_Toc193030996"/>
      <w:r w:rsidRPr="00C7130A">
        <w:rPr>
          <w:rtl/>
          <w:lang w:bidi="ar-JO"/>
        </w:rPr>
        <w:lastRenderedPageBreak/>
        <w:t>6.</w:t>
      </w:r>
      <w:r w:rsidRPr="00C7130A">
        <w:rPr>
          <w:rtl/>
          <w:lang w:bidi="ar-JO"/>
        </w:rPr>
        <w:tab/>
        <w:t>بروز نظام وسطاء جديد من العهد الموسوي</w:t>
      </w:r>
      <w:bookmarkEnd w:id="189"/>
    </w:p>
    <w:p w14:paraId="731F2A82" w14:textId="77777777" w:rsidR="00355D9E" w:rsidRPr="00C7130A" w:rsidRDefault="00355D9E" w:rsidP="005A55C3">
      <w:pPr>
        <w:rPr>
          <w:rtl/>
          <w:lang w:bidi="ar-JO"/>
        </w:rPr>
      </w:pPr>
      <w:r w:rsidRPr="00C7130A">
        <w:rPr>
          <w:rtl/>
          <w:lang w:bidi="ar-JO"/>
        </w:rPr>
        <w:t>كان الإنسان تحت نظام الخليقة الأصلية في اتصال مع الله عاملاً كوسيطٍ لله في حكم الأرض.  غير أن القوى المضادة للحكم الإلهي أحبطت الخطة الأصلية.  ونتيجة لذلك، رسّخ الله مبدأ تنفيذ قصده من خلال وسطاء.  فحتى زمن موسى، نفّذ الله حكمه من خلال وسيط ثيوقراطي واحد في كل مرة (أي إبراهيم، ثم إسحق، إلخ).  ومع إعطاء الشريعة في سيناء تمّ تقسيم المسؤوليات الوسيطية بين أربع وظائف: الن</w:t>
      </w:r>
      <w:r w:rsidRPr="00C7130A">
        <w:rPr>
          <w:rtl/>
        </w:rPr>
        <w:t>ب</w:t>
      </w:r>
      <w:r w:rsidRPr="00C7130A">
        <w:rPr>
          <w:rtl/>
          <w:lang w:bidi="ar-JO"/>
        </w:rPr>
        <w:t>ي، الكاهن، والقائد السياسي، والرجل الحكيم.  كان موسى آخر الوسطاء الثيوقراطيين كفردٍ واحدٍ.  ومن خلال هذا النظام الجديد من المناصب الوسيطية الأربعة، أراد الله أن يتحقق قصده الأصلي في إعادة الصلة والشركة والحكم.  وقد تقدّم القصد الثيوقراطي مع قيام كل من وسطاء العهد هؤلاء بتنفيذ المسؤوليات المُناطة به في مجاله.  غير أن هذا القصد كان يُحبَط مع فشل كل واحد منهم.  لكن ظلّ العهد الموسوي وسيلة لتقدّم قصد الله.  وقد أتاح العهد، بتوفيره لوسيط كهنوتي، الفرصة للتواصل والشركة مع الله، وأتاح الوسطاء السياسيون الفرصة للاشتراك في حكم الله.  وفي ضوء هذا كانت الشريعة إجراء مؤقتاً ينتظر مجيء المسيح الذي سيقوم بدور الوظائف الأربع كلها.</w:t>
      </w:r>
    </w:p>
    <w:p w14:paraId="0DAEABE6" w14:textId="77777777" w:rsidR="00355D9E" w:rsidRPr="00C7130A"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010554F9"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A55C3">
        <w:rPr>
          <w:rFonts w:eastAsia="Times New Roman"/>
          <w:kern w:val="0"/>
          <w:rtl/>
          <w:lang w:bidi="ar-JO"/>
          <w14:ligatures w14:val="none"/>
        </w:rPr>
        <w:t>وفيما يلي بعض الملاحظات حول هذه الوظائف الأربع:</w:t>
      </w:r>
    </w:p>
    <w:p w14:paraId="449993B2" w14:textId="77777777" w:rsidR="00355D9E" w:rsidRPr="005A55C3" w:rsidRDefault="00355D9E" w:rsidP="00C7130A">
      <w:pPr>
        <w:tabs>
          <w:tab w:val="left" w:pos="454"/>
        </w:tabs>
        <w:spacing w:after="60"/>
        <w:ind w:left="550" w:hanging="550"/>
        <w:jc w:val="both"/>
        <w:rPr>
          <w:rFonts w:eastAsia="Times New Roman"/>
          <w:bCs/>
          <w:kern w:val="0"/>
          <w:rtl/>
          <w14:ligatures w14:val="none"/>
        </w:rPr>
      </w:pPr>
      <w:r w:rsidRPr="005A55C3">
        <w:rPr>
          <w:rFonts w:eastAsia="Times New Roman"/>
          <w:bCs/>
          <w:kern w:val="0"/>
          <w:rtl/>
          <w14:ligatures w14:val="none"/>
        </w:rPr>
        <w:t>أ.</w:t>
      </w:r>
      <w:r w:rsidRPr="005A55C3">
        <w:rPr>
          <w:rFonts w:eastAsia="Times New Roman"/>
          <w:bCs/>
          <w:kern w:val="0"/>
          <w:rtl/>
          <w14:ligatures w14:val="none"/>
        </w:rPr>
        <w:tab/>
        <w:t>الملك</w:t>
      </w:r>
    </w:p>
    <w:p w14:paraId="52C3F931"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A55C3">
        <w:rPr>
          <w:rFonts w:eastAsia="Times New Roman"/>
          <w:kern w:val="0"/>
          <w:rtl/>
          <w:lang w:bidi="ar-JO"/>
          <w14:ligatures w14:val="none"/>
        </w:rPr>
        <w:t>كان للقائد السياسي سيادة على الشريعة الدنيوية وقيادة الأمة لكي يقود الأمة الثيوقراطية في مدّ حكمها البار على الأرض.</w:t>
      </w:r>
    </w:p>
    <w:p w14:paraId="433BB6D3" w14:textId="77777777" w:rsidR="00355D9E" w:rsidRPr="005A55C3" w:rsidRDefault="00355D9E" w:rsidP="00C7130A">
      <w:pPr>
        <w:tabs>
          <w:tab w:val="left" w:pos="454"/>
        </w:tabs>
        <w:spacing w:after="60"/>
        <w:ind w:left="550" w:hanging="550"/>
        <w:jc w:val="both"/>
        <w:rPr>
          <w:rFonts w:eastAsia="Times New Roman"/>
          <w:bCs/>
          <w:kern w:val="0"/>
          <w:rtl/>
          <w14:ligatures w14:val="none"/>
        </w:rPr>
      </w:pPr>
      <w:r w:rsidRPr="005A55C3">
        <w:rPr>
          <w:rFonts w:eastAsia="Times New Roman"/>
          <w:bCs/>
          <w:kern w:val="0"/>
          <w:rtl/>
          <w14:ligatures w14:val="none"/>
        </w:rPr>
        <w:t>ب.</w:t>
      </w:r>
      <w:r w:rsidRPr="005A55C3">
        <w:rPr>
          <w:rFonts w:eastAsia="Times New Roman"/>
          <w:bCs/>
          <w:kern w:val="0"/>
          <w:rtl/>
          <w14:ligatures w14:val="none"/>
        </w:rPr>
        <w:tab/>
        <w:t>الكاهن</w:t>
      </w:r>
    </w:p>
    <w:p w14:paraId="64E19750"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A55C3">
        <w:rPr>
          <w:rFonts w:eastAsia="Times New Roman"/>
          <w:kern w:val="0"/>
          <w:rtl/>
          <w:lang w:bidi="ar-JO"/>
          <w14:ligatures w14:val="none"/>
        </w:rPr>
        <w:t>أُعطي الوسيط الكهنوتي السيادة على الكهنوت (العبادة) بغرض إعادة الاتصال والشركة بين الله والإنسان.</w:t>
      </w:r>
    </w:p>
    <w:p w14:paraId="3D76D006" w14:textId="77777777" w:rsidR="00355D9E" w:rsidRPr="005A55C3" w:rsidRDefault="00355D9E" w:rsidP="00C7130A">
      <w:pPr>
        <w:tabs>
          <w:tab w:val="left" w:pos="454"/>
        </w:tabs>
        <w:spacing w:after="60"/>
        <w:ind w:left="550" w:hanging="550"/>
        <w:jc w:val="both"/>
        <w:rPr>
          <w:rFonts w:eastAsia="Times New Roman"/>
          <w:bCs/>
          <w:kern w:val="0"/>
          <w:rtl/>
          <w14:ligatures w14:val="none"/>
        </w:rPr>
      </w:pPr>
      <w:r w:rsidRPr="005A55C3">
        <w:rPr>
          <w:rFonts w:eastAsia="Times New Roman"/>
          <w:bCs/>
          <w:kern w:val="0"/>
          <w:rtl/>
          <w14:ligatures w14:val="none"/>
        </w:rPr>
        <w:t>جـ.</w:t>
      </w:r>
      <w:r w:rsidRPr="005A55C3">
        <w:rPr>
          <w:rFonts w:eastAsia="Times New Roman"/>
          <w:bCs/>
          <w:kern w:val="0"/>
          <w:rtl/>
          <w14:ligatures w14:val="none"/>
        </w:rPr>
        <w:tab/>
        <w:t>النبي</w:t>
      </w:r>
    </w:p>
    <w:p w14:paraId="1217489B"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A55C3">
        <w:rPr>
          <w:rFonts w:eastAsia="Times New Roman"/>
          <w:kern w:val="0"/>
          <w:rtl/>
          <w:lang w:bidi="ar-JO"/>
          <w14:ligatures w14:val="none"/>
        </w:rPr>
        <w:t>كان الوسيط النبوي معطي الإعلان الجديد ذي السلطان وحارس العهد ضد القوى المضادّة للثيوقراطية.  وفي ما يتعلق بقصد الله، حرس النبي العهد وصار الناطق باسم الله من أجل الإنذار بالإضافة إلى لفت انتباه الأمّة لحكم المسيّا.</w:t>
      </w:r>
    </w:p>
    <w:p w14:paraId="22490E4B" w14:textId="77777777" w:rsidR="00355D9E" w:rsidRPr="005A55C3" w:rsidRDefault="00355D9E" w:rsidP="00C7130A">
      <w:pPr>
        <w:tabs>
          <w:tab w:val="left" w:pos="454"/>
        </w:tabs>
        <w:spacing w:after="60"/>
        <w:ind w:left="550" w:hanging="550"/>
        <w:jc w:val="both"/>
        <w:rPr>
          <w:rFonts w:eastAsia="Times New Roman"/>
          <w:bCs/>
          <w:kern w:val="0"/>
          <w:rtl/>
          <w14:ligatures w14:val="none"/>
        </w:rPr>
      </w:pPr>
      <w:r w:rsidRPr="005A55C3">
        <w:rPr>
          <w:rFonts w:eastAsia="Times New Roman"/>
          <w:bCs/>
          <w:kern w:val="0"/>
          <w:rtl/>
          <w14:ligatures w14:val="none"/>
        </w:rPr>
        <w:t>د.</w:t>
      </w:r>
      <w:r w:rsidRPr="005A55C3">
        <w:rPr>
          <w:rFonts w:eastAsia="Times New Roman"/>
          <w:bCs/>
          <w:kern w:val="0"/>
          <w:rtl/>
          <w14:ligatures w14:val="none"/>
        </w:rPr>
        <w:tab/>
        <w:t>الحكيم</w:t>
      </w:r>
    </w:p>
    <w:p w14:paraId="67B61E9F"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A55C3">
        <w:rPr>
          <w:rFonts w:eastAsia="Times New Roman"/>
          <w:kern w:val="0"/>
          <w:rtl/>
          <w:lang w:bidi="ar-JO"/>
          <w14:ligatures w14:val="none"/>
        </w:rPr>
        <w:t>قدّم الرجل الحكيم النصيحة السياسية والحكمة في توافق مع التوراة في ما يتعلق بكل جانب من جوانب الحياة تقريباً.  فكان يقدّم مشورة تعين الذين تحت العهد ليحيا حياة ناجحة ويحقِّق مسؤوليات العهد.</w:t>
      </w:r>
    </w:p>
    <w:p w14:paraId="50C1AFA0" w14:textId="77777777" w:rsidR="00355D9E" w:rsidRPr="005A55C3" w:rsidRDefault="00355D9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A55C3">
        <w:rPr>
          <w:rFonts w:eastAsia="Times New Roman"/>
          <w:kern w:val="0"/>
          <w:rtl/>
          <w:lang w:bidi="ar-JO"/>
          <w14:ligatures w14:val="none"/>
        </w:rPr>
        <w:t>كان يفترض أن تقوم الأمة من خلال هؤلاء الوسطاء ببسط حكم الله وبركته على الأرض.  وتتتبع بقية العهد القديم مدى نجاحهم في تحقيق هذا الغرض.</w:t>
      </w:r>
    </w:p>
    <w:p w14:paraId="317B5C40" w14:textId="77777777" w:rsidR="00355D9E" w:rsidRPr="00C7130A" w:rsidRDefault="00355D9E"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648ED5E5" w14:textId="77777777" w:rsidR="00355D9E" w:rsidRPr="00C7130A" w:rsidRDefault="00355D9E" w:rsidP="000558B7">
      <w:pPr>
        <w:pStyle w:val="Heading3"/>
        <w:rPr>
          <w:rtl/>
          <w:lang w:bidi="ar-JO"/>
        </w:rPr>
      </w:pPr>
      <w:bookmarkStart w:id="190" w:name="_Toc193030997"/>
      <w:r w:rsidRPr="00C7130A">
        <w:rPr>
          <w:rtl/>
          <w:lang w:bidi="ar-JO"/>
        </w:rPr>
        <w:t>7.</w:t>
      </w:r>
      <w:r w:rsidRPr="00C7130A">
        <w:rPr>
          <w:rtl/>
          <w:lang w:bidi="ar-JO"/>
        </w:rPr>
        <w:tab/>
        <w:t>صلة مؤمن العهد الجديد بالشريعة</w:t>
      </w:r>
      <w:bookmarkEnd w:id="190"/>
    </w:p>
    <w:p w14:paraId="56B09971" w14:textId="77777777" w:rsidR="00355D9E" w:rsidRPr="00C7130A" w:rsidRDefault="00355D9E" w:rsidP="005A55C3">
      <w:pPr>
        <w:rPr>
          <w:rtl/>
          <w:lang w:bidi="ar-JO"/>
        </w:rPr>
      </w:pPr>
      <w:r w:rsidRPr="00C7130A">
        <w:rPr>
          <w:rtl/>
          <w:lang w:bidi="ar-JO"/>
        </w:rPr>
        <w:lastRenderedPageBreak/>
        <w:t>لا يسمح المجال هنا بتناول كامل لهذا الموضوع، لكني سأقدم بعض الملاحظات.</w:t>
      </w:r>
      <w:r w:rsidRPr="00C7130A">
        <w:rPr>
          <w:vertAlign w:val="superscript"/>
          <w:rtl/>
          <w:lang w:bidi="ar-JO"/>
        </w:rPr>
        <w:footnoteReference w:id="77"/>
      </w:r>
      <w:r w:rsidRPr="00C7130A">
        <w:rPr>
          <w:rtl/>
          <w:lang w:bidi="ar-JO"/>
        </w:rPr>
        <w:t xml:space="preserve">  وإنه لأمر جوهري القول إنه لم يكن هنالك أي عيب في الشريعة. "إذاً الناموس مقدَّس، والوصيّة مقدسة وعادلة وصالحة" (رومية 7: 12).  لكن لأن للإنسان طبيعة فاسدة منحرفة، فإن الشريعة تثير في الإنسان العواطف الجامحة الخاطئة التي تعمل في أعضاء جسدنا مثمرةً للموت بدلاً من أن تثمر لله (رومية 7: 5).  ولهذا فإننا بالإيمان بالمسيح، نموت عن الشريعة ونحرَّر منها لكي نخدم الله في جِدّة الروح.  ونتيجة لذلك فإننا لم نعد تحت الشريعة ولسنا ملزمين بها (رومية 7: 1-7؛ 1كورنثوس 9: 20-21؛ 2 كورنثوس 3؛ انظر تعليقات بولس حول السبت في كولوسي 2: 16-17).    غير أن كثيراً من هذه الوصايا مؤكّد عليه في العهد الجديد (مثلاً، الوصية بعدم السرقة).  فالسرقة خاطئة أخلاقياً اليوم بنفس مقدار ما كانت عليه عندما كانت إسرائيل تحت الشريعة.  غير أننا نمتنع عن السرقة، لا لكي نحفظ الشريعة، بل لأننا نريد أن نطيع روح الله.</w:t>
      </w:r>
    </w:p>
    <w:p w14:paraId="4FFB696E" w14:textId="77777777" w:rsidR="00355D9E" w:rsidRPr="00C7130A" w:rsidRDefault="00355D9E"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14:ligatures w14:val="none"/>
        </w:rPr>
      </w:pPr>
    </w:p>
    <w:p w14:paraId="7B087195" w14:textId="77777777" w:rsidR="00355D9E" w:rsidRPr="00C7130A" w:rsidRDefault="00355D9E" w:rsidP="00C7130A">
      <w:pPr>
        <w:jc w:val="center"/>
        <w:rPr>
          <w:rFonts w:eastAsia="Times New Roman"/>
          <w:color w:val="A50021"/>
          <w:kern w:val="0"/>
          <w:szCs w:val="32"/>
          <w:rtl/>
          <w:lang w:bidi="ar-JO"/>
          <w14:ligatures w14:val="none"/>
        </w:rPr>
      </w:pPr>
    </w:p>
    <w:p w14:paraId="0DFA4C0E" w14:textId="77777777" w:rsidR="00355D9E" w:rsidRPr="00C7130A" w:rsidRDefault="00355D9E" w:rsidP="00C7130A">
      <w:pPr>
        <w:jc w:val="center"/>
        <w:rPr>
          <w:rFonts w:eastAsia="Times New Roman"/>
          <w:color w:val="A50021"/>
          <w:kern w:val="0"/>
          <w:szCs w:val="32"/>
          <w:rtl/>
          <w:lang w:bidi="ar-JO"/>
          <w14:ligatures w14:val="none"/>
        </w:rPr>
      </w:pPr>
    </w:p>
    <w:p w14:paraId="791A63ED" w14:textId="1ABEB0EB" w:rsidR="009D4EAB" w:rsidRPr="00C7130A" w:rsidRDefault="009D4EAB" w:rsidP="00C7130A">
      <w:pPr>
        <w:pStyle w:val="Heading4RED"/>
        <w:rPr>
          <w:rFonts w:cs="Arabic Typesetting"/>
        </w:rPr>
      </w:pPr>
      <w:r w:rsidRPr="00C7130A">
        <w:rPr>
          <w:rFonts w:cs="Arabic Typesetting"/>
          <w:noProof/>
        </w:rPr>
        <w:lastRenderedPageBreak/>
        <w:drawing>
          <wp:inline distT="0" distB="0" distL="0" distR="0" wp14:anchorId="2095D77A" wp14:editId="2F782E53">
            <wp:extent cx="5677392" cy="7750212"/>
            <wp:effectExtent l="0" t="0" r="0" b="3175"/>
            <wp:docPr id="552936676" name="Picture 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36676" name="Picture 1" descr="A close-up of a book&#10;&#10;Description automatically generated"/>
                    <pic:cNvPicPr/>
                  </pic:nvPicPr>
                  <pic:blipFill>
                    <a:blip r:embed="rId44"/>
                    <a:stretch>
                      <a:fillRect/>
                    </a:stretch>
                  </pic:blipFill>
                  <pic:spPr>
                    <a:xfrm>
                      <a:off x="0" y="0"/>
                      <a:ext cx="5677392" cy="7750212"/>
                    </a:xfrm>
                    <a:prstGeom prst="rect">
                      <a:avLst/>
                    </a:prstGeom>
                  </pic:spPr>
                </pic:pic>
              </a:graphicData>
            </a:graphic>
          </wp:inline>
        </w:drawing>
      </w:r>
    </w:p>
    <w:p w14:paraId="023EAC23" w14:textId="77777777" w:rsidR="009D4EAB" w:rsidRPr="00C7130A" w:rsidRDefault="009D4EAB" w:rsidP="000558B7">
      <w:pPr>
        <w:pStyle w:val="Heading3"/>
      </w:pPr>
    </w:p>
    <w:p w14:paraId="57E54EBF" w14:textId="672E973B" w:rsidR="00DE7B8A" w:rsidRPr="00C7130A" w:rsidRDefault="006C789F" w:rsidP="000558B7">
      <w:pPr>
        <w:pStyle w:val="Heading2B"/>
      </w:pPr>
      <w:bookmarkStart w:id="191" w:name="_Toc193030998"/>
      <w:r w:rsidRPr="00C7130A">
        <w:rPr>
          <w:rtl/>
        </w:rPr>
        <w:lastRenderedPageBreak/>
        <w:t>الموضوع 2: الخلاص في العهد القديم</w:t>
      </w:r>
      <w:bookmarkEnd w:id="191"/>
    </w:p>
    <w:p w14:paraId="21C652AC" w14:textId="77777777" w:rsidR="005A55C3" w:rsidRDefault="005A55C3" w:rsidP="000558B7">
      <w:pPr>
        <w:pStyle w:val="Heading3"/>
        <w:rPr>
          <w:rtl/>
        </w:rPr>
      </w:pPr>
    </w:p>
    <w:p w14:paraId="777D9579" w14:textId="0EA9C3B9" w:rsidR="00DE7B8A" w:rsidRPr="00C7130A" w:rsidRDefault="006C789F" w:rsidP="000558B7">
      <w:pPr>
        <w:pStyle w:val="Heading3"/>
      </w:pPr>
      <w:bookmarkStart w:id="192" w:name="_Toc193030999"/>
      <w:r w:rsidRPr="00C7130A">
        <w:rPr>
          <w:rtl/>
        </w:rPr>
        <w:t>مُقدِّمة</w:t>
      </w:r>
      <w:bookmarkEnd w:id="192"/>
    </w:p>
    <w:p w14:paraId="7FA22EE0" w14:textId="6A4BBF41" w:rsidR="00673832" w:rsidRPr="00C7130A" w:rsidRDefault="00673832" w:rsidP="005A55C3">
      <w:pPr>
        <w:rPr>
          <w:b/>
          <w:bCs/>
          <w:rtl/>
        </w:rPr>
      </w:pPr>
      <w:r w:rsidRPr="00C7130A">
        <w:rPr>
          <w:rtl/>
        </w:rPr>
        <w:t xml:space="preserve">نفهم، نحنُ المؤمنين، أنّ الخلاص هبة مجانيّة مُقدَّمة للخطاة على أساس موت المسيح البديلي على الصليب. ولكنْ، ماذا بشأن الذين عاشوا قبل زمن المسيح؟ كيف "خلصوا"؟ هل خلصوا بحفظ الناموس الموسوي؟ إن لم يخلصوا به، فماذا كان عليهم أن يفعلوا؟ </w:t>
      </w:r>
    </w:p>
    <w:p w14:paraId="62F5AAB3" w14:textId="77777777" w:rsidR="005A55C3" w:rsidRDefault="005A55C3" w:rsidP="00C7130A">
      <w:pPr>
        <w:pStyle w:val="Heading4RED"/>
        <w:rPr>
          <w:rFonts w:cs="Arabic Typesetting"/>
          <w:rtl/>
        </w:rPr>
      </w:pPr>
    </w:p>
    <w:p w14:paraId="450449AA" w14:textId="0BE17296" w:rsidR="009022CC" w:rsidRPr="00C7130A" w:rsidRDefault="00673832" w:rsidP="000558B7">
      <w:pPr>
        <w:pStyle w:val="Heading3"/>
      </w:pPr>
      <w:bookmarkStart w:id="193" w:name="_Toc193031000"/>
      <w:r w:rsidRPr="00C7130A">
        <w:rPr>
          <w:rtl/>
        </w:rPr>
        <w:t>خطة الله الشاملة للخلاص</w:t>
      </w:r>
      <w:bookmarkEnd w:id="193"/>
      <w:r w:rsidRPr="00C7130A">
        <w:rPr>
          <w:rtl/>
        </w:rPr>
        <w:t xml:space="preserve"> </w:t>
      </w:r>
    </w:p>
    <w:p w14:paraId="39436FB1" w14:textId="2C2112F8" w:rsidR="00673832" w:rsidRPr="00C7130A" w:rsidRDefault="00673832" w:rsidP="005A55C3">
      <w:pPr>
        <w:rPr>
          <w:rtl/>
        </w:rPr>
      </w:pPr>
      <w:r w:rsidRPr="00C7130A">
        <w:rPr>
          <w:rtl/>
        </w:rPr>
        <w:t xml:space="preserve">الكتاب المُقدَّس واضحٌ </w:t>
      </w:r>
      <w:r w:rsidR="00F34FF0" w:rsidRPr="00C7130A">
        <w:rPr>
          <w:rtl/>
        </w:rPr>
        <w:t>ب</w:t>
      </w:r>
      <w:r w:rsidRPr="00C7130A">
        <w:rPr>
          <w:rtl/>
        </w:rPr>
        <w:t xml:space="preserve">أنّ قصد الله كان دائمًا أن يفدي الجنس البشري. فقد كان الله قبل خلقه الرجل والمرأة الأوّلين </w:t>
      </w:r>
      <w:r w:rsidR="00F34FF0" w:rsidRPr="00C7130A">
        <w:rPr>
          <w:rtl/>
        </w:rPr>
        <w:t xml:space="preserve">يعرف </w:t>
      </w:r>
      <w:r w:rsidRPr="00C7130A">
        <w:rPr>
          <w:rtl/>
        </w:rPr>
        <w:t>أنّهما سيعصيان، وبالتالي سيصيران خاطئين. وعرف أن</w:t>
      </w:r>
      <w:r w:rsidR="00F34FF0" w:rsidRPr="00C7130A">
        <w:rPr>
          <w:rtl/>
        </w:rPr>
        <w:t>ّ</w:t>
      </w:r>
      <w:r w:rsidRPr="00C7130A">
        <w:rPr>
          <w:rtl/>
        </w:rPr>
        <w:t xml:space="preserve"> طبيعة الخطيّة التي فيهم</w:t>
      </w:r>
      <w:r w:rsidR="00F34FF0" w:rsidRPr="00C7130A">
        <w:rPr>
          <w:rtl/>
        </w:rPr>
        <w:t>ا</w:t>
      </w:r>
      <w:r w:rsidRPr="00C7130A">
        <w:rPr>
          <w:rtl/>
        </w:rPr>
        <w:t xml:space="preserve"> ستنتقل إلى نسلهما. وإذ</w:t>
      </w:r>
      <w:r w:rsidR="00F34FF0" w:rsidRPr="00C7130A">
        <w:rPr>
          <w:rtl/>
        </w:rPr>
        <w:t>ْ</w:t>
      </w:r>
      <w:r w:rsidRPr="00C7130A">
        <w:rPr>
          <w:rtl/>
        </w:rPr>
        <w:t xml:space="preserve"> كان الجنس البشري خطاةً بطبيعتهم، فإنّه</w:t>
      </w:r>
      <w:r w:rsidR="00F34FF0" w:rsidRPr="00C7130A">
        <w:rPr>
          <w:rtl/>
        </w:rPr>
        <w:t>م</w:t>
      </w:r>
      <w:r w:rsidRPr="00C7130A">
        <w:rPr>
          <w:rtl/>
        </w:rPr>
        <w:t xml:space="preserve"> سيكون</w:t>
      </w:r>
      <w:r w:rsidR="00F34FF0" w:rsidRPr="00C7130A">
        <w:rPr>
          <w:rtl/>
        </w:rPr>
        <w:t>ون</w:t>
      </w:r>
      <w:r w:rsidRPr="00C7130A">
        <w:rPr>
          <w:rtl/>
        </w:rPr>
        <w:t xml:space="preserve"> عاجز</w:t>
      </w:r>
      <w:r w:rsidR="00F34FF0" w:rsidRPr="00C7130A">
        <w:rPr>
          <w:rtl/>
        </w:rPr>
        <w:t>ين</w:t>
      </w:r>
      <w:r w:rsidRPr="00C7130A">
        <w:rPr>
          <w:rtl/>
        </w:rPr>
        <w:t xml:space="preserve"> عن أن يعيش</w:t>
      </w:r>
      <w:r w:rsidR="00F34FF0" w:rsidRPr="00C7130A">
        <w:rPr>
          <w:rtl/>
        </w:rPr>
        <w:t>وا</w:t>
      </w:r>
      <w:r w:rsidRPr="00C7130A">
        <w:rPr>
          <w:rtl/>
        </w:rPr>
        <w:t xml:space="preserve"> بحسب معايير القداسة التي وضعها الله (مزمور 14: 3؛ رومية 3: 10-12). ومع هذا، فإنّه لكون الله يتّصف بالمحبة، وضع خطّةً للفداء، وهي خطّة تمجّده. </w:t>
      </w:r>
      <w:r w:rsidR="00F34FF0" w:rsidRPr="00C7130A">
        <w:rPr>
          <w:rtl/>
        </w:rPr>
        <w:t>تكلَّم بطرس</w:t>
      </w:r>
      <w:r w:rsidRPr="00C7130A">
        <w:rPr>
          <w:rtl/>
        </w:rPr>
        <w:t xml:space="preserve"> في يوم الخمسين لليهود</w:t>
      </w:r>
      <w:r w:rsidR="00F34FF0" w:rsidRPr="00C7130A">
        <w:rPr>
          <w:rtl/>
        </w:rPr>
        <w:t xml:space="preserve"> عن هذه الخطّة قائلًا</w:t>
      </w:r>
      <w:r w:rsidRPr="00C7130A">
        <w:rPr>
          <w:rtl/>
        </w:rPr>
        <w:t xml:space="preserve">: "هذا أخذتموه (يكلّم اليهود) مُسلَّمًا بمشورة الله المحتومة وعلمه السابق، وبأيدي أثمة صلبتموه وقتلتموه" (أعمال الرسل 2: 23؛ انظر أعمال الرسل 3: 18؛ 4: 27؛ رؤيا 13: 8). </w:t>
      </w:r>
    </w:p>
    <w:p w14:paraId="30DEFC27" w14:textId="22A74A4D" w:rsidR="00673832" w:rsidRPr="00C7130A" w:rsidRDefault="000D6827" w:rsidP="005A55C3">
      <w:pPr>
        <w:rPr>
          <w:rtl/>
        </w:rPr>
      </w:pPr>
      <w:r w:rsidRPr="00C7130A">
        <w:rPr>
          <w:rtl/>
        </w:rPr>
        <w:t>لأن</w:t>
      </w:r>
      <w:r w:rsidR="00F34FF0" w:rsidRPr="00C7130A">
        <w:rPr>
          <w:rtl/>
        </w:rPr>
        <w:t>ّ</w:t>
      </w:r>
      <w:r w:rsidRPr="00C7130A">
        <w:rPr>
          <w:rtl/>
        </w:rPr>
        <w:t xml:space="preserve"> الإنسان كان عاجزًا عن العيش بحسب معايير الله للبرّ، فلا بدَّ من وجود طريقة يستطيع الله بها أن يقبل الخطاة في محضره، من دون مساوَمة على قداسته وعدالته. ولهذا، ينبغي أن تشمل خطته ح</w:t>
      </w:r>
      <w:r w:rsidR="00F34FF0" w:rsidRPr="00C7130A">
        <w:rPr>
          <w:rtl/>
        </w:rPr>
        <w:t>َ</w:t>
      </w:r>
      <w:r w:rsidRPr="00C7130A">
        <w:rPr>
          <w:rtl/>
        </w:rPr>
        <w:t>م</w:t>
      </w:r>
      <w:r w:rsidR="00F34FF0" w:rsidRPr="00C7130A">
        <w:rPr>
          <w:rtl/>
        </w:rPr>
        <w:t>ْ</w:t>
      </w:r>
      <w:r w:rsidRPr="00C7130A">
        <w:rPr>
          <w:rtl/>
        </w:rPr>
        <w:t>ل</w:t>
      </w:r>
      <w:r w:rsidR="00F34FF0" w:rsidRPr="00C7130A">
        <w:rPr>
          <w:rtl/>
        </w:rPr>
        <w:t>َ</w:t>
      </w:r>
      <w:r w:rsidRPr="00C7130A">
        <w:rPr>
          <w:rtl/>
        </w:rPr>
        <w:t xml:space="preserve"> عقوبة الخطايا المُرتَكبة، ومنح الغفران وحسبان البرّ. وفي حكمة الله غير المحدود</w:t>
      </w:r>
      <w:r w:rsidR="00801F93" w:rsidRPr="00C7130A">
        <w:rPr>
          <w:rtl/>
        </w:rPr>
        <w:t>ة</w:t>
      </w:r>
      <w:r w:rsidRPr="00C7130A">
        <w:rPr>
          <w:rtl/>
        </w:rPr>
        <w:t xml:space="preserve"> ومحبته التي لا يُستقصى عمقها، وضع خطّة للخلاص أساسها موت المسيح البديلي على الصليب لأجل كلّ الجنس البشري. طبعًا، كانت هذه الخطّة أمرًا لا يستحقّه الإنسان. ومن أجل أن يأتي كلّ المجد لله، ينبغي أن تكون هذه الخط</w:t>
      </w:r>
      <w:r w:rsidR="00801F93" w:rsidRPr="00C7130A">
        <w:rPr>
          <w:rtl/>
        </w:rPr>
        <w:t>ّ</w:t>
      </w:r>
      <w:r w:rsidRPr="00C7130A">
        <w:rPr>
          <w:rtl/>
        </w:rPr>
        <w:t xml:space="preserve">ة مؤسَّسة على النعمة، وليس على أي شيءٍ يمكن للإنسان أن يعمله ليستحقّ الخلاص أو يساهم به. وبتوافق مع النعمة، سيكون المطلب الوحيد أن يقبل الإنسان هذا الخلاص هبةً من الله </w:t>
      </w:r>
      <w:r w:rsidR="00801F93" w:rsidRPr="00C7130A">
        <w:rPr>
          <w:rtl/>
        </w:rPr>
        <w:t>ب</w:t>
      </w:r>
      <w:r w:rsidRPr="00C7130A">
        <w:rPr>
          <w:rtl/>
        </w:rPr>
        <w:t xml:space="preserve">الإيمان. </w:t>
      </w:r>
      <w:r w:rsidR="00001AF1" w:rsidRPr="00C7130A">
        <w:rPr>
          <w:rtl/>
        </w:rPr>
        <w:t>وهكذا، فإنّ خطّة الله في كل الأزمان والعصور هي الخلاص بالنعمة من خلال الإيمان. وهذه الحقيقة تظهر بصورة جميل</w:t>
      </w:r>
      <w:r w:rsidR="00801F93" w:rsidRPr="00C7130A">
        <w:rPr>
          <w:rtl/>
        </w:rPr>
        <w:t>ة</w:t>
      </w:r>
      <w:r w:rsidR="00001AF1" w:rsidRPr="00C7130A">
        <w:rPr>
          <w:rtl/>
        </w:rPr>
        <w:t xml:space="preserve"> في أفسس 2: 8-9، إذ كتب الرسول بولس: "لأنّكم بالنعمة مُخلَّصون، بالإيمان، وذلك ليس منكم. هو عطيّة الله. ليس من أعمالٍ كيلا يفتخر أحد." فلو كان الإنسان يستطيع أن يساهم بأي</w:t>
      </w:r>
      <w:r w:rsidR="00801F93" w:rsidRPr="00C7130A">
        <w:rPr>
          <w:rtl/>
        </w:rPr>
        <w:t>ّ</w:t>
      </w:r>
      <w:r w:rsidR="00001AF1" w:rsidRPr="00C7130A">
        <w:rPr>
          <w:rtl/>
        </w:rPr>
        <w:t xml:space="preserve"> شيءٍ في خلاصه، فسيكون له ما يفتخر به، ولكنّ الله استبعد هذه الإمكان</w:t>
      </w:r>
      <w:r w:rsidR="00801F93" w:rsidRPr="00C7130A">
        <w:rPr>
          <w:rtl/>
        </w:rPr>
        <w:t>يّة</w:t>
      </w:r>
      <w:r w:rsidR="00001AF1" w:rsidRPr="00C7130A">
        <w:rPr>
          <w:rtl/>
        </w:rPr>
        <w:t xml:space="preserve"> حتّى يكون كل المجد له (كما ينبغي!). لا ينطبق هذا المبدأ (مبدأ الخلاص بالنعمة من خلال الإيمان) علينا نحنُ الذين نعيش بعد الصليب</w:t>
      </w:r>
      <w:r w:rsidR="00801F93" w:rsidRPr="00C7130A">
        <w:rPr>
          <w:rtl/>
        </w:rPr>
        <w:t xml:space="preserve"> فقط</w:t>
      </w:r>
      <w:r w:rsidR="00001AF1" w:rsidRPr="00C7130A">
        <w:rPr>
          <w:rtl/>
        </w:rPr>
        <w:t xml:space="preserve">، بل ينطبق أيضًا على الذين عاشوا قبل الصليب أيضًا. </w:t>
      </w:r>
    </w:p>
    <w:p w14:paraId="37E5811C" w14:textId="68FCCC70" w:rsidR="00673832" w:rsidRPr="00C7130A" w:rsidRDefault="00673832" w:rsidP="00C7130A">
      <w:pPr>
        <w:rPr>
          <w:sz w:val="26"/>
          <w:szCs w:val="26"/>
          <w:rtl/>
        </w:rPr>
      </w:pPr>
    </w:p>
    <w:p w14:paraId="414890A4" w14:textId="514D0360" w:rsidR="001A1FCD" w:rsidRPr="00C7130A" w:rsidRDefault="00001AF1" w:rsidP="000558B7">
      <w:pPr>
        <w:pStyle w:val="Heading3"/>
      </w:pPr>
      <w:bookmarkStart w:id="194" w:name="_Toc193031001"/>
      <w:r w:rsidRPr="00C7130A">
        <w:rPr>
          <w:rtl/>
        </w:rPr>
        <w:t>مسألة الإعلان التدريجي</w:t>
      </w:r>
      <w:bookmarkEnd w:id="194"/>
    </w:p>
    <w:p w14:paraId="35DB127F" w14:textId="40A6D240" w:rsidR="001A1FCD" w:rsidRPr="00C7130A" w:rsidRDefault="005776DB" w:rsidP="005A55C3">
      <w:pPr>
        <w:rPr>
          <w:rtl/>
        </w:rPr>
      </w:pPr>
      <w:r w:rsidRPr="00C7130A">
        <w:rPr>
          <w:sz w:val="22"/>
        </w:rPr>
        <w:lastRenderedPageBreak/>
        <w:br/>
      </w:r>
      <w:r w:rsidR="00001AF1" w:rsidRPr="00C7130A">
        <w:rPr>
          <w:rtl/>
        </w:rPr>
        <w:t>إحدى المسائل المهمّة في هذا النقاش مسألة ما كان الإنسان يحتاج إلى معرفته ليخلص. يمكننا أن نقول إن الناس في زمن العهد القديم لم يمتلكو</w:t>
      </w:r>
      <w:r w:rsidR="005A1B4F" w:rsidRPr="00C7130A">
        <w:rPr>
          <w:rtl/>
        </w:rPr>
        <w:t>ا</w:t>
      </w:r>
      <w:r w:rsidR="00001AF1" w:rsidRPr="00C7130A">
        <w:rPr>
          <w:rtl/>
        </w:rPr>
        <w:t xml:space="preserve"> فهمًا كاملًا كما لدينا اليوم عن شخصٍ يسوع المسيح وعمله على الصليب. وحتّى الرسل في زمن وجود المسيح على الأرض لم يكن لديهم الفهم الكامل. هذا واضحٌ مما نقرأ في لوقا 18: 31-34: </w:t>
      </w:r>
    </w:p>
    <w:p w14:paraId="44EAC690" w14:textId="78A7F465" w:rsidR="009C722A" w:rsidRPr="005A55C3" w:rsidRDefault="00001AF1" w:rsidP="00C7130A">
      <w:pPr>
        <w:pStyle w:val="Quote"/>
        <w:rPr>
          <w:rFonts w:ascii="Arabic Typesetting" w:hAnsi="Arabic Typesetting" w:cs="Arabic Typesetting"/>
          <w:i/>
          <w:iCs w:val="0"/>
          <w:color w:val="auto"/>
          <w:sz w:val="36"/>
        </w:rPr>
      </w:pPr>
      <w:r w:rsidRPr="005A55C3">
        <w:rPr>
          <w:rFonts w:ascii="Arabic Typesetting" w:hAnsi="Arabic Typesetting" w:cs="Arabic Typesetting"/>
          <w:i/>
          <w:iCs w:val="0"/>
          <w:color w:val="auto"/>
          <w:sz w:val="36"/>
          <w:vertAlign w:val="superscript"/>
          <w:rtl/>
          <w:lang w:val="en"/>
        </w:rPr>
        <w:t>31</w:t>
      </w:r>
      <w:r w:rsidRPr="005A55C3">
        <w:rPr>
          <w:rFonts w:ascii="Arabic Typesetting" w:hAnsi="Arabic Typesetting" w:cs="Arabic Typesetting"/>
          <w:i/>
          <w:iCs w:val="0"/>
          <w:color w:val="auto"/>
          <w:sz w:val="36"/>
          <w:rtl/>
          <w:lang w:val="en"/>
        </w:rPr>
        <w:t xml:space="preserve">وأخذ الاثني عشر وقال لهم: "ها نحنُ صاعدِون إلى أورشليم، وسيتمّ كلُّ ما هو مكتوب بالأنبياء عن ابن الإنسان، </w:t>
      </w:r>
      <w:r w:rsidRPr="005A55C3">
        <w:rPr>
          <w:rFonts w:ascii="Arabic Typesetting" w:hAnsi="Arabic Typesetting" w:cs="Arabic Typesetting"/>
          <w:i/>
          <w:iCs w:val="0"/>
          <w:color w:val="auto"/>
          <w:sz w:val="36"/>
          <w:vertAlign w:val="superscript"/>
          <w:rtl/>
          <w:lang w:val="en"/>
        </w:rPr>
        <w:t>32</w:t>
      </w:r>
      <w:r w:rsidRPr="005A55C3">
        <w:rPr>
          <w:rFonts w:ascii="Arabic Typesetting" w:hAnsi="Arabic Typesetting" w:cs="Arabic Typesetting"/>
          <w:i/>
          <w:iCs w:val="0"/>
          <w:color w:val="auto"/>
          <w:sz w:val="36"/>
          <w:rtl/>
          <w:lang w:val="en"/>
        </w:rPr>
        <w:t>لأنّه ي</w:t>
      </w:r>
      <w:r w:rsidR="005A1B4F" w:rsidRPr="005A55C3">
        <w:rPr>
          <w:rFonts w:ascii="Arabic Typesetting" w:hAnsi="Arabic Typesetting" w:cs="Arabic Typesetting"/>
          <w:i/>
          <w:iCs w:val="0"/>
          <w:color w:val="auto"/>
          <w:sz w:val="36"/>
          <w:rtl/>
          <w:lang w:val="en"/>
        </w:rPr>
        <w:t>ُ</w:t>
      </w:r>
      <w:r w:rsidRPr="005A55C3">
        <w:rPr>
          <w:rFonts w:ascii="Arabic Typesetting" w:hAnsi="Arabic Typesetting" w:cs="Arabic Typesetting"/>
          <w:i/>
          <w:iCs w:val="0"/>
          <w:color w:val="auto"/>
          <w:sz w:val="36"/>
          <w:rtl/>
          <w:lang w:val="en"/>
        </w:rPr>
        <w:t xml:space="preserve">سلَّم إلى الأمم، ويُستهزَأ به، ويُشتَم ويُتفَل عليه، </w:t>
      </w:r>
      <w:r w:rsidRPr="005A55C3">
        <w:rPr>
          <w:rFonts w:ascii="Arabic Typesetting" w:hAnsi="Arabic Typesetting" w:cs="Arabic Typesetting"/>
          <w:i/>
          <w:iCs w:val="0"/>
          <w:color w:val="auto"/>
          <w:sz w:val="36"/>
          <w:vertAlign w:val="superscript"/>
          <w:rtl/>
          <w:lang w:val="en"/>
        </w:rPr>
        <w:t>33</w:t>
      </w:r>
      <w:r w:rsidRPr="005A55C3">
        <w:rPr>
          <w:rFonts w:ascii="Arabic Typesetting" w:hAnsi="Arabic Typesetting" w:cs="Arabic Typesetting"/>
          <w:i/>
          <w:iCs w:val="0"/>
          <w:color w:val="auto"/>
          <w:sz w:val="36"/>
          <w:rtl/>
          <w:lang w:val="en"/>
        </w:rPr>
        <w:t xml:space="preserve">ويجلدونه، ويقتلونه، وفي اليوم الثالث يقوم." </w:t>
      </w:r>
      <w:r w:rsidRPr="005A55C3">
        <w:rPr>
          <w:rFonts w:ascii="Arabic Typesetting" w:hAnsi="Arabic Typesetting" w:cs="Arabic Typesetting"/>
          <w:i/>
          <w:iCs w:val="0"/>
          <w:color w:val="auto"/>
          <w:sz w:val="36"/>
          <w:vertAlign w:val="superscript"/>
          <w:rtl/>
          <w:lang w:val="en"/>
        </w:rPr>
        <w:t>34</w:t>
      </w:r>
      <w:r w:rsidRPr="005A55C3">
        <w:rPr>
          <w:rFonts w:ascii="Arabic Typesetting" w:hAnsi="Arabic Typesetting" w:cs="Arabic Typesetting"/>
          <w:i/>
          <w:iCs w:val="0"/>
          <w:color w:val="auto"/>
          <w:sz w:val="36"/>
          <w:rtl/>
          <w:lang w:val="en"/>
        </w:rPr>
        <w:t>وأمّا هم فلم يفهموا من ذلك شيئًا، وكان هذا الأمر مُخفىً عنهم، ولم يعلموا ما قيل.</w:t>
      </w:r>
    </w:p>
    <w:p w14:paraId="5C7E2D18" w14:textId="77777777" w:rsidR="005A1B4F" w:rsidRPr="00C7130A" w:rsidRDefault="005A1B4F" w:rsidP="00C7130A">
      <w:pPr>
        <w:rPr>
          <w:sz w:val="26"/>
          <w:szCs w:val="26"/>
          <w:rtl/>
        </w:rPr>
      </w:pPr>
    </w:p>
    <w:p w14:paraId="64B104EA" w14:textId="66230BA2" w:rsidR="009C722A" w:rsidRPr="005A55C3" w:rsidRDefault="00CF6E2A" w:rsidP="00C7130A">
      <w:r w:rsidRPr="005A55C3">
        <w:rPr>
          <w:rtl/>
        </w:rPr>
        <w:t>يمكننا أن ندرِك من دراستنا الكتاب المُقدَّس أنّه مع تكشُّف العهد القديم بصورة تدريجيّة، ازداد وضوح خطة الله للخلاص. فالذين ماتوا قرب زمن الصليب (الذين كان لديهم المزيد من أسفار العهد القديم) كان يمكنهم أن يحظوا بفهم أعظم من الذين كانوا يعيشون في بداية العهد القديم. ومع كل</w:t>
      </w:r>
      <w:r w:rsidR="005A1B4F" w:rsidRPr="005A55C3">
        <w:rPr>
          <w:rtl/>
        </w:rPr>
        <w:t>ِّ</w:t>
      </w:r>
      <w:r w:rsidRPr="005A55C3">
        <w:rPr>
          <w:rtl/>
        </w:rPr>
        <w:t xml:space="preserve"> جيلٍ جديد، كان هناك إعلانٌ للمزيد، ولذا كانت هناك إمكانيّة لمعرفة المزيد. يُشير علماء الكتاب المُقدَّس إلى هذا بـ"الإعلان التدريجي." يكتب فينبيرغ (</w:t>
      </w:r>
      <w:r w:rsidRPr="005A55C3">
        <w:t>Feinberg</w:t>
      </w:r>
      <w:r w:rsidRPr="005A55C3">
        <w:rPr>
          <w:rtl/>
        </w:rPr>
        <w:t xml:space="preserve">) بشأن هذا: </w:t>
      </w:r>
    </w:p>
    <w:p w14:paraId="5AB94E50" w14:textId="7F3124A2" w:rsidR="008E6BA9" w:rsidRPr="005A55C3" w:rsidRDefault="00CF6E2A" w:rsidP="00C7130A">
      <w:pPr>
        <w:ind w:left="864" w:right="864"/>
      </w:pPr>
      <w:r w:rsidRPr="005A55C3">
        <w:rPr>
          <w:rtl/>
          <w:lang w:bidi="ar-JO"/>
        </w:rPr>
        <w:t>في البداية، يبدو مهمًّا أن نفهم أنّه مع أن الله استخدم باستمرار الطريقة نفسها لتخليص البشر (وهو نقطة تحافظ على وحدة الفداء والمفديّين)، فإنّ ما يعلِنه بشأن تلك الطريقة يتعاظم بصورة تدريجيّة، ويتطلب تغييرات في الطريقة التي يعبِّر بها المؤمن عن الحقيقة بأنه قب</w:t>
      </w:r>
      <w:r w:rsidR="005A1B4F" w:rsidRPr="005A55C3">
        <w:rPr>
          <w:rtl/>
          <w:lang w:bidi="ar-JO"/>
        </w:rPr>
        <w:t>ِ</w:t>
      </w:r>
      <w:r w:rsidRPr="005A55C3">
        <w:rPr>
          <w:rtl/>
          <w:lang w:bidi="ar-JO"/>
        </w:rPr>
        <w:t>ل طريقة الله الوحيد</w:t>
      </w:r>
      <w:r w:rsidR="005A1B4F" w:rsidRPr="005A55C3">
        <w:rPr>
          <w:rtl/>
          <w:lang w:bidi="ar-JO"/>
        </w:rPr>
        <w:t>ة</w:t>
      </w:r>
      <w:r w:rsidRPr="005A55C3">
        <w:rPr>
          <w:rtl/>
          <w:lang w:bidi="ar-JO"/>
        </w:rPr>
        <w:t xml:space="preserve"> للخلاص (وهي النقطة التي تسمح بالتنوُّع الذي يتطل</w:t>
      </w:r>
      <w:r w:rsidR="005A1B4F" w:rsidRPr="005A55C3">
        <w:rPr>
          <w:rtl/>
          <w:lang w:bidi="ar-JO"/>
        </w:rPr>
        <w:t>َّ</w:t>
      </w:r>
      <w:r w:rsidRPr="005A55C3">
        <w:rPr>
          <w:rtl/>
          <w:lang w:bidi="ar-JO"/>
        </w:rPr>
        <w:t>به الإعلان التدري</w:t>
      </w:r>
      <w:r w:rsidR="00E82C1B" w:rsidRPr="005A55C3">
        <w:rPr>
          <w:rtl/>
          <w:lang w:bidi="ar-JO"/>
        </w:rPr>
        <w:t>ج</w:t>
      </w:r>
      <w:r w:rsidRPr="005A55C3">
        <w:rPr>
          <w:rtl/>
          <w:lang w:bidi="ar-JO"/>
        </w:rPr>
        <w:t>ي).</w:t>
      </w:r>
      <w:r w:rsidR="008E6BA9" w:rsidRPr="005A55C3">
        <w:rPr>
          <w:rStyle w:val="FootnoteReference"/>
        </w:rPr>
        <w:footnoteReference w:id="78"/>
      </w:r>
    </w:p>
    <w:p w14:paraId="13807632" w14:textId="76D875F2" w:rsidR="008E6BA9" w:rsidRPr="005A55C3" w:rsidRDefault="00CF6E2A" w:rsidP="00C7130A">
      <w:pPr>
        <w:rPr>
          <w:rtl/>
        </w:rPr>
      </w:pPr>
      <w:r w:rsidRPr="005A55C3">
        <w:rPr>
          <w:rtl/>
        </w:rPr>
        <w:t>ليس المقصود</w:t>
      </w:r>
      <w:r w:rsidR="00E82C1B" w:rsidRPr="005A55C3">
        <w:rPr>
          <w:rtl/>
        </w:rPr>
        <w:t xml:space="preserve"> </w:t>
      </w:r>
      <w:r w:rsidR="009C3BC8" w:rsidRPr="005A55C3">
        <w:rPr>
          <w:rtl/>
        </w:rPr>
        <w:t>هنا أن</w:t>
      </w:r>
      <w:r w:rsidR="005A1B4F" w:rsidRPr="005A55C3">
        <w:rPr>
          <w:rtl/>
        </w:rPr>
        <w:t>َّ</w:t>
      </w:r>
      <w:r w:rsidR="009C3BC8" w:rsidRPr="005A55C3">
        <w:rPr>
          <w:rtl/>
        </w:rPr>
        <w:t xml:space="preserve"> الذين كانوا في الجزء الأو</w:t>
      </w:r>
      <w:r w:rsidR="005A1B4F" w:rsidRPr="005A55C3">
        <w:rPr>
          <w:rtl/>
        </w:rPr>
        <w:t>ّ</w:t>
      </w:r>
      <w:r w:rsidR="009C3BC8" w:rsidRPr="005A55C3">
        <w:rPr>
          <w:rtl/>
        </w:rPr>
        <w:t>ل من التاريخ البشري كان لديهم فهمٌ غير كافٍ للخلاص. ولذا نكونُ أكثر دقَّةً إن قلنا إنّه كان لديهم مقدار محدود من الإعلان الإلهي، ولكنّ ما كان لديهم كان كافيًا لخلاصهم. ولذا فإن المهمّ بالنسبة إليهم هو أن يتجاوبوا بالإيمان مع الله ووعوده التي عرفوها وما كان مُعلَنًا. في الوضع الطبيعي، كان هذا الإعلان تراكميًّا بالنسبة إلى الأجيال المتعاقبة. وبغض</w:t>
      </w:r>
      <w:r w:rsidR="005A1B4F" w:rsidRPr="005A55C3">
        <w:rPr>
          <w:rtl/>
        </w:rPr>
        <w:t>ّ</w:t>
      </w:r>
      <w:r w:rsidR="009C3BC8" w:rsidRPr="005A55C3">
        <w:rPr>
          <w:rtl/>
        </w:rPr>
        <w:t xml:space="preserve"> النظر ع</w:t>
      </w:r>
      <w:r w:rsidR="005A1B4F" w:rsidRPr="005A55C3">
        <w:rPr>
          <w:rtl/>
        </w:rPr>
        <w:t>ن</w:t>
      </w:r>
      <w:r w:rsidR="009C3BC8" w:rsidRPr="005A55C3">
        <w:rPr>
          <w:rtl/>
        </w:rPr>
        <w:t xml:space="preserve"> مقدار ما كان المرء يعرفه في فترة العهد القديم، بقي المبدأ نفسه: الخلاص بالنعمة من خلال الإيمان. كانت هذه هي الطريقة الواحدة والوحيدة لنوال الخلاص. </w:t>
      </w:r>
    </w:p>
    <w:p w14:paraId="7FB76A9C" w14:textId="77777777" w:rsidR="00CF6E2A" w:rsidRPr="00C7130A" w:rsidRDefault="00CF6E2A" w:rsidP="00C7130A">
      <w:pPr>
        <w:rPr>
          <w:sz w:val="26"/>
          <w:szCs w:val="26"/>
        </w:rPr>
      </w:pPr>
    </w:p>
    <w:p w14:paraId="4D6096FC" w14:textId="4B323452" w:rsidR="000747FF" w:rsidRPr="005A55C3" w:rsidRDefault="009C3BC8" w:rsidP="000558B7">
      <w:pPr>
        <w:pStyle w:val="Heading3"/>
      </w:pPr>
      <w:bookmarkStart w:id="195" w:name="_Toc193031002"/>
      <w:r w:rsidRPr="005A55C3">
        <w:rPr>
          <w:rtl/>
        </w:rPr>
        <w:t>أربع فترات زمنية قبل موت المسيح على الصليب</w:t>
      </w:r>
      <w:bookmarkStart w:id="196" w:name="_Hlk178778713"/>
      <w:bookmarkEnd w:id="195"/>
    </w:p>
    <w:p w14:paraId="74E5B53E" w14:textId="440BBE25" w:rsidR="000747FF" w:rsidRPr="005A55C3" w:rsidRDefault="005776DB" w:rsidP="00C7130A">
      <w:pPr>
        <w:rPr>
          <w:rtl/>
          <w:lang w:bidi="ar-JO"/>
        </w:rPr>
      </w:pPr>
      <w:r w:rsidRPr="005A55C3">
        <w:br/>
      </w:r>
      <w:r w:rsidR="009C3BC8" w:rsidRPr="005A55C3">
        <w:rPr>
          <w:rtl/>
        </w:rPr>
        <w:t xml:space="preserve">حين </w:t>
      </w:r>
      <w:r w:rsidR="009C3BC8" w:rsidRPr="005A55C3">
        <w:rPr>
          <w:rtl/>
          <w:lang w:bidi="ar-JO"/>
        </w:rPr>
        <w:t>نفكِّر بتاريخ العهد القديم ككلّ، علينا أوّلًا أن ندرك أنّه في معظم هذه الفترة الطويلة لم يكن الناس تحتَ الناموس الموسوي. فلأنّ الناموس لم يُعط</w:t>
      </w:r>
      <w:r w:rsidR="005A1B4F" w:rsidRPr="005A55C3">
        <w:rPr>
          <w:rtl/>
          <w:lang w:bidi="ar-JO"/>
        </w:rPr>
        <w:t>َ</w:t>
      </w:r>
      <w:r w:rsidR="009C3BC8" w:rsidRPr="005A55C3">
        <w:rPr>
          <w:rtl/>
          <w:lang w:bidi="ar-JO"/>
        </w:rPr>
        <w:t xml:space="preserve"> حتّى العام 1446 ق.م.، فقد مرّت قرونٌ كثيرة عاش فيها الناس قبلًا من دون معرفة </w:t>
      </w:r>
      <w:r w:rsidR="009C3BC8" w:rsidRPr="005A55C3">
        <w:rPr>
          <w:rtl/>
          <w:lang w:bidi="ar-JO"/>
        </w:rPr>
        <w:lastRenderedPageBreak/>
        <w:t>الناموس الموسوي. وعلاوةً على ذلك، حتّى حين أُعطي الناموس الموسوي، لم يُفرَض على كلّ الناس، بل فُرِض على شعب إسرائيل فقط.</w:t>
      </w:r>
      <w:r w:rsidR="007D39BF" w:rsidRPr="005A55C3">
        <w:rPr>
          <w:rtl/>
          <w:lang w:bidi="ar-JO"/>
        </w:rPr>
        <w:t xml:space="preserve"> ولم يحدث أن أشار الله </w:t>
      </w:r>
      <w:r w:rsidR="005A1B4F" w:rsidRPr="005A55C3">
        <w:rPr>
          <w:rtl/>
          <w:lang w:bidi="ar-JO"/>
        </w:rPr>
        <w:t xml:space="preserve">إلى </w:t>
      </w:r>
      <w:r w:rsidR="007D39BF" w:rsidRPr="005A55C3">
        <w:rPr>
          <w:rtl/>
          <w:lang w:bidi="ar-JO"/>
        </w:rPr>
        <w:t>أنّ الأمم ملتزمة بأن تعيش بحسب الناموس. وفي تفكيرنا بالخلاص قبل الصليب، قد يكون مفيدًا أن نميِّز أربع فترات</w:t>
      </w:r>
      <w:r w:rsidR="005A1B4F" w:rsidRPr="005A55C3">
        <w:rPr>
          <w:rtl/>
          <w:lang w:bidi="ar-JO"/>
        </w:rPr>
        <w:t>ٍ</w:t>
      </w:r>
      <w:r w:rsidR="007D39BF" w:rsidRPr="005A55C3">
        <w:rPr>
          <w:rtl/>
          <w:lang w:bidi="ar-JO"/>
        </w:rPr>
        <w:t xml:space="preserve"> زمنية في التاريخ البشري الباكر. وبحسب اللوحة التوضيحيّة التالية، حين غادر إبراهيم حاران إلى أرض كنعان كان في الخامسة والسبعين من عمره، وكان العام 1446 ق.م. هو الوقت الذي </w:t>
      </w:r>
      <w:r w:rsidR="005A1B4F" w:rsidRPr="005A55C3">
        <w:rPr>
          <w:rtl/>
          <w:lang w:bidi="ar-JO"/>
        </w:rPr>
        <w:t xml:space="preserve">فيه </w:t>
      </w:r>
      <w:r w:rsidR="007D39BF" w:rsidRPr="005A55C3">
        <w:rPr>
          <w:rtl/>
          <w:lang w:bidi="ar-JO"/>
        </w:rPr>
        <w:t xml:space="preserve">تلقّى موسى الناموس في جبل سيناء. </w:t>
      </w:r>
    </w:p>
    <w:p w14:paraId="37ACE457" w14:textId="77777777" w:rsidR="009C3BC8" w:rsidRPr="00C7130A" w:rsidRDefault="009C3BC8" w:rsidP="00C7130A">
      <w:pPr>
        <w:rPr>
          <w:sz w:val="26"/>
          <w:szCs w:val="26"/>
        </w:rPr>
      </w:pPr>
    </w:p>
    <w:bookmarkEnd w:id="196"/>
    <w:p w14:paraId="6E2A1327" w14:textId="77777777" w:rsidR="00CF5CE5" w:rsidRPr="005A55C3" w:rsidRDefault="00CF5CE5" w:rsidP="005A55C3">
      <w:pPr>
        <w:rPr>
          <w:rFonts w:eastAsia="Calibri"/>
          <w:kern w:val="0"/>
          <w:lang w:bidi="ar-JO"/>
          <w14:ligatures w14:val="none"/>
        </w:rPr>
      </w:pPr>
      <w:r w:rsidRPr="005A55C3">
        <w:rPr>
          <w:rFonts w:eastAsia="Calibri"/>
          <w:kern w:val="0"/>
          <w:rtl/>
          <w:lang w:bidi="ar-JO"/>
          <w14:ligatures w14:val="none"/>
        </w:rPr>
        <w:t>أربع فترات قبل الصليب</w:t>
      </w:r>
    </w:p>
    <w:p w14:paraId="4C36093A" w14:textId="77777777" w:rsidR="00CF5CE5" w:rsidRPr="00C7130A" w:rsidRDefault="00CF5CE5" w:rsidP="00C7130A">
      <w:pPr>
        <w:rPr>
          <w:sz w:val="22"/>
        </w:rPr>
      </w:pPr>
    </w:p>
    <w:p w14:paraId="122AD67F" w14:textId="231B33BC" w:rsidR="000747FF" w:rsidRPr="00C7130A" w:rsidRDefault="00CF5CE5" w:rsidP="00C7130A">
      <w:pPr>
        <w:tabs>
          <w:tab w:val="left" w:pos="547"/>
          <w:tab w:val="left" w:pos="1094"/>
          <w:tab w:val="left" w:pos="1642"/>
          <w:tab w:val="left" w:pos="2189"/>
          <w:tab w:val="left" w:pos="2736"/>
          <w:tab w:val="left" w:pos="3283"/>
          <w:tab w:val="left" w:pos="3830"/>
          <w:tab w:val="left" w:pos="4378"/>
        </w:tabs>
        <w:spacing w:after="120"/>
        <w:jc w:val="both"/>
        <w:rPr>
          <w:rFonts w:eastAsia="Times New Roman"/>
          <w:bCs/>
          <w:kern w:val="0"/>
          <w:sz w:val="22"/>
          <w:szCs w:val="24"/>
          <w14:ligatures w14:val="none"/>
        </w:rPr>
      </w:pPr>
      <w:r w:rsidRPr="00C7130A">
        <w:rPr>
          <w:rFonts w:eastAsia="Times New Roman"/>
          <w:bCs/>
          <w:noProof/>
          <w:kern w:val="0"/>
          <w:sz w:val="22"/>
          <w:szCs w:val="24"/>
          <w14:ligatures w14:val="none"/>
        </w:rPr>
        <w:drawing>
          <wp:inline distT="0" distB="0" distL="0" distR="0" wp14:anchorId="659C6652" wp14:editId="75FE5086">
            <wp:extent cx="5943600" cy="1750695"/>
            <wp:effectExtent l="0" t="0" r="0" b="0"/>
            <wp:docPr id="649563726" name="Picture 1" descr="A green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63726" name="Picture 1" descr="A green and black text&#10;&#10;Description automatically generated"/>
                    <pic:cNvPicPr/>
                  </pic:nvPicPr>
                  <pic:blipFill>
                    <a:blip r:embed="rId45"/>
                    <a:stretch>
                      <a:fillRect/>
                    </a:stretch>
                  </pic:blipFill>
                  <pic:spPr>
                    <a:xfrm>
                      <a:off x="0" y="0"/>
                      <a:ext cx="5943600" cy="1750695"/>
                    </a:xfrm>
                    <a:prstGeom prst="rect">
                      <a:avLst/>
                    </a:prstGeom>
                  </pic:spPr>
                </pic:pic>
              </a:graphicData>
            </a:graphic>
          </wp:inline>
        </w:drawing>
      </w:r>
    </w:p>
    <w:p w14:paraId="0CCC4CBB" w14:textId="77777777" w:rsidR="00CF5CE5" w:rsidRPr="00C7130A" w:rsidRDefault="00CF5CE5" w:rsidP="00C7130A">
      <w:pPr>
        <w:rPr>
          <w:b/>
          <w:bCs/>
        </w:rPr>
      </w:pPr>
    </w:p>
    <w:p w14:paraId="6582A991" w14:textId="5427A552" w:rsidR="000747FF" w:rsidRPr="00C7130A" w:rsidRDefault="007D39BF" w:rsidP="000558B7">
      <w:pPr>
        <w:pStyle w:val="Heading3"/>
      </w:pPr>
      <w:bookmarkStart w:id="197" w:name="_Toc193031003"/>
      <w:r w:rsidRPr="00C7130A">
        <w:rPr>
          <w:rtl/>
        </w:rPr>
        <w:t>الخلاص في فترة ما قبل إبراهيم (تكوين 1: 1 – 11: 26)</w:t>
      </w:r>
      <w:bookmarkEnd w:id="197"/>
    </w:p>
    <w:p w14:paraId="512AA7F2" w14:textId="26CCBD67" w:rsidR="007D39BF" w:rsidRPr="00C7130A" w:rsidRDefault="007D39BF" w:rsidP="005A55C3">
      <w:pPr>
        <w:rPr>
          <w:rtl/>
        </w:rPr>
      </w:pPr>
      <w:r w:rsidRPr="00C7130A">
        <w:rPr>
          <w:rtl/>
        </w:rPr>
        <w:t xml:space="preserve">تُغطّي هذه الفترة الوقت من خلق الزوجين الأوّلين وحتّى وقت دعوة الله لإبراهيم بأن يترك أور الكلدانيّين من أجل أن يكوِّن أمّةً جديدة. ولأننا نعرف أن الناس كانوا يُحسَبون "أبرارًا" في هذه الفترة، فلا بدَّ أنّهم كانوا يأتون إلى علاقة مُخلِّصًة مع الله. فأخنوخ، مثلًا، قِيل إنّه "سار مع الله"، وإنّه "أخذه" الله من دون أن يذوق الموت (تكوين 5: 21-24). ويقول تكوين 6: 9: "كان نوحٌ رجلًا كاملًا في أجياله، وسار نوحٌ مع الله." لا شكّ أنّه كان هناك آخرون يُشبِهون هذين الرجلين. ولا بدَّ أنّهم اختبروا خلاص الله. </w:t>
      </w:r>
    </w:p>
    <w:p w14:paraId="178ADFD4" w14:textId="11B1C9FD" w:rsidR="00E82C1B" w:rsidRPr="00C7130A" w:rsidRDefault="00E82C1B" w:rsidP="005A55C3">
      <w:pPr>
        <w:rPr>
          <w:rtl/>
        </w:rPr>
      </w:pPr>
      <w:r w:rsidRPr="00C7130A">
        <w:rPr>
          <w:rtl/>
        </w:rPr>
        <w:t xml:space="preserve">إذْ خُلِق آدم وحوّاء بيد الله بصورة مباشرة، لم يكونا في البداية في احتياجٍ إلى الخلاص. </w:t>
      </w:r>
      <w:r w:rsidR="00BA553C" w:rsidRPr="00C7130A">
        <w:rPr>
          <w:rtl/>
        </w:rPr>
        <w:t xml:space="preserve">لكن بعد عصيانهما وسقوطهما، صارا في احتياجٍ إلى الخلاص. ينبغي أن نبدأ بالتفكير باحتياجهما إلى فهم الخلاص. فمثلاً، عرفا أنّه سيكون هناك انتصار نهائي على الشرّير الذي خدعهما، وهذا "الانتصار" سيتحقَّق بنسل المرأة. فقد قال الله للحيّة: "وأضع عداوةً بينك وبين المرأة، وبين نسلك ونسلها. هو يسحق رأسك، وأنت تسحقين عقبه" (تكوين 3: 15). [انظر الدرس 12، الموضوع 4 للاطّلاع على نقاشٍ مطوَّل </w:t>
      </w:r>
      <w:r w:rsidR="005A1B4F" w:rsidRPr="00C7130A">
        <w:rPr>
          <w:rtl/>
        </w:rPr>
        <w:t xml:space="preserve">بشأن </w:t>
      </w:r>
      <w:r w:rsidR="00BA553C" w:rsidRPr="00C7130A">
        <w:rPr>
          <w:rtl/>
        </w:rPr>
        <w:t xml:space="preserve">هذه الآية.] </w:t>
      </w:r>
      <w:r w:rsidR="005A1B4F" w:rsidRPr="00C7130A">
        <w:rPr>
          <w:rtl/>
        </w:rPr>
        <w:t xml:space="preserve">مع </w:t>
      </w:r>
      <w:r w:rsidR="003D1B67" w:rsidRPr="00C7130A">
        <w:rPr>
          <w:rtl/>
        </w:rPr>
        <w:t xml:space="preserve">أنهما لم يعرفا بالضبط هوية "نسل المرأة" هذا (من منظورنا نعرف أنّه يسوع المسيح)، كان بإمكانهما أن يؤمنا بهذا النسل الموعود. وفي تكوين 3 نُعطى أيضًا إشارة إلى اختبارهما الروحيّ للخلاص. فقبل أن يُطرَدا من الجنة، نقرأ: "وصنع الرب الإله لآدم وامرأته أقمصةً من جلد وألبسهما" (تكوين 3: 21). قبل ذلك (ولكن بعد أن أخطآ)، </w:t>
      </w:r>
      <w:r w:rsidR="003D1B67" w:rsidRPr="00C7130A">
        <w:rPr>
          <w:rtl/>
        </w:rPr>
        <w:lastRenderedPageBreak/>
        <w:t>حاول الرجل والمرأة الأوّلان أن يصنعا لنفسيهما أغطيةً من ورق التين (تكوين 3: 7). يمكن استخلاص مبدأ</w:t>
      </w:r>
      <w:r w:rsidR="005A1B4F" w:rsidRPr="00C7130A">
        <w:rPr>
          <w:rtl/>
        </w:rPr>
        <w:t>ً</w:t>
      </w:r>
      <w:r w:rsidR="003D1B67" w:rsidRPr="00C7130A">
        <w:rPr>
          <w:rtl/>
        </w:rPr>
        <w:t xml:space="preserve"> روحي</w:t>
      </w:r>
      <w:r w:rsidR="005A1B4F" w:rsidRPr="00C7130A">
        <w:rPr>
          <w:rtl/>
        </w:rPr>
        <w:t>ًّا</w:t>
      </w:r>
      <w:r w:rsidR="003D1B67" w:rsidRPr="00C7130A">
        <w:rPr>
          <w:rtl/>
        </w:rPr>
        <w:t xml:space="preserve"> من هذه الآيات: إن</w:t>
      </w:r>
      <w:r w:rsidR="005A1B4F" w:rsidRPr="00C7130A">
        <w:rPr>
          <w:rtl/>
        </w:rPr>
        <w:t>ّ</w:t>
      </w:r>
      <w:r w:rsidR="003D1B67" w:rsidRPr="00C7130A">
        <w:rPr>
          <w:rtl/>
        </w:rPr>
        <w:t xml:space="preserve"> محاولات الإنسان لتغطية إثمه وعار خطي</w:t>
      </w:r>
      <w:r w:rsidR="005A1B4F" w:rsidRPr="00C7130A">
        <w:rPr>
          <w:rtl/>
        </w:rPr>
        <w:t>ّ</w:t>
      </w:r>
      <w:r w:rsidR="003D1B67" w:rsidRPr="00C7130A">
        <w:rPr>
          <w:rtl/>
        </w:rPr>
        <w:t xml:space="preserve">ته ليست مقبولة أبدًا أمام الله، فالإنسان في احتياج </w:t>
      </w:r>
      <w:r w:rsidR="005A1B4F" w:rsidRPr="00C7130A">
        <w:rPr>
          <w:rtl/>
        </w:rPr>
        <w:t xml:space="preserve">إلى </w:t>
      </w:r>
      <w:r w:rsidR="003D1B67" w:rsidRPr="00C7130A">
        <w:rPr>
          <w:rtl/>
        </w:rPr>
        <w:t>أن</w:t>
      </w:r>
      <w:r w:rsidR="005A1B4F" w:rsidRPr="00C7130A">
        <w:rPr>
          <w:rtl/>
        </w:rPr>
        <w:t>ْ</w:t>
      </w:r>
      <w:r w:rsidR="003D1B67" w:rsidRPr="00C7130A">
        <w:rPr>
          <w:rtl/>
        </w:rPr>
        <w:t xml:space="preserve"> يُلبِسه الله بطريقة ملائمة أكثر تتوافق مع قبول الله. ومع أنّ الآية 21 لا تصرِّ</w:t>
      </w:r>
      <w:r w:rsidR="005A1B4F" w:rsidRPr="00C7130A">
        <w:rPr>
          <w:rtl/>
        </w:rPr>
        <w:t>ح</w:t>
      </w:r>
      <w:r w:rsidR="003D1B67" w:rsidRPr="00C7130A">
        <w:rPr>
          <w:rtl/>
        </w:rPr>
        <w:t xml:space="preserve"> عن هذا الأمر بصورة مباشرة، يمكننا أن نستنتج أن الله علَّم أيضًا الرجل والمرأة الأوّلين عن الذبيحة الحيوانيّة لأجل الخطية وعن ارتداء الثياب بصورة مقبولة أمام الله. </w:t>
      </w:r>
      <w:r w:rsidR="00721165" w:rsidRPr="00C7130A">
        <w:rPr>
          <w:rtl/>
        </w:rPr>
        <w:t>ويمكننا أن نستنتج من الآية 21 أن الله علّم الرجل والمرأة الأوّلين عن الذبائح الحيوانية لأجل الخطية وارتداء الثياب بصورة مناسبة</w:t>
      </w:r>
      <w:r w:rsidR="00845B64" w:rsidRPr="00C7130A">
        <w:rPr>
          <w:rtl/>
        </w:rPr>
        <w:t>. و</w:t>
      </w:r>
      <w:r w:rsidR="00721165" w:rsidRPr="00C7130A">
        <w:rPr>
          <w:rtl/>
        </w:rPr>
        <w:t>سيبني العهد الجديد على هذا المبدأ الأساسي</w:t>
      </w:r>
      <w:r w:rsidR="00845B64" w:rsidRPr="00C7130A">
        <w:rPr>
          <w:rtl/>
        </w:rPr>
        <w:t>ّ</w:t>
      </w:r>
      <w:r w:rsidR="00721165" w:rsidRPr="00C7130A">
        <w:rPr>
          <w:rtl/>
        </w:rPr>
        <w:t xml:space="preserve"> لتوضيح أن</w:t>
      </w:r>
      <w:r w:rsidR="00845B64" w:rsidRPr="00C7130A">
        <w:rPr>
          <w:rtl/>
        </w:rPr>
        <w:t>ّ</w:t>
      </w:r>
      <w:r w:rsidR="00721165" w:rsidRPr="00C7130A">
        <w:rPr>
          <w:rtl/>
        </w:rPr>
        <w:t xml:space="preserve"> ذبيحة المسيح الكاملة تؤدّي إلى أن نلبس بر</w:t>
      </w:r>
      <w:r w:rsidR="00845B64" w:rsidRPr="00C7130A">
        <w:rPr>
          <w:rtl/>
        </w:rPr>
        <w:t>َّ</w:t>
      </w:r>
      <w:r w:rsidR="00721165" w:rsidRPr="00C7130A">
        <w:rPr>
          <w:rtl/>
        </w:rPr>
        <w:t xml:space="preserve"> المسيح. </w:t>
      </w:r>
    </w:p>
    <w:p w14:paraId="15BB9570" w14:textId="2B6084B1" w:rsidR="007D39BF" w:rsidRPr="00C7130A" w:rsidRDefault="00721165" w:rsidP="005A55C3">
      <w:pPr>
        <w:rPr>
          <w:rtl/>
        </w:rPr>
      </w:pPr>
      <w:r w:rsidRPr="00C7130A">
        <w:rPr>
          <w:rtl/>
        </w:rPr>
        <w:t>ومع أنّ ناموس موسى لم يأتِ إلا بعد سنواتٍ عديدة، فإنّ مفهوم الذبائح والقرابين ظاهرٌ بصورة واضحة في سفر التكوين.</w:t>
      </w:r>
      <w:r w:rsidRPr="00C7130A">
        <w:rPr>
          <w:rStyle w:val="FootnoteReference"/>
          <w:sz w:val="26"/>
          <w:szCs w:val="26"/>
          <w:rtl/>
        </w:rPr>
        <w:footnoteReference w:id="79"/>
      </w:r>
      <w:r w:rsidRPr="00C7130A">
        <w:rPr>
          <w:rtl/>
        </w:rPr>
        <w:t xml:space="preserve"> </w:t>
      </w:r>
      <w:r w:rsidR="00845B64" w:rsidRPr="00C7130A">
        <w:rPr>
          <w:rtl/>
        </w:rPr>
        <w:t>ف</w:t>
      </w:r>
      <w:r w:rsidRPr="00C7130A">
        <w:rPr>
          <w:rtl/>
        </w:rPr>
        <w:t>نقرأ عن تقديم قايين وهابيل قرابين، وعن إصعاد نوح محرَقات. يشهد كل هذا لحقيقة أنّه كان هناك مؤمنون في العهد القديم قبل إبراهيم، وكان إيمانهم بالله يظهر بالذبائح التي كانوا يقدِّمونه</w:t>
      </w:r>
      <w:r w:rsidR="00845B64" w:rsidRPr="00C7130A">
        <w:rPr>
          <w:rtl/>
        </w:rPr>
        <w:t>ا</w:t>
      </w:r>
      <w:r w:rsidRPr="00C7130A">
        <w:rPr>
          <w:rtl/>
        </w:rPr>
        <w:t xml:space="preserve"> لله (مع أن</w:t>
      </w:r>
      <w:r w:rsidR="00845B64" w:rsidRPr="00C7130A">
        <w:rPr>
          <w:rtl/>
        </w:rPr>
        <w:t>َّ</w:t>
      </w:r>
      <w:r w:rsidRPr="00C7130A">
        <w:rPr>
          <w:rtl/>
        </w:rPr>
        <w:t xml:space="preserve"> الذبائح نفسها لم تكن ما يخلِّصهم). كان إيمانهم بشخصِ الله ووعده الذي سيتحقَّق بنسل المرأة. </w:t>
      </w:r>
    </w:p>
    <w:p w14:paraId="685BFF89" w14:textId="77777777" w:rsidR="007F7100" w:rsidRPr="00C7130A" w:rsidRDefault="007F7100" w:rsidP="00C7130A">
      <w:pPr>
        <w:rPr>
          <w:sz w:val="26"/>
          <w:szCs w:val="26"/>
          <w:rtl/>
        </w:rPr>
      </w:pPr>
    </w:p>
    <w:p w14:paraId="7AB57722" w14:textId="4DCB543E" w:rsidR="0053442C" w:rsidRPr="00C7130A" w:rsidRDefault="007F7100" w:rsidP="000558B7">
      <w:pPr>
        <w:pStyle w:val="Heading3"/>
      </w:pPr>
      <w:bookmarkStart w:id="198" w:name="_Toc193031004"/>
      <w:r w:rsidRPr="00C7130A">
        <w:rPr>
          <w:rtl/>
        </w:rPr>
        <w:t>الخلاص في الفترة ما بين إبراهيم وإعطاء الشريعة (تكوين 11: 27 – خروج 18: 27)</w:t>
      </w:r>
      <w:bookmarkEnd w:id="198"/>
    </w:p>
    <w:p w14:paraId="088880DE" w14:textId="02BF8DC6" w:rsidR="007F7100" w:rsidRPr="00C7130A" w:rsidRDefault="004776FD" w:rsidP="005A55C3">
      <w:pPr>
        <w:rPr>
          <w:rtl/>
        </w:rPr>
      </w:pPr>
      <w:r w:rsidRPr="00C7130A">
        <w:rPr>
          <w:rtl/>
        </w:rPr>
        <w:t>في ضوء الوعود التي أعطاها الله لإبراهيم في تكوين 12: 1-3، عرف</w:t>
      </w:r>
      <w:r w:rsidR="00845B64" w:rsidRPr="00C7130A">
        <w:rPr>
          <w:rtl/>
        </w:rPr>
        <w:t xml:space="preserve"> إبراهيم</w:t>
      </w:r>
      <w:r w:rsidRPr="00C7130A">
        <w:rPr>
          <w:rtl/>
        </w:rPr>
        <w:t xml:space="preserve"> أن خطّة الله الأسمى هي أن يبارك كلّ عشائر الأرض، وسيحدث هذا من خلال شخصٍ يُولَد من صُلبه. كان إيمانه بشخص</w:t>
      </w:r>
      <w:r w:rsidR="00845B64" w:rsidRPr="00C7130A">
        <w:rPr>
          <w:rtl/>
        </w:rPr>
        <w:t>ِ</w:t>
      </w:r>
      <w:r w:rsidRPr="00C7130A">
        <w:rPr>
          <w:rtl/>
        </w:rPr>
        <w:t xml:space="preserve"> الله ويقينه بأنّ هذا النسل المستقبلي سيخرج من صُلبه. ونقرأ عن استجابته </w:t>
      </w:r>
      <w:r w:rsidR="00845B64" w:rsidRPr="00C7130A">
        <w:rPr>
          <w:rtl/>
        </w:rPr>
        <w:t xml:space="preserve">تجاه </w:t>
      </w:r>
      <w:r w:rsidRPr="00C7130A">
        <w:rPr>
          <w:rtl/>
        </w:rPr>
        <w:t xml:space="preserve">تأكيد الله بشأن هذا النسل المستقبلي: "فآمن بالربّ فحسبه له برًّا" (تكوين 15: 6). هذه الآية مهمّة لأسباب عديدة. أوّلًا، </w:t>
      </w:r>
      <w:r w:rsidR="00845B64" w:rsidRPr="00C7130A">
        <w:rPr>
          <w:rtl/>
        </w:rPr>
        <w:t>إنّها</w:t>
      </w:r>
      <w:r w:rsidRPr="00C7130A">
        <w:rPr>
          <w:rtl/>
        </w:rPr>
        <w:t xml:space="preserve"> توضِّح أن إبراهيم نال وضعًا سليمًا أمام الله بناءً على الإيمان وحده، وليس ب</w:t>
      </w:r>
      <w:r w:rsidR="00845B64" w:rsidRPr="00C7130A">
        <w:rPr>
          <w:rtl/>
        </w:rPr>
        <w:t>أ</w:t>
      </w:r>
      <w:r w:rsidRPr="00C7130A">
        <w:rPr>
          <w:rtl/>
        </w:rPr>
        <w:t>يّة ذبيحة قدّمها أو فضيلة فيه. مارس إبراهيم الإيمان، وحسب الله له هذا الإيمان برًّا. وفي روميّة 4: 1-5، يتوسَّع بولس في ما تعنيه هذه الآية، مُشيرًا إلى أنّ الإيمان ليس عم</w:t>
      </w:r>
      <w:r w:rsidR="00845B64" w:rsidRPr="00C7130A">
        <w:rPr>
          <w:rtl/>
        </w:rPr>
        <w:t>َ</w:t>
      </w:r>
      <w:r w:rsidRPr="00C7130A">
        <w:rPr>
          <w:rtl/>
        </w:rPr>
        <w:t xml:space="preserve">لًا يستحقّ المكافأة: </w:t>
      </w:r>
    </w:p>
    <w:p w14:paraId="58753C88" w14:textId="44A90EB4" w:rsidR="004776FD" w:rsidRPr="005A55C3" w:rsidRDefault="00931144" w:rsidP="00C7130A">
      <w:pPr>
        <w:ind w:left="1008" w:right="1008"/>
        <w:rPr>
          <w:rtl/>
        </w:rPr>
      </w:pPr>
      <w:r w:rsidRPr="005A55C3">
        <w:rPr>
          <w:vertAlign w:val="superscript"/>
          <w:rtl/>
          <w:lang w:bidi="ar-JO"/>
        </w:rPr>
        <w:t>1</w:t>
      </w:r>
      <w:r w:rsidRPr="005A55C3">
        <w:rPr>
          <w:rtl/>
          <w:lang w:bidi="ar-JO"/>
        </w:rPr>
        <w:t xml:space="preserve">فماذا نقول إنّ أبانا إبراهيم قد وجد حسب الجسد؟ </w:t>
      </w:r>
      <w:r w:rsidRPr="005A55C3">
        <w:rPr>
          <w:vertAlign w:val="superscript"/>
          <w:rtl/>
          <w:lang w:bidi="ar-JO"/>
        </w:rPr>
        <w:t>2</w:t>
      </w:r>
      <w:r w:rsidRPr="005A55C3">
        <w:rPr>
          <w:rtl/>
          <w:lang w:bidi="ar-JO"/>
        </w:rPr>
        <w:t xml:space="preserve">لأنّه إن كان إبراهيم قد تبرَّر بالأعمال فله فخر، ولكنْ ليس لدى الله. </w:t>
      </w:r>
      <w:r w:rsidRPr="005A55C3">
        <w:rPr>
          <w:vertAlign w:val="superscript"/>
          <w:rtl/>
          <w:lang w:bidi="ar-JO"/>
        </w:rPr>
        <w:t>3</w:t>
      </w:r>
      <w:r w:rsidRPr="005A55C3">
        <w:rPr>
          <w:rtl/>
          <w:lang w:bidi="ar-JO"/>
        </w:rPr>
        <w:t xml:space="preserve">لأنّه ماذا يقول الكتاب؟ "فآمن إبراهيم بالله، فحُسِب له برًّا." </w:t>
      </w:r>
      <w:r w:rsidRPr="005A55C3">
        <w:rPr>
          <w:vertAlign w:val="superscript"/>
          <w:rtl/>
          <w:lang w:bidi="ar-JO"/>
        </w:rPr>
        <w:t>4</w:t>
      </w:r>
      <w:r w:rsidRPr="005A55C3">
        <w:rPr>
          <w:rtl/>
          <w:lang w:bidi="ar-JO"/>
        </w:rPr>
        <w:t xml:space="preserve">أمّا الذي يعمل فلا تُحسَب له الأُجرة على سبيل نعمة، بل على سبيل دين. </w:t>
      </w:r>
      <w:r w:rsidRPr="005A55C3">
        <w:rPr>
          <w:vertAlign w:val="superscript"/>
          <w:rtl/>
          <w:lang w:bidi="ar-JO"/>
        </w:rPr>
        <w:t>5</w:t>
      </w:r>
      <w:r w:rsidRPr="005A55C3">
        <w:rPr>
          <w:rtl/>
          <w:lang w:bidi="ar-JO"/>
        </w:rPr>
        <w:t>وأمّا الذي لا يعمل، ولكنْ يؤمن بالذي يبرِّر الفاجر، فإيمانه يُحسَب له برًّا.</w:t>
      </w:r>
    </w:p>
    <w:p w14:paraId="47AB9083" w14:textId="4DE7CCE5" w:rsidR="007F7100" w:rsidRPr="005A55C3" w:rsidRDefault="007F7100" w:rsidP="00C7130A">
      <w:pPr>
        <w:rPr>
          <w:rtl/>
        </w:rPr>
      </w:pPr>
    </w:p>
    <w:p w14:paraId="50AC5677" w14:textId="21F0313B" w:rsidR="00931144" w:rsidRPr="005A55C3" w:rsidRDefault="00931144" w:rsidP="00C7130A">
      <w:pPr>
        <w:rPr>
          <w:rtl/>
        </w:rPr>
      </w:pPr>
      <w:r w:rsidRPr="005A55C3">
        <w:rPr>
          <w:rtl/>
        </w:rPr>
        <w:t xml:space="preserve">ثانيًا، حدث هذا قبل إعطاء الناموس الموسوي بفترةٍ طويلة. هذا لافتٌ للنظر جدًّا، لأنّ إبراهيم، أبا الشعب اليهودي، لم يخلص أو يُحسَب "بارًّا" بسبب طاعته للشريعة. ثالثًا، حدث هذا قبل أن يُختَن إبراهيم. فقد كان اليهود في زمن يسوع </w:t>
      </w:r>
      <w:r w:rsidRPr="005A55C3">
        <w:rPr>
          <w:rtl/>
        </w:rPr>
        <w:lastRenderedPageBreak/>
        <w:t xml:space="preserve">ينظرون إلى الختان باعتباره علامةً على التبرير، ولكنّ إبراهيم لم يُختَن إلا لاحقًا (تكوين 17: 24). ويكتب الرسول بولس أيضًا: </w:t>
      </w:r>
    </w:p>
    <w:p w14:paraId="59EE66C1" w14:textId="085660D3" w:rsidR="00931144" w:rsidRPr="005A55C3" w:rsidRDefault="00905292" w:rsidP="00C7130A">
      <w:pPr>
        <w:ind w:left="1008" w:right="1008"/>
        <w:rPr>
          <w:rtl/>
          <w:lang w:bidi="ar-JO"/>
        </w:rPr>
      </w:pPr>
      <w:r w:rsidRPr="005A55C3">
        <w:rPr>
          <w:vertAlign w:val="superscript"/>
          <w:rtl/>
          <w:lang w:bidi="ar-JO"/>
        </w:rPr>
        <w:t>9</w:t>
      </w:r>
      <w:r w:rsidRPr="005A55C3">
        <w:rPr>
          <w:rtl/>
          <w:lang w:bidi="ar-JO"/>
        </w:rPr>
        <w:t xml:space="preserve">أفهذا التطويب هو على الختان فقط، أم على الغرلة أيضًا؟ لأنّنا نقول إنّه حُسِب لإبراهيم الإيمانُ برًّا. </w:t>
      </w:r>
      <w:r w:rsidR="00D42462" w:rsidRPr="005A55C3">
        <w:rPr>
          <w:vertAlign w:val="superscript"/>
          <w:rtl/>
          <w:lang w:bidi="ar-JO"/>
        </w:rPr>
        <w:t>10</w:t>
      </w:r>
      <w:r w:rsidRPr="005A55C3">
        <w:rPr>
          <w:rtl/>
          <w:lang w:bidi="ar-JO"/>
        </w:rPr>
        <w:t xml:space="preserve">فكيف حُسِب؟ أوهو في الختان أم في الغرلة؟ ليس في الختان، بل في الغرلة! </w:t>
      </w:r>
      <w:r w:rsidR="00D42462" w:rsidRPr="005A55C3">
        <w:rPr>
          <w:vertAlign w:val="superscript"/>
          <w:rtl/>
          <w:lang w:bidi="ar-JO"/>
        </w:rPr>
        <w:t>11</w:t>
      </w:r>
      <w:r w:rsidRPr="005A55C3">
        <w:rPr>
          <w:rtl/>
          <w:lang w:bidi="ar-JO"/>
        </w:rPr>
        <w:t xml:space="preserve">وأخذ علامة الختان ختمًا لبرّ الإيمان الذي كان في الغرلة، ليكون أبًا لجميع الذين يؤمنون وهم في الغرلة، كي يُحسَب لهم أيضًا البرُّ، </w:t>
      </w:r>
      <w:r w:rsidR="00D42462" w:rsidRPr="005A55C3">
        <w:rPr>
          <w:vertAlign w:val="superscript"/>
          <w:rtl/>
          <w:lang w:bidi="ar-JO"/>
        </w:rPr>
        <w:t>12</w:t>
      </w:r>
      <w:r w:rsidRPr="005A55C3">
        <w:rPr>
          <w:rtl/>
          <w:lang w:bidi="ar-JO"/>
        </w:rPr>
        <w:t>وأبًا للختان الذين ليسوا من الختان فقط، بل أيضًا يسلكون في خطوات إيمان أبينا إبراهيم الذي كان وهو في الغرلة. (رومية 4: 9-12؛ انظر 4: 18-25)</w:t>
      </w:r>
    </w:p>
    <w:p w14:paraId="412A6FA2" w14:textId="1373192F" w:rsidR="00931144" w:rsidRPr="005A55C3" w:rsidRDefault="00931144" w:rsidP="00C7130A">
      <w:pPr>
        <w:rPr>
          <w:rtl/>
        </w:rPr>
      </w:pPr>
    </w:p>
    <w:p w14:paraId="4199D6D9" w14:textId="303E4B75" w:rsidR="00D42462" w:rsidRPr="005A55C3" w:rsidRDefault="00D42462" w:rsidP="00C7130A">
      <w:pPr>
        <w:rPr>
          <w:rtl/>
        </w:rPr>
      </w:pPr>
      <w:r w:rsidRPr="005A55C3">
        <w:rPr>
          <w:rtl/>
        </w:rPr>
        <w:t xml:space="preserve">ليس مثال إبراهيم في تكوين 15: 6 لأجله وحده. ففي غلاطية 3: 6-9، </w:t>
      </w:r>
      <w:r w:rsidR="00894079" w:rsidRPr="005A55C3">
        <w:rPr>
          <w:rtl/>
        </w:rPr>
        <w:t>نرى</w:t>
      </w:r>
      <w:r w:rsidRPr="005A55C3">
        <w:rPr>
          <w:rtl/>
        </w:rPr>
        <w:t xml:space="preserve"> </w:t>
      </w:r>
      <w:r w:rsidR="00894079" w:rsidRPr="005A55C3">
        <w:rPr>
          <w:rtl/>
        </w:rPr>
        <w:t xml:space="preserve">أن </w:t>
      </w:r>
      <w:r w:rsidRPr="005A55C3">
        <w:rPr>
          <w:rtl/>
        </w:rPr>
        <w:t xml:space="preserve">ما حدث مع إبراهيم </w:t>
      </w:r>
      <w:r w:rsidR="00894079" w:rsidRPr="005A55C3">
        <w:rPr>
          <w:rtl/>
        </w:rPr>
        <w:t xml:space="preserve">صار </w:t>
      </w:r>
      <w:r w:rsidRPr="005A55C3">
        <w:rPr>
          <w:rtl/>
        </w:rPr>
        <w:t xml:space="preserve">النموذج للآخرين جميعًا في التاريخ، لليهود والأمم. يكتب الرسول بولس: </w:t>
      </w:r>
    </w:p>
    <w:p w14:paraId="0ACBFC5D" w14:textId="1464204D" w:rsidR="00D42462" w:rsidRPr="005A55C3" w:rsidRDefault="00D42462" w:rsidP="00C7130A">
      <w:pPr>
        <w:ind w:left="1008" w:right="1008"/>
        <w:rPr>
          <w:rtl/>
        </w:rPr>
      </w:pPr>
      <w:r w:rsidRPr="005A55C3">
        <w:rPr>
          <w:vertAlign w:val="superscript"/>
          <w:rtl/>
        </w:rPr>
        <w:t>6</w:t>
      </w:r>
      <w:r w:rsidRPr="005A55C3">
        <w:rPr>
          <w:rtl/>
        </w:rPr>
        <w:t xml:space="preserve">كما "آمن إبراهيم بالله فحُسِب له برًّا." </w:t>
      </w:r>
      <w:r w:rsidRPr="005A55C3">
        <w:rPr>
          <w:vertAlign w:val="superscript"/>
          <w:rtl/>
        </w:rPr>
        <w:t>7</w:t>
      </w:r>
      <w:r w:rsidRPr="005A55C3">
        <w:rPr>
          <w:rtl/>
        </w:rPr>
        <w:t xml:space="preserve">اعلموا إذًا أنّ الذين هم من الإيمان أولئك هم بنو إبراهيم. </w:t>
      </w:r>
      <w:r w:rsidRPr="005A55C3">
        <w:rPr>
          <w:vertAlign w:val="superscript"/>
          <w:rtl/>
        </w:rPr>
        <w:t>8</w:t>
      </w:r>
      <w:r w:rsidRPr="005A55C3">
        <w:rPr>
          <w:rtl/>
        </w:rPr>
        <w:t xml:space="preserve">والكتاب إذ سبق فرأى أنّ الله بالإيمان يبرِّر الأمم، سبق فبشَّر إبراهيم أنْ "فيك تتبارك جميع الأمم." </w:t>
      </w:r>
      <w:r w:rsidRPr="005A55C3">
        <w:rPr>
          <w:vertAlign w:val="superscript"/>
          <w:rtl/>
        </w:rPr>
        <w:t>9</w:t>
      </w:r>
      <w:r w:rsidRPr="005A55C3">
        <w:rPr>
          <w:rtl/>
        </w:rPr>
        <w:t>إذًا الذين هم من الإيمان يتباركون مع إبراهيم المؤمن.</w:t>
      </w:r>
    </w:p>
    <w:p w14:paraId="7DCF9BC1" w14:textId="6037D55B" w:rsidR="00D42462" w:rsidRPr="005A55C3" w:rsidRDefault="00D42462" w:rsidP="00C7130A">
      <w:pPr>
        <w:rPr>
          <w:rtl/>
        </w:rPr>
      </w:pPr>
    </w:p>
    <w:p w14:paraId="5900E46A" w14:textId="1D7C9F74" w:rsidR="00D42462" w:rsidRPr="005A55C3" w:rsidRDefault="00D42462" w:rsidP="00C7130A">
      <w:pPr>
        <w:rPr>
          <w:rtl/>
        </w:rPr>
      </w:pPr>
      <w:r w:rsidRPr="005A55C3">
        <w:rPr>
          <w:rtl/>
        </w:rPr>
        <w:t>والسؤال الذي يمكن أن يُثار هنا هو: "ولكن ما الذي عرفه إبراهيم عن عمل المسيح الذبيحي؟" مثيرٌ ما نقرأه عن قول يسوع في يوحنا 8: 56 حين كان يواجه ويردّ على اليهود غير المؤمنين: "أبوكم إبراهيم تهلَّل بأن يرى يومي، فرأى وفرح." ينبغي ألّا يُفهَم</w:t>
      </w:r>
      <w:r w:rsidR="005653D6" w:rsidRPr="005A55C3">
        <w:rPr>
          <w:rtl/>
        </w:rPr>
        <w:t xml:space="preserve"> من</w:t>
      </w:r>
      <w:r w:rsidRPr="005A55C3">
        <w:rPr>
          <w:rtl/>
        </w:rPr>
        <w:t xml:space="preserve"> هذا أنّ إبراهيم عرف أنّ المسيا سيأتي في شخصٍ يسوع المسيح. فأنا أقترح أنّ الراجح أن يسوع كان يُشير إلى ما اختبره إبراهيم حين امتُحِن </w:t>
      </w:r>
      <w:r w:rsidR="005653D6" w:rsidRPr="005A55C3">
        <w:rPr>
          <w:rtl/>
        </w:rPr>
        <w:t>في تقديم</w:t>
      </w:r>
      <w:r w:rsidRPr="005A55C3">
        <w:rPr>
          <w:rtl/>
        </w:rPr>
        <w:t xml:space="preserve"> ابنه إسحاق "</w:t>
      </w:r>
      <w:r w:rsidR="0047444D" w:rsidRPr="005A55C3">
        <w:rPr>
          <w:rtl/>
        </w:rPr>
        <w:t>على الحطب" (تكوين 22). فق</w:t>
      </w:r>
      <w:r w:rsidR="005653D6" w:rsidRPr="005A55C3">
        <w:rPr>
          <w:rtl/>
        </w:rPr>
        <w:t>د</w:t>
      </w:r>
      <w:r w:rsidR="0047444D" w:rsidRPr="005A55C3">
        <w:rPr>
          <w:rtl/>
        </w:rPr>
        <w:t xml:space="preserve"> أوقف الله إبراهيم عن أن يقدِّم "ابنه وحيده</w:t>
      </w:r>
      <w:r w:rsidR="005653D6" w:rsidRPr="005A55C3">
        <w:rPr>
          <w:rtl/>
        </w:rPr>
        <w:t>،</w:t>
      </w:r>
      <w:r w:rsidR="0047444D" w:rsidRPr="005A55C3">
        <w:rPr>
          <w:rtl/>
        </w:rPr>
        <w:t xml:space="preserve">" ونتيجةً لهذا، أعطى إبراهيم اسمًا لذلك المكان: "يهوه يرأه،" أي "الله سوف يعطي" (تكوين 22: 14). وقد أشار الله إلى وجود ارتباط بين طاعة إبراهيم في تقديم إسحاق، وتتميم الوعد الذي سيأتي في نسل إبراهيم المستقبلي: </w:t>
      </w:r>
    </w:p>
    <w:p w14:paraId="50945B07" w14:textId="60B228D7" w:rsidR="0047444D" w:rsidRPr="005A55C3" w:rsidRDefault="0047444D" w:rsidP="00C7130A">
      <w:pPr>
        <w:ind w:left="1008" w:right="1008"/>
        <w:rPr>
          <w:rtl/>
        </w:rPr>
      </w:pPr>
      <w:r w:rsidRPr="005A55C3">
        <w:rPr>
          <w:vertAlign w:val="superscript"/>
          <w:rtl/>
        </w:rPr>
        <w:t>16</w:t>
      </w:r>
      <w:r w:rsidRPr="005A55C3">
        <w:rPr>
          <w:rtl/>
        </w:rPr>
        <w:t xml:space="preserve">... بذاتي أقسمتُ، يقول الرب، أنّي من أجلِ أنّك فعلتَ هذا الأمر، ولم تُمسِك ابنَك وحيدك، </w:t>
      </w:r>
      <w:r w:rsidRPr="005A55C3">
        <w:rPr>
          <w:vertAlign w:val="superscript"/>
          <w:rtl/>
        </w:rPr>
        <w:t>17</w:t>
      </w:r>
      <w:r w:rsidRPr="005A55C3">
        <w:rPr>
          <w:rtl/>
        </w:rPr>
        <w:t xml:space="preserve">أباركك مباركةً، وأكثِّر نسلك تكثيرًا، كنجوم السماء وكالرمل الذي على شاطئ البحر، ويرث نسلك بابَ أعدائه، </w:t>
      </w:r>
      <w:r w:rsidRPr="005A55C3">
        <w:rPr>
          <w:vertAlign w:val="superscript"/>
          <w:rtl/>
        </w:rPr>
        <w:t>18</w:t>
      </w:r>
      <w:r w:rsidRPr="005A55C3">
        <w:rPr>
          <w:rtl/>
        </w:rPr>
        <w:t>ويتبارك في نسلك جميعُ أمم الأرض، من أجلِ أنّك سمعتَ لقولي. (تكوين 22: 16-18)</w:t>
      </w:r>
    </w:p>
    <w:p w14:paraId="6310B816" w14:textId="3A14E167" w:rsidR="00D42462" w:rsidRPr="005A55C3" w:rsidRDefault="0047444D" w:rsidP="00C7130A">
      <w:pPr>
        <w:rPr>
          <w:rtl/>
        </w:rPr>
      </w:pPr>
      <w:r w:rsidRPr="005A55C3">
        <w:rPr>
          <w:rtl/>
        </w:rPr>
        <w:t>وبهذا، نظر إبراهيم بالإيمان إلى "ابن</w:t>
      </w:r>
      <w:r w:rsidR="00031330" w:rsidRPr="005A55C3">
        <w:rPr>
          <w:rtl/>
        </w:rPr>
        <w:t>ٍ</w:t>
      </w:r>
      <w:r w:rsidRPr="005A55C3">
        <w:rPr>
          <w:rtl/>
        </w:rPr>
        <w:t xml:space="preserve"> وحيد" آخر سيصير يومًا ما </w:t>
      </w:r>
      <w:r w:rsidR="00031330" w:rsidRPr="005A55C3">
        <w:rPr>
          <w:rtl/>
        </w:rPr>
        <w:t>مصدر البركة الإلهية لكلّ العالم، مع أنّه لم يعرف</w:t>
      </w:r>
      <w:r w:rsidR="000F0D72" w:rsidRPr="005A55C3">
        <w:rPr>
          <w:rtl/>
        </w:rPr>
        <w:t xml:space="preserve"> أنّ اسمه سيكون يسوعَ الناصر</w:t>
      </w:r>
      <w:r w:rsidR="005653D6" w:rsidRPr="005A55C3">
        <w:rPr>
          <w:rtl/>
        </w:rPr>
        <w:t>ي</w:t>
      </w:r>
      <w:r w:rsidR="000F0D72" w:rsidRPr="005A55C3">
        <w:rPr>
          <w:rtl/>
        </w:rPr>
        <w:t xml:space="preserve">. </w:t>
      </w:r>
    </w:p>
    <w:p w14:paraId="13D2A719" w14:textId="3F08D14A" w:rsidR="0047444D" w:rsidRPr="00C7130A" w:rsidRDefault="0047444D" w:rsidP="00C7130A">
      <w:pPr>
        <w:rPr>
          <w:sz w:val="26"/>
          <w:szCs w:val="26"/>
          <w:rtl/>
        </w:rPr>
      </w:pPr>
    </w:p>
    <w:p w14:paraId="5051D6AE" w14:textId="447C8FA8" w:rsidR="000F0D72" w:rsidRPr="00C7130A" w:rsidRDefault="000F0D72" w:rsidP="000558B7">
      <w:pPr>
        <w:pStyle w:val="Heading3"/>
        <w:rPr>
          <w:rtl/>
        </w:rPr>
      </w:pPr>
      <w:bookmarkStart w:id="199" w:name="_Toc193031005"/>
      <w:r w:rsidRPr="00C7130A">
        <w:rPr>
          <w:rtl/>
        </w:rPr>
        <w:t>الخلاص في فترة الناموس الموسوي (خروج 19 وحتّى الصليب)</w:t>
      </w:r>
      <w:bookmarkEnd w:id="199"/>
      <w:r w:rsidRPr="00C7130A">
        <w:rPr>
          <w:rtl/>
        </w:rPr>
        <w:t xml:space="preserve"> </w:t>
      </w:r>
    </w:p>
    <w:p w14:paraId="799FFBBE" w14:textId="074DEAD7" w:rsidR="000F0D72" w:rsidRPr="00B831DF" w:rsidRDefault="000F0D72" w:rsidP="00C7130A">
      <w:pPr>
        <w:rPr>
          <w:rtl/>
        </w:rPr>
      </w:pPr>
      <w:r w:rsidRPr="00B831DF">
        <w:rPr>
          <w:rtl/>
        </w:rPr>
        <w:lastRenderedPageBreak/>
        <w:t>بعد خروج العبرانيّين من مصر عام 1446 ق.م.، أتوا إلى جبل سيناء، حيث تلقّى موسى الشريعة من الله. وافق الشعب على أن يحفظوا شريعة الله، التي كانت تتألَّف من 613 وصيّة، فدخلوا في العهد القديم مع الله. ولكنْ لم يُقصَد أن يكون ناموس موسى طريقة</w:t>
      </w:r>
      <w:r w:rsidR="005653D6" w:rsidRPr="00B831DF">
        <w:rPr>
          <w:rtl/>
        </w:rPr>
        <w:t>ً</w:t>
      </w:r>
      <w:r w:rsidRPr="00B831DF">
        <w:rPr>
          <w:rtl/>
        </w:rPr>
        <w:t xml:space="preserve"> لنوال الخلاص الشخصي، لأنّ هذا سيعني خلاصًا بالأعمال. وقد كان أساس الخلاص "بالنعمة من خلال الإيمان،" وهو ما يتوافق مع مثال إبراهيم في تكوين 15: 6 (قارن مع غلاطية 3: 17). كانت للشريعة مقاصد عديدة غير منح الخلاص، وأحد هذه المقاصد تعليم الشعب كيف ينبغي أن يعيشوا لينالوا بركة الله في الأرض كشركاء في العهد الإبراهيم. ولكنْ لم يكن لحفظهم الشريعة أيّة قيمة خلاصية. ويوضِّح العهد الجديد هذا الأمر: </w:t>
      </w:r>
    </w:p>
    <w:p w14:paraId="7D2AB74D" w14:textId="7A9BFD73" w:rsidR="000F0D72" w:rsidRPr="00B831DF" w:rsidRDefault="000F0D72" w:rsidP="00C7130A">
      <w:pPr>
        <w:ind w:left="1008" w:right="1008"/>
        <w:rPr>
          <w:rtl/>
        </w:rPr>
      </w:pPr>
      <w:r w:rsidRPr="00B831DF">
        <w:rPr>
          <w:rtl/>
        </w:rPr>
        <w:t>إذْ نعلم أن</w:t>
      </w:r>
      <w:r w:rsidR="005653D6" w:rsidRPr="00B831DF">
        <w:rPr>
          <w:rtl/>
        </w:rPr>
        <w:t>َّ</w:t>
      </w:r>
      <w:r w:rsidRPr="00B831DF">
        <w:rPr>
          <w:rtl/>
        </w:rPr>
        <w:t xml:space="preserve"> الإنسان لا يتبرَّر بأعمال الناموس، بل بإيمان يسوع المسيح. آمنّا نحنُ أيضًا بيسوع المسيح، لنتبرَّر بإيمان يسوع، لا بأعمال الناموس، لأنّه بأعمال الناموس لا يتبرَّر جسدٌ ما. (غلاطية 2: 16)</w:t>
      </w:r>
    </w:p>
    <w:p w14:paraId="70D37905" w14:textId="3F33C9C5" w:rsidR="000F0D72" w:rsidRPr="00B831DF" w:rsidRDefault="000F0D72" w:rsidP="00C7130A">
      <w:pPr>
        <w:rPr>
          <w:rtl/>
        </w:rPr>
      </w:pPr>
    </w:p>
    <w:p w14:paraId="40D06801" w14:textId="7416B3F6" w:rsidR="000F0D72" w:rsidRPr="00B831DF" w:rsidRDefault="000F0D72" w:rsidP="00C7130A">
      <w:pPr>
        <w:rPr>
          <w:rtl/>
        </w:rPr>
      </w:pPr>
      <w:r w:rsidRPr="00B831DF">
        <w:rPr>
          <w:rtl/>
        </w:rPr>
        <w:t xml:space="preserve">واستمرّ الرسول بولس في الحديث فقال: "لستُ أُبطِل نعمة الله. لأنّه إن كان بالناموس برٌّ، فالمسيح إذًا مات بلا سبب!" (غلاطية 2: 21). وهكذا، </w:t>
      </w:r>
      <w:r w:rsidR="005653D6" w:rsidRPr="00B831DF">
        <w:rPr>
          <w:rtl/>
        </w:rPr>
        <w:t xml:space="preserve">لم تُمنَح </w:t>
      </w:r>
      <w:r w:rsidRPr="00B831DF">
        <w:rPr>
          <w:rtl/>
        </w:rPr>
        <w:t xml:space="preserve">هبة البرّ (كتلك التي نالها إبراهيم) </w:t>
      </w:r>
      <w:r w:rsidR="004F6EA2" w:rsidRPr="00B831DF">
        <w:rPr>
          <w:rtl/>
        </w:rPr>
        <w:t xml:space="preserve">على أساس جهد الإنسان في سعيه </w:t>
      </w:r>
      <w:r w:rsidR="005653D6" w:rsidRPr="00B831DF">
        <w:rPr>
          <w:rtl/>
        </w:rPr>
        <w:t xml:space="preserve">إلى </w:t>
      </w:r>
      <w:r w:rsidR="004F6EA2" w:rsidRPr="00B831DF">
        <w:rPr>
          <w:rtl/>
        </w:rPr>
        <w:t xml:space="preserve">أن يعيش بحسب متطلَّبات الناموس. </w:t>
      </w:r>
    </w:p>
    <w:p w14:paraId="32600548" w14:textId="2602E0FA" w:rsidR="000F0D72" w:rsidRPr="00B831DF" w:rsidRDefault="004F6EA2" w:rsidP="00C7130A">
      <w:pPr>
        <w:rPr>
          <w:rtl/>
        </w:rPr>
      </w:pPr>
      <w:r w:rsidRPr="00B831DF">
        <w:rPr>
          <w:rtl/>
        </w:rPr>
        <w:t xml:space="preserve">القصد الثاني للناموس هو إدانة الذي لا يحفظه. فتبرير الله (أي أن يعلِن الله شخصًا أنّه "بارّ") لا يمكن أن يتحقَّق إلا بالإيمان، وليس بحفظ الناموس. </w:t>
      </w:r>
    </w:p>
    <w:p w14:paraId="434BC10A" w14:textId="230B9663" w:rsidR="004F6EA2" w:rsidRPr="00B831DF" w:rsidRDefault="004F6EA2" w:rsidP="00C7130A">
      <w:pPr>
        <w:ind w:left="1008" w:right="1008"/>
        <w:rPr>
          <w:rtl/>
        </w:rPr>
      </w:pPr>
      <w:r w:rsidRPr="00B831DF">
        <w:rPr>
          <w:vertAlign w:val="superscript"/>
          <w:rtl/>
        </w:rPr>
        <w:t>10</w:t>
      </w:r>
      <w:r w:rsidRPr="00B831DF">
        <w:rPr>
          <w:rtl/>
        </w:rPr>
        <w:t>لأنّ جميع الذين هم من أعمال النّاموس هم تحتَ لعنة، لأنّه مكتوب: "ملعونٌ كلُّ من لا يثب</w:t>
      </w:r>
      <w:r w:rsidR="005653D6" w:rsidRPr="00B831DF">
        <w:rPr>
          <w:rtl/>
        </w:rPr>
        <w:t>ُ</w:t>
      </w:r>
      <w:r w:rsidRPr="00B831DF">
        <w:rPr>
          <w:rtl/>
        </w:rPr>
        <w:t>ت في جميع ما هو مكتوب في كتاب النامو</w:t>
      </w:r>
      <w:r w:rsidR="005653D6" w:rsidRPr="00B831DF">
        <w:rPr>
          <w:rtl/>
        </w:rPr>
        <w:t>س</w:t>
      </w:r>
      <w:r w:rsidRPr="00B831DF">
        <w:rPr>
          <w:rtl/>
        </w:rPr>
        <w:t xml:space="preserve"> ليعمل به." </w:t>
      </w:r>
      <w:r w:rsidRPr="00B831DF">
        <w:rPr>
          <w:vertAlign w:val="superscript"/>
          <w:rtl/>
        </w:rPr>
        <w:t>11</w:t>
      </w:r>
      <w:r w:rsidRPr="00B831DF">
        <w:rPr>
          <w:rtl/>
        </w:rPr>
        <w:t>ولكنْ أنْ ليس أحدٌ يتبرَّر بالناموس عند الله فظاهر</w:t>
      </w:r>
      <w:r w:rsidR="005653D6" w:rsidRPr="00B831DF">
        <w:rPr>
          <w:rtl/>
        </w:rPr>
        <w:t>ٌ</w:t>
      </w:r>
      <w:r w:rsidRPr="00B831DF">
        <w:rPr>
          <w:rtl/>
        </w:rPr>
        <w:t xml:space="preserve">، لأنّ "البارّ بالإيمان يحيا." </w:t>
      </w:r>
      <w:r w:rsidRPr="00B831DF">
        <w:rPr>
          <w:vertAlign w:val="superscript"/>
          <w:rtl/>
        </w:rPr>
        <w:t>12</w:t>
      </w:r>
      <w:r w:rsidRPr="00B831DF">
        <w:rPr>
          <w:rtl/>
        </w:rPr>
        <w:t>ولكنّ الناموس ليس من الإيمان، بل "الإنسان الذي يفعلها سيحيا بها."</w:t>
      </w:r>
    </w:p>
    <w:p w14:paraId="6F8D0CCA" w14:textId="1130A1D0" w:rsidR="004F6EA2" w:rsidRPr="00B831DF" w:rsidRDefault="004F6EA2" w:rsidP="00C7130A">
      <w:pPr>
        <w:rPr>
          <w:rtl/>
        </w:rPr>
      </w:pPr>
    </w:p>
    <w:p w14:paraId="11BC68EE" w14:textId="7C754D1E" w:rsidR="004F6EA2" w:rsidRPr="00B831DF" w:rsidRDefault="004F6EA2" w:rsidP="00C7130A">
      <w:pPr>
        <w:rPr>
          <w:rtl/>
          <w:lang w:bidi="ar-JO"/>
        </w:rPr>
      </w:pPr>
      <w:r w:rsidRPr="00B831DF">
        <w:rPr>
          <w:rtl/>
        </w:rPr>
        <w:t>خلال فترة الناموس الموسوي، إن أخطأ أحدٌ، يمكن أن ينال الغفران ويُسترَدّ إلى الشركة مع الله بتقديمه الذبيحة المناسبة. كانت هذه القرابين "رائحة السرور"، التي هي ذبائح الخطية (لاويّين 4: 1 – 5: 13)، وذبائح الإثم (لاويّين 5: 14 – 6: 7). ولكنّ هذا النوع من الغفران لم يكن يختصّ بالخلاص الأبدي</w:t>
      </w:r>
      <w:r w:rsidR="005653D6" w:rsidRPr="00B831DF">
        <w:rPr>
          <w:rtl/>
        </w:rPr>
        <w:t>ّ</w:t>
      </w:r>
      <w:r w:rsidRPr="00B831DF">
        <w:rPr>
          <w:rtl/>
        </w:rPr>
        <w:t xml:space="preserve"> من عقاب الخطية، بل كان</w:t>
      </w:r>
      <w:r w:rsidR="005653D6" w:rsidRPr="00B831DF">
        <w:rPr>
          <w:rtl/>
        </w:rPr>
        <w:t>ت</w:t>
      </w:r>
      <w:r w:rsidRPr="00B831DF">
        <w:rPr>
          <w:rtl/>
        </w:rPr>
        <w:t xml:space="preserve"> لأجل غفرانٍ زمني</w:t>
      </w:r>
      <w:r w:rsidR="004839C3" w:rsidRPr="00B831DF">
        <w:rPr>
          <w:rtl/>
        </w:rPr>
        <w:t>ٍّ</w:t>
      </w:r>
      <w:r w:rsidRPr="00B831DF">
        <w:rPr>
          <w:rtl/>
        </w:rPr>
        <w:t xml:space="preserve"> ليُسترَدّ المرء إلى الشركة مع الله ويُقبَل في شركة العابدين. </w:t>
      </w:r>
      <w:r w:rsidR="004868EC" w:rsidRPr="00B831DF">
        <w:rPr>
          <w:rtl/>
          <w:lang w:bidi="ar-JO"/>
        </w:rPr>
        <w:t xml:space="preserve">[هذا يقابل الاعتراف عند المسيحيّين اليوم بناءً على 1يوحنا 1: 9.] وبالإضافة إلى ذبيحة دمويّة، يُفترَض أنّ الذي يسعى إلى إصلاح العلاقة مع الله سيأتي بالإيمان وإخلاص وقلب تائب. </w:t>
      </w:r>
      <w:r w:rsidR="00F408F4" w:rsidRPr="00B831DF">
        <w:rPr>
          <w:rtl/>
          <w:lang w:bidi="ar-JO"/>
        </w:rPr>
        <w:t xml:space="preserve">ولكنْ ينبغي عدم الخلط بين هذا الغفران الزمني وطريقة الخلاص الأبدي. فحسب عبرانيين 10: 4، "لأنّه لا يمكن أنّ دم ثيرانٍ وتيوس يرفع خطايا." فكلّ ما كانت الذبائح الحيوانيّة تعمله هو أن تُشير إلى الذبيحة </w:t>
      </w:r>
      <w:r w:rsidR="004839C3" w:rsidRPr="00B831DF">
        <w:rPr>
          <w:rtl/>
          <w:lang w:bidi="ar-JO"/>
        </w:rPr>
        <w:t>العظمى</w:t>
      </w:r>
      <w:r w:rsidR="00F408F4" w:rsidRPr="00B831DF">
        <w:rPr>
          <w:rtl/>
          <w:lang w:bidi="ar-JO"/>
        </w:rPr>
        <w:t xml:space="preserve"> التي ستأتي نتيجةً لسفك المسيح دمه. وداود، الذي حكم ملكًا خلال زمن الناموس، يتحدَّث عن مسألة الغفران الأبدي للخطايا في قوله: </w:t>
      </w:r>
    </w:p>
    <w:p w14:paraId="10170DA0" w14:textId="6368096F" w:rsidR="00F408F4" w:rsidRPr="00B831DF" w:rsidRDefault="00F408F4" w:rsidP="00C7130A">
      <w:pPr>
        <w:ind w:left="1008" w:right="1008"/>
        <w:rPr>
          <w:rtl/>
          <w:lang w:bidi="ar-JO"/>
        </w:rPr>
      </w:pPr>
      <w:r w:rsidRPr="00B831DF">
        <w:rPr>
          <w:rtl/>
          <w:lang w:bidi="ar-JO"/>
        </w:rPr>
        <w:lastRenderedPageBreak/>
        <w:t xml:space="preserve">طوبى للذي غُفِر اثمه وسُتِرت خطيّته. طوبى لرجلٍ لا يحسب له الربّ خطيّة، ولا </w:t>
      </w:r>
      <w:r w:rsidR="004839C3" w:rsidRPr="00B831DF">
        <w:rPr>
          <w:rtl/>
          <w:lang w:bidi="ar-JO"/>
        </w:rPr>
        <w:t xml:space="preserve">في </w:t>
      </w:r>
      <w:r w:rsidRPr="00B831DF">
        <w:rPr>
          <w:rtl/>
          <w:lang w:bidi="ar-JO"/>
        </w:rPr>
        <w:t>روحه غشّ! (مزمور 32: 1-2)</w:t>
      </w:r>
    </w:p>
    <w:p w14:paraId="7C52FEFF" w14:textId="170D7BF1" w:rsidR="004F6EA2" w:rsidRPr="00B831DF" w:rsidRDefault="004F6EA2" w:rsidP="00C7130A">
      <w:pPr>
        <w:rPr>
          <w:rtl/>
        </w:rPr>
      </w:pPr>
    </w:p>
    <w:p w14:paraId="7B589767" w14:textId="1452BD33" w:rsidR="004F6EA2" w:rsidRPr="00B831DF" w:rsidRDefault="00F408F4" w:rsidP="00C7130A">
      <w:pPr>
        <w:rPr>
          <w:rtl/>
        </w:rPr>
      </w:pPr>
      <w:r w:rsidRPr="00B831DF">
        <w:rPr>
          <w:rtl/>
        </w:rPr>
        <w:t>الكلمة العبرية المُترجمة إلى "يحسب" هي الفعل نفسه المُستخدم في تكوين 15: 6 في الحديث عن إبراهيم. فالرب</w:t>
      </w:r>
      <w:r w:rsidR="004839C3" w:rsidRPr="00B831DF">
        <w:rPr>
          <w:rtl/>
        </w:rPr>
        <w:t>ّ</w:t>
      </w:r>
      <w:r w:rsidRPr="00B831DF">
        <w:rPr>
          <w:rtl/>
        </w:rPr>
        <w:t xml:space="preserve"> "حس</w:t>
      </w:r>
      <w:r w:rsidR="004839C3" w:rsidRPr="00B831DF">
        <w:rPr>
          <w:rtl/>
        </w:rPr>
        <w:t>ِ</w:t>
      </w:r>
      <w:r w:rsidRPr="00B831DF">
        <w:rPr>
          <w:rtl/>
        </w:rPr>
        <w:t>ب" البرّ له. وهكذا، فإنّ آية مزمور 32: 2 هي الوجه الآخر</w:t>
      </w:r>
      <w:r w:rsidR="004839C3" w:rsidRPr="00B831DF">
        <w:rPr>
          <w:rtl/>
        </w:rPr>
        <w:t>، إذْ</w:t>
      </w:r>
      <w:r w:rsidRPr="00B831DF">
        <w:rPr>
          <w:rtl/>
        </w:rPr>
        <w:t xml:space="preserve"> تُشير إلى حسبان بر الله بدل حسبان الإثم والخطيّة (انظر رومية 4: 6-8). وبعمل الله هذا، تُغفر خطية الإنسان إلى الأبد. ولكنّ إنْ ارتكب هذا الإنسان خطيّة، وهو يعيش تحتَ الناموس، فإنّه يُتوقَّع منه أن يأتي بذبيحة</w:t>
      </w:r>
      <w:r w:rsidR="004839C3" w:rsidRPr="00B831DF">
        <w:rPr>
          <w:rtl/>
        </w:rPr>
        <w:t>ٍ</w:t>
      </w:r>
      <w:r w:rsidRPr="00B831DF">
        <w:rPr>
          <w:rtl/>
        </w:rPr>
        <w:t xml:space="preserve"> مناسبة لنوال الغفران الزمني واسترداد العلاقة مع الله، كما يُوصَف أعلاه. </w:t>
      </w:r>
    </w:p>
    <w:p w14:paraId="12E04B69" w14:textId="2EDB24A0" w:rsidR="004F6EA2" w:rsidRPr="00B831DF" w:rsidRDefault="00310E38" w:rsidP="00C7130A">
      <w:pPr>
        <w:rPr>
          <w:rtl/>
        </w:rPr>
      </w:pPr>
      <w:r w:rsidRPr="00B831DF">
        <w:rPr>
          <w:rtl/>
        </w:rPr>
        <w:t>بقي الناموس الموسوي ساريًا حوالي 1500 سنة (1446 ق.م. – 33 م). وخلال هذه الفترة، استمرّ الإعلان التدريجي بشأن المسيا الآتي، ولذا ازداد ما يمكن معرفته أكثر فأكثر (بالنسبة للذين كانوا يميِّزون ويدرِكون بصورة كافية). فإشعياء 53، مثلاً، كان مثلًا على ألم ومعاناة المسيا اللذين كانا متوقّ</w:t>
      </w:r>
      <w:r w:rsidR="004839C3" w:rsidRPr="00B831DF">
        <w:rPr>
          <w:rtl/>
        </w:rPr>
        <w:t>َ</w:t>
      </w:r>
      <w:r w:rsidRPr="00B831DF">
        <w:rPr>
          <w:rtl/>
        </w:rPr>
        <w:t>عين (مع أنّه يبدو أنّه لم يكن مفهومًا بصورة واضحة في ذلك الوقت). ولكنّنا نُخبَر بأن</w:t>
      </w:r>
      <w:r w:rsidR="004839C3" w:rsidRPr="00B831DF">
        <w:rPr>
          <w:rtl/>
        </w:rPr>
        <w:t>َّ</w:t>
      </w:r>
      <w:r w:rsidRPr="00B831DF">
        <w:rPr>
          <w:rtl/>
        </w:rPr>
        <w:t xml:space="preserve"> أنبياء العهد القديم توقَّعوا مجيء المسي</w:t>
      </w:r>
      <w:r w:rsidR="004839C3" w:rsidRPr="00B831DF">
        <w:rPr>
          <w:rtl/>
        </w:rPr>
        <w:t>ّ</w:t>
      </w:r>
      <w:r w:rsidRPr="00B831DF">
        <w:rPr>
          <w:rtl/>
        </w:rPr>
        <w:t xml:space="preserve">ا وسعوا إلى فهم المزيد عن خدمته: </w:t>
      </w:r>
    </w:p>
    <w:p w14:paraId="55C78160" w14:textId="3CC363DF" w:rsidR="00310E38" w:rsidRPr="00B831DF" w:rsidRDefault="00310E38" w:rsidP="00C7130A">
      <w:pPr>
        <w:ind w:left="1008" w:right="1008"/>
        <w:rPr>
          <w:rtl/>
        </w:rPr>
      </w:pPr>
      <w:r w:rsidRPr="00B831DF">
        <w:rPr>
          <w:vertAlign w:val="superscript"/>
          <w:rtl/>
        </w:rPr>
        <w:t>10</w:t>
      </w:r>
      <w:r w:rsidRPr="00B831DF">
        <w:rPr>
          <w:rtl/>
        </w:rPr>
        <w:t xml:space="preserve">الخلاص الذي فتَّش عنه أنبياء، الذين تنبّأوا عن النعمة التي لأجلكم، </w:t>
      </w:r>
      <w:r w:rsidRPr="00B831DF">
        <w:rPr>
          <w:vertAlign w:val="superscript"/>
          <w:rtl/>
        </w:rPr>
        <w:t>11</w:t>
      </w:r>
      <w:r w:rsidRPr="00B831DF">
        <w:rPr>
          <w:rtl/>
        </w:rPr>
        <w:t xml:space="preserve">باحثين أيّ وقتٍ أو ما الوقت الذي كان يدل عليه روح المسيح الذي فيهم، إذْ سبق فشهد بالآلام التي للمسيح، والأمجاد التي بعدها، </w:t>
      </w:r>
      <w:r w:rsidR="004839C3" w:rsidRPr="00B831DF">
        <w:rPr>
          <w:vertAlign w:val="superscript"/>
          <w:rtl/>
        </w:rPr>
        <w:t>12</w:t>
      </w:r>
      <w:r w:rsidRPr="00B831DF">
        <w:rPr>
          <w:rtl/>
        </w:rPr>
        <w:t>الذين أُعلِن لهم أنّهم ليس لأنفسهم، بل لنا كانوا يخدمون بهذه الأمور التي أُخبِرتم بها أنتم الآن، بواسطة الذين بشّروكم في الروح القدس المُرسَل من السماء، التي تشتهي الملائكة أن تطّلع عليها. (1بطرس 1: 10-12)</w:t>
      </w:r>
    </w:p>
    <w:p w14:paraId="6115BBD1" w14:textId="7823D045" w:rsidR="00310E38" w:rsidRPr="00B831DF" w:rsidRDefault="00310E38" w:rsidP="00C7130A">
      <w:pPr>
        <w:rPr>
          <w:rtl/>
        </w:rPr>
      </w:pPr>
    </w:p>
    <w:p w14:paraId="10F9D464" w14:textId="24AF7DC5" w:rsidR="00310E38" w:rsidRPr="00B831DF" w:rsidRDefault="00310E38" w:rsidP="00C7130A">
      <w:pPr>
        <w:rPr>
          <w:rtl/>
          <w:lang w:bidi="ar-JO"/>
        </w:rPr>
      </w:pPr>
      <w:r w:rsidRPr="00B831DF">
        <w:rPr>
          <w:rtl/>
        </w:rPr>
        <w:t>خلال فترة خدمة يسوع ا</w:t>
      </w:r>
      <w:r w:rsidR="00F96D7D" w:rsidRPr="00B831DF">
        <w:rPr>
          <w:rtl/>
        </w:rPr>
        <w:t>لمسيح الأرضي</w:t>
      </w:r>
      <w:r w:rsidR="00A21E39" w:rsidRPr="00B831DF">
        <w:rPr>
          <w:rtl/>
        </w:rPr>
        <w:t>ّ</w:t>
      </w:r>
      <w:r w:rsidR="00F96D7D" w:rsidRPr="00B831DF">
        <w:rPr>
          <w:rtl/>
        </w:rPr>
        <w:t xml:space="preserve">ة، كان الناموس ساري المفعول، وكان على التلاميذ أن يحفظوا الناموس. وقبل ذلك الوقت، كان هناك توقُّع بشأن مجيء المسيا، ولكنْ لم تكن هناك معرفة أكيدة بشأن وقت مجيئه أو مَن سيكون بالضبط. ولكنّ بالنسبة إلى تلاميذ يسوع، أُعلِن لهم أنّ يسوع هو المسيا، وأنّ الخلاص ينبغي أن يكون على أساس الإيمان به. </w:t>
      </w:r>
      <w:r w:rsidR="00265205" w:rsidRPr="00B831DF">
        <w:rPr>
          <w:rtl/>
        </w:rPr>
        <w:t xml:space="preserve">ومع هذا، </w:t>
      </w:r>
      <w:r w:rsidR="00A21E39" w:rsidRPr="00B831DF">
        <w:rPr>
          <w:rtl/>
        </w:rPr>
        <w:t>و</w:t>
      </w:r>
      <w:r w:rsidR="00265205" w:rsidRPr="00B831DF">
        <w:rPr>
          <w:rtl/>
        </w:rPr>
        <w:t>كما أُشير سابقًا، كانوا يفتقرون إلى فهم موته وقيامته. ومع هذا، أوضح يسوع أن</w:t>
      </w:r>
      <w:r w:rsidR="00A21E39" w:rsidRPr="00B831DF">
        <w:rPr>
          <w:rtl/>
        </w:rPr>
        <w:t>َّ</w:t>
      </w:r>
      <w:r w:rsidR="00265205" w:rsidRPr="00B831DF">
        <w:rPr>
          <w:rtl/>
        </w:rPr>
        <w:t xml:space="preserve"> "الخلاص بالنعمة من خلال الإيمان،" الذي يُرى في إبراهيم</w:t>
      </w:r>
      <w:r w:rsidR="00A21E39" w:rsidRPr="00B831DF">
        <w:rPr>
          <w:rtl/>
        </w:rPr>
        <w:t>،</w:t>
      </w:r>
      <w:r w:rsidR="00265205" w:rsidRPr="00B831DF">
        <w:rPr>
          <w:rtl/>
        </w:rPr>
        <w:t xml:space="preserve"> ينبغي أن يكون الآن إيمانًا به هو. فمثلًا، يؤكِّد يوحنا 3: 36 على هذه الحقيقة: "الذي يؤمن بالابن له حياة أبديّة، والذي لا يؤمن بالابن لن يرى حياةً، بل يمكث عليه غضب الله" (قارن مع يوحنا 3: 16؛ 6: 40؛ 11: 25).  </w:t>
      </w:r>
    </w:p>
    <w:p w14:paraId="01F6B67A" w14:textId="6E96DA39" w:rsidR="00310E38" w:rsidRPr="00C7130A" w:rsidRDefault="00310E38" w:rsidP="00C7130A">
      <w:pPr>
        <w:rPr>
          <w:sz w:val="26"/>
          <w:szCs w:val="26"/>
          <w:rtl/>
        </w:rPr>
      </w:pPr>
    </w:p>
    <w:p w14:paraId="2C3EBF62" w14:textId="243EA8C6" w:rsidR="00265205" w:rsidRPr="00C7130A" w:rsidRDefault="00265205" w:rsidP="000558B7">
      <w:pPr>
        <w:pStyle w:val="Heading3"/>
        <w:rPr>
          <w:rtl/>
        </w:rPr>
      </w:pPr>
      <w:bookmarkStart w:id="200" w:name="_Toc193031006"/>
      <w:r w:rsidRPr="00C7130A">
        <w:rPr>
          <w:rtl/>
        </w:rPr>
        <w:t>ملاحظات ختاميّة بشأن الخلاص في العهد القديم</w:t>
      </w:r>
      <w:bookmarkStart w:id="201" w:name="_Hlk163487103"/>
      <w:bookmarkStart w:id="202" w:name="_Hlk178778743"/>
      <w:bookmarkEnd w:id="200"/>
    </w:p>
    <w:p w14:paraId="087F3040" w14:textId="366BE779" w:rsidR="00310E38" w:rsidRPr="00C7130A" w:rsidRDefault="00265205" w:rsidP="00B831DF">
      <w:pPr>
        <w:rPr>
          <w:rtl/>
        </w:rPr>
      </w:pPr>
      <w:r w:rsidRPr="00C7130A">
        <w:rPr>
          <w:rtl/>
        </w:rPr>
        <w:t xml:space="preserve">أساس </w:t>
      </w:r>
      <w:r w:rsidR="00981812" w:rsidRPr="00C7130A">
        <w:rPr>
          <w:rtl/>
        </w:rPr>
        <w:t>الخلاص في كل</w:t>
      </w:r>
      <w:r w:rsidR="00A21E39" w:rsidRPr="00C7130A">
        <w:rPr>
          <w:rtl/>
        </w:rPr>
        <w:t>ِّ</w:t>
      </w:r>
      <w:r w:rsidR="00981812" w:rsidRPr="00C7130A">
        <w:rPr>
          <w:rtl/>
        </w:rPr>
        <w:t xml:space="preserve"> زمن هو دم المسيح المسفوك على الصليب. ومع أنّ هذا لم يكن دائمًا واضحًا للبشر، فقد كان واضحًا من منظور الله. طبيعة الخلاص هي النعمة، التي فيها يكتسب الإنسان هبة ثمينة لا يستحق</w:t>
      </w:r>
      <w:r w:rsidR="00910186" w:rsidRPr="00C7130A">
        <w:rPr>
          <w:rtl/>
        </w:rPr>
        <w:t>ّ</w:t>
      </w:r>
      <w:r w:rsidR="00981812" w:rsidRPr="00C7130A">
        <w:rPr>
          <w:rtl/>
        </w:rPr>
        <w:t xml:space="preserve">ها. ومتطلَّب الخلاص هو دائمًا </w:t>
      </w:r>
      <w:r w:rsidR="00981812" w:rsidRPr="00C7130A">
        <w:rPr>
          <w:rtl/>
        </w:rPr>
        <w:lastRenderedPageBreak/>
        <w:t>الإيمان. فضيلة الإنسان (البرّ البشري) والأعمال الصالحة غير كافية لتخلِّص</w:t>
      </w:r>
      <w:r w:rsidR="00910186" w:rsidRPr="00C7130A">
        <w:rPr>
          <w:rtl/>
        </w:rPr>
        <w:t>ه</w:t>
      </w:r>
      <w:r w:rsidR="00981812" w:rsidRPr="00C7130A">
        <w:rPr>
          <w:rtl/>
        </w:rPr>
        <w:t>. يعلِّم الكتاب المُقدَّس أن</w:t>
      </w:r>
      <w:r w:rsidR="00910186" w:rsidRPr="00C7130A">
        <w:rPr>
          <w:rtl/>
        </w:rPr>
        <w:t>ّ</w:t>
      </w:r>
      <w:r w:rsidR="00981812" w:rsidRPr="00C7130A">
        <w:rPr>
          <w:rtl/>
        </w:rPr>
        <w:t xml:space="preserve"> الله </w:t>
      </w:r>
      <w:r w:rsidR="00910186" w:rsidRPr="00C7130A">
        <w:rPr>
          <w:rtl/>
        </w:rPr>
        <w:t xml:space="preserve">خلَّصنا </w:t>
      </w:r>
      <w:r w:rsidR="00981812" w:rsidRPr="00C7130A">
        <w:rPr>
          <w:rtl/>
        </w:rPr>
        <w:t>"لا بأعمالٍ في برٍّ عملناها نحنُ، بل بمقتضى رحمته" (تيطس 3: 5). وببساطة، لا يمكن أن يكون الخلاص شيئًا مُستحَقًّا، إذ لا يمكن نواله إلا هبة</w:t>
      </w:r>
      <w:r w:rsidR="00910186" w:rsidRPr="00C7130A">
        <w:rPr>
          <w:rtl/>
        </w:rPr>
        <w:t>ً</w:t>
      </w:r>
      <w:r w:rsidR="00981812" w:rsidRPr="00C7130A">
        <w:rPr>
          <w:rtl/>
        </w:rPr>
        <w:t xml:space="preserve"> من الله. يتغيَّر "محتوى" الإيمان مع تقدُّم الزمن، مع أنّه كان هناك ما يكفي من الإعلان من البداية بشأن ما يحتاج الإنسان إلى أن يفعله ليخلص. سيكون ضروريًّا أن يُحصَل على الخلاص بذبيحة (وهو ما حقَّقه المسيا نفسه في النهاية)، ونتيجة لإيمان الشخص بما كان الله قد أعلنه، يُحسَب "برٌّ" لذلك المؤمن، </w:t>
      </w:r>
      <w:r w:rsidR="00910186" w:rsidRPr="00C7130A">
        <w:rPr>
          <w:rtl/>
        </w:rPr>
        <w:t>أي</w:t>
      </w:r>
      <w:r w:rsidR="00981812" w:rsidRPr="00C7130A">
        <w:rPr>
          <w:rtl/>
        </w:rPr>
        <w:t xml:space="preserve"> أنّه يقف أمام الله "مبرَّرًا". </w:t>
      </w:r>
      <w:r w:rsidR="00910186" w:rsidRPr="00C7130A">
        <w:rPr>
          <w:rtl/>
        </w:rPr>
        <w:t xml:space="preserve">وأيضًا </w:t>
      </w:r>
      <w:r w:rsidR="00981812" w:rsidRPr="00C7130A">
        <w:rPr>
          <w:rtl/>
        </w:rPr>
        <w:t>كان محتوى الإيمان</w:t>
      </w:r>
      <w:r w:rsidR="00910186" w:rsidRPr="00C7130A">
        <w:rPr>
          <w:rtl/>
        </w:rPr>
        <w:t xml:space="preserve"> </w:t>
      </w:r>
      <w:r w:rsidR="00981812" w:rsidRPr="00C7130A">
        <w:rPr>
          <w:rtl/>
        </w:rPr>
        <w:t>تراكميًّا متّسعًا و</w:t>
      </w:r>
      <w:r w:rsidR="00DF6E22" w:rsidRPr="00C7130A">
        <w:rPr>
          <w:rtl/>
        </w:rPr>
        <w:t xml:space="preserve">يُضاف إليه من جيلٍ إلى آخر. وبعمل هذا، تصير الصورة أوضح، فتُشير إلى المسيا الآتي، ليَعلَن أخيرًا في شخص يسوع المسيح بموته وقيامه. </w:t>
      </w:r>
    </w:p>
    <w:p w14:paraId="27470B9A" w14:textId="77777777" w:rsidR="007F7100" w:rsidRPr="00C7130A" w:rsidRDefault="007F7100" w:rsidP="00C7130A">
      <w:pPr>
        <w:rPr>
          <w:sz w:val="22"/>
          <w:rtl/>
        </w:rPr>
      </w:pPr>
    </w:p>
    <w:p w14:paraId="501C2A1D" w14:textId="77777777" w:rsidR="008F7911" w:rsidRDefault="008F7911" w:rsidP="000558B7">
      <w:pPr>
        <w:pStyle w:val="Heading2B"/>
        <w:rPr>
          <w:rtl/>
        </w:rPr>
      </w:pPr>
      <w:bookmarkStart w:id="203" w:name="_Hlk157172468"/>
      <w:bookmarkStart w:id="204" w:name="_Hlk156573656"/>
      <w:bookmarkStart w:id="205" w:name="_Hlk156484874"/>
      <w:bookmarkEnd w:id="201"/>
    </w:p>
    <w:p w14:paraId="2EB579D3" w14:textId="762A4EC1" w:rsidR="00DF6E22" w:rsidRPr="00C7130A" w:rsidRDefault="00DF6E22" w:rsidP="000558B7">
      <w:pPr>
        <w:pStyle w:val="Heading2B"/>
        <w:rPr>
          <w:rtl/>
        </w:rPr>
      </w:pPr>
      <w:bookmarkStart w:id="206" w:name="_Toc193031007"/>
      <w:r w:rsidRPr="00C7130A">
        <w:rPr>
          <w:rtl/>
        </w:rPr>
        <w:t>الموضوع 3: خيمة الاجتماع في البرّيّة (خروج 25: 1 – 40: 38)</w:t>
      </w:r>
      <w:bookmarkEnd w:id="206"/>
    </w:p>
    <w:bookmarkEnd w:id="203"/>
    <w:bookmarkEnd w:id="204"/>
    <w:p w14:paraId="157E5C28" w14:textId="601BE0C8" w:rsidR="00432F08" w:rsidRPr="00005C98" w:rsidRDefault="00432F08"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r w:rsidRPr="00C7130A">
        <w:rPr>
          <w:rFonts w:eastAsia="Calibri"/>
          <w:b/>
          <w:caps/>
          <w:noProof/>
          <w:color w:val="006699"/>
          <w:kern w:val="0"/>
          <w:sz w:val="21"/>
          <w:szCs w:val="24"/>
          <w14:ligatures w14:val="none"/>
        </w:rPr>
        <w:drawing>
          <wp:inline distT="0" distB="0" distL="0" distR="0" wp14:anchorId="629CDEBB" wp14:editId="3719A04C">
            <wp:extent cx="613692" cy="541464"/>
            <wp:effectExtent l="0" t="0" r="0" b="0"/>
            <wp:docPr id="1175290864" name="Picture 1175290864"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DF6E22" w:rsidRPr="00005C98">
        <w:rPr>
          <w:rFonts w:eastAsia="Calibri"/>
          <w:bCs/>
          <w:caps/>
          <w:color w:val="006699"/>
          <w:kern w:val="0"/>
          <w:u w:val="single"/>
          <w:rtl/>
          <w14:ligatures w14:val="none"/>
        </w:rPr>
        <w:t>القراءة:</w:t>
      </w:r>
    </w:p>
    <w:p w14:paraId="2BA239A8" w14:textId="649BED3D" w:rsidR="00432F08" w:rsidRPr="00005C98" w:rsidRDefault="00F67B20"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005C98">
        <w:rPr>
          <w:rFonts w:eastAsia="Calibri"/>
          <w:kern w:val="0"/>
          <w14:ligatures w14:val="none"/>
        </w:rPr>
        <w:tab/>
      </w:r>
      <w:r w:rsidRPr="00005C98">
        <w:rPr>
          <w:rFonts w:eastAsia="Calibri"/>
          <w:kern w:val="0"/>
          <w14:ligatures w14:val="none"/>
        </w:rPr>
        <w:tab/>
      </w:r>
      <w:r w:rsidR="00DF6E22" w:rsidRPr="00005C98">
        <w:rPr>
          <w:rFonts w:eastAsia="Calibri"/>
          <w:kern w:val="0"/>
          <w:rtl/>
          <w14:ligatures w14:val="none"/>
        </w:rPr>
        <w:t xml:space="preserve">اقرأ خروج 25: 1 – 40: 38 في كتابك المُقدَّس. </w:t>
      </w:r>
    </w:p>
    <w:bookmarkEnd w:id="202"/>
    <w:bookmarkEnd w:id="205"/>
    <w:p w14:paraId="0226E2B8" w14:textId="45DDCE95" w:rsidR="002E1856" w:rsidRPr="00005C98" w:rsidRDefault="009C6517" w:rsidP="00C7130A">
      <w:pPr>
        <w:tabs>
          <w:tab w:val="left" w:pos="454"/>
        </w:tabs>
        <w:spacing w:after="60"/>
        <w:jc w:val="both"/>
        <w:rPr>
          <w:rFonts w:eastAsia="Times New Roman"/>
          <w:bCs/>
          <w:kern w:val="0"/>
          <w:rtl/>
          <w:lang w:bidi="ar-JO"/>
          <w14:ligatures w14:val="none"/>
        </w:rPr>
      </w:pPr>
      <w:r w:rsidRPr="009C6517">
        <w:rPr>
          <w:rFonts w:eastAsia="Times New Roman" w:hint="cs"/>
          <w:bCs/>
          <w:kern w:val="0"/>
          <w:sz w:val="44"/>
          <w:szCs w:val="44"/>
          <w:rtl/>
          <w:lang w:bidi="ar-JO"/>
          <w14:ligatures w14:val="none"/>
        </w:rPr>
        <w:t>1</w:t>
      </w:r>
      <w:r w:rsidR="002E1856" w:rsidRPr="00005C98">
        <w:rPr>
          <w:rFonts w:eastAsia="Times New Roman"/>
          <w:bCs/>
          <w:kern w:val="0"/>
          <w:rtl/>
          <w:lang w:bidi="ar-JO"/>
          <w14:ligatures w14:val="none"/>
        </w:rPr>
        <w:t>.</w:t>
      </w:r>
      <w:r w:rsidR="002E1856" w:rsidRPr="00005C98">
        <w:rPr>
          <w:rFonts w:eastAsia="Times New Roman"/>
          <w:bCs/>
          <w:kern w:val="0"/>
          <w:rtl/>
          <w:lang w:bidi="ar-JO"/>
          <w14:ligatures w14:val="none"/>
        </w:rPr>
        <w:tab/>
      </w:r>
      <w:r w:rsidR="002E1856" w:rsidRPr="009C6517">
        <w:rPr>
          <w:rStyle w:val="Heading3Char"/>
          <w:rtl/>
        </w:rPr>
        <w:t>مقدمة</w:t>
      </w:r>
      <w:r w:rsidR="002E1856" w:rsidRPr="00005C98">
        <w:rPr>
          <w:rFonts w:eastAsia="Times New Roman"/>
          <w:bCs/>
          <w:kern w:val="0"/>
          <w:rtl/>
          <w:lang w:bidi="ar-JO"/>
          <w14:ligatures w14:val="none"/>
        </w:rPr>
        <w:t xml:space="preserve"> </w:t>
      </w:r>
    </w:p>
    <w:p w14:paraId="28D455FB"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يركّز هذا القسم الأخير من سفر الخروج على خيمة الاجتماع التي أوعز الله للشعب بأن يبنوها.  ويشكّل هذا في حقيقة الأمر استمراراً لشروط العهد التي ظهرت اعتباراً من خروج 20.  وفي حين أن خروج 21: 1-23: 13 تركّز على الحياة الاجتماعية للأمّة، فإن خروج 25-40 تركّز على العبادة... التعبيرات الخارجية عن الحياة الدينية للأمّة.  وهذا القسم سهل جداً في بنيته. تفصّل خروج 25-31 تعليمات بناء خيمة الاجتماع (بما في ذلك الكهنوت)، وتفصّل خروج 35-40 عملية البناء الفعلية لخيمة الاجتماع، والتي تتوَّج بحلول مجد الله في خيمة الاجتماع.  ونجد في داخل هذا القسم، أي في خروج 32-34، فاصلاً تاريخياً يتحدث عن ترك الأمّة ليهوه، ويتبع ذلك إعادة الله في نعمته العهد إلى إسرائيل.</w:t>
      </w:r>
    </w:p>
    <w:p w14:paraId="74F34D4F" w14:textId="77777777" w:rsidR="002E1856" w:rsidRPr="00C7130A"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34E9B959" w14:textId="77777777" w:rsidR="002E1856" w:rsidRPr="00C7130A"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bookmarkStart w:id="207" w:name="_MON_1064046202"/>
    <w:bookmarkEnd w:id="207"/>
    <w:p w14:paraId="057869AC" w14:textId="77777777" w:rsidR="002E1856" w:rsidRPr="00C7130A"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r w:rsidRPr="00C7130A">
        <w:rPr>
          <w:rFonts w:eastAsia="Times New Roman"/>
          <w:kern w:val="0"/>
          <w:sz w:val="18"/>
          <w:szCs w:val="20"/>
          <w:lang w:bidi="ar-JO"/>
          <w14:ligatures w14:val="none"/>
        </w:rPr>
        <w:object w:dxaOrig="3960" w:dyaOrig="865" w14:anchorId="7389A25E">
          <v:shape id="_x0000_i1032" type="#_x0000_t75" style="width:396.6pt;height:87pt" o:ole="">
            <v:imagedata r:id="rId46" o:title=""/>
          </v:shape>
          <o:OLEObject Type="Embed" ProgID="PowerPoint.Show.8" ShapeID="_x0000_i1032" DrawAspect="Content" ObjectID="_1803892147" r:id="rId47"/>
        </w:object>
      </w:r>
    </w:p>
    <w:p w14:paraId="777A92E5" w14:textId="77777777" w:rsidR="002E1856" w:rsidRPr="00C7130A"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346249DD" w14:textId="77777777" w:rsidR="002E1856" w:rsidRPr="00005C98" w:rsidRDefault="002E1856" w:rsidP="000558B7">
      <w:pPr>
        <w:pStyle w:val="Heading3"/>
        <w:rPr>
          <w:rtl/>
          <w:lang w:bidi="ar-JO"/>
        </w:rPr>
      </w:pPr>
      <w:bookmarkStart w:id="208" w:name="_Toc193031008"/>
      <w:r w:rsidRPr="00005C98">
        <w:rPr>
          <w:rtl/>
          <w:lang w:bidi="ar-JO"/>
        </w:rPr>
        <w:lastRenderedPageBreak/>
        <w:t>2.</w:t>
      </w:r>
      <w:r w:rsidRPr="00005C98">
        <w:rPr>
          <w:rtl/>
          <w:lang w:bidi="ar-JO"/>
        </w:rPr>
        <w:tab/>
        <w:t>أسماء خيمة الاجتماع</w:t>
      </w:r>
      <w:bookmarkEnd w:id="208"/>
      <w:r w:rsidRPr="00005C98">
        <w:rPr>
          <w:rtl/>
          <w:lang w:bidi="ar-JO"/>
        </w:rPr>
        <w:t xml:space="preserve"> </w:t>
      </w:r>
    </w:p>
    <w:p w14:paraId="39B861B3"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05C98">
        <w:rPr>
          <w:rFonts w:eastAsia="Times New Roman"/>
          <w:kern w:val="0"/>
          <w:rtl/>
          <w:lang w:bidi="ar-JO"/>
          <w14:ligatures w14:val="none"/>
        </w:rPr>
        <w:t>أ.</w:t>
      </w:r>
      <w:r w:rsidRPr="00005C98">
        <w:rPr>
          <w:rFonts w:eastAsia="Times New Roman"/>
          <w:kern w:val="0"/>
          <w:rtl/>
          <w:lang w:bidi="ar-JO"/>
          <w14:ligatures w14:val="none"/>
        </w:rPr>
        <w:tab/>
        <w:t xml:space="preserve">مِقْداش </w:t>
      </w:r>
      <w:r w:rsidRPr="00005C98">
        <w:rPr>
          <w:rFonts w:eastAsia="Times New Roman"/>
          <w:bCs/>
          <w:i/>
          <w:iCs/>
          <w:kern w:val="0"/>
          <w:lang w:bidi="ar-JO"/>
          <w14:ligatures w14:val="none"/>
        </w:rPr>
        <w:t>miḵdāš</w:t>
      </w:r>
      <w:r w:rsidRPr="00005C98">
        <w:rPr>
          <w:rFonts w:eastAsia="Times New Roman"/>
          <w:kern w:val="0"/>
          <w:rtl/>
          <w:lang w:bidi="ar-JO"/>
          <w14:ligatures w14:val="none"/>
        </w:rPr>
        <w:t xml:space="preserve"> (25: 8) –تترجم إلى "مقدس" وهي تدل على مكان مقدَّس.</w:t>
      </w:r>
    </w:p>
    <w:p w14:paraId="7188F5A1"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05C98">
        <w:rPr>
          <w:rFonts w:eastAsia="Times New Roman"/>
          <w:kern w:val="0"/>
          <w:rtl/>
          <w:lang w:bidi="ar-JO"/>
          <w14:ligatures w14:val="none"/>
        </w:rPr>
        <w:t>ب.</w:t>
      </w:r>
      <w:r w:rsidRPr="00005C98">
        <w:rPr>
          <w:rFonts w:eastAsia="Times New Roman"/>
          <w:kern w:val="0"/>
          <w:rtl/>
          <w:lang w:bidi="ar-JO"/>
          <w14:ligatures w14:val="none"/>
        </w:rPr>
        <w:tab/>
        <w:t xml:space="preserve">مِشْكان </w:t>
      </w:r>
      <w:r w:rsidRPr="00005C98">
        <w:rPr>
          <w:rFonts w:eastAsia="Times New Roman"/>
          <w:bCs/>
          <w:i/>
          <w:iCs/>
          <w:kern w:val="0"/>
          <w:lang w:bidi="ar-JO"/>
          <w14:ligatures w14:val="none"/>
        </w:rPr>
        <w:t>miškān</w:t>
      </w:r>
      <w:r w:rsidRPr="00005C98">
        <w:rPr>
          <w:rFonts w:eastAsia="Times New Roman"/>
          <w:kern w:val="0"/>
          <w:rtl/>
          <w14:ligatures w14:val="none"/>
        </w:rPr>
        <w:t xml:space="preserve"> </w:t>
      </w:r>
      <w:r w:rsidRPr="00005C98">
        <w:rPr>
          <w:rFonts w:eastAsia="Times New Roman"/>
          <w:kern w:val="0"/>
          <w:rtl/>
          <w:lang w:bidi="ar-JO"/>
          <w14:ligatures w14:val="none"/>
        </w:rPr>
        <w:t>(25: 9) – وتعني "مُستقرّ"، "مسكِن"، وهي توحي بمكان سكن أو مُسْتَقَرٍّ أو مكان إقامة لله بين شعبه.</w:t>
      </w:r>
    </w:p>
    <w:p w14:paraId="2E440704"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05C98">
        <w:rPr>
          <w:rFonts w:eastAsia="Times New Roman"/>
          <w:kern w:val="0"/>
          <w:rtl/>
          <w:lang w:bidi="ar-JO"/>
          <w14:ligatures w14:val="none"/>
        </w:rPr>
        <w:t>جـ.</w:t>
      </w:r>
      <w:r w:rsidRPr="00005C98">
        <w:rPr>
          <w:rFonts w:eastAsia="Times New Roman"/>
          <w:kern w:val="0"/>
          <w:rtl/>
          <w:lang w:bidi="ar-JO"/>
          <w14:ligatures w14:val="none"/>
        </w:rPr>
        <w:tab/>
        <w:t xml:space="preserve">أوهِل </w:t>
      </w:r>
      <w:r w:rsidRPr="00005C98">
        <w:rPr>
          <w:rFonts w:eastAsia="Times New Roman"/>
          <w:bCs/>
          <w:i/>
          <w:iCs/>
          <w:kern w:val="0"/>
          <w:lang w:bidi="ar-JO"/>
          <w14:ligatures w14:val="none"/>
        </w:rPr>
        <w:t>ʾōhel</w:t>
      </w:r>
      <w:r w:rsidRPr="00005C98">
        <w:rPr>
          <w:rFonts w:eastAsia="Times New Roman"/>
          <w:kern w:val="0"/>
          <w:rtl/>
          <w14:ligatures w14:val="none"/>
        </w:rPr>
        <w:t xml:space="preserve"> </w:t>
      </w:r>
      <w:r w:rsidRPr="00005C98">
        <w:rPr>
          <w:rFonts w:eastAsia="Times New Roman"/>
          <w:kern w:val="0"/>
          <w:rtl/>
          <w:lang w:bidi="ar-JO"/>
          <w14:ligatures w14:val="none"/>
        </w:rPr>
        <w:t>(26: 36) –وتترجم إلى "خيمة" لتعكس البناء نفسه.</w:t>
      </w:r>
    </w:p>
    <w:p w14:paraId="02CE0317"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05C98">
        <w:rPr>
          <w:rFonts w:eastAsia="Times New Roman"/>
          <w:kern w:val="0"/>
          <w:rtl/>
          <w:lang w:bidi="ar-JO"/>
          <w14:ligatures w14:val="none"/>
        </w:rPr>
        <w:t>د.</w:t>
      </w:r>
      <w:r w:rsidRPr="00005C98">
        <w:rPr>
          <w:rFonts w:eastAsia="Times New Roman"/>
          <w:kern w:val="0"/>
          <w:rtl/>
          <w:lang w:bidi="ar-JO"/>
          <w14:ligatures w14:val="none"/>
        </w:rPr>
        <w:tab/>
        <w:t xml:space="preserve">أوهِل موعيد </w:t>
      </w:r>
      <w:r w:rsidRPr="00005C98">
        <w:rPr>
          <w:rFonts w:eastAsia="Times New Roman"/>
          <w:bCs/>
          <w:i/>
          <w:iCs/>
          <w:kern w:val="0"/>
          <w:lang w:bidi="ar-JO"/>
          <w14:ligatures w14:val="none"/>
        </w:rPr>
        <w:t>ʾōhel</w:t>
      </w:r>
      <w:r w:rsidRPr="00005C98">
        <w:rPr>
          <w:rFonts w:eastAsia="Times New Roman"/>
          <w:bCs/>
          <w:kern w:val="0"/>
          <w:lang w:bidi="ar-JO"/>
          <w14:ligatures w14:val="none"/>
        </w:rPr>
        <w:t xml:space="preserve"> </w:t>
      </w:r>
      <w:r w:rsidRPr="00005C98">
        <w:rPr>
          <w:rFonts w:eastAsia="Times New Roman"/>
          <w:bCs/>
          <w:i/>
          <w:iCs/>
          <w:kern w:val="0"/>
          <w:lang w:bidi="ar-JO"/>
          <w14:ligatures w14:val="none"/>
        </w:rPr>
        <w:t>mǒʿēḏ</w:t>
      </w:r>
      <w:r w:rsidRPr="00005C98">
        <w:rPr>
          <w:rFonts w:eastAsia="Times New Roman"/>
          <w:kern w:val="0"/>
          <w:rtl/>
          <w14:ligatures w14:val="none"/>
        </w:rPr>
        <w:t xml:space="preserve"> </w:t>
      </w:r>
      <w:r w:rsidRPr="00005C98">
        <w:rPr>
          <w:rFonts w:eastAsia="Times New Roman"/>
          <w:kern w:val="0"/>
          <w:rtl/>
          <w:lang w:bidi="ar-JO"/>
          <w14:ligatures w14:val="none"/>
        </w:rPr>
        <w:t>(29: 42) –وهي تترجم إلى "خيمة الاجتماع" موحية بأن الله سيجتمع بشعبه هناك.</w:t>
      </w:r>
    </w:p>
    <w:p w14:paraId="34594CA4"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lang w:bidi="ar-JO"/>
          <w14:ligatures w14:val="none"/>
        </w:rPr>
      </w:pPr>
      <w:r w:rsidRPr="00005C98">
        <w:rPr>
          <w:rFonts w:eastAsia="Times New Roman"/>
          <w:kern w:val="0"/>
          <w:rtl/>
          <w:lang w:bidi="ar-JO"/>
          <w14:ligatures w14:val="none"/>
        </w:rPr>
        <w:t>هـ.</w:t>
      </w:r>
      <w:r w:rsidRPr="00005C98">
        <w:rPr>
          <w:rFonts w:eastAsia="Times New Roman"/>
          <w:kern w:val="0"/>
          <w:rtl/>
          <w:lang w:bidi="ar-JO"/>
          <w14:ligatures w14:val="none"/>
        </w:rPr>
        <w:tab/>
        <w:t xml:space="preserve">مِشْكان هاعِدوت </w:t>
      </w:r>
      <w:r w:rsidRPr="00005C98">
        <w:rPr>
          <w:rFonts w:eastAsia="Times New Roman"/>
          <w:bCs/>
          <w:i/>
          <w:iCs/>
          <w:kern w:val="0"/>
          <w:lang w:bidi="ar-JO"/>
          <w14:ligatures w14:val="none"/>
        </w:rPr>
        <w:t>miškān</w:t>
      </w:r>
      <w:r w:rsidRPr="00005C98">
        <w:rPr>
          <w:rFonts w:eastAsia="Times New Roman"/>
          <w:bCs/>
          <w:kern w:val="0"/>
          <w:lang w:bidi="ar-JO"/>
          <w14:ligatures w14:val="none"/>
        </w:rPr>
        <w:t xml:space="preserve"> </w:t>
      </w:r>
      <w:r w:rsidRPr="00005C98">
        <w:rPr>
          <w:rFonts w:eastAsia="Times New Roman"/>
          <w:bCs/>
          <w:i/>
          <w:iCs/>
          <w:kern w:val="0"/>
          <w:lang w:bidi="ar-JO"/>
          <w14:ligatures w14:val="none"/>
        </w:rPr>
        <w:t>hāʿēuṯ</w:t>
      </w:r>
      <w:r w:rsidRPr="00005C98">
        <w:rPr>
          <w:rFonts w:eastAsia="Times New Roman"/>
          <w:kern w:val="0"/>
          <w:rtl/>
          <w14:ligatures w14:val="none"/>
        </w:rPr>
        <w:t xml:space="preserve"> </w:t>
      </w:r>
      <w:r w:rsidRPr="00005C98">
        <w:rPr>
          <w:rFonts w:eastAsia="Times New Roman"/>
          <w:kern w:val="0"/>
          <w:rtl/>
          <w:lang w:bidi="ar-JO"/>
          <w14:ligatures w14:val="none"/>
        </w:rPr>
        <w:t>(38: 21) –وتترجم إلى "خيمة الشهادة" وقد عُرف اللوحان اللذان كتبت عليهما الوصايا باسم "الشهادة"، وقد وُضعا في تابوت العهد.</w:t>
      </w:r>
    </w:p>
    <w:p w14:paraId="45A23DEE"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p>
    <w:p w14:paraId="584C427F" w14:textId="2C23F9C6" w:rsidR="002E1856" w:rsidRPr="00005C98" w:rsidRDefault="002E1856" w:rsidP="000558B7">
      <w:pPr>
        <w:pStyle w:val="Heading3"/>
      </w:pPr>
      <w:bookmarkStart w:id="209" w:name="_Toc193031009"/>
      <w:r w:rsidRPr="00005C98">
        <w:rPr>
          <w:rtl/>
        </w:rPr>
        <w:t>3.</w:t>
      </w:r>
      <w:r w:rsidRPr="00005C98">
        <w:rPr>
          <w:rtl/>
        </w:rPr>
        <w:tab/>
        <w:t>مخطط خيمة الاجتماع</w:t>
      </w:r>
      <w:bookmarkEnd w:id="209"/>
      <w:r w:rsidRPr="00005C98">
        <w:rPr>
          <w:rtl/>
        </w:rPr>
        <w:t xml:space="preserve"> </w:t>
      </w:r>
    </w:p>
    <w:p w14:paraId="34B64B76" w14:textId="3E8FBB1F" w:rsidR="002E1856" w:rsidRPr="00C7130A" w:rsidRDefault="00C03403" w:rsidP="00005C98">
      <w:pPr>
        <w:pStyle w:val="Head4"/>
        <w:rPr>
          <w:rtl/>
        </w:rPr>
      </w:pPr>
      <w:r w:rsidRPr="00C7130A">
        <w:rPr>
          <w:noProof/>
          <w:rtl/>
        </w:rPr>
        <w:drawing>
          <wp:inline distT="0" distB="0" distL="0" distR="0" wp14:anchorId="2B0A6290" wp14:editId="11A7B5EA">
            <wp:extent cx="5943600" cy="2749550"/>
            <wp:effectExtent l="19050" t="19050" r="0" b="0"/>
            <wp:docPr id="705866935" name="Picture 1"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66935" name="Picture 1" descr="A diagram of a building&#10;&#10;Description automatically generated"/>
                    <pic:cNvPicPr/>
                  </pic:nvPicPr>
                  <pic:blipFill>
                    <a:blip r:embed="rId48"/>
                    <a:stretch>
                      <a:fillRect/>
                    </a:stretch>
                  </pic:blipFill>
                  <pic:spPr>
                    <a:xfrm>
                      <a:off x="0" y="0"/>
                      <a:ext cx="5943600" cy="2749550"/>
                    </a:xfrm>
                    <a:prstGeom prst="rect">
                      <a:avLst/>
                    </a:prstGeom>
                    <a:ln w="6350">
                      <a:solidFill>
                        <a:schemeClr val="tx1"/>
                      </a:solidFill>
                    </a:ln>
                  </pic:spPr>
                </pic:pic>
              </a:graphicData>
            </a:graphic>
          </wp:inline>
        </w:drawing>
      </w:r>
    </w:p>
    <w:p w14:paraId="6DFCDE49" w14:textId="5458A546" w:rsidR="002E1856" w:rsidRPr="00C7130A" w:rsidRDefault="002E1856" w:rsidP="00C7130A">
      <w:pPr>
        <w:tabs>
          <w:tab w:val="left" w:pos="550"/>
          <w:tab w:val="left" w:pos="1100"/>
          <w:tab w:val="left" w:pos="1650"/>
          <w:tab w:val="left" w:pos="2200"/>
          <w:tab w:val="left" w:pos="2750"/>
          <w:tab w:val="left" w:pos="3300"/>
          <w:tab w:val="left" w:pos="3850"/>
          <w:tab w:val="left" w:pos="4400"/>
        </w:tabs>
        <w:ind w:left="532" w:firstLine="550"/>
        <w:jc w:val="both"/>
        <w:rPr>
          <w:rFonts w:eastAsia="Times New Roman"/>
          <w:kern w:val="0"/>
          <w:sz w:val="18"/>
          <w:szCs w:val="20"/>
          <w14:ligatures w14:val="none"/>
        </w:rPr>
      </w:pPr>
    </w:p>
    <w:p w14:paraId="29E5F741" w14:textId="77777777" w:rsidR="002E1856" w:rsidRPr="00C7130A" w:rsidRDefault="002E1856" w:rsidP="00C7130A"/>
    <w:p w14:paraId="68618090" w14:textId="18D2B735" w:rsidR="00163F98" w:rsidRPr="00C7130A" w:rsidRDefault="00163F98" w:rsidP="00C7130A">
      <w:pPr>
        <w:tabs>
          <w:tab w:val="left" w:pos="547"/>
          <w:tab w:val="left" w:pos="1094"/>
          <w:tab w:val="left" w:pos="1642"/>
          <w:tab w:val="left" w:pos="2189"/>
          <w:tab w:val="left" w:pos="2736"/>
          <w:tab w:val="left" w:pos="3283"/>
          <w:tab w:val="left" w:pos="3830"/>
          <w:tab w:val="left" w:pos="4378"/>
        </w:tabs>
        <w:spacing w:after="120"/>
        <w:jc w:val="center"/>
        <w:rPr>
          <w:rFonts w:eastAsia="Times New Roman"/>
          <w:bCs/>
          <w:kern w:val="0"/>
          <w:sz w:val="22"/>
          <w:szCs w:val="24"/>
          <w14:ligatures w14:val="none"/>
        </w:rPr>
      </w:pPr>
      <w:r w:rsidRPr="00C7130A">
        <w:rPr>
          <w:rFonts w:eastAsia="Times New Roman"/>
          <w:bCs/>
          <w:noProof/>
          <w:kern w:val="0"/>
          <w:sz w:val="22"/>
          <w:szCs w:val="24"/>
          <w14:ligatures w14:val="none"/>
        </w:rPr>
        <w:lastRenderedPageBreak/>
        <w:drawing>
          <wp:inline distT="0" distB="0" distL="0" distR="0" wp14:anchorId="46EC96DD" wp14:editId="5AC1A103">
            <wp:extent cx="3075317" cy="2305887"/>
            <wp:effectExtent l="0" t="0" r="0" b="0"/>
            <wp:docPr id="7796624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86046" cy="2313932"/>
                    </a:xfrm>
                    <a:prstGeom prst="rect">
                      <a:avLst/>
                    </a:prstGeom>
                    <a:noFill/>
                    <a:ln>
                      <a:noFill/>
                    </a:ln>
                  </pic:spPr>
                </pic:pic>
              </a:graphicData>
            </a:graphic>
          </wp:inline>
        </w:drawing>
      </w:r>
    </w:p>
    <w:p w14:paraId="5F103FB5" w14:textId="77777777" w:rsidR="002E1856" w:rsidRPr="00C7130A"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r w:rsidRPr="00C7130A">
        <w:rPr>
          <w:rFonts w:eastAsia="Times New Roman"/>
          <w:kern w:val="0"/>
          <w:sz w:val="18"/>
          <w:szCs w:val="20"/>
          <w:rtl/>
          <w14:ligatures w14:val="none"/>
        </w:rPr>
        <w:tab/>
      </w:r>
      <w:r w:rsidRPr="00C7130A">
        <w:rPr>
          <w:rFonts w:eastAsia="Times New Roman"/>
          <w:kern w:val="0"/>
          <w:sz w:val="18"/>
          <w:szCs w:val="20"/>
          <w:rtl/>
          <w14:ligatures w14:val="none"/>
        </w:rPr>
        <w:tab/>
      </w:r>
    </w:p>
    <w:p w14:paraId="0D68E6C9" w14:textId="77777777" w:rsidR="002E1856" w:rsidRPr="00005C98" w:rsidRDefault="002E1856" w:rsidP="000558B7">
      <w:pPr>
        <w:pStyle w:val="Heading3"/>
        <w:rPr>
          <w:rtl/>
          <w:lang w:bidi="ar-JO"/>
        </w:rPr>
      </w:pPr>
      <w:bookmarkStart w:id="210" w:name="_Toc193031010"/>
      <w:r w:rsidRPr="00005C98">
        <w:rPr>
          <w:rtl/>
          <w:lang w:bidi="ar-JO"/>
        </w:rPr>
        <w:t>4.</w:t>
      </w:r>
      <w:r w:rsidRPr="00005C98">
        <w:rPr>
          <w:rtl/>
          <w:lang w:bidi="ar-JO"/>
        </w:rPr>
        <w:tab/>
        <w:t>أغراض خيمة الاجتماع</w:t>
      </w:r>
      <w:bookmarkEnd w:id="210"/>
      <w:r w:rsidRPr="00005C98">
        <w:rPr>
          <w:rtl/>
          <w:lang w:bidi="ar-JO"/>
        </w:rPr>
        <w:t xml:space="preserve"> </w:t>
      </w:r>
    </w:p>
    <w:p w14:paraId="0C6A734E"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إن الوظيفة الرئيسية لخيمة الاجتماع مذكورة في خروج 25: 8، " فيصنعون لي مقْدِساً لأسكن (في العبرية "شكنتي") في وسطهم." وهكذا كانت خيمة الاجتماع مكان سكن لله. ولا نعني بهذا أن الله تحيَّز، بل أنه يستطيع أن يكون في وسط شعبه.  وقد انعكس هذا في كرسي الرحمة في تابوت العهد في قدس الأقداس (انظر عدد 7: 89؛ 1صموئيل 4: 4؛ 2 صموئيل 6: 2).  كان هذا أكثر مكان حميمية لحضور الله، وقد صار يعرف حضور الله الخاص هذا في الترجوم بـ "الشكينة" (</w:t>
      </w:r>
      <w:r w:rsidRPr="00005C98">
        <w:rPr>
          <w:rFonts w:ascii="Times New Roman" w:eastAsia="Times New Roman" w:hAnsi="Times New Roman" w:cs="Times New Roman" w:hint="cs"/>
          <w:b/>
          <w:kern w:val="0"/>
          <w:rtl/>
          <w:lang w:bidi="he-IL"/>
          <w14:ligatures w14:val="none"/>
        </w:rPr>
        <w:t>שָׁכַן</w:t>
      </w:r>
      <w:r w:rsidRPr="00005C98">
        <w:rPr>
          <w:rFonts w:eastAsia="Times New Roman"/>
          <w:kern w:val="0"/>
          <w14:ligatures w14:val="none"/>
        </w:rPr>
        <w:t xml:space="preserve">, </w:t>
      </w:r>
      <w:r w:rsidRPr="00005C98">
        <w:rPr>
          <w:rFonts w:eastAsia="Times New Roman"/>
          <w:bCs/>
          <w:i/>
          <w:iCs/>
          <w:kern w:val="0"/>
          <w:lang w:bidi="ar-JO"/>
          <w14:ligatures w14:val="none"/>
        </w:rPr>
        <w:t xml:space="preserve">šāḵan </w:t>
      </w:r>
      <w:r w:rsidRPr="00005C98">
        <w:rPr>
          <w:rFonts w:eastAsia="Times New Roman"/>
          <w:kern w:val="0"/>
          <w:rtl/>
          <w:lang w:bidi="ar-JO"/>
          <w14:ligatures w14:val="none"/>
        </w:rPr>
        <w:t xml:space="preserve"> – شكَن = "يسكن").</w:t>
      </w:r>
    </w:p>
    <w:p w14:paraId="6AD63958"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762E625"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وتتضمن 25: 12 غرضاً آخر من أغراض خيمة الاجتماع، "وأنا أجتمع بك هناك..." وهكذا كانت خيمة الاجتماع ملتقى الله بشعبه، مع حضور الله فوق كرسي الرحمة.</w:t>
      </w:r>
    </w:p>
    <w:p w14:paraId="6823F8F9"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وبما أن المقدِس كان مركزاً منظوراً لعبادة الله الواحد، فقد كان هذا تذكيراً بإدانة الله لعبادة الأصنام.  ولم تكن في خيمة الاجتماع أية صورة أو تمثال يمثّل يهوه.</w:t>
      </w:r>
    </w:p>
    <w:p w14:paraId="47135900"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14:ligatures w14:val="none"/>
        </w:rPr>
      </w:pPr>
    </w:p>
    <w:p w14:paraId="4C4A2818" w14:textId="77777777" w:rsidR="002E1856" w:rsidRPr="00005C98" w:rsidRDefault="002E1856" w:rsidP="00C7130A">
      <w:pPr>
        <w:tabs>
          <w:tab w:val="left" w:pos="454"/>
        </w:tabs>
        <w:spacing w:after="60"/>
        <w:jc w:val="both"/>
        <w:rPr>
          <w:rFonts w:eastAsia="Times New Roman"/>
          <w:bCs/>
          <w:kern w:val="0"/>
          <w:rtl/>
          <w:lang w:bidi="ar-JO"/>
          <w14:ligatures w14:val="none"/>
        </w:rPr>
      </w:pPr>
      <w:r w:rsidRPr="00005C98">
        <w:rPr>
          <w:rFonts w:eastAsia="Times New Roman"/>
          <w:bCs/>
          <w:kern w:val="0"/>
          <w:rtl/>
          <w:lang w:bidi="ar-JO"/>
          <w14:ligatures w14:val="none"/>
        </w:rPr>
        <w:t>5.</w:t>
      </w:r>
      <w:r w:rsidRPr="00005C98">
        <w:rPr>
          <w:rFonts w:eastAsia="Times New Roman"/>
          <w:bCs/>
          <w:kern w:val="0"/>
          <w:rtl/>
          <w:lang w:bidi="ar-JO"/>
          <w14:ligatures w14:val="none"/>
        </w:rPr>
        <w:tab/>
        <w:t>الأثاث</w:t>
      </w:r>
    </w:p>
    <w:p w14:paraId="53F10B6A"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كان تابوت العهد النقطة المركزية لخيمة الاجتماع، إذ كان مكان حضور الله.  فكان بهذه الصفة، قطعة الأثاث الوحيدة الموجودة في الغرفة الداخلية، أي قدس الأقداس.  وسنبدأ حديثنا التالي عن القطعة التي في الخارج (مذبح المحرقة) ثم نتحرك باتجاه قدس الأقداس، وكأننا نصوِّر الاقتراب إلى الله.</w:t>
      </w:r>
    </w:p>
    <w:p w14:paraId="614FD485"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14:ligatures w14:val="none"/>
        </w:rPr>
      </w:pPr>
    </w:p>
    <w:p w14:paraId="4E98EB8D" w14:textId="77777777" w:rsidR="002E1856" w:rsidRPr="00005C98" w:rsidRDefault="002E1856" w:rsidP="00C7130A">
      <w:pPr>
        <w:tabs>
          <w:tab w:val="left" w:pos="454"/>
        </w:tabs>
        <w:spacing w:after="60"/>
        <w:ind w:left="550" w:hanging="550"/>
        <w:jc w:val="both"/>
        <w:rPr>
          <w:rFonts w:eastAsia="Times New Roman"/>
          <w:bCs/>
          <w:kern w:val="0"/>
          <w:rtl/>
          <w14:ligatures w14:val="none"/>
        </w:rPr>
      </w:pPr>
      <w:r w:rsidRPr="00005C98">
        <w:rPr>
          <w:rFonts w:eastAsia="Times New Roman"/>
          <w:bCs/>
          <w:kern w:val="0"/>
          <w:rtl/>
          <w14:ligatures w14:val="none"/>
        </w:rPr>
        <w:t>أ.</w:t>
      </w:r>
      <w:r w:rsidRPr="00005C98">
        <w:rPr>
          <w:rFonts w:eastAsia="Times New Roman"/>
          <w:bCs/>
          <w:kern w:val="0"/>
          <w:rtl/>
          <w14:ligatures w14:val="none"/>
        </w:rPr>
        <w:tab/>
        <w:t xml:space="preserve">مذبح المحرقة </w:t>
      </w:r>
    </w:p>
    <w:p w14:paraId="5B915604"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lastRenderedPageBreak/>
        <w:t>عند دخول العابد من بني إسرائيل إلى الساحة من الجانب الشرقي، فإن أول شيء يراه هو المذبح النحاسي بقرونه الأربعة التي كانت تستخدم لربط الذبيحة.  وكانت الذبائح تقدم  ليهوه على هذا المذبح.  كانت تقدم عليه الذبائح عن الأفراد (لاويين 1-6)، بالإضافة إلى ذبائح يوم الكفارة والذبائح اليومية للأمّة.  لم يكن يتم ذبح الحيوانات عليه فحسب، ولكن كان يجب ألا يطفأ مطلقاً (لاويين 6: 13).  ومن الواضح أن "الذبيحة" كانت الفكرة المهيمنة على المذبح، خاصة الذبيحة البديلية.  وحين كان المرء يأتي للقاء الله، كان عليه أولاً أن يأتي عن طريق المذبح.  فلا يمكن للمرء أن يدخل في محضر الله دون ذبيحة.  وحين كان المتقدم يرى الحيوان البريء وهو يُذبح ويُحرق، كان يُذكَّر دائماً بأن (1) الخطية تتطلب ثمناً باهظاً، و(2) أننا لا نستطيع أن ندفع ثمن الخطية بأنفسنا-إذ لا بد أن يكون هنالك بديل عنا من أجل خطايانا.</w:t>
      </w:r>
    </w:p>
    <w:p w14:paraId="719DB077" w14:textId="77777777" w:rsidR="002E1856" w:rsidRPr="00C7130A"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4987BD57" w14:textId="0942750E" w:rsidR="002E1856" w:rsidRPr="00C7130A" w:rsidRDefault="002E1856" w:rsidP="00C7130A">
      <w:pPr>
        <w:tabs>
          <w:tab w:val="left" w:pos="550"/>
          <w:tab w:val="left" w:pos="1100"/>
          <w:tab w:val="left" w:pos="1650"/>
          <w:tab w:val="left" w:pos="2200"/>
          <w:tab w:val="left" w:pos="2750"/>
          <w:tab w:val="left" w:pos="3300"/>
          <w:tab w:val="left" w:pos="3850"/>
          <w:tab w:val="left" w:pos="4400"/>
        </w:tabs>
        <w:ind w:firstLine="550"/>
        <w:jc w:val="center"/>
        <w:rPr>
          <w:rFonts w:eastAsia="Times New Roman"/>
          <w:kern w:val="0"/>
          <w:sz w:val="18"/>
          <w:szCs w:val="20"/>
          <w:rtl/>
          <w14:ligatures w14:val="none"/>
        </w:rPr>
      </w:pPr>
      <w:r w:rsidRPr="00C7130A">
        <w:rPr>
          <w:rFonts w:eastAsia="Times New Roman"/>
          <w:noProof/>
          <w:kern w:val="0"/>
          <w:sz w:val="18"/>
          <w:szCs w:val="20"/>
          <w:lang w:bidi="ar-JO"/>
          <w14:ligatures w14:val="none"/>
        </w:rPr>
        <w:drawing>
          <wp:inline distT="0" distB="0" distL="0" distR="0" wp14:anchorId="2F72B82C" wp14:editId="083C3824">
            <wp:extent cx="4434840" cy="3162300"/>
            <wp:effectExtent l="0" t="0" r="0" b="0"/>
            <wp:docPr id="1766636923" name="Picture 4" descr="A group of men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36923" name="Picture 4" descr="A group of men playing instruments&#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34840" cy="3162300"/>
                    </a:xfrm>
                    <a:prstGeom prst="rect">
                      <a:avLst/>
                    </a:prstGeom>
                    <a:noFill/>
                    <a:ln>
                      <a:noFill/>
                    </a:ln>
                  </pic:spPr>
                </pic:pic>
              </a:graphicData>
            </a:graphic>
          </wp:inline>
        </w:drawing>
      </w:r>
    </w:p>
    <w:p w14:paraId="614AD66E" w14:textId="77777777" w:rsidR="00243985" w:rsidRDefault="00243985" w:rsidP="00C7130A">
      <w:pPr>
        <w:tabs>
          <w:tab w:val="left" w:pos="454"/>
        </w:tabs>
        <w:spacing w:after="60"/>
        <w:ind w:left="550" w:hanging="550"/>
        <w:jc w:val="both"/>
        <w:rPr>
          <w:rFonts w:eastAsia="Times New Roman"/>
          <w:bCs/>
          <w:kern w:val="0"/>
          <w:rtl/>
          <w14:ligatures w14:val="none"/>
        </w:rPr>
      </w:pPr>
    </w:p>
    <w:p w14:paraId="77779309" w14:textId="563F9BDA" w:rsidR="002E1856" w:rsidRPr="00005C98" w:rsidRDefault="002E1856" w:rsidP="00C7130A">
      <w:pPr>
        <w:tabs>
          <w:tab w:val="left" w:pos="454"/>
        </w:tabs>
        <w:spacing w:after="60"/>
        <w:ind w:left="550" w:hanging="550"/>
        <w:jc w:val="both"/>
        <w:rPr>
          <w:rFonts w:eastAsia="Times New Roman"/>
          <w:bCs/>
          <w:kern w:val="0"/>
          <w:rtl/>
          <w14:ligatures w14:val="none"/>
        </w:rPr>
      </w:pPr>
      <w:r w:rsidRPr="00005C98">
        <w:rPr>
          <w:rFonts w:eastAsia="Times New Roman"/>
          <w:bCs/>
          <w:kern w:val="0"/>
          <w:rtl/>
          <w14:ligatures w14:val="none"/>
        </w:rPr>
        <w:t>ب.</w:t>
      </w:r>
      <w:r w:rsidRPr="00005C98">
        <w:rPr>
          <w:rFonts w:eastAsia="Times New Roman"/>
          <w:bCs/>
          <w:kern w:val="0"/>
          <w:rtl/>
          <w14:ligatures w14:val="none"/>
        </w:rPr>
        <w:tab/>
        <w:t>المرحضة النحاسية</w:t>
      </w:r>
    </w:p>
    <w:p w14:paraId="4150B7B5"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على النقيض من المذبح الذي كان مسموحاً لكل بني إسرائيل أن يتقدموا إليه، كانت المرحضة النحاسية للاستخدام الخاص للكهنة في خدمتهم وتأديتهم للطقوس في خيمة الاجتماع.  لم يكن يُسمَح للكاهن بأن يدخل قدس الأقداس دون أن يقوم بالاغتسال الطقسي.  فكانت هذه خطوة بعد تقديم الذبيحة على المذبح، فقد كانت المرحضة شرطاً للمحافظة على الاستعداد للخدمة الروحية (فكان يُحظر على الكاهن أن يدخل قدس الأقداس بدون اغتسال).  والمؤمنون اليوم (الذين هم جميعاً كهنة –مؤمنون) مستعدون للخدمة في المسيح بالروح القدس الذي يقدِّس ويطهّر من خلال غسل الماء بكلمة الله (انظر أفسس 5: 26).  وترمز المغسلة إلى حاجتنا اليومية إلى التطهر من تلويث الخطية.  فالمؤمن يحافظ على اتصاله وشركته مع الله عندما يعترف له يومياً بخطاياه.</w:t>
      </w:r>
    </w:p>
    <w:p w14:paraId="50A462E9" w14:textId="77777777" w:rsidR="002E1856" w:rsidRPr="00005C98" w:rsidRDefault="002E1856" w:rsidP="00C7130A">
      <w:pPr>
        <w:tabs>
          <w:tab w:val="left" w:pos="454"/>
        </w:tabs>
        <w:spacing w:after="60"/>
        <w:ind w:left="550" w:hanging="550"/>
        <w:jc w:val="both"/>
        <w:rPr>
          <w:rFonts w:eastAsia="Times New Roman"/>
          <w:bCs/>
          <w:kern w:val="0"/>
          <w:rtl/>
          <w14:ligatures w14:val="none"/>
        </w:rPr>
      </w:pPr>
    </w:p>
    <w:p w14:paraId="4D735B69" w14:textId="77777777" w:rsidR="002E1856" w:rsidRPr="00005C98" w:rsidRDefault="002E1856" w:rsidP="00C7130A">
      <w:pPr>
        <w:tabs>
          <w:tab w:val="left" w:pos="454"/>
        </w:tabs>
        <w:spacing w:after="60"/>
        <w:ind w:left="550" w:hanging="550"/>
        <w:jc w:val="both"/>
        <w:rPr>
          <w:rFonts w:eastAsia="Times New Roman"/>
          <w:bCs/>
          <w:kern w:val="0"/>
          <w:rtl/>
          <w14:ligatures w14:val="none"/>
        </w:rPr>
      </w:pPr>
      <w:r w:rsidRPr="00005C98">
        <w:rPr>
          <w:rFonts w:eastAsia="Times New Roman"/>
          <w:bCs/>
          <w:kern w:val="0"/>
          <w:rtl/>
          <w14:ligatures w14:val="none"/>
        </w:rPr>
        <w:t>جـ.</w:t>
      </w:r>
      <w:r w:rsidRPr="00005C98">
        <w:rPr>
          <w:rFonts w:eastAsia="Times New Roman"/>
          <w:bCs/>
          <w:kern w:val="0"/>
          <w:rtl/>
          <w14:ligatures w14:val="none"/>
        </w:rPr>
        <w:tab/>
        <w:t xml:space="preserve">خيمة الاجتماع الفعلية </w:t>
      </w:r>
    </w:p>
    <w:p w14:paraId="5D86B205"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بعد اغتسال الكاهن كان يسمح له بالدخول إلى خيمة الاجتماع (وبشكلٍ أكثر تحديداً إلى القدس).  ولم يكن غير الكهنة يستطيعون أن يروا من خيمة الاجتماع إلاّ ستائرها الخارجية.  ولم يعرف الذين في الخارج إلاّ أن الكاهن دخل ليمثّلهم أمام الله.  لكنهم كلّما رأوا خيمة الاجتماع (من الخارج)، كانوا ُيذكَّرون بأن الله ساكن بين البشر.  فخيمة الاجتماع رمز لسكنى الله مع شعبه (خروج 25: 8؛ 1ملوك 8: 27).  وقد امتدّ هذا المفهوم إلى التجسّد الذي حقّقه المسيح (انظر كولوسي 1: 19؛ 2: 9)، ومن المثير للاهتمام أن الترجمة الصحيحة ليوحنا 1: 14 هي "والكلمة صار جسداً وخيّم بيننا، ورأينا مجده..."</w:t>
      </w:r>
      <w:r w:rsidRPr="00005C98">
        <w:rPr>
          <w:rFonts w:eastAsia="Times New Roman"/>
          <w:kern w:val="0"/>
          <w:vertAlign w:val="superscript"/>
          <w:rtl/>
          <w:lang w:bidi="ar-JO"/>
          <w14:ligatures w14:val="none"/>
        </w:rPr>
        <w:footnoteReference w:id="80"/>
      </w:r>
      <w:r w:rsidRPr="00005C98">
        <w:rPr>
          <w:rFonts w:eastAsia="Times New Roman"/>
          <w:kern w:val="0"/>
          <w:rtl/>
          <w:lang w:bidi="ar-JO"/>
          <w14:ligatures w14:val="none"/>
        </w:rPr>
        <w:t xml:space="preserve">  سكن الله في يسوع بين الناس بشكلٍ أكثر حميمية.  وبعد يوم الخمسين صار الآن يسكن في كل مؤمن.</w:t>
      </w:r>
    </w:p>
    <w:p w14:paraId="136852B8"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 xml:space="preserve">وأخيراً، قُصد بخيمة الاجتماع أن تعكس حقيقة أعظم.  فهنالك "خيمة اجتماع سماوية" لم تشكّل خيمة الاجتماع الأرضية إلاّ ظلاًّ أو رمزاً لها (انظر عبرانيين 9: 6-14).   </w:t>
      </w:r>
    </w:p>
    <w:p w14:paraId="243A1BB6"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445D7CD" w14:textId="309F22F8" w:rsidR="002E1856" w:rsidRPr="00005C98" w:rsidRDefault="002E1856" w:rsidP="00C7130A">
      <w:pPr>
        <w:tabs>
          <w:tab w:val="left" w:pos="454"/>
        </w:tabs>
        <w:spacing w:after="60"/>
        <w:ind w:left="550" w:hanging="550"/>
        <w:jc w:val="both"/>
        <w:rPr>
          <w:rFonts w:eastAsia="Times New Roman"/>
          <w:bCs/>
          <w:kern w:val="0"/>
          <w:rtl/>
          <w14:ligatures w14:val="none"/>
        </w:rPr>
      </w:pPr>
      <w:r w:rsidRPr="00005C98">
        <w:rPr>
          <w:rFonts w:eastAsia="Times New Roman"/>
          <w:bCs/>
          <w:noProof/>
          <w:kern w:val="0"/>
          <w:lang w:val="ar-SA"/>
          <w14:ligatures w14:val="none"/>
        </w:rPr>
        <w:drawing>
          <wp:anchor distT="0" distB="0" distL="114300" distR="114300" simplePos="0" relativeHeight="251660288" behindDoc="0" locked="0" layoutInCell="1" allowOverlap="0" wp14:anchorId="240B9091" wp14:editId="1E013D73">
            <wp:simplePos x="0" y="0"/>
            <wp:positionH relativeFrom="column">
              <wp:posOffset>76200</wp:posOffset>
            </wp:positionH>
            <wp:positionV relativeFrom="paragraph">
              <wp:posOffset>131445</wp:posOffset>
            </wp:positionV>
            <wp:extent cx="1371600" cy="1819275"/>
            <wp:effectExtent l="0" t="0" r="0" b="0"/>
            <wp:wrapTight wrapText="bothSides">
              <wp:wrapPolygon edited="0">
                <wp:start x="0" y="0"/>
                <wp:lineTo x="0" y="21487"/>
                <wp:lineTo x="21300" y="21487"/>
                <wp:lineTo x="21300" y="0"/>
                <wp:lineTo x="0" y="0"/>
              </wp:wrapPolygon>
            </wp:wrapTight>
            <wp:docPr id="816834823" name="Picture 9" descr="A black and white drawing of a menora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34823" name="Picture 9" descr="A black and white drawing of a menorah&#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7160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5C98">
        <w:rPr>
          <w:rFonts w:eastAsia="Times New Roman"/>
          <w:bCs/>
          <w:kern w:val="0"/>
          <w:rtl/>
          <w14:ligatures w14:val="none"/>
        </w:rPr>
        <w:t>د.</w:t>
      </w:r>
      <w:r w:rsidRPr="00005C98">
        <w:rPr>
          <w:rFonts w:eastAsia="Times New Roman"/>
          <w:bCs/>
          <w:kern w:val="0"/>
          <w:rtl/>
          <w14:ligatures w14:val="none"/>
        </w:rPr>
        <w:tab/>
        <w:t>المنارة (الشمعدان</w:t>
      </w:r>
      <w:r w:rsidRPr="00005C98">
        <w:rPr>
          <w:rFonts w:eastAsia="Times New Roman"/>
          <w:bCs/>
          <w:kern w:val="0"/>
          <w:rtl/>
          <w:lang w:bidi="ar-KW"/>
          <w14:ligatures w14:val="none"/>
        </w:rPr>
        <w:t>)</w:t>
      </w:r>
      <w:r w:rsidRPr="00005C98">
        <w:rPr>
          <w:rFonts w:eastAsia="Times New Roman"/>
          <w:bCs/>
          <w:kern w:val="0"/>
          <w:rtl/>
          <w14:ligatures w14:val="none"/>
        </w:rPr>
        <w:t xml:space="preserve"> الذهبية</w:t>
      </w:r>
    </w:p>
    <w:p w14:paraId="6674C6A3"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مع دخول الكاهن بحذر ووقار إلى القدس (المكان المقدس) كان يلاحظ عدّة أشياء: المنارة (الشمعدان) الذهبية عن يساره، ومائدة خبز التقدمة عن يمينه، ومذبح البخّور مباشرة أمام الحجاب الذي يفصل القدس (المكان المقدَّس) عن قدس الأقداس.  ويخرج من المنارة ضوء ناعم مشتعل بشكل مترجرج أو متقطع ينير الغرفة، وهو ضوء، والذي كان من المفروض ألا ينطفئ أبداً.</w:t>
      </w:r>
    </w:p>
    <w:p w14:paraId="28F53C06"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ذكّرت المنارة الشعب المفدي بوظيفتهم… أن يكونوا نوراً للعالم، مملكة من الكهنة (خروج 19: 5-6)، أي وسطاء (انظر زكريا 4).  وتتحقق هذه الوظيفة، وظيفة أن يكون المرء نوراً لمن هم في الظلمة، في نهاية الأمر في المسيح نفسه الذي هو نور العالم.  ويفترض أن يكون المؤمنون بالمسيح بدورهم أنواراً للعالم.  ويرمز زيت المصباح إلى الروح القدس الذي يُبقي النور مشتعلاً.</w:t>
      </w:r>
    </w:p>
    <w:p w14:paraId="630C7FBB" w14:textId="5344A05A" w:rsidR="002E1856" w:rsidRPr="00C7130A"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r w:rsidRPr="00C7130A">
        <w:rPr>
          <w:rFonts w:eastAsia="Times New Roman"/>
          <w:noProof/>
          <w:kern w:val="0"/>
          <w:sz w:val="20"/>
          <w:szCs w:val="26"/>
          <w:rtl/>
          <w:lang w:val="ar-SA" w:eastAsia="ar-SA"/>
          <w14:ligatures w14:val="none"/>
        </w:rPr>
        <w:lastRenderedPageBreak/>
        <w:drawing>
          <wp:anchor distT="0" distB="0" distL="114300" distR="114300" simplePos="0" relativeHeight="251651072" behindDoc="0" locked="0" layoutInCell="1" allowOverlap="1" wp14:anchorId="6AB5CC16" wp14:editId="1683508C">
            <wp:simplePos x="0" y="0"/>
            <wp:positionH relativeFrom="column">
              <wp:posOffset>133350</wp:posOffset>
            </wp:positionH>
            <wp:positionV relativeFrom="paragraph">
              <wp:posOffset>123190</wp:posOffset>
            </wp:positionV>
            <wp:extent cx="1276350" cy="1371600"/>
            <wp:effectExtent l="0" t="0" r="0" b="0"/>
            <wp:wrapSquare wrapText="left"/>
            <wp:docPr id="893114542" name="Picture 8" descr="A drawing of a table with pancak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14542" name="Picture 8" descr="A drawing of a table with pancakes on it&#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7635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8D02B2" w14:textId="1C29CBA0" w:rsidR="002E1856" w:rsidRPr="00005C98" w:rsidRDefault="002E1856" w:rsidP="00C7130A">
      <w:pPr>
        <w:tabs>
          <w:tab w:val="left" w:pos="454"/>
        </w:tabs>
        <w:spacing w:after="60"/>
        <w:jc w:val="both"/>
        <w:rPr>
          <w:rFonts w:eastAsia="Times New Roman"/>
          <w:bCs/>
          <w:kern w:val="0"/>
          <w:rtl/>
          <w:lang w:bidi="ar-JO"/>
          <w14:ligatures w14:val="none"/>
        </w:rPr>
      </w:pPr>
      <w:r w:rsidRPr="00005C98">
        <w:rPr>
          <w:rFonts w:eastAsia="Times New Roman"/>
          <w:bCs/>
          <w:kern w:val="0"/>
          <w:rtl/>
          <w:lang w:bidi="ar-JO"/>
          <w14:ligatures w14:val="none"/>
        </w:rPr>
        <w:t>هـ.</w:t>
      </w:r>
      <w:r w:rsidRPr="00005C98">
        <w:rPr>
          <w:rFonts w:eastAsia="Times New Roman"/>
          <w:bCs/>
          <w:kern w:val="0"/>
          <w:rtl/>
          <w:lang w:bidi="ar-JO"/>
          <w14:ligatures w14:val="none"/>
        </w:rPr>
        <w:tab/>
        <w:t xml:space="preserve">مائدة خبز التقدمة </w:t>
      </w:r>
    </w:p>
    <w:p w14:paraId="49AD57BB" w14:textId="505E7894"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005C98">
        <w:rPr>
          <w:rFonts w:eastAsia="Times New Roman"/>
          <w:kern w:val="0"/>
          <w:rtl/>
          <w:lang w:bidi="ar-JO"/>
          <w14:ligatures w14:val="none"/>
        </w:rPr>
        <w:t>كانت هنالك مقابل المنارة طاولة عليها اثنا عشر رغيفاً من الخبز، واحد لكل سبط من أسباط إسرائيل.  وكان في إمكان الكهنة أن يأكلوا هذه الأرغفة في السبت، لكن يجب أن يتم ذلك في المقدس (لاويين 24: 5-9).  وهكذا رمَز خبز التقدمة إلى تغذية الحياة الروحية من خلال الشركة مع الله.  فبعد تقديم الذبيحة الملائمة على المذبح كانت الشركة مع الله أمراً ممكناً.  وعندما وصف يسوع نفسه أنه "خبز الحياة"، أراد أن يذكِّرنا بأنه التغذية الحقيقية للحياة الروحية.</w:t>
      </w:r>
    </w:p>
    <w:p w14:paraId="1A0B7E86"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lang w:bidi="ar-KW"/>
          <w14:ligatures w14:val="none"/>
        </w:rPr>
      </w:pPr>
    </w:p>
    <w:p w14:paraId="46018923" w14:textId="77777777" w:rsidR="002E1856" w:rsidRPr="00005C98" w:rsidRDefault="002E1856" w:rsidP="00C7130A">
      <w:pPr>
        <w:tabs>
          <w:tab w:val="left" w:pos="454"/>
        </w:tabs>
        <w:spacing w:after="60"/>
        <w:ind w:left="550" w:hanging="550"/>
        <w:jc w:val="both"/>
        <w:rPr>
          <w:rFonts w:eastAsia="Times New Roman"/>
          <w:bCs/>
          <w:kern w:val="0"/>
          <w:rtl/>
          <w14:ligatures w14:val="none"/>
        </w:rPr>
      </w:pPr>
      <w:r w:rsidRPr="00005C98">
        <w:rPr>
          <w:rFonts w:eastAsia="Times New Roman"/>
          <w:bCs/>
          <w:kern w:val="0"/>
          <w:rtl/>
          <w14:ligatures w14:val="none"/>
        </w:rPr>
        <w:t>و.</w:t>
      </w:r>
      <w:r w:rsidRPr="00005C98">
        <w:rPr>
          <w:rFonts w:eastAsia="Times New Roman"/>
          <w:bCs/>
          <w:kern w:val="0"/>
          <w:rtl/>
          <w14:ligatures w14:val="none"/>
        </w:rPr>
        <w:tab/>
        <w:t>مذبح البخور</w:t>
      </w:r>
    </w:p>
    <w:p w14:paraId="43F6CEDE" w14:textId="1C40FAE3"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noProof/>
          <w:kern w:val="0"/>
          <w:rtl/>
          <w:lang w:val="ar-SA" w:eastAsia="ar-SA" w:bidi="ar-JO"/>
          <w14:ligatures w14:val="none"/>
        </w:rPr>
        <w:drawing>
          <wp:anchor distT="0" distB="0" distL="114300" distR="114300" simplePos="0" relativeHeight="251661312" behindDoc="0" locked="0" layoutInCell="1" allowOverlap="1" wp14:anchorId="5B6357C9" wp14:editId="173D0DA4">
            <wp:simplePos x="0" y="0"/>
            <wp:positionH relativeFrom="column">
              <wp:posOffset>140335</wp:posOffset>
            </wp:positionH>
            <wp:positionV relativeFrom="paragraph">
              <wp:posOffset>12700</wp:posOffset>
            </wp:positionV>
            <wp:extent cx="975360" cy="1577975"/>
            <wp:effectExtent l="0" t="0" r="0" b="0"/>
            <wp:wrapSquare wrapText="left"/>
            <wp:docPr id="1399977029" name="Picture 7" descr="A drawing of a wooden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77029" name="Picture 7" descr="A drawing of a wooden box&#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75360" cy="1577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5C98">
        <w:rPr>
          <w:rFonts w:eastAsia="Times New Roman"/>
          <w:kern w:val="0"/>
          <w:rtl/>
          <w:lang w:bidi="ar-JO"/>
          <w14:ligatures w14:val="none"/>
        </w:rPr>
        <w:t>كان مذبح البخور ينتصب أمام الحجاب مباشرة.  كان الكاهن يضع على هذا المذبح جمرات محترقة يحملها بواسطة ملقط من المذبح النحاسي في الدار الخارجية.  وكان الكاهن يرش على هذه الجمرات بخوراً ذا رائحة زكية مُعَد إعداداً خاصاً، فيُخرج سحابة كثيفة من الدخان العطِر مالئاً خيمة الاجتماع.  رمَز البخور إلى الصلاة (انظر رؤيا 5: 8؛ 8: 3-4) الصاعدة أمام الله، مذكِّراً المفديين بامتياز العبادة ومسؤوليتها.  وبطبيعة الحال فإن أرقى مثال لهذه الوظيفة هو المسيح في خدمته التشفُّعيّة.</w:t>
      </w:r>
    </w:p>
    <w:p w14:paraId="6E6AFB9A" w14:textId="2EF6CCD9" w:rsidR="002E1856" w:rsidRPr="00C7130A"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lang w:bidi="ar-KW"/>
          <w14:ligatures w14:val="none"/>
        </w:rPr>
      </w:pPr>
    </w:p>
    <w:p w14:paraId="194344CC" w14:textId="4D1D6E03" w:rsidR="002E1856" w:rsidRPr="00C7130A" w:rsidRDefault="00005C98" w:rsidP="00C7130A">
      <w:pPr>
        <w:tabs>
          <w:tab w:val="left" w:pos="454"/>
        </w:tabs>
        <w:spacing w:after="60"/>
        <w:ind w:left="550" w:hanging="550"/>
        <w:jc w:val="both"/>
        <w:rPr>
          <w:rFonts w:eastAsia="Times New Roman"/>
          <w:bCs/>
          <w:kern w:val="0"/>
          <w:szCs w:val="26"/>
          <w:rtl/>
          <w14:ligatures w14:val="none"/>
        </w:rPr>
      </w:pPr>
      <w:r w:rsidRPr="00005C98">
        <w:rPr>
          <w:rFonts w:eastAsia="Times New Roman"/>
          <w:noProof/>
          <w:kern w:val="0"/>
          <w:rtl/>
          <w:lang w:val="ar-SA" w:eastAsia="ar-SA" w:bidi="ar-JO"/>
          <w14:ligatures w14:val="none"/>
        </w:rPr>
        <w:lastRenderedPageBreak/>
        <w:drawing>
          <wp:anchor distT="0" distB="0" distL="114300" distR="114300" simplePos="0" relativeHeight="251662336" behindDoc="0" locked="0" layoutInCell="1" allowOverlap="1" wp14:anchorId="0D2B9429" wp14:editId="5046A63F">
            <wp:simplePos x="0" y="0"/>
            <wp:positionH relativeFrom="column">
              <wp:posOffset>103200</wp:posOffset>
            </wp:positionH>
            <wp:positionV relativeFrom="paragraph">
              <wp:posOffset>346710</wp:posOffset>
            </wp:positionV>
            <wp:extent cx="1138555" cy="1774825"/>
            <wp:effectExtent l="0" t="0" r="4445" b="0"/>
            <wp:wrapSquare wrapText="left"/>
            <wp:docPr id="2077227561" name="Picture 6" descr="A black and white of a person wearing a long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27561" name="Picture 6" descr="A black and white of a person wearing a long robe&#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138555" cy="1774825"/>
                    </a:xfrm>
                    <a:prstGeom prst="rect">
                      <a:avLst/>
                    </a:prstGeom>
                    <a:noFill/>
                    <a:ln>
                      <a:noFill/>
                    </a:ln>
                  </pic:spPr>
                </pic:pic>
              </a:graphicData>
            </a:graphic>
            <wp14:sizeRelH relativeFrom="page">
              <wp14:pctWidth>0</wp14:pctWidth>
            </wp14:sizeRelH>
            <wp14:sizeRelV relativeFrom="page">
              <wp14:pctHeight>0</wp14:pctHeight>
            </wp14:sizeRelV>
          </wp:anchor>
        </w:drawing>
      </w:r>
      <w:r w:rsidR="002E1856" w:rsidRPr="00C7130A">
        <w:rPr>
          <w:rFonts w:eastAsia="Times New Roman"/>
          <w:bCs/>
          <w:kern w:val="0"/>
          <w:szCs w:val="26"/>
          <w:rtl/>
          <w14:ligatures w14:val="none"/>
        </w:rPr>
        <w:t>ز.</w:t>
      </w:r>
      <w:r w:rsidR="002E1856" w:rsidRPr="00C7130A">
        <w:rPr>
          <w:rFonts w:eastAsia="Times New Roman"/>
          <w:bCs/>
          <w:kern w:val="0"/>
          <w:szCs w:val="26"/>
          <w:rtl/>
          <w14:ligatures w14:val="none"/>
        </w:rPr>
        <w:tab/>
      </w:r>
      <w:r w:rsidR="002E1856" w:rsidRPr="00005C98">
        <w:rPr>
          <w:rFonts w:eastAsia="Times New Roman"/>
          <w:bCs/>
          <w:kern w:val="0"/>
          <w:rtl/>
          <w14:ligatures w14:val="none"/>
        </w:rPr>
        <w:t>الحجاب</w:t>
      </w:r>
    </w:p>
    <w:p w14:paraId="44B317B5" w14:textId="75D74C60"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noProof/>
          <w:kern w:val="0"/>
          <w:rtl/>
          <w:lang w:val="ar-SA" w:eastAsia="ar-SA" w:bidi="ar-JO"/>
          <w14:ligatures w14:val="none"/>
        </w:rPr>
        <w:t>كان هناك</w:t>
      </w:r>
      <w:r w:rsidRPr="00005C98">
        <w:rPr>
          <w:rFonts w:eastAsia="Times New Roman"/>
          <w:kern w:val="0"/>
          <w:rtl/>
          <w:lang w:bidi="ar-JO"/>
          <w14:ligatures w14:val="none"/>
        </w:rPr>
        <w:t xml:space="preserve"> حجاب يتدلّى بين القدس وقدس الأقداس.  ولم يكن مسموحاً للكهنة الذين يخدمون في القدس بأن يمرّوا عبر الحجاب.  فكان رئيس الكهنة هو الوحيد الذي يمكنه عبور الحجاب والدخول إلى حضرة الله القائم فوق كرسي الرحمة من تابوت العهد.  ولم يكن في مقدور رئيس الكهنة أن يفعل ذلك إلاّ مرة واحدة في السنة في يوم الكفّارة.  ولا يهدف الحجاب إلى تعليم الانفصال عن الله، أي إبقاء الناس خارجاً، لأن كل شيء آخر كان يهدف إلى تعليم طريق الوصول إلى الله.  وعلى أساس عبرانيين 9: 8، كان الغرض من الحجاب هو الإشارة، من خلال عدم إمكانية وصول الجميع إلى قدس الأقداس، إلى أن الطريق إلى الله لم يعلن بعد.</w:t>
      </w:r>
    </w:p>
    <w:p w14:paraId="25A14D2D"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لم تكن الطريق إلى الله واضحة بعد تحت العهد القديم.  أمّا بالنسبة للمؤمنين بالمسيح اليوم، فالطريق مفتوحة بشكل واضح ويمكن الوصول إليها كما تقول عبرانيين 10: 19-22:</w:t>
      </w:r>
    </w:p>
    <w:p w14:paraId="381A89B2"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05C98">
        <w:rPr>
          <w:rFonts w:eastAsia="Times New Roman"/>
          <w:kern w:val="0"/>
          <w:rtl/>
          <w:lang w:bidi="ar-JO"/>
          <w14:ligatures w14:val="none"/>
        </w:rPr>
        <w:t>"فإذْ لنا أيها الإخوة ثقة بالدخول إلى ’الأقداس‘ بدم يسوع، طريقاً كرّسه لنا حديثاً حيّاً، بالحجاب، أي جسده، وكاهن عظيم على بيت الله، لنتقدم…"</w:t>
      </w:r>
    </w:p>
    <w:p w14:paraId="6D213D0A"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05C98">
        <w:rPr>
          <w:rFonts w:eastAsia="Times New Roman"/>
          <w:kern w:val="0"/>
          <w:rtl/>
          <w:lang w:bidi="ar-JO"/>
          <w14:ligatures w14:val="none"/>
        </w:rPr>
        <w:t>وفي نفس اليوم الذي صُلب فيه يسوع (متّى 27: 51) انشق حجاب الهيكل، فكان هذا دلالةً على أن الطريق صارت الآن مفتوحة أمام كل الذين يأتون من خلال يسوع.  وهكذا لنا إمكانية الدخول دائماً وبشكلٍ مستمر إلى حضرة الله!</w:t>
      </w:r>
    </w:p>
    <w:p w14:paraId="2F2F9E7F"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14:ligatures w14:val="none"/>
        </w:rPr>
      </w:pPr>
    </w:p>
    <w:p w14:paraId="50E03D56" w14:textId="77777777" w:rsidR="002E1856" w:rsidRPr="00005C98"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14:ligatures w14:val="none"/>
        </w:rPr>
      </w:pPr>
    </w:p>
    <w:p w14:paraId="459DE5DB" w14:textId="77777777" w:rsidR="002E1856" w:rsidRPr="00D014BE" w:rsidRDefault="002E1856" w:rsidP="00C7130A">
      <w:pPr>
        <w:tabs>
          <w:tab w:val="left" w:pos="454"/>
        </w:tabs>
        <w:spacing w:after="60"/>
        <w:ind w:left="550" w:hanging="550"/>
        <w:jc w:val="both"/>
        <w:rPr>
          <w:rFonts w:eastAsia="Times New Roman"/>
          <w:bCs/>
          <w:kern w:val="0"/>
          <w:rtl/>
          <w14:ligatures w14:val="none"/>
        </w:rPr>
      </w:pPr>
      <w:r w:rsidRPr="00C7130A">
        <w:rPr>
          <w:rFonts w:eastAsia="Times New Roman"/>
          <w:bCs/>
          <w:kern w:val="0"/>
          <w:szCs w:val="26"/>
          <w:rtl/>
          <w14:ligatures w14:val="none"/>
        </w:rPr>
        <w:t>ح.</w:t>
      </w:r>
      <w:r w:rsidRPr="00C7130A">
        <w:rPr>
          <w:rFonts w:eastAsia="Times New Roman"/>
          <w:bCs/>
          <w:kern w:val="0"/>
          <w:szCs w:val="26"/>
          <w:rtl/>
          <w14:ligatures w14:val="none"/>
        </w:rPr>
        <w:tab/>
      </w:r>
      <w:r w:rsidRPr="00D014BE">
        <w:rPr>
          <w:rFonts w:eastAsia="Times New Roman"/>
          <w:bCs/>
          <w:kern w:val="0"/>
          <w:rtl/>
          <w14:ligatures w14:val="none"/>
        </w:rPr>
        <w:t xml:space="preserve">تابوت العهد </w:t>
      </w:r>
    </w:p>
    <w:p w14:paraId="5587E5B0" w14:textId="41021EDA"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014BE">
        <w:rPr>
          <w:rFonts w:eastAsia="Times New Roman"/>
          <w:noProof/>
          <w:kern w:val="0"/>
          <w:rtl/>
          <w:lang w:val="ar-SA" w:eastAsia="ar-SA" w:bidi="ar-JO"/>
          <w14:ligatures w14:val="none"/>
        </w:rPr>
        <w:lastRenderedPageBreak/>
        <w:drawing>
          <wp:anchor distT="0" distB="0" distL="114300" distR="114300" simplePos="0" relativeHeight="251663360" behindDoc="1" locked="0" layoutInCell="1" allowOverlap="1" wp14:anchorId="5BDFB013" wp14:editId="214DCEC5">
            <wp:simplePos x="0" y="0"/>
            <wp:positionH relativeFrom="column">
              <wp:posOffset>0</wp:posOffset>
            </wp:positionH>
            <wp:positionV relativeFrom="paragraph">
              <wp:posOffset>427355</wp:posOffset>
            </wp:positionV>
            <wp:extent cx="2771775" cy="1828800"/>
            <wp:effectExtent l="0" t="0" r="0" b="0"/>
            <wp:wrapSquare wrapText="left"/>
            <wp:docPr id="1021627077" name="Picture 5" descr="A drawing of a ark of the coven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627077" name="Picture 5" descr="A drawing of a ark of the covenant&#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7177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014BE">
        <w:rPr>
          <w:rFonts w:eastAsia="Times New Roman"/>
          <w:kern w:val="0"/>
          <w:rtl/>
          <w:lang w:bidi="ar-JO"/>
          <w14:ligatures w14:val="none"/>
        </w:rPr>
        <w:t>كان الكاهن الأعلى يدخل قدس الأقداس من خلال الحجاب في يوم الكفّارة، فيجد أمامه صندوقاً على شكل تابوت يعرف باسم تابوت العهد.  وكان لتابوت العهد غطاء من ذهب يدعى كرسي الرحمة الذي يقف عليه كروبان (ملاكان) متصلان، واحد عند كل طرف.  وكانت أنظار الكروبين متجهة إلى الأسفل باتجاه كرسي الرحمة.  وكان يوضع على كرسي الرحمة دم من الذبائح المقدمة في يوم الكفّارة أمّا في داخل الصندوق، فوُضِعت ثلاثة أشياء: إناء ذهبي فيه المن، وعصا هارون التي أفرخت، ولوحا الشهادة (عبرانيين 9: 4).</w:t>
      </w:r>
    </w:p>
    <w:p w14:paraId="598376B0" w14:textId="77777777"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014BE">
        <w:rPr>
          <w:rFonts w:eastAsia="Times New Roman"/>
          <w:kern w:val="0"/>
          <w:rtl/>
          <w:lang w:bidi="ar-JO"/>
          <w14:ligatures w14:val="none"/>
        </w:rPr>
        <w:t>يقول ديفيس،</w:t>
      </w:r>
    </w:p>
    <w:p w14:paraId="236D3167" w14:textId="77777777"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D014BE">
        <w:rPr>
          <w:rFonts w:eastAsia="Times New Roman"/>
          <w:kern w:val="0"/>
          <w:rtl/>
          <w:lang w:bidi="ar-JO"/>
          <w14:ligatures w14:val="none"/>
        </w:rPr>
        <w:t>إن الكلمة المترجمة إلى "كرسي الرحمة" مشتقة من جذر عبري يعني "يغطّي"، وهي بهذا تصوّر جانباً هاماً من الرحمة الإلهية.  وفوق كرسي الرحمة كان يحلُّ مجد الشكينة الذي رمَز إلى حضور الله.</w:t>
      </w:r>
      <w:r w:rsidRPr="00D014BE">
        <w:rPr>
          <w:rFonts w:eastAsia="Times New Roman"/>
          <w:kern w:val="0"/>
          <w:vertAlign w:val="superscript"/>
          <w:rtl/>
          <w:lang w:bidi="ar-JO"/>
          <w14:ligatures w14:val="none"/>
        </w:rPr>
        <w:footnoteReference w:id="81"/>
      </w:r>
      <w:r w:rsidRPr="00D014BE">
        <w:rPr>
          <w:rFonts w:eastAsia="Times New Roman"/>
          <w:kern w:val="0"/>
          <w:rtl/>
          <w:lang w:bidi="ar-JO"/>
          <w14:ligatures w14:val="none"/>
        </w:rPr>
        <w:t xml:space="preserve">  </w:t>
      </w:r>
    </w:p>
    <w:p w14:paraId="2F0D12BD" w14:textId="77777777"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D014BE">
        <w:rPr>
          <w:rFonts w:eastAsia="Times New Roman"/>
          <w:kern w:val="0"/>
          <w:rtl/>
          <w:lang w:bidi="ar-JO"/>
          <w14:ligatures w14:val="none"/>
        </w:rPr>
        <w:t>دعا بنو إسرائيل كرسي الرحمة "كبّورِت</w:t>
      </w:r>
      <w:r w:rsidRPr="00D014BE">
        <w:rPr>
          <w:rFonts w:eastAsia="Times New Roman"/>
          <w:kern w:val="0"/>
          <w:lang w:bidi="ar-JO"/>
          <w14:ligatures w14:val="none"/>
        </w:rPr>
        <w:t xml:space="preserve"> </w:t>
      </w:r>
      <w:r w:rsidRPr="00D014BE">
        <w:rPr>
          <w:rFonts w:ascii="Times New Roman" w:eastAsia="Times New Roman" w:hAnsi="Times New Roman" w:cs="Times New Roman" w:hint="cs"/>
          <w:kern w:val="0"/>
          <w:rtl/>
          <w:lang w:bidi="he-IL"/>
          <w14:ligatures w14:val="none"/>
        </w:rPr>
        <w:t>כַּפֹּרֶת</w:t>
      </w:r>
      <w:r w:rsidRPr="00D014BE">
        <w:rPr>
          <w:rFonts w:eastAsia="Times New Roman"/>
          <w:kern w:val="0"/>
          <w:rtl/>
          <w14:ligatures w14:val="none"/>
        </w:rPr>
        <w:t xml:space="preserve"> </w:t>
      </w:r>
      <w:r w:rsidRPr="00D014BE">
        <w:rPr>
          <w:rFonts w:eastAsia="Times New Roman"/>
          <w:kern w:val="0"/>
          <w14:ligatures w14:val="none"/>
        </w:rPr>
        <w:t>kapporeth</w:t>
      </w:r>
      <w:r w:rsidRPr="00D014BE">
        <w:rPr>
          <w:rFonts w:eastAsia="Times New Roman"/>
          <w:kern w:val="0"/>
          <w:rtl/>
          <w:lang w:bidi="ar-JO"/>
          <w14:ligatures w14:val="none"/>
        </w:rPr>
        <w:t xml:space="preserve"> " (غطاء، أو الاسترضاء، أو مكان الغفران، أو الكفّارة)، وهي كلمة مشتقة من الجذر</w:t>
      </w:r>
      <w:r w:rsidRPr="00D014BE">
        <w:rPr>
          <w:rFonts w:eastAsia="Times New Roman"/>
          <w:kern w:val="0"/>
          <w:rtl/>
          <w14:ligatures w14:val="none"/>
        </w:rPr>
        <w:t xml:space="preserve"> </w:t>
      </w:r>
      <w:r w:rsidRPr="00D014BE">
        <w:rPr>
          <w:rFonts w:eastAsia="Times New Roman"/>
          <w:bCs/>
          <w:i/>
          <w:iCs/>
          <w:kern w:val="0"/>
          <w:lang w:bidi="ar-JO"/>
          <w14:ligatures w14:val="none"/>
        </w:rPr>
        <w:t>kipper</w:t>
      </w:r>
      <w:r w:rsidRPr="00D014BE">
        <w:rPr>
          <w:rFonts w:eastAsia="Times New Roman"/>
          <w:kern w:val="0"/>
          <w:rtl/>
          <w:lang w:bidi="ar-JO"/>
          <w14:ligatures w14:val="none"/>
        </w:rPr>
        <w:t xml:space="preserve"> كابَر (يغطّي).  وبوجود لوحي الشريعة في تابوت العهد، كان كرسي الرحمة يُشير على أن الشريعة المكسورة يجب أن تغطّى بالدم قبل أن يصير ممكناً أن تكون لله شركة مع شعبه ويسكن بينهم.  </w:t>
      </w:r>
      <w:r w:rsidRPr="00D014BE">
        <w:rPr>
          <w:rFonts w:eastAsia="Times New Roman"/>
          <w:kern w:val="0"/>
          <w:rtl/>
          <w14:ligatures w14:val="none"/>
        </w:rPr>
        <w:t>ومع تغطية الدم لكرسي الرحمة، كانت مطالب الله القدوس البار تتم تلبيتها (وهي الفكرة الأساسية في التكفير).  تُصوِّر رومية 3: 24،25 كرسي الرحمة عندما تشرح كيف أن الدم الذي كان يسكبه رئيس الكهنة يرمز إلى دم المسيح ويتوقعه: "متبرّرين مجاناً بنعمته بالفداء الذي بيسوع المسيح، الذي قدّمه الله كفّارة بالإيمان بدمه."  لم يكن ممكناً أن يلتقي الله بشعبه إلاّ عند كرسي الرحمة (خروج 25: 22)؛ وكان هذا ممكناً على أساس الكفّارة.  وهكذا كان تابوت العهد، بمعنى ما، رمزاً لعرش الله (1صموئيل 4: 4؛ 2صموئيل 6: 2؛ 1أخبار 13: 6)، ممثلاً الكرسي الأرضي للسيادة الإلهية.  فلم يكن يمكن الوصول إلى عرش الله إلاّ من خلال ما يقدّمه كرسي الرحمة.  ويشترك كرسي الرحمة في العهد القديم والصليب في العهد الجديد في شيء واحد، ألا وهو أن هذا هو المكان الذي يرضي فيه دم الكفّارة غضب الله.</w:t>
      </w:r>
    </w:p>
    <w:p w14:paraId="239499BB" w14:textId="77777777"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D014BE">
        <w:rPr>
          <w:rFonts w:eastAsia="Times New Roman"/>
          <w:kern w:val="0"/>
          <w:rtl/>
          <w:lang w:bidi="ar-JO"/>
          <w14:ligatures w14:val="none"/>
        </w:rPr>
        <w:lastRenderedPageBreak/>
        <w:t>وتلخيصاً لما سبق، يمكننا القول إن المذبح النحاسي والمرحضة النحاسية وكرسي الرحمة يشكّلان أساس الشركة.  أمّا مذبح البخور وخبز التقدمة والمنارة فتشير إلى المسؤولية والامتياز.  تجيب خيمة الاجتماع عن السؤال حول الأساس الذي عليه يسكن الله بين شعبه.</w:t>
      </w:r>
    </w:p>
    <w:p w14:paraId="16DA4FD6" w14:textId="77777777" w:rsidR="002E1856" w:rsidRPr="00D014BE"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14:ligatures w14:val="none"/>
        </w:rPr>
      </w:pPr>
    </w:p>
    <w:p w14:paraId="5035815C" w14:textId="77777777" w:rsidR="002E1856" w:rsidRPr="00D014BE" w:rsidRDefault="002E1856" w:rsidP="00C7130A">
      <w:pPr>
        <w:tabs>
          <w:tab w:val="left" w:pos="454"/>
        </w:tabs>
        <w:spacing w:after="60"/>
        <w:jc w:val="both"/>
        <w:rPr>
          <w:rFonts w:eastAsia="Times New Roman"/>
          <w:bCs/>
          <w:kern w:val="0"/>
          <w:sz w:val="44"/>
          <w:rtl/>
          <w:lang w:bidi="ar-JO"/>
          <w14:ligatures w14:val="none"/>
        </w:rPr>
      </w:pPr>
      <w:r w:rsidRPr="00D014BE">
        <w:rPr>
          <w:rFonts w:eastAsia="Times New Roman"/>
          <w:bCs/>
          <w:kern w:val="0"/>
          <w:sz w:val="44"/>
          <w:rtl/>
          <w:lang w:bidi="ar-JO"/>
          <w14:ligatures w14:val="none"/>
        </w:rPr>
        <w:t>6.</w:t>
      </w:r>
      <w:r w:rsidRPr="00D014BE">
        <w:rPr>
          <w:rFonts w:eastAsia="Times New Roman"/>
          <w:bCs/>
          <w:kern w:val="0"/>
          <w:sz w:val="44"/>
          <w:rtl/>
          <w:lang w:bidi="ar-JO"/>
          <w14:ligatures w14:val="none"/>
        </w:rPr>
        <w:tab/>
        <w:t>الفاصل التاريخي (خروج 32-34)</w:t>
      </w:r>
    </w:p>
    <w:p w14:paraId="2FB07E3D" w14:textId="62408D9C"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014BE">
        <w:rPr>
          <w:rFonts w:eastAsia="Times New Roman"/>
          <w:kern w:val="0"/>
          <w:rtl/>
          <w:lang w:bidi="ar-JO"/>
          <w14:ligatures w14:val="none"/>
        </w:rPr>
        <w:t>هذه الأصحاحات الثلاثة هامة في ما يتعلق بعلاقة إسرائيل بيهوه.  فضمن وقت قصير من تلقّي إسرائيل للشريعة والموافقة على طاعته</w:t>
      </w:r>
      <w:r w:rsidRPr="00D014BE">
        <w:rPr>
          <w:rFonts w:eastAsia="Times New Roman"/>
          <w:kern w:val="0"/>
          <w:rtl/>
          <w14:ligatures w14:val="none"/>
        </w:rPr>
        <w:t>ا</w:t>
      </w:r>
      <w:r w:rsidRPr="00D014BE">
        <w:rPr>
          <w:rFonts w:eastAsia="Times New Roman"/>
          <w:kern w:val="0"/>
          <w:rtl/>
          <w:lang w:bidi="ar-JO"/>
          <w14:ligatures w14:val="none"/>
        </w:rPr>
        <w:t xml:space="preserve"> لله كشعبه الخاص الفريد بأن يكونوا وسطاء البركة لهذا العالم، قاموا بترك يهوه كلّياً وصنعوا عجلاً ذهبياً إلهاً له</w:t>
      </w:r>
      <w:r w:rsidRPr="00D014BE">
        <w:rPr>
          <w:rFonts w:eastAsia="Times New Roman"/>
          <w:kern w:val="0"/>
          <w:rtl/>
          <w14:ligatures w14:val="none"/>
        </w:rPr>
        <w:t>م</w:t>
      </w:r>
      <w:r w:rsidRPr="00D014BE">
        <w:rPr>
          <w:rFonts w:eastAsia="Times New Roman"/>
          <w:kern w:val="0"/>
          <w:rtl/>
          <w:lang w:bidi="ar-JO"/>
          <w14:ligatures w14:val="none"/>
        </w:rPr>
        <w:t>.  ويعلّق الربّ على ذلك بإيجاز بارع، فيقول: "زاغوا سريعاً عن الطريق الذي أوصيتهم به" (32: 8).  وتشكل هذه الحادثة مثالاً لعدم رغبتهم في اتباع السلطة الثيوقراطية (الإلهية)، حتى أن هارون نفسه يتصرّف بتمرّد. ويستجيب الله بأن يسمح لغضبه بأن يتقد ضد الشعب ليدمّرهم (</w:t>
      </w:r>
      <w:r w:rsidR="00910186" w:rsidRPr="00D014BE">
        <w:rPr>
          <w:rFonts w:eastAsia="Times New Roman"/>
          <w:kern w:val="0"/>
          <w:rtl/>
          <w:lang w:bidi="ar-JO"/>
          <w14:ligatures w14:val="none"/>
        </w:rPr>
        <w:t xml:space="preserve">خروج </w:t>
      </w:r>
      <w:r w:rsidRPr="00D014BE">
        <w:rPr>
          <w:rFonts w:eastAsia="Times New Roman"/>
          <w:kern w:val="0"/>
          <w:rtl/>
          <w:lang w:bidi="ar-JO"/>
          <w14:ligatures w14:val="none"/>
        </w:rPr>
        <w:t xml:space="preserve">32: 10).  غير أن الله يكْرم تشفّع موسى ويعفو عن الشعب. </w:t>
      </w:r>
    </w:p>
    <w:p w14:paraId="20E7BF81" w14:textId="77777777"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5AA8D6E" w14:textId="4C0235FA"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014BE">
        <w:rPr>
          <w:rFonts w:eastAsia="Times New Roman"/>
          <w:kern w:val="0"/>
          <w:rtl/>
          <w:lang w:bidi="ar-JO"/>
          <w14:ligatures w14:val="none"/>
        </w:rPr>
        <w:t xml:space="preserve">غير أن عفو الله عن الشعب لم يكن بسبب تشفّع خادم أمين فحسب.  فقد كان تشفّع موسى مبنياً على العهد </w:t>
      </w:r>
      <w:r w:rsidR="00D014BE" w:rsidRPr="00D014BE">
        <w:rPr>
          <w:rFonts w:eastAsia="Times New Roman" w:hint="cs"/>
          <w:kern w:val="0"/>
          <w:rtl/>
          <w:lang w:bidi="ar-JO"/>
          <w14:ligatures w14:val="none"/>
        </w:rPr>
        <w:t>الإبراهيمي (</w:t>
      </w:r>
      <w:r w:rsidRPr="00D014BE">
        <w:rPr>
          <w:rFonts w:eastAsia="Times New Roman"/>
          <w:kern w:val="0"/>
          <w:rtl/>
          <w:lang w:bidi="ar-JO"/>
          <w14:ligatures w14:val="none"/>
        </w:rPr>
        <w:t>32: 13-14) والاهتمام بمجد الله.  فالله يوافق أن يعفو عنهم حين يتوسّل إليه موسى حسب الخطّة الإلهية.  وهكذا يتبع العقاب المؤقت (32: 25-29) نيّة إلهية في حفظ العقاب الكامل ليوم مستقبلي (32: 34).</w:t>
      </w:r>
    </w:p>
    <w:p w14:paraId="2B009F70" w14:textId="77777777"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1F14382" w14:textId="77777777"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014BE">
        <w:rPr>
          <w:rFonts w:eastAsia="Times New Roman"/>
          <w:kern w:val="0"/>
          <w:rtl/>
          <w:lang w:bidi="ar-JO"/>
          <w14:ligatures w14:val="none"/>
        </w:rPr>
        <w:t>يواجه العفو عن الأمة لإعطائهم فرصة للدخول إلى أرض الموعد مشكلة أخرى.  فيهوه يرغب بأن يسمح لهم بالدخول إلى تلك الأرض، غير أنه سحب حضوره من وسطهم (33: 3).  ولذا يتشفع موسى مرّة أخرى من أجل الأمة، ممّا أسفر عن وعد يهوه بأن يرسل حضوره معهم.  وعندما أدرك موسى أنه نال نعمة عند الله (33: 17)، تجاسر أن يصلّي طالباً رؤية مجد الله (33: 18-34: 8).  تشير الاستجابة إلى أن الله يساوي ما بين صلاحه ومجده، وأنه يجد لذّة في كمال طبيعته.  وما يكشفه الله لموسى هو طبيعته الأخلاقية (خاصة رحمته ونعمته –وهما صفتان جعلتا العفو عن الأمة العاصية أمراً ممكناً).  ويستجيب موسى بالعبادة، وهي الاستجابة الصحيحة لإعلان الله عن ذاته (34: 8).</w:t>
      </w:r>
    </w:p>
    <w:p w14:paraId="2FB7B86E" w14:textId="77777777"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014BE">
        <w:rPr>
          <w:rFonts w:eastAsia="Times New Roman"/>
          <w:kern w:val="0"/>
          <w:rtl/>
          <w:lang w:bidi="ar-JO"/>
          <w14:ligatures w14:val="none"/>
        </w:rPr>
        <w:t>وفي 34: 10 نرى الله مستعداً أن يجدّد العهد مع الأمّة، حيت إنهم تركوه في ما يتعلق بالعهد الحالي.  يعرف الشعب الآن أن الله عفا عنهم بسبب العهد الإبراهيمي، لكنهم يعرفون أنهم لا يستطيعون التعامل مع نعمته على أنها أمر مفروغ منه.  إذ يستطيع أن يقضي على جيل كامل ويقيم جيلاً آخر لكي يحقق وعوده.  فالطاعة شرط مسبق لتحقيق الوعود الإبراهيمية.</w:t>
      </w:r>
    </w:p>
    <w:p w14:paraId="362B2483" w14:textId="77777777" w:rsidR="002E1856" w:rsidRPr="00D014BE"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14:ligatures w14:val="none"/>
        </w:rPr>
      </w:pPr>
    </w:p>
    <w:p w14:paraId="3024732F" w14:textId="77777777" w:rsidR="002E1856" w:rsidRPr="00D014BE" w:rsidRDefault="002E1856" w:rsidP="00C7130A">
      <w:pPr>
        <w:tabs>
          <w:tab w:val="left" w:pos="454"/>
        </w:tabs>
        <w:spacing w:after="60"/>
        <w:ind w:left="550" w:hanging="550"/>
        <w:jc w:val="both"/>
        <w:rPr>
          <w:rFonts w:eastAsia="Times New Roman"/>
          <w:bCs/>
          <w:kern w:val="0"/>
          <w:rtl/>
          <w14:ligatures w14:val="none"/>
        </w:rPr>
      </w:pPr>
      <w:r w:rsidRPr="00D014BE">
        <w:rPr>
          <w:rFonts w:eastAsia="Times New Roman"/>
          <w:bCs/>
          <w:kern w:val="0"/>
          <w:rtl/>
          <w14:ligatures w14:val="none"/>
        </w:rPr>
        <w:t>7.</w:t>
      </w:r>
      <w:r w:rsidRPr="00D014BE">
        <w:rPr>
          <w:rFonts w:eastAsia="Times New Roman"/>
          <w:bCs/>
          <w:kern w:val="0"/>
          <w:rtl/>
          <w14:ligatures w14:val="none"/>
        </w:rPr>
        <w:tab/>
        <w:t>ذروة سفر الخروج (40: 34-38)</w:t>
      </w:r>
    </w:p>
    <w:p w14:paraId="01639165" w14:textId="77777777" w:rsidR="002E1856" w:rsidRPr="00D014BE" w:rsidRDefault="002E185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014BE">
        <w:rPr>
          <w:rFonts w:eastAsia="Times New Roman"/>
          <w:kern w:val="0"/>
          <w:rtl/>
          <w:lang w:bidi="ar-JO"/>
          <w14:ligatures w14:val="none"/>
        </w:rPr>
        <w:lastRenderedPageBreak/>
        <w:t>بعد القسم المطوّل المتعلق بخيمة الاجتماع في الأصحاحات 25-40، يختتم السفر بمشهد مجد الشكينة وهو ينزل ليسكن في قدس الأقداس.  وهذه هي ذروة كل القسم المتعلق بخيمة الاجتماع، وهي تحضِّرنا لسفر اللاويين.  وتك</w:t>
      </w:r>
      <w:r w:rsidRPr="00D014BE">
        <w:rPr>
          <w:rFonts w:eastAsia="Times New Roman"/>
          <w:kern w:val="0"/>
          <w:rtl/>
          <w14:ligatures w14:val="none"/>
        </w:rPr>
        <w:t>م</w:t>
      </w:r>
      <w:r w:rsidRPr="00D014BE">
        <w:rPr>
          <w:rFonts w:eastAsia="Times New Roman"/>
          <w:kern w:val="0"/>
          <w:rtl/>
          <w:lang w:bidi="ar-JO"/>
          <w14:ligatures w14:val="none"/>
        </w:rPr>
        <w:t>ن أهمّية الخروج 40: 34-38 في أن الله السرمدي قد جاء الآن ليسكن في وسط شعبه.  ولهذا يجب على الشعب أن يعرف كيف يحيا معه.  ويدور سفر اللاويين عن كيفية ترتيب الحياة حول محضره.</w:t>
      </w:r>
    </w:p>
    <w:p w14:paraId="63CD6F76" w14:textId="77777777" w:rsidR="002E1856" w:rsidRPr="00C7130A" w:rsidRDefault="002E185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14:ligatures w14:val="none"/>
        </w:rPr>
      </w:pPr>
      <w:r w:rsidRPr="00C7130A">
        <w:rPr>
          <w:rFonts w:eastAsia="Times New Roman"/>
          <w:kern w:val="0"/>
          <w:sz w:val="18"/>
          <w:szCs w:val="20"/>
          <w:rtl/>
          <w14:ligatures w14:val="none"/>
        </w:rPr>
        <w:t xml:space="preserve">         </w:t>
      </w:r>
    </w:p>
    <w:p w14:paraId="561883FF" w14:textId="77777777" w:rsidR="006311FA" w:rsidRPr="00C7130A" w:rsidRDefault="006311FA"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p>
    <w:p w14:paraId="02D6FDC8" w14:textId="77777777" w:rsidR="005B452F" w:rsidRPr="00C7130A" w:rsidRDefault="005B452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p>
    <w:p w14:paraId="2BD8A7C5" w14:textId="0ACB6A1B" w:rsidR="008B149F" w:rsidRPr="00C7130A" w:rsidRDefault="008B149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kern w:val="0"/>
          <w:szCs w:val="24"/>
          <w14:ligatures w14:val="none"/>
        </w:rPr>
        <w:br w:type="page"/>
      </w:r>
    </w:p>
    <w:p w14:paraId="5CED7FEE" w14:textId="132B4EDB" w:rsidR="009810D1" w:rsidRPr="00C7130A" w:rsidRDefault="00851CEE" w:rsidP="00E80A44">
      <w:pPr>
        <w:pStyle w:val="Heading2"/>
      </w:pPr>
      <w:bookmarkStart w:id="211" w:name="_Toc193031011"/>
      <w:r w:rsidRPr="00C7130A">
        <w:rPr>
          <w:rtl/>
        </w:rPr>
        <w:lastRenderedPageBreak/>
        <w:t>الوحدة 3: الإعداد والتجهيز لدخول الأرض (لاويّين – تثنية)</w:t>
      </w:r>
      <w:bookmarkEnd w:id="211"/>
      <w:r w:rsidRPr="00C7130A">
        <w:rPr>
          <w:rtl/>
        </w:rPr>
        <w:t xml:space="preserve"> </w:t>
      </w:r>
    </w:p>
    <w:p w14:paraId="56CB2996" w14:textId="5BE3DB73" w:rsidR="009810D1" w:rsidRPr="00C7130A" w:rsidRDefault="00851CEE" w:rsidP="00D014BE">
      <w:pPr>
        <w:rPr>
          <w:rtl/>
          <w:lang w:bidi="ar-JO"/>
        </w:rPr>
      </w:pPr>
      <w:r w:rsidRPr="00C7130A">
        <w:rPr>
          <w:rtl/>
          <w:lang w:bidi="ar-JO"/>
        </w:rPr>
        <w:t>ندرس في هذه الوحدة أسفار اللاويين والعدد والتثنية. مع بدء سفر اللاونيين نرى الشعب وهو ما يزال عند جبل سيناء. يتلقّى الشعب هنا تعليمات</w:t>
      </w:r>
      <w:r w:rsidR="00910186" w:rsidRPr="00C7130A">
        <w:rPr>
          <w:rtl/>
          <w:lang w:bidi="ar-JO"/>
        </w:rPr>
        <w:t>ٍ</w:t>
      </w:r>
      <w:r w:rsidRPr="00C7130A">
        <w:rPr>
          <w:rtl/>
          <w:lang w:bidi="ar-JO"/>
        </w:rPr>
        <w:t xml:space="preserve"> أكثر تفصيلًا بشأن الأنواع المختلفة للذبائح التي ستُقدَّم في خيمة الاجتماع </w:t>
      </w:r>
      <w:r w:rsidR="00910186" w:rsidRPr="00C7130A">
        <w:rPr>
          <w:rtl/>
          <w:lang w:bidi="ar-JO"/>
        </w:rPr>
        <w:t>و</w:t>
      </w:r>
      <w:r w:rsidRPr="00C7130A">
        <w:rPr>
          <w:rtl/>
          <w:lang w:bidi="ar-JO"/>
        </w:rPr>
        <w:t>طريقة عمل هذا. يتمحور موضوع هذا السفر حول مفهوم "القداسة،" ولذا فإن هناك مزيد</w:t>
      </w:r>
      <w:r w:rsidR="00910186" w:rsidRPr="00C7130A">
        <w:rPr>
          <w:rtl/>
          <w:lang w:bidi="ar-JO"/>
        </w:rPr>
        <w:t>ًا</w:t>
      </w:r>
      <w:r w:rsidRPr="00C7130A">
        <w:rPr>
          <w:rtl/>
          <w:lang w:bidi="ar-JO"/>
        </w:rPr>
        <w:t xml:space="preserve"> من التعليم بشأن معنى القداسة من الناحية العملية. ومع بدء سفر العدد، نرى الشعب ما يزال أسفل جبل سيناء، ولكنّهم يتحضّرون للانطلاق إلى أرض كنعان – أرض الموعد. </w:t>
      </w:r>
      <w:r w:rsidR="00B94DF7" w:rsidRPr="00C7130A">
        <w:rPr>
          <w:rtl/>
          <w:lang w:bidi="ar-JO"/>
        </w:rPr>
        <w:t>بعد أن تركوا سيناء، أتوا إلى موقع قادش برنيع، ولكن بدلَ أن يطيعوا تعليمات الله بأن يدخلوا الأرض، تمرَّدوا ورفضوا الدخول خوفاً من الكنعانيّين سكّان الأرض. وبسبب تمرُّدهم حكم الله بأن يجعل ذلك الجيل يموت في البريّة خلال أربعين سنة. وأخيرًا، حين قام جيلٌ جديد وكان مستعدًّا للدخول إلى الأرض، أع</w:t>
      </w:r>
      <w:r w:rsidR="00910186" w:rsidRPr="00C7130A">
        <w:rPr>
          <w:rtl/>
          <w:lang w:bidi="ar-JO"/>
        </w:rPr>
        <w:t>طى</w:t>
      </w:r>
      <w:r w:rsidR="00B94DF7" w:rsidRPr="00C7130A">
        <w:rPr>
          <w:rtl/>
          <w:lang w:bidi="ar-JO"/>
        </w:rPr>
        <w:t xml:space="preserve"> الله </w:t>
      </w:r>
      <w:r w:rsidR="00910186" w:rsidRPr="00C7130A">
        <w:rPr>
          <w:rtl/>
          <w:lang w:bidi="ar-JO"/>
        </w:rPr>
        <w:t>آخر</w:t>
      </w:r>
      <w:r w:rsidR="00B94DF7" w:rsidRPr="00C7130A">
        <w:rPr>
          <w:rtl/>
          <w:lang w:bidi="ar-JO"/>
        </w:rPr>
        <w:t xml:space="preserve"> توصياته</w:t>
      </w:r>
      <w:r w:rsidR="00910186" w:rsidRPr="00C7130A">
        <w:rPr>
          <w:rtl/>
          <w:lang w:bidi="ar-JO"/>
        </w:rPr>
        <w:t xml:space="preserve"> وتعليمه</w:t>
      </w:r>
      <w:r w:rsidR="00B94DF7" w:rsidRPr="00C7130A">
        <w:rPr>
          <w:rtl/>
          <w:lang w:bidi="ar-JO"/>
        </w:rPr>
        <w:t xml:space="preserve"> (سفر التثنية)، حتى يدخل هذا الجيل الجديد بأمانة إلى الأرض ويطيع ناموس الله. </w:t>
      </w:r>
      <w:r w:rsidR="00910186" w:rsidRPr="00C7130A">
        <w:rPr>
          <w:rtl/>
          <w:lang w:bidi="ar-JO"/>
        </w:rPr>
        <w:t>ويُعطى الشعب</w:t>
      </w:r>
      <w:r w:rsidR="00B94DF7" w:rsidRPr="00C7130A">
        <w:rPr>
          <w:rtl/>
          <w:lang w:bidi="ar-JO"/>
        </w:rPr>
        <w:t xml:space="preserve"> تعليمًا عن البركات التي سيختبرونها للطاعة، ولكنَّهم يُحذَّرون أيضاً من الدينونة والتأديب الآتي</w:t>
      </w:r>
      <w:r w:rsidR="00910186" w:rsidRPr="00C7130A">
        <w:rPr>
          <w:rtl/>
          <w:lang w:bidi="ar-JO"/>
        </w:rPr>
        <w:t>َ</w:t>
      </w:r>
      <w:r w:rsidR="00B94DF7" w:rsidRPr="00C7130A">
        <w:rPr>
          <w:rtl/>
          <w:lang w:bidi="ar-JO"/>
        </w:rPr>
        <w:t>ين اللذ</w:t>
      </w:r>
      <w:r w:rsidR="00910186" w:rsidRPr="00C7130A">
        <w:rPr>
          <w:rtl/>
          <w:lang w:bidi="ar-JO"/>
        </w:rPr>
        <w:t>َ</w:t>
      </w:r>
      <w:r w:rsidR="00B94DF7" w:rsidRPr="00C7130A">
        <w:rPr>
          <w:rtl/>
          <w:lang w:bidi="ar-JO"/>
        </w:rPr>
        <w:t xml:space="preserve">ين سيجلبهما الله عليهم بسبب عصيانهم للعهد (تثنية 28-29). </w:t>
      </w:r>
    </w:p>
    <w:p w14:paraId="5F575E63" w14:textId="77777777" w:rsidR="00851CEE" w:rsidRPr="00C7130A" w:rsidRDefault="00851CEE"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 w:val="26"/>
          <w:szCs w:val="26"/>
          <w:rtl/>
          <w:lang w:bidi="ar-JO"/>
          <w14:ligatures w14:val="none"/>
        </w:rPr>
      </w:pPr>
    </w:p>
    <w:p w14:paraId="4B07313D" w14:textId="519B4BE7" w:rsidR="009810D1" w:rsidRPr="00C7130A" w:rsidRDefault="00B94DF7" w:rsidP="000558B7">
      <w:pPr>
        <w:pStyle w:val="Heading3"/>
      </w:pPr>
      <w:bookmarkStart w:id="212" w:name="_Toc193031012"/>
      <w:r w:rsidRPr="00C7130A">
        <w:rPr>
          <w:rtl/>
        </w:rPr>
        <w:t>مُخطَّط الوحدة</w:t>
      </w:r>
      <w:bookmarkEnd w:id="212"/>
    </w:p>
    <w:p w14:paraId="32E7B483" w14:textId="77777777" w:rsidR="00851CEE" w:rsidRPr="00D014BE" w:rsidRDefault="00851CEE" w:rsidP="00C7130A">
      <w:pPr>
        <w:ind w:left="1440" w:hanging="900"/>
        <w:contextualSpacing/>
        <w:rPr>
          <w:b/>
          <w:kern w:val="0"/>
          <w:rtl/>
          <w14:ligatures w14:val="none"/>
        </w:rPr>
      </w:pPr>
      <w:r w:rsidRPr="00D014BE">
        <w:rPr>
          <w:b/>
          <w:kern w:val="0"/>
          <w:rtl/>
          <w14:ligatures w14:val="none"/>
        </w:rPr>
        <w:t xml:space="preserve">الدرس 7: ذبائح وأعياد عبادات العهد القديم (لاويين 1-23) </w:t>
      </w:r>
    </w:p>
    <w:p w14:paraId="7E04CB7F" w14:textId="77777777" w:rsidR="00851CEE" w:rsidRPr="00D014BE" w:rsidRDefault="00851CEE" w:rsidP="00C7130A">
      <w:pPr>
        <w:ind w:left="1440" w:hanging="900"/>
        <w:contextualSpacing/>
        <w:rPr>
          <w:b/>
          <w:kern w:val="0"/>
          <w:rtl/>
          <w14:ligatures w14:val="none"/>
        </w:rPr>
      </w:pPr>
      <w:r w:rsidRPr="00D014BE">
        <w:rPr>
          <w:b/>
          <w:kern w:val="0"/>
          <w:rtl/>
          <w14:ligatures w14:val="none"/>
        </w:rPr>
        <w:t xml:space="preserve">الدرس 8: سنوات البرّيّة الأربعون (سفر العدد 1-36) </w:t>
      </w:r>
    </w:p>
    <w:p w14:paraId="18FFB309" w14:textId="77777777" w:rsidR="00851CEE" w:rsidRPr="00D014BE" w:rsidRDefault="00851CEE" w:rsidP="00C7130A">
      <w:pPr>
        <w:ind w:left="1440" w:hanging="900"/>
        <w:contextualSpacing/>
        <w:rPr>
          <w:b/>
          <w:kern w:val="0"/>
          <w:rtl/>
          <w:lang w:bidi="ar-JO"/>
          <w14:ligatures w14:val="none"/>
        </w:rPr>
      </w:pPr>
      <w:r w:rsidRPr="00D014BE">
        <w:rPr>
          <w:b/>
          <w:kern w:val="0"/>
          <w:rtl/>
          <w14:ligatures w14:val="none"/>
        </w:rPr>
        <w:t xml:space="preserve">الدرس 9: </w:t>
      </w:r>
      <w:r w:rsidRPr="00D014BE">
        <w:rPr>
          <w:b/>
          <w:kern w:val="0"/>
          <w:rtl/>
          <w:lang w:bidi="ar-JO"/>
          <w14:ligatures w14:val="none"/>
        </w:rPr>
        <w:t>توصية الجيل الجديد (تثنية 1-34)</w:t>
      </w:r>
    </w:p>
    <w:p w14:paraId="11118491" w14:textId="5C8F862E" w:rsidR="009810D1" w:rsidRPr="00C7130A" w:rsidRDefault="00B94DF7" w:rsidP="000558B7">
      <w:pPr>
        <w:pStyle w:val="Heading3"/>
      </w:pPr>
      <w:bookmarkStart w:id="213" w:name="_Toc193031013"/>
      <w:r w:rsidRPr="00C7130A">
        <w:rPr>
          <w:rtl/>
        </w:rPr>
        <w:t>أهداف الوحدة</w:t>
      </w:r>
      <w:bookmarkEnd w:id="213"/>
    </w:p>
    <w:p w14:paraId="68175AF5" w14:textId="313A51D9" w:rsidR="009810D1" w:rsidRPr="00D014BE" w:rsidRDefault="00B94DF7"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D014BE">
        <w:rPr>
          <w:rFonts w:eastAsia="Calibri"/>
          <w:kern w:val="0"/>
          <w:rtl/>
          <w14:ligatures w14:val="none"/>
        </w:rPr>
        <w:t xml:space="preserve">بانتهائك من دراسة هذه الوحدة، ستكون قادرًا على ما يلي: </w:t>
      </w:r>
    </w:p>
    <w:p w14:paraId="4D0F612A" w14:textId="4F66ABBC" w:rsidR="0018244A" w:rsidRPr="009C6517" w:rsidRDefault="00B94DF7">
      <w:pPr>
        <w:pStyle w:val="ListParagraph"/>
        <w:numPr>
          <w:ilvl w:val="0"/>
          <w:numId w:val="26"/>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9C6517">
        <w:rPr>
          <w:rFonts w:eastAsia="Calibri"/>
          <w:kern w:val="0"/>
          <w:rtl/>
          <w14:ligatures w14:val="none"/>
        </w:rPr>
        <w:t>أن تعدِّد الذبائح الرئيسية التي كان العبرانيّون يقدِّمو</w:t>
      </w:r>
      <w:r w:rsidR="00910186" w:rsidRPr="009C6517">
        <w:rPr>
          <w:rFonts w:eastAsia="Calibri"/>
          <w:kern w:val="0"/>
          <w:rtl/>
          <w14:ligatures w14:val="none"/>
        </w:rPr>
        <w:t>ن</w:t>
      </w:r>
      <w:r w:rsidRPr="009C6517">
        <w:rPr>
          <w:rFonts w:eastAsia="Calibri"/>
          <w:kern w:val="0"/>
          <w:rtl/>
          <w14:ligatures w14:val="none"/>
        </w:rPr>
        <w:t xml:space="preserve">ها وتبيّن مغزاها. </w:t>
      </w:r>
    </w:p>
    <w:p w14:paraId="51ACA2C6" w14:textId="1D089BF7" w:rsidR="00B94DF7" w:rsidRPr="009C6517" w:rsidRDefault="00B94DF7">
      <w:pPr>
        <w:pStyle w:val="ListParagraph"/>
        <w:numPr>
          <w:ilvl w:val="0"/>
          <w:numId w:val="26"/>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9C6517">
        <w:rPr>
          <w:rFonts w:eastAsia="Calibri"/>
          <w:kern w:val="0"/>
          <w:rtl/>
          <w14:ligatures w14:val="none"/>
        </w:rPr>
        <w:t xml:space="preserve">أن تبيِّن الأعياد التي ينبغي أن يشارك فيها المرء، وأن تشرح معناها الرمزي. </w:t>
      </w:r>
    </w:p>
    <w:p w14:paraId="6E5412DE" w14:textId="48F7BE8B" w:rsidR="00B94DF7" w:rsidRPr="009C6517" w:rsidRDefault="00F66F74">
      <w:pPr>
        <w:pStyle w:val="ListParagraph"/>
        <w:numPr>
          <w:ilvl w:val="0"/>
          <w:numId w:val="26"/>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9C6517">
        <w:rPr>
          <w:rFonts w:eastAsia="Calibri"/>
          <w:kern w:val="0"/>
          <w:rtl/>
          <w14:ligatures w14:val="none"/>
        </w:rPr>
        <w:t>أن تشرح تمرّ</w:t>
      </w:r>
      <w:r w:rsidR="00910186" w:rsidRPr="009C6517">
        <w:rPr>
          <w:rFonts w:eastAsia="Calibri"/>
          <w:kern w:val="0"/>
          <w:rtl/>
          <w14:ligatures w14:val="none"/>
        </w:rPr>
        <w:t>ُ</w:t>
      </w:r>
      <w:r w:rsidRPr="009C6517">
        <w:rPr>
          <w:rFonts w:eastAsia="Calibri"/>
          <w:kern w:val="0"/>
          <w:rtl/>
          <w14:ligatures w14:val="none"/>
        </w:rPr>
        <w:t xml:space="preserve">د وخطية الشعب في قادش برنيع ودينونة الله التي أعقبت ذلك. </w:t>
      </w:r>
    </w:p>
    <w:p w14:paraId="509288F3" w14:textId="67CC31BE" w:rsidR="00F66F74" w:rsidRPr="009C6517" w:rsidRDefault="00F66F74">
      <w:pPr>
        <w:pStyle w:val="ListParagraph"/>
        <w:numPr>
          <w:ilvl w:val="0"/>
          <w:numId w:val="26"/>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9C6517">
        <w:rPr>
          <w:rFonts w:eastAsia="Calibri"/>
          <w:kern w:val="0"/>
          <w:rtl/>
          <w14:ligatures w14:val="none"/>
        </w:rPr>
        <w:t>أن تبي</w:t>
      </w:r>
      <w:r w:rsidR="00910186" w:rsidRPr="009C6517">
        <w:rPr>
          <w:rFonts w:eastAsia="Calibri"/>
          <w:kern w:val="0"/>
          <w:rtl/>
          <w14:ligatures w14:val="none"/>
        </w:rPr>
        <w:t>ِّ</w:t>
      </w:r>
      <w:r w:rsidRPr="009C6517">
        <w:rPr>
          <w:rFonts w:eastAsia="Calibri"/>
          <w:kern w:val="0"/>
          <w:rtl/>
          <w14:ligatures w14:val="none"/>
        </w:rPr>
        <w:t xml:space="preserve">ن مغزى "أقوال بلعام" في ما يتعلَّق بوعود عهد الله. </w:t>
      </w:r>
    </w:p>
    <w:p w14:paraId="3FDBF254" w14:textId="2D9D5F5D" w:rsidR="00F66F74" w:rsidRPr="009C6517" w:rsidRDefault="00F66F74">
      <w:pPr>
        <w:pStyle w:val="ListParagraph"/>
        <w:numPr>
          <w:ilvl w:val="0"/>
          <w:numId w:val="26"/>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9C6517">
        <w:rPr>
          <w:rFonts w:eastAsia="Calibri"/>
          <w:kern w:val="0"/>
          <w:rtl/>
          <w14:ligatures w14:val="none"/>
        </w:rPr>
        <w:t xml:space="preserve">أن تكتب قائمةً بـ"الدوافع" المختلفة للطاعة التي تُقدَّم للجيل الجديد في سفر التثنية. </w:t>
      </w:r>
    </w:p>
    <w:p w14:paraId="09603B18" w14:textId="0623521F" w:rsidR="00F66F74" w:rsidRDefault="00F66F74">
      <w:pPr>
        <w:pStyle w:val="ListParagraph"/>
        <w:numPr>
          <w:ilvl w:val="0"/>
          <w:numId w:val="26"/>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9C6517">
        <w:rPr>
          <w:rFonts w:eastAsia="Calibri"/>
          <w:kern w:val="0"/>
          <w:rtl/>
          <w14:ligatures w14:val="none"/>
        </w:rPr>
        <w:t>أن تصف أهم</w:t>
      </w:r>
      <w:r w:rsidR="00910186" w:rsidRPr="009C6517">
        <w:rPr>
          <w:rFonts w:eastAsia="Calibri"/>
          <w:kern w:val="0"/>
          <w:rtl/>
          <w14:ligatures w14:val="none"/>
        </w:rPr>
        <w:t>ّ</w:t>
      </w:r>
      <w:r w:rsidRPr="009C6517">
        <w:rPr>
          <w:rFonts w:eastAsia="Calibri"/>
          <w:kern w:val="0"/>
          <w:rtl/>
          <w14:ligatures w14:val="none"/>
        </w:rPr>
        <w:t>ي</w:t>
      </w:r>
      <w:r w:rsidR="00910186" w:rsidRPr="009C6517">
        <w:rPr>
          <w:rFonts w:eastAsia="Calibri"/>
          <w:kern w:val="0"/>
          <w:rtl/>
          <w14:ligatures w14:val="none"/>
        </w:rPr>
        <w:t>ّ</w:t>
      </w:r>
      <w:r w:rsidRPr="009C6517">
        <w:rPr>
          <w:rFonts w:eastAsia="Calibri"/>
          <w:kern w:val="0"/>
          <w:rtl/>
          <w14:ligatures w14:val="none"/>
        </w:rPr>
        <w:t xml:space="preserve">ة تثنية 28-29 (البركات واللعنات) لمستقبل الأمة. </w:t>
      </w:r>
    </w:p>
    <w:p w14:paraId="3EE6465B" w14:textId="77777777" w:rsidR="00243985" w:rsidRPr="009C6517" w:rsidRDefault="00243985" w:rsidP="00243985">
      <w:pPr>
        <w:pStyle w:val="ListParagraph"/>
        <w:tabs>
          <w:tab w:val="left" w:pos="0"/>
          <w:tab w:val="left" w:pos="540"/>
          <w:tab w:val="left" w:pos="1080"/>
          <w:tab w:val="left" w:pos="1620"/>
          <w:tab w:val="left" w:pos="2160"/>
          <w:tab w:val="left" w:pos="2700"/>
          <w:tab w:val="left" w:pos="3240"/>
          <w:tab w:val="left" w:pos="3780"/>
          <w:tab w:val="left" w:pos="4320"/>
          <w:tab w:val="left" w:pos="4860"/>
        </w:tabs>
        <w:spacing w:after="200"/>
        <w:ind w:left="1080"/>
        <w:rPr>
          <w:rFonts w:eastAsia="Calibri"/>
          <w:kern w:val="0"/>
          <w14:ligatures w14:val="none"/>
        </w:rPr>
      </w:pPr>
    </w:p>
    <w:p w14:paraId="2B486AA1" w14:textId="75B20D99" w:rsidR="008B149F" w:rsidRPr="00785A9F" w:rsidRDefault="00851CEE" w:rsidP="00E80A44">
      <w:pPr>
        <w:pStyle w:val="Heading2"/>
      </w:pPr>
      <w:bookmarkStart w:id="214" w:name="_Toc193031014"/>
      <w:r w:rsidRPr="00785A9F">
        <w:rPr>
          <w:rtl/>
        </w:rPr>
        <w:lastRenderedPageBreak/>
        <w:t>الدرس 7: ذبائح وأعياد عبادات العهد القديم (لاويين 1-23)</w:t>
      </w:r>
      <w:bookmarkEnd w:id="214"/>
    </w:p>
    <w:p w14:paraId="18731AF8" w14:textId="777F701C" w:rsidR="00311C51" w:rsidRPr="00C7130A" w:rsidRDefault="00311C5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p>
    <w:p w14:paraId="142F78CF" w14:textId="2424CB75" w:rsidR="008B149F" w:rsidRPr="00C7130A" w:rsidRDefault="001F4CAD" w:rsidP="000558B7">
      <w:pPr>
        <w:pStyle w:val="Heading3"/>
      </w:pPr>
      <w:bookmarkStart w:id="215" w:name="_Toc193031015"/>
      <w:r w:rsidRPr="00C7130A">
        <w:rPr>
          <w:rtl/>
        </w:rPr>
        <w:t>مُقدِّمة الدرس</w:t>
      </w:r>
      <w:bookmarkEnd w:id="215"/>
    </w:p>
    <w:p w14:paraId="72983682" w14:textId="3B91D781" w:rsidR="001F4CAD" w:rsidRPr="00C7130A" w:rsidRDefault="001F4CAD" w:rsidP="00785A9F">
      <w:pPr>
        <w:rPr>
          <w:rtl/>
        </w:rPr>
      </w:pPr>
      <w:r w:rsidRPr="00C7130A">
        <w:rPr>
          <w:rtl/>
        </w:rPr>
        <w:t>في نهاية سفر الخروج، أنهى العبرانيون صُنْع خيمة الاجتماع، وبعدها حلّ مجد شكينة الله على قدس الأقداس. وباكتمال صنع الخيمة، يقدِّم لنا سفر اللاويين الحاجة إلى تعليمات مُفصَّلة بشأن الذبائح التي كان ينبغي تقديمها في خيمة الاجتماع، وكيف كان ينبغي تقديمها. وجوهريًّا، كان ينبغي للعبرانيين أن يكونوا شعبًا يعبد الله من خلال الذبائح. وقد شُرِحت شرائع متفرقة عديدة تتعلِّق بالكيفيّة التي بها ينبغي لـ"الشعب المُقدَّس" أن يعيش مع الله الساكن في وسطهم في قدس الأقداس. وكان "يوم</w:t>
      </w:r>
      <w:r w:rsidR="00910186" w:rsidRPr="00C7130A">
        <w:rPr>
          <w:rtl/>
        </w:rPr>
        <w:t>ُ</w:t>
      </w:r>
      <w:r w:rsidRPr="00C7130A">
        <w:rPr>
          <w:rtl/>
        </w:rPr>
        <w:t xml:space="preserve"> الكفارة" أحد</w:t>
      </w:r>
      <w:r w:rsidR="00910186" w:rsidRPr="00C7130A">
        <w:rPr>
          <w:rtl/>
        </w:rPr>
        <w:t>َ</w:t>
      </w:r>
      <w:r w:rsidRPr="00C7130A">
        <w:rPr>
          <w:rtl/>
        </w:rPr>
        <w:t xml:space="preserve"> الملامح البارزة في كل</w:t>
      </w:r>
      <w:r w:rsidR="00910186" w:rsidRPr="00C7130A">
        <w:rPr>
          <w:rtl/>
        </w:rPr>
        <w:t>ِّ</w:t>
      </w:r>
      <w:r w:rsidRPr="00C7130A">
        <w:rPr>
          <w:rtl/>
        </w:rPr>
        <w:t xml:space="preserve"> سنة، ففي هذا اليوم فقط يمكن لشخصٍ ما أن يدخل قدس الأقداس، وهذا الحقّ محصور في رئيس الكهنة، الذي يدخل بدم حيوانات إلى قدس الأقداس. وقد تحقَّق القصد من هذا الرمز بعد قرون، حين دخل يسوع المسيح القدس السماوي بدمه ليضمن الفداء الأبدي لشعبه. كان يو</w:t>
      </w:r>
      <w:r w:rsidR="007A2FA0" w:rsidRPr="00C7130A">
        <w:rPr>
          <w:rtl/>
        </w:rPr>
        <w:t>مُ</w:t>
      </w:r>
      <w:r w:rsidRPr="00C7130A">
        <w:rPr>
          <w:rtl/>
        </w:rPr>
        <w:t xml:space="preserve"> الكفارة أحد أهم الأعياد في التقويم الديني عند شعب إسرائيل، ويصف سفر اللاويين أيضاً أعيادًا سنويّةً أخرى كان على الشعب أن يحفظوها، وكانت جميعها رموزًا تُشير إلى تحقيقٍ مستقبلي لها. </w:t>
      </w:r>
    </w:p>
    <w:p w14:paraId="1874EB32" w14:textId="77777777" w:rsidR="00910186" w:rsidRPr="00C7130A" w:rsidRDefault="00910186"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rtl/>
          <w14:ligatures w14:val="none"/>
        </w:rPr>
      </w:pPr>
    </w:p>
    <w:p w14:paraId="65A5BDF7" w14:textId="6018854A" w:rsidR="008B149F" w:rsidRPr="00C7130A" w:rsidRDefault="001F4CAD" w:rsidP="000558B7">
      <w:pPr>
        <w:pStyle w:val="Heading3"/>
      </w:pPr>
      <w:bookmarkStart w:id="216" w:name="_Toc193031016"/>
      <w:r w:rsidRPr="00C7130A">
        <w:rPr>
          <w:rtl/>
        </w:rPr>
        <w:t>مخطَّط الدرس</w:t>
      </w:r>
      <w:bookmarkEnd w:id="216"/>
    </w:p>
    <w:p w14:paraId="33CF04A3" w14:textId="4443BB85" w:rsidR="001F4CAD" w:rsidRPr="00785A9F" w:rsidRDefault="001F4CAD"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bookmarkStart w:id="217" w:name="_Hlk190595134"/>
      <w:r w:rsidRPr="00785A9F">
        <w:rPr>
          <w:rFonts w:eastAsia="Calibri"/>
          <w:kern w:val="0"/>
          <w:rtl/>
          <w14:ligatures w14:val="none"/>
        </w:rPr>
        <w:t xml:space="preserve">الموضوع 1: </w:t>
      </w:r>
      <w:r w:rsidRPr="00785A9F">
        <w:rPr>
          <w:rFonts w:eastAsia="Calibri"/>
          <w:kern w:val="0"/>
          <w:rtl/>
          <w14:ligatures w14:val="none"/>
        </w:rPr>
        <w:tab/>
        <w:t>العبادة من خلال الذبيحة (لاويين 1: 1 – 10: 20</w:t>
      </w:r>
      <w:r w:rsidR="007C043A" w:rsidRPr="00785A9F">
        <w:rPr>
          <w:rFonts w:eastAsia="Calibri"/>
          <w:kern w:val="0"/>
          <w:rtl/>
          <w14:ligatures w14:val="none"/>
        </w:rPr>
        <w:t>)</w:t>
      </w:r>
    </w:p>
    <w:p w14:paraId="24F8C5C3" w14:textId="77777777" w:rsidR="001F4CAD" w:rsidRPr="00785A9F" w:rsidRDefault="001F4CAD"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785A9F">
        <w:rPr>
          <w:rFonts w:eastAsia="Calibri"/>
          <w:kern w:val="0"/>
          <w:rtl/>
          <w14:ligatures w14:val="none"/>
        </w:rPr>
        <w:t xml:space="preserve">الموضوع 2: </w:t>
      </w:r>
      <w:r w:rsidRPr="00785A9F">
        <w:rPr>
          <w:rFonts w:eastAsia="Calibri"/>
          <w:kern w:val="0"/>
          <w:rtl/>
          <w14:ligatures w14:val="none"/>
        </w:rPr>
        <w:tab/>
        <w:t xml:space="preserve">يوم الكفّارة (لاويّين 11: 1 – 16: 34) </w:t>
      </w:r>
    </w:p>
    <w:p w14:paraId="22758FDD" w14:textId="192F1C7E" w:rsidR="008B149F" w:rsidRPr="00C7130A" w:rsidRDefault="001F4CAD"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szCs w:val="24"/>
          <w14:ligatures w14:val="none"/>
        </w:rPr>
      </w:pPr>
      <w:r w:rsidRPr="00785A9F">
        <w:rPr>
          <w:rFonts w:eastAsia="Calibri"/>
          <w:kern w:val="0"/>
          <w:rtl/>
          <w14:ligatures w14:val="none"/>
        </w:rPr>
        <w:t xml:space="preserve">الموضوع 3: </w:t>
      </w:r>
      <w:r w:rsidRPr="00785A9F">
        <w:rPr>
          <w:rFonts w:eastAsia="Calibri"/>
          <w:kern w:val="0"/>
          <w:rtl/>
          <w14:ligatures w14:val="none"/>
        </w:rPr>
        <w:tab/>
        <w:t xml:space="preserve">شرائع القداسة والتقويم الديني لشعب إسرائيل (لاويّين 17: 1 – 27: 34) </w:t>
      </w:r>
      <w:bookmarkEnd w:id="217"/>
      <w:r w:rsidR="008B149F" w:rsidRPr="00785A9F">
        <w:rPr>
          <w:rFonts w:eastAsia="Calibri"/>
          <w:kern w:val="0"/>
          <w14:ligatures w14:val="none"/>
        </w:rPr>
        <w:br/>
      </w:r>
    </w:p>
    <w:p w14:paraId="131CD0AD" w14:textId="138A4B6C" w:rsidR="008B149F" w:rsidRPr="00C7130A" w:rsidRDefault="001F4CAD" w:rsidP="000558B7">
      <w:pPr>
        <w:pStyle w:val="Heading3"/>
        <w:rPr>
          <w:rtl/>
          <w:lang w:bidi="ar-JO"/>
        </w:rPr>
      </w:pPr>
      <w:bookmarkStart w:id="218" w:name="_Toc193031017"/>
      <w:r w:rsidRPr="00C7130A">
        <w:rPr>
          <w:rtl/>
          <w:lang w:bidi="ar-JO"/>
        </w:rPr>
        <w:t>أهداف الدرس</w:t>
      </w:r>
      <w:bookmarkEnd w:id="218"/>
      <w:r w:rsidRPr="00C7130A">
        <w:rPr>
          <w:rtl/>
          <w:lang w:bidi="ar-JO"/>
        </w:rPr>
        <w:t xml:space="preserve"> </w:t>
      </w:r>
    </w:p>
    <w:p w14:paraId="537E49F3" w14:textId="2562B9FD" w:rsidR="008B149F" w:rsidRPr="00785A9F" w:rsidRDefault="001F4CAD" w:rsidP="00C7130A">
      <w:pPr>
        <w:spacing w:after="80"/>
        <w:rPr>
          <w:rFonts w:eastAsia="Calibri"/>
          <w:kern w:val="0"/>
          <w14:ligatures w14:val="none"/>
        </w:rPr>
      </w:pPr>
      <w:r w:rsidRPr="00785A9F">
        <w:rPr>
          <w:rFonts w:eastAsia="Calibri"/>
          <w:kern w:val="0"/>
          <w:rtl/>
          <w14:ligatures w14:val="none"/>
        </w:rPr>
        <w:t xml:space="preserve">بانتهائك من دراسة هذا الدرس، ستكون قادرًا على ما يلي: </w:t>
      </w:r>
    </w:p>
    <w:p w14:paraId="61F7FAC0" w14:textId="09EF5A8B" w:rsidR="00B65F48" w:rsidRPr="009C6517" w:rsidRDefault="00321DC4">
      <w:pPr>
        <w:pStyle w:val="ListParagraph"/>
        <w:numPr>
          <w:ilvl w:val="0"/>
          <w:numId w:val="27"/>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9C6517">
        <w:rPr>
          <w:rFonts w:eastAsia="Calibri"/>
          <w:kern w:val="0"/>
          <w:rtl/>
          <w14:ligatures w14:val="none"/>
        </w:rPr>
        <w:t xml:space="preserve">أن تكتب قائمة بالذبائح الرئيسية التي كان العبرانيّون يقدِّمونها، وتبيّن مغزاها. </w:t>
      </w:r>
    </w:p>
    <w:p w14:paraId="3E712A50" w14:textId="650553BE" w:rsidR="00321DC4" w:rsidRPr="009C6517" w:rsidRDefault="00321DC4">
      <w:pPr>
        <w:pStyle w:val="ListParagraph"/>
        <w:numPr>
          <w:ilvl w:val="0"/>
          <w:numId w:val="27"/>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9C6517">
        <w:rPr>
          <w:rFonts w:eastAsia="Calibri"/>
          <w:kern w:val="0"/>
          <w:rtl/>
          <w14:ligatures w14:val="none"/>
        </w:rPr>
        <w:t>أن تشرح كيف كان يُحتفَل بيوم الكفارة، وكيف سيتحقَّق هذا اليوم</w:t>
      </w:r>
      <w:r w:rsidR="007A2FA0" w:rsidRPr="009C6517">
        <w:rPr>
          <w:rFonts w:eastAsia="Calibri"/>
          <w:kern w:val="0"/>
          <w:rtl/>
          <w14:ligatures w14:val="none"/>
        </w:rPr>
        <w:t>َ</w:t>
      </w:r>
      <w:r w:rsidRPr="009C6517">
        <w:rPr>
          <w:rFonts w:eastAsia="Calibri"/>
          <w:kern w:val="0"/>
          <w:rtl/>
          <w14:ligatures w14:val="none"/>
        </w:rPr>
        <w:t xml:space="preserve"> في شخص المسيح. </w:t>
      </w:r>
    </w:p>
    <w:p w14:paraId="0E7AE1E4" w14:textId="3250FB9F" w:rsidR="00321DC4" w:rsidRPr="009C6517" w:rsidRDefault="00321DC4">
      <w:pPr>
        <w:pStyle w:val="ListParagraph"/>
        <w:numPr>
          <w:ilvl w:val="0"/>
          <w:numId w:val="27"/>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9C6517">
        <w:rPr>
          <w:rFonts w:eastAsia="Calibri"/>
          <w:kern w:val="0"/>
          <w:rtl/>
          <w14:ligatures w14:val="none"/>
        </w:rPr>
        <w:t xml:space="preserve">أن تبيِّن الأعياد التي كان ينبغي للمرء أن يشارك فيها وتشرح معناها الرمزي. </w:t>
      </w:r>
    </w:p>
    <w:p w14:paraId="2DC12A92" w14:textId="2EFFB05B" w:rsidR="008B149F" w:rsidRPr="00C7130A" w:rsidRDefault="008B14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spacing w:after="200"/>
        <w:contextualSpacing/>
        <w:rPr>
          <w:rFonts w:eastAsia="Calibri"/>
          <w:kern w:val="0"/>
          <w:szCs w:val="24"/>
          <w14:ligatures w14:val="none"/>
        </w:rPr>
      </w:pPr>
      <w:r w:rsidRPr="00C7130A">
        <w:rPr>
          <w:rFonts w:eastAsia="Calibri"/>
          <w:kern w:val="0"/>
          <w:szCs w:val="24"/>
          <w14:ligatures w14:val="none"/>
        </w:rPr>
        <w:br w:type="page"/>
      </w:r>
    </w:p>
    <w:p w14:paraId="4B85FBCC" w14:textId="2A724E72" w:rsidR="007C043A" w:rsidRPr="00C7130A" w:rsidRDefault="007C043A" w:rsidP="000558B7">
      <w:pPr>
        <w:pStyle w:val="Heading2B"/>
        <w:rPr>
          <w:rtl/>
        </w:rPr>
      </w:pPr>
      <w:bookmarkStart w:id="219" w:name="_Toc193031018"/>
      <w:r w:rsidRPr="00C7130A">
        <w:rPr>
          <w:rtl/>
        </w:rPr>
        <w:lastRenderedPageBreak/>
        <w:t>الموضوع 1: العبادة من خلال الذبيحة (لاويين 1: 1 – 10: 20)</w:t>
      </w:r>
      <w:bookmarkStart w:id="220" w:name="_Hlk178778781"/>
      <w:bookmarkEnd w:id="219"/>
    </w:p>
    <w:p w14:paraId="6B92D4CE" w14:textId="54995CD3" w:rsidR="00F67B20" w:rsidRPr="00785A9F" w:rsidRDefault="00F67B20"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rtl/>
          <w:lang w:bidi="ar-JO"/>
          <w14:ligatures w14:val="none"/>
        </w:rPr>
      </w:pPr>
      <w:bookmarkStart w:id="221" w:name="_Hlk157176615"/>
      <w:r w:rsidRPr="00C7130A">
        <w:rPr>
          <w:rFonts w:eastAsia="Calibri"/>
          <w:b/>
          <w:caps/>
          <w:noProof/>
          <w:color w:val="006699"/>
          <w:kern w:val="0"/>
          <w:sz w:val="21"/>
          <w:szCs w:val="24"/>
          <w14:ligatures w14:val="none"/>
        </w:rPr>
        <w:drawing>
          <wp:inline distT="0" distB="0" distL="0" distR="0" wp14:anchorId="56F0CE41" wp14:editId="6F256822">
            <wp:extent cx="613692" cy="541464"/>
            <wp:effectExtent l="0" t="0" r="0" b="0"/>
            <wp:docPr id="633622115" name="Picture 633622115"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995100" w:rsidRPr="00785A9F">
        <w:rPr>
          <w:rFonts w:eastAsia="Calibri"/>
          <w:bCs/>
          <w:caps/>
          <w:color w:val="006699"/>
          <w:kern w:val="0"/>
          <w:u w:val="single"/>
          <w:rtl/>
          <w:lang w:bidi="ar-JO"/>
          <w14:ligatures w14:val="none"/>
        </w:rPr>
        <w:t>القراءة:</w:t>
      </w:r>
    </w:p>
    <w:p w14:paraId="028C2EEC" w14:textId="7C9A0F84" w:rsidR="00F67B20" w:rsidRPr="00785A9F" w:rsidRDefault="00F67B20" w:rsidP="00C7130A">
      <w:pPr>
        <w:rPr>
          <w:b/>
          <w:bCs/>
        </w:rPr>
      </w:pPr>
      <w:r w:rsidRPr="00785A9F">
        <w:tab/>
      </w:r>
      <w:r w:rsidRPr="00785A9F">
        <w:tab/>
      </w:r>
      <w:r w:rsidR="00995100" w:rsidRPr="00785A9F">
        <w:rPr>
          <w:rtl/>
        </w:rPr>
        <w:t xml:space="preserve">اقرأ </w:t>
      </w:r>
      <w:r w:rsidR="007A2FA0" w:rsidRPr="00785A9F">
        <w:rPr>
          <w:rtl/>
        </w:rPr>
        <w:t xml:space="preserve">يوجين </w:t>
      </w:r>
      <w:r w:rsidR="00995100" w:rsidRPr="00785A9F">
        <w:rPr>
          <w:rtl/>
        </w:rPr>
        <w:t xml:space="preserve">ميرل، </w:t>
      </w:r>
      <w:r w:rsidR="00995100" w:rsidRPr="00785A9F">
        <w:rPr>
          <w:u w:val="single"/>
          <w:rtl/>
        </w:rPr>
        <w:t>لاهوت العهد القديم الكتابي</w:t>
      </w:r>
      <w:r w:rsidR="00995100" w:rsidRPr="00785A9F">
        <w:rPr>
          <w:rtl/>
        </w:rPr>
        <w:t>، "لاهوت سفر الخروج".</w:t>
      </w:r>
    </w:p>
    <w:bookmarkEnd w:id="220"/>
    <w:bookmarkEnd w:id="221"/>
    <w:p w14:paraId="70CE883E" w14:textId="5F8E8BF9" w:rsidR="006311FA" w:rsidRPr="00C7130A" w:rsidRDefault="002E1856"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noProof/>
          <w:kern w:val="0"/>
          <w:szCs w:val="24"/>
          <w14:ligatures w14:val="none"/>
        </w:rPr>
        <w:drawing>
          <wp:inline distT="0" distB="0" distL="0" distR="0" wp14:anchorId="17DC5FB5" wp14:editId="2349C16F">
            <wp:extent cx="5943600" cy="3970020"/>
            <wp:effectExtent l="0" t="0" r="0" b="0"/>
            <wp:docPr id="13179263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3600" cy="3970020"/>
                    </a:xfrm>
                    <a:prstGeom prst="rect">
                      <a:avLst/>
                    </a:prstGeom>
                    <a:noFill/>
                    <a:ln>
                      <a:noFill/>
                    </a:ln>
                  </pic:spPr>
                </pic:pic>
              </a:graphicData>
            </a:graphic>
          </wp:inline>
        </w:drawing>
      </w:r>
    </w:p>
    <w:p w14:paraId="1DC96672" w14:textId="77777777" w:rsidR="00072E15" w:rsidRPr="00785A9F" w:rsidRDefault="00072E15" w:rsidP="000558B7">
      <w:pPr>
        <w:pStyle w:val="Heading3"/>
        <w:rPr>
          <w:rtl/>
          <w:lang w:bidi="ar-JO"/>
        </w:rPr>
      </w:pPr>
      <w:bookmarkStart w:id="222" w:name="_Toc193031019"/>
      <w:r w:rsidRPr="00C7130A">
        <w:rPr>
          <w:szCs w:val="28"/>
          <w:rtl/>
          <w:lang w:bidi="ar-JO"/>
        </w:rPr>
        <w:t>1.</w:t>
      </w:r>
      <w:r w:rsidRPr="00C7130A">
        <w:rPr>
          <w:szCs w:val="28"/>
          <w:rtl/>
          <w:lang w:bidi="ar-JO"/>
        </w:rPr>
        <w:tab/>
      </w:r>
      <w:r w:rsidRPr="00785A9F">
        <w:rPr>
          <w:rtl/>
          <w:lang w:bidi="ar-JO"/>
        </w:rPr>
        <w:t>الخلفية</w:t>
      </w:r>
      <w:bookmarkEnd w:id="222"/>
      <w:r w:rsidRPr="00785A9F">
        <w:rPr>
          <w:rtl/>
          <w:lang w:bidi="ar-JO"/>
        </w:rPr>
        <w:t xml:space="preserve"> </w:t>
      </w:r>
    </w:p>
    <w:p w14:paraId="526BE247"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785A9F">
        <w:rPr>
          <w:rFonts w:eastAsia="Times New Roman"/>
          <w:kern w:val="0"/>
          <w:rtl/>
          <w:lang w:bidi="ar-JO"/>
          <w14:ligatures w14:val="none"/>
        </w:rPr>
        <w:t>سفر اللاويين مرتبط ارتباطاً وثيقاً بسفر الخروج وخيمة الاجتماع.  وإن الأنظمة التي يتضمنها سفر اللاويين هي في واقع الأمر امتداد لعهد الشريعة الموسوية المعطاة في سيناء.  ويختتم السفر بهذه الملاحظة:</w:t>
      </w:r>
      <w:r w:rsidRPr="00785A9F">
        <w:rPr>
          <w:rFonts w:eastAsia="Times New Roman"/>
          <w:kern w:val="0"/>
          <w:rtl/>
          <w14:ligatures w14:val="none"/>
        </w:rPr>
        <w:t xml:space="preserve"> "هذه هي الوصايا التي أوصى الرب بها موسى إلى بني إسرائيل في جبل سيناء" (27: 34).  وهكذا فقد أُعطيَت الأنظمة والشرائع الموجودة في سفر اللاويين عندما كان بنو إسرائيل بعد في سيناء.  وقد نُصبت خيمة الاجتماع في اليوم الأول من الشهر الأول من السنة الثانية، أي بعد حوالي سنة من مغادرتهم مصر.  وتبدأ أحداث سفر العدد في اليوم الأول من الشهر الثاني من السنة الثانية (عدد 1: 1).  وبما أن سفر اللاويين أُعطي من خيمة الاجتماع (لاويين 1: 1)، فقد أُعطي السفر أثناء الشهر الأول من السنة الثانية بعد نصب خيمة الاجتماع مباشرة.</w:t>
      </w:r>
    </w:p>
    <w:p w14:paraId="0FD4A6D8"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p>
    <w:p w14:paraId="6C117945" w14:textId="77777777" w:rsidR="00072E15" w:rsidRPr="00785A9F" w:rsidRDefault="00072E15" w:rsidP="000558B7">
      <w:pPr>
        <w:pStyle w:val="Heading3"/>
        <w:rPr>
          <w:rtl/>
          <w:lang w:bidi="ar-JO"/>
        </w:rPr>
      </w:pPr>
      <w:bookmarkStart w:id="223" w:name="_Toc193031020"/>
      <w:r w:rsidRPr="00785A9F">
        <w:rPr>
          <w:rtl/>
          <w:lang w:bidi="ar-JO"/>
        </w:rPr>
        <w:t>2.</w:t>
      </w:r>
      <w:r w:rsidRPr="00785A9F">
        <w:rPr>
          <w:rtl/>
          <w:lang w:bidi="ar-JO"/>
        </w:rPr>
        <w:tab/>
        <w:t>الغرض</w:t>
      </w:r>
      <w:bookmarkEnd w:id="223"/>
    </w:p>
    <w:p w14:paraId="75662CDF"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85A9F">
        <w:rPr>
          <w:rFonts w:eastAsia="Times New Roman"/>
          <w:kern w:val="0"/>
          <w:rtl/>
          <w:lang w:bidi="ar-JO"/>
          <w14:ligatures w14:val="none"/>
        </w:rPr>
        <w:t>اختتم سفر الخروج بظهور مجد الرب في خيمة الاجتماع.  ولهذا فإن سفر اللاويين يشرح كيف يُفترض أن تكون العلاقة بين الشعب والله الذي يسكن في وسطهم.  وبالتالي فإن الفكرة المهيمنة على السفر هي "القداسة".  والآن وبعد أن تم تشييد خيمة الاجتماع، فإن سفر اللاويين يشرح كيف يتوجب على الكهنة أن يهتموا بالمقدس وغرفة عرش الملك العظيم.</w:t>
      </w:r>
    </w:p>
    <w:p w14:paraId="6BD45AEC"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CB10FF0"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85A9F">
        <w:rPr>
          <w:rFonts w:eastAsia="Times New Roman"/>
          <w:kern w:val="0"/>
          <w:rtl/>
          <w:lang w:bidi="ar-JO"/>
          <w14:ligatures w14:val="none"/>
        </w:rPr>
        <w:t>يعكس التوكيد على القداسة اهتماماً باستمرار سكنى يهوه في وسطهم.  يلخّص ر. ك. هاريسون هذه الفكرة فيقول:</w:t>
      </w:r>
    </w:p>
    <w:p w14:paraId="3FBD3BEF"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85A9F">
        <w:rPr>
          <w:rFonts w:eastAsia="Times New Roman"/>
          <w:kern w:val="0"/>
          <w:rtl/>
          <w:lang w:bidi="ar-JO"/>
          <w14:ligatures w14:val="none"/>
        </w:rPr>
        <w:t>إن السبب الذي أُعطي من أجله كهنة بني إسرائيل المخصصين مثل هذه التعليمات المفصلة حول الاهتمام بالمقدس هو أن يضمنوا استمرار حضور الله مع شعبه.  اقترب الله من إسرائيل حسب علاقة العهد وقطع لهم وعوداً معيّنة متوقّفة على طاعتهم لبنود عهد سيناء.  وكان أحد هذه الشروط هو أن يحيا بنو إسرائيل بطريقة تبيّن لشعوب الشرق الأدنى المعاصرة الطبيعة الحقيقية للقداسة... فلا يمكنهم أن يتوقعوا أن يكرمهم الله بحضوره وأن يحقق البركات الموعودة في العهد إلاّ إذا استمروا كشعب مختار في الحفاظ على القداسة الاحتفالية والأخلاقية.</w:t>
      </w:r>
      <w:r w:rsidRPr="00785A9F">
        <w:rPr>
          <w:rFonts w:eastAsia="Times New Roman"/>
          <w:kern w:val="0"/>
          <w:vertAlign w:val="superscript"/>
          <w:rtl/>
          <w:lang w:bidi="ar-JO"/>
          <w14:ligatures w14:val="none"/>
        </w:rPr>
        <w:footnoteReference w:id="82"/>
      </w:r>
    </w:p>
    <w:p w14:paraId="59B1202E"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7B2C752D"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85A9F">
        <w:rPr>
          <w:rFonts w:eastAsia="Times New Roman"/>
          <w:kern w:val="0"/>
          <w:rtl/>
          <w:lang w:bidi="ar-JO"/>
          <w14:ligatures w14:val="none"/>
        </w:rPr>
        <w:t>ويلخّص آلان روس الغرض من سفر اللاويين فيقول:</w:t>
      </w:r>
    </w:p>
    <w:p w14:paraId="739831D6"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785A9F">
        <w:rPr>
          <w:rFonts w:eastAsia="Times New Roman"/>
          <w:kern w:val="0"/>
          <w:rtl/>
          <w:lang w:bidi="ar-JO"/>
          <w14:ligatures w14:val="none"/>
        </w:rPr>
        <w:t>استنتجنا على هذا الأساس أن سفر اللاويين هو دليل أو مرشد الكهنة في قيادتهم عبادة إسرائيل الجماعية والفردية في المقدس؛ إذ يريد يهوه أن يكون شعب عهده مقدّسين لكي يمكنه أن يسكن في سلام معهم وأن يباركهم.</w:t>
      </w:r>
      <w:r w:rsidRPr="00785A9F">
        <w:rPr>
          <w:rFonts w:eastAsia="Times New Roman"/>
          <w:kern w:val="0"/>
          <w:vertAlign w:val="superscript"/>
          <w:rtl/>
          <w:lang w:bidi="ar-JO"/>
          <w14:ligatures w14:val="none"/>
        </w:rPr>
        <w:footnoteReference w:id="83"/>
      </w:r>
    </w:p>
    <w:p w14:paraId="30BCCD90"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5626D9AA" w14:textId="77777777" w:rsidR="00072E15" w:rsidRPr="00785A9F" w:rsidRDefault="00072E15" w:rsidP="000558B7">
      <w:pPr>
        <w:pStyle w:val="Heading3"/>
        <w:rPr>
          <w:rtl/>
          <w:lang w:bidi="ar-JO"/>
        </w:rPr>
      </w:pPr>
      <w:bookmarkStart w:id="224" w:name="_Toc193031021"/>
      <w:r w:rsidRPr="00785A9F">
        <w:rPr>
          <w:rtl/>
          <w:lang w:bidi="ar-JO"/>
        </w:rPr>
        <w:t>3.</w:t>
      </w:r>
      <w:r w:rsidRPr="00785A9F">
        <w:rPr>
          <w:rtl/>
          <w:lang w:bidi="ar-JO"/>
        </w:rPr>
        <w:tab/>
        <w:t>التوكيد على القداسة</w:t>
      </w:r>
      <w:bookmarkEnd w:id="224"/>
    </w:p>
    <w:p w14:paraId="2B792C1F"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85A9F">
        <w:rPr>
          <w:rFonts w:eastAsia="Times New Roman"/>
          <w:kern w:val="0"/>
          <w:rtl/>
          <w:lang w:bidi="ar-JO"/>
          <w14:ligatures w14:val="none"/>
        </w:rPr>
        <w:t xml:space="preserve"> إن موضوع السفر هو "القداسة ليهوه".  وإن المعنى الفعلي للقداسة هو "الانفصال، الفرز" لشيء.  وهو في هذه الحالة الفرز ليهوه.  يقدّم سفر اللاويين صورة للجنس البشري بصفته خاطئاً وفاسداً ومعرّضاً للمرض وفي حاجةٍ دائمة إلى التجديد الروحي.  وبما أن شعب إسرائيل مدعوون إلى خدمة إله قدّوس، فإن عليهم أن يعكسوا صفة ملكهم الذي يرتبطون معه في علاقة عهد.  الله قدوس، أي أن صفاته تفرزه أو تفصله.  وتتضمن صفاته هذه قوّته وجلالته وعظمته </w:t>
      </w:r>
      <w:r w:rsidRPr="00785A9F">
        <w:rPr>
          <w:rFonts w:eastAsia="Times New Roman"/>
          <w:kern w:val="0"/>
          <w:rtl/>
          <w:lang w:bidi="ar-JO"/>
          <w14:ligatures w14:val="none"/>
        </w:rPr>
        <w:lastRenderedPageBreak/>
        <w:t>وقيادته وبرّه.  فصلت هذه الصفات كلّها يهوه؛  إذ تفرزه قداسته عن بقية الخليقة الملوّثة بالخطية؛ وتفرزه قوّته عن الآلهة الوثنية – فهو حي وعامل.</w:t>
      </w:r>
    </w:p>
    <w:p w14:paraId="629E612C"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102D2DC"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85A9F">
        <w:rPr>
          <w:rFonts w:eastAsia="Times New Roman"/>
          <w:kern w:val="0"/>
          <w:rtl/>
          <w:lang w:bidi="ar-JO"/>
          <w14:ligatures w14:val="none"/>
        </w:rPr>
        <w:t>إن الاستنتاج أن الأمة كلّها قادرة، بالاعتماد على الذات، على حفظ دستور العهد سيكون خطأ</w:t>
      </w:r>
      <w:r w:rsidRPr="00785A9F">
        <w:rPr>
          <w:rFonts w:eastAsia="Times New Roman"/>
          <w:kern w:val="0"/>
          <w:rtl/>
          <w14:ligatures w14:val="none"/>
        </w:rPr>
        <w:t>ً</w:t>
      </w:r>
      <w:r w:rsidRPr="00785A9F">
        <w:rPr>
          <w:rFonts w:eastAsia="Times New Roman"/>
          <w:kern w:val="0"/>
          <w:rtl/>
          <w:lang w:bidi="ar-JO"/>
          <w14:ligatures w14:val="none"/>
        </w:rPr>
        <w:t xml:space="preserve"> فادحاً في تقديرهم لأنفسهم.  أخطأ كثيرون عندما فكّروا على هذا النحو، وقد دلّ هذا على افتقار دائم للاتكال على يهوه.  غير أن الله كان يعلم عيوبهم، حتى أنه دبّر لها علاجاً.  ومن خلال الكهنوت والنظام الذبيحي أظهر الله كرمه ولطفه ورأفته بإيجاد طريقة متاحة للقبول لكي يتمكنوا من التمتع بالشركة معه (أمّا الذبائح وحدها فلم تكُن تأتي بأيّة فوائد إن لم تكن مصحوبة بالإيمان).  لا يتناول سفر اللاويين والوصايا الأولية للشريعة في سفر الخروج مسألة أساس الخلاص، فالخلاص لا يأتي بحفظ الشريعة.  لكن سفر اللاويين يتناول مسألة الكيفية التي يتوجب أن تسلك بها أمّة يسكن الله في وسطها.  وعندما تفشل أمّة إسرائيل في ذلك، فإن الله سيؤدبها، حتى أنه سيسحب حضور مجده بينهم.</w:t>
      </w:r>
    </w:p>
    <w:p w14:paraId="1460481F"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CBB8D06"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21E0F1F" w14:textId="77777777" w:rsidR="00072E15" w:rsidRPr="00566BFE" w:rsidRDefault="00072E15" w:rsidP="00C7130A">
      <w:pPr>
        <w:tabs>
          <w:tab w:val="left" w:pos="454"/>
        </w:tabs>
        <w:spacing w:after="60"/>
        <w:jc w:val="both"/>
        <w:rPr>
          <w:rFonts w:eastAsia="Times New Roman"/>
          <w:bCs/>
          <w:kern w:val="0"/>
          <w:sz w:val="44"/>
          <w:szCs w:val="44"/>
          <w:rtl/>
          <w:lang w:bidi="ar-JO"/>
          <w14:ligatures w14:val="none"/>
        </w:rPr>
      </w:pPr>
      <w:r w:rsidRPr="00566BFE">
        <w:rPr>
          <w:rFonts w:eastAsia="Times New Roman"/>
          <w:bCs/>
          <w:kern w:val="0"/>
          <w:sz w:val="44"/>
          <w:szCs w:val="44"/>
          <w:rtl/>
          <w:lang w:bidi="ar-JO"/>
          <w14:ligatures w14:val="none"/>
        </w:rPr>
        <w:t>4.</w:t>
      </w:r>
      <w:r w:rsidRPr="00566BFE">
        <w:rPr>
          <w:rFonts w:eastAsia="Times New Roman"/>
          <w:bCs/>
          <w:kern w:val="0"/>
          <w:sz w:val="44"/>
          <w:szCs w:val="44"/>
          <w:rtl/>
          <w:lang w:bidi="ar-JO"/>
          <w14:ligatures w14:val="none"/>
        </w:rPr>
        <w:tab/>
        <w:t xml:space="preserve">بنية سفر اللاويين </w:t>
      </w:r>
    </w:p>
    <w:p w14:paraId="66370056"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85A9F">
        <w:rPr>
          <w:rFonts w:eastAsia="Times New Roman"/>
          <w:kern w:val="0"/>
          <w:rtl/>
          <w:lang w:bidi="ar-JO"/>
          <w14:ligatures w14:val="none"/>
        </w:rPr>
        <w:t>ينقسم السفر إلى قسمين أساسيين.  تتناول الأصحاحات 1-10 موضوع كيف يتوجب أن تعبد إسرائيل إلهاً قدّوساً (من خلال الذبائح وتوسّط الكهنوت؛ وتتناول الأصحاحات 11-27 موضوع كيف يتوجب أن تسلك إسرائيل مع إلهها القدوس (من خلال التطهير والقداسة).  انظر الملحق 13-1 لعرض أكثر تفصيلاً لبنية السفر.</w:t>
      </w:r>
    </w:p>
    <w:p w14:paraId="6714C88B"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35E6C84" w14:textId="77777777" w:rsidR="00072E15" w:rsidRPr="00566BFE" w:rsidRDefault="00072E15" w:rsidP="00C7130A">
      <w:pPr>
        <w:tabs>
          <w:tab w:val="left" w:pos="454"/>
        </w:tabs>
        <w:spacing w:after="60"/>
        <w:jc w:val="both"/>
        <w:rPr>
          <w:rFonts w:eastAsia="Times New Roman"/>
          <w:bCs/>
          <w:kern w:val="0"/>
          <w:sz w:val="44"/>
          <w:szCs w:val="44"/>
          <w:rtl/>
          <w:lang w:bidi="ar-JO"/>
          <w14:ligatures w14:val="none"/>
        </w:rPr>
      </w:pPr>
      <w:r w:rsidRPr="00566BFE">
        <w:rPr>
          <w:rFonts w:eastAsia="Times New Roman"/>
          <w:bCs/>
          <w:kern w:val="0"/>
          <w:sz w:val="44"/>
          <w:szCs w:val="44"/>
          <w:rtl/>
          <w:lang w:bidi="ar-JO"/>
          <w14:ligatures w14:val="none"/>
        </w:rPr>
        <w:t>5.</w:t>
      </w:r>
      <w:r w:rsidRPr="00566BFE">
        <w:rPr>
          <w:rFonts w:eastAsia="Times New Roman"/>
          <w:bCs/>
          <w:kern w:val="0"/>
          <w:sz w:val="44"/>
          <w:szCs w:val="44"/>
          <w:rtl/>
          <w:lang w:bidi="ar-JO"/>
          <w14:ligatures w14:val="none"/>
        </w:rPr>
        <w:tab/>
        <w:t>النظام الذبيحي</w:t>
      </w:r>
    </w:p>
    <w:p w14:paraId="7875CCA1" w14:textId="77777777" w:rsidR="00072E15" w:rsidRPr="00785A9F"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85A9F">
        <w:rPr>
          <w:rFonts w:eastAsia="Times New Roman"/>
          <w:kern w:val="0"/>
          <w:rtl/>
          <w:lang w:bidi="ar-JO"/>
          <w14:ligatures w14:val="none"/>
        </w:rPr>
        <w:t>كان النظام الذبيحي للعهد القديم معقّداً جداً.  وقد تضمّن تقديم ذبائح مجدولة وذبائح غير مجدولة (منتظمة وغير منتظمة).  تضمنت الذبائح غير المجدولة (غير المنتظمة) تقدمة السلامة وتقدمة الخطية، إلخ.  وقد قُدِّمت بعض الذبائح مرتبطة بمسألة الخطية (تقدمة الخطية، تقدمة الإثم (الذنب)).  وكانت بعض التقدمات تعبيراً عن الشكر والعرفان، أو عن محبّة المرء ليهوه.  وقُدِّمت بعض الذبائح للتعامل مع النجاسة الطقسية (مثلاً، الذبائح التي كانت تُطلب من المرأة بعد الولادة في لاويين 12).  ويمكن أن تقدَّم الذبائح على مستوى فردي أو على مستوى الأمة (مثلاً، يوم الكفّارة).  وكما هو واضح، فقد تطلّب النظام الذبيحي تقديم آلاف الحيوانات ونشاطاً دائماً من قبل الكهنة الذين كان عليهم أن يقوموا بالإجراءات الضرورية.  غير أن الذبيحة كانت جوهر العبادة في العهد القديم، وكان يفترض أن تقدَّم مرتبطةً بالإيمان.  ويمكن أن تتضمن الدوافع وراء تقديم الذبيحة أيّاً من المفاهيم التالية:</w:t>
      </w:r>
    </w:p>
    <w:p w14:paraId="5A384408" w14:textId="77777777" w:rsidR="00072E15" w:rsidRPr="00785A9F"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14:ligatures w14:val="none"/>
        </w:rPr>
      </w:pPr>
      <w:r w:rsidRPr="00785A9F">
        <w:rPr>
          <w:rFonts w:eastAsia="Times New Roman"/>
          <w:kern w:val="0"/>
          <w:rtl/>
          <w:lang w:bidi="ar-JO"/>
          <w14:ligatures w14:val="none"/>
        </w:rPr>
        <w:lastRenderedPageBreak/>
        <w:t>1)</w:t>
      </w:r>
      <w:r w:rsidRPr="00785A9F">
        <w:rPr>
          <w:rFonts w:eastAsia="Times New Roman"/>
          <w:kern w:val="0"/>
          <w:rtl/>
          <w:lang w:bidi="ar-JO"/>
          <w14:ligatures w14:val="none"/>
        </w:rPr>
        <w:tab/>
        <w:t>العطية، تضمّنت الذبيحة تسليم المرء لنفسه وما يملكه.  ومع خسارة العابد شيئاً (كانت الذبيحة إمّا أن يستهلكها الكاهن كلّياً، أو تستهلكها النار التي على المذبح)، كان يحصل على شيء (إشباع العبادة والإدراك أن كل شيء يخصّ الله</w:t>
      </w:r>
      <w:r w:rsidRPr="00785A9F">
        <w:rPr>
          <w:rFonts w:eastAsia="Times New Roman"/>
          <w:kern w:val="0"/>
          <w:rtl/>
          <w14:ligatures w14:val="none"/>
        </w:rPr>
        <w:t>)</w:t>
      </w:r>
      <w:r w:rsidRPr="00785A9F">
        <w:rPr>
          <w:rFonts w:eastAsia="Times New Roman"/>
          <w:kern w:val="0"/>
          <w:rtl/>
          <w:lang w:bidi="ar-JO"/>
          <w14:ligatures w14:val="none"/>
        </w:rPr>
        <w:t>.</w:t>
      </w:r>
    </w:p>
    <w:p w14:paraId="3B96D760" w14:textId="77777777" w:rsidR="00072E15" w:rsidRPr="00785A9F"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85A9F">
        <w:rPr>
          <w:rFonts w:eastAsia="Times New Roman"/>
          <w:kern w:val="0"/>
          <w:rtl/>
          <w:lang w:bidi="ar-JO"/>
          <w14:ligatures w14:val="none"/>
        </w:rPr>
        <w:t>2)</w:t>
      </w:r>
      <w:r w:rsidRPr="00785A9F">
        <w:rPr>
          <w:rFonts w:eastAsia="Times New Roman"/>
          <w:kern w:val="0"/>
          <w:rtl/>
          <w:lang w:bidi="ar-JO"/>
          <w14:ligatures w14:val="none"/>
        </w:rPr>
        <w:tab/>
        <w:t>الشركة.  يمكن أن تعبّر الذبيحة عن ذلك الحنين في الإنسان إلى الاجتماع والشركة مع الله.</w:t>
      </w:r>
    </w:p>
    <w:p w14:paraId="24D14A01" w14:textId="77777777" w:rsidR="00072E15" w:rsidRPr="00785A9F"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785A9F">
        <w:rPr>
          <w:rFonts w:eastAsia="Times New Roman"/>
          <w:kern w:val="0"/>
          <w:rtl/>
          <w:lang w:bidi="ar-JO"/>
          <w14:ligatures w14:val="none"/>
        </w:rPr>
        <w:t>3)</w:t>
      </w:r>
      <w:r w:rsidRPr="00785A9F">
        <w:rPr>
          <w:rFonts w:eastAsia="Times New Roman"/>
          <w:kern w:val="0"/>
          <w:rtl/>
          <w:lang w:bidi="ar-JO"/>
          <w14:ligatures w14:val="none"/>
        </w:rPr>
        <w:tab/>
        <w:t>التكفير.  بما أن الدم كان جانباً مهيمناً من جوانب النظام الذبيحي، كان العابد يتذكّر دائماً حالته الآثمة وحاجته إلى التكفير.  فلا يمكن التعامل مع خطيته وإثمه إلاّ من خلال دم الذبيحة.  وقد لفت هذا النظر إلى جدّية الخطية وحاجة الإنسان إلى بديل يأخذ عقابه.  ولا يعني هذا أنه كان لدم الحيوانات أي استحقاق في ذاته.</w:t>
      </w:r>
    </w:p>
    <w:p w14:paraId="2FCB2F84" w14:textId="2000E9B8" w:rsidR="00CE2C1E" w:rsidRPr="005B3275" w:rsidRDefault="00CE2C1E"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225" w:name="_Hlk178778803"/>
      <w:r w:rsidRPr="00C7130A">
        <w:rPr>
          <w:rFonts w:eastAsia="Calibri"/>
          <w:b/>
          <w:caps/>
          <w:noProof/>
          <w:color w:val="006699"/>
          <w:kern w:val="0"/>
          <w:sz w:val="21"/>
          <w:szCs w:val="24"/>
          <w14:ligatures w14:val="none"/>
        </w:rPr>
        <w:drawing>
          <wp:inline distT="0" distB="0" distL="0" distR="0" wp14:anchorId="62EAF22C" wp14:editId="6A596E7A">
            <wp:extent cx="613692" cy="541464"/>
            <wp:effectExtent l="0" t="0" r="0" b="0"/>
            <wp:docPr id="986583134" name="Picture 986583134"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587CC3" w:rsidRPr="005B3275">
        <w:rPr>
          <w:rFonts w:eastAsia="Calibri"/>
          <w:bCs/>
          <w:caps/>
          <w:color w:val="006699"/>
          <w:kern w:val="0"/>
          <w:u w:val="single"/>
          <w:rtl/>
          <w14:ligatures w14:val="none"/>
        </w:rPr>
        <w:t>القراءة:</w:t>
      </w:r>
    </w:p>
    <w:p w14:paraId="20EA988C" w14:textId="13AAEDFB" w:rsidR="00CE2C1E" w:rsidRPr="00566BFE" w:rsidRDefault="00CE2C1E" w:rsidP="00C7130A">
      <w:pPr>
        <w:pStyle w:val="Heading4RED"/>
        <w:rPr>
          <w:rFonts w:cs="Arabic Typesetting"/>
          <w:b w:val="0"/>
          <w:bCs w:val="0"/>
          <w:color w:val="auto"/>
          <w:sz w:val="36"/>
          <w:szCs w:val="36"/>
        </w:rPr>
      </w:pPr>
      <w:r w:rsidRPr="00566BFE">
        <w:rPr>
          <w:rFonts w:cs="Arabic Typesetting"/>
          <w:b w:val="0"/>
          <w:bCs w:val="0"/>
          <w:color w:val="auto"/>
          <w:sz w:val="36"/>
          <w:szCs w:val="36"/>
        </w:rPr>
        <w:tab/>
      </w:r>
      <w:r w:rsidRPr="00566BFE">
        <w:rPr>
          <w:rFonts w:cs="Arabic Typesetting"/>
          <w:b w:val="0"/>
          <w:bCs w:val="0"/>
          <w:color w:val="auto"/>
          <w:sz w:val="36"/>
          <w:szCs w:val="36"/>
        </w:rPr>
        <w:tab/>
      </w:r>
      <w:r w:rsidRPr="00566BFE">
        <w:rPr>
          <w:rFonts w:cs="Arabic Typesetting"/>
          <w:b w:val="0"/>
          <w:bCs w:val="0"/>
          <w:color w:val="auto"/>
          <w:sz w:val="36"/>
          <w:szCs w:val="36"/>
        </w:rPr>
        <w:tab/>
      </w:r>
      <w:r w:rsidR="00587CC3" w:rsidRPr="00566BFE">
        <w:rPr>
          <w:rFonts w:cs="Arabic Typesetting"/>
          <w:b w:val="0"/>
          <w:bCs w:val="0"/>
          <w:color w:val="auto"/>
          <w:sz w:val="36"/>
          <w:szCs w:val="36"/>
          <w:rtl/>
        </w:rPr>
        <w:t xml:space="preserve">اقرأ لاويّين 1: 1 – 10: 20 في كتابك المُقدَّس. </w:t>
      </w:r>
    </w:p>
    <w:bookmarkEnd w:id="225"/>
    <w:p w14:paraId="6B02A1BA"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p>
    <w:p w14:paraId="5F035C19" w14:textId="77777777" w:rsidR="00072E15" w:rsidRPr="00566BFE" w:rsidRDefault="00072E15" w:rsidP="00C7130A">
      <w:pPr>
        <w:tabs>
          <w:tab w:val="left" w:pos="454"/>
        </w:tabs>
        <w:spacing w:after="60"/>
        <w:jc w:val="both"/>
        <w:rPr>
          <w:rFonts w:eastAsia="Times New Roman"/>
          <w:bCs/>
          <w:kern w:val="0"/>
          <w:sz w:val="44"/>
          <w:szCs w:val="44"/>
          <w:rtl/>
          <w:lang w:bidi="ar-JO"/>
          <w14:ligatures w14:val="none"/>
        </w:rPr>
      </w:pPr>
      <w:r w:rsidRPr="00566BFE">
        <w:rPr>
          <w:rFonts w:eastAsia="Times New Roman"/>
          <w:bCs/>
          <w:kern w:val="0"/>
          <w:sz w:val="44"/>
          <w:szCs w:val="44"/>
          <w:rtl/>
          <w:lang w:bidi="ar-JO"/>
          <w14:ligatures w14:val="none"/>
        </w:rPr>
        <w:t>6.</w:t>
      </w:r>
      <w:r w:rsidRPr="00566BFE">
        <w:rPr>
          <w:rFonts w:eastAsia="Times New Roman"/>
          <w:bCs/>
          <w:kern w:val="0"/>
          <w:sz w:val="44"/>
          <w:szCs w:val="44"/>
          <w:rtl/>
          <w:lang w:bidi="ar-JO"/>
          <w14:ligatures w14:val="none"/>
        </w:rPr>
        <w:tab/>
        <w:t>قوانين الذبائح (لاويين 1-7)</w:t>
      </w:r>
    </w:p>
    <w:p w14:paraId="1EF10AEB"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تقع الذبائح في لاويين 1-7 ضمن فئتين رئيسيتين: تقدمات روائح سرور وتقدمات ليست روائح سرور.</w:t>
      </w:r>
    </w:p>
    <w:p w14:paraId="203C9910"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1.</w:t>
      </w:r>
      <w:r w:rsidRPr="005B3275">
        <w:rPr>
          <w:rFonts w:eastAsia="Times New Roman"/>
          <w:kern w:val="0"/>
          <w:rtl/>
          <w:lang w:bidi="ar-JO"/>
          <w14:ligatures w14:val="none"/>
        </w:rPr>
        <w:tab/>
        <w:t>تقدمات روائح السرور –</w:t>
      </w:r>
      <w:r w:rsidRPr="005B3275">
        <w:rPr>
          <w:rFonts w:eastAsia="Times New Roman"/>
          <w:kern w:val="0"/>
          <w:rtl/>
          <w14:ligatures w14:val="none"/>
        </w:rPr>
        <w:t xml:space="preserve"> </w:t>
      </w:r>
      <w:r w:rsidRPr="005B3275">
        <w:rPr>
          <w:rFonts w:eastAsia="Times New Roman"/>
          <w:kern w:val="0"/>
          <w:rtl/>
          <w:lang w:bidi="ar-JO"/>
          <w14:ligatures w14:val="none"/>
        </w:rPr>
        <w:t>تقدَّم هذه الذبائح في إطار الشركة مع الرب.</w:t>
      </w:r>
    </w:p>
    <w:p w14:paraId="4FC8BD6C"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B3275">
        <w:rPr>
          <w:rFonts w:eastAsia="Times New Roman"/>
          <w:kern w:val="0"/>
          <w:rtl/>
          <w:lang w:bidi="ar-JO"/>
          <w14:ligatures w14:val="none"/>
        </w:rPr>
        <w:t>أ.</w:t>
      </w:r>
      <w:r w:rsidRPr="005B3275">
        <w:rPr>
          <w:rFonts w:eastAsia="Times New Roman"/>
          <w:kern w:val="0"/>
          <w:rtl/>
          <w:lang w:bidi="ar-JO"/>
          <w14:ligatures w14:val="none"/>
        </w:rPr>
        <w:tab/>
        <w:t>ذبائح تكريس</w:t>
      </w:r>
    </w:p>
    <w:p w14:paraId="6317C46E"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5B3275">
        <w:rPr>
          <w:rFonts w:eastAsia="Times New Roman"/>
          <w:kern w:val="0"/>
          <w:rtl/>
          <w:lang w:bidi="ar-JO"/>
          <w14:ligatures w14:val="none"/>
        </w:rPr>
        <w:t>كانت ذبائح المحرقة الكاملة وتقدمات الدقيق تقدّم من شخص يتمتع بالشركة مع الله كعطايا عبادة وتكريس.  ويمكن أن تشمل هذه هبات مقدَّمة وتقدمات تعبيراً عن الإجلال والتوقير، وتقدمات عبادة.  ويمكن تقديمها في مناسبات عدة:</w:t>
      </w:r>
    </w:p>
    <w:p w14:paraId="21D794E4"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5B3275">
        <w:rPr>
          <w:rFonts w:eastAsia="Times New Roman"/>
          <w:kern w:val="0"/>
          <w:rtl/>
          <w:lang w:bidi="ar-JO"/>
          <w14:ligatures w14:val="none"/>
        </w:rPr>
        <w:t>1)</w:t>
      </w:r>
      <w:r w:rsidRPr="005B3275">
        <w:rPr>
          <w:rFonts w:eastAsia="Times New Roman"/>
          <w:kern w:val="0"/>
          <w:rtl/>
          <w:lang w:bidi="ar-JO"/>
          <w14:ligatures w14:val="none"/>
        </w:rPr>
        <w:tab/>
        <w:t>العشور المنتظمة –</w:t>
      </w:r>
      <w:r w:rsidRPr="005B3275">
        <w:rPr>
          <w:rFonts w:eastAsia="Times New Roman"/>
          <w:kern w:val="0"/>
          <w:rtl/>
          <w14:ligatures w14:val="none"/>
        </w:rPr>
        <w:t xml:space="preserve"> </w:t>
      </w:r>
      <w:r w:rsidRPr="005B3275">
        <w:rPr>
          <w:rFonts w:eastAsia="Times New Roman"/>
          <w:kern w:val="0"/>
          <w:rtl/>
          <w:lang w:bidi="ar-JO"/>
          <w14:ligatures w14:val="none"/>
        </w:rPr>
        <w:t>كجزء من تقديم العشور والبواكير.</w:t>
      </w:r>
    </w:p>
    <w:p w14:paraId="6677BC01"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5B3275">
        <w:rPr>
          <w:rFonts w:eastAsia="Times New Roman"/>
          <w:kern w:val="0"/>
          <w:rtl/>
          <w:lang w:bidi="ar-JO"/>
          <w14:ligatures w14:val="none"/>
        </w:rPr>
        <w:t>2)</w:t>
      </w:r>
      <w:r w:rsidRPr="005B3275">
        <w:rPr>
          <w:rFonts w:eastAsia="Times New Roman"/>
          <w:kern w:val="0"/>
          <w:rtl/>
          <w:lang w:bidi="ar-JO"/>
          <w14:ligatures w14:val="none"/>
        </w:rPr>
        <w:tab/>
        <w:t>عطايا تكريسية (لاويين 27)</w:t>
      </w:r>
    </w:p>
    <w:p w14:paraId="1A744FA7"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5B3275">
        <w:rPr>
          <w:rFonts w:eastAsia="Times New Roman"/>
          <w:kern w:val="0"/>
          <w:rtl/>
          <w:lang w:bidi="ar-JO"/>
          <w14:ligatures w14:val="none"/>
        </w:rPr>
        <w:t>3)</w:t>
      </w:r>
      <w:r w:rsidRPr="005B3275">
        <w:rPr>
          <w:rFonts w:eastAsia="Times New Roman"/>
          <w:kern w:val="0"/>
          <w:rtl/>
          <w:lang w:bidi="ar-JO"/>
          <w14:ligatures w14:val="none"/>
        </w:rPr>
        <w:tab/>
        <w:t>تعبير عن العرفان – ويتضمن هذا تقدمات طوعية يقدّمها أي عابد في أي وقت يحس بأنه مدفوع إلى ذلك، أو تقدمات شكر على بركة تلقّاها.</w:t>
      </w:r>
    </w:p>
    <w:p w14:paraId="7B20729C"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5B3275">
        <w:rPr>
          <w:rFonts w:eastAsia="Times New Roman"/>
          <w:kern w:val="0"/>
          <w:rtl/>
          <w:lang w:bidi="ar-JO"/>
          <w14:ligatures w14:val="none"/>
        </w:rPr>
        <w:t>4)</w:t>
      </w:r>
      <w:r w:rsidRPr="005B3275">
        <w:rPr>
          <w:rFonts w:eastAsia="Times New Roman"/>
          <w:kern w:val="0"/>
          <w:rtl/>
          <w:lang w:bidi="ar-JO"/>
          <w14:ligatures w14:val="none"/>
        </w:rPr>
        <w:tab/>
        <w:t>توسُّل –</w:t>
      </w:r>
      <w:r w:rsidRPr="005B3275">
        <w:rPr>
          <w:rFonts w:eastAsia="Times New Roman"/>
          <w:kern w:val="0"/>
          <w:rtl/>
          <w14:ligatures w14:val="none"/>
        </w:rPr>
        <w:t xml:space="preserve"> </w:t>
      </w:r>
      <w:r w:rsidRPr="005B3275">
        <w:rPr>
          <w:rFonts w:eastAsia="Times New Roman"/>
          <w:kern w:val="0"/>
          <w:rtl/>
          <w:lang w:bidi="ar-JO"/>
          <w14:ligatures w14:val="none"/>
        </w:rPr>
        <w:t>للحصول على فضل أو معروف من الله أو لإرضاء الله.</w:t>
      </w:r>
    </w:p>
    <w:p w14:paraId="26D9CCAD"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B3275">
        <w:rPr>
          <w:rFonts w:eastAsia="Times New Roman"/>
          <w:kern w:val="0"/>
          <w:rtl/>
          <w:lang w:bidi="ar-JO"/>
          <w14:ligatures w14:val="none"/>
        </w:rPr>
        <w:t>ب.</w:t>
      </w:r>
      <w:r w:rsidRPr="005B3275">
        <w:rPr>
          <w:rFonts w:eastAsia="Times New Roman"/>
          <w:kern w:val="0"/>
          <w:rtl/>
          <w:lang w:bidi="ar-JO"/>
          <w14:ligatures w14:val="none"/>
        </w:rPr>
        <w:tab/>
        <w:t>ذبائح الشركة</w:t>
      </w:r>
    </w:p>
    <w:p w14:paraId="0C8DC205"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5B3275">
        <w:rPr>
          <w:rFonts w:eastAsia="Times New Roman"/>
          <w:kern w:val="0"/>
          <w:rtl/>
          <w:lang w:bidi="ar-JO"/>
          <w14:ligatures w14:val="none"/>
        </w:rPr>
        <w:lastRenderedPageBreak/>
        <w:t>يمكن تقديم ذبيحة السلامة للتعبير عن أن العلاقة مع الله جيدة وسليمة.</w:t>
      </w:r>
    </w:p>
    <w:p w14:paraId="355903FF"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14:ligatures w14:val="none"/>
        </w:rPr>
      </w:pPr>
      <w:r w:rsidRPr="005B3275">
        <w:rPr>
          <w:rFonts w:eastAsia="Times New Roman"/>
          <w:kern w:val="0"/>
          <w:rtl/>
          <w:lang w:bidi="ar-JO"/>
          <w14:ligatures w14:val="none"/>
        </w:rPr>
        <w:t>2.</w:t>
      </w:r>
      <w:r w:rsidRPr="005B3275">
        <w:rPr>
          <w:rFonts w:eastAsia="Times New Roman"/>
          <w:kern w:val="0"/>
          <w:rtl/>
          <w:lang w:bidi="ar-JO"/>
          <w14:ligatures w14:val="none"/>
        </w:rPr>
        <w:tab/>
        <w:t>تقدمات ليست رائحة سرور –</w:t>
      </w:r>
      <w:r w:rsidRPr="005B3275">
        <w:rPr>
          <w:rFonts w:eastAsia="Times New Roman"/>
          <w:kern w:val="0"/>
          <w:rtl/>
          <w14:ligatures w14:val="none"/>
        </w:rPr>
        <w:t xml:space="preserve"> </w:t>
      </w:r>
      <w:r w:rsidRPr="005B3275">
        <w:rPr>
          <w:rFonts w:eastAsia="Times New Roman"/>
          <w:kern w:val="0"/>
          <w:rtl/>
          <w:lang w:bidi="ar-JO"/>
          <w14:ligatures w14:val="none"/>
        </w:rPr>
        <w:t>كانت هذه الذبائح تُقدَّم من أجل الحصول على شركة مع الله.  وكانت هذه الذبائح نوعين أساسيين: تقدمة الخطية وتقدمة الإثم.  وكانت هذه هي ذبائح للتكفير عن الخطايا المرتكبة ضد الله أو الإنسان والتي أدّت إلى إحساس بالذنب وتوقّع عقاب.  وقد قُدّمت هذه الذبائح من أجل التكفير وتهدئة غضب الله، وحصول المعترف بالذنب على الغفران.</w:t>
      </w:r>
      <w:r w:rsidRPr="005B3275">
        <w:rPr>
          <w:rFonts w:eastAsia="Times New Roman"/>
          <w:kern w:val="0"/>
          <w:vertAlign w:val="superscript"/>
          <w:rtl/>
          <w:lang w:bidi="ar-JO"/>
          <w14:ligatures w14:val="none"/>
        </w:rPr>
        <w:footnoteReference w:id="84"/>
      </w:r>
    </w:p>
    <w:p w14:paraId="32FB20BC"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B3275">
        <w:rPr>
          <w:rFonts w:eastAsia="Times New Roman"/>
          <w:kern w:val="0"/>
          <w:rtl/>
          <w:lang w:bidi="ar-JO"/>
          <w14:ligatures w14:val="none"/>
        </w:rPr>
        <w:t>أ.</w:t>
      </w:r>
      <w:r w:rsidRPr="005B3275">
        <w:rPr>
          <w:rFonts w:eastAsia="Times New Roman"/>
          <w:kern w:val="0"/>
          <w:rtl/>
          <w:lang w:bidi="ar-JO"/>
          <w14:ligatures w14:val="none"/>
        </w:rPr>
        <w:tab/>
        <w:t>ذبيحة الخطيّة</w:t>
      </w:r>
      <w:r w:rsidRPr="005B3275">
        <w:rPr>
          <w:rFonts w:eastAsia="Times New Roman"/>
          <w:kern w:val="0"/>
          <w:rtl/>
          <w14:ligatures w14:val="none"/>
        </w:rPr>
        <w:t xml:space="preserve"> </w:t>
      </w:r>
      <w:r w:rsidRPr="005B3275">
        <w:rPr>
          <w:rFonts w:eastAsia="Times New Roman"/>
          <w:kern w:val="0"/>
          <w:rtl/>
          <w:lang w:bidi="ar-JO"/>
          <w14:ligatures w14:val="none"/>
        </w:rPr>
        <w:t>- من أجل خطيّة كُشفت ولم تكن متعمَّدة.</w:t>
      </w:r>
    </w:p>
    <w:p w14:paraId="672390A1"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B3275">
        <w:rPr>
          <w:rFonts w:eastAsia="Times New Roman"/>
          <w:kern w:val="0"/>
          <w:rtl/>
          <w:lang w:bidi="ar-JO"/>
          <w14:ligatures w14:val="none"/>
        </w:rPr>
        <w:t>ب.</w:t>
      </w:r>
      <w:r w:rsidRPr="005B3275">
        <w:rPr>
          <w:rFonts w:eastAsia="Times New Roman"/>
          <w:kern w:val="0"/>
          <w:rtl/>
          <w:lang w:bidi="ar-JO"/>
          <w14:ligatures w14:val="none"/>
        </w:rPr>
        <w:tab/>
        <w:t>ذبيحة الإثم</w:t>
      </w:r>
      <w:r w:rsidRPr="005B3275">
        <w:rPr>
          <w:rFonts w:eastAsia="Times New Roman"/>
          <w:kern w:val="0"/>
          <w:rtl/>
          <w14:ligatures w14:val="none"/>
        </w:rPr>
        <w:t xml:space="preserve"> </w:t>
      </w:r>
      <w:r w:rsidRPr="005B3275">
        <w:rPr>
          <w:rFonts w:eastAsia="Times New Roman"/>
          <w:kern w:val="0"/>
          <w:rtl/>
          <w:lang w:bidi="ar-JO"/>
          <w14:ligatures w14:val="none"/>
        </w:rPr>
        <w:t>- من أجل ذنب أو تعدٍّ يُشتَرط فيه التعو</w:t>
      </w:r>
      <w:r w:rsidRPr="005B3275">
        <w:rPr>
          <w:rFonts w:eastAsia="Times New Roman"/>
          <w:kern w:val="0"/>
          <w:rtl/>
          <w14:ligatures w14:val="none"/>
        </w:rPr>
        <w:t>ي</w:t>
      </w:r>
      <w:r w:rsidRPr="005B3275">
        <w:rPr>
          <w:rFonts w:eastAsia="Times New Roman"/>
          <w:kern w:val="0"/>
          <w:rtl/>
          <w:lang w:bidi="ar-JO"/>
          <w14:ligatures w14:val="none"/>
        </w:rPr>
        <w:t>ض.</w:t>
      </w:r>
    </w:p>
    <w:p w14:paraId="5A706380"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14:ligatures w14:val="none"/>
        </w:rPr>
      </w:pPr>
    </w:p>
    <w:p w14:paraId="24A61EBC"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14:ligatures w14:val="none"/>
        </w:rPr>
      </w:pPr>
    </w:p>
    <w:p w14:paraId="13F5E818"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14:ligatures w14:val="none"/>
        </w:rPr>
      </w:pPr>
    </w:p>
    <w:p w14:paraId="5BD5935E" w14:textId="77777777" w:rsidR="00072E15" w:rsidRPr="005B3275" w:rsidRDefault="00072E15"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أ.</w:t>
      </w:r>
      <w:r w:rsidRPr="005B3275">
        <w:rPr>
          <w:rFonts w:eastAsia="Times New Roman"/>
          <w:bCs/>
          <w:kern w:val="0"/>
          <w:rtl/>
          <w14:ligatures w14:val="none"/>
        </w:rPr>
        <w:tab/>
        <w:t>ذبيحة المحرقة  (لاويين 1: 1-17)</w:t>
      </w:r>
    </w:p>
    <w:p w14:paraId="2B837543"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كانت ذبيحة المحرقة أهم ذبائح الهيكل، حيث لجأ إليها في عِدّة مناسبات الأفراد والأمة ككل.  لكنها كانت في جميع الأحول عملاً عبادياً جهارياً... تقدمة عبادة لمن يتمتع بشركة مع الرب.  وإن الجانب الهام لهذه الذبيحة هو أنها كانت تُستهلك بشكل كامل على المذبح، لتدلّ بذلك على تسليم كامل لله (من خلال البديل)، وعلى قبول كامل من الرب أيضاً.  كانت التقدمة تحرق كاملةً، دالّة بذلك على الانتهاء التام لغضب الله (كما هو الحال في موت المسيح).  وعلى الرغم من أن الذبيحة لم تقدَّم من أجل "الحصول على القبول"، إلاّ أنها كانت شهادة جهارية لعابد مؤمن من بني إسرائيل أنه لا يمكن لأحد أن يقترب من الله في أي وقت دون كفّارة بديلية تجعله مقبولاً لدى الله.  وهكذا كانت الذبيحة شهادة جهارية على حقيقة إمكانية الوصول إلى الله.  ويدل استخدام عدة تصنيفات أو فئات من الحيوانات أنه لم يكن هنالك من يُحظر قبول الله له أو يُحرم من العبادة على أساس دخله أو قدرته على العطاء.  وتعلّمنا هذه الذبيحة أن العبراني الوفي (والمؤمن بالمسيح اليوم!) يجب أن يشهد دائماً على أن قبول الله له كان مبنياً على الكفّارة البديلة.</w:t>
      </w:r>
    </w:p>
    <w:p w14:paraId="6D364555"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60EBE58" w14:textId="77777777" w:rsidR="00072E15" w:rsidRPr="005B3275" w:rsidRDefault="00072E15"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ب.</w:t>
      </w:r>
      <w:r w:rsidRPr="005B3275">
        <w:rPr>
          <w:rFonts w:eastAsia="Times New Roman"/>
          <w:bCs/>
          <w:kern w:val="0"/>
          <w:rtl/>
          <w14:ligatures w14:val="none"/>
        </w:rPr>
        <w:tab/>
        <w:t>تقدمة الدقيق (لاويين 2: 1-16)</w:t>
      </w:r>
    </w:p>
    <w:p w14:paraId="0EA9288A"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lastRenderedPageBreak/>
        <w:t>كانت تقدمة الدقيق نتيجة منطقية لتقدمة المحرقة.  ففي حين حملت ذبيحة المُحرَقة شهادة على قبول الله للمؤمن بناء على الكفّارة البديلية، كانت تقدمة الدقيق اعترافاً بأن العابد وما يملُك مُلْك لله.  وغالباً ما كانت تقدمة الدقيق تصحب المحرقة.  فكأن حال لسان العابد العبراني هو: "إن كان الله من الكرم بحيث يوفّر بديلاً لكفّارتي، فإني أريد أن أعترف بأني وكل ما أملك مُلْك له."  وهكذا كانت تقدمة الدقيق تكريساً.  ويقدّم المعطي للكاهن أفضل نصيب ("قربان أوائل") من طعامه الذي يمثّل ما أنعم به الله عليه.  ويأخذ الكاهن حفنة منه ويحرقه على المذبح.  أمّا الباقي فيأكله الكهنة.  أمّا بالنسبة للعبراني العابد، فلم يتبقَّ له شيء... وهو اعتراف بأنه أعطاه كلّه لله.  ويمكن للمؤمن اليوم أن يتعلّم من هذه التقدمة.  فعلى المؤمن بالمسيح أن يقدّم نفسه ذبيحة حيّة لله استجابة لمراحم الله ورأفته (رومية 12: 1-2).  ففي اللحظة التي تُغفر خطايانا، نصير بكل ما نملك مُلكاً للمسيح!</w:t>
      </w:r>
    </w:p>
    <w:p w14:paraId="0A84DF32"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6734952" w14:textId="77777777" w:rsidR="00072E15" w:rsidRPr="005B3275" w:rsidRDefault="00072E15"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جـ.</w:t>
      </w:r>
      <w:r w:rsidRPr="005B3275">
        <w:rPr>
          <w:rFonts w:eastAsia="Times New Roman"/>
          <w:bCs/>
          <w:kern w:val="0"/>
          <w:rtl/>
          <w14:ligatures w14:val="none"/>
        </w:rPr>
        <w:tab/>
        <w:t>تقدمة السلامة (لاويين 3: 1-17)</w:t>
      </w:r>
    </w:p>
    <w:p w14:paraId="2FD0A58F"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كانت تقدمة السلامة مناسبة فرحة جداً يحتفل فيها مقدّم التقدمة (م</w:t>
      </w:r>
      <w:r w:rsidRPr="005B3275">
        <w:rPr>
          <w:rFonts w:eastAsia="Times New Roman"/>
          <w:kern w:val="0"/>
          <w:rtl/>
          <w14:ligatures w14:val="none"/>
        </w:rPr>
        <w:t>ن</w:t>
      </w:r>
      <w:r w:rsidRPr="005B3275">
        <w:rPr>
          <w:rFonts w:eastAsia="Times New Roman"/>
          <w:kern w:val="0"/>
          <w:rtl/>
          <w:lang w:bidi="ar-JO"/>
          <w14:ligatures w14:val="none"/>
        </w:rPr>
        <w:t xml:space="preserve"> خلال وجبة مشتركة) مع أصدقائه والرعية بأنه في سلام مع الله، وأن أموره معه تسير سيراً حسناً.  كانت تقدمة السلامة أحياناً إستجابة لبركة معينة من الله (انظر 7: 12-15)، أو ببساطة كتعبير عام عن الامتنان لله.  وكان يمكن تقديمها كاستجابة لق</w:t>
      </w:r>
      <w:r w:rsidRPr="005B3275">
        <w:rPr>
          <w:rFonts w:eastAsia="Times New Roman"/>
          <w:kern w:val="0"/>
          <w:rtl/>
          <w14:ligatures w14:val="none"/>
        </w:rPr>
        <w:t>َ</w:t>
      </w:r>
      <w:r w:rsidRPr="005B3275">
        <w:rPr>
          <w:rFonts w:eastAsia="Times New Roman"/>
          <w:kern w:val="0"/>
          <w:rtl/>
          <w:lang w:bidi="ar-JO"/>
          <w14:ligatures w14:val="none"/>
        </w:rPr>
        <w:t>سَمْ تبعه استجابة الله لتلك الصلاة التي رافقها القَسَمْ (أو الصراخ لأجل الخلاص)، كما في يونان 2: 9.  وتتمثل فرادة هذه التقدمة في أنه كان يسمح لمقدّم الذبيحة وأصدقائه بأكل الذبيحة (ما عدا الشحم وأجزاء معينة يأخذها الكاهن).  فكانت من ناحية فعلية ذبيحة يقوم فيها الله بإعادة جزء من مزايا الذبيحة أو فوائدها للإنسان.  وفي ضوء هذا كانت نتيجة طبيعية لتقد</w:t>
      </w:r>
      <w:r w:rsidRPr="005B3275">
        <w:rPr>
          <w:rFonts w:eastAsia="Times New Roman"/>
          <w:kern w:val="0"/>
          <w:rtl/>
          <w14:ligatures w14:val="none"/>
        </w:rPr>
        <w:t>ِ</w:t>
      </w:r>
      <w:r w:rsidRPr="005B3275">
        <w:rPr>
          <w:rFonts w:eastAsia="Times New Roman"/>
          <w:kern w:val="0"/>
          <w:rtl/>
          <w:lang w:bidi="ar-JO"/>
          <w14:ligatures w14:val="none"/>
        </w:rPr>
        <w:t>م</w:t>
      </w:r>
      <w:r w:rsidRPr="005B3275">
        <w:rPr>
          <w:rFonts w:eastAsia="Times New Roman"/>
          <w:kern w:val="0"/>
          <w:rtl/>
          <w14:ligatures w14:val="none"/>
        </w:rPr>
        <w:t>َ</w:t>
      </w:r>
      <w:r w:rsidRPr="005B3275">
        <w:rPr>
          <w:rFonts w:eastAsia="Times New Roman"/>
          <w:kern w:val="0"/>
          <w:rtl/>
          <w:lang w:bidi="ar-JO"/>
          <w14:ligatures w14:val="none"/>
        </w:rPr>
        <w:t>ت</w:t>
      </w:r>
      <w:r w:rsidRPr="005B3275">
        <w:rPr>
          <w:rFonts w:eastAsia="Times New Roman"/>
          <w:kern w:val="0"/>
          <w:rtl/>
          <w14:ligatures w14:val="none"/>
        </w:rPr>
        <w:t>َ</w:t>
      </w:r>
      <w:r w:rsidRPr="005B3275">
        <w:rPr>
          <w:rFonts w:eastAsia="Times New Roman"/>
          <w:kern w:val="0"/>
          <w:rtl/>
          <w:lang w:bidi="ar-JO"/>
          <w14:ligatures w14:val="none"/>
        </w:rPr>
        <w:t>ي</w:t>
      </w:r>
      <w:r w:rsidRPr="005B3275">
        <w:rPr>
          <w:rFonts w:eastAsia="Times New Roman"/>
          <w:kern w:val="0"/>
          <w:rtl/>
          <w14:ligatures w14:val="none"/>
        </w:rPr>
        <w:t>ْ</w:t>
      </w:r>
      <w:r w:rsidRPr="005B3275">
        <w:rPr>
          <w:rFonts w:eastAsia="Times New Roman"/>
          <w:kern w:val="0"/>
          <w:rtl/>
          <w:lang w:bidi="ar-JO"/>
          <w14:ligatures w14:val="none"/>
        </w:rPr>
        <w:t xml:space="preserve"> المحرقة والدقيق.  فعندما أُعطي كل شيء لله، أجد أنه يتجاوب في نعمته الفياضة فينعم عليّ بالبركات والخيرات.  فلا بدّ لمن افتداه الرب وسلّم حياته ل</w:t>
      </w:r>
      <w:r w:rsidRPr="005B3275">
        <w:rPr>
          <w:rFonts w:eastAsia="Times New Roman"/>
          <w:kern w:val="0"/>
          <w:rtl/>
          <w14:ligatures w14:val="none"/>
        </w:rPr>
        <w:t>ه</w:t>
      </w:r>
      <w:r w:rsidRPr="005B3275">
        <w:rPr>
          <w:rFonts w:eastAsia="Times New Roman"/>
          <w:kern w:val="0"/>
          <w:rtl/>
          <w:lang w:bidi="ar-JO"/>
          <w14:ligatures w14:val="none"/>
        </w:rPr>
        <w:t xml:space="preserve"> من أن ينشغل بشكل تلقائي بأعمال شكر وتسبيح وشركة مع القديسين.  يقول روس:</w:t>
      </w:r>
    </w:p>
    <w:p w14:paraId="726C1F76"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لا يعني الامتنان خزن كل البركات والفوائد لغايات استهلاكية أنانية.  فلا بد لكل من يدرك كل بركات الله في حياته أن يعطي بسخاء لله لكي يستفيد الآخرون.</w:t>
      </w:r>
      <w:r w:rsidRPr="005B3275">
        <w:rPr>
          <w:rFonts w:eastAsia="Times New Roman"/>
          <w:kern w:val="0"/>
          <w:vertAlign w:val="superscript"/>
          <w:rtl/>
          <w:lang w:bidi="ar-JO"/>
          <w14:ligatures w14:val="none"/>
        </w:rPr>
        <w:footnoteReference w:id="85"/>
      </w:r>
    </w:p>
    <w:p w14:paraId="38FFDAC4"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p>
    <w:p w14:paraId="4A78766E" w14:textId="77777777" w:rsidR="00072E15" w:rsidRPr="005B3275" w:rsidRDefault="00072E15"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د.</w:t>
      </w:r>
      <w:r w:rsidRPr="005B3275">
        <w:rPr>
          <w:rFonts w:eastAsia="Times New Roman"/>
          <w:bCs/>
          <w:kern w:val="0"/>
          <w:rtl/>
          <w14:ligatures w14:val="none"/>
        </w:rPr>
        <w:tab/>
        <w:t>ذبيحة الخطية (لاويين 4: 1-5: 13)</w:t>
      </w:r>
    </w:p>
    <w:p w14:paraId="0A644304"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 xml:space="preserve">كانت ذبيحة الخطية ذبيحة الإثم (التعدي) مختلفتين عن التقدمات الثلاث الأولى.  فلم تكن تقدمتا الخطية والإثم (التعدي) من تقدمات روائح السرور، وكانتا تقدّمان من أجل الحصول على شركة مع الله (ولم تكونا تقدَّمان في وقت كان مقدّموها يتمتعون بشركة مع الله).  كانت هاتان التقدمتان تهدفان إلى الحصول على غفران الخطايا لكي يتمكن (الفرد أو الجماعة) من </w:t>
      </w:r>
      <w:r w:rsidRPr="005B3275">
        <w:rPr>
          <w:rFonts w:eastAsia="Times New Roman"/>
          <w:kern w:val="0"/>
          <w:rtl/>
          <w:lang w:bidi="ar-JO"/>
          <w14:ligatures w14:val="none"/>
        </w:rPr>
        <w:lastRenderedPageBreak/>
        <w:t>العبادة التقيّة في المقدس.  غير أن تقدمتي الخطية والإثم (التعدي) لم تكونا تكفِّران عن كل خطيّة.  إذ كانتا مقصورتين على أنواع معينة من الخطايا.</w:t>
      </w:r>
    </w:p>
    <w:p w14:paraId="436B96E4"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18889A3"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1.</w:t>
      </w:r>
      <w:r w:rsidRPr="005B3275">
        <w:rPr>
          <w:rFonts w:eastAsia="Times New Roman"/>
          <w:kern w:val="0"/>
          <w:rtl/>
          <w:lang w:bidi="ar-JO"/>
          <w14:ligatures w14:val="none"/>
        </w:rPr>
        <w:tab/>
        <w:t>أنواع الخطايا التي تُستَر</w:t>
      </w:r>
    </w:p>
    <w:p w14:paraId="3E14FFC4"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هدفت تقدمة الخطية إلى ستر خطية الفرد أو الجماعة التي ارتكبت سهواً (</w:t>
      </w:r>
      <w:r w:rsidRPr="005B3275">
        <w:rPr>
          <w:rFonts w:ascii="Times New Roman" w:eastAsia="Times New Roman" w:hAnsi="Times New Roman" w:cs="Times New Roman" w:hint="cs"/>
          <w:color w:val="000000"/>
          <w:kern w:val="0"/>
          <w:rtl/>
          <w:lang w:bidi="he-IL"/>
          <w14:ligatures w14:val="none"/>
        </w:rPr>
        <w:t>בִּשְׁגָגָ֖ה</w:t>
      </w:r>
      <w:r w:rsidRPr="005B3275">
        <w:rPr>
          <w:rFonts w:eastAsia="Times New Roman"/>
          <w:kern w:val="0"/>
          <w:rtl/>
          <w:lang w:bidi="ar-JO"/>
          <w14:ligatures w14:val="none"/>
        </w:rPr>
        <w:t>).  يقدّم روس التوضيح التالي:</w:t>
      </w:r>
    </w:p>
    <w:p w14:paraId="46A4DBF8"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5B3275">
        <w:rPr>
          <w:rFonts w:eastAsia="Times New Roman"/>
          <w:kern w:val="0"/>
          <w:rtl/>
          <w:lang w:bidi="ar-JO"/>
          <w14:ligatures w14:val="none"/>
        </w:rPr>
        <w:t xml:space="preserve">"يوضح تعبير </w:t>
      </w:r>
      <w:r w:rsidRPr="005B3275">
        <w:rPr>
          <w:rFonts w:ascii="Times New Roman" w:eastAsia="Times New Roman" w:hAnsi="Times New Roman" w:cs="Times New Roman" w:hint="cs"/>
          <w:kern w:val="0"/>
          <w:rtl/>
          <w:lang w:bidi="he-IL"/>
          <w14:ligatures w14:val="none"/>
        </w:rPr>
        <w:t>לא</w:t>
      </w:r>
      <w:r w:rsidRPr="005B3275">
        <w:rPr>
          <w:rFonts w:eastAsia="Times New Roman"/>
          <w:kern w:val="0"/>
          <w:rtl/>
          <w:lang w:bidi="he-IL"/>
          <w14:ligatures w14:val="none"/>
        </w:rPr>
        <w:t xml:space="preserve"> </w:t>
      </w:r>
      <w:r w:rsidRPr="005B3275">
        <w:rPr>
          <w:rFonts w:ascii="Times New Roman" w:eastAsia="Times New Roman" w:hAnsi="Times New Roman" w:cs="Times New Roman" w:hint="cs"/>
          <w:kern w:val="0"/>
          <w:rtl/>
          <w:lang w:bidi="he-IL"/>
          <w14:ligatures w14:val="none"/>
        </w:rPr>
        <w:t>ידע</w:t>
      </w:r>
      <w:r w:rsidRPr="005B3275">
        <w:rPr>
          <w:rFonts w:eastAsia="Times New Roman"/>
          <w:kern w:val="0"/>
          <w:rtl/>
          <w:lang w:bidi="ar-JO"/>
          <w14:ligatures w14:val="none"/>
        </w:rPr>
        <w:t xml:space="preserve">  أن الخطيّة لم تكن متعمَّدة أو مقصودة – إذ لم يدرِ الفرد أنه قد أخطأ، لكنه اكتشف ذلك فيما بعد.  إذ تقول</w:t>
      </w:r>
      <w:r w:rsidRPr="005B3275">
        <w:rPr>
          <w:rFonts w:eastAsia="Times New Roman"/>
          <w:kern w:val="0"/>
          <w:rtl/>
          <w14:ligatures w14:val="none"/>
        </w:rPr>
        <w:t xml:space="preserve"> الآية في</w:t>
      </w:r>
      <w:r w:rsidRPr="005B3275">
        <w:rPr>
          <w:rFonts w:eastAsia="Times New Roman"/>
          <w:kern w:val="0"/>
          <w:rtl/>
          <w:lang w:bidi="ar-JO"/>
          <w14:ligatures w14:val="none"/>
        </w:rPr>
        <w:t xml:space="preserve"> لاويين 4: 13 إن أمر الخطية أخفي عن عينيه.  ويقول يشوع 20: 13 إن هذه الخطية ترتكب سهواً، أي بدون نيّة واعية أو معرفة.  وهي في سياق خطايا جهل (لاويين 4) أو خطايا إهمال (5: 4)، أو خطيّة لا تُرتَكَب كتردُّدٍ وعنادٍ (عدد 15: 30)."</w:t>
      </w:r>
      <w:r w:rsidRPr="005B3275">
        <w:rPr>
          <w:rFonts w:eastAsia="Times New Roman"/>
          <w:kern w:val="0"/>
          <w:vertAlign w:val="superscript"/>
          <w:rtl/>
          <w:lang w:bidi="ar-JO"/>
          <w14:ligatures w14:val="none"/>
        </w:rPr>
        <w:footnoteReference w:id="86"/>
      </w:r>
      <w:r w:rsidRPr="005B3275">
        <w:rPr>
          <w:rFonts w:eastAsia="Times New Roman"/>
          <w:kern w:val="0"/>
          <w:rtl/>
          <w:lang w:bidi="ar-JO"/>
          <w14:ligatures w14:val="none"/>
        </w:rPr>
        <w:t xml:space="preserve"> </w:t>
      </w:r>
    </w:p>
    <w:p w14:paraId="3D9783CC"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ومن الخطايا التي تغطّيها تقدمة ذبيحة الخطية خطايا النجاسة الطقسية وخرق الحقوق مثل حقوق الممتلكات.</w:t>
      </w:r>
    </w:p>
    <w:p w14:paraId="78A8069E"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112CF9C"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2.</w:t>
      </w:r>
      <w:r w:rsidRPr="005B3275">
        <w:rPr>
          <w:rFonts w:eastAsia="Times New Roman"/>
          <w:kern w:val="0"/>
          <w:rtl/>
          <w:lang w:bidi="ar-JO"/>
          <w14:ligatures w14:val="none"/>
        </w:rPr>
        <w:tab/>
        <w:t xml:space="preserve">أنواع الخطايا التي لا تُستَر </w:t>
      </w:r>
    </w:p>
    <w:p w14:paraId="29B38963"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كانت هنالك خطايا كثيرة لم تكن هذه الذبيحة تسترها، خاصة الخطايا التي ترتكب تحدّياً لشريعة الله.  ويعتبر عدد 15: 30 أن هذه الخطايا علامة على "يد رفيعة"، أي أنها لا ترتكب علناً فحسب، لكنها تُرتكب أيضاً بغطرسة وتحدٍّ – وكأنها تحدٍّ سافر للرب.  لم تستر ذبيحة الخطية هذه الخطايا التي ارتكبت عن سابق إصرار وغطرسة وتحدٍّ (قارن أمثال  6: 17؛ 30: 13).  ولم تكن خروقات الوصايا العشر تُغطَّى أيضاً بهذه الذبيحة، مثل عبادة آلهة أخرى، والزنى، والاغتصاب، ولم يكن الاستخفاف المتعمّد لقوانين العبادة الدينية مغطى بها، مثل عدم مراعاة الفصح (عدد 19: 13) أو يوم الكفّارة (لاويين 23: 29-30).</w:t>
      </w:r>
    </w:p>
    <w:p w14:paraId="67AA5C26"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D9E1F0F"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3.</w:t>
      </w:r>
      <w:r w:rsidRPr="005B3275">
        <w:rPr>
          <w:rFonts w:eastAsia="Times New Roman"/>
          <w:kern w:val="0"/>
          <w:rtl/>
          <w:lang w:bidi="ar-JO"/>
          <w14:ligatures w14:val="none"/>
        </w:rPr>
        <w:tab/>
        <w:t xml:space="preserve">تضمينات للغفران </w:t>
      </w:r>
    </w:p>
    <w:p w14:paraId="061A4297"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 xml:space="preserve">من الواضح أن الشريعة لم توفّر ذبيحة لكثير من الخطايا.  فلم يكن هنالك علاج في الشريعة لخطية داود المتعمّدة مع بثشبع، فوقف مداناً تحت الناموس، وكان أمله الوحيد هو الهروب إلى الله نفسه (إذ لم تكن هنالك ذبيحة يمكن أن يقدّمها).  ففي مثل هذه الحالات لم يكن ممكناً أن يُمنح الغُفران إلاّ بعمل نعمة مجاني.  وقد يأتي هذا بعد (1) تشفُّع الكاهن (خروج 32: 11، 13، 20-25)؛ أو (2) توبة حقيقية وانسحاق القلب (مزمور 51: </w:t>
      </w:r>
      <w:r w:rsidRPr="005B3275">
        <w:rPr>
          <w:rFonts w:eastAsia="Times New Roman"/>
          <w:kern w:val="0"/>
          <w:rtl/>
          <w:lang w:bidi="ar-JO"/>
          <w14:ligatures w14:val="none"/>
        </w:rPr>
        <w:lastRenderedPageBreak/>
        <w:t>17)؛ أو (3) تدخُّل إلهي مباشر (إشعياء 6: 5-7).  فإذا عبّر الخاطئ عن توبة حقيقية، كان لديه رجاء في الدم المرشوش على كرسي الرحمة في يوم الكفّارة عن الأمّة.  أمّا إذا بقيت الخطية دون اعتراف أمام الله، فليس للشريعة ما تقدّمه إلاّ توقّع مخيف للدينونة.</w:t>
      </w:r>
    </w:p>
    <w:p w14:paraId="387960EA"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387C47B"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4.</w:t>
      </w:r>
      <w:r w:rsidRPr="005B3275">
        <w:rPr>
          <w:rFonts w:eastAsia="Times New Roman"/>
          <w:kern w:val="0"/>
          <w:rtl/>
          <w:lang w:bidi="ar-JO"/>
          <w14:ligatures w14:val="none"/>
        </w:rPr>
        <w:tab/>
        <w:t xml:space="preserve">الدلالة </w:t>
      </w:r>
    </w:p>
    <w:p w14:paraId="2A896380"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5B3275">
        <w:rPr>
          <w:rFonts w:eastAsia="Times New Roman"/>
          <w:kern w:val="0"/>
          <w:rtl/>
          <w:lang w:bidi="ar-JO"/>
          <w14:ligatures w14:val="none"/>
        </w:rPr>
        <w:t>هدفت ذبيحة الخطية إلى الحصول على غفران الخطية، والتطهير من النجاسة وعدم الطهارة، وردّ المرء إلى الشركة مع الله.  ولم يكن هذا ممكناً إلاّ في حالة التوبة الحقيقية</w:t>
      </w:r>
      <w:r w:rsidRPr="005B3275">
        <w:rPr>
          <w:rFonts w:eastAsia="Times New Roman"/>
          <w:kern w:val="0"/>
          <w:rtl/>
          <w14:ligatures w14:val="none"/>
        </w:rPr>
        <w:t xml:space="preserve"> (لاحظ </w:t>
      </w:r>
      <w:bookmarkStart w:id="226" w:name="_Hlk156295673"/>
      <w:r w:rsidRPr="005B3275">
        <w:rPr>
          <w:rFonts w:eastAsia="Times New Roman"/>
          <w:kern w:val="0"/>
          <w:rtl/>
          <w14:ligatures w14:val="none"/>
        </w:rPr>
        <w:t>لاويين</w:t>
      </w:r>
      <w:bookmarkEnd w:id="226"/>
      <w:r w:rsidRPr="005B3275">
        <w:rPr>
          <w:rFonts w:eastAsia="Times New Roman"/>
          <w:kern w:val="0"/>
          <w:rtl/>
          <w14:ligatures w14:val="none"/>
        </w:rPr>
        <w:t xml:space="preserve"> 5: 5 والتعليمات حول "الاعتراف")</w:t>
      </w:r>
      <w:r w:rsidRPr="005B3275">
        <w:rPr>
          <w:rFonts w:eastAsia="Times New Roman"/>
          <w:kern w:val="0"/>
          <w:rtl/>
          <w:lang w:bidi="ar-JO"/>
          <w14:ligatures w14:val="none"/>
        </w:rPr>
        <w:t>.  قدّمت ذبيحة الخطية تكفيراً عن شخص المسيء، في حين أن ذبيحة التعدّي (الإثم) لم تكفّر إلاّ عن الإساءة المعيّنة التي ارتكبها.  وقد كانت ذبيحة الخطية تركِّز على إعادة الشركة مع الله، كما هو الحال مع المؤمن بالمسيح كما توضح 1يوحنا 1: 9.</w:t>
      </w:r>
    </w:p>
    <w:p w14:paraId="73BADD8B"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KW"/>
          <w14:ligatures w14:val="none"/>
        </w:rPr>
      </w:pPr>
    </w:p>
    <w:p w14:paraId="62D2189A" w14:textId="77777777" w:rsidR="00072E15" w:rsidRPr="005B3275" w:rsidRDefault="00072E15"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هـ.</w:t>
      </w:r>
      <w:r w:rsidRPr="005B3275">
        <w:rPr>
          <w:rFonts w:eastAsia="Times New Roman"/>
          <w:bCs/>
          <w:kern w:val="0"/>
          <w:rtl/>
          <w14:ligatures w14:val="none"/>
        </w:rPr>
        <w:tab/>
        <w:t>تقدمة الإثم (لاويين 5: 14-6: 7)</w:t>
      </w:r>
    </w:p>
    <w:p w14:paraId="3106B692"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1.</w:t>
      </w:r>
      <w:r w:rsidRPr="005B3275">
        <w:rPr>
          <w:rFonts w:eastAsia="Times New Roman"/>
          <w:kern w:val="0"/>
          <w:rtl/>
          <w:lang w:bidi="ar-JO"/>
          <w14:ligatures w14:val="none"/>
        </w:rPr>
        <w:tab/>
        <w:t xml:space="preserve">طبيعة الخطيّة </w:t>
      </w:r>
    </w:p>
    <w:p w14:paraId="6996C4B8"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إن تقدمة الإثم (أو التعدي) هي في واقع الأمر امتداد لتقدمة الخطية.  إذ يتضمن كلاهما الخطية التي تُرتكب "سهواً" (</w:t>
      </w:r>
      <w:r w:rsidRPr="005B3275">
        <w:rPr>
          <w:rFonts w:eastAsia="Times New Roman"/>
          <w:kern w:val="0"/>
          <w:rtl/>
          <w14:ligatures w14:val="none"/>
        </w:rPr>
        <w:t>لاويين</w:t>
      </w:r>
      <w:r w:rsidRPr="005B3275">
        <w:rPr>
          <w:rFonts w:eastAsia="Times New Roman"/>
          <w:kern w:val="0"/>
          <w:rtl/>
          <w:lang w:bidi="ar-JO"/>
          <w14:ligatures w14:val="none"/>
        </w:rPr>
        <w:t xml:space="preserve"> 5: 15).  ويتمثل الفرق الجوهري بينهما في أن تقدمة الإثم تتضمن تقديم تعويض لإصلاح الإساءة.  ويرجع هذا إلى أنه يبدو أن كل هذه الخطايا تتضمن خسارة ملكٍ ما بواسطة الاحتيال.  ولا بد من التوكيد على نقطة في ما يتعلق بهذا النوع من الخطية: غالباً ما تتضمن الخطية الاحتيال على الله أو الناس؛ وعندما يُعترف بالخطية، فإنه لا بد من تصويب الخطأ.  وفي مثل هذا الموقف، يعترف المرء طوعاً بأنه "مذنب".  تمثّل الحالات المذكورة (لاويين 5: 15؛ 6: 2؛ 14: 12؛ 19: 20؛ عدد 16: 12) إساءة يجب أن تدفع مقابلها فدية خاصّة.  ويمكن أن تُرتكب هذه الإساءة أحياناً ضد يهوه: كان مطلوباً من الأبرص والنذير الذي خرق نذره أن يقدّما ذبيحة إثمٍ، أولهما كتعدٍّ ضدّ جماعة المؤمنين، والثان</w:t>
      </w:r>
      <w:r w:rsidRPr="005B3275">
        <w:rPr>
          <w:rFonts w:eastAsia="Times New Roman"/>
          <w:kern w:val="0"/>
          <w:rtl/>
          <w14:ligatures w14:val="none"/>
        </w:rPr>
        <w:t>ي</w:t>
      </w:r>
      <w:r w:rsidRPr="005B3275">
        <w:rPr>
          <w:rFonts w:eastAsia="Times New Roman"/>
          <w:kern w:val="0"/>
          <w:rtl/>
          <w:lang w:bidi="ar-JO"/>
          <w14:ligatures w14:val="none"/>
        </w:rPr>
        <w:t xml:space="preserve"> كتعدٍّ ضد يهوه.</w:t>
      </w:r>
    </w:p>
    <w:p w14:paraId="5805C433"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7044ADF1"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2.</w:t>
      </w:r>
      <w:r w:rsidRPr="005B3275">
        <w:rPr>
          <w:rFonts w:eastAsia="Times New Roman"/>
          <w:kern w:val="0"/>
          <w:rtl/>
          <w:lang w:bidi="ar-JO"/>
          <w14:ligatures w14:val="none"/>
        </w:rPr>
        <w:tab/>
        <w:t>المناسبة</w:t>
      </w:r>
    </w:p>
    <w:p w14:paraId="15D1F974"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 xml:space="preserve">كانت هذه الذبيحة تُقدَّم كلّما حُرِمَ شخص من حقوقه أو أخذت منه بالاحتيال.  يمكن للمرء أن يحرِم (يسلب) يهوه، من التناول غير المشروع من الطعام المقدّس مثلاً (5: 14-19؛ 22: 14).  ويمكن للمرء أن يحرم (يسلب) شخصاً آخر بعدم إبلاغه عن العثور على مقتنى ضائع يخصُّه (6: 3).  فكانت مسؤولية الطرف المذنب </w:t>
      </w:r>
      <w:r w:rsidRPr="005B3275">
        <w:rPr>
          <w:rFonts w:eastAsia="Times New Roman"/>
          <w:kern w:val="0"/>
          <w:rtl/>
          <w:lang w:bidi="ar-JO"/>
          <w14:ligatures w14:val="none"/>
        </w:rPr>
        <w:lastRenderedPageBreak/>
        <w:t>أن (1) يعترف بخطيّته علناً، و(2) أن يقدّم تعويضاً كاملاً عمّا احتال به على الطرف الآخر، و(3) أن يدفع غرامة.</w:t>
      </w:r>
    </w:p>
    <w:p w14:paraId="335B9735"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BC48B58"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3.</w:t>
      </w:r>
      <w:r w:rsidRPr="005B3275">
        <w:rPr>
          <w:rFonts w:eastAsia="Times New Roman"/>
          <w:kern w:val="0"/>
          <w:rtl/>
          <w:lang w:bidi="ar-JO"/>
          <w14:ligatures w14:val="none"/>
        </w:rPr>
        <w:tab/>
        <w:t>الدلالة</w:t>
      </w:r>
    </w:p>
    <w:p w14:paraId="1E228690"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14:ligatures w14:val="none"/>
        </w:rPr>
      </w:pPr>
      <w:r w:rsidRPr="005B3275">
        <w:rPr>
          <w:rFonts w:eastAsia="Times New Roman"/>
          <w:kern w:val="0"/>
          <w:rtl/>
          <w:lang w:bidi="ar-JO"/>
          <w14:ligatures w14:val="none"/>
        </w:rPr>
        <w:t>تكمن الدلالة الأساسية لهذه الذبيحة في إيضاح أن هنالك مرّات لا بدّ للمرء فيها أن يتجاوز الاعتراف والغفران بأن يقدّم تعويضاً حيث أمكن ذلك، أي أن يردّ ما سلبه بالاحتيال.  ولا يمكن للمرء أن يعبد الله عبادة أمينة ويخدمه بأمانة دون تصويب الأمور.  وتصويب الأمور هو الدليل الخارجي على الإيمان الأصيل والتوبة الحقيقية (مثلاً، زكّا).  وتتطلع ذبيحة الإثم (التعدي) أيضاً إلى المسيح، فهو الذي أعطى حياته فدية لكثيرين... أَكمَلِ إرضاءٍ يمكن أن يقدَّم لله.</w:t>
      </w:r>
    </w:p>
    <w:p w14:paraId="2D9102C1" w14:textId="77777777" w:rsidR="00072E15" w:rsidRPr="005B3275" w:rsidRDefault="00072E15" w:rsidP="00C7130A">
      <w:pPr>
        <w:jc w:val="center"/>
        <w:rPr>
          <w:rFonts w:eastAsia="Times New Roman"/>
          <w:color w:val="A50021"/>
          <w:kern w:val="0"/>
          <w:rtl/>
          <w:lang w:bidi="ar-JO"/>
          <w14:ligatures w14:val="none"/>
        </w:rPr>
      </w:pPr>
    </w:p>
    <w:p w14:paraId="2F2361AF" w14:textId="1F78688A" w:rsidR="00072E15" w:rsidRPr="005B3275" w:rsidRDefault="00072E15"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و.</w:t>
      </w:r>
      <w:r w:rsidRPr="005B3275">
        <w:rPr>
          <w:rFonts w:eastAsia="Times New Roman"/>
          <w:bCs/>
          <w:kern w:val="0"/>
          <w:rtl/>
          <w14:ligatures w14:val="none"/>
        </w:rPr>
        <w:tab/>
        <w:t>تعليمات إضافية للكهنة عن الذبائح (لاويين 6: 8-7: 38)</w:t>
      </w:r>
    </w:p>
    <w:p w14:paraId="7B67398F"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مادة هذا المقطع تتعلق في معظمها بنفس الذبائح، مع أن الترتيب مختلف قليلاً [يتم معالجة ذبائح السلامة في الآخر]. الاختلاف الرئيسي لهذا المقطع مقارنةً بالمادة السابقة هو أنها تتعلّق بشكلٍ غالب بأمور الكهنة. أيضاً محتوى 6: 8- - 7: 38 يتعلق معظمه بحصص الكهنة ذوي المناصب من الذبائح.</w:t>
      </w:r>
    </w:p>
    <w:p w14:paraId="5D5ABE2A" w14:textId="0B8E3E8F" w:rsidR="007F18C6" w:rsidRPr="005B3275" w:rsidRDefault="007F18C6" w:rsidP="00C7130A">
      <w:pPr>
        <w:tabs>
          <w:tab w:val="left" w:pos="547"/>
          <w:tab w:val="left" w:pos="1094"/>
          <w:tab w:val="left" w:pos="1642"/>
          <w:tab w:val="left" w:pos="2189"/>
          <w:tab w:val="left" w:pos="2736"/>
          <w:tab w:val="left" w:pos="3283"/>
          <w:tab w:val="left" w:pos="3830"/>
          <w:tab w:val="left" w:pos="4378"/>
        </w:tabs>
        <w:spacing w:after="120"/>
        <w:ind w:left="547"/>
        <w:jc w:val="both"/>
        <w:rPr>
          <w:rFonts w:eastAsia="Times New Roman"/>
          <w:bCs/>
          <w:kern w:val="0"/>
          <w:lang w:bidi="ar-JO"/>
          <w14:ligatures w14:val="none"/>
        </w:rPr>
      </w:pPr>
    </w:p>
    <w:p w14:paraId="471BC00C" w14:textId="77777777" w:rsidR="007F18C6" w:rsidRPr="00C7130A" w:rsidRDefault="007F18C6" w:rsidP="00C7130A">
      <w:pPr>
        <w:tabs>
          <w:tab w:val="left" w:pos="547"/>
          <w:tab w:val="left" w:pos="1094"/>
          <w:tab w:val="left" w:pos="1642"/>
          <w:tab w:val="left" w:pos="2189"/>
          <w:tab w:val="left" w:pos="2736"/>
          <w:tab w:val="left" w:pos="3283"/>
          <w:tab w:val="left" w:pos="3830"/>
          <w:tab w:val="left" w:pos="4378"/>
        </w:tabs>
        <w:spacing w:after="120"/>
        <w:ind w:left="547"/>
        <w:jc w:val="both"/>
      </w:pPr>
    </w:p>
    <w:p w14:paraId="4884E306" w14:textId="77777777" w:rsidR="005B3275" w:rsidRDefault="005B3275">
      <w:pPr>
        <w:bidi w:val="0"/>
        <w:spacing w:before="0" w:after="160" w:line="259" w:lineRule="auto"/>
        <w:rPr>
          <w:b/>
          <w:bCs/>
          <w:kern w:val="0"/>
          <w:sz w:val="48"/>
          <w:szCs w:val="48"/>
          <w:rtl/>
        </w:rPr>
      </w:pPr>
      <w:bookmarkStart w:id="227" w:name="_Hlk157172569"/>
      <w:bookmarkStart w:id="228" w:name="_Hlk178778840"/>
      <w:r>
        <w:rPr>
          <w:rtl/>
        </w:rPr>
        <w:br w:type="page"/>
      </w:r>
    </w:p>
    <w:p w14:paraId="3E4DA850" w14:textId="52635A1D" w:rsidR="006311FA" w:rsidRPr="00C7130A" w:rsidRDefault="004C7B06" w:rsidP="000558B7">
      <w:pPr>
        <w:pStyle w:val="Heading2B"/>
      </w:pPr>
      <w:bookmarkStart w:id="229" w:name="_Toc193031022"/>
      <w:r w:rsidRPr="00C7130A">
        <w:rPr>
          <w:rtl/>
        </w:rPr>
        <w:lastRenderedPageBreak/>
        <w:t>الموضوع 2: يوم الكفّارة (لاويّين 11: 1 – 16: 34)</w:t>
      </w:r>
      <w:bookmarkEnd w:id="229"/>
    </w:p>
    <w:bookmarkEnd w:id="227"/>
    <w:p w14:paraId="4B3F1993" w14:textId="5ACB28EF" w:rsidR="002F2ED9" w:rsidRPr="005B3275" w:rsidRDefault="002F2ED9"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r w:rsidRPr="00C7130A">
        <w:rPr>
          <w:rFonts w:eastAsia="Calibri"/>
          <w:b/>
          <w:caps/>
          <w:noProof/>
          <w:color w:val="006699"/>
          <w:kern w:val="0"/>
          <w:sz w:val="21"/>
          <w:szCs w:val="24"/>
          <w14:ligatures w14:val="none"/>
        </w:rPr>
        <w:drawing>
          <wp:inline distT="0" distB="0" distL="0" distR="0" wp14:anchorId="75D6D24E" wp14:editId="4D4EE4E2">
            <wp:extent cx="613692" cy="541464"/>
            <wp:effectExtent l="0" t="0" r="0" b="0"/>
            <wp:docPr id="865091539" name="Picture 865091539"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587CC3" w:rsidRPr="005B3275">
        <w:rPr>
          <w:rFonts w:eastAsia="Calibri"/>
          <w:bCs/>
          <w:caps/>
          <w:color w:val="006699"/>
          <w:kern w:val="0"/>
          <w:u w:val="single"/>
          <w:rtl/>
          <w14:ligatures w14:val="none"/>
        </w:rPr>
        <w:t>القراءة:</w:t>
      </w:r>
    </w:p>
    <w:p w14:paraId="4EC4FAD0" w14:textId="69E44356" w:rsidR="002F2ED9" w:rsidRPr="005B3275" w:rsidRDefault="002F2ED9" w:rsidP="00C7130A">
      <w:pPr>
        <w:rPr>
          <w:b/>
          <w:bCs/>
        </w:rPr>
      </w:pPr>
      <w:r w:rsidRPr="005B3275">
        <w:tab/>
      </w:r>
      <w:r w:rsidRPr="005B3275">
        <w:tab/>
      </w:r>
      <w:r w:rsidR="00587CC3" w:rsidRPr="005B3275">
        <w:rPr>
          <w:rtl/>
        </w:rPr>
        <w:t xml:space="preserve">اقرأ لاويين 11: 1 – 16: 34) </w:t>
      </w:r>
    </w:p>
    <w:bookmarkEnd w:id="228"/>
    <w:p w14:paraId="36486451" w14:textId="77777777" w:rsidR="00072E15" w:rsidRPr="00C7130A" w:rsidRDefault="00072E15" w:rsidP="00C7130A">
      <w:pPr>
        <w:jc w:val="center"/>
        <w:rPr>
          <w:rFonts w:eastAsia="Times New Roman"/>
          <w:bCs/>
          <w:kern w:val="0"/>
          <w:szCs w:val="28"/>
          <w:rtl/>
          <w:lang w:bidi="ar-JO"/>
          <w14:ligatures w14:val="none"/>
        </w:rPr>
      </w:pPr>
    </w:p>
    <w:p w14:paraId="123D4594" w14:textId="77777777" w:rsidR="00072E15" w:rsidRPr="005B3275" w:rsidRDefault="00072E15" w:rsidP="000558B7">
      <w:pPr>
        <w:pStyle w:val="Heading3"/>
        <w:rPr>
          <w:rtl/>
          <w:lang w:bidi="ar-JO"/>
        </w:rPr>
      </w:pPr>
      <w:bookmarkStart w:id="230" w:name="_Toc193031023"/>
      <w:r w:rsidRPr="005B3275">
        <w:rPr>
          <w:rtl/>
          <w:lang w:bidi="ar-JO"/>
        </w:rPr>
        <w:t>1.</w:t>
      </w:r>
      <w:r w:rsidRPr="005B3275">
        <w:rPr>
          <w:rtl/>
          <w:lang w:bidi="ar-JO"/>
        </w:rPr>
        <w:tab/>
        <w:t>مقدّمة</w:t>
      </w:r>
      <w:bookmarkEnd w:id="230"/>
    </w:p>
    <w:p w14:paraId="53A3038D"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تحتوي الأصحاحات 11-16 من سفر اللاويين على خطين من الأفكار: يتعلق الخط الأول بالأنظمة المختلفة التي تحكم مسألة "النجاسة" (11-15)، بينما يتناول الثاني ترسيخ نظام لـ "يوم الكفارة".  سأقدم عدة تعليقات مختصرة على الأصحاحات 11-15، وبعد ذلك سأركّز معظم النقاش على الأصحاح السادس عشر.</w:t>
      </w:r>
    </w:p>
    <w:p w14:paraId="4168124C"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092C5A6" w14:textId="77777777" w:rsidR="00072E15" w:rsidRPr="00C7130A" w:rsidRDefault="00072E15"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29B55B8E" w14:textId="77777777" w:rsidR="00072E15" w:rsidRPr="00C7130A" w:rsidRDefault="00072E15" w:rsidP="00C7130A">
      <w:pPr>
        <w:tabs>
          <w:tab w:val="left" w:pos="550"/>
          <w:tab w:val="left" w:pos="1100"/>
          <w:tab w:val="left" w:pos="1650"/>
          <w:tab w:val="left" w:pos="2200"/>
          <w:tab w:val="left" w:pos="2750"/>
          <w:tab w:val="left" w:pos="3300"/>
          <w:tab w:val="left" w:pos="3850"/>
          <w:tab w:val="left" w:pos="4400"/>
        </w:tabs>
        <w:ind w:firstLine="550"/>
        <w:jc w:val="center"/>
        <w:rPr>
          <w:rFonts w:eastAsia="Times New Roman"/>
          <w:kern w:val="0"/>
          <w:sz w:val="18"/>
          <w:szCs w:val="20"/>
          <w:rtl/>
          <w14:ligatures w14:val="none"/>
        </w:rPr>
      </w:pPr>
      <w:r w:rsidRPr="00C7130A">
        <w:rPr>
          <w:rFonts w:eastAsia="Times New Roman"/>
          <w:kern w:val="0"/>
          <w:sz w:val="16"/>
          <w:szCs w:val="16"/>
          <w:lang w:bidi="ar-JO"/>
          <w14:ligatures w14:val="none"/>
        </w:rPr>
        <w:object w:dxaOrig="3960" w:dyaOrig="900" w14:anchorId="7EB9BB03">
          <v:shape id="_x0000_i1033" type="#_x0000_t75" style="width:396.6pt;height:89.4pt" o:ole="">
            <v:imagedata r:id="rId57" o:title=""/>
          </v:shape>
          <o:OLEObject Type="Embed" ProgID="PowerPoint.Show.8" ShapeID="_x0000_i1033" DrawAspect="Content" ObjectID="_1803892148" r:id="rId58"/>
        </w:object>
      </w:r>
    </w:p>
    <w:p w14:paraId="2D861FCB" w14:textId="77777777" w:rsidR="00072E15" w:rsidRPr="00C7130A" w:rsidRDefault="00072E15"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lang w:bidi="ar-KW"/>
          <w14:ligatures w14:val="none"/>
        </w:rPr>
      </w:pPr>
    </w:p>
    <w:p w14:paraId="0D7E73FC" w14:textId="77777777" w:rsidR="00072E15" w:rsidRPr="00C7130A" w:rsidRDefault="00072E15"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lang w:bidi="ar-KW"/>
          <w14:ligatures w14:val="none"/>
        </w:rPr>
      </w:pPr>
    </w:p>
    <w:p w14:paraId="473437BB" w14:textId="77777777" w:rsidR="00072E15" w:rsidRPr="005B3275" w:rsidRDefault="00072E15" w:rsidP="000558B7">
      <w:pPr>
        <w:pStyle w:val="Heading3"/>
        <w:rPr>
          <w:rtl/>
          <w:lang w:bidi="ar-JO"/>
        </w:rPr>
      </w:pPr>
      <w:bookmarkStart w:id="231" w:name="_Toc193031024"/>
      <w:r w:rsidRPr="005B3275">
        <w:rPr>
          <w:rtl/>
          <w:lang w:bidi="ar-JO"/>
        </w:rPr>
        <w:t>2.</w:t>
      </w:r>
      <w:r w:rsidRPr="005B3275">
        <w:rPr>
          <w:rtl/>
          <w:lang w:bidi="ar-JO"/>
        </w:rPr>
        <w:tab/>
        <w:t>النجاسة الطقسية وطقوس التطهير (لاويين 11-15)</w:t>
      </w:r>
      <w:bookmarkEnd w:id="231"/>
    </w:p>
    <w:p w14:paraId="394AC8B7"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 xml:space="preserve">يتناول الأصحاح الحادي عشر الأطعمة غير الطاهرة.  وقد كان أساسياً من حيث أهميته لمفهوم القداسة، خاصة فكرة </w:t>
      </w:r>
      <w:r w:rsidRPr="005B3275">
        <w:rPr>
          <w:rFonts w:eastAsia="Times New Roman"/>
          <w:kern w:val="0"/>
          <w:u w:val="single"/>
          <w:rtl/>
          <w:lang w:bidi="ar-JO"/>
          <w14:ligatures w14:val="none"/>
        </w:rPr>
        <w:t>الانفصال</w:t>
      </w:r>
      <w:r w:rsidRPr="005B3275">
        <w:rPr>
          <w:rFonts w:eastAsia="Times New Roman"/>
          <w:kern w:val="0"/>
          <w:rtl/>
          <w:lang w:bidi="ar-JO"/>
          <w14:ligatures w14:val="none"/>
        </w:rPr>
        <w:t>.  فلم يُسمح لبني إسرائيل بأن يأكلوا أي شيء وكل شيء كما كان حال جيرانهم الوثنيين.  بل كان يُفترض أن يكونوا مميَّزين، حتى في الأطعمة التي يتناولونها.  وتوجد عدة أسباب لهذه القيود المتعلقة بالأطعمة: (1) كانت بعض الأطعمة غير الطاهرة حولها جدل وفيها مشاكل. (2) من شأن بعض الأطعمة الأخرى أن تسبب مشاكل في الصحراء، في حين كان الله يريد أن يحفظهم من المرض. (3) توضح هذه الأطعمة جوهر القداسة (يجب أن يكون شعب الله مدقّقين في ما يختارونه-هل هذا يرضي الله؟) نحن كمؤمنين بالمسيح أحرار من عبودية أنظمة الأطعمة، فقد حررنا المسيح ونقلنا إلى شريعة أسمى، حيث يكون المبدأ العام الذي يجب أن يحكم كل تصرّف هو أن لا نفعل شيئاً من شأنه أن يلوّث حياتنا بالعالم الفاسد الذي نحيا فيه.  يجب أن نفعل كل شيء لمجد الله.</w:t>
      </w:r>
    </w:p>
    <w:p w14:paraId="0502EEC6"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C8ED0AF"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5B3275">
        <w:rPr>
          <w:rFonts w:eastAsia="Times New Roman"/>
          <w:kern w:val="0"/>
          <w:rtl/>
          <w:lang w:bidi="ar-JO"/>
          <w14:ligatures w14:val="none"/>
        </w:rPr>
        <w:t>تقدم الأصحاحات من 12-15 نفس المبدأ الأساسي في القداسة نحو الرب في كل جانب من جوانب الحياة الجسدية.  ويجب أن نوضح تماماً أن هذه المبادئ لا تفترض الخطية في الشخص العبراني ذي الصلة.  فالمرأة في حالة الوضع، على سبيل المثال، لم تكن "في حالة خطية"، ولا يجرّم النص الوليد أيضاً.  فالمسألة كلّها تتناول حضور مجد الله في وسط إسرائيل.  إذ كانت خيمة الاجتماع تحظر دخول كل ما هو مبتذل وقذر ومريض وغريب وغير طاهر، لأن حضور مجد الله كان هناك.  كان هذا ينطبق بشكل خاص على مسألة الدم؛ فلا يمكن أن يؤتى إلى الهيكل إلاّ بنوع واحد من الدم، ألا وهو دم الذبائح.  فالتوكيد إذاً على قداسة الله وانفصاله.  لكن كان ما يزال في مقدور الأفراد "غير الطاهرين" أن يعبدوا ويصلوا ويسبحوا ويدرسوا التوراة.  وتوجد حقيقية منسجمة مع السماء في الإصحاحات 12-15.  فمجد الله ساكن في السماء التي لا يمكن أن يدخلها شيء مؤذٍ أو منجِّس، بل لا يدخلها إلاّ ما هو مقدّس.  وكلُّ فساد محظور (قارن هذا مع "أورشليم الجديدة").  لدي تعليق أخير حول "البرص" (لاويين 13-14).  فلا يجب أن يقتصر فهمنا لهذا التعبير على المرض المعروف باسم "البرص"، بل يجب أن نفهمه على أنه يشمل كل أنواع الأمراض الجلدية الأخرى.</w:t>
      </w:r>
    </w:p>
    <w:p w14:paraId="6DE8B099"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12CBD46C" w14:textId="77777777" w:rsidR="00072E15" w:rsidRPr="005B3275" w:rsidRDefault="00072E15" w:rsidP="000558B7">
      <w:pPr>
        <w:pStyle w:val="Heading3"/>
        <w:rPr>
          <w:rtl/>
          <w:lang w:bidi="ar-JO"/>
        </w:rPr>
      </w:pPr>
      <w:bookmarkStart w:id="232" w:name="_Toc193031025"/>
      <w:r w:rsidRPr="005B3275">
        <w:rPr>
          <w:rtl/>
          <w:lang w:bidi="ar-JO"/>
        </w:rPr>
        <w:t>3.</w:t>
      </w:r>
      <w:r w:rsidRPr="005B3275">
        <w:rPr>
          <w:rtl/>
          <w:lang w:bidi="ar-JO"/>
        </w:rPr>
        <w:tab/>
        <w:t>يوم الكفّارة (لاويين 16)</w:t>
      </w:r>
      <w:bookmarkEnd w:id="232"/>
    </w:p>
    <w:p w14:paraId="30A0EA02"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كان يوم الكفّارة إحدى أكثر المناسبات المهيبة الهامّة في عبادة بني إسرائيل.  كان يقع في اليوم العاشر من الشهر السابع، أي تشري (أيلول- تشرين أول).  "كان يوم كبّور أهم الأيام التي سعت فيها إسرائيل كأمة إلى استرضاء الله الذي أخطأوا إليه بواسطة تقديم كفّارة، وإلى بركة غفرانه الناتجة عن منح الغفران والمصالحة معه."</w:t>
      </w:r>
      <w:r w:rsidRPr="005B3275">
        <w:rPr>
          <w:rFonts w:eastAsia="Times New Roman"/>
          <w:kern w:val="0"/>
          <w:vertAlign w:val="superscript"/>
          <w:rtl/>
          <w:lang w:bidi="ar-JO"/>
          <w14:ligatures w14:val="none"/>
        </w:rPr>
        <w:footnoteReference w:id="87"/>
      </w:r>
      <w:r w:rsidRPr="005B3275">
        <w:rPr>
          <w:rFonts w:eastAsia="Times New Roman"/>
          <w:kern w:val="0"/>
          <w:rtl/>
          <w:lang w:bidi="ar-JO"/>
          <w14:ligatures w14:val="none"/>
        </w:rPr>
        <w:t xml:space="preserve">  كان احتفال يوم الكفارة يُقام مرة واحد كل سنة، فكانت هذه هي المرة الوحيدة التي يُسمح فيها للكاهن الأعلى بالدخول إلى قدس الأقداس.  وفي حين مثل سفر الخروج افتداء أمة إسرائيل كأمّة من العبودية، تضمّن يوم الكفارة تكفيراً عن الخطية "الجماعية" لكل الناس الذين يشكّلون الأمة.  كان يوم الكفّارة يعطي أساساً يمكن أن يتعامل الله بموجبه مع الأمّة بالرغم من إثمهم.</w:t>
      </w:r>
    </w:p>
    <w:p w14:paraId="283E201A"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26242F5" w14:textId="77777777" w:rsidR="00072E15" w:rsidRPr="005B3275" w:rsidRDefault="00072E15" w:rsidP="00C7130A">
      <w:pPr>
        <w:tabs>
          <w:tab w:val="left" w:pos="454"/>
        </w:tabs>
        <w:spacing w:after="60"/>
        <w:ind w:left="550" w:hanging="550"/>
        <w:jc w:val="both"/>
        <w:rPr>
          <w:rFonts w:eastAsia="Times New Roman"/>
          <w:bCs/>
          <w:kern w:val="0"/>
          <w:rtl/>
          <w:lang w:bidi="ar-KW"/>
          <w14:ligatures w14:val="none"/>
        </w:rPr>
      </w:pPr>
      <w:r w:rsidRPr="005B3275">
        <w:rPr>
          <w:rFonts w:eastAsia="Times New Roman"/>
          <w:bCs/>
          <w:kern w:val="0"/>
          <w:rtl/>
          <w14:ligatures w14:val="none"/>
        </w:rPr>
        <w:t>أ.</w:t>
      </w:r>
      <w:r w:rsidRPr="005B3275">
        <w:rPr>
          <w:rFonts w:eastAsia="Times New Roman"/>
          <w:bCs/>
          <w:kern w:val="0"/>
          <w:rtl/>
          <w14:ligatures w14:val="none"/>
        </w:rPr>
        <w:tab/>
        <w:t>البُنية</w:t>
      </w:r>
    </w:p>
    <w:p w14:paraId="3EAFB614"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5B3275">
        <w:rPr>
          <w:rFonts w:eastAsia="Times New Roman"/>
          <w:kern w:val="0"/>
          <w:rtl/>
          <w:lang w:bidi="ar-JO"/>
          <w14:ligatures w14:val="none"/>
        </w:rPr>
        <w:t>1-2</w:t>
      </w:r>
      <w:r w:rsidRPr="005B3275">
        <w:rPr>
          <w:rFonts w:eastAsia="Times New Roman"/>
          <w:kern w:val="0"/>
          <w:rtl/>
          <w:lang w:bidi="ar-JO"/>
          <w14:ligatures w14:val="none"/>
        </w:rPr>
        <w:tab/>
      </w:r>
      <w:r w:rsidRPr="005B3275">
        <w:rPr>
          <w:rFonts w:eastAsia="Times New Roman"/>
          <w:kern w:val="0"/>
          <w:rtl/>
          <w14:ligatures w14:val="none"/>
        </w:rPr>
        <w:tab/>
      </w:r>
      <w:r w:rsidRPr="005B3275">
        <w:rPr>
          <w:rFonts w:eastAsia="Times New Roman"/>
          <w:kern w:val="0"/>
          <w:rtl/>
          <w:lang w:bidi="ar-JO"/>
          <w14:ligatures w14:val="none"/>
        </w:rPr>
        <w:t>مقدمة</w:t>
      </w:r>
    </w:p>
    <w:p w14:paraId="75E8E784" w14:textId="74F82CE1"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3-6</w:t>
      </w:r>
      <w:r w:rsidRPr="005B3275">
        <w:rPr>
          <w:rFonts w:eastAsia="Times New Roman"/>
          <w:kern w:val="0"/>
          <w:rtl/>
          <w:lang w:bidi="ar-JO"/>
          <w14:ligatures w14:val="none"/>
        </w:rPr>
        <w:tab/>
      </w:r>
      <w:r w:rsidRPr="005B3275">
        <w:rPr>
          <w:rFonts w:eastAsia="Times New Roman"/>
          <w:kern w:val="0"/>
          <w:rtl/>
          <w14:ligatures w14:val="none"/>
        </w:rPr>
        <w:tab/>
        <w:t xml:space="preserve">الاستعدادات: </w:t>
      </w:r>
      <w:r w:rsidRPr="005B3275">
        <w:rPr>
          <w:rFonts w:eastAsia="Times New Roman"/>
          <w:kern w:val="0"/>
          <w:rtl/>
          <w:lang w:bidi="ar-JO"/>
          <w14:ligatures w14:val="none"/>
        </w:rPr>
        <w:t xml:space="preserve">الحيوانات والملابس الكهنوتية الضرورية للاحتفالات </w:t>
      </w:r>
    </w:p>
    <w:p w14:paraId="0306B362"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7-10</w:t>
      </w:r>
      <w:r w:rsidRPr="005B3275">
        <w:rPr>
          <w:rFonts w:eastAsia="Times New Roman"/>
          <w:kern w:val="0"/>
          <w:rtl/>
          <w:lang w:bidi="ar-JO"/>
          <w14:ligatures w14:val="none"/>
        </w:rPr>
        <w:tab/>
      </w:r>
      <w:r w:rsidRPr="005B3275">
        <w:rPr>
          <w:rFonts w:eastAsia="Times New Roman"/>
          <w:kern w:val="0"/>
          <w:rtl/>
          <w14:ligatures w14:val="none"/>
        </w:rPr>
        <w:tab/>
      </w:r>
      <w:r w:rsidRPr="005B3275">
        <w:rPr>
          <w:rFonts w:eastAsia="Times New Roman"/>
          <w:kern w:val="0"/>
          <w:rtl/>
          <w:lang w:bidi="ar-JO"/>
          <w14:ligatures w14:val="none"/>
        </w:rPr>
        <w:t>تقديم التيسين: اختيار تيس الغداء</w:t>
      </w:r>
    </w:p>
    <w:p w14:paraId="331C76F7"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11-28</w:t>
      </w:r>
      <w:r w:rsidRPr="005B3275">
        <w:rPr>
          <w:rFonts w:eastAsia="Times New Roman"/>
          <w:kern w:val="0"/>
          <w:rtl/>
          <w:lang w:bidi="ar-JO"/>
          <w14:ligatures w14:val="none"/>
        </w:rPr>
        <w:tab/>
      </w:r>
      <w:r w:rsidRPr="005B3275">
        <w:rPr>
          <w:rFonts w:eastAsia="Times New Roman"/>
          <w:kern w:val="0"/>
          <w:rtl/>
          <w14:ligatures w14:val="none"/>
        </w:rPr>
        <w:tab/>
      </w:r>
      <w:r w:rsidRPr="005B3275">
        <w:rPr>
          <w:rFonts w:eastAsia="Times New Roman"/>
          <w:kern w:val="0"/>
          <w:rtl/>
          <w:lang w:bidi="ar-JO"/>
          <w14:ligatures w14:val="none"/>
        </w:rPr>
        <w:t>وصف تفصيلي للاحتفالات</w:t>
      </w:r>
    </w:p>
    <w:p w14:paraId="660CBCB2"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5B3275">
        <w:rPr>
          <w:rFonts w:eastAsia="Times New Roman"/>
          <w:kern w:val="0"/>
          <w:rtl/>
          <w:lang w:bidi="ar-JO"/>
          <w14:ligatures w14:val="none"/>
        </w:rPr>
        <w:lastRenderedPageBreak/>
        <w:t>11-14</w:t>
      </w:r>
      <w:r w:rsidRPr="005B3275">
        <w:rPr>
          <w:rFonts w:eastAsia="Times New Roman"/>
          <w:kern w:val="0"/>
          <w:rtl/>
          <w:lang w:bidi="ar-JO"/>
          <w14:ligatures w14:val="none"/>
        </w:rPr>
        <w:tab/>
      </w:r>
      <w:r w:rsidRPr="005B3275">
        <w:rPr>
          <w:rFonts w:eastAsia="Times New Roman"/>
          <w:kern w:val="0"/>
          <w:rtl/>
          <w14:ligatures w14:val="none"/>
        </w:rPr>
        <w:tab/>
      </w:r>
      <w:r w:rsidRPr="005B3275">
        <w:rPr>
          <w:rFonts w:eastAsia="Times New Roman"/>
          <w:kern w:val="0"/>
          <w:rtl/>
          <w:lang w:bidi="ar-JO"/>
          <w14:ligatures w14:val="none"/>
        </w:rPr>
        <w:t xml:space="preserve">ذبيحة الخطية (ثور) لهارون وأهل بيته </w:t>
      </w:r>
    </w:p>
    <w:p w14:paraId="11AFD6C7"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5B3275">
        <w:rPr>
          <w:rFonts w:eastAsia="Times New Roman"/>
          <w:kern w:val="0"/>
          <w:rtl/>
          <w:lang w:bidi="ar-JO"/>
          <w14:ligatures w14:val="none"/>
        </w:rPr>
        <w:t>15-19</w:t>
      </w:r>
      <w:r w:rsidRPr="005B3275">
        <w:rPr>
          <w:rFonts w:eastAsia="Times New Roman"/>
          <w:kern w:val="0"/>
          <w:rtl/>
          <w:lang w:bidi="ar-JO"/>
          <w14:ligatures w14:val="none"/>
        </w:rPr>
        <w:tab/>
      </w:r>
      <w:r w:rsidRPr="005B3275">
        <w:rPr>
          <w:rFonts w:eastAsia="Times New Roman"/>
          <w:kern w:val="0"/>
          <w:rtl/>
          <w14:ligatures w14:val="none"/>
        </w:rPr>
        <w:tab/>
      </w:r>
      <w:r w:rsidRPr="005B3275">
        <w:rPr>
          <w:rFonts w:eastAsia="Times New Roman"/>
          <w:kern w:val="0"/>
          <w:rtl/>
          <w:lang w:bidi="ar-JO"/>
          <w14:ligatures w14:val="none"/>
        </w:rPr>
        <w:t>ذبيحة الخطية (تيس) لخطايا الشعب</w:t>
      </w:r>
    </w:p>
    <w:p w14:paraId="21CF492A"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5B3275">
        <w:rPr>
          <w:rFonts w:eastAsia="Times New Roman"/>
          <w:kern w:val="0"/>
          <w:rtl/>
          <w:lang w:bidi="ar-JO"/>
          <w14:ligatures w14:val="none"/>
        </w:rPr>
        <w:t>20-22</w:t>
      </w:r>
      <w:r w:rsidRPr="005B3275">
        <w:rPr>
          <w:rFonts w:eastAsia="Times New Roman"/>
          <w:kern w:val="0"/>
          <w:rtl/>
          <w:lang w:bidi="ar-JO"/>
          <w14:ligatures w14:val="none"/>
        </w:rPr>
        <w:tab/>
      </w:r>
      <w:r w:rsidRPr="005B3275">
        <w:rPr>
          <w:rFonts w:eastAsia="Times New Roman"/>
          <w:kern w:val="0"/>
          <w:rtl/>
          <w:lang w:bidi="ar-JO"/>
          <w14:ligatures w14:val="none"/>
        </w:rPr>
        <w:tab/>
        <w:t>تيس الفداء</w:t>
      </w:r>
    </w:p>
    <w:p w14:paraId="2836A4EE"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5B3275">
        <w:rPr>
          <w:rFonts w:eastAsia="Times New Roman"/>
          <w:kern w:val="0"/>
          <w:rtl/>
          <w:lang w:bidi="ar-JO"/>
          <w14:ligatures w14:val="none"/>
        </w:rPr>
        <w:t>23-28</w:t>
      </w:r>
      <w:r w:rsidRPr="005B3275">
        <w:rPr>
          <w:rFonts w:eastAsia="Times New Roman"/>
          <w:kern w:val="0"/>
          <w:rtl/>
          <w:lang w:bidi="ar-JO"/>
          <w14:ligatures w14:val="none"/>
        </w:rPr>
        <w:tab/>
      </w:r>
      <w:r w:rsidRPr="005B3275">
        <w:rPr>
          <w:rFonts w:eastAsia="Times New Roman"/>
          <w:kern w:val="0"/>
          <w:rtl/>
          <w14:ligatures w14:val="none"/>
        </w:rPr>
        <w:tab/>
      </w:r>
      <w:r w:rsidRPr="005B3275">
        <w:rPr>
          <w:rFonts w:eastAsia="Times New Roman"/>
          <w:kern w:val="0"/>
          <w:rtl/>
          <w:lang w:bidi="ar-JO"/>
          <w14:ligatures w14:val="none"/>
        </w:rPr>
        <w:t xml:space="preserve">تطهير المشاركين </w:t>
      </w:r>
    </w:p>
    <w:p w14:paraId="5361FBAD"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49-34</w:t>
      </w:r>
      <w:r w:rsidRPr="005B3275">
        <w:rPr>
          <w:rFonts w:eastAsia="Times New Roman"/>
          <w:kern w:val="0"/>
          <w:rtl/>
          <w:lang w:bidi="ar-JO"/>
          <w14:ligatures w14:val="none"/>
        </w:rPr>
        <w:tab/>
      </w:r>
      <w:r w:rsidRPr="005B3275">
        <w:rPr>
          <w:rFonts w:eastAsia="Times New Roman"/>
          <w:kern w:val="0"/>
          <w:rtl/>
          <w14:ligatures w14:val="none"/>
        </w:rPr>
        <w:tab/>
      </w:r>
      <w:r w:rsidRPr="005B3275">
        <w:rPr>
          <w:rFonts w:eastAsia="Times New Roman"/>
          <w:kern w:val="0"/>
          <w:rtl/>
          <w:lang w:bidi="ar-JO"/>
          <w14:ligatures w14:val="none"/>
        </w:rPr>
        <w:t xml:space="preserve">توجيهات للشعب بخصوص الكفّارة في ذلك اليوم </w:t>
      </w:r>
    </w:p>
    <w:p w14:paraId="7101050B"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lang w:bidi="ar-KW"/>
          <w14:ligatures w14:val="none"/>
        </w:rPr>
      </w:pPr>
    </w:p>
    <w:p w14:paraId="4F2B7819" w14:textId="77777777" w:rsidR="00072E15" w:rsidRPr="005B3275" w:rsidRDefault="00072E15"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ب.</w:t>
      </w:r>
      <w:r w:rsidRPr="005B3275">
        <w:rPr>
          <w:rFonts w:eastAsia="Times New Roman"/>
          <w:bCs/>
          <w:kern w:val="0"/>
          <w:rtl/>
          <w14:ligatures w14:val="none"/>
        </w:rPr>
        <w:tab/>
        <w:t>الآيتان التقديميتان (الآيتان 1-2)</w:t>
      </w:r>
    </w:p>
    <w:p w14:paraId="51AB2FB9"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 xml:space="preserve">عندما نُدخل في اعتبارنا الآية الثانية مع بقية الأصحاح، نجد أن دخول قدس الأقداس مقصور على هارون (وكل رئيس كهنة يتبعه): فلا يُسمح بدخول قدس الأقداس إلاّ لرئيس الكهنة، ولا يمكنهُ أن يفعل هذا إلاّ مرة واحدة في السنة في يوم الكفّارة.  وبما أن مجد شكينة الله حل فوق كرسي الرحمة، فإن النص يوحي بأن إمكانية الوصول إلى محضر الله كانت مقيّدة جداً.  إن تعبير "كرسي الرحمة" ترجمة لتعبير </w:t>
      </w:r>
      <w:r w:rsidRPr="005B3275">
        <w:rPr>
          <w:rFonts w:ascii="Times New Roman" w:eastAsia="Times New Roman" w:hAnsi="Times New Roman" w:cs="Times New Roman" w:hint="cs"/>
          <w:b/>
          <w:kern w:val="0"/>
          <w:rtl/>
          <w:lang w:bidi="he-IL"/>
          <w14:ligatures w14:val="none"/>
        </w:rPr>
        <w:t>כַּפֹּרֶת</w:t>
      </w:r>
      <w:r w:rsidRPr="005B3275">
        <w:rPr>
          <w:rFonts w:eastAsia="Times New Roman"/>
          <w:kern w:val="0"/>
          <w14:ligatures w14:val="none"/>
        </w:rPr>
        <w:t xml:space="preserve"> (</w:t>
      </w:r>
      <w:r w:rsidRPr="005B3275">
        <w:rPr>
          <w:rFonts w:eastAsia="Times New Roman"/>
          <w:bCs/>
          <w:i/>
          <w:iCs/>
          <w:kern w:val="0"/>
          <w:lang w:bidi="ar-JO"/>
          <w14:ligatures w14:val="none"/>
        </w:rPr>
        <w:t>kappōreṯ</w:t>
      </w:r>
      <w:r w:rsidRPr="005B3275">
        <w:rPr>
          <w:rFonts w:eastAsia="Times New Roman"/>
          <w:kern w:val="0"/>
          <w14:ligatures w14:val="none"/>
        </w:rPr>
        <w:t xml:space="preserve">) </w:t>
      </w:r>
      <w:r w:rsidRPr="005B3275">
        <w:rPr>
          <w:rFonts w:eastAsia="Times New Roman"/>
          <w:kern w:val="0"/>
          <w:rtl/>
          <w:lang w:bidi="ar-JO"/>
          <w14:ligatures w14:val="none"/>
        </w:rPr>
        <w:t xml:space="preserve"> (كابوريت) وهو يأتي من الجذر العبري "كفر" (</w:t>
      </w:r>
      <w:r w:rsidRPr="005B3275">
        <w:rPr>
          <w:rFonts w:eastAsia="Times New Roman"/>
          <w:kern w:val="0"/>
          <w14:ligatures w14:val="none"/>
        </w:rPr>
        <w:t>rpk</w:t>
      </w:r>
      <w:r w:rsidRPr="005B3275">
        <w:rPr>
          <w:rFonts w:eastAsia="Times New Roman"/>
          <w:kern w:val="0"/>
          <w:rtl/>
          <w:lang w:bidi="ar-JO"/>
          <w14:ligatures w14:val="none"/>
        </w:rPr>
        <w:t xml:space="preserve">) بمعنى "كفَّر" أو "فدى".  وفي هذا إشارة إلى غطاء تابوت العهد الذي كان مكان يُكفَّر فيه عن الخطايا وتُمحى.  تترجم الترجمة السبعينية هذا التعبير إلى "هيلاستيريون  </w:t>
      </w:r>
      <w:r w:rsidRPr="005B3275">
        <w:rPr>
          <w:rFonts w:eastAsia="Times New Roman"/>
          <w:kern w:val="0"/>
          <w:rtl/>
          <w14:ligatures w14:val="none"/>
        </w:rPr>
        <w:t xml:space="preserve"> </w:t>
      </w:r>
      <w:r w:rsidRPr="005B3275">
        <w:rPr>
          <w:rFonts w:eastAsia="Times New Roman"/>
          <w:kern w:val="0"/>
          <w14:ligatures w14:val="none"/>
        </w:rPr>
        <w:t xml:space="preserve"> </w:t>
      </w:r>
      <w:r w:rsidRPr="005B3275">
        <w:rPr>
          <w:rFonts w:eastAsia="Times New Roman"/>
          <w:bCs/>
          <w:i/>
          <w:iCs/>
          <w:kern w:val="0"/>
          <w:lang w:bidi="ar-JO"/>
          <w14:ligatures w14:val="none"/>
        </w:rPr>
        <w:t>hilastērion</w:t>
      </w:r>
      <w:r w:rsidRPr="005B3275">
        <w:rPr>
          <w:rFonts w:eastAsia="Times New Roman"/>
          <w:kern w:val="0"/>
          <w14:ligatures w14:val="none"/>
        </w:rPr>
        <w:t>,</w:t>
      </w:r>
      <w:r w:rsidRPr="005B3275">
        <w:rPr>
          <w:rFonts w:eastAsia="Times New Roman"/>
          <w:kern w:val="0"/>
          <w:rtl/>
          <w:lang w:bidi="ar-JO"/>
          <w14:ligatures w14:val="none"/>
        </w:rPr>
        <w:t>"، أي مكان الإرضاء بالكفّارة.</w:t>
      </w:r>
    </w:p>
    <w:p w14:paraId="2F52A17A"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00993EC" w14:textId="77777777" w:rsidR="00072E15" w:rsidRPr="005B3275" w:rsidRDefault="00072E15"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جـ.</w:t>
      </w:r>
      <w:r w:rsidRPr="005B3275">
        <w:rPr>
          <w:rFonts w:eastAsia="Times New Roman"/>
          <w:bCs/>
          <w:kern w:val="0"/>
          <w:rtl/>
          <w14:ligatures w14:val="none"/>
        </w:rPr>
        <w:tab/>
        <w:t>الحيوانات والملابس الكهنوتية اللازمة</w:t>
      </w:r>
    </w:p>
    <w:p w14:paraId="5A7C8CF7"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كان على رئيس الكهنة في هذه المناسبة أن يضع جانباً ثوبه الجميل المتقن الصنع، ويلبس ثوباً أكثر بساطة.</w:t>
      </w:r>
    </w:p>
    <w:p w14:paraId="7738BD76"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6C960FC" w14:textId="77777777" w:rsidR="00072E15" w:rsidRPr="005B3275" w:rsidRDefault="00072E15"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د.</w:t>
      </w:r>
      <w:r w:rsidRPr="005B3275">
        <w:rPr>
          <w:rFonts w:eastAsia="Times New Roman"/>
          <w:bCs/>
          <w:kern w:val="0"/>
          <w:rtl/>
          <w14:ligatures w14:val="none"/>
        </w:rPr>
        <w:tab/>
        <w:t>الاحتفال</w:t>
      </w:r>
    </w:p>
    <w:p w14:paraId="069A8CFA"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يرجح أن ترتيب الأحداث كان كما يلي:</w:t>
      </w:r>
    </w:p>
    <w:p w14:paraId="721EF5BC"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1.</w:t>
      </w:r>
      <w:r w:rsidRPr="005B3275">
        <w:rPr>
          <w:rFonts w:eastAsia="Times New Roman"/>
          <w:kern w:val="0"/>
          <w:rtl/>
          <w:lang w:bidi="ar-JO"/>
          <w14:ligatures w14:val="none"/>
        </w:rPr>
        <w:tab/>
        <w:t>يذبح هارون الثور (تقدمة الخطية) عن نفسه وأهل بيته.  لم يكن حتى الكهنة (بمن في ذلك رئيس الكهنة) معفيين من الحاجة إلى التطهير بالدم من الخطية.</w:t>
      </w:r>
    </w:p>
    <w:p w14:paraId="28C61FDD"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p>
    <w:p w14:paraId="53C130C8"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2.</w:t>
      </w:r>
      <w:r w:rsidRPr="005B3275">
        <w:rPr>
          <w:rFonts w:eastAsia="Times New Roman"/>
          <w:kern w:val="0"/>
          <w:rtl/>
          <w:lang w:bidi="ar-JO"/>
          <w14:ligatures w14:val="none"/>
        </w:rPr>
        <w:tab/>
        <w:t xml:space="preserve">يأخذ هارون الحيوانات التي يتقدم بها الناس لنكون ذبائح بما في ذلك التيسين.  ثمّ يلقي القرعة ليعرف أي التيسين سيكون "ليهوه" وأيهما سيكون "كبش الفداء" (الآية 8).  ويوجد خلاف على ترجمة "كبش الفداء" (التي تستخدمها </w:t>
      </w:r>
      <w:r w:rsidRPr="005B3275">
        <w:rPr>
          <w:rFonts w:eastAsia="Times New Roman"/>
          <w:kern w:val="0"/>
          <w14:ligatures w14:val="none"/>
        </w:rPr>
        <w:t>NIV</w:t>
      </w:r>
      <w:r w:rsidRPr="005B3275">
        <w:rPr>
          <w:rFonts w:eastAsia="Times New Roman"/>
          <w:kern w:val="0"/>
          <w:rtl/>
          <w:lang w:bidi="ar-JO"/>
          <w14:ligatures w14:val="none"/>
        </w:rPr>
        <w:t xml:space="preserve"> و</w:t>
      </w:r>
      <w:r w:rsidRPr="005B3275">
        <w:rPr>
          <w:rFonts w:eastAsia="Times New Roman"/>
          <w:kern w:val="0"/>
          <w14:ligatures w14:val="none"/>
        </w:rPr>
        <w:t>NASB</w:t>
      </w:r>
      <w:r w:rsidRPr="005B3275">
        <w:rPr>
          <w:rFonts w:eastAsia="Times New Roman"/>
          <w:kern w:val="0"/>
          <w:rtl/>
          <w:lang w:bidi="ar-JO"/>
          <w14:ligatures w14:val="none"/>
        </w:rPr>
        <w:t xml:space="preserve">).  فالكلمة العبرية </w:t>
      </w:r>
      <w:r w:rsidRPr="005B3275">
        <w:rPr>
          <w:rFonts w:ascii="Times New Roman" w:eastAsia="Times New Roman" w:hAnsi="Times New Roman" w:cs="Times New Roman" w:hint="cs"/>
          <w:b/>
          <w:kern w:val="0"/>
          <w:rtl/>
          <w:lang w:bidi="he-IL"/>
          <w14:ligatures w14:val="none"/>
        </w:rPr>
        <w:t>לַעֲזָאזֵל</w:t>
      </w:r>
      <w:r w:rsidRPr="005B3275">
        <w:rPr>
          <w:rFonts w:eastAsia="Times New Roman"/>
          <w:kern w:val="0"/>
          <w14:ligatures w14:val="none"/>
        </w:rPr>
        <w:t xml:space="preserve"> ^</w:t>
      </w:r>
      <w:r w:rsidRPr="005B3275">
        <w:rPr>
          <w:rFonts w:eastAsia="Times New Roman"/>
          <w:kern w:val="0"/>
          <w:rtl/>
          <w:lang w:bidi="ar-JO"/>
          <w14:ligatures w14:val="none"/>
        </w:rPr>
        <w:t xml:space="preserve"> هي "عزازيل</w:t>
      </w:r>
      <w:r w:rsidRPr="005B3275">
        <w:rPr>
          <w:rFonts w:eastAsia="Times New Roman"/>
          <w:kern w:val="0"/>
          <w:rtl/>
          <w14:ligatures w14:val="none"/>
        </w:rPr>
        <w:t xml:space="preserve"> </w:t>
      </w:r>
      <w:r w:rsidRPr="005B3275">
        <w:rPr>
          <w:rFonts w:eastAsia="Times New Roman"/>
          <w:bCs/>
          <w:i/>
          <w:iCs/>
          <w:kern w:val="0"/>
          <w:lang w:bidi="ar-JO"/>
          <w14:ligatures w14:val="none"/>
        </w:rPr>
        <w:t>ʿăzāʾzēl</w:t>
      </w:r>
      <w:r w:rsidRPr="005B3275">
        <w:rPr>
          <w:rFonts w:eastAsia="Times New Roman"/>
          <w:kern w:val="0"/>
          <w:rtl/>
          <w:lang w:bidi="ar-JO"/>
          <w14:ligatures w14:val="none"/>
        </w:rPr>
        <w:t xml:space="preserve"> " كما في الترجمة العربية.</w:t>
      </w:r>
    </w:p>
    <w:p w14:paraId="35795E25"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lastRenderedPageBreak/>
        <w:t xml:space="preserve"> وقد اعتبر بعض الباحثين أن عزازيل </w:t>
      </w:r>
      <w:r w:rsidRPr="005B3275">
        <w:rPr>
          <w:rFonts w:eastAsia="Times New Roman"/>
          <w:bCs/>
          <w:i/>
          <w:iCs/>
          <w:kern w:val="0"/>
          <w:lang w:bidi="ar-JO"/>
          <w14:ligatures w14:val="none"/>
        </w:rPr>
        <w:t>ʿăzāʾzēl</w:t>
      </w:r>
      <w:r w:rsidRPr="005B3275">
        <w:rPr>
          <w:rFonts w:eastAsia="Times New Roman"/>
          <w:kern w:val="0"/>
          <w:rtl/>
          <w14:ligatures w14:val="none"/>
        </w:rPr>
        <w:t xml:space="preserve"> </w:t>
      </w:r>
      <w:r w:rsidRPr="005B3275">
        <w:rPr>
          <w:rFonts w:eastAsia="Times New Roman"/>
          <w:kern w:val="0"/>
          <w:rtl/>
          <w:lang w:bidi="ar-JO"/>
          <w14:ligatures w14:val="none"/>
        </w:rPr>
        <w:t>هو اسم لشيطان أو لإبليس (كما لو أن الخطايا كانت تعاد إلى مصدرها؛ انظر 1 أخ</w:t>
      </w:r>
      <w:r w:rsidRPr="005B3275">
        <w:rPr>
          <w:rFonts w:eastAsia="Times New Roman"/>
          <w:kern w:val="0"/>
          <w:rtl/>
          <w14:ligatures w14:val="none"/>
        </w:rPr>
        <w:t>ن</w:t>
      </w:r>
      <w:r w:rsidRPr="005B3275">
        <w:rPr>
          <w:rFonts w:eastAsia="Times New Roman"/>
          <w:kern w:val="0"/>
          <w:rtl/>
          <w:lang w:bidi="ar-JO"/>
          <w14:ligatures w14:val="none"/>
        </w:rPr>
        <w:t xml:space="preserve">وخ 8: 1؛ 9: 6).  اقترح آخرون أنها تعني "صخري، متشقِّق"  (لتصوير المنطقة الذي </w:t>
      </w:r>
      <w:r w:rsidRPr="005B3275">
        <w:rPr>
          <w:rFonts w:eastAsia="Times New Roman"/>
          <w:color w:val="000000"/>
          <w:kern w:val="0"/>
          <w:rtl/>
          <w:lang w:bidi="ar-JO"/>
          <w14:ligatures w14:val="none"/>
        </w:rPr>
        <w:t>سيذهب إليها التيس).</w:t>
      </w:r>
      <w:r w:rsidRPr="005B3275">
        <w:rPr>
          <w:rFonts w:eastAsia="Times New Roman"/>
          <w:kern w:val="0"/>
          <w:vertAlign w:val="superscript"/>
          <w:rtl/>
          <w:lang w:bidi="ar-JO"/>
          <w14:ligatures w14:val="none"/>
        </w:rPr>
        <w:t xml:space="preserve"> </w:t>
      </w:r>
      <w:r w:rsidRPr="005B3275">
        <w:rPr>
          <w:rFonts w:eastAsia="Times New Roman"/>
          <w:kern w:val="0"/>
          <w:vertAlign w:val="superscript"/>
          <w:rtl/>
          <w:lang w:bidi="ar-JO"/>
          <w14:ligatures w14:val="none"/>
        </w:rPr>
        <w:footnoteReference w:id="88"/>
      </w:r>
      <w:r w:rsidRPr="005B3275">
        <w:rPr>
          <w:rFonts w:eastAsia="Times New Roman"/>
          <w:kern w:val="0"/>
          <w:rtl/>
          <w:lang w:bidi="ar-JO"/>
          <w14:ligatures w14:val="none"/>
        </w:rPr>
        <w:t xml:space="preserve"> </w:t>
      </w:r>
    </w:p>
    <w:p w14:paraId="0C1D8417"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6361273E"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وتترجم الترجمة السبعونية "عزازيل</w:t>
      </w:r>
      <w:r w:rsidRPr="005B3275">
        <w:rPr>
          <w:rFonts w:eastAsia="Times New Roman"/>
          <w:kern w:val="0"/>
          <w:rtl/>
          <w14:ligatures w14:val="none"/>
        </w:rPr>
        <w:t xml:space="preserve"> </w:t>
      </w:r>
      <w:r w:rsidRPr="005B3275">
        <w:rPr>
          <w:rFonts w:eastAsia="Times New Roman"/>
          <w:bCs/>
          <w:i/>
          <w:iCs/>
          <w:kern w:val="0"/>
          <w:lang w:bidi="ar-JO"/>
          <w14:ligatures w14:val="none"/>
        </w:rPr>
        <w:t>ʿăzāʾzēl</w:t>
      </w:r>
      <w:r w:rsidRPr="005B3275">
        <w:rPr>
          <w:rFonts w:eastAsia="Times New Roman"/>
          <w:kern w:val="0"/>
          <w:rtl/>
          <w:lang w:bidi="ar-JO"/>
          <w14:ligatures w14:val="none"/>
        </w:rPr>
        <w:t xml:space="preserve">" إلى </w:t>
      </w:r>
      <w:r w:rsidRPr="005B3275">
        <w:rPr>
          <w:rFonts w:ascii="Cambria" w:eastAsia="Times New Roman" w:hAnsi="Cambria" w:cs="Cambria"/>
          <w:bCs/>
          <w:kern w:val="0"/>
          <w:lang w:val="el-GR" w:bidi="ar-JO"/>
          <w14:ligatures w14:val="none"/>
        </w:rPr>
        <w:t>τῳ</w:t>
      </w:r>
      <w:r w:rsidRPr="005B3275">
        <w:rPr>
          <w:rFonts w:eastAsia="Times New Roman"/>
          <w:bCs/>
          <w:kern w:val="0"/>
          <w:lang w:bidi="ar-JO"/>
          <w14:ligatures w14:val="none"/>
        </w:rPr>
        <w:t xml:space="preserve"> </w:t>
      </w:r>
      <w:r w:rsidRPr="005B3275">
        <w:rPr>
          <w:rFonts w:ascii="Times New Roman" w:eastAsia="Times New Roman" w:hAnsi="Times New Roman" w:cs="Times New Roman"/>
          <w:bCs/>
          <w:kern w:val="0"/>
          <w:lang w:val="el-GR" w:bidi="ar-JO"/>
          <w14:ligatures w14:val="none"/>
        </w:rPr>
        <w:t>ἀποπομπαίῳ</w:t>
      </w:r>
      <w:r w:rsidRPr="005B3275">
        <w:rPr>
          <w:rFonts w:eastAsia="Times New Roman"/>
          <w:kern w:val="0"/>
          <w14:ligatures w14:val="none"/>
        </w:rPr>
        <w:t xml:space="preserve"> /</w:t>
      </w:r>
      <w:r w:rsidRPr="005B3275">
        <w:rPr>
          <w:rFonts w:eastAsia="Times New Roman"/>
          <w:kern w:val="0"/>
          <w:rtl/>
          <w:lang w:bidi="ar-JO"/>
          <w14:ligatures w14:val="none"/>
        </w:rPr>
        <w:t>، التي منها تأتي الكلمة الإنجليزية "</w:t>
      </w:r>
      <w:r w:rsidRPr="005B3275">
        <w:rPr>
          <w:rFonts w:eastAsia="Times New Roman"/>
          <w:kern w:val="0"/>
          <w14:ligatures w14:val="none"/>
        </w:rPr>
        <w:t>Scapegoat</w:t>
      </w:r>
      <w:r w:rsidRPr="005B3275">
        <w:rPr>
          <w:rFonts w:eastAsia="Times New Roman"/>
          <w:kern w:val="0"/>
          <w:rtl/>
          <w:lang w:bidi="ar-JO"/>
          <w14:ligatures w14:val="none"/>
        </w:rPr>
        <w:t xml:space="preserve">" بمعنى "تيس الهروب".  تأتي هذه الكلمة اليونانية المركبة من كلمة </w:t>
      </w:r>
      <w:r w:rsidRPr="005B3275">
        <w:rPr>
          <w:rFonts w:ascii="Cambria" w:eastAsia="Times New Roman" w:hAnsi="Cambria" w:cs="Cambria"/>
          <w:bCs/>
          <w:kern w:val="0"/>
          <w:lang w:val="el-GR" w:bidi="ar-JO"/>
          <w14:ligatures w14:val="none"/>
        </w:rPr>
        <w:t>πομπαιος</w:t>
      </w:r>
      <w:r w:rsidRPr="005B3275">
        <w:rPr>
          <w:rFonts w:eastAsia="Times New Roman"/>
          <w:kern w:val="0"/>
          <w:rtl/>
          <w:lang w:bidi="ar-JO"/>
          <w14:ligatures w14:val="none"/>
        </w:rPr>
        <w:t xml:space="preserve"> (</w:t>
      </w:r>
      <w:r w:rsidRPr="005B3275">
        <w:rPr>
          <w:rFonts w:eastAsia="Times New Roman"/>
          <w:bCs/>
          <w:i/>
          <w:iCs/>
          <w:kern w:val="0"/>
          <w:lang w:bidi="ar-JO"/>
          <w14:ligatures w14:val="none"/>
        </w:rPr>
        <w:t>pompaios</w:t>
      </w:r>
      <w:r w:rsidRPr="005B3275">
        <w:rPr>
          <w:rFonts w:eastAsia="Times New Roman"/>
          <w:kern w:val="0"/>
          <w:rtl/>
          <w:lang w:bidi="ar-JO"/>
          <w14:ligatures w14:val="none"/>
        </w:rPr>
        <w:t>)، التي تعني "يشيّع، يوصل".  ومن هنا يوحي التعبير المركب بمعنى "حمل شيء بعيداً" أو "الصرف"، أي تيس للصرف أو الإرسال بعيداً.</w:t>
      </w:r>
      <w:r w:rsidRPr="005B3275">
        <w:rPr>
          <w:rFonts w:eastAsia="Times New Roman"/>
          <w:kern w:val="0"/>
          <w:vertAlign w:val="superscript"/>
          <w:rtl/>
          <w:lang w:bidi="ar-JO"/>
          <w14:ligatures w14:val="none"/>
        </w:rPr>
        <w:t xml:space="preserve"> </w:t>
      </w:r>
      <w:r w:rsidRPr="005B3275">
        <w:rPr>
          <w:rFonts w:eastAsia="Times New Roman"/>
          <w:kern w:val="0"/>
          <w:vertAlign w:val="superscript"/>
          <w:rtl/>
          <w:lang w:bidi="ar-JO"/>
          <w14:ligatures w14:val="none"/>
        </w:rPr>
        <w:footnoteReference w:id="89"/>
      </w:r>
      <w:r w:rsidRPr="005B3275">
        <w:rPr>
          <w:rFonts w:eastAsia="Times New Roman"/>
          <w:kern w:val="0"/>
          <w:rtl/>
          <w:lang w:bidi="ar-JO"/>
          <w14:ligatures w14:val="none"/>
        </w:rPr>
        <w:t xml:space="preserve">   فإذا كان هذا صحيحاً، تكون فكرة "تيس لعزازيل</w:t>
      </w:r>
      <w:r w:rsidRPr="005B3275">
        <w:rPr>
          <w:rFonts w:eastAsia="Times New Roman"/>
          <w:kern w:val="0"/>
          <w:rtl/>
          <w14:ligatures w14:val="none"/>
        </w:rPr>
        <w:t xml:space="preserve"> </w:t>
      </w:r>
      <w:r w:rsidRPr="005B3275">
        <w:rPr>
          <w:rFonts w:eastAsia="Times New Roman"/>
          <w:bCs/>
          <w:i/>
          <w:iCs/>
          <w:kern w:val="0"/>
          <w:lang w:bidi="ar-JO"/>
          <w14:ligatures w14:val="none"/>
        </w:rPr>
        <w:t>ʿăzāʾzēl</w:t>
      </w:r>
      <w:r w:rsidRPr="005B3275">
        <w:rPr>
          <w:rFonts w:eastAsia="Times New Roman"/>
          <w:kern w:val="0"/>
          <w:rtl/>
          <w:lang w:bidi="ar-JO"/>
          <w14:ligatures w14:val="none"/>
        </w:rPr>
        <w:t xml:space="preserve"> " تتحد</w:t>
      </w:r>
      <w:r w:rsidRPr="005B3275">
        <w:rPr>
          <w:rFonts w:eastAsia="Times New Roman"/>
          <w:kern w:val="0"/>
          <w:rtl/>
          <w14:ligatures w14:val="none"/>
        </w:rPr>
        <w:t>ث</w:t>
      </w:r>
      <w:r w:rsidRPr="005B3275">
        <w:rPr>
          <w:rFonts w:eastAsia="Times New Roman"/>
          <w:kern w:val="0"/>
          <w:rtl/>
          <w:lang w:bidi="ar-JO"/>
          <w14:ligatures w14:val="none"/>
        </w:rPr>
        <w:t xml:space="preserve"> عن تيس مضى بعيداً آخذاً معه خطايا الشعب إلى البرية.  ويمكن أن يرمز هذا إلى إزالة الخطايا بشكل حاسم (وهو رمز لا يحققه في الواقع إلاّ المسيح).</w:t>
      </w:r>
    </w:p>
    <w:p w14:paraId="212B5AE7"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 xml:space="preserve">     </w:t>
      </w:r>
    </w:p>
    <w:p w14:paraId="174B208B"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3.</w:t>
      </w:r>
      <w:r w:rsidRPr="005B3275">
        <w:rPr>
          <w:rFonts w:eastAsia="Times New Roman"/>
          <w:kern w:val="0"/>
          <w:rtl/>
          <w:lang w:bidi="ar-JO"/>
          <w14:ligatures w14:val="none"/>
        </w:rPr>
        <w:tab/>
        <w:t>يترك هارون دم الثور والتيس عند المذبح ويأخذ مجمرة ويدخل بها قدس الأقداس.  وعند عبوره للحجاب كان يرش البخور على الجمرات لكي تمتلئ الغرفة بالدخان فوراً.  يقول ونهام:</w:t>
      </w:r>
    </w:p>
    <w:p w14:paraId="382C390E"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5B3275">
        <w:rPr>
          <w:rFonts w:eastAsia="Times New Roman"/>
          <w:kern w:val="0"/>
          <w:rtl/>
          <w:lang w:bidi="ar-JO"/>
          <w14:ligatures w14:val="none"/>
        </w:rPr>
        <w:t>لكي يحمي رئيس الكهنة نفسه من غضب الله، كان عليه أن يحضر مبخرة مليئة بالفحم مأخوذة من مذبح المحرقة في الساحة الخارجية ويضع فيها بخوراً ناعماً ممتازاً.  فكان دخان البخور يغطّي كرسي الرحمة، لئلاّ يُقتل الكاهن (الآيتان 12-13).  يقدم لنا هيرتز الشرح الأكثر وضوحاً لهذا الأمر، فيقول: ’كان الغرض من دخان البخور هو خلق شاشة أو حجاب يمنع رئيس الكهنة من التحديق في حضور الله القدوس.</w:t>
      </w:r>
      <w:r w:rsidRPr="005B3275">
        <w:rPr>
          <w:rFonts w:eastAsia="Times New Roman"/>
          <w:kern w:val="0"/>
          <w:vertAlign w:val="superscript"/>
          <w:rtl/>
          <w:lang w:bidi="ar-JO"/>
          <w14:ligatures w14:val="none"/>
        </w:rPr>
        <w:footnoteReference w:id="90"/>
      </w:r>
    </w:p>
    <w:p w14:paraId="1395AFA5"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وهكذا كان الدخان يشكِّل حاجباً واقياً لئلا يلتهم مجد الله هارون.</w:t>
      </w:r>
    </w:p>
    <w:p w14:paraId="70801372"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7C76F9B1"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4.</w:t>
      </w:r>
      <w:r w:rsidRPr="005B3275">
        <w:rPr>
          <w:rFonts w:eastAsia="Times New Roman"/>
          <w:kern w:val="0"/>
          <w:rtl/>
          <w:lang w:bidi="ar-JO"/>
          <w14:ligatures w14:val="none"/>
        </w:rPr>
        <w:tab/>
        <w:t xml:space="preserve">عند عودة هارون إلى المذبح الموجود في الساحة، يأخذ دم الثور ويدخله داخل الحجاب.  ويرش الدم على "كرسي الرحمة" و"قدام الغطاء"، أي على الأرض.  فكانت الأرضية المرشوشة بالدم إشارة إلى أن الله قدّم طريقاً للوصول إلى حضرته.  وكان الدم المرشوش على "كرسي الرحمة" هامّاً أيضاً: فبما أن الشريعة (الموجودة تحت كرسي الرحمة </w:t>
      </w:r>
      <w:r w:rsidRPr="005B3275">
        <w:rPr>
          <w:rFonts w:eastAsia="Times New Roman"/>
          <w:kern w:val="0"/>
          <w:rtl/>
          <w:lang w:bidi="ar-JO"/>
          <w14:ligatures w14:val="none"/>
        </w:rPr>
        <w:lastRenderedPageBreak/>
        <w:t>في تابوت العهد) تُدين الذين تعدوا عليها، كان لا بد من رش الدم على كرسي الرحمة لئلا تدين الشريعة إثم الشعب وخطيتهم.</w:t>
      </w:r>
    </w:p>
    <w:p w14:paraId="7B55F01C"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5.</w:t>
      </w:r>
      <w:r w:rsidRPr="005B3275">
        <w:rPr>
          <w:rFonts w:eastAsia="Times New Roman"/>
          <w:kern w:val="0"/>
          <w:rtl/>
          <w:lang w:bidi="ar-JO"/>
          <w14:ligatures w14:val="none"/>
        </w:rPr>
        <w:tab/>
        <w:t>ثم يخرج هارون ثانية ويأتي بالدم من التيس المقدم كذبيحة خطية عن الشعب، ويُحضره إلى داخل الحجاب.  كان يرش الدم أيضاً على كرسي الرحمة وعلى الأرض.  وقد تضمّن هذا، بحسب الآية 16، كفّارة عن خيمة الاجتماع (انظر لاويين 15: 31).  فقد كانت عيوبهم وخطاياهم وتعدّياتهم تنجيساً للمقدس، وبتطهير المقدس كانوا يسمحون لله القدوس بأن يسكن في وسط شعب نجس.  كانت هذه الكفارة (عن خطايا الشعب وخيمة الاجتماع في نفس الوقت) ذروة العبادة، لأنها كانت تكفيراً عن كل تعدّيات الجماعة منذ يوم الكفّارة الماضي.</w:t>
      </w:r>
    </w:p>
    <w:p w14:paraId="2AE96945"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14:ligatures w14:val="none"/>
        </w:rPr>
      </w:pPr>
      <w:r w:rsidRPr="005B3275">
        <w:rPr>
          <w:rFonts w:eastAsia="Times New Roman"/>
          <w:kern w:val="0"/>
          <w:rtl/>
          <w:lang w:bidi="ar-JO"/>
          <w14:ligatures w14:val="none"/>
        </w:rPr>
        <w:t>6.</w:t>
      </w:r>
      <w:r w:rsidRPr="005B3275">
        <w:rPr>
          <w:rFonts w:eastAsia="Times New Roman"/>
          <w:kern w:val="0"/>
          <w:rtl/>
          <w:lang w:bidi="ar-JO"/>
          <w14:ligatures w14:val="none"/>
        </w:rPr>
        <w:tab/>
        <w:t>ومع خروجه ثانية، كان عليه أن يرش المذبح ثانية بدم التيس.  فقد تنجس المذبح بسبب الخطايا المنقولة، إذ كان الشعب يوحّدون خطاياهم مع المذبح وتقدماتهم.</w:t>
      </w:r>
    </w:p>
    <w:p w14:paraId="577842B9"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7.</w:t>
      </w:r>
      <w:r w:rsidRPr="005B3275">
        <w:rPr>
          <w:rFonts w:eastAsia="Times New Roman"/>
          <w:kern w:val="0"/>
          <w:rtl/>
          <w:lang w:bidi="ar-JO"/>
          <w14:ligatures w14:val="none"/>
        </w:rPr>
        <w:tab/>
        <w:t>ثم يأتي هارون بالتيس الحي (كبش الفداء) ويضع يديه على رأس التيس معترفاً بخطايا الأمة (الآية 21).  وهذا الإجراء رمز لكون خطايا الأمّة قد انتقلت إلى التيس (انظر 2كورنثوس 5: 21 التي تناقش مفهوم الكفّارة البديلية).</w:t>
      </w:r>
    </w:p>
    <w:p w14:paraId="3BA49810"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14:ligatures w14:val="none"/>
        </w:rPr>
      </w:pPr>
      <w:r w:rsidRPr="005B3275">
        <w:rPr>
          <w:rFonts w:eastAsia="Times New Roman"/>
          <w:kern w:val="0"/>
          <w:rtl/>
          <w:lang w:bidi="ar-JO"/>
          <w14:ligatures w14:val="none"/>
        </w:rPr>
        <w:t>8.</w:t>
      </w:r>
      <w:r w:rsidRPr="005B3275">
        <w:rPr>
          <w:rFonts w:eastAsia="Times New Roman"/>
          <w:kern w:val="0"/>
          <w:rtl/>
          <w:lang w:bidi="ar-JO"/>
          <w14:ligatures w14:val="none"/>
        </w:rPr>
        <w:tab/>
        <w:t>ثُم يُقتاد التيس (كبش الفداء) بعيداً إلى البرية.  يقول روس: "تقول المشنا (يوما) إن التيس كان يُقتاد مسافة ثلاثة أميال ونصف في البرّية ثم يدفع به من فوق جُرف صخري ويموت."</w:t>
      </w:r>
      <w:r w:rsidRPr="005B3275">
        <w:rPr>
          <w:rFonts w:eastAsia="Times New Roman"/>
          <w:kern w:val="0"/>
          <w:vertAlign w:val="superscript"/>
          <w:rtl/>
          <w:lang w:bidi="ar-JO"/>
          <w14:ligatures w14:val="none"/>
        </w:rPr>
        <w:footnoteReference w:id="91"/>
      </w:r>
    </w:p>
    <w:p w14:paraId="346A6405"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9.</w:t>
      </w:r>
      <w:r w:rsidRPr="005B3275">
        <w:rPr>
          <w:rFonts w:eastAsia="Times New Roman"/>
          <w:kern w:val="0"/>
          <w:rtl/>
          <w:lang w:bidi="ar-JO"/>
          <w14:ligatures w14:val="none"/>
        </w:rPr>
        <w:tab/>
        <w:t>ثم يغتسل هارون مرّة أخرى ويقدم ذبائح المحرقة شكراً وامتناناً لله الذي دبّر وسيلة للتكفير.</w:t>
      </w:r>
    </w:p>
    <w:p w14:paraId="708BF538"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10.</w:t>
      </w:r>
      <w:r w:rsidRPr="005B3275">
        <w:rPr>
          <w:rFonts w:eastAsia="Times New Roman"/>
          <w:kern w:val="0"/>
          <w:rtl/>
          <w:lang w:bidi="ar-JO"/>
          <w14:ligatures w14:val="none"/>
        </w:rPr>
        <w:tab/>
        <w:t>ويتضمن الطقس الأخير إخراج الثور وتيس ذبيحة الخطية إلى خارج المخيّم (المحلّة) حيثُ يحرقان بالنار بشكل كامل (انظر عبرانيين 13: 11-13).</w:t>
      </w:r>
    </w:p>
    <w:p w14:paraId="444B6AA4"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p>
    <w:p w14:paraId="1C46F4D1" w14:textId="77777777" w:rsidR="00072E15" w:rsidRPr="005B3275" w:rsidRDefault="00072E15"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هـ.</w:t>
      </w:r>
      <w:r w:rsidRPr="005B3275">
        <w:rPr>
          <w:rFonts w:eastAsia="Times New Roman"/>
          <w:bCs/>
          <w:kern w:val="0"/>
          <w:rtl/>
          <w14:ligatures w14:val="none"/>
        </w:rPr>
        <w:tab/>
        <w:t>دلالات مرتبطة باللاهوت وعلم المسيح</w:t>
      </w:r>
    </w:p>
    <w:p w14:paraId="692AA43B"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1.</w:t>
      </w:r>
      <w:r w:rsidRPr="005B3275">
        <w:rPr>
          <w:rFonts w:eastAsia="Times New Roman"/>
          <w:kern w:val="0"/>
          <w:rtl/>
          <w:lang w:bidi="ar-JO"/>
          <w14:ligatures w14:val="none"/>
        </w:rPr>
        <w:tab/>
        <w:t>مصالحة الأمة</w:t>
      </w:r>
    </w:p>
    <w:p w14:paraId="23EB4F04"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 xml:space="preserve">توجد تضمينات كثيرة ليوم الكفّارة.  غير أن على المرء أن يرى أولاً أهمّية هذا الأمر بالنسبة للعابد من بني إسرائيل في العهد القديم.  تمثّلت الأهمية الرئيسية لهذه المناسبة في مصالحة الأمّة كأمّة مع الله.  فعندما كان الدم يوضع على كرسي الرحمة، كان الله يقدّم تدبيراً يستطيع الله القدوس البار بموجبه أن يتعامل مع الأمّة كأمّة.  فكان هذا مصالحة، وإرجاعاً للأمة إلى حالة الانسجام مع الله.  فقد كان دم يوم الكفّار يقوم بمصالحة الشعب الذين </w:t>
      </w:r>
      <w:r w:rsidRPr="005B3275">
        <w:rPr>
          <w:rFonts w:eastAsia="Times New Roman"/>
          <w:kern w:val="0"/>
          <w:rtl/>
          <w:lang w:bidi="ar-JO"/>
          <w14:ligatures w14:val="none"/>
        </w:rPr>
        <w:lastRenderedPageBreak/>
        <w:t>كانوا غير متوافقين مع الله [مثال توضيحي: جعل دفتر الشيكات منسجماً مع بيان الرصيد في المصرف].  كان يوم الكفّارة يوماً استحقّت فيه ديون الأمّة.  فخطايا الأمّة هي بمثابة دين مستحق لله، أو كمبيالة يجب سدادها.</w:t>
      </w:r>
    </w:p>
    <w:p w14:paraId="15430F4B"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لم يقدّم يوم الكفّارة في حقيقة الأمر دفعة أخيرة لتسديد الكمبيالة"، بل مجرّد تأجيل لتاريخ الاستحقاق.  فكأن الأمّة تؤجل يوم سداد المديونية، على الرغم من أن طقوس يوم الكفّارة شكّلت أساساً يمكن أن يستمر الله بموجبه في التعامل معهم كأمّة (رومية 3: 25).  أمّا الدفعة الكاملة والنهائية لثمن الخطية فستأتي من خلال موت المسيح على الصليب (لنتذكّر هنا كلمات الرب يسوع، "قد أُكمل</w:t>
      </w:r>
      <w:r w:rsidRPr="005B3275">
        <w:rPr>
          <w:rFonts w:eastAsia="Times New Roman"/>
          <w:kern w:val="0"/>
          <w:rtl/>
          <w14:ligatures w14:val="none"/>
        </w:rPr>
        <w:t xml:space="preserve"> </w:t>
      </w:r>
      <w:r w:rsidRPr="005B3275">
        <w:rPr>
          <w:rFonts w:eastAsia="Times New Roman"/>
          <w:i/>
          <w:iCs/>
          <w:kern w:val="0"/>
          <w14:ligatures w14:val="none"/>
        </w:rPr>
        <w:t>tetelestai</w:t>
      </w:r>
      <w:r w:rsidRPr="005B3275">
        <w:rPr>
          <w:rFonts w:eastAsia="Times New Roman"/>
          <w:kern w:val="0"/>
          <w:rtl/>
          <w:lang w:bidi="ar-JO"/>
          <w14:ligatures w14:val="none"/>
        </w:rPr>
        <w:t xml:space="preserve"> "، بمعنى "دُفع كاملاً").</w:t>
      </w:r>
    </w:p>
    <w:p w14:paraId="48AE649F"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5570053"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2.</w:t>
      </w:r>
      <w:r w:rsidRPr="005B3275">
        <w:rPr>
          <w:rFonts w:eastAsia="Times New Roman"/>
          <w:kern w:val="0"/>
          <w:rtl/>
          <w:lang w:bidi="ar-JO"/>
          <w14:ligatures w14:val="none"/>
        </w:rPr>
        <w:tab/>
        <w:t>الاسترضاء بالكفّارة</w:t>
      </w:r>
    </w:p>
    <w:p w14:paraId="55B464D1"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كان الدم على كرسي الرحمة ذا دلالة كبيرة.  عندما كان يوضع دم الثور (المقدَّم من أجل الكاهن) ودم التيس (المقدّم عن الشعب) على كرسي الرحمة، كان الله يُسترضى، أي أن مطالبه المقدّسة كانت تُلبّى.  وبما أن هذا لم يكن إلاّ دم حيوانات، وبما أن الذبيحة كانت تقدّم سنة بعد سنة، كان واضحاً أنها لم تمثّل تعاملاً حاسماً نهائياً مع الخطية.  أما المسيح فقد كان كرسي الرحمة الحاسم المطلق.  وفي رومية 3: 25، يمكن أن تعني كلمة "كفّارة" "مكان كفّارة"، أي كرسي الرحمة:</w:t>
      </w:r>
      <w:r w:rsidRPr="005B3275">
        <w:rPr>
          <w:rFonts w:eastAsia="Times New Roman"/>
          <w:kern w:val="0"/>
          <w:vertAlign w:val="superscript"/>
          <w:rtl/>
          <w:lang w:bidi="ar-JO"/>
          <w14:ligatures w14:val="none"/>
        </w:rPr>
        <w:t xml:space="preserve"> </w:t>
      </w:r>
      <w:r w:rsidRPr="005B3275">
        <w:rPr>
          <w:rFonts w:eastAsia="Times New Roman"/>
          <w:kern w:val="0"/>
          <w:vertAlign w:val="superscript"/>
          <w:rtl/>
          <w:lang w:bidi="ar-JO"/>
          <w14:ligatures w14:val="none"/>
        </w:rPr>
        <w:footnoteReference w:id="92"/>
      </w:r>
    </w:p>
    <w:p w14:paraId="048C78A7"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5B3275">
        <w:rPr>
          <w:rFonts w:eastAsia="Times New Roman"/>
          <w:kern w:val="0"/>
          <w:rtl/>
          <w:lang w:bidi="ar-JO"/>
          <w14:ligatures w14:val="none"/>
        </w:rPr>
        <w:t>يسوع المسيح... الذي قدّمه الله كفّارة (استرضاء-</w:t>
      </w:r>
      <w:r w:rsidRPr="005B3275">
        <w:rPr>
          <w:rFonts w:eastAsia="Times New Roman"/>
          <w:kern w:val="0"/>
          <w:rtl/>
          <w:lang w:bidi="ar-JO"/>
          <w14:ligatures w14:val="none"/>
        </w:rPr>
        <w:tab/>
      </w:r>
      <w:r w:rsidRPr="005B3275">
        <w:rPr>
          <w:rFonts w:ascii="Times New Roman" w:eastAsia="Times New Roman" w:hAnsi="Times New Roman" w:cs="Times New Roman"/>
          <w:i/>
          <w:iCs/>
          <w:kern w:val="0"/>
          <w:lang w:val="el-GR" w:bidi="ar-JO"/>
          <w14:ligatures w14:val="none"/>
        </w:rPr>
        <w:t>ἱλαστήριον</w:t>
      </w:r>
      <w:r w:rsidRPr="005B3275">
        <w:rPr>
          <w:rFonts w:eastAsia="Times New Roman"/>
          <w:kern w:val="0"/>
          <w:rtl/>
          <w:lang w:bidi="ar-JO"/>
          <w14:ligatures w14:val="none"/>
        </w:rPr>
        <w:t>) بالإيمان بدمه، لإظهار برِّه، من أجل الصفح عن الخطايا السالفة بإمهال الله.</w:t>
      </w:r>
    </w:p>
    <w:p w14:paraId="1BFD402A"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وهكذا لم يكن الدم يقدِّم في يوم الكفّارة خلاصاً فردياً، بل أساساً يمكن لله أن يستمر بموجبه في السكن في وسط الأمّة.  غير أنه كانت هنالك فائدة فردية يقدّمها دم كرسي الرحمة (انظر مزمور 51: 7؛ لوقا 18: 7).</w:t>
      </w:r>
    </w:p>
    <w:p w14:paraId="5D934626"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75F7172A"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3.</w:t>
      </w:r>
      <w:r w:rsidRPr="005B3275">
        <w:rPr>
          <w:rFonts w:eastAsia="Times New Roman"/>
          <w:kern w:val="0"/>
          <w:rtl/>
          <w:lang w:bidi="ar-JO"/>
          <w14:ligatures w14:val="none"/>
        </w:rPr>
        <w:tab/>
        <w:t>دلالة التيسين</w:t>
      </w:r>
    </w:p>
    <w:p w14:paraId="23408DA9"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5B3275">
        <w:rPr>
          <w:rFonts w:eastAsia="Times New Roman"/>
          <w:kern w:val="0"/>
          <w:rtl/>
          <w:lang w:bidi="ar-JO"/>
          <w14:ligatures w14:val="none"/>
        </w:rPr>
        <w:t>مثّل التيسان جانبين تعامل الله بموجبهما مع الخطيّة.  فقد مثّل التيس المذبوح الخطايا المغطاة، أمّا التيس الذي كان يُطلق في البرّية "حاملاً خطايا الأمة" فكان يمثّل الخطايا المُزالة، وهذه صورة حيّة لحاجة الأمّة ككل إلى أن تتطهر من خطيتها.  ومن الواضح أن هذا سيصوّر جانبين من جوانب عمل المسيح (انظر إشعياء 53: 5-6).  وسيقدم موت المسيح غطاء من الدم للخطايا (وسينطبق هذا ليس على بني إسرائيل فقط).</w:t>
      </w:r>
    </w:p>
    <w:p w14:paraId="7E875958"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KW"/>
          <w14:ligatures w14:val="none"/>
        </w:rPr>
      </w:pPr>
    </w:p>
    <w:p w14:paraId="54FD09FF"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KW"/>
          <w14:ligatures w14:val="none"/>
        </w:rPr>
      </w:pPr>
    </w:p>
    <w:p w14:paraId="0A7564C4"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4.</w:t>
      </w:r>
      <w:r w:rsidRPr="005B3275">
        <w:rPr>
          <w:rFonts w:eastAsia="Times New Roman"/>
          <w:kern w:val="0"/>
          <w:rtl/>
          <w:lang w:bidi="ar-JO"/>
          <w14:ligatures w14:val="none"/>
        </w:rPr>
        <w:tab/>
        <w:t>يوم كفّارة مستقبلي للأمة</w:t>
      </w:r>
    </w:p>
    <w:p w14:paraId="54A7609C"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سيكون هنالك زمن مستقبلي عندما "تُزال" أو ترفع فيه خطايا إسرائيل كأمّة.  فعند عودة المسيح سيزيل إثم أمّة إسرائيل (زكريا 13: 1 فصاعداً).  وسيحدث هذا بعد أن تتواضع الأمّة وتنظر إلى المسيّا في إيمان.  وهكذا سيكون هنالك"يوم كفّارة أخروي" لإسرائيل، كما يُنبئ بذلك كل يوم كفّترة سنوي.  كان يوم الكفّارة السنوي يوم تواضع- "تذلّلون نفوسكم" (لاويين 16: 29؛ 23: 11).  سيأتي يوم تذلل فيه إسرائيل نفسها كأمّة (انظر زكريا 12: 10-11).</w:t>
      </w:r>
    </w:p>
    <w:p w14:paraId="34321D5C"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19D205A"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5.</w:t>
      </w:r>
      <w:r w:rsidRPr="005B3275">
        <w:rPr>
          <w:rFonts w:eastAsia="Times New Roman"/>
          <w:kern w:val="0"/>
          <w:rtl/>
          <w:lang w:bidi="ar-JO"/>
          <w14:ligatures w14:val="none"/>
        </w:rPr>
        <w:tab/>
        <w:t>رئيس الكهنة كنموذجٍ للمسيح</w:t>
      </w:r>
    </w:p>
    <w:p w14:paraId="03EECC94"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يجب أن يقارن يوم الكفّارة بعمل المسيح على الصليب، وفي هذا المجال يجب أن يدرس الطالب عبرانيين 9-10.  فبالمقابلة مع الكاهن الأعلى الذي كان يدخل قدس الأقداس مرّة واحدة في السنة لكي يقدّم دفعة سنوية بدم الحيوانات، دخل يسوع، رئيس الكهنة العظيم، إلى قدس الأقداس السماوية (ذات محضر الله) مرّة واحدة نهائية مقدّماً دمه الشخصي كدفعة كاملة أو كثمن كامل.  وقد سدد عمل المسيح الكفّاري أكثر بكثير من حاجة أمّة واحدة فحسب.  ففي حين جلب يوم الكفارة المصالحة بين إسرائيل والله، فقد صالح المسيح العالم كلّه مع الله، أي أنه جعله قابلاً للخلاص (2كورنثوس 5: 19).</w:t>
      </w:r>
    </w:p>
    <w:p w14:paraId="7B2AFFDD"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3BA6AC2B"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5B3275">
        <w:rPr>
          <w:rFonts w:eastAsia="Times New Roman"/>
          <w:kern w:val="0"/>
          <w:rtl/>
          <w:lang w:bidi="ar-JO"/>
          <w14:ligatures w14:val="none"/>
        </w:rPr>
        <w:t>على الرغم من أن رئيس الكهنة نموذج للمسيح، إلاّ أن المسيح أكثر جداً تفوقاً من أي رئيس كهنة، وعمله أكثر أهميّة بما لا يحد (وهذه هي الفكرة الأساسية للرسالة إلى العبرانيين).  لأن المسيح كان باراً، لم يكن مضطرّاً إلى تقديم ذبيحة عن نفسه قبل تقديم ذبيحة عن الشعب.  وبما أن رئيس كهنتنا متفوق على هارون، فإن على المرء أن يتكل كلّياً على المسيح (وهذا لسان حال كاتب الرسالة إلى العبرانيين).  يقدّم لنا ونهام تلخيصاً لمقارنة بين رئيس الكهنة في العهد القديم وبين المسيح بصفته رئيس الكهنة الأعظم:</w:t>
      </w:r>
      <w:r w:rsidRPr="005B3275">
        <w:rPr>
          <w:rFonts w:eastAsia="Times New Roman"/>
          <w:kern w:val="0"/>
          <w:vertAlign w:val="superscript"/>
          <w:rtl/>
          <w:lang w:bidi="ar-JO"/>
          <w14:ligatures w14:val="none"/>
        </w:rPr>
        <w:footnoteReference w:id="93"/>
      </w:r>
    </w:p>
    <w:p w14:paraId="0427B0FC"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B3275">
        <w:rPr>
          <w:rFonts w:eastAsia="Times New Roman"/>
          <w:kern w:val="0"/>
          <w:rtl/>
          <w:lang w:bidi="ar-JO"/>
          <w14:ligatures w14:val="none"/>
        </w:rPr>
        <w:t>أ.</w:t>
      </w:r>
      <w:r w:rsidRPr="005B3275">
        <w:rPr>
          <w:rFonts w:eastAsia="Times New Roman"/>
          <w:kern w:val="0"/>
          <w:rtl/>
          <w:lang w:bidi="ar-JO"/>
          <w14:ligatures w14:val="none"/>
        </w:rPr>
        <w:tab/>
        <w:t>كان هارون خاطئاً يحتاج إلى تقديم ذبيحة عن نفسه قبل أن يقدّم كفّارة عن الشعب.  أمّا المسيح فطاهر وبلا خطيّة، فلا يحتاج إلى تقديم ذبائح عن نفسه (عبرانيين 7: 26 فصاعداً).</w:t>
      </w:r>
    </w:p>
    <w:p w14:paraId="01BD7257"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p>
    <w:p w14:paraId="5BD82F52"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B3275">
        <w:rPr>
          <w:rFonts w:eastAsia="Times New Roman"/>
          <w:kern w:val="0"/>
          <w:rtl/>
          <w:lang w:bidi="ar-JO"/>
          <w14:ligatures w14:val="none"/>
        </w:rPr>
        <w:lastRenderedPageBreak/>
        <w:t>ب.</w:t>
      </w:r>
      <w:r w:rsidRPr="005B3275">
        <w:rPr>
          <w:rFonts w:eastAsia="Times New Roman"/>
          <w:kern w:val="0"/>
          <w:rtl/>
          <w:lang w:bidi="ar-JO"/>
          <w14:ligatures w14:val="none"/>
        </w:rPr>
        <w:tab/>
        <w:t>كان هارون مضطراً لتكرار عملية تقديم الذبائح بانتظام.  أمّا المسيح فضمن لنا فداءاً أبدياً بموته (9: 6-14، 25 فصاعداً).</w:t>
      </w:r>
    </w:p>
    <w:p w14:paraId="0F9C5415"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5B3275">
        <w:rPr>
          <w:rFonts w:eastAsia="Times New Roman"/>
          <w:kern w:val="0"/>
          <w:rtl/>
          <w:lang w:bidi="ar-JO"/>
          <w14:ligatures w14:val="none"/>
        </w:rPr>
        <w:t>جـ.</w:t>
      </w:r>
      <w:r w:rsidRPr="005B3275">
        <w:rPr>
          <w:rFonts w:eastAsia="Times New Roman"/>
          <w:kern w:val="0"/>
          <w:rtl/>
          <w:lang w:bidi="ar-JO"/>
          <w14:ligatures w14:val="none"/>
        </w:rPr>
        <w:tab/>
        <w:t>ضمنت الطقوس التي أدّاها هارون دخوله إلى المقدس الأرضي؛ أمّا موت المسيح فقد قاده إلى المقدس السماوي                (9: 24).</w:t>
      </w:r>
    </w:p>
    <w:p w14:paraId="7B525456"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p>
    <w:p w14:paraId="207A559D"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KW"/>
          <w14:ligatures w14:val="none"/>
        </w:rPr>
      </w:pPr>
      <w:r w:rsidRPr="005B3275">
        <w:rPr>
          <w:rFonts w:eastAsia="Times New Roman"/>
          <w:kern w:val="0"/>
          <w:rtl/>
          <w:lang w:bidi="ar-JO"/>
          <w14:ligatures w14:val="none"/>
        </w:rPr>
        <w:t>د.</w:t>
      </w:r>
      <w:r w:rsidRPr="005B3275">
        <w:rPr>
          <w:rFonts w:eastAsia="Times New Roman"/>
          <w:kern w:val="0"/>
          <w:rtl/>
          <w:lang w:bidi="ar-JO"/>
          <w14:ligatures w14:val="none"/>
        </w:rPr>
        <w:tab/>
        <w:t>كان تكرار تقديم هارون للذبيحة تذكيراً دائماً بالوجود الدائم للخطية.  أمّا المسيح فضمِن بذبيحته الوحيدة الواحدة النهائية غفراناً دائماً من الخطية (10: 1-18).</w:t>
      </w:r>
    </w:p>
    <w:p w14:paraId="103330F2"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KW"/>
          <w14:ligatures w14:val="none"/>
        </w:rPr>
      </w:pPr>
    </w:p>
    <w:p w14:paraId="16E95D47" w14:textId="77777777" w:rsidR="00072E15" w:rsidRPr="005B3275" w:rsidRDefault="00072E15"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B3275">
        <w:rPr>
          <w:rFonts w:eastAsia="Times New Roman"/>
          <w:kern w:val="0"/>
          <w:rtl/>
          <w:lang w:bidi="ar-JO"/>
          <w14:ligatures w14:val="none"/>
        </w:rPr>
        <w:t>6.</w:t>
      </w:r>
      <w:r w:rsidRPr="005B3275">
        <w:rPr>
          <w:rFonts w:eastAsia="Times New Roman"/>
          <w:kern w:val="0"/>
          <w:rtl/>
          <w:lang w:bidi="ar-JO"/>
          <w14:ligatures w14:val="none"/>
        </w:rPr>
        <w:tab/>
        <w:t>حرق الحيوانات خارج المخيم (المحلّة)</w:t>
      </w:r>
    </w:p>
    <w:p w14:paraId="11AC2A76" w14:textId="77777777" w:rsidR="00072E15" w:rsidRPr="005B3275" w:rsidRDefault="00072E15"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14:ligatures w14:val="none"/>
        </w:rPr>
      </w:pPr>
      <w:r w:rsidRPr="005B3275">
        <w:rPr>
          <w:rFonts w:eastAsia="Times New Roman"/>
          <w:kern w:val="0"/>
          <w:rtl/>
          <w:lang w:bidi="ar-JO"/>
          <w14:ligatures w14:val="none"/>
        </w:rPr>
        <w:t>وأخيراً، بقي أن نعلّق على حرق الثور والتيس خارج المخيّم (المحلّة).  فكما كانت جثّتا هذين الحيوانين تُحرقان خارج المخيم، وكذلك المسيح تألَّم أيضاً خارج البوّابة (انظر عبرانيين 13: 10-14).  كان وجود الحيوانين داخل المخيم بمثابة موضوع تعيير وتوبيخ داخل المحلّة، وقد اعتُبر يسوع موضوعاً للتعيير والتوبيخ داخل حدود أمّة إسرائيل.  وعلينا، كمؤمنين بالمسيح، أن نكون مستعدّين لحمل عارِه!</w:t>
      </w:r>
    </w:p>
    <w:p w14:paraId="14E5B727" w14:textId="77777777" w:rsidR="00072E15" w:rsidRPr="00C7130A" w:rsidRDefault="00072E15" w:rsidP="00C7130A">
      <w:pPr>
        <w:jc w:val="center"/>
        <w:rPr>
          <w:rFonts w:eastAsia="Times New Roman"/>
          <w:color w:val="A50021"/>
          <w:kern w:val="0"/>
          <w:szCs w:val="32"/>
          <w:rtl/>
          <w:lang w:bidi="ar-JO"/>
          <w14:ligatures w14:val="none"/>
        </w:rPr>
      </w:pPr>
    </w:p>
    <w:p w14:paraId="4BB0152E" w14:textId="77777777" w:rsidR="00072E15" w:rsidRPr="00C7130A" w:rsidRDefault="00072E15" w:rsidP="00C7130A">
      <w:pPr>
        <w:jc w:val="center"/>
        <w:rPr>
          <w:rFonts w:eastAsia="Times New Roman"/>
          <w:color w:val="A50021"/>
          <w:kern w:val="0"/>
          <w:szCs w:val="32"/>
          <w:rtl/>
          <w:lang w:bidi="ar-JO"/>
          <w14:ligatures w14:val="none"/>
        </w:rPr>
      </w:pPr>
    </w:p>
    <w:p w14:paraId="39D2AA99" w14:textId="77777777" w:rsidR="007F18C6" w:rsidRPr="00C7130A" w:rsidRDefault="007F18C6" w:rsidP="00C7130A">
      <w:pPr>
        <w:tabs>
          <w:tab w:val="left" w:pos="547"/>
          <w:tab w:val="left" w:pos="1094"/>
          <w:tab w:val="left" w:pos="1642"/>
          <w:tab w:val="left" w:pos="2189"/>
          <w:tab w:val="left" w:pos="2736"/>
          <w:tab w:val="left" w:pos="3283"/>
          <w:tab w:val="left" w:pos="3830"/>
          <w:tab w:val="left" w:pos="4378"/>
        </w:tabs>
        <w:spacing w:after="120"/>
        <w:jc w:val="both"/>
        <w:rPr>
          <w:rFonts w:eastAsia="Times New Roman"/>
          <w:kern w:val="0"/>
          <w:sz w:val="22"/>
          <w:szCs w:val="24"/>
          <w14:ligatures w14:val="none"/>
        </w:rPr>
      </w:pPr>
    </w:p>
    <w:p w14:paraId="20FE46F1" w14:textId="3373803D" w:rsidR="006311FA" w:rsidRPr="00C7130A" w:rsidRDefault="004C7B06" w:rsidP="000558B7">
      <w:pPr>
        <w:pStyle w:val="Heading2B"/>
      </w:pPr>
      <w:bookmarkStart w:id="233" w:name="_Toc193031026"/>
      <w:bookmarkStart w:id="234" w:name="_Hlk157172600"/>
      <w:bookmarkStart w:id="235" w:name="_Hlk178778863"/>
      <w:r w:rsidRPr="00C7130A">
        <w:rPr>
          <w:rtl/>
        </w:rPr>
        <w:t>الموضوع 3: شرائع القداسة والتقويم الديني لشعب إسرائيل (لاويّين 17: 1 – 27: 34)</w:t>
      </w:r>
      <w:bookmarkEnd w:id="233"/>
    </w:p>
    <w:p w14:paraId="43DFD732" w14:textId="7F42D8B2" w:rsidR="006311FA" w:rsidRPr="005B3275" w:rsidRDefault="006311FA"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236" w:name="_Hlk157178477"/>
      <w:bookmarkEnd w:id="234"/>
      <w:r w:rsidRPr="00C7130A">
        <w:rPr>
          <w:rFonts w:eastAsia="Calibri"/>
          <w:b/>
          <w:caps/>
          <w:noProof/>
          <w:color w:val="006699"/>
          <w:kern w:val="0"/>
          <w:sz w:val="21"/>
          <w:szCs w:val="24"/>
          <w14:ligatures w14:val="none"/>
        </w:rPr>
        <w:drawing>
          <wp:inline distT="0" distB="0" distL="0" distR="0" wp14:anchorId="67072391" wp14:editId="17EC69A4">
            <wp:extent cx="613692" cy="541464"/>
            <wp:effectExtent l="0" t="0" r="0" b="0"/>
            <wp:docPr id="1587965642" name="Picture 158796564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B3744F" w:rsidRPr="005B3275">
        <w:rPr>
          <w:rFonts w:eastAsia="Calibri"/>
          <w:bCs/>
          <w:caps/>
          <w:color w:val="006699"/>
          <w:kern w:val="0"/>
          <w:u w:val="single"/>
          <w:rtl/>
          <w14:ligatures w14:val="none"/>
        </w:rPr>
        <w:t>القراءة:</w:t>
      </w:r>
    </w:p>
    <w:p w14:paraId="7D4F73AD" w14:textId="04C8E11B" w:rsidR="006311FA" w:rsidRPr="005B3275" w:rsidRDefault="00B3744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5B3275">
        <w:rPr>
          <w:rFonts w:eastAsia="Calibri"/>
          <w:kern w:val="0"/>
          <w:rtl/>
          <w14:ligatures w14:val="none"/>
        </w:rPr>
        <w:tab/>
      </w:r>
      <w:r w:rsidRPr="005B3275">
        <w:rPr>
          <w:rFonts w:eastAsia="Calibri"/>
          <w:kern w:val="0"/>
          <w:rtl/>
          <w14:ligatures w14:val="none"/>
        </w:rPr>
        <w:tab/>
        <w:t xml:space="preserve">اقرأ لاويّين 17: 1 – 27: 34 في كتابك المُقدَّس. </w:t>
      </w:r>
    </w:p>
    <w:p w14:paraId="085C2099" w14:textId="77777777" w:rsidR="00BF07C2" w:rsidRPr="005B3275" w:rsidRDefault="00BF07C2" w:rsidP="000558B7">
      <w:pPr>
        <w:pStyle w:val="Heading3"/>
        <w:rPr>
          <w:rtl/>
          <w:lang w:bidi="ar-JO"/>
        </w:rPr>
      </w:pPr>
      <w:bookmarkStart w:id="237" w:name="_Toc193031027"/>
      <w:bookmarkEnd w:id="235"/>
      <w:bookmarkEnd w:id="236"/>
      <w:r w:rsidRPr="005B3275">
        <w:rPr>
          <w:rtl/>
          <w:lang w:bidi="ar-JO"/>
        </w:rPr>
        <w:t>1.</w:t>
      </w:r>
      <w:r w:rsidRPr="005B3275">
        <w:rPr>
          <w:rtl/>
          <w:lang w:bidi="ar-JO"/>
        </w:rPr>
        <w:tab/>
        <w:t>مقدمة</w:t>
      </w:r>
      <w:bookmarkEnd w:id="237"/>
      <w:r w:rsidRPr="005B3275">
        <w:rPr>
          <w:rtl/>
          <w:lang w:bidi="ar-JO"/>
        </w:rPr>
        <w:t xml:space="preserve"> </w:t>
      </w:r>
    </w:p>
    <w:p w14:paraId="515B5117"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 xml:space="preserve">تحدثت الأصحاحات العشرة الأولى من سفر اللاويين عن الشروط التي يمكن لإسرائيل بموجبها أن تقترب من يهوه.  أمّا الأصحاحات 11-25 فتتحدث عن الشروط التي يجب أن تحيا إسرائيل بموجبها ليهوه لكي يسكن بينهم.  ولهذا يجب أن تُرفع كل نجاسة بالتطهير ويجب مراعاة ممارسة يوم الكفّارة السنوي (11-16)؛ ويجب أن يحافظ على القداسة في الحياة والطقوس (من خلال طاعة الشريعة) بالمقابلة مع ما يفعله جيرانهم الوثنيون (17-25).  أما الأصحاح السادس والعشرون فيقدم لنا الشروط التي يمكن لإسرائيل أن تزدهر أو تفشل بموجبها (في معاهدة نموذجية بين ملك متسيّد ودولة تابعة).  </w:t>
      </w:r>
      <w:r w:rsidRPr="005B3275">
        <w:rPr>
          <w:rFonts w:eastAsia="Times New Roman"/>
          <w:kern w:val="0"/>
          <w:rtl/>
          <w:lang w:bidi="ar-JO"/>
          <w14:ligatures w14:val="none"/>
        </w:rPr>
        <w:lastRenderedPageBreak/>
        <w:t>ثم يتحدث الأصحاح السابع والعشرون عن فك المرء من النذور.  وسأركز في هذا البحث بشكل رئيسي على الأعياد أو الاحتفالات السنوية لإسرائيل في لاويين 23.</w:t>
      </w:r>
    </w:p>
    <w:p w14:paraId="3742D272"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9903941" w14:textId="77777777" w:rsidR="00BF07C2" w:rsidRPr="005B3275" w:rsidRDefault="00BF07C2" w:rsidP="000558B7">
      <w:pPr>
        <w:pStyle w:val="Heading3"/>
        <w:rPr>
          <w:rtl/>
          <w:lang w:bidi="ar-JO"/>
        </w:rPr>
      </w:pPr>
      <w:bookmarkStart w:id="238" w:name="_Toc193031028"/>
      <w:r w:rsidRPr="005B3275">
        <w:rPr>
          <w:rtl/>
          <w:lang w:bidi="ar-JO"/>
        </w:rPr>
        <w:t>2.</w:t>
      </w:r>
      <w:r w:rsidRPr="005B3275">
        <w:rPr>
          <w:rtl/>
          <w:lang w:bidi="ar-JO"/>
        </w:rPr>
        <w:tab/>
        <w:t>شرائع القداسة (لاويين 17-22)</w:t>
      </w:r>
      <w:bookmarkEnd w:id="238"/>
    </w:p>
    <w:p w14:paraId="4CF14449" w14:textId="77777777" w:rsidR="00BF07C2" w:rsidRPr="005B3275" w:rsidRDefault="00BF07C2"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أ.</w:t>
      </w:r>
      <w:r w:rsidRPr="005B3275">
        <w:rPr>
          <w:rFonts w:eastAsia="Times New Roman"/>
          <w:bCs/>
          <w:kern w:val="0"/>
          <w:rtl/>
          <w14:ligatures w14:val="none"/>
        </w:rPr>
        <w:tab/>
        <w:t>الدم (لاويين 17)</w:t>
      </w:r>
    </w:p>
    <w:p w14:paraId="5ED57DE8"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يؤكد هذا الأصحاح كثيراً على مسألة تحريم تناول الدم.  فالدم ذو دلالة هامّة: "لأن نفس الجسد هي في الدم، فأنا أعطيتكم إياه على المذبح للتكفير عن نفوسكم، لأن الدم يكفّر عن النفس" (17: 11).  يقول روس:</w:t>
      </w:r>
    </w:p>
    <w:p w14:paraId="3F4C21DF"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5B3275">
        <w:rPr>
          <w:rFonts w:eastAsia="Times New Roman"/>
          <w:kern w:val="0"/>
          <w:rtl/>
          <w:lang w:bidi="ar-JO"/>
          <w14:ligatures w14:val="none"/>
        </w:rPr>
        <w:t>لقد عيّن الله الدم للتكفير –إنه حياة الحيوان التي تخصّ إمّا الحيوان أو الله، إذا ذُبح الحيوان.  فأن يأخذ إنسان دماً ويأكله/يشربه يعني أن يسلب الله، وأن ينجِّس ما كان مقدّساً، أي مخصَّصاً أو مفرزاً لله.  والدم في الكتاب المقدس رمز للحياة، ويبدو أنه هو ما يربط الجسد والنفس، فبدون الدم، لا توجد حياة.  وقد كان يشكِّل صورة حيّة بالنسبة للعابد حين يرى الدم –الحياة متدفقاً من الحيوان بدلاً منه.  لقد عيّن الله الدم لهذا الغرض لكي يواجه كل إنسان ويُذكَّر بمسألة التكفير في كل مرّة يُسفك فيها دم الحيوانات.</w:t>
      </w:r>
      <w:r w:rsidRPr="005B3275">
        <w:rPr>
          <w:rFonts w:eastAsia="Times New Roman"/>
          <w:kern w:val="0"/>
          <w:vertAlign w:val="superscript"/>
          <w:rtl/>
          <w:lang w:bidi="ar-JO"/>
          <w14:ligatures w14:val="none"/>
        </w:rPr>
        <w:footnoteReference w:id="94"/>
      </w:r>
    </w:p>
    <w:p w14:paraId="66BC33C3"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5B3275">
        <w:rPr>
          <w:rFonts w:eastAsia="Times New Roman"/>
          <w:kern w:val="0"/>
          <w:rtl/>
          <w:lang w:bidi="ar-JO"/>
          <w14:ligatures w14:val="none"/>
        </w:rPr>
        <w:t>يجب أن يعتبر الدم الذبيحي للكفّارة مقدّساً، إذ "بدون سفك دم لا تحصل مغفرة."  لقد أراد الله أن يحفظ هذا الدرس الموضوع (الدم) لمقاصده، لئلا يضيع تأثير ثمن الخطية الباهظ.</w:t>
      </w:r>
    </w:p>
    <w:p w14:paraId="5D1AB22E"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p>
    <w:p w14:paraId="64326F97" w14:textId="77777777" w:rsidR="00BF07C2" w:rsidRPr="005B3275" w:rsidRDefault="00BF07C2"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ب.</w:t>
      </w:r>
      <w:r w:rsidRPr="005B3275">
        <w:rPr>
          <w:rFonts w:eastAsia="Times New Roman"/>
          <w:bCs/>
          <w:kern w:val="0"/>
          <w:rtl/>
          <w14:ligatures w14:val="none"/>
        </w:rPr>
        <w:tab/>
        <w:t>العلاقات الجنسية المحرّمة (لاويين 18)</w:t>
      </w:r>
    </w:p>
    <w:p w14:paraId="7DEFEEBC"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5B3275">
        <w:rPr>
          <w:rFonts w:eastAsia="Times New Roman"/>
          <w:kern w:val="0"/>
          <w:rtl/>
          <w:lang w:bidi="ar-JO"/>
          <w14:ligatures w14:val="none"/>
        </w:rPr>
        <w:t xml:space="preserve">يقدّم لنا الأصحاح 18 تشريعاً متعلقاً بالممارسات الجنسية.  ويعود الاهتمام الكبير الموجه لهذا الموضوع إلى الوضع الذي سرعان ما سيجد بنو إسرائيل أنفسهم فيه، حيث كان المجتمع الكنعاني منحطّاً من هذه الناحية.  فإذا لم يكن بنو إسرائيل حريصين، فسيجرّون إلى الوحل معهم.  فكيف يمكنهم أن يكونوا "وسطاء البركة" كما يريدهم الله، إذا عاشوا حياتهم كالكنعانيين؟  يقول الله لهم، </w:t>
      </w:r>
      <w:r w:rsidRPr="005B3275">
        <w:rPr>
          <w:rFonts w:eastAsia="Times New Roman"/>
          <w:kern w:val="0"/>
          <w:rtl/>
          <w14:ligatures w14:val="none"/>
        </w:rPr>
        <w:t>"مثل عمل أرض كنعان التي أنا آتٍ بكم إليها لا تعملوا، وحسب فرائضهم لا تسلكوا" (18: 3).  يمكن أن يؤدي غياب الحرص في التعامل مع مجتمع غير تقي إلى دمار شعب الله.  وكان يُفترض أن تكون هذه الأمة قد تعلّمت هذا الدرس مع يعقوب وأبنائه.  تضمّن التشريع المتعلق بالسلوك الجنسي إدانة للشذوذ الجنسي (18: 22؛ 20: 13)، الذي كان عقابه الموت.  وهنا أتذكر بعض أفراد الجماعة المسيحية الذين لا يأخذون موقفاً متوازناً في تقديرهم للخطية الجنسية.  فهم يدينون الشذوذ الجنسي بشدة (وهم محقّون في ذلك)، لكنهم ينظرون أحياناً إلى الزنى على أنه "خطية أقل."  يدين الله كلا الأمرين في نفس الفقرة (لاويين 20: 19-23)، وكان الموت هو عقاب الزنى أيضاً.</w:t>
      </w:r>
    </w:p>
    <w:p w14:paraId="78A69E4D"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p>
    <w:p w14:paraId="2B13E17E" w14:textId="77777777" w:rsidR="00BF07C2" w:rsidRPr="005B3275" w:rsidRDefault="00BF07C2" w:rsidP="000558B7">
      <w:pPr>
        <w:pStyle w:val="Heading3"/>
        <w:rPr>
          <w:rtl/>
          <w:lang w:bidi="ar-JO"/>
        </w:rPr>
      </w:pPr>
      <w:bookmarkStart w:id="239" w:name="_Toc193031029"/>
      <w:r w:rsidRPr="005B3275">
        <w:rPr>
          <w:rtl/>
          <w:lang w:bidi="ar-JO"/>
        </w:rPr>
        <w:t>3.</w:t>
      </w:r>
      <w:r w:rsidRPr="005B3275">
        <w:rPr>
          <w:rtl/>
          <w:lang w:bidi="ar-JO"/>
        </w:rPr>
        <w:tab/>
      </w:r>
      <w:r w:rsidRPr="005B3275">
        <w:rPr>
          <w:rtl/>
        </w:rPr>
        <w:t>ال</w:t>
      </w:r>
      <w:r w:rsidRPr="005B3275">
        <w:rPr>
          <w:rtl/>
          <w:lang w:bidi="ar-JO"/>
        </w:rPr>
        <w:t xml:space="preserve">أعياد </w:t>
      </w:r>
      <w:r w:rsidRPr="005B3275">
        <w:rPr>
          <w:rtl/>
        </w:rPr>
        <w:t>في ال</w:t>
      </w:r>
      <w:r w:rsidRPr="005B3275">
        <w:rPr>
          <w:rtl/>
          <w:lang w:bidi="ar-JO"/>
        </w:rPr>
        <w:t>لاويين 23</w:t>
      </w:r>
      <w:bookmarkEnd w:id="239"/>
    </w:p>
    <w:p w14:paraId="34BE5971"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كانت هنالك عدّة أعياد واحتفالات دينية هامّة أثناء السنة العبرية.  فبالإضافة للسبت الذي يحتفل به كل أسبوع، كانت هنالك سبعة أعياد متفرّقة في السنة العبرية يجب أن يحتفل فيها كل عبراني أمين.  ارتبطت هذه الأعياد بالمواسم الزراعية، فكانت أربعة احتفالات منها تقام في الربيع (1آذار-أيار) وثلاثة في الخريف (أيلول-تشرين الأول)</w:t>
      </w:r>
    </w:p>
    <w:p w14:paraId="057A2683"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A2416A1"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5B3275">
        <w:rPr>
          <w:rFonts w:eastAsia="Times New Roman"/>
          <w:kern w:val="0"/>
          <w:u w:val="single"/>
          <w:rtl/>
          <w:lang w:bidi="ar-JO"/>
          <w14:ligatures w14:val="none"/>
        </w:rPr>
        <w:t>الربيع</w:t>
      </w:r>
      <w:r w:rsidRPr="005B3275">
        <w:rPr>
          <w:rFonts w:eastAsia="Times New Roman"/>
          <w:kern w:val="0"/>
          <w:rtl/>
          <w:lang w:bidi="ar-JO"/>
          <w14:ligatures w14:val="none"/>
        </w:rPr>
        <w:t xml:space="preserve">  </w:t>
      </w:r>
      <w:r w:rsidRPr="005B3275">
        <w:rPr>
          <w:rFonts w:eastAsia="Times New Roman"/>
          <w:kern w:val="0"/>
          <w:rtl/>
          <w:lang w:bidi="ar-JO"/>
          <w14:ligatures w14:val="none"/>
        </w:rPr>
        <w:tab/>
      </w:r>
      <w:r w:rsidRPr="005B3275">
        <w:rPr>
          <w:rFonts w:eastAsia="Times New Roman"/>
          <w:kern w:val="0"/>
          <w:rtl/>
          <w:lang w:bidi="ar-JO"/>
          <w14:ligatures w14:val="none"/>
        </w:rPr>
        <w:tab/>
      </w:r>
      <w:r w:rsidRPr="005B3275">
        <w:rPr>
          <w:rFonts w:eastAsia="Times New Roman"/>
          <w:kern w:val="0"/>
          <w:rtl/>
          <w:lang w:bidi="ar-JO"/>
          <w14:ligatures w14:val="none"/>
        </w:rPr>
        <w:tab/>
      </w:r>
      <w:r w:rsidRPr="005B3275">
        <w:rPr>
          <w:rFonts w:eastAsia="Times New Roman"/>
          <w:kern w:val="0"/>
          <w:rtl/>
          <w:lang w:bidi="ar-JO"/>
          <w14:ligatures w14:val="none"/>
        </w:rPr>
        <w:tab/>
      </w:r>
      <w:r w:rsidRPr="005B3275">
        <w:rPr>
          <w:rFonts w:eastAsia="Times New Roman"/>
          <w:kern w:val="0"/>
          <w:rtl/>
          <w:lang w:bidi="ar-JO"/>
          <w14:ligatures w14:val="none"/>
        </w:rPr>
        <w:tab/>
      </w:r>
      <w:r w:rsidRPr="005B3275">
        <w:rPr>
          <w:rFonts w:eastAsia="Times New Roman"/>
          <w:kern w:val="0"/>
          <w:u w:val="single"/>
          <w:rtl/>
          <w:lang w:bidi="ar-JO"/>
          <w14:ligatures w14:val="none"/>
        </w:rPr>
        <w:t>الخريف</w:t>
      </w:r>
    </w:p>
    <w:p w14:paraId="1584EA52" w14:textId="29708846"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5B3275">
        <w:rPr>
          <w:rFonts w:eastAsia="Times New Roman"/>
          <w:kern w:val="0"/>
          <w:rtl/>
          <w:lang w:bidi="ar-JO"/>
          <w14:ligatures w14:val="none"/>
        </w:rPr>
        <w:t>الفصح</w:t>
      </w:r>
      <w:r w:rsidRPr="005B3275">
        <w:rPr>
          <w:rFonts w:eastAsia="Times New Roman"/>
          <w:kern w:val="0"/>
          <w:vertAlign w:val="superscript"/>
          <w:rtl/>
          <w:lang w:bidi="ar-JO"/>
          <w14:ligatures w14:val="none"/>
        </w:rPr>
        <w:t>*</w:t>
      </w:r>
      <w:r w:rsidRPr="005B3275">
        <w:rPr>
          <w:rFonts w:eastAsia="Times New Roman"/>
          <w:kern w:val="0"/>
          <w:rtl/>
          <w:lang w:bidi="ar-JO"/>
          <w14:ligatures w14:val="none"/>
        </w:rPr>
        <w:tab/>
      </w:r>
      <w:r w:rsidRPr="005B3275">
        <w:rPr>
          <w:rFonts w:eastAsia="Times New Roman"/>
          <w:kern w:val="0"/>
          <w:rtl/>
          <w:lang w:bidi="ar-JO"/>
          <w14:ligatures w14:val="none"/>
        </w:rPr>
        <w:tab/>
      </w:r>
      <w:r w:rsidRPr="005B3275">
        <w:rPr>
          <w:rFonts w:eastAsia="Times New Roman"/>
          <w:kern w:val="0"/>
          <w:rtl/>
          <w:lang w:bidi="ar-JO"/>
          <w14:ligatures w14:val="none"/>
        </w:rPr>
        <w:tab/>
      </w:r>
      <w:r w:rsidRPr="005B3275">
        <w:rPr>
          <w:rFonts w:eastAsia="Times New Roman"/>
          <w:kern w:val="0"/>
          <w:rtl/>
          <w14:ligatures w14:val="none"/>
        </w:rPr>
        <w:tab/>
      </w:r>
      <w:r w:rsidRPr="005B3275">
        <w:rPr>
          <w:rFonts w:eastAsia="Times New Roman"/>
          <w:kern w:val="0"/>
          <w:rtl/>
          <w14:ligatures w14:val="none"/>
        </w:rPr>
        <w:tab/>
      </w:r>
      <w:r w:rsidRPr="005B3275">
        <w:rPr>
          <w:rFonts w:eastAsia="Times New Roman"/>
          <w:kern w:val="0"/>
          <w:rtl/>
          <w:lang w:bidi="ar-JO"/>
          <w14:ligatures w14:val="none"/>
        </w:rPr>
        <w:t>الأبواق</w:t>
      </w:r>
    </w:p>
    <w:p w14:paraId="271DF860"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5B3275">
        <w:rPr>
          <w:rFonts w:eastAsia="Times New Roman"/>
          <w:kern w:val="0"/>
          <w:rtl/>
          <w:lang w:bidi="ar-JO"/>
          <w14:ligatures w14:val="none"/>
        </w:rPr>
        <w:t>الفطير (الخبز غير المختمر)</w:t>
      </w:r>
      <w:r w:rsidRPr="005B3275">
        <w:rPr>
          <w:rFonts w:eastAsia="Times New Roman"/>
          <w:kern w:val="0"/>
          <w:rtl/>
          <w:lang w:bidi="ar-JO"/>
          <w14:ligatures w14:val="none"/>
        </w:rPr>
        <w:tab/>
      </w:r>
      <w:r w:rsidRPr="005B3275">
        <w:rPr>
          <w:rFonts w:eastAsia="Times New Roman"/>
          <w:kern w:val="0"/>
          <w:rtl/>
          <w:lang w:bidi="ar-JO"/>
          <w14:ligatures w14:val="none"/>
        </w:rPr>
        <w:tab/>
        <w:t>يوم الكفّارة</w:t>
      </w:r>
    </w:p>
    <w:p w14:paraId="43CE3146" w14:textId="5D28B97F"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5B3275">
        <w:rPr>
          <w:rFonts w:eastAsia="Times New Roman"/>
          <w:kern w:val="0"/>
          <w:rtl/>
          <w:lang w:bidi="ar-JO"/>
          <w14:ligatures w14:val="none"/>
        </w:rPr>
        <w:t xml:space="preserve">الباكورة </w:t>
      </w:r>
      <w:r w:rsidRPr="005B3275">
        <w:rPr>
          <w:rFonts w:eastAsia="Times New Roman"/>
          <w:kern w:val="0"/>
          <w:rtl/>
          <w:lang w:bidi="ar-JO"/>
          <w14:ligatures w14:val="none"/>
        </w:rPr>
        <w:tab/>
      </w:r>
      <w:r w:rsidRPr="005B3275">
        <w:rPr>
          <w:rFonts w:eastAsia="Times New Roman"/>
          <w:kern w:val="0"/>
          <w:rtl/>
          <w:lang w:bidi="ar-JO"/>
          <w14:ligatures w14:val="none"/>
        </w:rPr>
        <w:tab/>
      </w:r>
      <w:r w:rsidRPr="005B3275">
        <w:rPr>
          <w:rFonts w:eastAsia="Times New Roman"/>
          <w:kern w:val="0"/>
          <w:rtl/>
          <w:lang w:bidi="ar-JO"/>
          <w14:ligatures w14:val="none"/>
        </w:rPr>
        <w:tab/>
      </w:r>
      <w:r w:rsidRPr="005B3275">
        <w:rPr>
          <w:rFonts w:eastAsia="Times New Roman"/>
          <w:kern w:val="0"/>
          <w:rtl/>
          <w:lang w:bidi="ar-JO"/>
          <w14:ligatures w14:val="none"/>
        </w:rPr>
        <w:tab/>
      </w:r>
      <w:r w:rsidRPr="005B3275">
        <w:rPr>
          <w:rFonts w:eastAsia="Times New Roman"/>
          <w:kern w:val="0"/>
          <w:rtl/>
          <w:lang w:bidi="ar-JO"/>
          <w14:ligatures w14:val="none"/>
        </w:rPr>
        <w:tab/>
        <w:t>المظال</w:t>
      </w:r>
      <w:r w:rsidR="00B3744F" w:rsidRPr="005B3275">
        <w:rPr>
          <w:rFonts w:eastAsia="Times New Roman"/>
          <w:kern w:val="0"/>
          <w:rtl/>
          <w:lang w:bidi="ar-JO"/>
          <w14:ligatures w14:val="none"/>
        </w:rPr>
        <w:t>ّ</w:t>
      </w:r>
      <w:r w:rsidRPr="005B3275">
        <w:rPr>
          <w:rFonts w:eastAsia="Times New Roman"/>
          <w:kern w:val="0"/>
          <w:vertAlign w:val="superscript"/>
          <w:rtl/>
          <w:lang w:bidi="ar-JO"/>
          <w14:ligatures w14:val="none"/>
        </w:rPr>
        <w:t>*</w:t>
      </w:r>
    </w:p>
    <w:p w14:paraId="58451F53"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5B3275">
        <w:rPr>
          <w:rFonts w:eastAsia="Times New Roman"/>
          <w:kern w:val="0"/>
          <w:rtl/>
          <w:lang w:bidi="ar-JO"/>
          <w14:ligatures w14:val="none"/>
        </w:rPr>
        <w:t>الأسابيع</w:t>
      </w:r>
      <w:r w:rsidRPr="005B3275">
        <w:rPr>
          <w:rFonts w:eastAsia="Times New Roman"/>
          <w:kern w:val="0"/>
          <w:vertAlign w:val="superscript"/>
          <w:rtl/>
          <w:lang w:bidi="ar-JO"/>
          <w14:ligatures w14:val="none"/>
        </w:rPr>
        <w:t>*</w:t>
      </w:r>
      <w:r w:rsidRPr="005B3275">
        <w:rPr>
          <w:rFonts w:eastAsia="Times New Roman"/>
          <w:kern w:val="0"/>
          <w:rtl/>
          <w:lang w:bidi="ar-JO"/>
          <w14:ligatures w14:val="none"/>
        </w:rPr>
        <w:t xml:space="preserve"> (الخمسين)</w:t>
      </w:r>
    </w:p>
    <w:p w14:paraId="6ECF8545"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2A38AB44"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 xml:space="preserve">كان على </w:t>
      </w:r>
      <w:r w:rsidRPr="005B3275">
        <w:rPr>
          <w:rFonts w:eastAsia="Times New Roman"/>
          <w:kern w:val="0"/>
          <w:rtl/>
          <w14:ligatures w14:val="none"/>
        </w:rPr>
        <w:t xml:space="preserve">كل </w:t>
      </w:r>
      <w:r w:rsidRPr="005B3275">
        <w:rPr>
          <w:rFonts w:eastAsia="Times New Roman"/>
          <w:kern w:val="0"/>
          <w:rtl/>
          <w:lang w:bidi="ar-JO"/>
          <w14:ligatures w14:val="none"/>
        </w:rPr>
        <w:t xml:space="preserve">ذكر عبراني أن يكون حاضراً في أورشليم للمشاركة في الاحتفالات في ثلاثة من هذه الأعياد (انظر العلامات المنجَّمة).  ويفسّر لنا هذا ظهور يسوع المسيح في أورشليم في مناسبات عديدة.  وقد بُني التقويم السنوي العبري على نظامين: كان التقويم المدني يبدأ بشهر تشرين (أيلول- تشرين الأول)، في حين كان التقويم الديني يبدأ بشهر نيسان </w:t>
      </w:r>
      <w:r w:rsidRPr="005B3275">
        <w:rPr>
          <w:rFonts w:eastAsia="Times New Roman"/>
          <w:kern w:val="0"/>
          <w14:ligatures w14:val="none"/>
        </w:rPr>
        <w:t>Nisan</w:t>
      </w:r>
      <w:r w:rsidRPr="005B3275">
        <w:rPr>
          <w:rFonts w:eastAsia="Times New Roman"/>
          <w:kern w:val="0"/>
          <w:rtl/>
          <w:lang w:bidi="ar-JO"/>
          <w14:ligatures w14:val="none"/>
        </w:rPr>
        <w:t xml:space="preserve"> (آذار-</w:t>
      </w:r>
      <w:r w:rsidRPr="005B3275">
        <w:rPr>
          <w:rFonts w:eastAsia="Times New Roman"/>
          <w:kern w:val="0"/>
          <w:rtl/>
          <w14:ligatures w14:val="none"/>
        </w:rPr>
        <w:t xml:space="preserve"> </w:t>
      </w:r>
      <w:r w:rsidRPr="005B3275">
        <w:rPr>
          <w:rFonts w:eastAsia="Times New Roman"/>
          <w:kern w:val="0"/>
          <w:rtl/>
          <w:lang w:bidi="ar-JO"/>
          <w14:ligatures w14:val="none"/>
        </w:rPr>
        <w:t>نيسان) باحتفال عيد الفصح.</w:t>
      </w:r>
    </w:p>
    <w:p w14:paraId="5B0F2BA4" w14:textId="77777777" w:rsidR="00BF07C2"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سيتم ذكر أهمية كل عيد للعبراني وكذلك أهميته النبوية عند مناقشة كل عيد؛ وككل تُشكل الأعياد توقع نبوي لتعامل الله مع إسرائيل لكل عبراني بالإضافة إلى دلالته النبوية.</w:t>
      </w:r>
      <w:r w:rsidRPr="005B3275">
        <w:rPr>
          <w:rFonts w:eastAsia="Times New Roman"/>
          <w:kern w:val="0"/>
          <w:vertAlign w:val="superscript"/>
          <w:rtl/>
          <w:lang w:bidi="ar-JO"/>
          <w14:ligatures w14:val="none"/>
        </w:rPr>
        <w:footnoteReference w:id="95"/>
      </w:r>
    </w:p>
    <w:p w14:paraId="29625741" w14:textId="77777777" w:rsidR="00243985" w:rsidRPr="005B3275" w:rsidRDefault="00243985"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700A078B" w14:textId="77777777" w:rsidR="00BF07C2" w:rsidRPr="005B3275" w:rsidRDefault="00BF07C2"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أ.</w:t>
      </w:r>
      <w:r w:rsidRPr="005B3275">
        <w:rPr>
          <w:rFonts w:eastAsia="Times New Roman"/>
          <w:bCs/>
          <w:kern w:val="0"/>
          <w:rtl/>
          <w14:ligatures w14:val="none"/>
        </w:rPr>
        <w:tab/>
        <w:t>السبت</w:t>
      </w:r>
      <w:r w:rsidRPr="005B3275">
        <w:rPr>
          <w:rFonts w:eastAsia="Times New Roman"/>
          <w:bCs/>
          <w:kern w:val="0"/>
          <w:vertAlign w:val="superscript"/>
          <w:rtl/>
          <w14:ligatures w14:val="none"/>
        </w:rPr>
        <w:footnoteReference w:id="96"/>
      </w:r>
    </w:p>
    <w:p w14:paraId="4BD05EF3"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لم يكن السبت احتفالاً سنوياً، لكنه شكّل أساساً للحياة الدينية في إسرائيل.  إذ كان أقدم كل الأيام المقدَّسة حيث إنه ارتبط برواية الخليقة.  وفي سيناء جُعل السبت علامة على العهد الموسوي يمكن للعبرانيين بموجبها أن يشهدوا أنهم "أهل العهد" مع الإله الحقيقي للخليقة.</w:t>
      </w:r>
    </w:p>
    <w:p w14:paraId="13D76912"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9E69461"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تمثّلت الفكرة الرئيسية للسبت في تذكُّر "راحة" الله بعد الخليقة.</w:t>
      </w:r>
      <w:r w:rsidRPr="005B3275">
        <w:rPr>
          <w:rFonts w:eastAsia="Times New Roman"/>
          <w:kern w:val="0"/>
          <w:vertAlign w:val="superscript"/>
          <w:rtl/>
          <w14:ligatures w14:val="none"/>
        </w:rPr>
        <w:footnoteReference w:id="97"/>
      </w:r>
      <w:r w:rsidRPr="005B3275">
        <w:rPr>
          <w:rFonts w:eastAsia="Times New Roman"/>
          <w:kern w:val="0"/>
          <w:rtl/>
          <w:lang w:bidi="ar-JO"/>
          <w14:ligatures w14:val="none"/>
        </w:rPr>
        <w:t xml:space="preserve">  كان السبتُ شهادة للعالم من خلال هذا الاحتفال التذكاري الخاص عن عمل فدائه المكتمل لأمّة إسرائيل."  وهكذا ذكّر السبت الشعب بتحريرهم من مصر.  ولا يعني هذا أن الله كان متعباً</w:t>
      </w:r>
      <w:r w:rsidRPr="005B3275">
        <w:rPr>
          <w:rFonts w:eastAsia="Times New Roman"/>
          <w:kern w:val="0"/>
          <w:rtl/>
          <w14:ligatures w14:val="none"/>
        </w:rPr>
        <w:t>،</w:t>
      </w:r>
      <w:r w:rsidRPr="005B3275">
        <w:rPr>
          <w:rFonts w:eastAsia="Times New Roman"/>
          <w:kern w:val="0"/>
          <w:rtl/>
          <w:lang w:bidi="ar-JO"/>
          <w14:ligatures w14:val="none"/>
        </w:rPr>
        <w:t xml:space="preserve"> لكنه يعني أنه أعطى فرصة لاحتفال سماوي باكتمال الخليقة.  وهكذا يرتبط السبت بفكرة "الراحة"، ولا يجب أن تغيب هذه الفكرة عن بالنا.  لقد وضع الله نموذجاً: كان كل أسبوع يختتم بسبت، بيوم "راحة</w:t>
      </w:r>
      <w:r w:rsidRPr="005B3275">
        <w:rPr>
          <w:rFonts w:eastAsia="Times New Roman"/>
          <w:kern w:val="0"/>
          <w:rtl/>
          <w14:ligatures w14:val="none"/>
        </w:rPr>
        <w:t>.</w:t>
      </w:r>
      <w:r w:rsidRPr="005B3275">
        <w:rPr>
          <w:rFonts w:eastAsia="Times New Roman"/>
          <w:kern w:val="0"/>
          <w:rtl/>
          <w:lang w:bidi="ar-JO"/>
          <w14:ligatures w14:val="none"/>
        </w:rPr>
        <w:t>"  وبعد كل ست سنوات كان لا بد أن تأخذ الأرض سنة "راحة</w:t>
      </w:r>
      <w:r w:rsidRPr="005B3275">
        <w:rPr>
          <w:rFonts w:eastAsia="Times New Roman"/>
          <w:kern w:val="0"/>
          <w:rtl/>
          <w14:ligatures w14:val="none"/>
        </w:rPr>
        <w:t>،</w:t>
      </w:r>
      <w:r w:rsidRPr="005B3275">
        <w:rPr>
          <w:rFonts w:eastAsia="Times New Roman"/>
          <w:kern w:val="0"/>
          <w:rtl/>
          <w:lang w:bidi="ar-JO"/>
          <w14:ligatures w14:val="none"/>
        </w:rPr>
        <w:t xml:space="preserve">" وبعد كل 49 سنة (7 </w:t>
      </w:r>
      <w:r w:rsidRPr="005B3275">
        <w:rPr>
          <w:rFonts w:eastAsia="Times New Roman"/>
          <w:kern w:val="0"/>
          <w14:ligatures w14:val="none"/>
        </w:rPr>
        <w:t>x</w:t>
      </w:r>
      <w:r w:rsidRPr="005B3275">
        <w:rPr>
          <w:rFonts w:eastAsia="Times New Roman"/>
          <w:kern w:val="0"/>
          <w:rtl/>
          <w:lang w:bidi="ar-JO"/>
          <w14:ligatures w14:val="none"/>
        </w:rPr>
        <w:t xml:space="preserve"> 7)، كانت تأتي سنة يوبيل خاصة (لاويين25).  وعندما ذهب بنو إسرائيل إلى السبي البابلي، أبعدهم الله عن "الأرض" مدة سبعين سنة لأنهم لم يراعوا السنة السبتية مدة 490 سنة.  وبما أنهم فوّتوا السنة السبتية سبعين مرّة، أراح الله الأرض سبعين سنة أثناء وجودهم في السبي (انظر 2 أخبار 36: 19-21). </w:t>
      </w:r>
    </w:p>
    <w:p w14:paraId="2DD739F6"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34D75B59"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 xml:space="preserve">كان كل نوع من السبت إنباءً بفترةِ "راحة".  ولدى دراستنا تاريخ إسرائيل، فأننا نلاحظ أنهم لم يحصلوا قط على "الراحة" في الأرض.  فقد فشل جيل البريّة في الدخول إلى راحة الله (مزمور 95: 11).  ولم يحصل جيل الغزو على "الراحة" (على الرغم من دخولهم الأرض)، لأنهم لم يقوموا بالقضاء على الكنعانيين بسبب قلّة إيمانهم.  وقد أصبح الحصول على "راحة" الله موضوعاً مهيمناً على الأصحاح الرابع من الرسالة إلى العبرانيين.  هنالك وعد بالدخول إلى "راحة" الله، ويجب أن نجتهد للدخول إليها (عبرانيين 4: 9-11).  أمّا العصيان فسينتج عنه فقد "راحة" الله، كما حصل مع بني إسرائيل قديماً (فالمسألة مسألة ميراث ومكافآت).   </w:t>
      </w:r>
    </w:p>
    <w:p w14:paraId="44D83C06"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وهكذا يتطلع السبت إلى "راحة" الله المستقبلية، والتي تتساوى مع تأسيس الملكوت، حين ننتهي من أعمالنا وتعبنا.  ستبدأ راحة المستقبل الموعودة بتأسيس الملكوت الألفي تحت حكم يسوع المسيح.  وسيكون اشتراكنا في تلك الراحة متوافقاً مع احتمالنا الصبور في حياة الإيمان هنا مع يسوع المسيح.  وهذا هو موضوع الرسالة إلى العبرانيين: "لأنكم تحتاجون إلى الصبر، حتى إذا صنعتم مشيئة الله تنالون الموعد" (عبرانيين 10: 36).  سيُكافَأ احتمالنا الصبور بتلقّي الوعود والحكم مع المسيح في ملكوته.</w:t>
      </w:r>
    </w:p>
    <w:p w14:paraId="36839217"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0884303" w14:textId="77777777" w:rsidR="00BF07C2" w:rsidRPr="005B3275" w:rsidRDefault="00BF07C2"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ب.</w:t>
      </w:r>
      <w:r w:rsidRPr="005B3275">
        <w:rPr>
          <w:rFonts w:eastAsia="Times New Roman"/>
          <w:bCs/>
          <w:kern w:val="0"/>
          <w:rtl/>
          <w14:ligatures w14:val="none"/>
        </w:rPr>
        <w:tab/>
        <w:t>الفصح (لاويين 23: 4-8؛ خروج 12)</w:t>
      </w:r>
    </w:p>
    <w:p w14:paraId="367FAEF2"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 xml:space="preserve">يمكن أن تجد التفاصيل المتعلقة بالفصح في الملاحظات حول سفر الخروج.  لكن يمكن القول إن احتفال الفصح كان احتفالاً بالتحرير من عبودية مصر ودينونة ملاك الموت، وذلك بالاتكال على دم الحمل.  كانت هذه هي بداية الشهور </w:t>
      </w:r>
      <w:r w:rsidRPr="005B3275">
        <w:rPr>
          <w:rFonts w:eastAsia="Times New Roman"/>
          <w:kern w:val="0"/>
          <w:rtl/>
          <w:lang w:bidi="ar-JO"/>
          <w14:ligatures w14:val="none"/>
        </w:rPr>
        <w:lastRenderedPageBreak/>
        <w:t>بالنسبة لبني إسرائيل، إذ جعل اشتراكهم في حدث الفصح "شعباً مفدياً</w:t>
      </w:r>
      <w:r w:rsidRPr="005B3275">
        <w:rPr>
          <w:rFonts w:eastAsia="Times New Roman"/>
          <w:kern w:val="0"/>
          <w:rtl/>
          <w14:ligatures w14:val="none"/>
        </w:rPr>
        <w:t>.</w:t>
      </w:r>
      <w:r w:rsidRPr="005B3275">
        <w:rPr>
          <w:rFonts w:eastAsia="Times New Roman"/>
          <w:kern w:val="0"/>
          <w:rtl/>
          <w:lang w:bidi="ar-JO"/>
          <w14:ligatures w14:val="none"/>
        </w:rPr>
        <w:t>"  ومن الواضح أن التحقيق الكامل لهذا يكون في المسيح (انظر اكورنثوس 5: 7)، حمل الله الذي يحررنا من عبودية الخطية بدمه.</w:t>
      </w:r>
    </w:p>
    <w:p w14:paraId="5B674045"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3198669" w14:textId="77777777" w:rsidR="00BF07C2" w:rsidRPr="005B3275" w:rsidRDefault="00BF07C2"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جـ.</w:t>
      </w:r>
      <w:r w:rsidRPr="005B3275">
        <w:rPr>
          <w:rFonts w:eastAsia="Times New Roman"/>
          <w:bCs/>
          <w:kern w:val="0"/>
          <w:rtl/>
          <w14:ligatures w14:val="none"/>
        </w:rPr>
        <w:tab/>
        <w:t>عيد الفطير</w:t>
      </w:r>
    </w:p>
    <w:p w14:paraId="254640D7"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امتدّ هذا العيد سبعة أيّام بدءاً بالفصح.  وقد كان يتوجَّب على كل واحد من بني إسرائيل أن يتخلص من الخميرة الموجودة في بيته في هذه الفترة.  وترمز إزالة الخميرة إلى إزالة المكر والخبث والشر والإثم (1كورنثوس 5: 7).  بعد عيد الفصح مباشرة، كانت الخميرة تُزال.  وبنفس الطريقة فأن على المؤمن بالمسيح أن يطهّر حياته من خميرة الخطية.  يجب أن ينفصل عن أسلوب حياته القديم.</w:t>
      </w:r>
    </w:p>
    <w:p w14:paraId="133231A7"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7A79A54" w14:textId="77777777" w:rsidR="00BF07C2" w:rsidRPr="005B3275" w:rsidRDefault="00BF07C2"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د.</w:t>
      </w:r>
      <w:r w:rsidRPr="005B3275">
        <w:rPr>
          <w:rFonts w:eastAsia="Times New Roman"/>
          <w:bCs/>
          <w:kern w:val="0"/>
          <w:rtl/>
          <w14:ligatures w14:val="none"/>
        </w:rPr>
        <w:tab/>
        <w:t>عيد الباكورة (لاويين 23: 9-14)</w:t>
      </w:r>
    </w:p>
    <w:p w14:paraId="43D84702"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كان يحتفل بعيد الباكورة (باكورة الثمار) أثناء فترة الأيام السبعة من عيد الفطير بعد الفصح.  وبما أن هذا كان وقت حصاد الشعير، كانت تؤخذ حزمة من الشعير لتقدَّم للرب كأوّل ثمار الحصاد.  فكانت هذه تقدمة شكر للرب على الخيرات، وتوقعاً للبركات الآتية من خلال كل حصاد آخر (الحنطة في عيد الخمسين والثمار/الزيتون في الخريف عند عيد الجمع، أي المظال).</w:t>
      </w:r>
    </w:p>
    <w:p w14:paraId="5B28DDEF"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نجد تطبيق هذا العيد في 1 كورنثوس 15: 20 حيث يقول بولس إن المسيح هو الباكورة من الأموات.  ومن الواضح أن هذا العيد يجد معناه الأسمى في قيامة المسيح، الذي قام في اليوم التالي للسبت بعد الفصح، أي اليوم الأول من الأسبوع.  وكانت النسوة اللواتي ركضن إلى القبر في اليوم الأول الذي يحتفل فيه اليهود بالبواكير.  ولقد قام المسيح كنوع من باكورة الثمار لله، كضمانٍ وإنباءٍ للحصاد الأعظم الآتي (لأننا سنقام نحن أيضاً).</w:t>
      </w:r>
    </w:p>
    <w:p w14:paraId="49D6FB3B"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770E55E" w14:textId="77777777" w:rsidR="00BF07C2" w:rsidRPr="005B3275" w:rsidRDefault="00BF07C2"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هـ.</w:t>
      </w:r>
      <w:r w:rsidRPr="005B3275">
        <w:rPr>
          <w:rFonts w:eastAsia="Times New Roman"/>
          <w:bCs/>
          <w:kern w:val="0"/>
          <w:rtl/>
          <w14:ligatures w14:val="none"/>
        </w:rPr>
        <w:tab/>
        <w:t>عيد الأسابيع (لاويين 23: 15-22)</w:t>
      </w:r>
    </w:p>
    <w:p w14:paraId="211C264F"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يُعرف هذا العيد باسم "شافعوت" عند اليهود، ويحتفل يه بعد خمسين يوماً من عيد الباكورة (ومن هنا جاءت تسمية الخمسين).  يجب أن يُنظر إلى عيد الأسابيع أو الخمسين كجزء من وحدة واحدة مع الأعياد الثلاثة المذكورة سابقاً؛ و</w:t>
      </w:r>
      <w:r w:rsidRPr="005B3275">
        <w:rPr>
          <w:rFonts w:eastAsia="Times New Roman"/>
          <w:kern w:val="0"/>
          <w:rtl/>
          <w14:ligatures w14:val="none"/>
        </w:rPr>
        <w:t xml:space="preserve">حتى أدب معلمي اليهود (الراباي) اعتبر </w:t>
      </w:r>
      <w:r w:rsidRPr="005B3275">
        <w:rPr>
          <w:rFonts w:eastAsia="Times New Roman"/>
          <w:kern w:val="0"/>
          <w:rtl/>
          <w:lang w:bidi="ar-JO"/>
          <w14:ligatures w14:val="none"/>
        </w:rPr>
        <w:t>عيد الأسابيع كمرحلة خاتمة للفصح (</w:t>
      </w:r>
      <w:r w:rsidRPr="005B3275">
        <w:rPr>
          <w:rFonts w:eastAsia="Times New Roman"/>
          <w:i/>
          <w:iCs/>
          <w:kern w:val="0"/>
          <w14:ligatures w14:val="none"/>
        </w:rPr>
        <w:t>Pesikta</w:t>
      </w:r>
      <w:r w:rsidRPr="005B3275">
        <w:rPr>
          <w:rFonts w:eastAsia="Times New Roman"/>
          <w:kern w:val="0"/>
          <w14:ligatures w14:val="none"/>
        </w:rPr>
        <w:t xml:space="preserve"> 30: 163</w:t>
      </w:r>
      <w:r w:rsidRPr="005B3275">
        <w:rPr>
          <w:rFonts w:eastAsia="Times New Roman"/>
          <w:kern w:val="0"/>
          <w:rtl/>
          <w:lang w:bidi="ar-JO"/>
          <w14:ligatures w14:val="none"/>
        </w:rPr>
        <w:t>).  وتؤيد ذلك حقيقة أنه لم يكن لعيد الأسابيع تاريخ محدد في حد ذاته (كما هو الحال بالنسبة لأي عيد مستقل)، لكنه كان مرتبط</w:t>
      </w:r>
      <w:r w:rsidRPr="005B3275">
        <w:rPr>
          <w:rFonts w:eastAsia="Times New Roman"/>
          <w:kern w:val="0"/>
          <w:rtl/>
          <w14:ligatures w14:val="none"/>
        </w:rPr>
        <w:t>اً</w:t>
      </w:r>
      <w:r w:rsidRPr="005B3275">
        <w:rPr>
          <w:rFonts w:eastAsia="Times New Roman"/>
          <w:kern w:val="0"/>
          <w:rtl/>
          <w:lang w:bidi="ar-JO"/>
          <w14:ligatures w14:val="none"/>
        </w:rPr>
        <w:t xml:space="preserve"> زمنياً بالأعياد السابقة.  يرتبط عيد الأسابيع ارتباطاً وثيقاً بالجانب الزراعي للأرض.  في عيد الباكورة كان حصاد الشعير جاهزاً، وقبل عيد الأسابيع، أي الخمسين، كان آخر حصاد الحبوب جاهزاً، أي حصاد الحنطة.  وهكذا كان عيد الأسابيع يركِّز على ذروة حصاد الحبوب.  وهذا كلّه مرتبط ببركة عهد الله الذي يعد بحصاد وفير.  وهكذا فإن الشعب يبتهج ويشكر الله على أن البركة التي بدأت في الباكورة تُختتم في عيد الأسابيع.  ولقد كان هذا بالفعل وقت ابتهاج بهذه البركة (انظر تثنية </w:t>
      </w:r>
      <w:r w:rsidRPr="005B3275">
        <w:rPr>
          <w:rFonts w:eastAsia="Times New Roman"/>
          <w:kern w:val="0"/>
          <w:rtl/>
          <w:lang w:bidi="ar-JO"/>
          <w14:ligatures w14:val="none"/>
        </w:rPr>
        <w:lastRenderedPageBreak/>
        <w:t>16: 9-12).  كان حصاد الشعير (في الباكورة) توقّعاً للبركة الأكمل لحصاد الحبوب الذي سيُجمع في عيد الأسابيع.  ولم يكن من قبيل المصادفة أن يختار الله هذه المناسبة لإرسال الروح القدس (انظر أعمال 2)، لأن إعطاء الروح كان البركة الأكمل النابعة من قيامة المسيح (المرموز لها بالباكورة).</w:t>
      </w:r>
    </w:p>
    <w:p w14:paraId="4FF67266"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 xml:space="preserve">كان على بني إسرائيل أن يحضروا في هذه المناسبة رغيفي العُشرين اللذين كانا يُخبزان من محصول الحنطة الجديد.  ويقول أنجر إن هذا كان إنباءً في ذهن الله بأن اليهود والأمميين سيؤتى بهم معاً لكي يتمتعوا بخدمة الروح القدس: </w:t>
      </w:r>
    </w:p>
    <w:p w14:paraId="3C8F9AC2"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رغيفا العُشرين (رغيف، وليس حزمة من حبوب منفصلة) المخبوزان بخميرة يُنبئان بخدمةِ الروح القدس في تعميده لليهود (أعمال 2) والأمم (أعمال 10) في وحدة واحدة أحدهما مع الآخر في الرب المقام (1كورنثوس 12: 12-13).  وقد صار هذا ممكناً بمجيء الروح القدس في يوم الخمسين (أعمال 2: 1-4؛ يوحنا 14: 20؛ 16: 12-13).  وقد خُبز الرغيف بخميرة لأن الشر يبرز على نحو غير متوقَّع في الكنيسة، لأنها لم تمجَّد بعد."</w:t>
      </w:r>
      <w:r w:rsidRPr="005B3275">
        <w:rPr>
          <w:rFonts w:eastAsia="Times New Roman"/>
          <w:kern w:val="0"/>
          <w:vertAlign w:val="superscript"/>
          <w:rtl/>
          <w:lang w:bidi="ar-JO"/>
          <w14:ligatures w14:val="none"/>
        </w:rPr>
        <w:footnoteReference w:id="98"/>
      </w:r>
    </w:p>
    <w:p w14:paraId="6C30C6F0"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64CC373" w14:textId="77777777" w:rsidR="00BF07C2" w:rsidRPr="005B3275" w:rsidRDefault="00BF07C2"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و.</w:t>
      </w:r>
      <w:r w:rsidRPr="005B3275">
        <w:rPr>
          <w:rFonts w:eastAsia="Times New Roman"/>
          <w:bCs/>
          <w:kern w:val="0"/>
          <w:rtl/>
          <w14:ligatures w14:val="none"/>
        </w:rPr>
        <w:tab/>
        <w:t>الأبواق (لاويين 23: 23-25؛ عدد21: 1-16)</w:t>
      </w:r>
    </w:p>
    <w:p w14:paraId="69F2D9BB"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بعد الأعياد الأربعة في الربيع، كانت هنالك فترة طويلة من الصمت قبل حلول الأعياد الأخيرة الثلاثة. ففي حين تجد المجموعة الأولى من الأعياد في الربيع دلالتها الأسمى في ما يتعلق بالمجيء الأول للمسيح، فإن المجموعة التالية من الأعياد مرتبطة بالمجيء الثاني للمسيح.  وطبعاً كانت لكل هذه الأعياد دلالة للعبراني العادي دون ارتباطها بهذا البعد.  وتوازي فترة الصمت بين مجموعتي الأعياد بطريقة ما عصر الكنيسة الحالي، الذي كان لولا هذا التوازي، سرّاً لم يتم التنبؤ به في العهد القديم.  وإن وقوع الأعياد الثلاثة الأخيرة كلّها في الشهر السابع ليس أمراً من دون دلالة أيضاً، لأنها تتطلع إلى إكمال البرنامج الإلهي للأرض الحالية.</w:t>
      </w:r>
    </w:p>
    <w:p w14:paraId="2497DBAA"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كان أول الأعياد الثلاثة عيد الأبواق، وهو يقع في اليوم الأول من الشهر السابع.  كان هذا ثاني أقدس يوم في التقويم الديني اليهودي، ويشير إليه اليهود باسم روش هاشانا (بعد الرجوع من السبي البابلي إلى فلسطين).  وتميّز هذا العيد بطقس هو نفخ ألـ "شوفار"، فيستجيب الشعب له بالتجمع لسماع كلمة الله... قراءة الشريعة (نحميا 8: 8).  وكان عيد الأبواق يهدف إلى تنبيه الشعب إلى وقت التوبة والغفران والرد.  يقول أبراهام بلوتش، وهو باحث يهودي:</w:t>
      </w:r>
    </w:p>
    <w:p w14:paraId="70D2BE7B"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B3275">
        <w:rPr>
          <w:rFonts w:eastAsia="Times New Roman"/>
          <w:kern w:val="0"/>
          <w:rtl/>
          <w:lang w:bidi="ar-JO"/>
          <w14:ligatures w14:val="none"/>
        </w:rPr>
        <w:t>للتقليد الرّاباني الذي أعلن روش هاشانا يوم دينونة أصله في النص الكتابي وفي التحذيرات والنداءات التي أطلقها الأنبياء وكُتَّاب المزامير.  كان طقس الشوفر (الأبواق) إشارة مُعلنةً أخرى إلى الجانب الدينوني من اليوم المقدَّس... وقد قدّم روش "هاشانا" فرصة لترتيب حياة المرء الدينية بتحريره من الخطية والتعدّيات.</w:t>
      </w:r>
      <w:r w:rsidRPr="005B3275">
        <w:rPr>
          <w:rFonts w:eastAsia="Times New Roman"/>
          <w:kern w:val="0"/>
          <w:vertAlign w:val="superscript"/>
          <w:rtl/>
          <w:lang w:bidi="ar-JO"/>
          <w14:ligatures w14:val="none"/>
        </w:rPr>
        <w:footnoteReference w:id="99"/>
      </w:r>
    </w:p>
    <w:p w14:paraId="5FE25796"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09470CB5"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lastRenderedPageBreak/>
        <w:t>تمثلت أهمية ذلك الاحتفال بالنسبة للعبراني في دعوة الشعب إلى الاستماع إلى للرب، وإلى تحضير قلبه للتوبة في ضوء الجانب الدينوني.  وتوجد دلالة أسمى لهذا اليوم تُرى في ارتباطه بيوم الكفّارة الذي يليه بوقت قصير.  فكان عيد الأبواق يوماً يستعد فيه الشعب استعداداً خاصّاً ليوم الكفّارة (يوم كبّور) عندما يكفَّر عن خطايا الأمة.  ولكلا العيدين تحقيق أخروي (لنلاحظ أن هذين العيدين يأتيان في نهاية السنة الزراعية، وهما بهذا يقدمان تصوراً لحصاد للدينونة).  ويبدو من الجانب الأخروي أن عيد الأبواق دعوة لأمّة العبرانيين لكي تستعد ليوم الكفّارة الأخير.  ولقد لاحظ روس أن الأنبياء والرسل على حد سواء استخدموا دعوة البوق من أجل الإعلان عن الأزمنة الأخيرة عندما يأتي المسيح لكي يدين الأشرار ويؤسس حكمه (انظر إشعياء 58: 1 و27: 13)</w:t>
      </w:r>
      <w:r w:rsidRPr="005B3275">
        <w:rPr>
          <w:rFonts w:eastAsia="Times New Roman"/>
          <w:kern w:val="0"/>
          <w:rtl/>
          <w14:ligatures w14:val="none"/>
        </w:rPr>
        <w:t>.</w:t>
      </w:r>
      <w:r w:rsidRPr="005B3275">
        <w:rPr>
          <w:rFonts w:eastAsia="Times New Roman"/>
          <w:kern w:val="0"/>
          <w:vertAlign w:val="superscript"/>
          <w:rtl/>
          <w14:ligatures w14:val="none"/>
        </w:rPr>
        <w:footnoteReference w:id="100"/>
      </w:r>
      <w:r w:rsidRPr="005B3275">
        <w:rPr>
          <w:rFonts w:eastAsia="Times New Roman"/>
          <w:kern w:val="0"/>
          <w:rtl/>
          <w:lang w:bidi="ar-JO"/>
          <w14:ligatures w14:val="none"/>
        </w:rPr>
        <w:t xml:space="preserve">  كانت في الاحتفال بالأعياد الأصلية عشرة أيام للتوبة بين عيد الأبواق ويوم الكفّارة.  وبنفس الطريقة ستكون هنالك فترة تسبق عودة المسيح لكي يتوب الشعب اليهودي ويعودوا إلى المسيح بالإيمان.  ويبدو أن هذا يتطلع إلى فترة الضيقة العظمى المذكورة في سفر الرؤيا ومواضع أخرى.  نحن نعلم من مقاطع أخرى من الكتاب المقدس أنه سيكون كثيرين من اليهود (ولكن ليس جميعهم) يلجأون إلى الإيمان بيسوع المسيح في ذلك الوقت (زكريا 12: 10؛ رومية 11: 25-27).</w:t>
      </w:r>
    </w:p>
    <w:p w14:paraId="05BF2EDC"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2755CC1" w14:textId="77777777" w:rsidR="00BF07C2" w:rsidRPr="005B3275" w:rsidRDefault="00BF07C2"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ز.</w:t>
      </w:r>
      <w:r w:rsidRPr="005B3275">
        <w:rPr>
          <w:rFonts w:eastAsia="Times New Roman"/>
          <w:bCs/>
          <w:kern w:val="0"/>
          <w:rtl/>
          <w14:ligatures w14:val="none"/>
        </w:rPr>
        <w:tab/>
        <w:t>يوم الكفّارة (لاويين 23: 26-32؛ لاويين 16؛ عدد 27: 7-11)</w:t>
      </w:r>
    </w:p>
    <w:p w14:paraId="3B741FBF"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لحديث أوفى عن هذا اليوم، ارجع إلى الدرس السابق حول لاويين 16.  لكن يمكن القول باختصار إن يوم الكفّارة (أو يوم كبّور) كان يوم تواضع عندما كان يكفَّر عن خطايا إسرائيل، وتطهَّر لكي تبدأ سنة أخرى.  ومن الناحية الأخروية سيكون هنالك يوم كفّارة مستقبلي عندما "يخلص كل إسرائيل" في زمن مجيء المسيح ثانية (رو 11: 26). [هذا لا يعني خلاص كل شخص يهودي، ولكن الأمة ككل بالتباين مع خلاص البقية التقية في العصر الحالي].  وسيكون هذا "اليوم المستقبلي للكفارة" هو التوبة الوطنية للأمة التي سينتج عنها تطهير الأمّة قبل تأسيس الملكوت الألفي (انظر زكريا 13).</w:t>
      </w:r>
      <w:r w:rsidRPr="005B3275">
        <w:rPr>
          <w:rFonts w:eastAsia="Times New Roman"/>
          <w:kern w:val="0"/>
          <w:vertAlign w:val="superscript"/>
          <w:rtl/>
          <w:lang w:bidi="ar-JO"/>
          <w14:ligatures w14:val="none"/>
        </w:rPr>
        <w:footnoteReference w:id="101"/>
      </w:r>
    </w:p>
    <w:p w14:paraId="70F2AEBC"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9266606" w14:textId="77777777" w:rsidR="00BF07C2" w:rsidRPr="005B3275" w:rsidRDefault="00BF07C2" w:rsidP="00C7130A">
      <w:pPr>
        <w:tabs>
          <w:tab w:val="left" w:pos="454"/>
        </w:tabs>
        <w:spacing w:after="60"/>
        <w:ind w:left="550" w:hanging="550"/>
        <w:jc w:val="both"/>
        <w:rPr>
          <w:rFonts w:eastAsia="Times New Roman"/>
          <w:bCs/>
          <w:kern w:val="0"/>
          <w:rtl/>
          <w14:ligatures w14:val="none"/>
        </w:rPr>
      </w:pPr>
      <w:r w:rsidRPr="005B3275">
        <w:rPr>
          <w:rFonts w:eastAsia="Times New Roman"/>
          <w:bCs/>
          <w:kern w:val="0"/>
          <w:rtl/>
          <w14:ligatures w14:val="none"/>
        </w:rPr>
        <w:t>ح.</w:t>
      </w:r>
      <w:r w:rsidRPr="005B3275">
        <w:rPr>
          <w:rFonts w:eastAsia="Times New Roman"/>
          <w:bCs/>
          <w:kern w:val="0"/>
          <w:rtl/>
          <w14:ligatures w14:val="none"/>
        </w:rPr>
        <w:tab/>
        <w:t xml:space="preserve">عيد المظال (لاويين 23: 33-36، 39-43)؛ عدد (2: 12-38) </w:t>
      </w:r>
    </w:p>
    <w:p w14:paraId="4124B43E" w14:textId="23ED4B2E"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كان عيد المظال العيد الأخير، ويقع بعد خمسة أيام من يوم الكفّارة وأيضاً في الشهر السابع (تشري). يستعيد هذا العيد ذكريات قديمة عندما كان الشعب يعيش في مظال</w:t>
      </w:r>
      <w:r w:rsidR="00B3744F" w:rsidRPr="005B3275">
        <w:rPr>
          <w:rFonts w:eastAsia="Times New Roman"/>
          <w:kern w:val="0"/>
          <w:rtl/>
          <w:lang w:bidi="ar-JO"/>
          <w14:ligatures w14:val="none"/>
        </w:rPr>
        <w:t>َّ</w:t>
      </w:r>
      <w:r w:rsidRPr="005B3275">
        <w:rPr>
          <w:rFonts w:eastAsia="Times New Roman"/>
          <w:kern w:val="0"/>
          <w:rtl/>
          <w:lang w:bidi="ar-JO"/>
          <w14:ligatures w14:val="none"/>
        </w:rPr>
        <w:t xml:space="preserve"> في مصر، بالرغم من أن العيد يركز على وقت فرح واحتفال.  سمّى اليهود هذا العيد سَكّوت، وكانوا يحتفلون به مدّة سبعة أيّام (أحد الأعياد الثلاثة المفروضة.)  اتسم هذا العيد بوقت فرح، وتميّز ببناء مظالٍ صغيرة يقيمون فيها أثناء هذه الفترة.  وهو احتفال تذكاري لتلك الفترة التي عاش فيها بنو إسرائيل </w:t>
      </w:r>
      <w:r w:rsidRPr="005B3275">
        <w:rPr>
          <w:rFonts w:eastAsia="Times New Roman"/>
          <w:kern w:val="0"/>
          <w:rtl/>
          <w:lang w:bidi="ar-JO"/>
          <w14:ligatures w14:val="none"/>
        </w:rPr>
        <w:lastRenderedPageBreak/>
        <w:t xml:space="preserve">في البرية دون بيوت دائمة.  وارتبط العيد ارتباطاً وثيقاً بالفصل الزراعي، إذ كان هذا وقت نضج ثمار الفواكه.  وهكذا جاء الشعب إلى العيد حاملين غصن نخيل في يد (لُلاف) وفاكهة حمضية في اليد الأخرى (إثروج).  يقول فكتور بوكسبازن: </w:t>
      </w:r>
    </w:p>
    <w:p w14:paraId="382393FA"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5B3275">
        <w:rPr>
          <w:rFonts w:eastAsia="Times New Roman"/>
          <w:kern w:val="0"/>
          <w:rtl/>
          <w:lang w:bidi="ar-JO"/>
          <w14:ligatures w14:val="none"/>
        </w:rPr>
        <w:t>هذا العيد زراعي في طبيعته.  وهو مناسبة سعيدة، يكون فيها الحصاد قد جُمع من الحقول والبساتين والبيّارات.  فكانت المخازن وال</w:t>
      </w:r>
      <w:r w:rsidRPr="005B3275">
        <w:rPr>
          <w:rFonts w:eastAsia="Times New Roman"/>
          <w:kern w:val="0"/>
          <w:rtl/>
          <w14:ligatures w14:val="none"/>
        </w:rPr>
        <w:t>سقائف</w:t>
      </w:r>
      <w:r w:rsidRPr="005B3275">
        <w:rPr>
          <w:rFonts w:eastAsia="Times New Roman"/>
          <w:kern w:val="0"/>
          <w:rtl/>
          <w:lang w:bidi="ar-JO"/>
          <w14:ligatures w14:val="none"/>
        </w:rPr>
        <w:t xml:space="preserve"> م</w:t>
      </w:r>
      <w:r w:rsidRPr="005B3275">
        <w:rPr>
          <w:rFonts w:eastAsia="Times New Roman"/>
          <w:kern w:val="0"/>
          <w:rtl/>
          <w14:ligatures w14:val="none"/>
        </w:rPr>
        <w:t>ملوءة</w:t>
      </w:r>
      <w:r w:rsidRPr="005B3275">
        <w:rPr>
          <w:rFonts w:eastAsia="Times New Roman"/>
          <w:kern w:val="0"/>
          <w:rtl/>
          <w:lang w:bidi="ar-JO"/>
          <w14:ligatures w14:val="none"/>
        </w:rPr>
        <w:t>.  وكانت القلوب تفيض أيضاً بالتسبيح والشكر على خيرات الله.  إنه "عيد جمع الحصاد"، أو عيد تقديم الشكر العبري- إنه "العيد" كما يسمّيه إنجيل يوحنّا 7: 37.</w:t>
      </w:r>
      <w:r w:rsidRPr="005B3275">
        <w:rPr>
          <w:rFonts w:eastAsia="Times New Roman"/>
          <w:kern w:val="0"/>
          <w:vertAlign w:val="superscript"/>
          <w:rtl/>
          <w:lang w:bidi="ar-JO"/>
          <w14:ligatures w14:val="none"/>
        </w:rPr>
        <w:footnoteReference w:id="102"/>
      </w:r>
    </w:p>
    <w:p w14:paraId="47F0B569"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يقدم الكاتب اليهودي أبراهام بلوتش عدّة تعليقات هامّة: "ستكون إحدى مهمات المسيّا أن يجلب شعوب العالم إلى مِتْزفا سُكَّه (وصية عيد المظال-شوتشار توف، مزمور 21)."</w:t>
      </w:r>
      <w:r w:rsidRPr="005B3275">
        <w:rPr>
          <w:rFonts w:eastAsia="Times New Roman"/>
          <w:kern w:val="0"/>
          <w:vertAlign w:val="superscript"/>
          <w:rtl/>
          <w:lang w:bidi="ar-JO"/>
          <w14:ligatures w14:val="none"/>
        </w:rPr>
        <w:footnoteReference w:id="103"/>
      </w:r>
      <w:r w:rsidRPr="005B3275">
        <w:rPr>
          <w:rFonts w:eastAsia="Times New Roman"/>
          <w:kern w:val="0"/>
          <w:rtl/>
          <w:lang w:bidi="ar-JO"/>
          <w14:ligatures w14:val="none"/>
        </w:rPr>
        <w:t xml:space="preserve"> </w:t>
      </w:r>
      <w:r w:rsidRPr="005B3275">
        <w:rPr>
          <w:rFonts w:eastAsia="Times New Roman"/>
          <w:kern w:val="0"/>
          <w:rtl/>
          <w14:ligatures w14:val="none"/>
        </w:rPr>
        <w:t xml:space="preserve"> </w:t>
      </w:r>
      <w:r w:rsidRPr="005B3275">
        <w:rPr>
          <w:rFonts w:eastAsia="Times New Roman"/>
          <w:kern w:val="0"/>
          <w:rtl/>
          <w:lang w:bidi="ar-JO"/>
          <w14:ligatures w14:val="none"/>
        </w:rPr>
        <w:t xml:space="preserve">واعتبر اليهود أيضاً عيد المظال احتفالاً بالاستقلال القومي (مرتبطاً بفكرة تحررهم من مصر). </w:t>
      </w:r>
    </w:p>
    <w:p w14:paraId="786C63F1"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5B3275">
        <w:rPr>
          <w:rFonts w:eastAsia="Times New Roman"/>
          <w:kern w:val="0"/>
          <w:rtl/>
          <w:lang w:bidi="ar-JO"/>
          <w14:ligatures w14:val="none"/>
        </w:rPr>
        <w:t xml:space="preserve">ويصوِّر زكريا 14 هذا، وهو الذي يعلق عليه بلوتش قائلاً: </w:t>
      </w:r>
      <w:r w:rsidRPr="005B3275">
        <w:rPr>
          <w:rFonts w:eastAsia="Times New Roman"/>
          <w:kern w:val="0"/>
          <w:rtl/>
          <w14:ligatures w14:val="none"/>
        </w:rPr>
        <w:t>"إن الحديث عن الذهاب إلى أورشليم للاحتفال بعيد سَكّوت هو طريقة زكريّا في التنبؤ بأن شعوب العالم ستعترف باستقلال إسرائيل."</w:t>
      </w:r>
      <w:r w:rsidRPr="005B3275">
        <w:rPr>
          <w:rFonts w:eastAsia="Times New Roman"/>
          <w:kern w:val="0"/>
          <w:vertAlign w:val="superscript"/>
          <w:rtl/>
          <w14:ligatures w14:val="none"/>
        </w:rPr>
        <w:footnoteReference w:id="104"/>
      </w:r>
      <w:r w:rsidRPr="005B3275">
        <w:rPr>
          <w:rFonts w:eastAsia="Times New Roman"/>
          <w:kern w:val="0"/>
          <w:rtl/>
          <w14:ligatures w14:val="none"/>
        </w:rPr>
        <w:t xml:space="preserve">  وكان اليهود يتصوّرون المسيّا أيضاً في علاقته بالمظال.  يذكر بلوتش فكرة يؤمن بها بعضهم:</w:t>
      </w:r>
    </w:p>
    <w:p w14:paraId="71431CD8"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5B3275">
        <w:rPr>
          <w:rFonts w:eastAsia="Times New Roman"/>
          <w:kern w:val="0"/>
          <w:rtl/>
          <w:lang w:bidi="ar-JO"/>
          <w14:ligatures w14:val="none"/>
        </w:rPr>
        <w:t>سيعلّم المسيّا ستة متزفوت (وصايا) لشعوب العالم، بما فيها سُكَّه (المظال) ولولاف (غصن النخيل) (شوتشار توف، مزمور 21).</w:t>
      </w:r>
      <w:r w:rsidRPr="005B3275">
        <w:rPr>
          <w:rFonts w:eastAsia="Times New Roman"/>
          <w:kern w:val="0"/>
          <w:vertAlign w:val="superscript"/>
          <w:rtl/>
          <w:lang w:bidi="ar-JO"/>
          <w14:ligatures w14:val="none"/>
        </w:rPr>
        <w:footnoteReference w:id="105"/>
      </w:r>
    </w:p>
    <w:p w14:paraId="36B673E5"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088E18D"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لابد لكل هذه الأفكار حول كون عيد المظال عيداً فرحاً يبتهج فيه الجميع بغنى بركات الله، وحول رجاء استقلال إسرائيل بعون المسيّا، أن تجد تحقيقها الأخروي في الملكوت الألفي الذي سيؤسسه يسوع المسيح على الأرض بعد عودته.  عندئذ سيترسخ المؤمنون اليهود حقّاً في الأرض تحت حكم المسيّا يسوع المسيح الذي سيحكم الأرض مدة ألف سنة.  وسيكون هذا احتفالاً فرحاً بالفعل! وإنه لأمر مثير للاهتمام في متّى 17 أن استجابة بطرس، عندما سمح للتلاميذ الثلاثة بأن يروا يسوع كما سيكون في مجد ملكوته، كانت استجابته طلب بناء ثلاث مظال وفق زكريا 14 الذي يدعو إلى الاحتفال بالمظال لدى عودة المسيح.  كانت نظريته صحيحة، لكن توقيته كان خاطئاً.</w:t>
      </w:r>
    </w:p>
    <w:p w14:paraId="6E418B07"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37F7D35" w14:textId="77777777" w:rsidR="00BF07C2" w:rsidRPr="005B3275" w:rsidRDefault="00BF07C2" w:rsidP="000558B7">
      <w:pPr>
        <w:pStyle w:val="Heading3"/>
        <w:rPr>
          <w:rtl/>
          <w:lang w:bidi="ar-JO"/>
        </w:rPr>
      </w:pPr>
      <w:bookmarkStart w:id="240" w:name="_Toc193031030"/>
      <w:r w:rsidRPr="005B3275">
        <w:rPr>
          <w:rtl/>
          <w:lang w:bidi="ar-JO"/>
        </w:rPr>
        <w:t>4.</w:t>
      </w:r>
      <w:r w:rsidRPr="005B3275">
        <w:rPr>
          <w:rtl/>
          <w:lang w:bidi="ar-JO"/>
        </w:rPr>
        <w:tab/>
        <w:t>بركات ولعنات (لاويين 26)</w:t>
      </w:r>
      <w:bookmarkEnd w:id="240"/>
    </w:p>
    <w:p w14:paraId="2CF34939"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lastRenderedPageBreak/>
        <w:t>يقدّم هذا الأصحاح مخطّطاً عامّاً للتأديب الذي سيمارسه الله ضد شعب عهده عندما يرفضون حكم يهوه الملكي عليهم.  وستكون ذروة التأديب نفيهم من الأرض، أي السبي.  وينبئ هذا الأمر بالسبي البابلي الذي كان لا بد لإسرائيل أن تمر به كتأديب من الله للأمة العاصية التي رفضته.  غير أن لاويين 26: 40-45 توضح أن الله لن يقوم أبداً بالتخلّي عن إسرائيل تخلّياً نهائياً.  ولهذا فإنه مازال لهم مستقبل، (انظر رومية 8-11)، وهذا كلّه معتمد على العهد الذي قطعه الله مع إبراهيم (26: 42).</w:t>
      </w:r>
    </w:p>
    <w:p w14:paraId="0C4CE9ED" w14:textId="77777777" w:rsidR="00BF07C2" w:rsidRPr="005B3275" w:rsidRDefault="00BF07C2"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B3275">
        <w:rPr>
          <w:rFonts w:eastAsia="Times New Roman"/>
          <w:kern w:val="0"/>
          <w:rtl/>
          <w:lang w:bidi="ar-JO"/>
          <w14:ligatures w14:val="none"/>
        </w:rPr>
        <w:t>ولكن مع ذلك أيضاً متى كانوا في الأرض أعدائهم، ما أبيتُهم ولا كرهتهم حتى أبيدهم وأنكث ميثاقي معهم، لأني أنا الرب إلههم.  بل أذكر لهم الميثاق مع الأولين الذين أخرجتهم من مصر أمام أعين الشعوب لأكون لهم إلهاً، أنا الرب (لاويين 26: 44-45).</w:t>
      </w:r>
    </w:p>
    <w:p w14:paraId="3AC084F1" w14:textId="77777777" w:rsidR="007F18C6" w:rsidRPr="00C7130A" w:rsidRDefault="007F18C6" w:rsidP="00C7130A">
      <w:pPr>
        <w:tabs>
          <w:tab w:val="left" w:pos="547"/>
          <w:tab w:val="left" w:pos="1094"/>
          <w:tab w:val="left" w:pos="1642"/>
          <w:tab w:val="left" w:pos="2189"/>
          <w:tab w:val="left" w:pos="2736"/>
          <w:tab w:val="left" w:pos="3283"/>
          <w:tab w:val="left" w:pos="3830"/>
          <w:tab w:val="left" w:pos="4378"/>
        </w:tabs>
        <w:spacing w:after="120"/>
        <w:jc w:val="both"/>
        <w:rPr>
          <w:rFonts w:eastAsia="Times New Roman"/>
          <w:kern w:val="0"/>
          <w:sz w:val="22"/>
          <w:szCs w:val="24"/>
          <w:lang w:bidi="ar-JO"/>
          <w14:ligatures w14:val="none"/>
        </w:rPr>
      </w:pPr>
    </w:p>
    <w:p w14:paraId="4CFCB1D2" w14:textId="77777777" w:rsidR="007F18C6" w:rsidRPr="00C7130A" w:rsidRDefault="007F18C6" w:rsidP="00C7130A">
      <w:pPr>
        <w:pStyle w:val="Heading4"/>
        <w:spacing w:line="240" w:lineRule="auto"/>
        <w:rPr>
          <w:rFonts w:cs="Arabic Typesetting"/>
        </w:rPr>
      </w:pPr>
      <w:r w:rsidRPr="00C7130A">
        <w:rPr>
          <w:rFonts w:cs="Arabic Typesetting"/>
        </w:rPr>
        <w:br w:type="page"/>
      </w:r>
    </w:p>
    <w:p w14:paraId="7EB7C464" w14:textId="648727DA" w:rsidR="00BD405E" w:rsidRPr="00C7130A" w:rsidRDefault="00BF07C2" w:rsidP="00C7130A">
      <w:pPr>
        <w:jc w:val="center"/>
        <w:rPr>
          <w:kern w:val="0"/>
          <w:szCs w:val="20"/>
          <w14:ligatures w14:val="none"/>
        </w:rPr>
      </w:pPr>
      <w:r w:rsidRPr="00C7130A">
        <w:rPr>
          <w:kern w:val="0"/>
          <w:szCs w:val="20"/>
          <w14:ligatures w14:val="none"/>
        </w:rPr>
        <w:object w:dxaOrig="3245" w:dyaOrig="1979" w14:anchorId="069DC582">
          <v:shape id="_x0000_i1034" type="#_x0000_t75" style="width:460.2pt;height:281.4pt" o:ole="">
            <v:imagedata r:id="rId59" o:title=""/>
          </v:shape>
          <o:OLEObject Type="Embed" ProgID="PowerPoint.Show.12" ShapeID="_x0000_i1034" DrawAspect="Content" ObjectID="_1803892149" r:id="rId60"/>
        </w:object>
      </w:r>
    </w:p>
    <w:p w14:paraId="6AF63CAB" w14:textId="77777777" w:rsidR="00BD405E" w:rsidRPr="00C7130A" w:rsidRDefault="00BD405E" w:rsidP="00C7130A">
      <w:pPr>
        <w:rPr>
          <w:kern w:val="0"/>
          <w:sz w:val="16"/>
          <w:szCs w:val="16"/>
          <w14:ligatures w14:val="none"/>
        </w:rPr>
      </w:pPr>
    </w:p>
    <w:p w14:paraId="03824E35" w14:textId="56CAFB1F" w:rsidR="00BD405E" w:rsidRPr="001B0F35" w:rsidRDefault="00B3744F">
      <w:pPr>
        <w:pStyle w:val="ListParagraph"/>
        <w:numPr>
          <w:ilvl w:val="0"/>
          <w:numId w:val="14"/>
        </w:numPr>
        <w:rPr>
          <w:b/>
          <w:bCs/>
          <w:kern w:val="0"/>
          <w14:ligatures w14:val="none"/>
        </w:rPr>
      </w:pPr>
      <w:bookmarkStart w:id="241" w:name="_Hlk178778899"/>
      <w:r w:rsidRPr="001B0F35">
        <w:rPr>
          <w:b/>
          <w:bCs/>
          <w:kern w:val="0"/>
          <w:rtl/>
          <w14:ligatures w14:val="none"/>
        </w:rPr>
        <w:t xml:space="preserve">الفصح </w:t>
      </w:r>
    </w:p>
    <w:p w14:paraId="38FEF1E4" w14:textId="18C5277C" w:rsidR="00BD405E" w:rsidRPr="001B0F35" w:rsidRDefault="00BD405E" w:rsidP="00C7130A">
      <w:pPr>
        <w:ind w:left="720"/>
        <w:rPr>
          <w:kern w:val="0"/>
          <w14:ligatures w14:val="none"/>
        </w:rPr>
      </w:pPr>
      <w:r w:rsidRPr="001B0F35">
        <w:rPr>
          <w:kern w:val="0"/>
          <w14:ligatures w14:val="none"/>
        </w:rPr>
        <w:tab/>
      </w:r>
      <w:r w:rsidR="00B3744F" w:rsidRPr="001B0F35">
        <w:rPr>
          <w:kern w:val="0"/>
          <w:rtl/>
          <w14:ligatures w14:val="none"/>
        </w:rPr>
        <w:t>لاويين 23: 5؛ سفر العدد 28: 16؛ تثنية 16: 1-2</w:t>
      </w:r>
      <w:r w:rsidR="007A2FA0" w:rsidRPr="001B0F35">
        <w:rPr>
          <w:kern w:val="0"/>
          <w:rtl/>
          <w14:ligatures w14:val="none"/>
        </w:rPr>
        <w:t>،</w:t>
      </w:r>
      <w:r w:rsidR="00B3744F" w:rsidRPr="001B0F35">
        <w:rPr>
          <w:kern w:val="0"/>
          <w:rtl/>
          <w14:ligatures w14:val="none"/>
        </w:rPr>
        <w:t xml:space="preserve"> 5-7 (قارن مع خروج 12: 1-13). </w:t>
      </w:r>
    </w:p>
    <w:p w14:paraId="279278DE" w14:textId="73D1A9CE" w:rsidR="00BD405E" w:rsidRPr="001B0F35" w:rsidRDefault="00BD405E" w:rsidP="00C7130A">
      <w:pPr>
        <w:ind w:left="720"/>
        <w:rPr>
          <w:kern w:val="0"/>
          <w14:ligatures w14:val="none"/>
        </w:rPr>
      </w:pPr>
      <w:r w:rsidRPr="001B0F35">
        <w:rPr>
          <w:kern w:val="0"/>
          <w14:ligatures w14:val="none"/>
        </w:rPr>
        <w:tab/>
      </w:r>
      <w:r w:rsidR="00B3744F" w:rsidRPr="001B0F35">
        <w:rPr>
          <w:kern w:val="0"/>
          <w:rtl/>
          <w14:ligatures w14:val="none"/>
        </w:rPr>
        <w:t xml:space="preserve">الوقت: في اليوم الرابع عشر من الشهر الأول، "بين العشائَين". </w:t>
      </w:r>
    </w:p>
    <w:p w14:paraId="3933A99A" w14:textId="77777777" w:rsidR="00BD405E" w:rsidRPr="001B0F35" w:rsidRDefault="00BD405E" w:rsidP="00C7130A">
      <w:pPr>
        <w:ind w:left="720"/>
        <w:rPr>
          <w:kern w:val="0"/>
          <w14:ligatures w14:val="none"/>
        </w:rPr>
      </w:pPr>
    </w:p>
    <w:p w14:paraId="0DFE4154" w14:textId="6E39C389" w:rsidR="00BD405E" w:rsidRPr="001B0F35" w:rsidRDefault="00F62F3D">
      <w:pPr>
        <w:pStyle w:val="ListParagraph"/>
        <w:numPr>
          <w:ilvl w:val="0"/>
          <w:numId w:val="14"/>
        </w:numPr>
        <w:rPr>
          <w:b/>
          <w:bCs/>
          <w:kern w:val="0"/>
          <w14:ligatures w14:val="none"/>
        </w:rPr>
      </w:pPr>
      <w:r w:rsidRPr="001B0F35">
        <w:rPr>
          <w:b/>
          <w:bCs/>
          <w:kern w:val="0"/>
          <w:rtl/>
          <w14:ligatures w14:val="none"/>
        </w:rPr>
        <w:t>الفطير</w:t>
      </w:r>
    </w:p>
    <w:p w14:paraId="6E1CF8D2" w14:textId="5C039F76" w:rsidR="00BD405E" w:rsidRPr="001B0F35" w:rsidRDefault="00BD405E" w:rsidP="00C7130A">
      <w:pPr>
        <w:ind w:left="720"/>
        <w:rPr>
          <w:kern w:val="0"/>
          <w14:ligatures w14:val="none"/>
        </w:rPr>
      </w:pPr>
      <w:r w:rsidRPr="001B0F35">
        <w:rPr>
          <w:kern w:val="0"/>
          <w14:ligatures w14:val="none"/>
        </w:rPr>
        <w:tab/>
      </w:r>
      <w:r w:rsidR="00F62F3D" w:rsidRPr="001B0F35">
        <w:rPr>
          <w:kern w:val="0"/>
          <w:rtl/>
          <w14:ligatures w14:val="none"/>
        </w:rPr>
        <w:t xml:space="preserve">لاويين 23: 6-8؛ سفر العدد 28: 17-25؛ تثنية 16: 3-4، 8 (قارن مع خروج 12: 14-20) </w:t>
      </w:r>
    </w:p>
    <w:p w14:paraId="6882912A" w14:textId="650D2712" w:rsidR="00BD405E" w:rsidRPr="001B0F35" w:rsidRDefault="00BD405E" w:rsidP="00C7130A">
      <w:pPr>
        <w:ind w:left="720"/>
        <w:rPr>
          <w:kern w:val="0"/>
          <w14:ligatures w14:val="none"/>
        </w:rPr>
      </w:pPr>
      <w:r w:rsidRPr="001B0F35">
        <w:rPr>
          <w:kern w:val="0"/>
          <w14:ligatures w14:val="none"/>
        </w:rPr>
        <w:tab/>
      </w:r>
      <w:r w:rsidR="00F62F3D" w:rsidRPr="001B0F35">
        <w:rPr>
          <w:kern w:val="0"/>
          <w:rtl/>
          <w14:ligatures w14:val="none"/>
        </w:rPr>
        <w:t xml:space="preserve">الوقت: اليوم الخامس عشر من الشهر الأول (ولمدّة 7 أيّام) </w:t>
      </w:r>
    </w:p>
    <w:p w14:paraId="7407E247" w14:textId="77777777" w:rsidR="00BD405E" w:rsidRPr="001B0F35" w:rsidRDefault="00BD405E" w:rsidP="00C7130A">
      <w:pPr>
        <w:ind w:left="720"/>
        <w:rPr>
          <w:kern w:val="0"/>
          <w14:ligatures w14:val="none"/>
        </w:rPr>
      </w:pPr>
    </w:p>
    <w:p w14:paraId="6D80BED1" w14:textId="2D7CE9DD" w:rsidR="00BD405E" w:rsidRPr="001B0F35" w:rsidRDefault="00F62F3D">
      <w:pPr>
        <w:pStyle w:val="ListParagraph"/>
        <w:numPr>
          <w:ilvl w:val="0"/>
          <w:numId w:val="14"/>
        </w:numPr>
        <w:rPr>
          <w:b/>
          <w:bCs/>
          <w:kern w:val="0"/>
          <w14:ligatures w14:val="none"/>
        </w:rPr>
      </w:pPr>
      <w:r w:rsidRPr="001B0F35">
        <w:rPr>
          <w:b/>
          <w:bCs/>
          <w:kern w:val="0"/>
          <w:rtl/>
          <w14:ligatures w14:val="none"/>
        </w:rPr>
        <w:t>الباكورة</w:t>
      </w:r>
    </w:p>
    <w:p w14:paraId="7F255008" w14:textId="36713354" w:rsidR="00BD405E" w:rsidRPr="001B0F35" w:rsidRDefault="00BD405E" w:rsidP="00C7130A">
      <w:pPr>
        <w:ind w:left="720"/>
        <w:rPr>
          <w:kern w:val="0"/>
          <w14:ligatures w14:val="none"/>
        </w:rPr>
      </w:pPr>
      <w:r w:rsidRPr="001B0F35">
        <w:rPr>
          <w:kern w:val="0"/>
          <w14:ligatures w14:val="none"/>
        </w:rPr>
        <w:tab/>
      </w:r>
      <w:r w:rsidR="00F62F3D" w:rsidRPr="001B0F35">
        <w:rPr>
          <w:kern w:val="0"/>
          <w:rtl/>
          <w14:ligatures w14:val="none"/>
        </w:rPr>
        <w:t xml:space="preserve">لاويين 23: 9-14؛ عدد 28: 26-31 </w:t>
      </w:r>
    </w:p>
    <w:p w14:paraId="557C49B4" w14:textId="7ED66628" w:rsidR="00BD405E" w:rsidRPr="001B0F35" w:rsidRDefault="00BD405E" w:rsidP="00C7130A">
      <w:pPr>
        <w:ind w:left="720"/>
        <w:rPr>
          <w:kern w:val="0"/>
          <w14:ligatures w14:val="none"/>
        </w:rPr>
      </w:pPr>
      <w:r w:rsidRPr="001B0F35">
        <w:rPr>
          <w:kern w:val="0"/>
          <w14:ligatures w14:val="none"/>
        </w:rPr>
        <w:tab/>
      </w:r>
      <w:r w:rsidR="00F62F3D" w:rsidRPr="001B0F35">
        <w:rPr>
          <w:kern w:val="0"/>
          <w:rtl/>
          <w14:ligatures w14:val="none"/>
        </w:rPr>
        <w:t xml:space="preserve">الوقت: في اليوم </w:t>
      </w:r>
      <w:r w:rsidR="00C2211C" w:rsidRPr="001B0F35">
        <w:rPr>
          <w:kern w:val="0"/>
          <w:rtl/>
          <w14:ligatures w14:val="none"/>
        </w:rPr>
        <w:t xml:space="preserve">الذي يلي السبت الذي يأتي بعد يوم الفصح </w:t>
      </w:r>
    </w:p>
    <w:p w14:paraId="1C244F8A" w14:textId="77777777" w:rsidR="00BD405E" w:rsidRPr="001B0F35" w:rsidRDefault="00BD405E" w:rsidP="00C7130A">
      <w:pPr>
        <w:ind w:left="720"/>
        <w:rPr>
          <w:kern w:val="0"/>
          <w14:ligatures w14:val="none"/>
        </w:rPr>
      </w:pPr>
    </w:p>
    <w:p w14:paraId="380C301C" w14:textId="23434291" w:rsidR="00BD405E" w:rsidRPr="001B0F35" w:rsidRDefault="00C2211C">
      <w:pPr>
        <w:pStyle w:val="ListParagraph"/>
        <w:numPr>
          <w:ilvl w:val="0"/>
          <w:numId w:val="14"/>
        </w:numPr>
        <w:rPr>
          <w:b/>
          <w:bCs/>
          <w:kern w:val="0"/>
          <w14:ligatures w14:val="none"/>
        </w:rPr>
      </w:pPr>
      <w:r w:rsidRPr="001B0F35">
        <w:rPr>
          <w:b/>
          <w:bCs/>
          <w:kern w:val="0"/>
          <w:rtl/>
          <w14:ligatures w14:val="none"/>
        </w:rPr>
        <w:lastRenderedPageBreak/>
        <w:t>الأسابيع (الخمسين)</w:t>
      </w:r>
    </w:p>
    <w:p w14:paraId="469E66E2" w14:textId="63585174" w:rsidR="00BD405E" w:rsidRPr="001B0F35" w:rsidRDefault="00BD405E" w:rsidP="00C7130A">
      <w:pPr>
        <w:ind w:left="720"/>
        <w:rPr>
          <w:kern w:val="0"/>
          <w14:ligatures w14:val="none"/>
        </w:rPr>
      </w:pPr>
      <w:r w:rsidRPr="001B0F35">
        <w:rPr>
          <w:kern w:val="0"/>
          <w14:ligatures w14:val="none"/>
        </w:rPr>
        <w:tab/>
      </w:r>
      <w:r w:rsidR="00C2211C" w:rsidRPr="001B0F35">
        <w:rPr>
          <w:kern w:val="0"/>
          <w:rtl/>
          <w14:ligatures w14:val="none"/>
        </w:rPr>
        <w:t>لاويين 23: 15-22؛ تثنية 16: 9-12</w:t>
      </w:r>
    </w:p>
    <w:p w14:paraId="45DDB53B" w14:textId="2760DA19" w:rsidR="00BD405E" w:rsidRPr="001B0F35" w:rsidRDefault="00BD405E" w:rsidP="00C7130A">
      <w:pPr>
        <w:ind w:left="720"/>
        <w:rPr>
          <w:kern w:val="0"/>
          <w14:ligatures w14:val="none"/>
        </w:rPr>
      </w:pPr>
      <w:r w:rsidRPr="001B0F35">
        <w:rPr>
          <w:kern w:val="0"/>
          <w14:ligatures w14:val="none"/>
        </w:rPr>
        <w:tab/>
      </w:r>
      <w:r w:rsidR="00C2211C" w:rsidRPr="001B0F35">
        <w:rPr>
          <w:kern w:val="0"/>
          <w:rtl/>
          <w14:ligatures w14:val="none"/>
        </w:rPr>
        <w:t xml:space="preserve">الوقت: 50 يوم بعد الباكورة (اليوم الذي يلي السبت السابع) </w:t>
      </w:r>
    </w:p>
    <w:p w14:paraId="657E7D0F" w14:textId="77777777" w:rsidR="00BD405E" w:rsidRPr="001B0F35" w:rsidRDefault="00BD405E" w:rsidP="00C7130A">
      <w:pPr>
        <w:ind w:left="720"/>
        <w:rPr>
          <w:kern w:val="0"/>
          <w14:ligatures w14:val="none"/>
        </w:rPr>
      </w:pPr>
    </w:p>
    <w:p w14:paraId="4090A67B" w14:textId="13F9A0DE" w:rsidR="00BD405E" w:rsidRPr="001B0F35" w:rsidRDefault="00C2211C">
      <w:pPr>
        <w:pStyle w:val="ListParagraph"/>
        <w:numPr>
          <w:ilvl w:val="0"/>
          <w:numId w:val="14"/>
        </w:numPr>
        <w:rPr>
          <w:b/>
          <w:bCs/>
          <w:kern w:val="0"/>
          <w14:ligatures w14:val="none"/>
        </w:rPr>
      </w:pPr>
      <w:r w:rsidRPr="001B0F35">
        <w:rPr>
          <w:b/>
          <w:bCs/>
          <w:kern w:val="0"/>
          <w:rtl/>
          <w14:ligatures w14:val="none"/>
        </w:rPr>
        <w:t>عيد الأبواق</w:t>
      </w:r>
    </w:p>
    <w:p w14:paraId="084F8418" w14:textId="5DCC2626" w:rsidR="00BD405E" w:rsidRPr="001B0F35" w:rsidRDefault="00BD405E" w:rsidP="00C7130A">
      <w:pPr>
        <w:ind w:left="720"/>
        <w:rPr>
          <w:kern w:val="0"/>
          <w14:ligatures w14:val="none"/>
        </w:rPr>
      </w:pPr>
      <w:r w:rsidRPr="001B0F35">
        <w:rPr>
          <w:kern w:val="0"/>
          <w14:ligatures w14:val="none"/>
        </w:rPr>
        <w:tab/>
      </w:r>
      <w:r w:rsidR="00C2211C" w:rsidRPr="001B0F35">
        <w:rPr>
          <w:kern w:val="0"/>
          <w:rtl/>
          <w14:ligatures w14:val="none"/>
        </w:rPr>
        <w:t>لاويين 23: 23-25؛ سفر العدد 29: 1-6</w:t>
      </w:r>
    </w:p>
    <w:p w14:paraId="6D8B442A" w14:textId="4F7AAA0B" w:rsidR="00BD405E" w:rsidRPr="001B0F35" w:rsidRDefault="00BD405E" w:rsidP="00C7130A">
      <w:pPr>
        <w:ind w:left="720"/>
        <w:rPr>
          <w:kern w:val="0"/>
          <w14:ligatures w14:val="none"/>
        </w:rPr>
      </w:pPr>
      <w:r w:rsidRPr="001B0F35">
        <w:rPr>
          <w:kern w:val="0"/>
          <w14:ligatures w14:val="none"/>
        </w:rPr>
        <w:tab/>
      </w:r>
      <w:r w:rsidR="00C2211C" w:rsidRPr="001B0F35">
        <w:rPr>
          <w:kern w:val="0"/>
          <w:rtl/>
          <w14:ligatures w14:val="none"/>
        </w:rPr>
        <w:t>الوقت: في اليوم الأول من الشهر السابع</w:t>
      </w:r>
    </w:p>
    <w:p w14:paraId="12C2E8FC" w14:textId="77777777" w:rsidR="00BD405E" w:rsidRPr="001B0F35" w:rsidRDefault="00BD405E" w:rsidP="00C7130A">
      <w:pPr>
        <w:ind w:left="720"/>
        <w:rPr>
          <w:kern w:val="0"/>
          <w14:ligatures w14:val="none"/>
        </w:rPr>
      </w:pPr>
    </w:p>
    <w:p w14:paraId="5A70CA69" w14:textId="5FD5AFFF" w:rsidR="00BD405E" w:rsidRPr="001B0F35" w:rsidRDefault="00C2211C">
      <w:pPr>
        <w:pStyle w:val="ListParagraph"/>
        <w:numPr>
          <w:ilvl w:val="0"/>
          <w:numId w:val="14"/>
        </w:numPr>
        <w:rPr>
          <w:b/>
          <w:bCs/>
          <w:kern w:val="0"/>
          <w14:ligatures w14:val="none"/>
        </w:rPr>
      </w:pPr>
      <w:r w:rsidRPr="001B0F35">
        <w:rPr>
          <w:b/>
          <w:bCs/>
          <w:kern w:val="0"/>
          <w:rtl/>
          <w14:ligatures w14:val="none"/>
        </w:rPr>
        <w:t xml:space="preserve">عيد الكفارة </w:t>
      </w:r>
    </w:p>
    <w:p w14:paraId="34120732" w14:textId="7118B60E" w:rsidR="00BD405E" w:rsidRPr="001B0F35" w:rsidRDefault="00BD405E" w:rsidP="00C7130A">
      <w:pPr>
        <w:ind w:left="720"/>
        <w:rPr>
          <w:kern w:val="0"/>
          <w14:ligatures w14:val="none"/>
        </w:rPr>
      </w:pPr>
      <w:r w:rsidRPr="001B0F35">
        <w:rPr>
          <w:kern w:val="0"/>
          <w14:ligatures w14:val="none"/>
        </w:rPr>
        <w:tab/>
      </w:r>
      <w:r w:rsidR="00C2211C" w:rsidRPr="001B0F35">
        <w:rPr>
          <w:kern w:val="0"/>
          <w:rtl/>
          <w14:ligatures w14:val="none"/>
        </w:rPr>
        <w:t>لاويين 23: 26-32؛ سفر العدد 29: 1-6</w:t>
      </w:r>
    </w:p>
    <w:p w14:paraId="32AAD5F7" w14:textId="773F75CD" w:rsidR="00BD405E" w:rsidRPr="001B0F35" w:rsidRDefault="00BD405E" w:rsidP="00C7130A">
      <w:pPr>
        <w:ind w:left="720"/>
        <w:rPr>
          <w:kern w:val="0"/>
          <w14:ligatures w14:val="none"/>
        </w:rPr>
      </w:pPr>
      <w:r w:rsidRPr="001B0F35">
        <w:rPr>
          <w:kern w:val="0"/>
          <w14:ligatures w14:val="none"/>
        </w:rPr>
        <w:tab/>
      </w:r>
      <w:r w:rsidR="00C2211C" w:rsidRPr="001B0F35">
        <w:rPr>
          <w:kern w:val="0"/>
          <w:rtl/>
          <w14:ligatures w14:val="none"/>
        </w:rPr>
        <w:t>الوقت: في اليوم العاشر من الشهر السابع</w:t>
      </w:r>
    </w:p>
    <w:p w14:paraId="5EDF4589" w14:textId="77777777" w:rsidR="00BD405E" w:rsidRPr="001B0F35" w:rsidRDefault="00BD405E" w:rsidP="00C7130A">
      <w:pPr>
        <w:ind w:left="720"/>
        <w:rPr>
          <w:kern w:val="0"/>
          <w14:ligatures w14:val="none"/>
        </w:rPr>
      </w:pPr>
    </w:p>
    <w:p w14:paraId="367B8CAF" w14:textId="5E644CBD" w:rsidR="00BD405E" w:rsidRPr="001B0F35" w:rsidRDefault="00C2211C">
      <w:pPr>
        <w:pStyle w:val="ListParagraph"/>
        <w:numPr>
          <w:ilvl w:val="0"/>
          <w:numId w:val="14"/>
        </w:numPr>
        <w:rPr>
          <w:b/>
          <w:bCs/>
          <w:kern w:val="0"/>
          <w14:ligatures w14:val="none"/>
        </w:rPr>
      </w:pPr>
      <w:r w:rsidRPr="001B0F35">
        <w:rPr>
          <w:b/>
          <w:bCs/>
          <w:kern w:val="0"/>
          <w:rtl/>
          <w14:ligatures w14:val="none"/>
        </w:rPr>
        <w:t xml:space="preserve">عيد المظالّ (الخِيم) </w:t>
      </w:r>
    </w:p>
    <w:p w14:paraId="3CD0EF57" w14:textId="53D0893F" w:rsidR="00BD405E" w:rsidRPr="001B0F35" w:rsidRDefault="00BD405E" w:rsidP="00C7130A">
      <w:pPr>
        <w:ind w:left="720"/>
        <w:rPr>
          <w:kern w:val="0"/>
          <w14:ligatures w14:val="none"/>
        </w:rPr>
      </w:pPr>
      <w:r w:rsidRPr="001B0F35">
        <w:rPr>
          <w:kern w:val="0"/>
          <w14:ligatures w14:val="none"/>
        </w:rPr>
        <w:tab/>
      </w:r>
      <w:r w:rsidR="00C2211C" w:rsidRPr="001B0F35">
        <w:rPr>
          <w:kern w:val="0"/>
          <w:rtl/>
          <w14:ligatures w14:val="none"/>
        </w:rPr>
        <w:t xml:space="preserve">لاويين 23: 33-43؛ سفر العدد 29: 12-38؛ تثنية 16: 13-15 </w:t>
      </w:r>
    </w:p>
    <w:p w14:paraId="367AA74F" w14:textId="2DC71E98" w:rsidR="00BD405E" w:rsidRPr="001B0F35" w:rsidRDefault="00BD405E" w:rsidP="00C7130A">
      <w:pPr>
        <w:ind w:left="720"/>
        <w:rPr>
          <w:kern w:val="0"/>
          <w:rtl/>
          <w14:ligatures w14:val="none"/>
        </w:rPr>
      </w:pPr>
      <w:r w:rsidRPr="001B0F35">
        <w:rPr>
          <w:kern w:val="0"/>
          <w14:ligatures w14:val="none"/>
        </w:rPr>
        <w:tab/>
      </w:r>
      <w:r w:rsidR="00C2211C" w:rsidRPr="001B0F35">
        <w:rPr>
          <w:kern w:val="0"/>
          <w:rtl/>
          <w14:ligatures w14:val="none"/>
        </w:rPr>
        <w:t xml:space="preserve">الوقت: في اليوم الخامس عشر من الشهر السابع (ولمدة 7 أيّام) </w:t>
      </w:r>
    </w:p>
    <w:p w14:paraId="4AED742D" w14:textId="28A299F5" w:rsidR="00C2211C" w:rsidRPr="001B0F35" w:rsidRDefault="00C2211C" w:rsidP="00C7130A">
      <w:pPr>
        <w:ind w:left="720"/>
        <w:rPr>
          <w:kern w:val="0"/>
          <w:rtl/>
          <w14:ligatures w14:val="none"/>
        </w:rPr>
      </w:pPr>
    </w:p>
    <w:p w14:paraId="00F92579" w14:textId="41263358" w:rsidR="00C2211C" w:rsidRPr="00C7130A" w:rsidRDefault="00C2211C" w:rsidP="00C7130A">
      <w:pPr>
        <w:ind w:left="720"/>
        <w:rPr>
          <w:kern w:val="0"/>
          <w:szCs w:val="20"/>
          <w:rtl/>
          <w14:ligatures w14:val="none"/>
        </w:rPr>
      </w:pPr>
    </w:p>
    <w:p w14:paraId="718C9347" w14:textId="77777777" w:rsidR="00C2211C" w:rsidRPr="00C7130A" w:rsidRDefault="00C2211C" w:rsidP="00C7130A">
      <w:pPr>
        <w:ind w:left="720"/>
        <w:rPr>
          <w:kern w:val="0"/>
          <w:szCs w:val="20"/>
          <w14:ligatures w14:val="none"/>
        </w:rPr>
      </w:pPr>
    </w:p>
    <w:p w14:paraId="45514127" w14:textId="77777777" w:rsidR="001B0F35" w:rsidRDefault="001B0F35">
      <w:pPr>
        <w:bidi w:val="0"/>
        <w:spacing w:before="0" w:after="160" w:line="259" w:lineRule="auto"/>
        <w:rPr>
          <w:bCs/>
          <w:kern w:val="0"/>
          <w:sz w:val="40"/>
          <w:szCs w:val="40"/>
          <w:rtl/>
          <w14:ligatures w14:val="none"/>
        </w:rPr>
      </w:pPr>
      <w:bookmarkStart w:id="242" w:name="_Hlk157180747"/>
      <w:bookmarkStart w:id="243" w:name="_Hlk178778918"/>
      <w:bookmarkEnd w:id="241"/>
      <w:r>
        <w:rPr>
          <w:bCs/>
          <w:kern w:val="0"/>
          <w:sz w:val="40"/>
          <w:szCs w:val="40"/>
          <w:rtl/>
          <w14:ligatures w14:val="none"/>
        </w:rPr>
        <w:br w:type="page"/>
      </w:r>
    </w:p>
    <w:p w14:paraId="0CE69CC7" w14:textId="3029B356" w:rsidR="008B149F" w:rsidRPr="00C7130A" w:rsidRDefault="00851CEE" w:rsidP="00E80A44">
      <w:pPr>
        <w:pStyle w:val="Heading2"/>
      </w:pPr>
      <w:bookmarkStart w:id="244" w:name="_Toc193031031"/>
      <w:r w:rsidRPr="00C7130A">
        <w:rPr>
          <w:rtl/>
        </w:rPr>
        <w:lastRenderedPageBreak/>
        <w:t>الدرس 8: سنوات البرّيّة الأربعون</w:t>
      </w:r>
      <w:bookmarkEnd w:id="244"/>
      <w:r w:rsidRPr="00C7130A">
        <w:rPr>
          <w:rtl/>
        </w:rPr>
        <w:t xml:space="preserve"> </w:t>
      </w:r>
      <w:bookmarkEnd w:id="242"/>
    </w:p>
    <w:p w14:paraId="798F5C7D" w14:textId="2BE2B73B" w:rsidR="00311C51" w:rsidRPr="00243985" w:rsidRDefault="00243985" w:rsidP="00243985">
      <w:pPr>
        <w:tabs>
          <w:tab w:val="left" w:pos="0"/>
          <w:tab w:val="left" w:pos="540"/>
          <w:tab w:val="left" w:pos="1080"/>
          <w:tab w:val="left" w:pos="1620"/>
          <w:tab w:val="left" w:pos="2160"/>
          <w:tab w:val="left" w:pos="2700"/>
          <w:tab w:val="left" w:pos="3240"/>
          <w:tab w:val="left" w:pos="3780"/>
          <w:tab w:val="left" w:pos="4320"/>
          <w:tab w:val="left" w:pos="4860"/>
        </w:tabs>
        <w:spacing w:after="200"/>
        <w:jc w:val="center"/>
        <w:rPr>
          <w:rFonts w:eastAsia="Calibri"/>
          <w:b/>
          <w:bCs/>
          <w:kern w:val="0"/>
          <w:sz w:val="52"/>
          <w:szCs w:val="52"/>
          <w14:ligatures w14:val="none"/>
        </w:rPr>
      </w:pPr>
      <w:bookmarkStart w:id="245" w:name="_Toc193031032"/>
      <w:r w:rsidRPr="00243985">
        <w:rPr>
          <w:b/>
          <w:bCs/>
          <w:sz w:val="52"/>
          <w:szCs w:val="52"/>
          <w:rtl/>
        </w:rPr>
        <w:t>(سفر العدد 1-36)</w:t>
      </w:r>
      <w:bookmarkEnd w:id="245"/>
    </w:p>
    <w:p w14:paraId="06192376" w14:textId="5465C14C" w:rsidR="008B149F" w:rsidRPr="00C7130A" w:rsidRDefault="00C2211C" w:rsidP="000558B7">
      <w:pPr>
        <w:pStyle w:val="Heading3"/>
      </w:pPr>
      <w:bookmarkStart w:id="246" w:name="_Toc193031033"/>
      <w:r w:rsidRPr="00C7130A">
        <w:rPr>
          <w:rtl/>
        </w:rPr>
        <w:t>مُقدِّمة الدرس</w:t>
      </w:r>
      <w:bookmarkEnd w:id="246"/>
    </w:p>
    <w:p w14:paraId="71FF158B" w14:textId="2C4969D8" w:rsidR="00C2211C" w:rsidRPr="00C7130A" w:rsidRDefault="00FE303F" w:rsidP="004A4013">
      <w:pPr>
        <w:rPr>
          <w:rtl/>
          <w:lang w:bidi="ar-JO"/>
        </w:rPr>
      </w:pPr>
      <w:r w:rsidRPr="00C7130A">
        <w:rPr>
          <w:rtl/>
          <w:lang w:bidi="ar-JO"/>
        </w:rPr>
        <w:t>من وقت اختيار خروف الفصح (خروج 12) إلى عبور العبرانيين نهرَ الأردن عام 1406 ق.م. مرّت أربعون سنة تمامًا. يشرح لنا سفر العدد سبب استغراق الرحلة هذه المدة الطويلة من مصر إلى أن عبَّرهم الله نهر الأردن إلى أرض الموعد (وه</w:t>
      </w:r>
      <w:r w:rsidR="002A733E" w:rsidRPr="00C7130A">
        <w:rPr>
          <w:rtl/>
          <w:lang w:bidi="ar-JO"/>
        </w:rPr>
        <w:t>ي</w:t>
      </w:r>
      <w:r w:rsidRPr="00C7130A">
        <w:rPr>
          <w:rtl/>
          <w:lang w:bidi="ar-JO"/>
        </w:rPr>
        <w:t xml:space="preserve"> رحلة عادةً ما كانت تستغرق حوالي عشرة أيّام). </w:t>
      </w:r>
    </w:p>
    <w:p w14:paraId="7BC0599D" w14:textId="03AA683B" w:rsidR="00C2211C" w:rsidRDefault="00FE303F" w:rsidP="004A4013">
      <w:pPr>
        <w:rPr>
          <w:rtl/>
          <w:lang w:bidi="ar-JO"/>
        </w:rPr>
      </w:pPr>
      <w:r w:rsidRPr="00C7130A">
        <w:rPr>
          <w:rtl/>
          <w:lang w:bidi="ar-JO"/>
        </w:rPr>
        <w:t xml:space="preserve">تصف الأصحاحات العشرة الأولى التجهيزات المختلفة من الشعب لمغادرة جبل سيناء، حيث </w:t>
      </w:r>
      <w:r w:rsidR="00A05893" w:rsidRPr="00C7130A">
        <w:rPr>
          <w:rtl/>
          <w:lang w:bidi="ar-JO"/>
        </w:rPr>
        <w:t>عسكروا</w:t>
      </w:r>
      <w:r w:rsidRPr="00C7130A">
        <w:rPr>
          <w:rtl/>
          <w:lang w:bidi="ar-JO"/>
        </w:rPr>
        <w:t xml:space="preserve"> مد</w:t>
      </w:r>
      <w:r w:rsidR="00A05893" w:rsidRPr="00C7130A">
        <w:rPr>
          <w:rtl/>
          <w:lang w:bidi="ar-JO"/>
        </w:rPr>
        <w:t>ّ</w:t>
      </w:r>
      <w:r w:rsidRPr="00C7130A">
        <w:rPr>
          <w:rtl/>
          <w:lang w:bidi="ar-JO"/>
        </w:rPr>
        <w:t>ةَ سنةٍ تقريبًا. وقد شمل هذا إحصاء</w:t>
      </w:r>
      <w:r w:rsidR="00A05893" w:rsidRPr="00C7130A">
        <w:rPr>
          <w:rtl/>
          <w:lang w:bidi="ar-JO"/>
        </w:rPr>
        <w:t>َ</w:t>
      </w:r>
      <w:r w:rsidRPr="00C7130A">
        <w:rPr>
          <w:rtl/>
          <w:lang w:bidi="ar-JO"/>
        </w:rPr>
        <w:t xml:space="preserve"> كل</w:t>
      </w:r>
      <w:r w:rsidR="00A05893" w:rsidRPr="00C7130A">
        <w:rPr>
          <w:rtl/>
          <w:lang w:bidi="ar-JO"/>
        </w:rPr>
        <w:t>ِّ</w:t>
      </w:r>
      <w:r w:rsidRPr="00C7130A">
        <w:rPr>
          <w:rtl/>
          <w:lang w:bidi="ar-JO"/>
        </w:rPr>
        <w:t xml:space="preserve"> رجال الحرب من كل</w:t>
      </w:r>
      <w:r w:rsidR="00A05893" w:rsidRPr="00C7130A">
        <w:rPr>
          <w:rtl/>
          <w:lang w:bidi="ar-JO"/>
        </w:rPr>
        <w:t>ِّ</w:t>
      </w:r>
      <w:r w:rsidRPr="00C7130A">
        <w:rPr>
          <w:rtl/>
          <w:lang w:bidi="ar-JO"/>
        </w:rPr>
        <w:t xml:space="preserve"> سبط. وبعد مغادرة الشعب جبل سيناء (سفر العدد 10: 11)، ارتحلوا إلى موقع على الطرف الجنوبي من الأرض، ويُعرَف هذا الموقع باسم قادش برنيع. ومن هناك، أُرسِل اثنا عشر جاسوسًا لتفقُّد الأرض والرجوع بخبرٍ عنها إلى موسى. عشرةٌ من هؤلاء الجواسيس، بدل أن يشجّعوا الشعب على إطاعة الله والوثوق به في أن يتمكّنوا من هزيمة سكان الأرض الأشرار، أحبطوا الشعب، وقالوا لهم إنّهم لا يستطيعون أن يهزموا الكنعانيّين. </w:t>
      </w:r>
      <w:r w:rsidR="00FE684E" w:rsidRPr="00C7130A">
        <w:rPr>
          <w:rtl/>
          <w:lang w:bidi="ar-JO"/>
        </w:rPr>
        <w:t xml:space="preserve">وإذ مال الشعب إلى قبول هذا التقرير الرديء، تمرَّدوا على الله ورفضوا أن يدخلوا الأرض. ونتيجةً لهذا، أدان الله ذلك الجيل، فسمح بأن يموت في البريّة إلى أن قام جيلٌ جديد سيثق بالرب ويمتلك الأرض. ويُختَم السفر بوجود هذا الجيل الجديد على الضفّة الشرقيّة من نهر الأردن، </w:t>
      </w:r>
      <w:r w:rsidR="00322941" w:rsidRPr="00C7130A">
        <w:rPr>
          <w:rtl/>
          <w:lang w:bidi="ar-JO"/>
        </w:rPr>
        <w:t xml:space="preserve">وهو </w:t>
      </w:r>
      <w:r w:rsidR="00AD1385" w:rsidRPr="00C7130A">
        <w:rPr>
          <w:rtl/>
          <w:lang w:bidi="ar-JO"/>
        </w:rPr>
        <w:t>ي</w:t>
      </w:r>
      <w:r w:rsidR="00322941" w:rsidRPr="00C7130A">
        <w:rPr>
          <w:rtl/>
          <w:lang w:bidi="ar-JO"/>
        </w:rPr>
        <w:t>ستعدّ</w:t>
      </w:r>
      <w:r w:rsidR="00AD1385" w:rsidRPr="00C7130A">
        <w:rPr>
          <w:rtl/>
          <w:lang w:bidi="ar-JO"/>
        </w:rPr>
        <w:t>ُ</w:t>
      </w:r>
      <w:r w:rsidR="00322941" w:rsidRPr="00C7130A">
        <w:rPr>
          <w:rtl/>
          <w:lang w:bidi="ar-JO"/>
        </w:rPr>
        <w:t xml:space="preserve"> لأن يدخل إلى الأرض. </w:t>
      </w:r>
    </w:p>
    <w:p w14:paraId="1D9485E2" w14:textId="77777777" w:rsidR="00243985" w:rsidRPr="00C7130A" w:rsidRDefault="00243985" w:rsidP="004A4013">
      <w:pPr>
        <w:rPr>
          <w:rtl/>
          <w:lang w:bidi="ar-JO"/>
        </w:rPr>
      </w:pPr>
    </w:p>
    <w:p w14:paraId="6FF49B9E" w14:textId="4A623FF5" w:rsidR="008B149F" w:rsidRPr="00C7130A" w:rsidRDefault="00322941" w:rsidP="000558B7">
      <w:pPr>
        <w:pStyle w:val="Heading3"/>
      </w:pPr>
      <w:bookmarkStart w:id="247" w:name="_Toc193031034"/>
      <w:r w:rsidRPr="00C7130A">
        <w:rPr>
          <w:rtl/>
        </w:rPr>
        <w:t>مخطَّط الدرس</w:t>
      </w:r>
      <w:bookmarkEnd w:id="247"/>
    </w:p>
    <w:p w14:paraId="1602E381" w14:textId="61307024" w:rsidR="008B149F" w:rsidRPr="004A4013" w:rsidRDefault="00322941"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bookmarkStart w:id="248" w:name="_Hlk190695161"/>
      <w:bookmarkStart w:id="249" w:name="_Hlk157172673"/>
      <w:r w:rsidRPr="004A4013">
        <w:rPr>
          <w:rFonts w:eastAsia="Calibri"/>
          <w:kern w:val="0"/>
          <w:rtl/>
          <w14:ligatures w14:val="none"/>
        </w:rPr>
        <w:t xml:space="preserve">الموضوع 1: </w:t>
      </w:r>
      <w:r w:rsidRPr="004A4013">
        <w:rPr>
          <w:rFonts w:eastAsia="Calibri"/>
          <w:kern w:val="0"/>
          <w:rtl/>
          <w14:ligatures w14:val="none"/>
        </w:rPr>
        <w:tab/>
        <w:t>نظرة عامة إلى سفر العدد</w:t>
      </w:r>
    </w:p>
    <w:p w14:paraId="1A4B0147" w14:textId="0E4C495A" w:rsidR="00322941" w:rsidRPr="004A4013" w:rsidRDefault="00322941"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4A4013">
        <w:rPr>
          <w:rFonts w:eastAsia="Calibri"/>
          <w:kern w:val="0"/>
          <w:rtl/>
          <w14:ligatures w14:val="none"/>
        </w:rPr>
        <w:t xml:space="preserve">الموضوع 2: </w:t>
      </w:r>
      <w:r w:rsidRPr="004A4013">
        <w:rPr>
          <w:rFonts w:eastAsia="Calibri"/>
          <w:kern w:val="0"/>
          <w:rtl/>
          <w14:ligatures w14:val="none"/>
        </w:rPr>
        <w:tab/>
        <w:t xml:space="preserve">الإعداد للرحلة (سفر العدد 1: 1 – 10: 10) </w:t>
      </w:r>
    </w:p>
    <w:p w14:paraId="1FA6C189" w14:textId="6E1D2611" w:rsidR="00322941" w:rsidRPr="004A4013" w:rsidRDefault="00322941"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4A4013">
        <w:rPr>
          <w:rFonts w:eastAsia="Calibri"/>
          <w:kern w:val="0"/>
          <w:rtl/>
          <w14:ligatures w14:val="none"/>
        </w:rPr>
        <w:t xml:space="preserve">الموضوع 3: </w:t>
      </w:r>
      <w:r w:rsidRPr="004A4013">
        <w:rPr>
          <w:rFonts w:eastAsia="Calibri"/>
          <w:kern w:val="0"/>
          <w:rtl/>
          <w14:ligatures w14:val="none"/>
        </w:rPr>
        <w:tab/>
        <w:t xml:space="preserve">التمرُّد في البرّيّة (سفر العدد 10: 11 – 21: 35) </w:t>
      </w:r>
    </w:p>
    <w:p w14:paraId="6F4A4578" w14:textId="7BCC0CE7" w:rsidR="00322941" w:rsidRPr="004A4013" w:rsidRDefault="00322941"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4A4013">
        <w:rPr>
          <w:rFonts w:eastAsia="Calibri"/>
          <w:kern w:val="0"/>
          <w:rtl/>
          <w14:ligatures w14:val="none"/>
        </w:rPr>
        <w:t xml:space="preserve">الموضوع 4: </w:t>
      </w:r>
      <w:r w:rsidRPr="004A4013">
        <w:rPr>
          <w:rFonts w:eastAsia="Calibri"/>
          <w:kern w:val="0"/>
          <w:rtl/>
          <w14:ligatures w14:val="none"/>
        </w:rPr>
        <w:tab/>
        <w:t xml:space="preserve">إعداد الجيل الجديد للدخول (سفر العدد 22: 1 – 36: 13) </w:t>
      </w:r>
      <w:bookmarkEnd w:id="248"/>
    </w:p>
    <w:bookmarkEnd w:id="249"/>
    <w:p w14:paraId="44947278" w14:textId="77777777" w:rsidR="004A4013" w:rsidRDefault="004A4013" w:rsidP="000558B7">
      <w:pPr>
        <w:pStyle w:val="Heading3"/>
        <w:rPr>
          <w:rtl/>
        </w:rPr>
      </w:pPr>
    </w:p>
    <w:p w14:paraId="07DE7CF2" w14:textId="48ECEEDD" w:rsidR="008B149F" w:rsidRPr="00C7130A" w:rsidRDefault="00322941" w:rsidP="000558B7">
      <w:pPr>
        <w:pStyle w:val="Heading3"/>
      </w:pPr>
      <w:bookmarkStart w:id="250" w:name="_Toc193031035"/>
      <w:r w:rsidRPr="00C7130A">
        <w:rPr>
          <w:rtl/>
        </w:rPr>
        <w:t>أهداف الدرس</w:t>
      </w:r>
      <w:bookmarkEnd w:id="250"/>
    </w:p>
    <w:p w14:paraId="7D6C026A" w14:textId="5785F5AD" w:rsidR="008B149F" w:rsidRPr="004A4013" w:rsidRDefault="00322941" w:rsidP="00C7130A">
      <w:pPr>
        <w:spacing w:after="80"/>
        <w:rPr>
          <w:rFonts w:eastAsia="Calibri"/>
          <w:kern w:val="0"/>
          <w14:ligatures w14:val="none"/>
        </w:rPr>
      </w:pPr>
      <w:r w:rsidRPr="004A4013">
        <w:rPr>
          <w:rFonts w:eastAsia="Calibri"/>
          <w:kern w:val="0"/>
          <w:rtl/>
          <w14:ligatures w14:val="none"/>
        </w:rPr>
        <w:t xml:space="preserve">بانتهائك من دراسة هذا الدرس، ستكون قادرًا على ما يلي: </w:t>
      </w:r>
    </w:p>
    <w:p w14:paraId="5CB9E7C1" w14:textId="22E59693" w:rsidR="00322941" w:rsidRPr="00495D3D" w:rsidRDefault="00322941">
      <w:pPr>
        <w:pStyle w:val="ListParagraph"/>
        <w:numPr>
          <w:ilvl w:val="0"/>
          <w:numId w:val="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95D3D">
        <w:rPr>
          <w:rFonts w:eastAsia="Calibri"/>
          <w:kern w:val="0"/>
          <w:rtl/>
          <w14:ligatures w14:val="none"/>
        </w:rPr>
        <w:lastRenderedPageBreak/>
        <w:t xml:space="preserve">أن تشرح فشلَ وتمرُّدَ جيل الخروج حين وصلوا إلى موقع قادش برنيع. </w:t>
      </w:r>
    </w:p>
    <w:p w14:paraId="5CCE5ABF" w14:textId="1534B86F" w:rsidR="00322941" w:rsidRPr="00495D3D" w:rsidRDefault="00322941">
      <w:pPr>
        <w:pStyle w:val="ListParagraph"/>
        <w:numPr>
          <w:ilvl w:val="0"/>
          <w:numId w:val="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95D3D">
        <w:rPr>
          <w:rFonts w:eastAsia="Calibri"/>
          <w:kern w:val="0"/>
          <w:rtl/>
          <w14:ligatures w14:val="none"/>
        </w:rPr>
        <w:t xml:space="preserve">أن تبيّن مغزى وأهمّيّة "أقوال بلعام" في ما يختصّ بوعود عهد الله. </w:t>
      </w:r>
    </w:p>
    <w:p w14:paraId="16986A39" w14:textId="56244F1B" w:rsidR="00322941" w:rsidRPr="00495D3D" w:rsidRDefault="00322941">
      <w:pPr>
        <w:pStyle w:val="ListParagraph"/>
        <w:numPr>
          <w:ilvl w:val="0"/>
          <w:numId w:val="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495D3D">
        <w:rPr>
          <w:rFonts w:eastAsia="Calibri"/>
          <w:kern w:val="0"/>
          <w:rtl/>
          <w14:ligatures w14:val="none"/>
        </w:rPr>
        <w:t xml:space="preserve">أن تشرح سبب عدم السماح لموسى بأن يدخل إلى أرض الموعود (والمغزى الرمزي لعصيانه). </w:t>
      </w:r>
    </w:p>
    <w:p w14:paraId="7C7E39C9" w14:textId="65F0AA15" w:rsidR="008B149F" w:rsidRPr="00C7130A" w:rsidRDefault="008B14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spacing w:after="200"/>
        <w:contextualSpacing/>
        <w:rPr>
          <w:rFonts w:eastAsia="Calibri"/>
          <w:kern w:val="0"/>
          <w:szCs w:val="24"/>
          <w14:ligatures w14:val="none"/>
        </w:rPr>
      </w:pPr>
      <w:r w:rsidRPr="00C7130A">
        <w:rPr>
          <w:rFonts w:eastAsia="Calibri"/>
          <w:kern w:val="0"/>
          <w:szCs w:val="24"/>
          <w14:ligatures w14:val="none"/>
        </w:rPr>
        <w:br w:type="page"/>
      </w:r>
    </w:p>
    <w:p w14:paraId="046BC6B2" w14:textId="41E104BE" w:rsidR="006311FA" w:rsidRPr="00C7130A" w:rsidRDefault="00322941" w:rsidP="000558B7">
      <w:pPr>
        <w:pStyle w:val="Heading2B"/>
      </w:pPr>
      <w:bookmarkStart w:id="251" w:name="_Toc193031036"/>
      <w:r w:rsidRPr="00C7130A">
        <w:rPr>
          <w:rtl/>
        </w:rPr>
        <w:lastRenderedPageBreak/>
        <w:t>الموضوع 1: نظرة عامة إلى سفر العدد</w:t>
      </w:r>
      <w:bookmarkEnd w:id="251"/>
    </w:p>
    <w:p w14:paraId="1EE3D7FD" w14:textId="691E3B12" w:rsidR="002F2ED9" w:rsidRPr="00F61332" w:rsidRDefault="002F2ED9"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252" w:name="_Hlk157178863"/>
      <w:r w:rsidRPr="00C7130A">
        <w:rPr>
          <w:rFonts w:eastAsia="Calibri"/>
          <w:b/>
          <w:caps/>
          <w:noProof/>
          <w:color w:val="006699"/>
          <w:kern w:val="0"/>
          <w:sz w:val="21"/>
          <w:szCs w:val="24"/>
          <w14:ligatures w14:val="none"/>
        </w:rPr>
        <w:drawing>
          <wp:inline distT="0" distB="0" distL="0" distR="0" wp14:anchorId="5F65BFE5" wp14:editId="5D7F95D2">
            <wp:extent cx="613692" cy="541464"/>
            <wp:effectExtent l="0" t="0" r="0" b="0"/>
            <wp:docPr id="544835682" name="Picture 54483568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322941" w:rsidRPr="00F61332">
        <w:rPr>
          <w:rFonts w:eastAsia="Calibri"/>
          <w:bCs/>
          <w:caps/>
          <w:color w:val="006699"/>
          <w:kern w:val="0"/>
          <w:u w:val="single"/>
          <w:rtl/>
          <w14:ligatures w14:val="none"/>
        </w:rPr>
        <w:t>القراءة:</w:t>
      </w:r>
      <w:r w:rsidR="00322941" w:rsidRPr="00F61332">
        <w:rPr>
          <w:rFonts w:eastAsia="Calibri"/>
          <w:b/>
          <w:caps/>
          <w:color w:val="006699"/>
          <w:kern w:val="0"/>
          <w:u w:val="single"/>
          <w:rtl/>
          <w14:ligatures w14:val="none"/>
        </w:rPr>
        <w:t xml:space="preserve"> </w:t>
      </w:r>
    </w:p>
    <w:p w14:paraId="25E1B83D" w14:textId="3CE78CCA" w:rsidR="002F2ED9" w:rsidRPr="00F61332" w:rsidRDefault="002F2ED9" w:rsidP="00C7130A">
      <w:pPr>
        <w:rPr>
          <w:b/>
          <w:bCs/>
        </w:rPr>
      </w:pPr>
      <w:r w:rsidRPr="00F61332">
        <w:tab/>
      </w:r>
      <w:r w:rsidRPr="00F61332">
        <w:tab/>
      </w:r>
      <w:r w:rsidR="00322941" w:rsidRPr="00F61332">
        <w:rPr>
          <w:rtl/>
        </w:rPr>
        <w:t xml:space="preserve">اقرأ </w:t>
      </w:r>
      <w:r w:rsidR="00AD1385" w:rsidRPr="00F61332">
        <w:rPr>
          <w:rtl/>
        </w:rPr>
        <w:t xml:space="preserve">يوجين </w:t>
      </w:r>
      <w:r w:rsidR="00322941" w:rsidRPr="00F61332">
        <w:rPr>
          <w:rtl/>
        </w:rPr>
        <w:t xml:space="preserve">ميرل، </w:t>
      </w:r>
      <w:r w:rsidR="00322941" w:rsidRPr="00F61332">
        <w:rPr>
          <w:u w:val="single"/>
          <w:rtl/>
        </w:rPr>
        <w:t>لاهوت العهد القديم الكتابي</w:t>
      </w:r>
      <w:r w:rsidR="00322941" w:rsidRPr="00F61332">
        <w:rPr>
          <w:rtl/>
        </w:rPr>
        <w:t>، "لاهوت سفر اللاويّين".</w:t>
      </w:r>
    </w:p>
    <w:bookmarkEnd w:id="252"/>
    <w:p w14:paraId="6087644D" w14:textId="77777777" w:rsidR="00AC0518" w:rsidRPr="00F61332" w:rsidRDefault="00AC0518" w:rsidP="00C7130A">
      <w:pPr>
        <w:pStyle w:val="Heading4RED"/>
        <w:rPr>
          <w:rFonts w:cs="Arabic Typesetting"/>
          <w:sz w:val="36"/>
          <w:szCs w:val="36"/>
        </w:rPr>
      </w:pPr>
    </w:p>
    <w:p w14:paraId="464AAED0" w14:textId="05CBC5E8" w:rsidR="005F171C" w:rsidRPr="00F61332" w:rsidRDefault="00322941" w:rsidP="000558B7">
      <w:pPr>
        <w:pStyle w:val="Heading3"/>
      </w:pPr>
      <w:bookmarkStart w:id="253" w:name="_Toc193031037"/>
      <w:r w:rsidRPr="00F61332">
        <w:rPr>
          <w:rtl/>
        </w:rPr>
        <w:t>لوحة توضيحيّة لسفر العدد</w:t>
      </w:r>
      <w:bookmarkEnd w:id="253"/>
    </w:p>
    <w:bookmarkEnd w:id="243"/>
    <w:p w14:paraId="2F2643C1" w14:textId="77777777" w:rsidR="005F171C" w:rsidRPr="00F61332" w:rsidRDefault="005F171C" w:rsidP="00C7130A"/>
    <w:p w14:paraId="58227D2A" w14:textId="4FB932A2" w:rsidR="006311FA" w:rsidRPr="00C7130A" w:rsidRDefault="00070B6E"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noProof/>
          <w:kern w:val="0"/>
          <w:szCs w:val="24"/>
          <w14:ligatures w14:val="none"/>
        </w:rPr>
        <w:drawing>
          <wp:inline distT="0" distB="0" distL="0" distR="0" wp14:anchorId="07CA5C6C" wp14:editId="687E48BC">
            <wp:extent cx="5943600" cy="3992880"/>
            <wp:effectExtent l="0" t="0" r="0" b="0"/>
            <wp:docPr id="8148056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3600" cy="3992880"/>
                    </a:xfrm>
                    <a:prstGeom prst="rect">
                      <a:avLst/>
                    </a:prstGeom>
                    <a:noFill/>
                    <a:ln>
                      <a:noFill/>
                    </a:ln>
                  </pic:spPr>
                </pic:pic>
              </a:graphicData>
            </a:graphic>
          </wp:inline>
        </w:drawing>
      </w:r>
    </w:p>
    <w:p w14:paraId="17223B1B" w14:textId="77777777" w:rsidR="005F171C" w:rsidRPr="00C7130A" w:rsidRDefault="005F171C" w:rsidP="000558B7">
      <w:pPr>
        <w:pStyle w:val="Heading3"/>
      </w:pPr>
      <w:r w:rsidRPr="00C7130A">
        <w:br w:type="page"/>
      </w:r>
    </w:p>
    <w:p w14:paraId="6174F280" w14:textId="602E0D0C" w:rsidR="005F171C" w:rsidRPr="00F61332" w:rsidRDefault="00322941" w:rsidP="000558B7">
      <w:pPr>
        <w:pStyle w:val="Heading3"/>
      </w:pPr>
      <w:bookmarkStart w:id="254" w:name="_Toc193031038"/>
      <w:r w:rsidRPr="00F61332">
        <w:rPr>
          <w:rtl/>
        </w:rPr>
        <w:lastRenderedPageBreak/>
        <w:t>التسلسل الزمني التاريخي لفترة البرّيّة</w:t>
      </w:r>
      <w:bookmarkStart w:id="255" w:name="_Hlk178778937"/>
      <w:bookmarkEnd w:id="254"/>
      <w:r w:rsidRPr="00F61332">
        <w:rPr>
          <w:rtl/>
        </w:rPr>
        <w:t xml:space="preserve"> </w:t>
      </w:r>
    </w:p>
    <w:bookmarkEnd w:id="255"/>
    <w:p w14:paraId="2653ABB2" w14:textId="77777777" w:rsidR="005F171C" w:rsidRPr="00C7130A" w:rsidRDefault="005F171C" w:rsidP="00C7130A"/>
    <w:p w14:paraId="61DF9B2B" w14:textId="7BB0E07B" w:rsidR="005F171C" w:rsidRPr="00C7130A" w:rsidRDefault="00070B6E" w:rsidP="00C7130A">
      <w:r w:rsidRPr="00C7130A">
        <w:rPr>
          <w:noProof/>
        </w:rPr>
        <w:drawing>
          <wp:inline distT="0" distB="0" distL="0" distR="0" wp14:anchorId="1F710E66" wp14:editId="65B6980E">
            <wp:extent cx="5943600" cy="4229100"/>
            <wp:effectExtent l="0" t="0" r="0" b="0"/>
            <wp:docPr id="10800534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14:paraId="21F1D9F4" w14:textId="77777777" w:rsidR="005D651A" w:rsidRPr="00C7130A" w:rsidRDefault="005D651A" w:rsidP="00C7130A"/>
    <w:p w14:paraId="3E28AB3F" w14:textId="6BEFCC68" w:rsidR="006311FA" w:rsidRPr="00C7130A" w:rsidRDefault="00322941" w:rsidP="000558B7">
      <w:pPr>
        <w:pStyle w:val="Heading2B"/>
      </w:pPr>
      <w:bookmarkStart w:id="256" w:name="_Toc193031039"/>
      <w:r w:rsidRPr="00C7130A">
        <w:rPr>
          <w:rtl/>
        </w:rPr>
        <w:t>الموضوع 2: الإعداد للرحلة (سفر العدد 1: 1 – 10: 10)</w:t>
      </w:r>
      <w:bookmarkStart w:id="257" w:name="_Hlk178778954"/>
      <w:bookmarkEnd w:id="256"/>
    </w:p>
    <w:p w14:paraId="044E0718" w14:textId="79B7B67E" w:rsidR="002F2ED9" w:rsidRPr="00F61332" w:rsidRDefault="002F2ED9"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14:ligatures w14:val="none"/>
        </w:rPr>
      </w:pPr>
      <w:bookmarkStart w:id="258" w:name="_Hlk157178711"/>
      <w:r w:rsidRPr="00C7130A">
        <w:rPr>
          <w:rFonts w:eastAsia="Calibri"/>
          <w:b/>
          <w:caps/>
          <w:noProof/>
          <w:color w:val="006699"/>
          <w:kern w:val="0"/>
          <w:sz w:val="21"/>
          <w:szCs w:val="24"/>
          <w14:ligatures w14:val="none"/>
        </w:rPr>
        <w:drawing>
          <wp:inline distT="0" distB="0" distL="0" distR="0" wp14:anchorId="0F9CB783" wp14:editId="0A38E3DA">
            <wp:extent cx="613692" cy="541464"/>
            <wp:effectExtent l="0" t="0" r="0" b="0"/>
            <wp:docPr id="1893959652" name="Picture 189395965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322941" w:rsidRPr="00F61332">
        <w:rPr>
          <w:rFonts w:eastAsia="Calibri"/>
          <w:bCs/>
          <w:caps/>
          <w:color w:val="006699"/>
          <w:kern w:val="0"/>
          <w:u w:val="single"/>
          <w:rtl/>
          <w14:ligatures w14:val="none"/>
        </w:rPr>
        <w:t>القراءة:</w:t>
      </w:r>
    </w:p>
    <w:p w14:paraId="4072CFDA" w14:textId="1D42489D" w:rsidR="002F2ED9" w:rsidRPr="00F61332" w:rsidRDefault="002F2ED9" w:rsidP="00C7130A">
      <w:pPr>
        <w:rPr>
          <w:b/>
          <w:bCs/>
        </w:rPr>
      </w:pPr>
      <w:r w:rsidRPr="00F61332">
        <w:tab/>
      </w:r>
      <w:r w:rsidRPr="00F61332">
        <w:tab/>
      </w:r>
      <w:r w:rsidR="00322941" w:rsidRPr="00F61332">
        <w:rPr>
          <w:rtl/>
        </w:rPr>
        <w:t xml:space="preserve">اقرأ سفر العدد 1: 1 – 10: 10 في كتابك المُقدَّس. </w:t>
      </w:r>
    </w:p>
    <w:p w14:paraId="0C535267" w14:textId="77777777" w:rsidR="00070B6E" w:rsidRPr="00F61332" w:rsidRDefault="00070B6E" w:rsidP="000558B7">
      <w:pPr>
        <w:pStyle w:val="Heading3"/>
        <w:rPr>
          <w:rtl/>
          <w:lang w:bidi="ar-JO"/>
        </w:rPr>
      </w:pPr>
      <w:bookmarkStart w:id="259" w:name="_Toc193031040"/>
      <w:bookmarkEnd w:id="257"/>
      <w:bookmarkEnd w:id="258"/>
      <w:r w:rsidRPr="00F61332">
        <w:rPr>
          <w:rtl/>
          <w:lang w:bidi="ar-JO"/>
        </w:rPr>
        <w:t>1.</w:t>
      </w:r>
      <w:r w:rsidRPr="00F61332">
        <w:rPr>
          <w:rtl/>
          <w:lang w:bidi="ar-JO"/>
        </w:rPr>
        <w:tab/>
        <w:t>مقدّمة</w:t>
      </w:r>
      <w:bookmarkEnd w:id="259"/>
    </w:p>
    <w:p w14:paraId="738CFDE6"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 xml:space="preserve">يعكس سفر العدد الخبرات الانتقالية للأمة وهم يتحركون من سيناء ساعين إلى دخول أرض الموعد.  وطبعاً الجيل الذي خرج من مصر رفض أن يصدّق وعد الله فيما يتعلّق بامتلاك الأرض، فكانت نتيجة عصيانهم قضاء أربعين سنة في البرية، </w:t>
      </w:r>
      <w:r w:rsidRPr="00F61332">
        <w:rPr>
          <w:rFonts w:eastAsia="Times New Roman"/>
          <w:kern w:val="0"/>
          <w:rtl/>
          <w:lang w:bidi="ar-JO"/>
          <w14:ligatures w14:val="none"/>
        </w:rPr>
        <w:lastRenderedPageBreak/>
        <w:t>وهو وقت كافٍ لموت ذلك الجيل.</w:t>
      </w:r>
      <w:r w:rsidRPr="00F61332">
        <w:rPr>
          <w:rFonts w:eastAsia="Times New Roman"/>
          <w:kern w:val="0"/>
          <w:rtl/>
          <w:lang w:bidi="ar-JO"/>
          <w14:ligatures w14:val="none"/>
        </w:rPr>
        <w:cr/>
      </w:r>
    </w:p>
    <w:p w14:paraId="02F56183" w14:textId="77777777" w:rsidR="00070B6E" w:rsidRPr="00F61332" w:rsidRDefault="00070B6E" w:rsidP="000558B7">
      <w:pPr>
        <w:pStyle w:val="Heading3"/>
        <w:rPr>
          <w:rtl/>
          <w:lang w:bidi="ar-JO"/>
        </w:rPr>
      </w:pPr>
      <w:bookmarkStart w:id="260" w:name="_Toc193031041"/>
      <w:r w:rsidRPr="00F61332">
        <w:rPr>
          <w:rtl/>
          <w:lang w:bidi="ar-JO"/>
        </w:rPr>
        <w:t>2.</w:t>
      </w:r>
      <w:r w:rsidRPr="00F61332">
        <w:rPr>
          <w:rtl/>
          <w:lang w:bidi="ar-JO"/>
        </w:rPr>
        <w:tab/>
        <w:t>السنة التي عند جبل سيناء</w:t>
      </w:r>
      <w:bookmarkEnd w:id="260"/>
    </w:p>
    <w:p w14:paraId="1AAA82E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بالنسبة للخلفية التاريخية للسفر، فإنه يبدأ وبنو إسرائيل ما زالوا مخيّمين عند أسفل جبل سيناء.  فبعد الخروج من مصر، أمضى بنو إسرائيل أحد عشر شهراً عند جبل سيناء.  ويقول لنا خروج 19: 1 إنهم وصلوا إلى ذلك الجبل في الشهر الثالث من الخروج.  وتكشف لنا الآيتان 10: 11-12 من سفر العدد أنهم ارتحلوا من هناك في العشرين من الشهر الثاني للسنة الثانية.</w:t>
      </w:r>
    </w:p>
    <w:p w14:paraId="1A6DC1FA"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FB7524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وقد حدثت عدّة أمور أثناء هذه الفترة المتوسطة:</w:t>
      </w:r>
    </w:p>
    <w:p w14:paraId="36DD8D45"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(1)</w:t>
      </w:r>
      <w:r w:rsidRPr="00F61332">
        <w:rPr>
          <w:rFonts w:eastAsia="Times New Roman"/>
          <w:kern w:val="0"/>
          <w:rtl/>
          <w:lang w:bidi="ar-JO"/>
          <w14:ligatures w14:val="none"/>
        </w:rPr>
        <w:tab/>
        <w:t>تلقّوا الشريعة (دستور الأمّة) بما في ذلك تعليمات حول خيمة الاجتماع والكهنوت.</w:t>
      </w:r>
    </w:p>
    <w:p w14:paraId="6C81718C"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(2)</w:t>
      </w:r>
      <w:r w:rsidRPr="00F61332">
        <w:rPr>
          <w:rFonts w:eastAsia="Times New Roman"/>
          <w:kern w:val="0"/>
          <w:rtl/>
          <w:lang w:bidi="ar-JO"/>
          <w14:ligatures w14:val="none"/>
        </w:rPr>
        <w:tab/>
        <w:t>تمّ إرشادهم حول طريقة الاقتراب إلى يهوه من خلال الذبيحة والكهنوت التوسطي، بالإضافة إلى طريقة الحياة في وجود يهوه ساكناً بينهم (لاويين).</w:t>
      </w:r>
    </w:p>
    <w:p w14:paraId="3CEDEDC3"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(3)</w:t>
      </w:r>
      <w:r w:rsidRPr="00F61332">
        <w:rPr>
          <w:rFonts w:eastAsia="Times New Roman"/>
          <w:kern w:val="0"/>
          <w:rtl/>
          <w:lang w:bidi="ar-JO"/>
          <w14:ligatures w14:val="none"/>
        </w:rPr>
        <w:tab/>
        <w:t>استعدوا ونظّموا أنفسهم لنقل المخيم (المحلّة) ولرعاية اللاويين لخيمة الاجتماع (العدد 1-10).</w:t>
      </w:r>
    </w:p>
    <w:p w14:paraId="0EC72CE2"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A1181D1"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F61332">
        <w:rPr>
          <w:rFonts w:eastAsia="Times New Roman"/>
          <w:kern w:val="0"/>
          <w:rtl/>
          <w:lang w:bidi="ar-JO"/>
          <w14:ligatures w14:val="none"/>
        </w:rPr>
        <w:t>ومع استمرار القصة، يجب أن نتذكر أن هذه الأصحاحات تمثّل تطبيق العهد والوعود التي قُطعت لإبراهيم (تكوين 12و15)؛  فقد سبق أن وعد الله بأن يجعل منهم أمّة وأن يعطيهم الأرض.  وتعكس هذه الفترة المتوسطة (خروج 19-عدد 10) أمانة الله في تنفيذ هذا الوعد.  فهو ينفّذ ويضمن البرنامج الإلهي.  وقد أعد الله كل شيء لذلك الجيل لكي يأخذوا الأرض.</w:t>
      </w:r>
    </w:p>
    <w:p w14:paraId="5CADECBD"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760093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A4F6FA8"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47B5B98"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كانت السنة التي قضوها عند جبل سيناء سنة تمتّعوا فيها بامتيازات هائلة، حيث تلقّوا إعلاناً موسَّعاً ومحدّداً من الله.  وقد سبق أن تعلّموا الكثير عن قوّة يهوه ومجده وصفاته وقداسته، ولهذا فاقت امتيازاتهم امتيازات أيّة أمّة أخرى من أمم الأرض.  وكما وعد الله، كانوا "خاصة له" (خروج 19: 5)؛ لكن هذا ما يجعل فشلهم المتكرر في سفر العدد –</w:t>
      </w:r>
      <w:r w:rsidRPr="00F61332">
        <w:rPr>
          <w:rFonts w:eastAsia="Times New Roman"/>
          <w:kern w:val="0"/>
          <w:rtl/>
          <w14:ligatures w14:val="none"/>
        </w:rPr>
        <w:t xml:space="preserve"> </w:t>
      </w:r>
      <w:r w:rsidRPr="00F61332">
        <w:rPr>
          <w:rFonts w:eastAsia="Times New Roman"/>
          <w:kern w:val="0"/>
          <w:rtl/>
          <w:lang w:bidi="ar-JO"/>
          <w14:ligatures w14:val="none"/>
        </w:rPr>
        <w:t>التذمّر وعدم الإيمان وحتى التمرّد- يبرز بشكل أكثر وضوحاً.  لهذا يجب أن يُنظَر إلى سفر العدد على خلفية العهد الإبراهيمي والامتيازات الهائلة التي عُهد بها إلى أمّة إسرائيل.</w:t>
      </w:r>
    </w:p>
    <w:p w14:paraId="7B75AEB5"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CBC4372" w14:textId="77777777" w:rsidR="00070B6E" w:rsidRPr="00F61332" w:rsidRDefault="00070B6E" w:rsidP="000558B7">
      <w:pPr>
        <w:pStyle w:val="Heading3"/>
        <w:rPr>
          <w:rtl/>
          <w:lang w:bidi="ar-JO"/>
        </w:rPr>
      </w:pPr>
      <w:bookmarkStart w:id="261" w:name="_Toc193031042"/>
      <w:r w:rsidRPr="00F61332">
        <w:rPr>
          <w:rtl/>
          <w:lang w:bidi="ar-JO"/>
        </w:rPr>
        <w:lastRenderedPageBreak/>
        <w:t>3.</w:t>
      </w:r>
      <w:r w:rsidRPr="00F61332">
        <w:rPr>
          <w:rtl/>
          <w:lang w:bidi="ar-JO"/>
        </w:rPr>
        <w:tab/>
        <w:t>طبيعة السفر</w:t>
      </w:r>
      <w:bookmarkEnd w:id="261"/>
    </w:p>
    <w:p w14:paraId="0D74699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 xml:space="preserve">على الرغم من أن اسم السفر هو "العدد"، إلاّ أن الاسم العبري للسفر هو بَمِدبار </w:t>
      </w:r>
      <w:r w:rsidRPr="00F61332">
        <w:rPr>
          <w:rFonts w:eastAsia="Times New Roman"/>
          <w:bCs/>
          <w:i/>
          <w:iCs/>
          <w:kern w:val="0"/>
          <w:lang w:bidi="ar-JO"/>
          <w14:ligatures w14:val="none"/>
        </w:rPr>
        <w:t>b</w:t>
      </w:r>
      <w:r w:rsidRPr="00F61332">
        <w:rPr>
          <w:rFonts w:ascii="Times New Roman" w:eastAsia="Times New Roman" w:hAnsi="Times New Roman" w:cs="Times New Roman"/>
          <w:bCs/>
          <w:i/>
          <w:iCs/>
          <w:kern w:val="0"/>
          <w:lang w:bidi="ar-JO"/>
          <w14:ligatures w14:val="none"/>
        </w:rPr>
        <w:t>ᵊ</w:t>
      </w:r>
      <w:r w:rsidRPr="00F61332">
        <w:rPr>
          <w:rFonts w:eastAsia="Times New Roman"/>
          <w:bCs/>
          <w:i/>
          <w:iCs/>
          <w:kern w:val="0"/>
          <w:lang w:bidi="ar-JO"/>
          <w14:ligatures w14:val="none"/>
        </w:rPr>
        <w:t>miḏbar</w:t>
      </w:r>
      <w:r w:rsidRPr="00F61332">
        <w:rPr>
          <w:rFonts w:eastAsia="Times New Roman"/>
          <w:kern w:val="0"/>
          <w:rtl/>
          <w:lang w:bidi="ar-JO"/>
          <w14:ligatures w14:val="none"/>
        </w:rPr>
        <w:t xml:space="preserve"> ، ويعني "في البرية".  وهو عنوان أكثر ملاءمة من "العدد"، لأن اهتمام السفر الأساسي منصبٌ على خبرات البريّة –</w:t>
      </w:r>
      <w:r w:rsidRPr="00F61332">
        <w:rPr>
          <w:rFonts w:eastAsia="Times New Roman"/>
          <w:kern w:val="0"/>
          <w:rtl/>
          <w14:ligatures w14:val="none"/>
        </w:rPr>
        <w:t xml:space="preserve"> </w:t>
      </w:r>
      <w:r w:rsidRPr="00F61332">
        <w:rPr>
          <w:rFonts w:eastAsia="Times New Roman"/>
          <w:kern w:val="0"/>
          <w:rtl/>
          <w:lang w:bidi="ar-JO"/>
          <w14:ligatures w14:val="none"/>
        </w:rPr>
        <w:t xml:space="preserve">فهي بريّة حدث فيها تأديب طويل.  ويتضمن هذا تطهير (التخلص من) أولئك الذين تمرّدوا على الله.  يقول كير في </w:t>
      </w:r>
      <w:r w:rsidRPr="00F61332">
        <w:rPr>
          <w:rFonts w:eastAsia="Times New Roman"/>
          <w:kern w:val="0"/>
          <w:u w:val="single"/>
          <w:lang w:bidi="ar-JO"/>
          <w14:ligatures w14:val="none"/>
        </w:rPr>
        <w:t>Biblical Expositor</w:t>
      </w:r>
      <w:r w:rsidRPr="00F61332">
        <w:rPr>
          <w:rFonts w:eastAsia="Times New Roman"/>
          <w:kern w:val="0"/>
          <w:rtl/>
          <w:lang w:bidi="ar-JO"/>
          <w14:ligatures w14:val="none"/>
        </w:rPr>
        <w:t>:</w:t>
      </w:r>
    </w:p>
    <w:p w14:paraId="4604C051"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F61332">
        <w:rPr>
          <w:rFonts w:eastAsia="Times New Roman"/>
          <w:kern w:val="0"/>
          <w:rtl/>
          <w:lang w:bidi="ar-JO"/>
          <w14:ligatures w14:val="none"/>
        </w:rPr>
        <w:t>غالباً ما يكون الوصول إلى النضج عملية مؤلمة، سواء كان ذلك في حالة شابٍ أو أمّة شابة.  فالحريات الجديدة تجلب مسؤوليات جديدة.  ويروي سفر العدد كيف أن بني إسرائيل، الذين سبق أن عانوا الأمرّين تحت حكم فرعون المستبد، نقلوا استياءهم من السلطة إلى موسى، ثم إلى الله نفسه في نهاية المطاف.  إذ كانت الحدود الجديدة للشريعة الإلهية أحياناً مزعجة بنفس مقدار قيود العبودية التي سبق أن فُرضت عليهم في مصر.  وكانت مسؤوليات شعب محرَّر في بعض الأحيان أكبر من قدرة إسرائيل على القيام بها.  لكن الله كان يعمل من خلال ذلك كلّه، مشكِّلاً شعباً ليكون له مقتنى.</w:t>
      </w:r>
      <w:r w:rsidRPr="00F61332">
        <w:rPr>
          <w:rFonts w:eastAsia="Times New Roman"/>
          <w:kern w:val="0"/>
          <w:vertAlign w:val="superscript"/>
          <w:rtl/>
          <w:lang w:bidi="ar-JO"/>
          <w14:ligatures w14:val="none"/>
        </w:rPr>
        <w:footnoteReference w:id="106"/>
      </w:r>
    </w:p>
    <w:p w14:paraId="3F52CF2C"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66E2AC77" w14:textId="77777777" w:rsidR="00070B6E" w:rsidRPr="00F61332" w:rsidRDefault="00070B6E" w:rsidP="000558B7">
      <w:pPr>
        <w:pStyle w:val="Heading3"/>
        <w:rPr>
          <w:rtl/>
          <w:lang w:bidi="ar-JO"/>
        </w:rPr>
      </w:pPr>
      <w:bookmarkStart w:id="262" w:name="_Toc193031043"/>
      <w:r w:rsidRPr="00F61332">
        <w:rPr>
          <w:rtl/>
          <w:lang w:bidi="ar-JO"/>
        </w:rPr>
        <w:t>4.</w:t>
      </w:r>
      <w:r w:rsidRPr="00F61332">
        <w:rPr>
          <w:rtl/>
          <w:lang w:bidi="ar-JO"/>
        </w:rPr>
        <w:tab/>
        <w:t>بنية سفر العدد</w:t>
      </w:r>
      <w:bookmarkEnd w:id="262"/>
    </w:p>
    <w:p w14:paraId="20FF3723"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قدّم الباحثون أفكار مقترحة مختلفة حول بنية السفر، يعكس بعضها نهجاً يرتّب الأحداث ترتيباً زمنياً، ويعكس بعضها الآخر نهجاً جغرافياً، إلخ.  ولأجل أغراض هذه الدراسة سأقسم السفر إلى ثلاثة أقسام مبنية على إعداد كل جيل ي</w:t>
      </w:r>
      <w:r w:rsidRPr="00F61332">
        <w:rPr>
          <w:rFonts w:eastAsia="Times New Roman"/>
          <w:kern w:val="0"/>
          <w:rtl/>
          <w14:ligatures w14:val="none"/>
        </w:rPr>
        <w:t>ُ</w:t>
      </w:r>
      <w:r w:rsidRPr="00F61332">
        <w:rPr>
          <w:rFonts w:eastAsia="Times New Roman"/>
          <w:kern w:val="0"/>
          <w:rtl/>
          <w:lang w:bidi="ar-JO"/>
          <w14:ligatures w14:val="none"/>
        </w:rPr>
        <w:t>فترض أن يدخل الأرض.</w:t>
      </w:r>
    </w:p>
    <w:p w14:paraId="79F2EE63"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77B04066"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firstLine="550"/>
        <w:jc w:val="center"/>
        <w:rPr>
          <w:rFonts w:eastAsia="Times New Roman"/>
          <w:kern w:val="0"/>
          <w:sz w:val="18"/>
          <w:szCs w:val="20"/>
          <w14:ligatures w14:val="none"/>
        </w:rPr>
      </w:pPr>
    </w:p>
    <w:p w14:paraId="3FA393BF"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firstLine="550"/>
        <w:jc w:val="center"/>
        <w:rPr>
          <w:rFonts w:eastAsia="Times New Roman"/>
          <w:kern w:val="0"/>
          <w:sz w:val="18"/>
          <w:szCs w:val="20"/>
          <w:rtl/>
          <w14:ligatures w14:val="none"/>
        </w:rPr>
      </w:pPr>
      <w:r w:rsidRPr="00C7130A">
        <w:rPr>
          <w:rFonts w:eastAsia="Times New Roman"/>
          <w:kern w:val="0"/>
          <w:sz w:val="18"/>
          <w:szCs w:val="20"/>
          <w:lang w:bidi="ar-JO"/>
          <w14:ligatures w14:val="none"/>
        </w:rPr>
        <w:object w:dxaOrig="3960" w:dyaOrig="865" w14:anchorId="77D818E5">
          <v:shape id="_x0000_i1035" type="#_x0000_t75" style="width:396.6pt;height:84pt" o:ole="">
            <v:imagedata r:id="rId63" o:title=""/>
          </v:shape>
          <o:OLEObject Type="Embed" ProgID="PowerPoint.Show.8" ShapeID="_x0000_i1035" DrawAspect="Content" ObjectID="_1803892150" r:id="rId64"/>
        </w:object>
      </w:r>
    </w:p>
    <w:p w14:paraId="0167E89F" w14:textId="77777777" w:rsidR="00070B6E" w:rsidRPr="00C7130A" w:rsidRDefault="00070B6E" w:rsidP="00C7130A">
      <w:pPr>
        <w:tabs>
          <w:tab w:val="left" w:pos="454"/>
        </w:tabs>
        <w:spacing w:after="60"/>
        <w:jc w:val="both"/>
        <w:rPr>
          <w:rFonts w:eastAsia="Times New Roman"/>
          <w:bCs/>
          <w:kern w:val="0"/>
          <w:szCs w:val="28"/>
          <w:rtl/>
          <w:lang w:bidi="ar-KW"/>
          <w14:ligatures w14:val="none"/>
        </w:rPr>
      </w:pPr>
    </w:p>
    <w:p w14:paraId="0A53D443" w14:textId="77777777" w:rsidR="00070B6E" w:rsidRPr="00C7130A" w:rsidRDefault="00070B6E" w:rsidP="00C7130A">
      <w:pPr>
        <w:tabs>
          <w:tab w:val="left" w:pos="454"/>
        </w:tabs>
        <w:spacing w:after="60"/>
        <w:jc w:val="both"/>
        <w:rPr>
          <w:rFonts w:eastAsia="Times New Roman"/>
          <w:bCs/>
          <w:kern w:val="0"/>
          <w:szCs w:val="28"/>
          <w:rtl/>
          <w:lang w:bidi="ar-KW"/>
          <w14:ligatures w14:val="none"/>
        </w:rPr>
      </w:pPr>
    </w:p>
    <w:p w14:paraId="4D02C02B" w14:textId="77777777" w:rsidR="00070B6E" w:rsidRPr="00F61332" w:rsidRDefault="00070B6E" w:rsidP="000558B7">
      <w:pPr>
        <w:pStyle w:val="Heading3"/>
        <w:rPr>
          <w:rtl/>
        </w:rPr>
      </w:pPr>
      <w:bookmarkStart w:id="263" w:name="_Toc193031044"/>
      <w:r w:rsidRPr="00F61332">
        <w:rPr>
          <w:rtl/>
          <w:lang w:bidi="ar-JO"/>
        </w:rPr>
        <w:t>5.</w:t>
      </w:r>
      <w:r w:rsidRPr="00F61332">
        <w:rPr>
          <w:rtl/>
          <w:lang w:bidi="ar-JO"/>
        </w:rPr>
        <w:tab/>
        <w:t>لاهوت سفر العدد</w:t>
      </w:r>
      <w:bookmarkEnd w:id="263"/>
    </w:p>
    <w:p w14:paraId="7D930EF1" w14:textId="77777777" w:rsidR="00070B6E" w:rsidRPr="00C7130A" w:rsidRDefault="00070B6E" w:rsidP="00F61332">
      <w:pPr>
        <w:rPr>
          <w:rtl/>
          <w:lang w:bidi="ar-JO"/>
        </w:rPr>
      </w:pPr>
      <w:r w:rsidRPr="00C7130A">
        <w:rPr>
          <w:rtl/>
          <w:lang w:bidi="ar-JO"/>
        </w:rPr>
        <w:lastRenderedPageBreak/>
        <w:t xml:space="preserve">يدور المشهد كلّه حول أمانة يهوه ووفائه بالمقابلة مع عناد إسرائيل وضلالهم وتمرّدهم.  لقد سبق أن أعلن الله مشيئته بوضوح في خروج 6: 8: "وأُدخلكم إلى الأرض التي رفعت يدي أن أعطيها لإبراهيم وإسحق ويعقوب.  وأعطيكم إيّاها ميراثاً، أنا الرب."  لن يغيّر الله مشيئته، ولن يفشل في ما سبق أن قضى به.  وهذا هو ما سيحدث.  غير أن الله، وهو ينفّذ مشيئته التي قضى بها وأعلنها، أفسح المجال لأن تعصي إسرائيل إرادته.  فقد سمح للأمة بأن تفشل وتعصي وتتمرد، لكنه يعمل بحيث لا يتم نسف مشيئته المعلنة أو تهديدها.  وهكذا، ومن ناحية لاهوتية، يسمح الله لنا بأن نرى كيف يعمل على تحقيق إرادته على الرغم من خطية الإنسان وعصيانه.  وقد استخدم الله البريّة كدينونة للجيل الأول، </w:t>
      </w:r>
      <w:r w:rsidRPr="00C7130A">
        <w:rPr>
          <w:rtl/>
        </w:rPr>
        <w:t xml:space="preserve">وقد سعى </w:t>
      </w:r>
      <w:r w:rsidRPr="00C7130A">
        <w:rPr>
          <w:rtl/>
          <w:lang w:bidi="ar-JO"/>
        </w:rPr>
        <w:t>في الوقت نفس</w:t>
      </w:r>
      <w:r w:rsidRPr="00C7130A">
        <w:rPr>
          <w:rtl/>
        </w:rPr>
        <w:t>ه</w:t>
      </w:r>
      <w:r w:rsidRPr="00C7130A">
        <w:rPr>
          <w:rtl/>
          <w:lang w:bidi="ar-JO"/>
        </w:rPr>
        <w:t xml:space="preserve"> إلى استخدامها كساحة لإعداد الجيل الذي سيحقق إرادته.  ونحن نرى التزام يهوه غير المتزعزع بالأمّة بشكل حي في إعلانات بلعام الإلهية (عدد 22-24).  تكشف إعلانات بلعام، من منظور الأعداء، أن بركة الله لن تفشل في الوصول إلى هدفها رغم فشل إسرائيل المتكرر! فكان في هذا توكيد على نيّة يهوه في أن يبارك إسرائيل وإعادة توكيد للعهد الإبراهيمي.</w:t>
      </w:r>
    </w:p>
    <w:p w14:paraId="0DB1297E"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609176A7"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يمكن صياغة غرض سفر العدد كما يلي:</w:t>
      </w:r>
    </w:p>
    <w:p w14:paraId="4781C121"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تتبُّع إعداد يهوه الصبور للشعب للدخول إلى الأرض بالمقابلة مع ضلال إسرائيل المتكرر وتمرّدها في حالة الخطية.</w:t>
      </w:r>
      <w:r w:rsidRPr="00F61332">
        <w:rPr>
          <w:rFonts w:eastAsia="Times New Roman"/>
          <w:kern w:val="0"/>
          <w:vertAlign w:val="superscript"/>
          <w:rtl/>
          <w:lang w:bidi="ar-JO"/>
          <w14:ligatures w14:val="none"/>
        </w:rPr>
        <w:footnoteReference w:id="107"/>
      </w:r>
      <w:r w:rsidRPr="00F61332">
        <w:rPr>
          <w:rFonts w:eastAsia="Times New Roman"/>
          <w:kern w:val="0"/>
          <w:rtl/>
          <w:lang w:bidi="ar-JO"/>
          <w14:ligatures w14:val="none"/>
        </w:rPr>
        <w:t xml:space="preserve">    </w:t>
      </w:r>
    </w:p>
    <w:p w14:paraId="57DAEE5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4F7951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وينعكس هذا الغرض في الأجزاء الرئيسية الثلاثة من هذا السفر:</w:t>
      </w:r>
    </w:p>
    <w:p w14:paraId="29207B3D"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(1)</w:t>
      </w:r>
      <w:r w:rsidRPr="00F61332">
        <w:rPr>
          <w:rFonts w:eastAsia="Times New Roman"/>
          <w:kern w:val="0"/>
          <w:rtl/>
          <w:lang w:bidi="ar-JO"/>
          <w14:ligatures w14:val="none"/>
        </w:rPr>
        <w:tab/>
        <w:t>إعداد المخيّم للعمل كأمّة من أجل الرحلة (1: 1-10: 10)</w:t>
      </w:r>
    </w:p>
    <w:p w14:paraId="5E2496BE"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(2)</w:t>
      </w:r>
      <w:r w:rsidRPr="00F61332">
        <w:rPr>
          <w:rFonts w:eastAsia="Times New Roman"/>
          <w:kern w:val="0"/>
          <w:rtl/>
          <w:lang w:bidi="ar-JO"/>
          <w14:ligatures w14:val="none"/>
        </w:rPr>
        <w:tab/>
        <w:t>تطهير الأمّة من التمرد الآثم مع التأكيد لهم على استمرار أمانة يهوه (10: 11-25: 18)</w:t>
      </w:r>
    </w:p>
    <w:p w14:paraId="3CB7F115" w14:textId="77777777" w:rsidR="00070B6E" w:rsidRPr="00F61332" w:rsidRDefault="00070B6E">
      <w:pPr>
        <w:numPr>
          <w:ilvl w:val="0"/>
          <w:numId w:val="9"/>
        </w:numPr>
        <w:tabs>
          <w:tab w:val="left" w:pos="550"/>
          <w:tab w:val="left" w:pos="1100"/>
          <w:tab w:val="left" w:pos="1650"/>
          <w:tab w:val="left" w:pos="2200"/>
          <w:tab w:val="left" w:pos="2750"/>
          <w:tab w:val="left" w:pos="3300"/>
          <w:tab w:val="left" w:pos="3850"/>
          <w:tab w:val="left" w:pos="4400"/>
        </w:tabs>
        <w:jc w:val="both"/>
        <w:rPr>
          <w:rFonts w:eastAsia="Times New Roman"/>
          <w:kern w:val="0"/>
          <w:rtl/>
          <w:lang w:bidi="ar-JO"/>
          <w14:ligatures w14:val="none"/>
        </w:rPr>
      </w:pPr>
      <w:r w:rsidRPr="00F61332">
        <w:rPr>
          <w:rFonts w:eastAsia="Times New Roman"/>
          <w:kern w:val="0"/>
          <w:rtl/>
          <w:lang w:bidi="ar-JO"/>
          <w14:ligatures w14:val="none"/>
        </w:rPr>
        <w:t>إعداد الجيل الجديد الذي سيدخل الأرض (26: 1-36: 13)</w:t>
      </w:r>
    </w:p>
    <w:p w14:paraId="77A88858"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7839062"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D46AF2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BBB5EAA"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E2B6944"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2721072"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7CEDCED6"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0D6A9C9"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63C6A4D" w14:textId="77777777" w:rsidR="00070B6E" w:rsidRPr="00F61332" w:rsidRDefault="00070B6E" w:rsidP="000558B7">
      <w:pPr>
        <w:pStyle w:val="Heading3"/>
        <w:rPr>
          <w:rtl/>
          <w:lang w:bidi="ar-JO"/>
        </w:rPr>
      </w:pPr>
      <w:bookmarkStart w:id="264" w:name="_Toc193031045"/>
      <w:r w:rsidRPr="00F61332">
        <w:rPr>
          <w:rtl/>
          <w:lang w:bidi="ar-JO"/>
        </w:rPr>
        <w:t>6.</w:t>
      </w:r>
      <w:r w:rsidRPr="00F61332">
        <w:rPr>
          <w:rtl/>
          <w:lang w:bidi="ar-JO"/>
        </w:rPr>
        <w:tab/>
        <w:t>ترتيب الأسباط</w:t>
      </w:r>
      <w:bookmarkEnd w:id="264"/>
    </w:p>
    <w:p w14:paraId="76C6D420"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bookmarkStart w:id="265" w:name="_MON_1166520208"/>
    <w:bookmarkEnd w:id="265"/>
    <w:p w14:paraId="44C4CCC1"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firstLine="550"/>
        <w:jc w:val="center"/>
        <w:rPr>
          <w:rFonts w:eastAsia="Times New Roman"/>
          <w:kern w:val="0"/>
          <w:sz w:val="18"/>
          <w:szCs w:val="20"/>
          <w:rtl/>
          <w14:ligatures w14:val="none"/>
        </w:rPr>
      </w:pPr>
      <w:r w:rsidRPr="00C7130A">
        <w:rPr>
          <w:rFonts w:eastAsia="Times New Roman"/>
          <w:kern w:val="0"/>
          <w:sz w:val="18"/>
          <w:szCs w:val="20"/>
          <w:lang w:bidi="ar-JO"/>
          <w14:ligatures w14:val="none"/>
        </w:rPr>
        <w:object w:dxaOrig="2880" w:dyaOrig="2880" w14:anchorId="38400D84">
          <v:shape id="_x0000_i1036" type="#_x0000_t75" style="width:4in;height:4in" o:ole="">
            <v:imagedata r:id="rId65" o:title=""/>
          </v:shape>
          <o:OLEObject Type="Embed" ProgID="PowerPoint.Show.8" ShapeID="_x0000_i1036" DrawAspect="Content" ObjectID="_1803892151" r:id="rId66"/>
        </w:object>
      </w:r>
    </w:p>
    <w:p w14:paraId="4CEFEF24"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lang w:bidi="ar-KW"/>
          <w14:ligatures w14:val="none"/>
        </w:rPr>
      </w:pPr>
    </w:p>
    <w:p w14:paraId="2BB6088D"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r w:rsidRPr="00C7130A">
        <w:rPr>
          <w:rFonts w:eastAsia="Times New Roman"/>
          <w:kern w:val="0"/>
          <w:sz w:val="18"/>
          <w:szCs w:val="20"/>
          <w:rtl/>
          <w14:ligatures w14:val="none"/>
        </w:rPr>
        <w:t xml:space="preserve"> </w:t>
      </w:r>
    </w:p>
    <w:p w14:paraId="0172E636" w14:textId="77777777" w:rsidR="00070B6E" w:rsidRPr="00F61332" w:rsidRDefault="00070B6E" w:rsidP="000558B7">
      <w:pPr>
        <w:pStyle w:val="Heading3"/>
        <w:rPr>
          <w:rtl/>
          <w:lang w:bidi="ar-JO"/>
        </w:rPr>
      </w:pPr>
      <w:bookmarkStart w:id="266" w:name="_Toc193031046"/>
      <w:r w:rsidRPr="00F61332">
        <w:rPr>
          <w:rtl/>
          <w:lang w:bidi="ar-JO"/>
        </w:rPr>
        <w:t>7.</w:t>
      </w:r>
      <w:r w:rsidRPr="00F61332">
        <w:rPr>
          <w:rtl/>
          <w:lang w:bidi="ar-JO"/>
        </w:rPr>
        <w:tab/>
        <w:t>اللاويون والنذيرون</w:t>
      </w:r>
      <w:bookmarkEnd w:id="266"/>
      <w:r w:rsidRPr="00F61332">
        <w:rPr>
          <w:rtl/>
          <w:lang w:bidi="ar-JO"/>
        </w:rPr>
        <w:t xml:space="preserve"> </w:t>
      </w:r>
    </w:p>
    <w:p w14:paraId="2FF6690E"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 xml:space="preserve">عند استعداد بني إسرائيل للارتحال، فهم يتجمّعون حسب الأسباط الإثني عشر.  غير أنه يتوجب علينا أن نلاحظ أن اللاويين لم يكونوا أحد الأسباط الإثني عشر.  فقد نال يوسف نصيباً مضاعفاً (انظر تكويين 48: 5، 20، 22) لأن أفرايم ومنسّى (ابني يوسف) مدرجان بشكل منفصل كسبطين.  وكان الشبّان الذين يبلغون العشرين من أعمارهم من هؤلاء الأسباط يعتبرون جنوداً (1: 20).  غير أن اللاويين أُفرزوا للخدمة في خيمة الاجتماع (بالنسبة للذين تتراوح أعمارهم ما بين 30-50 سنة، 4: 3).  ونجد في الأصحاح الثالث شرحاً لدور اللاويين، بينما نجد في الأصحاح الثامن طقسَ فرزِهِم.  وعلى الرغم من أنه كان "ممنوعاً" على الرجال المنتمين إلى </w:t>
      </w:r>
      <w:r w:rsidRPr="00F61332">
        <w:rPr>
          <w:rFonts w:eastAsia="Times New Roman"/>
          <w:kern w:val="0"/>
          <w:rtl/>
          <w14:ligatures w14:val="none"/>
        </w:rPr>
        <w:t>ال</w:t>
      </w:r>
      <w:r w:rsidRPr="00F61332">
        <w:rPr>
          <w:rFonts w:eastAsia="Times New Roman"/>
          <w:kern w:val="0"/>
          <w:rtl/>
          <w:lang w:bidi="ar-JO"/>
          <w14:ligatures w14:val="none"/>
        </w:rPr>
        <w:t>أسباط الأخرى المشاركة في خدمة اللاويين، إلاّ أنه كان لديهم خيار قطع نذر النذير وتكريس أنفسهم للرب (الأصحاح السادس).</w:t>
      </w:r>
    </w:p>
    <w:p w14:paraId="1B2903D9"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F855EE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F61332">
        <w:rPr>
          <w:rFonts w:eastAsia="Times New Roman"/>
          <w:kern w:val="0"/>
          <w:rtl/>
          <w:lang w:bidi="ar-JO"/>
          <w14:ligatures w14:val="none"/>
        </w:rPr>
        <w:lastRenderedPageBreak/>
        <w:t>كان نذر النذير طوعياً تماماً، أي أنه لم يكن شيئاً أمرت به الشريعة، بل شيئاً سمحت به.  وفي أخذ العبراني هذا النذر على نفسه، كان يشير إلى أنه يجد قوّته في الله وأنه يتكل عليه.  وقد عكس هذا دليلاً على التكريس لله والاعتماد عليه... مُقِرّاً بأن لله الحق في أن يُخدم.</w:t>
      </w:r>
    </w:p>
    <w:p w14:paraId="0A97B069"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7857631A" w14:textId="77777777" w:rsidR="00070B6E" w:rsidRPr="00F61332" w:rsidRDefault="00070B6E" w:rsidP="000558B7">
      <w:pPr>
        <w:pStyle w:val="Heading3"/>
        <w:rPr>
          <w:rtl/>
          <w:lang w:bidi="ar-JO"/>
        </w:rPr>
      </w:pPr>
      <w:bookmarkStart w:id="267" w:name="_Toc193031047"/>
      <w:r w:rsidRPr="00F61332">
        <w:rPr>
          <w:rtl/>
          <w:lang w:bidi="ar-JO"/>
        </w:rPr>
        <w:t>8.</w:t>
      </w:r>
      <w:r w:rsidRPr="00F61332">
        <w:rPr>
          <w:rtl/>
          <w:lang w:bidi="ar-JO"/>
        </w:rPr>
        <w:tab/>
        <w:t>درس لحياتنا</w:t>
      </w:r>
      <w:bookmarkEnd w:id="267"/>
    </w:p>
    <w:p w14:paraId="4B81D26B"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14:ligatures w14:val="none"/>
        </w:rPr>
      </w:pPr>
      <w:r w:rsidRPr="00F61332">
        <w:rPr>
          <w:rFonts w:eastAsia="Times New Roman"/>
          <w:kern w:val="0"/>
          <w:rtl/>
          <w:lang w:bidi="ar-JO"/>
          <w14:ligatures w14:val="none"/>
        </w:rPr>
        <w:t>إن رواية السحابة وعمود النار الهاديين لجديرة بالاهتمام.  يقول عدد 9: 23: "حسب قول (أمر) الرب كانوا ينزلون، وحسب قول الرب كانوا يرتحلون....." وكان هذا مبدأهم: نحن نتحرك عندما يشير الله، ونتوقف أيضاً عندما يشير.  وفي أي من الحالتين كانوا يعتمدون على الرب في توجيه خطواتهم.  أمّا اليوم فليست لدينا سحابة منظورة أو عمود نار مرئي ليهدينا كما كان الحال مع بني إسرائيل، لكن لدينا الروح القدس الذي يسكننا، ويجب أن نعترف بحقّه في توجيه حياتنا.  ويفترض أن نكون شعباً مطيعاً –</w:t>
      </w:r>
      <w:r w:rsidRPr="00F61332">
        <w:rPr>
          <w:rFonts w:eastAsia="Times New Roman"/>
          <w:kern w:val="0"/>
          <w:rtl/>
          <w14:ligatures w14:val="none"/>
        </w:rPr>
        <w:t xml:space="preserve"> </w:t>
      </w:r>
      <w:r w:rsidRPr="00F61332">
        <w:rPr>
          <w:rFonts w:eastAsia="Times New Roman"/>
          <w:kern w:val="0"/>
          <w:rtl/>
          <w:lang w:bidi="ar-JO"/>
          <w14:ligatures w14:val="none"/>
        </w:rPr>
        <w:t xml:space="preserve">مستعدين للانطلاق عندما يحثنا الرب على ذلك!     </w:t>
      </w:r>
    </w:p>
    <w:p w14:paraId="4E723FBE" w14:textId="77777777" w:rsidR="00070B6E" w:rsidRPr="00C7130A" w:rsidRDefault="00070B6E" w:rsidP="00C7130A">
      <w:pPr>
        <w:jc w:val="center"/>
        <w:rPr>
          <w:rFonts w:eastAsia="Times New Roman"/>
          <w:color w:val="A50021"/>
          <w:kern w:val="0"/>
          <w:szCs w:val="32"/>
          <w:rtl/>
          <w:lang w:bidi="ar-JO"/>
          <w14:ligatures w14:val="none"/>
        </w:rPr>
      </w:pPr>
    </w:p>
    <w:p w14:paraId="1B450F9B" w14:textId="77777777" w:rsidR="006311FA" w:rsidRPr="00C7130A" w:rsidRDefault="006311FA"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lang w:bidi="ar-JO"/>
          <w14:ligatures w14:val="none"/>
        </w:rPr>
      </w:pPr>
    </w:p>
    <w:p w14:paraId="6C78833A" w14:textId="77777777" w:rsidR="00495D3D" w:rsidRDefault="00495D3D">
      <w:pPr>
        <w:bidi w:val="0"/>
        <w:spacing w:before="0" w:after="160" w:line="259" w:lineRule="auto"/>
        <w:rPr>
          <w:b/>
          <w:bCs/>
          <w:kern w:val="0"/>
          <w:sz w:val="48"/>
          <w:szCs w:val="48"/>
          <w:rtl/>
        </w:rPr>
      </w:pPr>
      <w:bookmarkStart w:id="268" w:name="_Hlk178778972"/>
      <w:r>
        <w:rPr>
          <w:rtl/>
        </w:rPr>
        <w:br w:type="page"/>
      </w:r>
    </w:p>
    <w:p w14:paraId="437462CF" w14:textId="5FDAEB0F" w:rsidR="006311FA" w:rsidRPr="00C7130A" w:rsidRDefault="00322941" w:rsidP="000558B7">
      <w:pPr>
        <w:pStyle w:val="Heading2B"/>
      </w:pPr>
      <w:bookmarkStart w:id="269" w:name="_Toc193031048"/>
      <w:r w:rsidRPr="00C7130A">
        <w:rPr>
          <w:rtl/>
        </w:rPr>
        <w:lastRenderedPageBreak/>
        <w:t>الموضوع 3: التمرُّد في البرّيّة (سفر العدد 10: 11 – 21: 35)</w:t>
      </w:r>
      <w:bookmarkEnd w:id="269"/>
    </w:p>
    <w:p w14:paraId="25C033B8" w14:textId="56688DFE" w:rsidR="002F2ED9" w:rsidRPr="00C7130A" w:rsidRDefault="002F2ED9"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14:ligatures w14:val="none"/>
        </w:rPr>
      </w:pPr>
      <w:r w:rsidRPr="00C7130A">
        <w:rPr>
          <w:rFonts w:eastAsia="Calibri"/>
          <w:b/>
          <w:caps/>
          <w:noProof/>
          <w:color w:val="006699"/>
          <w:kern w:val="0"/>
          <w:sz w:val="21"/>
          <w:szCs w:val="24"/>
          <w14:ligatures w14:val="none"/>
        </w:rPr>
        <w:drawing>
          <wp:inline distT="0" distB="0" distL="0" distR="0" wp14:anchorId="0C81F3E0" wp14:editId="707588B3">
            <wp:extent cx="613692" cy="541464"/>
            <wp:effectExtent l="0" t="0" r="0" b="0"/>
            <wp:docPr id="1470764188" name="Picture 1470764188"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322941" w:rsidRPr="00F61332">
        <w:rPr>
          <w:rFonts w:eastAsia="Calibri"/>
          <w:bCs/>
          <w:caps/>
          <w:color w:val="006699"/>
          <w:kern w:val="0"/>
          <w:u w:val="single"/>
          <w:rtl/>
          <w14:ligatures w14:val="none"/>
        </w:rPr>
        <w:t>القراءة</w:t>
      </w:r>
      <w:r w:rsidR="00322941" w:rsidRPr="00C7130A">
        <w:rPr>
          <w:rFonts w:eastAsia="Calibri"/>
          <w:bCs/>
          <w:caps/>
          <w:color w:val="006699"/>
          <w:kern w:val="0"/>
          <w:sz w:val="21"/>
          <w:szCs w:val="24"/>
          <w:u w:val="single"/>
          <w:rtl/>
          <w14:ligatures w14:val="none"/>
        </w:rPr>
        <w:t>:</w:t>
      </w:r>
    </w:p>
    <w:p w14:paraId="598CE033" w14:textId="6858446E" w:rsidR="002F2ED9" w:rsidRPr="00C7130A" w:rsidRDefault="002F2ED9" w:rsidP="00C7130A">
      <w:pPr>
        <w:rPr>
          <w:b/>
          <w:bCs/>
        </w:rPr>
      </w:pPr>
      <w:r w:rsidRPr="00C7130A">
        <w:tab/>
      </w:r>
      <w:r w:rsidRPr="00C7130A">
        <w:tab/>
      </w:r>
      <w:r w:rsidR="00322941" w:rsidRPr="00C7130A">
        <w:rPr>
          <w:rtl/>
        </w:rPr>
        <w:t xml:space="preserve">اقرأ سفر العدد 10: 11 – 21: 35 في كتابك المُقدَّس. </w:t>
      </w:r>
    </w:p>
    <w:bookmarkEnd w:id="268"/>
    <w:p w14:paraId="723331FD" w14:textId="77777777" w:rsidR="00070B6E" w:rsidRPr="00C7130A" w:rsidRDefault="00070B6E" w:rsidP="00C7130A">
      <w:pPr>
        <w:jc w:val="center"/>
        <w:rPr>
          <w:rFonts w:eastAsia="Times New Roman"/>
          <w:bCs/>
          <w:kern w:val="0"/>
          <w:szCs w:val="28"/>
          <w:rtl/>
          <w:lang w:bidi="ar-JO"/>
          <w14:ligatures w14:val="none"/>
        </w:rPr>
      </w:pPr>
    </w:p>
    <w:p w14:paraId="3111A19C" w14:textId="77777777" w:rsidR="00070B6E" w:rsidRPr="00F61332" w:rsidRDefault="00070B6E" w:rsidP="000558B7">
      <w:pPr>
        <w:pStyle w:val="Heading3"/>
        <w:rPr>
          <w:rtl/>
          <w:lang w:bidi="ar-JO"/>
        </w:rPr>
      </w:pPr>
      <w:bookmarkStart w:id="270" w:name="_Toc193031049"/>
      <w:r w:rsidRPr="00F61332">
        <w:rPr>
          <w:rtl/>
          <w:lang w:bidi="ar-JO"/>
        </w:rPr>
        <w:t>1.</w:t>
      </w:r>
      <w:r w:rsidRPr="00F61332">
        <w:rPr>
          <w:rtl/>
          <w:lang w:bidi="ar-JO"/>
        </w:rPr>
        <w:tab/>
        <w:t>مقدمة</w:t>
      </w:r>
      <w:bookmarkEnd w:id="270"/>
    </w:p>
    <w:p w14:paraId="0C71AA54"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إن الوحدة الرئيسية التالية ضمن سفر العدد هي القسم 10: 11-25: 18 الذي يتتبَّع عصيان جيل الخروج وعدم إيمانهم.  غير أن ملاحظاتي هذه ستغطي المادة حتى 21: 35، قبل تناول إعلانات بلعام النبوية.  وتتوسط هذه الوحدة الرئيسية السفر، شارحةً سبب فشل الجيل الذي خرج من مصر في دخول أرض الموعد (ما عدا يشوع وكالب).  ومن المؤكد أن المشكلة لم تكن في الله ولا في قدرته على حفظ وعوده، إذ التمرد وعدم الإيمان هما اللذان جعلا الشعب يفوّت هذه الفرصة.  وحدثت ذروة هذه الرواية في قادش برنيع حيث تمرّد الشعب على الرب ورفضوا (في عدم إيمان) أن يدخلوا الأرض.  نتج عن عمل عدم الإيمان الواحد هذا دينونة الله لهم بالموت في البرية.  غير أن أحداثاً عديدة دالة على عدم الإيمان قبل هذه المرّة غذّت طبيعتهم المتمردة التي أعاقتهم في اللحظة التي كانوا يحتاجون فيها إلى تصديق الله والاتكال عليه.</w:t>
      </w:r>
    </w:p>
    <w:p w14:paraId="7FA00505"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38ED8CF9"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F61332">
        <w:rPr>
          <w:rFonts w:eastAsia="Times New Roman"/>
          <w:kern w:val="0"/>
          <w:rtl/>
          <w:lang w:bidi="ar-JO"/>
          <w14:ligatures w14:val="none"/>
        </w:rPr>
        <w:t>ولا يُعطى اختبار البرية في واقع الأمر اهتماماً كبيراً، حيث أُحيل هذا الاهتمام إلى الأصحاحات 15-21.  إذ يولى اهتمام أكبر للحديث عن الحوادث العديدة للتمرد وعدم الإيمان لهذا الجيل: 11: 1-3؛ 11: 4-9؛ 11: 31-35؛ 11: 10-20؛ 12: 1-16؛ 13: 30-14: 35؛ 20: 1-13؛ 21: 4-9 (لنلاحظ 14: 22 حيث جرّبوا الله عشر مرّات!).</w:t>
      </w:r>
      <w:r w:rsidRPr="00F61332">
        <w:rPr>
          <w:rFonts w:eastAsia="Times New Roman"/>
          <w:kern w:val="0"/>
          <w:vertAlign w:val="superscript"/>
          <w:rtl/>
          <w:lang w:bidi="ar-JO"/>
          <w14:ligatures w14:val="none"/>
        </w:rPr>
        <w:footnoteReference w:id="108"/>
      </w:r>
    </w:p>
    <w:p w14:paraId="754FA492"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KW"/>
          <w14:ligatures w14:val="none"/>
        </w:rPr>
      </w:pPr>
    </w:p>
    <w:p w14:paraId="0B6977A5" w14:textId="77777777" w:rsidR="00070B6E" w:rsidRPr="00F61332" w:rsidRDefault="00070B6E" w:rsidP="000558B7">
      <w:pPr>
        <w:pStyle w:val="Heading3"/>
        <w:rPr>
          <w:rtl/>
          <w:lang w:bidi="ar-JO"/>
        </w:rPr>
      </w:pPr>
      <w:bookmarkStart w:id="271" w:name="_Toc193031050"/>
      <w:r w:rsidRPr="00F61332">
        <w:rPr>
          <w:rtl/>
          <w:lang w:bidi="ar-JO"/>
        </w:rPr>
        <w:t>2.</w:t>
      </w:r>
      <w:r w:rsidRPr="00F61332">
        <w:rPr>
          <w:rtl/>
          <w:lang w:bidi="ar-JO"/>
        </w:rPr>
        <w:tab/>
        <w:t>من سيناء إلى قادش (10: 11-12: 16)</w:t>
      </w:r>
      <w:bookmarkEnd w:id="271"/>
    </w:p>
    <w:p w14:paraId="681F9921"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 xml:space="preserve">كان الرحيل من جبل سيناء سلساً.  مرّت عليهم الآن أكثر من سنة منذ أن غادروا مصر (10: 11)، لكنهم كانوا في طريقهم أخيراً إلى أرض الموعد.  لكنهم ما أن بدأوا رحلتهم حتى بدأت "شكاوي المِحن" تنطلق (11: 1-3).  يقول أنجر: "على الرغم من كل ما فعله الرب من أجلهم ووعدهم به (انظر 10: 29)، إلاّ أن استياءهم أو عدم رضاهم أظهر جحوداً </w:t>
      </w:r>
      <w:r w:rsidRPr="00F61332">
        <w:rPr>
          <w:rFonts w:eastAsia="Times New Roman"/>
          <w:kern w:val="0"/>
          <w:rtl/>
          <w:lang w:bidi="ar-JO"/>
          <w14:ligatures w14:val="none"/>
        </w:rPr>
        <w:lastRenderedPageBreak/>
        <w:t>خسيساً."</w:t>
      </w:r>
      <w:r w:rsidRPr="00F61332">
        <w:rPr>
          <w:rFonts w:eastAsia="Times New Roman"/>
          <w:kern w:val="0"/>
          <w:vertAlign w:val="superscript"/>
          <w:rtl/>
          <w:lang w:bidi="ar-JO"/>
          <w14:ligatures w14:val="none"/>
        </w:rPr>
        <w:footnoteReference w:id="109"/>
      </w:r>
      <w:r w:rsidRPr="00F61332">
        <w:rPr>
          <w:rFonts w:eastAsia="Times New Roman"/>
          <w:kern w:val="0"/>
          <w:rtl/>
          <w14:ligatures w14:val="none"/>
        </w:rPr>
        <w:t xml:space="preserve"> </w:t>
      </w:r>
      <w:r w:rsidRPr="00F61332">
        <w:rPr>
          <w:rFonts w:eastAsia="Times New Roman"/>
          <w:kern w:val="0"/>
          <w:rtl/>
          <w:lang w:bidi="ar-JO"/>
          <w14:ligatures w14:val="none"/>
        </w:rPr>
        <w:t xml:space="preserve"> لنلاحظ كيف أن الله أحرق بعض "أطراف" المحلة بالنار.  كانت خيمة الاجتماع في وسط المحلّة، فعمد المتمردون إلى الانتقال إلى أقصى نقطة عن محضر الله.  كان هذا تمرّداً ثيوقراطياً-تمرّداً على حق الله في الحكم.</w:t>
      </w:r>
    </w:p>
    <w:p w14:paraId="1F427CED"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4BF6630"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نجد حادثة تمرّد أخرى في 11: 4 فصاعداً.  فقد قامت مجموعة من الرعاة غير قانعة بنصيبها من المن بالتذمّر.  كانت مشكلتهم في جوهرها مشكلة جشع (11: 4).  كان المن يتسم بعدّة صفات جيدة: (1) كان نسيجه كبزر الكزبرة؛ (2) وكان منظره كالمُقْل؛ (3) كان طيّب المذاق-كمذاق الكعك المخبوز بالزيت؛ (4) تنوّعت طرق إعداده؛ (5) كان وفيراً.  بالإضافة إلى طمع الناس، فقد كان هنالك عاملان آخران في المشكلة غير الجشع: (1) انتشرت نظرتهم المتذمرة سريعاً لتمتد إلى الآخرين، و(2) كان موقفهم مهيناً لتدبير الله الكريم لحاجتهم (فكانوا يقدّرون أطعمة الحياة القديمة أكثر من الطعام الذي يقدّمه الله لهم في الحياة الجديدة).  فاستجاب الله بأن جلب الدينونة على الجشعين، فأرسل عليهم ضربة وهم يأكلون.</w:t>
      </w:r>
    </w:p>
    <w:p w14:paraId="4DC03453"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1A43BC7"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حتى إن عدوى التذمر انتقلت إلى موسى (11: 10-15)، حيث أرهقه حمل الشعب.  وفي هذا يُمتحن إيمانه بقوّة من خلال عدم إيمان شعب الرب.  ويستجيب الله في نعمته ويعطي سلطة لسبعين من الشوخ لكي يعينوه.  وهم لا يتنبأون إلاّ بشكل مؤقت، حيث اقتصر غرض التبؤ على المصادقة على النظام الجديد (11: 25).</w:t>
      </w:r>
    </w:p>
    <w:p w14:paraId="74962325"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ECF4B30"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يتناول الأصحاح الثاني عشر مسألة تمرّد مريم وهارون على موسى.  كان لكل منهما منصبه الرفيع المميّز ضمن الأمّة.  إذ كانت مريم نبيّة (خروج 15: 20)، بينما كان هارون رئيس الكهنة.  وتصبح مسألة زواج موسى من المرأة الكوشية فرصة للتنفيس عن استيائهم.  غير أن السبب الحقيقي هو حسدهم لموسى على منصبه في إدارة الحكم الثيوقراطي (12: 2).  فأبرأ الله موسى بأن أنزل دينونة على مريم.  تمثّل هذه الحادثة درساً مناسباً لكثيرين من الخدّام المسيحيين اليوم، فيجب أن يفحص المؤمن إن كان قد طلع عِرْق حسد وغيرة في قلبه ويقتلعه، لأن هذا بمثابة تمرّد على الله.</w:t>
      </w:r>
    </w:p>
    <w:p w14:paraId="383CB8D5"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0C8B91D5" w14:textId="77777777" w:rsidR="00070B6E" w:rsidRPr="00F61332" w:rsidRDefault="00070B6E" w:rsidP="000558B7">
      <w:pPr>
        <w:pStyle w:val="Heading3"/>
        <w:rPr>
          <w:rtl/>
          <w:lang w:bidi="ar-JO"/>
        </w:rPr>
      </w:pPr>
      <w:bookmarkStart w:id="272" w:name="_Toc193031051"/>
      <w:r w:rsidRPr="00F61332">
        <w:rPr>
          <w:rtl/>
          <w:lang w:bidi="ar-JO"/>
        </w:rPr>
        <w:t>3.</w:t>
      </w:r>
      <w:r w:rsidRPr="00F61332">
        <w:rPr>
          <w:rtl/>
          <w:lang w:bidi="ar-JO"/>
        </w:rPr>
        <w:tab/>
        <w:t>عدم الإيمان في قادش (13: 1-14: 45)</w:t>
      </w:r>
      <w:bookmarkEnd w:id="272"/>
    </w:p>
    <w:p w14:paraId="616652AC"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 xml:space="preserve">يتناول الأصحاحان 13 و14 الحادثة التي وقعت في قادش.  وهما يمثّلان ذروة هذا القسم، لأن عدم الإيمان في ذلك المكان يأتي بدينونة الله القاضية بموت هذا الجيل وانقراضه في البريّة.  لكن يتوجب أن يكون المرء حذراً في استخدام "اختبار البرّية" في مقارنته له بالحياة المسيحية (كما لو أنها كانت تمثّل الانتقال بين الخلاص والسماء).  بل على العكس من ذلك، فإنها تمثّل التأديب الإلهي نتيجة للعصيان وعدم الإيمان.  ومن المؤكد أن هذا ليس الاختبار المتوقع للمؤمنين </w:t>
      </w:r>
      <w:r w:rsidRPr="00F61332">
        <w:rPr>
          <w:rFonts w:eastAsia="Times New Roman"/>
          <w:kern w:val="0"/>
          <w:rtl/>
          <w:lang w:bidi="ar-JO"/>
          <w14:ligatures w14:val="none"/>
        </w:rPr>
        <w:lastRenderedPageBreak/>
        <w:t xml:space="preserve">على الرغم من أنه يحتوي بالفعل على دروس للذين يتراجعون في علاقاتهم بالرب بسبب عدم الإيمان.  وتؤكد الرسالة إلى العبرانيين على الدروس المستفادة من عدم الإيمان (انظر الأصحاحين 3-4 على نحو خاص). </w:t>
      </w:r>
    </w:p>
    <w:p w14:paraId="2D7E7677"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 xml:space="preserve"> </w:t>
      </w:r>
    </w:p>
    <w:p w14:paraId="67936ED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عند الوصول إلى قادش، يُرسل جواسيس لكي يتحرّوا أحوال الأرض.</w:t>
      </w:r>
      <w:r w:rsidRPr="00F61332">
        <w:rPr>
          <w:rFonts w:eastAsia="Times New Roman"/>
          <w:kern w:val="0"/>
          <w:vertAlign w:val="superscript"/>
          <w:rtl/>
          <w:lang w:bidi="ar-JO"/>
          <w14:ligatures w14:val="none"/>
        </w:rPr>
        <w:footnoteReference w:id="110"/>
      </w:r>
      <w:r w:rsidRPr="00F61332">
        <w:rPr>
          <w:rFonts w:eastAsia="Times New Roman"/>
          <w:kern w:val="0"/>
          <w:rtl/>
          <w:lang w:bidi="ar-JO"/>
          <w14:ligatures w14:val="none"/>
        </w:rPr>
        <w:t xml:space="preserve">  ولم يكن التجسس على الأرض بهدف رؤية إن كان ممكناً الاستيلاء عليها، لأن الله قد سبق أن أخبرهم في سفر الخروج أنه سيُحضرهم إلى أرض تفيض لبناً (حليباً) وعسلاً، بل الهدف هو أن يؤكد الجواسيس أن الأرض تستحق القتال من أجلها (حرب إيمان).  ولسوء الحظ، فقد ركّز الجواسيس (ما عدا يشوع وكالب) انتباههم على طبيعة العوائق، لا على الأرض.  وعلى الرغم من أن الله أوعز إلى موسى بأن يرسل الجواسيس (13: 2)، إلا أنه يبدو أن الله سمح بهذا بناء على طلب الشعب.  تشرح لنا تثنية 1: 19-23 أن الرعية كلّها طلبت إرسال جواسيس بحجة أنهم يريدون أن يعرفوا الطريق الفضلى لدخولها.  كان من الواضح أن الشعب متردد بعض الشيء في الدخول إلى الأرض قبل أن يتلقّوا تقارير الجواسيس.</w:t>
      </w:r>
    </w:p>
    <w:p w14:paraId="1E115155"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969E812"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جاءت التقارير باستجابتين مختلفتين.  فقد أبلغ كالب ويشوع عما رأياه بقلبين مؤمنين.  فالمعلومات الجديدة بالنسبة لهما لا تؤثّر على إيمانهما: فالمسألة محسومة حيثما تكلّم الله.  وبالمقابل أبلغ معظم الجواسيس عمّا رأوه في عدم إيمان، مؤكّدين على الصعوبات.  وفضلاً عن ذلك، فقد قاسوا الصعوبات بأنفسهم، "لا نقدر" (13: 31).</w:t>
      </w:r>
    </w:p>
    <w:p w14:paraId="0EF8CB3D"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999AEA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F61332">
        <w:rPr>
          <w:rFonts w:eastAsia="Times New Roman"/>
          <w:kern w:val="0"/>
          <w:rtl/>
          <w:lang w:bidi="ar-JO"/>
          <w14:ligatures w14:val="none"/>
        </w:rPr>
        <w:t>تمسّكت الجماعة بالتقرير السيّء ووضعوا اللوم كلّه على الرب (14: 2-3).  وقد رأى الله في ذلك إهانة له (14: 11): وتتضح الأمور أكثر في تثنية 1: 26-27</w:t>
      </w:r>
      <w:r w:rsidRPr="00F61332">
        <w:rPr>
          <w:rFonts w:eastAsia="Times New Roman"/>
          <w:kern w:val="0"/>
          <w:rtl/>
          <w14:ligatures w14:val="none"/>
        </w:rPr>
        <w:t>.</w:t>
      </w:r>
    </w:p>
    <w:p w14:paraId="17CF7360"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F61332">
        <w:rPr>
          <w:rFonts w:eastAsia="Times New Roman"/>
          <w:kern w:val="0"/>
          <w:rtl/>
          <w:lang w:bidi="ar-JO"/>
          <w14:ligatures w14:val="none"/>
        </w:rPr>
        <w:t>لكنكم لم تشاءوا أن تصعدوا، وعصيتم قول الرب إلهكم، وتمرّدتم في خيامكم وقلتم: الرب بسبب بغضه لنا، قد أخرجنا من أرض مصر ليدفعنا إلى أيدي الأمّوريين لكي يهلكنا.</w:t>
      </w:r>
    </w:p>
    <w:p w14:paraId="0C89F0D6"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مثّل هذا عدم إيمان وتمرّد إراديين من قِبل الأمة التي سبق أن رأت أمانة الله في قيادتها وهدايتها وتوفير احتياجاتها حتى تلك المرحلة.  فكان لديهم أسباب كافية تدعوهم إلى الاتكال على الله في تثبيتهم في الأرض.</w:t>
      </w:r>
    </w:p>
    <w:p w14:paraId="22E8F5B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E28561C"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وفضلاً عن ذلك صرّحوا قائلين: "نقيم رئيساً ونرجع إلى مصر" (14: 4).  فكان هذا رفضاً للسلطة الثيوقراطية التي مارسها موسى منذ مغادرتهم مصر.  وسارع يشوع وكالب إلى تفسير خطة انتخاب قائد جديد بصفته تحدّياً سافراً للرب (14: 9).</w:t>
      </w:r>
    </w:p>
    <w:p w14:paraId="4C7C5314"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88BF71D"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 xml:space="preserve">استجاب يهوه بأن اقترح ضربهم بالطاعون والقضاء عليهم، مستخدماً موسى لبدء أمّة جديدة (14: 12).  </w:t>
      </w:r>
      <w:r w:rsidRPr="00F61332">
        <w:rPr>
          <w:rFonts w:eastAsia="Times New Roman"/>
          <w:kern w:val="0"/>
          <w:rtl/>
          <w14:ligatures w14:val="none"/>
        </w:rPr>
        <w:t>في الواقع، كان بإمكان الله أن يبيدهم من دون خرق العهد الإبراهيمي، لأن موسى كان من نسل إبراهيم (وبافتراض أن كالب كان من سبط يهوذا [عدد ١٣: ٦] فيكون قد تم العفو عنه للحفاظ على الوعد الملكي لسبط يهوذا [تكوين ٤٠: ١٠]) </w:t>
      </w:r>
      <w:r w:rsidRPr="00F61332">
        <w:rPr>
          <w:rFonts w:eastAsia="Times New Roman"/>
          <w:kern w:val="0"/>
          <w:rtl/>
          <w:lang w:bidi="ar-JO"/>
          <w14:ligatures w14:val="none"/>
        </w:rPr>
        <w:t>. لكن موسى تشفّع في الأمّة تشفّعاً مزدوجاً: (1) كان مهتمّاً بكرامة الله بين الوثنيين، و(2) عبّر عن ثقته بطبيعة الله الأخلاقية، خاصة غفرانه ورحمته وكرمه النابع من محبّته (خِسِد</w:t>
      </w:r>
      <w:r w:rsidRPr="00F61332">
        <w:rPr>
          <w:rFonts w:eastAsia="Times New Roman"/>
          <w:kern w:val="0"/>
          <w:rtl/>
          <w14:ligatures w14:val="none"/>
        </w:rPr>
        <w:t xml:space="preserve"> </w:t>
      </w:r>
      <w:r w:rsidRPr="00F61332">
        <w:rPr>
          <w:rFonts w:eastAsia="Times New Roman"/>
          <w:bCs/>
          <w:i/>
          <w:iCs/>
          <w:kern w:val="0"/>
          <w:lang w:bidi="ar-JO"/>
          <w14:ligatures w14:val="none"/>
        </w:rPr>
        <w:t>ḥeseḏ</w:t>
      </w:r>
      <w:r w:rsidRPr="00F61332">
        <w:rPr>
          <w:rFonts w:eastAsia="Times New Roman"/>
          <w:kern w:val="0"/>
          <w:rtl/>
          <w:lang w:bidi="ar-JO"/>
          <w14:ligatures w14:val="none"/>
        </w:rPr>
        <w:t xml:space="preserve"> -</w:t>
      </w:r>
      <w:r w:rsidRPr="00F61332">
        <w:rPr>
          <w:rFonts w:eastAsia="Times New Roman"/>
          <w:kern w:val="0"/>
          <w:rtl/>
          <w14:ligatures w14:val="none"/>
        </w:rPr>
        <w:t xml:space="preserve"> </w:t>
      </w:r>
      <w:r w:rsidRPr="00F61332">
        <w:rPr>
          <w:rFonts w:eastAsia="Times New Roman"/>
          <w:kern w:val="0"/>
          <w:rtl/>
          <w:lang w:bidi="ar-JO"/>
          <w14:ligatures w14:val="none"/>
        </w:rPr>
        <w:t>الوفاء/الولاء المُحِب).</w:t>
      </w:r>
    </w:p>
    <w:p w14:paraId="0C93ED01"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1F7EE32"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استجاب الله بالغفران، لكنه جاء من منظور الحفاظ على الأمّة، لا من منظور إلغاء عقاب مستحق.  وستكون الدينونة عدم دخول هذا الجيل إلى الأرض (14: 23).  وتوجد هنا سخرية أدبية في سماحه للأمة بالتمرّد.  ففي 14: 2 كان الشعب قد ذكروا أن موتهم في البريّة سيكون أفضل بكثير من محاولتهم الاستيلاء على الأرض، فنالوا ذات الشيء الذي أرادوه (14: 22-30).  وعلى الرغم من انهم أظهروا قلقاً على أبنائهم (14: 3)، فإن هؤلاء الصغار هم الذين سيدخلهم الله الأرض.  وأخيراً، فإن الجواسيس الذين جاءوا بتقرير سيء ماتوا بوباء (14: 37)، دون أن يمسّهم أهل الأرض الذين خافوا منهم، أي الكنعانيين.  غير أن الأمّة لم تكن هي التي حُرمت من بركة الدخول إلى الأرض، بل ذلك الجيل بعينه.  فالله ما زال وفياً، وهو يعتبر أن العهد الإبراهيمي ما زال قائماً.</w:t>
      </w:r>
    </w:p>
    <w:p w14:paraId="3F79BBCC"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C264D76" w14:textId="77777777" w:rsidR="00070B6E" w:rsidRPr="00F61332" w:rsidRDefault="00070B6E" w:rsidP="000558B7">
      <w:pPr>
        <w:pStyle w:val="Heading3"/>
        <w:rPr>
          <w:rtl/>
          <w:lang w:bidi="ar-JO"/>
        </w:rPr>
      </w:pPr>
      <w:bookmarkStart w:id="273" w:name="_Toc193031052"/>
      <w:r w:rsidRPr="00F61332">
        <w:rPr>
          <w:rtl/>
          <w:lang w:bidi="ar-JO"/>
        </w:rPr>
        <w:t>4.</w:t>
      </w:r>
      <w:r w:rsidRPr="00F61332">
        <w:rPr>
          <w:rtl/>
          <w:lang w:bidi="ar-JO"/>
        </w:rPr>
        <w:tab/>
        <w:t>اهتمامات كهنوتية (15: 1-19: 32)</w:t>
      </w:r>
      <w:bookmarkEnd w:id="273"/>
    </w:p>
    <w:p w14:paraId="2476853B" w14:textId="49C0C741"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 xml:space="preserve">يغطي هذا القسم عدّة مواضيع تتناول الذبائح </w:t>
      </w:r>
      <w:r w:rsidR="00942C76" w:rsidRPr="00F61332">
        <w:rPr>
          <w:rFonts w:eastAsia="Times New Roman" w:hint="cs"/>
          <w:kern w:val="0"/>
          <w:rtl/>
          <w:lang w:bidi="ar-JO"/>
          <w14:ligatures w14:val="none"/>
        </w:rPr>
        <w:t>والكهنوت</w:t>
      </w:r>
      <w:r w:rsidR="00942C76" w:rsidRPr="00F61332">
        <w:rPr>
          <w:rFonts w:eastAsia="Times New Roman" w:hint="eastAsia"/>
          <w:kern w:val="0"/>
          <w:rtl/>
          <w:lang w:bidi="ar-JO"/>
          <w14:ligatures w14:val="none"/>
        </w:rPr>
        <w:t>،</w:t>
      </w:r>
      <w:r w:rsidRPr="00F61332">
        <w:rPr>
          <w:rFonts w:eastAsia="Times New Roman"/>
          <w:kern w:val="0"/>
          <w:rtl/>
          <w:lang w:bidi="ar-JO"/>
          <w14:ligatures w14:val="none"/>
        </w:rPr>
        <w:t xml:space="preserve"> وهارون واللاويين والنجاسة.  وهكذا فإن العنصر المشترك بينها هو "الاهتمامات الكهنوتية".  وهذه المادّة موضوعة بعد مسألة عدم الإيمان في قادش، وهي لهذا تقع ضمن الفترة التي هامت فيها الأمّة في البريّة.  وعلى الرغم من أن "التَيَهان" حصل حوالي أربعين سنة، فإننا لا نجد إلاّ القليل المذكور عن هذه الاختبارات.  غير أن أحد أهم الأحداث هو التمرّد الذي قاده قورح (عدد 16: 1-40)، وهو من اللاويين القهاتيين (واحد من أكثر اللاويين المكرَّمين).</w:t>
      </w:r>
    </w:p>
    <w:p w14:paraId="71E1E858"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29B75DA"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كان تمرّد قورح منظّماً شارك فيه 250 من قادة الجماعة، ممّا جعله أخطر تمرّد ضد موسى وهارون.  ويوحي سؤال موسى لهم: "وتطلبون أيضاً كهنوتاً؟" (16: 10) بأنهم يتحدّون سلطة هارون أيضاً.  حتى أن المتمردين هزئوا بسلطة الله المعهود بها لموسى، وذلك برفضهم أن يأتوا إلى موسى عندما استدعاهم (16: 12).</w:t>
      </w:r>
    </w:p>
    <w:p w14:paraId="2104E5AB"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F61332">
        <w:rPr>
          <w:rFonts w:eastAsia="Times New Roman"/>
          <w:kern w:val="0"/>
          <w:rtl/>
          <w:lang w:bidi="ar-JO"/>
          <w14:ligatures w14:val="none"/>
        </w:rPr>
        <w:t xml:space="preserve">يبدو أن التحدّي في 16: 3 يوحي إلى أنهم لم يروا حاجة إلى أن يكونوا تحت سلطة حيث إنهم كانوا جميعاً جزءاً من الشعب المفدي.  شعروا بأنهم لم يكونوا يحتاجون إلى إداري عليهم.  والفكرة الكامنة وراء هذا هي إنكارهم لحق الله في الحكم، قائلين بأنه لا حاجة بالمفديين إلى الخضوع إلى السلطة.  عكس هذا موقفاً خاطئاً (مشابهاً لموقف بعض المؤمنين </w:t>
      </w:r>
      <w:r w:rsidRPr="00F61332">
        <w:rPr>
          <w:rFonts w:eastAsia="Times New Roman"/>
          <w:kern w:val="0"/>
          <w:rtl/>
          <w:lang w:bidi="ar-JO"/>
          <w14:ligatures w14:val="none"/>
        </w:rPr>
        <w:lastRenderedPageBreak/>
        <w:t>بالمسيح الذين يزعمون أنهم أحرار من كل شريعة لأنهم "تحت النعمة"؛ فمع أننا أحرار من الشريعة الموسوية، إلاّ أننا تحت ناموس المسيح).  يقول أنجر:  "أرادوا أن يطيحوا بما سبق أن رسّخه الرب لكي يغتصبوا لهم مكاناً لم يُعطهم إياه."</w:t>
      </w:r>
      <w:r w:rsidRPr="00F61332">
        <w:rPr>
          <w:rFonts w:eastAsia="Times New Roman"/>
          <w:kern w:val="0"/>
          <w:vertAlign w:val="superscript"/>
          <w:rtl/>
          <w:lang w:bidi="ar-JO"/>
          <w14:ligatures w14:val="none"/>
        </w:rPr>
        <w:footnoteReference w:id="111"/>
      </w:r>
    </w:p>
    <w:p w14:paraId="53EB90D0"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0F1F552E"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دُعيت كل الجماعة إلى التجمع، حيث إن هذا كان تمرّداً علنياً (لاحظ 16: 19).  أراد الله أن يهلكهم، وكان سيهلكهم، لولا تشفّع موسى وهارون.  غير أن الدينونة كانت شديدة.  فقد ابتلعت الأرض عائلات قورح وداثان وأبيرام (16: 33)، والتهمت نار أرسلها الرب المئتين والخمسين قائداً متمرّداً.  كانت الدينونة قاسية، لأن الله رأى أنها تحدِّ لإدارته الثيوقراطية.  وقد أكّدت الدينونة أن الشعب لا يستطيع أن يتجنّب عواقب التمرّد الفردي أو التمرّد الجماعي.</w:t>
      </w:r>
    </w:p>
    <w:p w14:paraId="4013827A"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وهكذا أبقى الله على حياة بقية الجماعة، وكان من المفروض أن الجماعة تعلَّمت عدم التمرّد على السلطة التي رسّخها الله.  غير أنهم لم يتعلّموا درسهم جيّداً، لأنهم جاءوا في اليوم التالي بالذات قائلين بتذمّر بأن اللوم سيقع على موسى وهارون في المسألة كلّها (16: 41).  ويؤكد هذا أن قلوبهم لم تكن ميّالة إلى الخضوع لله.  بمقدار التمرُّد الذي يمكن أن يصبح في قلوب أولاد الله! استجاب الله بوباء وانتزع حياة 14.700 شخص (16: 49).  وسيتعلم الذين أبقى الله على حياتهم درساً أعمق:</w:t>
      </w:r>
    </w:p>
    <w:p w14:paraId="47816813"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F61332">
        <w:rPr>
          <w:rFonts w:eastAsia="Times New Roman"/>
          <w:kern w:val="0"/>
          <w:rtl/>
          <w:lang w:bidi="ar-JO"/>
          <w14:ligatures w14:val="none"/>
        </w:rPr>
        <w:t>عرفوا أن الله لم يعفُ عنهم بسبب قلوبهم الوفية أو التائبة.  وكان عليهم أن يعرفوا، من توقيت توقّف الوبأ القاتل المفاجئ مع ذبيحة الكفّارة، أن ما أنقذهم هو عمل موسى السريع والشفاعة الأمينة لرئيس الكهنة هارون من خلال تقديم كفّارة على المذبح.  وهكذا تبيّن أن من دعاهم الشعب قاتلين كانا في واقع الأمر "مخلِّصين".</w:t>
      </w:r>
      <w:r w:rsidRPr="00F61332">
        <w:rPr>
          <w:rFonts w:eastAsia="Times New Roman"/>
          <w:kern w:val="0"/>
          <w:vertAlign w:val="superscript"/>
          <w:rtl/>
          <w:lang w:bidi="ar-JO"/>
          <w14:ligatures w14:val="none"/>
        </w:rPr>
        <w:footnoteReference w:id="112"/>
      </w:r>
    </w:p>
    <w:p w14:paraId="4A826E01"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08C2F2AF" w14:textId="77777777" w:rsidR="00070B6E" w:rsidRPr="00F61332" w:rsidRDefault="00070B6E" w:rsidP="000558B7">
      <w:pPr>
        <w:pStyle w:val="Heading3"/>
        <w:rPr>
          <w:rtl/>
          <w:lang w:bidi="ar-JO"/>
        </w:rPr>
      </w:pPr>
      <w:bookmarkStart w:id="274" w:name="_Toc193031053"/>
      <w:r w:rsidRPr="00F61332">
        <w:rPr>
          <w:rtl/>
          <w:lang w:bidi="ar-JO"/>
        </w:rPr>
        <w:t>5.</w:t>
      </w:r>
      <w:r w:rsidRPr="00F61332">
        <w:rPr>
          <w:rtl/>
          <w:lang w:bidi="ar-JO"/>
        </w:rPr>
        <w:tab/>
        <w:t>من سِين إلى موآب (20: 1-21: 35)</w:t>
      </w:r>
      <w:bookmarkEnd w:id="274"/>
    </w:p>
    <w:p w14:paraId="39E4E0A4"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يوجد مشهد آخر يستحق التعليق، ألا وهو ضرب موسى للصخرة (عدد 20: 1-13).  والمشهد مألوف: فقلّة الماء جعلت الشعب "يخاصم" موسى.  وإن المرء ليدهش وهو يشاهد شعباً لا يتعلّم أبداً من خبرات الماضي وتدبير الله الكريم لسداد حاجاتهم.  ففي خروج 17: 1-7، احتاج الشعب إلى ماء، فوفّر الله ماء حين ضرب موسى الصخرة.  وتعلّمنا 1كونثوس 10: 4 أن الصخرة كانت المسيح.  غير أن الله يطلب من موسى هذه المرة في الأصحاح العشرين من سفر العدد أن يكلّم الصخرة.</w:t>
      </w:r>
    </w:p>
    <w:p w14:paraId="1C8ACED8"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 xml:space="preserve">على الرغم من أن الله وفّر في نعمته ماء مرّة أخرى، إلاّ أن تصرّف موسى كان ينم عن عدم خضوع.  فنحن نلاحظ أنه غضب سريعاً وفقد أعصابه، لأنه يخاطب الشعب بقوله: "اسمعوا أيها المَرَدة" (20: 10).  وفضلاً عن ذلك، فعل شيئاً سلب الله مجده، فهو يسأل في الآية (20)، "أمن هذه الصخرة نخرج لكم ماء؟" كان في هذا تعظيم للذات بالتوكيد على </w:t>
      </w:r>
      <w:r w:rsidRPr="00F61332">
        <w:rPr>
          <w:rFonts w:eastAsia="Times New Roman"/>
          <w:kern w:val="0"/>
          <w:rtl/>
          <w:lang w:bidi="ar-JO"/>
          <w14:ligatures w14:val="none"/>
        </w:rPr>
        <w:lastRenderedPageBreak/>
        <w:t>"نُخرج نحن"، دون أن يذكر كلمة عن يهوه.  وأخيراً، عصا الله صراحة بضربه للصخرة مرّتين بدلاً من أن يكلّمها.  كان الإداري الثيوقراطي نفسه غير خاضع للسلطة الإلهية.  وشوّه بهذا الدرس الذي يُفترض أن يتعلّمه شعب إسرائيل.  لقد هدفت الصخرة إلى تعليم بني إسرائيل أن الله الذي فداهم سيسدد احتياجاتهم من خلال موسى الذي أوصل بركة الله لهم.</w:t>
      </w:r>
    </w:p>
    <w:p w14:paraId="142DF117"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186B0C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ونتيجة لذلك أدان الله موسى (20: 12) بعدم السماح له بقيادة الشعب إلى داخل الأرض.  وقد بيّنت هذه الدينونة أن الله لا بدّ أن يحكم حتى على إداري الحكم الثيوقراطي الذي اختاره! وهكذا يسمح لنا الله أن نرى موسى القائد الأمين طوال هذا الوقت في لحظة فشله.  وهذا أمر حسن، بمعنى ما، حيث نرى أنه لا يستطيع حتى أفضل البشر أن يحققوا إرادة الله كاملة.  وتتلهف قلوبنا إلى مجيء واحد يستطيع أن يفعل ذلك، وسيأتي هذا الواحد بعد 1400 سنة من موسى.</w:t>
      </w:r>
    </w:p>
    <w:p w14:paraId="6739CA8A"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F1C0C11" w14:textId="77777777" w:rsidR="00070B6E" w:rsidRPr="00F61332" w:rsidRDefault="00070B6E" w:rsidP="000558B7">
      <w:pPr>
        <w:pStyle w:val="Heading3"/>
        <w:rPr>
          <w:rtl/>
          <w:lang w:bidi="ar-JO"/>
        </w:rPr>
      </w:pPr>
      <w:bookmarkStart w:id="275" w:name="_Toc193031054"/>
      <w:r w:rsidRPr="00F61332">
        <w:rPr>
          <w:rtl/>
          <w:lang w:bidi="ar-JO"/>
        </w:rPr>
        <w:t>6.</w:t>
      </w:r>
      <w:r w:rsidRPr="00F61332">
        <w:rPr>
          <w:rtl/>
          <w:lang w:bidi="ar-JO"/>
        </w:rPr>
        <w:tab/>
        <w:t>درس لحياتنا</w:t>
      </w:r>
      <w:bookmarkEnd w:id="275"/>
    </w:p>
    <w:p w14:paraId="6207AC49"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لنتأمل عدد 16: 8-10.  كانت لقورح فرصة وامتياز لخدمة الرب بصفته لاويّاً، غير أنه لم يقنع بتلك المهمّة.  فقد أراد ما هو أكثر، ممّا يرفعه فوق الآخرين.  ومثل هذا الموقف خطير، خاصّة للذين يتولّون منّا مسؤوليات قياديَّة.  صلِّ أن يعطيك الله قناعة في خدمتك له، ودع الله هو الذي يرفعك، ولا تحاول أن ترفع نفسك بجهودك الجسدية.</w:t>
      </w:r>
    </w:p>
    <w:p w14:paraId="2FEA6FC5" w14:textId="21D304B9" w:rsidR="00F00728" w:rsidRPr="00C7130A" w:rsidRDefault="00070B6E"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14:ligatures w14:val="none"/>
        </w:rPr>
      </w:pPr>
      <w:r w:rsidRPr="00C7130A">
        <w:rPr>
          <w:rFonts w:eastAsia="Times New Roman"/>
          <w:kern w:val="0"/>
          <w:sz w:val="18"/>
          <w:szCs w:val="20"/>
          <w:rtl/>
          <w14:ligatures w14:val="none"/>
        </w:rPr>
        <w:t xml:space="preserve">      </w:t>
      </w:r>
    </w:p>
    <w:p w14:paraId="52BECEDA"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14:ligatures w14:val="none"/>
        </w:rPr>
      </w:pPr>
    </w:p>
    <w:p w14:paraId="2B1C1193" w14:textId="77777777" w:rsidR="00942C76" w:rsidRDefault="00942C76" w:rsidP="000558B7">
      <w:pPr>
        <w:pStyle w:val="Heading2B"/>
        <w:rPr>
          <w:rtl/>
        </w:rPr>
      </w:pPr>
      <w:bookmarkStart w:id="276" w:name="_Hlk156573867"/>
      <w:bookmarkStart w:id="277" w:name="_Hlk178778993"/>
    </w:p>
    <w:p w14:paraId="5B81FCDE" w14:textId="5BAD86DF" w:rsidR="007259B1" w:rsidRPr="00C7130A" w:rsidRDefault="00322941" w:rsidP="000558B7">
      <w:pPr>
        <w:pStyle w:val="Heading2B"/>
      </w:pPr>
      <w:bookmarkStart w:id="278" w:name="_Toc193031055"/>
      <w:r w:rsidRPr="00C7130A">
        <w:rPr>
          <w:rtl/>
        </w:rPr>
        <w:t xml:space="preserve">الموضوع 4: </w:t>
      </w:r>
      <w:r w:rsidR="00564684" w:rsidRPr="00C7130A">
        <w:rPr>
          <w:rtl/>
        </w:rPr>
        <w:t>إعداد الجيل الجديد للدخول (سفر العدد 22: 1 – 36: 13)</w:t>
      </w:r>
      <w:bookmarkEnd w:id="278"/>
    </w:p>
    <w:bookmarkEnd w:id="276"/>
    <w:p w14:paraId="24CEBF3F" w14:textId="6961EE69" w:rsidR="007259B1" w:rsidRPr="00C7130A" w:rsidRDefault="007259B1"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14:ligatures w14:val="none"/>
        </w:rPr>
      </w:pPr>
      <w:r w:rsidRPr="00C7130A">
        <w:rPr>
          <w:rFonts w:eastAsia="Calibri"/>
          <w:b/>
          <w:caps/>
          <w:noProof/>
          <w:color w:val="006699"/>
          <w:kern w:val="0"/>
          <w:sz w:val="21"/>
          <w:szCs w:val="24"/>
          <w14:ligatures w14:val="none"/>
        </w:rPr>
        <w:drawing>
          <wp:inline distT="0" distB="0" distL="0" distR="0" wp14:anchorId="0B37B886" wp14:editId="73AE9331">
            <wp:extent cx="613692" cy="541464"/>
            <wp:effectExtent l="0" t="0" r="0" b="0"/>
            <wp:docPr id="1424180835" name="Picture 1424180835"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564684" w:rsidRPr="00F61332">
        <w:rPr>
          <w:rFonts w:eastAsia="Calibri"/>
          <w:bCs/>
          <w:caps/>
          <w:color w:val="006699"/>
          <w:kern w:val="0"/>
          <w:u w:val="single"/>
          <w:rtl/>
          <w14:ligatures w14:val="none"/>
        </w:rPr>
        <w:t>القراءة</w:t>
      </w:r>
      <w:r w:rsidR="00564684" w:rsidRPr="00C7130A">
        <w:rPr>
          <w:rFonts w:eastAsia="Calibri"/>
          <w:bCs/>
          <w:caps/>
          <w:color w:val="006699"/>
          <w:kern w:val="0"/>
          <w:sz w:val="21"/>
          <w:szCs w:val="24"/>
          <w:u w:val="single"/>
          <w:rtl/>
          <w14:ligatures w14:val="none"/>
        </w:rPr>
        <w:t>:</w:t>
      </w:r>
      <w:r w:rsidR="00564684" w:rsidRPr="00C7130A">
        <w:rPr>
          <w:rFonts w:eastAsia="Calibri"/>
          <w:b/>
          <w:caps/>
          <w:color w:val="006699"/>
          <w:kern w:val="0"/>
          <w:sz w:val="21"/>
          <w:szCs w:val="24"/>
          <w:u w:val="single"/>
          <w:rtl/>
          <w14:ligatures w14:val="none"/>
        </w:rPr>
        <w:t xml:space="preserve"> </w:t>
      </w:r>
    </w:p>
    <w:p w14:paraId="2A8B8B43" w14:textId="46C6002E" w:rsidR="007259B1" w:rsidRPr="00C7130A" w:rsidRDefault="007259B1" w:rsidP="00C7130A">
      <w:pPr>
        <w:rPr>
          <w:b/>
          <w:bCs/>
        </w:rPr>
      </w:pPr>
      <w:r w:rsidRPr="00C7130A">
        <w:tab/>
      </w:r>
      <w:r w:rsidRPr="00C7130A">
        <w:tab/>
      </w:r>
      <w:r w:rsidR="00564684" w:rsidRPr="00C7130A">
        <w:rPr>
          <w:rtl/>
        </w:rPr>
        <w:t xml:space="preserve">اقرأ سفر العدد 22: 1 – 36: 13 في كتابك المُقدَّس. </w:t>
      </w:r>
    </w:p>
    <w:p w14:paraId="2D951F9E" w14:textId="77777777" w:rsidR="00070B6E" w:rsidRPr="00F61332" w:rsidRDefault="00070B6E" w:rsidP="000558B7">
      <w:pPr>
        <w:pStyle w:val="Heading3"/>
        <w:rPr>
          <w:rtl/>
          <w:lang w:bidi="ar-JO"/>
        </w:rPr>
      </w:pPr>
      <w:bookmarkStart w:id="279" w:name="_Toc193031056"/>
      <w:bookmarkEnd w:id="277"/>
      <w:r w:rsidRPr="00F61332">
        <w:rPr>
          <w:rtl/>
          <w:lang w:bidi="ar-JO"/>
        </w:rPr>
        <w:t>1.</w:t>
      </w:r>
      <w:r w:rsidRPr="00F61332">
        <w:rPr>
          <w:rtl/>
          <w:lang w:bidi="ar-JO"/>
        </w:rPr>
        <w:tab/>
        <w:t>مقدّمة</w:t>
      </w:r>
      <w:bookmarkEnd w:id="279"/>
      <w:r w:rsidRPr="00F61332">
        <w:rPr>
          <w:rtl/>
          <w:lang w:bidi="ar-JO"/>
        </w:rPr>
        <w:t xml:space="preserve"> </w:t>
      </w:r>
    </w:p>
    <w:p w14:paraId="4CEAC644" w14:textId="77777777" w:rsidR="00070B6E"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تغطّي مادة الأصحاحات 22-36 فترة تقل عن ستة أشهر، وهي تقع في سهول موآب، مقابل أرض كنعان في عبر نهر الأردن.  اقتربت السنوات الثماني والثلاثون في البرية من نهايتها، وتهيّأ الجيل الجديد لدخول الأرض.  غير أن فيهم قلباً ميّالاً إلى الزيغان، كما تشهد "خطية فغور" (عدد 25).  بل إن موسى يعلن في عِظة سفر التثنية: "</w:t>
      </w:r>
      <w:r w:rsidRPr="00F61332">
        <w:rPr>
          <w:rFonts w:eastAsia="Times New Roman"/>
          <w:i/>
          <w:iCs/>
          <w:kern w:val="0"/>
          <w:rtl/>
          <w:lang w:bidi="ar-JO"/>
          <w14:ligatures w14:val="none"/>
        </w:rPr>
        <w:t xml:space="preserve">ولكن لم يعطكم الرب </w:t>
      </w:r>
      <w:r w:rsidRPr="00F61332">
        <w:rPr>
          <w:rFonts w:eastAsia="Times New Roman"/>
          <w:i/>
          <w:iCs/>
          <w:kern w:val="0"/>
          <w:rtl/>
          <w:lang w:bidi="ar-JO"/>
          <w14:ligatures w14:val="none"/>
        </w:rPr>
        <w:lastRenderedPageBreak/>
        <w:t>قلباً لتفهموا، وأعيناً لتبصروا، وآذاناً لتسمعوا إلى هذا اليوم</w:t>
      </w:r>
      <w:r w:rsidRPr="00F61332">
        <w:rPr>
          <w:rFonts w:eastAsia="Times New Roman"/>
          <w:kern w:val="0"/>
          <w:rtl/>
          <w:lang w:bidi="ar-JO"/>
          <w14:ligatures w14:val="none"/>
        </w:rPr>
        <w:t>" (تثنية 29: 4).  ليس الجيل الجديد أفضل بكثير من الجيل السابق، وهو سينحط ويفسد مع الزمن أيضاً.</w:t>
      </w:r>
    </w:p>
    <w:p w14:paraId="6AC68819" w14:textId="77777777" w:rsidR="00942C76" w:rsidRPr="00F61332" w:rsidRDefault="00942C7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65C4FEAF" w14:textId="77777777" w:rsidR="00070B6E" w:rsidRPr="00F61332" w:rsidRDefault="00070B6E" w:rsidP="000558B7">
      <w:pPr>
        <w:pStyle w:val="Heading3"/>
        <w:rPr>
          <w:rtl/>
          <w:lang w:bidi="ar-JO"/>
        </w:rPr>
      </w:pPr>
      <w:bookmarkStart w:id="280" w:name="_Toc193031057"/>
      <w:r w:rsidRPr="00F61332">
        <w:rPr>
          <w:rtl/>
          <w:lang w:bidi="ar-JO"/>
        </w:rPr>
        <w:t>2.</w:t>
      </w:r>
      <w:r w:rsidRPr="00F61332">
        <w:rPr>
          <w:rtl/>
          <w:lang w:bidi="ar-JO"/>
        </w:rPr>
        <w:tab/>
        <w:t>بنية القسم الرئيسي الأخير لسفر العدد (26: 1- 6: 13)</w:t>
      </w:r>
      <w:bookmarkEnd w:id="280"/>
    </w:p>
    <w:p w14:paraId="516B7390" w14:textId="77777777" w:rsidR="00070B6E" w:rsidRPr="00F6133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F61332">
        <w:rPr>
          <w:rFonts w:eastAsia="Times New Roman"/>
          <w:kern w:val="0"/>
          <w:rtl/>
          <w:lang w:bidi="ar-JO"/>
          <w14:ligatures w14:val="none"/>
        </w:rPr>
        <w:t>أ.</w:t>
      </w:r>
      <w:r w:rsidRPr="00F61332">
        <w:rPr>
          <w:rFonts w:eastAsia="Times New Roman"/>
          <w:kern w:val="0"/>
          <w:rtl/>
          <w:lang w:bidi="ar-JO"/>
          <w14:ligatures w14:val="none"/>
        </w:rPr>
        <w:tab/>
        <w:t>استعدادات نهائية (26: 1-27: 23)</w:t>
      </w:r>
    </w:p>
    <w:p w14:paraId="223D3C0C"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1.</w:t>
      </w:r>
      <w:r w:rsidRPr="00F61332">
        <w:rPr>
          <w:rFonts w:eastAsia="Times New Roman"/>
          <w:kern w:val="0"/>
          <w:rtl/>
          <w:lang w:bidi="ar-JO"/>
          <w14:ligatures w14:val="none"/>
        </w:rPr>
        <w:tab/>
        <w:t>إحصاء الجيل الجديد (26: 1-55)</w:t>
      </w:r>
    </w:p>
    <w:p w14:paraId="22355EF2"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2.</w:t>
      </w:r>
      <w:r w:rsidRPr="00F61332">
        <w:rPr>
          <w:rFonts w:eastAsia="Times New Roman"/>
          <w:kern w:val="0"/>
          <w:rtl/>
          <w:lang w:bidi="ar-JO"/>
          <w14:ligatures w14:val="none"/>
        </w:rPr>
        <w:tab/>
        <w:t>الاستجابة لطلب بنات صلفحاد (27: 1-11)</w:t>
      </w:r>
    </w:p>
    <w:p w14:paraId="7488216F"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3.</w:t>
      </w:r>
      <w:r w:rsidRPr="00F61332">
        <w:rPr>
          <w:rFonts w:eastAsia="Times New Roman"/>
          <w:kern w:val="0"/>
          <w:rtl/>
          <w:lang w:bidi="ar-JO"/>
          <w14:ligatures w14:val="none"/>
        </w:rPr>
        <w:tab/>
        <w:t>تعيين يشوع (27: 12-23)</w:t>
      </w:r>
    </w:p>
    <w:p w14:paraId="25779005" w14:textId="77777777" w:rsidR="00070B6E" w:rsidRPr="00F6133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F61332">
        <w:rPr>
          <w:rFonts w:eastAsia="Times New Roman"/>
          <w:kern w:val="0"/>
          <w:rtl/>
          <w:lang w:bidi="ar-JO"/>
          <w14:ligatures w14:val="none"/>
        </w:rPr>
        <w:t>ب.</w:t>
      </w:r>
      <w:r w:rsidRPr="00F61332">
        <w:rPr>
          <w:rFonts w:eastAsia="Times New Roman"/>
          <w:kern w:val="0"/>
          <w:rtl/>
          <w:lang w:bidi="ar-JO"/>
          <w14:ligatures w14:val="none"/>
        </w:rPr>
        <w:tab/>
        <w:t>أمور دينية عبادية (28: 1-30: 16)</w:t>
      </w:r>
    </w:p>
    <w:p w14:paraId="76DCCA7B"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1.</w:t>
      </w:r>
      <w:r w:rsidRPr="00F61332">
        <w:rPr>
          <w:rFonts w:eastAsia="Times New Roman"/>
          <w:kern w:val="0"/>
          <w:rtl/>
          <w:lang w:bidi="ar-JO"/>
          <w14:ligatures w14:val="none"/>
        </w:rPr>
        <w:tab/>
        <w:t>الذبائح المنتظمة (28: 1-15)</w:t>
      </w:r>
    </w:p>
    <w:p w14:paraId="0F50D982"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2.</w:t>
      </w:r>
      <w:r w:rsidRPr="00F61332">
        <w:rPr>
          <w:rFonts w:eastAsia="Times New Roman"/>
          <w:kern w:val="0"/>
          <w:rtl/>
          <w:lang w:bidi="ar-JO"/>
          <w14:ligatures w14:val="none"/>
        </w:rPr>
        <w:tab/>
        <w:t>ذبائح أيام الأعياد (28: 16-29: 40)</w:t>
      </w:r>
    </w:p>
    <w:p w14:paraId="2BB4F76A"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3.</w:t>
      </w:r>
      <w:r w:rsidRPr="00F61332">
        <w:rPr>
          <w:rFonts w:eastAsia="Times New Roman"/>
          <w:kern w:val="0"/>
          <w:rtl/>
          <w:lang w:bidi="ar-JO"/>
          <w14:ligatures w14:val="none"/>
        </w:rPr>
        <w:tab/>
        <w:t>شرائع للنذور (30: 1-16)</w:t>
      </w:r>
    </w:p>
    <w:p w14:paraId="58847745" w14:textId="77777777" w:rsidR="00070B6E" w:rsidRPr="00F6133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F61332">
        <w:rPr>
          <w:rFonts w:eastAsia="Times New Roman"/>
          <w:kern w:val="0"/>
          <w:rtl/>
          <w:lang w:bidi="ar-JO"/>
          <w14:ligatures w14:val="none"/>
        </w:rPr>
        <w:t>جـ.</w:t>
      </w:r>
      <w:r w:rsidRPr="00F61332">
        <w:rPr>
          <w:rFonts w:eastAsia="Times New Roman"/>
          <w:kern w:val="0"/>
          <w:rtl/>
          <w:lang w:bidi="ar-JO"/>
          <w14:ligatures w14:val="none"/>
        </w:rPr>
        <w:tab/>
        <w:t>هزيمة مديان وتقسيم الغنائم (31: 1-54)</w:t>
      </w:r>
    </w:p>
    <w:p w14:paraId="6CE08321" w14:textId="77777777" w:rsidR="00070B6E" w:rsidRPr="00F6133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F61332">
        <w:rPr>
          <w:rFonts w:eastAsia="Times New Roman"/>
          <w:kern w:val="0"/>
          <w:rtl/>
          <w:lang w:bidi="ar-JO"/>
          <w14:ligatures w14:val="none"/>
        </w:rPr>
        <w:t>د.</w:t>
      </w:r>
      <w:r w:rsidRPr="00F61332">
        <w:rPr>
          <w:rFonts w:eastAsia="Times New Roman"/>
          <w:kern w:val="0"/>
          <w:rtl/>
          <w:lang w:bidi="ar-JO"/>
          <w14:ligatures w14:val="none"/>
        </w:rPr>
        <w:tab/>
        <w:t>الإنباء بفتح الأرض ودخولها (32: 1-36: 13)</w:t>
      </w:r>
    </w:p>
    <w:p w14:paraId="7C138CDC"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1.</w:t>
      </w:r>
      <w:r w:rsidRPr="00F61332">
        <w:rPr>
          <w:rFonts w:eastAsia="Times New Roman"/>
          <w:kern w:val="0"/>
          <w:rtl/>
          <w:lang w:bidi="ar-JO"/>
          <w14:ligatures w14:val="none"/>
        </w:rPr>
        <w:tab/>
        <w:t>الميراث على الجانب الشرقي من نهر الأردن (32: 1-42)</w:t>
      </w:r>
    </w:p>
    <w:p w14:paraId="150FC823"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2.</w:t>
      </w:r>
      <w:r w:rsidRPr="00F61332">
        <w:rPr>
          <w:rFonts w:eastAsia="Times New Roman"/>
          <w:kern w:val="0"/>
          <w:rtl/>
          <w:lang w:bidi="ar-JO"/>
          <w14:ligatures w14:val="none"/>
        </w:rPr>
        <w:tab/>
        <w:t>سجل الرحلات (33: 1-49)</w:t>
      </w:r>
    </w:p>
    <w:p w14:paraId="197DB611"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3.</w:t>
      </w:r>
      <w:r w:rsidRPr="00F61332">
        <w:rPr>
          <w:rFonts w:eastAsia="Times New Roman"/>
          <w:kern w:val="0"/>
          <w:rtl/>
          <w:lang w:bidi="ar-JO"/>
          <w14:ligatures w14:val="none"/>
        </w:rPr>
        <w:tab/>
        <w:t>تعليمات حول امتلاك الأرض (33: 50-35: 8)</w:t>
      </w:r>
    </w:p>
    <w:p w14:paraId="06BE6B5E"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4.</w:t>
      </w:r>
      <w:r w:rsidRPr="00F61332">
        <w:rPr>
          <w:rFonts w:eastAsia="Times New Roman"/>
          <w:kern w:val="0"/>
          <w:rtl/>
          <w:lang w:bidi="ar-JO"/>
          <w14:ligatures w14:val="none"/>
        </w:rPr>
        <w:tab/>
        <w:t>تأسيس مدن الملجأ (35: 9-34)</w:t>
      </w:r>
    </w:p>
    <w:p w14:paraId="5229A9AC"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F61332">
        <w:rPr>
          <w:rFonts w:eastAsia="Times New Roman"/>
          <w:kern w:val="0"/>
          <w:rtl/>
          <w:lang w:bidi="ar-JO"/>
          <w14:ligatures w14:val="none"/>
        </w:rPr>
        <w:t>5.</w:t>
      </w:r>
      <w:r w:rsidRPr="00F61332">
        <w:rPr>
          <w:rFonts w:eastAsia="Times New Roman"/>
          <w:kern w:val="0"/>
          <w:rtl/>
          <w:lang w:bidi="ar-JO"/>
          <w14:ligatures w14:val="none"/>
        </w:rPr>
        <w:tab/>
        <w:t>تنظيم الميراث حسب الزواج (36: 1-13)</w:t>
      </w:r>
    </w:p>
    <w:p w14:paraId="235F11FD"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F61332">
        <w:rPr>
          <w:rFonts w:eastAsia="Times New Roman"/>
          <w:kern w:val="0"/>
          <w:rtl/>
          <w:lang w:bidi="ar-JO"/>
          <w14:ligatures w14:val="none"/>
        </w:rPr>
        <w:t>على الرغم من أن القسم الرئيسي الأخير لسفر العدد يبدأ بالأصحاح السادس والعشرين وبإحصاء الجيل الجديد، فإن المادة الموجودة في الأصحاحات 22: 1-25-25: 18 تشكّل خلفية هامة لكيفية نظرتنا إلى هذا الجيل الجديد.  ويرتبط هذا بإعلانات بلعام النبوية، والتي تشكل الموضوع الرئيسي لهذا الدرس.</w:t>
      </w:r>
    </w:p>
    <w:p w14:paraId="26C6E991"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p>
    <w:p w14:paraId="37FB207D" w14:textId="77777777" w:rsidR="00070B6E" w:rsidRPr="00F61332" w:rsidRDefault="00070B6E" w:rsidP="000558B7">
      <w:pPr>
        <w:pStyle w:val="Heading3"/>
        <w:rPr>
          <w:rtl/>
          <w:lang w:bidi="ar-JO"/>
        </w:rPr>
      </w:pPr>
      <w:bookmarkStart w:id="281" w:name="_Toc193031058"/>
      <w:r w:rsidRPr="00F61332">
        <w:rPr>
          <w:rtl/>
          <w:lang w:bidi="ar-JO"/>
        </w:rPr>
        <w:lastRenderedPageBreak/>
        <w:t>3.</w:t>
      </w:r>
      <w:r w:rsidRPr="00F61332">
        <w:rPr>
          <w:rtl/>
          <w:lang w:bidi="ar-JO"/>
        </w:rPr>
        <w:tab/>
        <w:t>إعلانات بلعام النبوية</w:t>
      </w:r>
      <w:r w:rsidRPr="00F61332">
        <w:rPr>
          <w:vertAlign w:val="superscript"/>
          <w:rtl/>
          <w:lang w:bidi="ar-JO"/>
        </w:rPr>
        <w:footnoteReference w:customMarkFollows="1" w:id="113"/>
        <w:t>1</w:t>
      </w:r>
      <w:bookmarkEnd w:id="281"/>
    </w:p>
    <w:p w14:paraId="381A39D2" w14:textId="77777777" w:rsidR="00070B6E" w:rsidRPr="00F61332" w:rsidRDefault="00070B6E" w:rsidP="00C7130A">
      <w:pPr>
        <w:tabs>
          <w:tab w:val="left" w:pos="454"/>
        </w:tabs>
        <w:spacing w:after="60"/>
        <w:ind w:left="550" w:hanging="550"/>
        <w:jc w:val="both"/>
        <w:rPr>
          <w:rFonts w:eastAsia="Times New Roman"/>
          <w:bCs/>
          <w:kern w:val="0"/>
          <w:rtl/>
          <w14:ligatures w14:val="none"/>
        </w:rPr>
      </w:pPr>
      <w:r w:rsidRPr="00F61332">
        <w:rPr>
          <w:rFonts w:eastAsia="Times New Roman"/>
          <w:bCs/>
          <w:kern w:val="0"/>
          <w:rtl/>
          <w14:ligatures w14:val="none"/>
        </w:rPr>
        <w:t>أ.</w:t>
      </w:r>
      <w:r w:rsidRPr="00F61332">
        <w:rPr>
          <w:rFonts w:eastAsia="Times New Roman"/>
          <w:bCs/>
          <w:kern w:val="0"/>
          <w:rtl/>
          <w14:ligatures w14:val="none"/>
        </w:rPr>
        <w:tab/>
        <w:t>مقدّمة</w:t>
      </w:r>
    </w:p>
    <w:p w14:paraId="61290208"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تأتي هذه الأصحاحات على نحو مفاجئ وغير متوقع، إذ تركز الأصحاحات السابقة من 10: 11 فصاعداً على خطية إسرائيل المتعمّدة في عدم الإيمان والتمرد.  فمع أننا قد نتوقع أن يُنزل الله</w:t>
      </w:r>
      <w:r w:rsidRPr="00F61332">
        <w:rPr>
          <w:rFonts w:eastAsia="Times New Roman"/>
          <w:i/>
          <w:iCs/>
          <w:kern w:val="0"/>
          <w:rtl/>
          <w:lang w:bidi="ar-JO"/>
          <w14:ligatures w14:val="none"/>
        </w:rPr>
        <w:t xml:space="preserve"> لعنة</w:t>
      </w:r>
      <w:r w:rsidRPr="00F61332">
        <w:rPr>
          <w:rFonts w:eastAsia="Times New Roman"/>
          <w:kern w:val="0"/>
          <w:rtl/>
          <w:lang w:bidi="ar-JO"/>
          <w14:ligatures w14:val="none"/>
        </w:rPr>
        <w:t xml:space="preserve"> على الأمة، إلاّ أن ما نراه هو موضوع بركة الله على إسرائيل.  يقع هذا الحدث في سهول موآب.  هارن قد مات، وكذلك معظم جيل الخروج الأكبر سنّاً، وكانت الأمة تستعد للدخول إلى أرض الموعد.  وهكذا تشهد هذه الأصحاحات على وفاء يهوه للأمة التي ما تزال تملك قلباً ميّالاً إلى الزيغان والضلال.  ولا شك أن محبّة (</w:t>
      </w:r>
      <w:r w:rsidRPr="00F61332">
        <w:rPr>
          <w:rFonts w:eastAsia="Times New Roman"/>
          <w:bCs/>
          <w:i/>
          <w:iCs/>
          <w:kern w:val="0"/>
          <w:lang w:bidi="ar-JO"/>
          <w14:ligatures w14:val="none"/>
        </w:rPr>
        <w:t>ḥeseḏ</w:t>
      </w:r>
      <w:r w:rsidRPr="00F61332">
        <w:rPr>
          <w:rFonts w:eastAsia="Times New Roman"/>
          <w:kern w:val="0"/>
          <w:rtl/>
          <w:lang w:bidi="ar-JO"/>
          <w14:ligatures w14:val="none"/>
        </w:rPr>
        <w:t>)</w:t>
      </w:r>
      <w:r w:rsidRPr="00F61332">
        <w:rPr>
          <w:rFonts w:eastAsia="Times New Roman"/>
          <w:kern w:val="0"/>
          <w:rtl/>
          <w14:ligatures w14:val="none"/>
        </w:rPr>
        <w:t xml:space="preserve"> </w:t>
      </w:r>
      <w:r w:rsidRPr="00F61332">
        <w:rPr>
          <w:rFonts w:eastAsia="Times New Roman"/>
          <w:kern w:val="0"/>
          <w:rtl/>
          <w:lang w:bidi="ar-JO"/>
          <w14:ligatures w14:val="none"/>
        </w:rPr>
        <w:t>يهوه القوية لهم غير مبنية على أي استحقاق منهم.</w:t>
      </w:r>
    </w:p>
    <w:p w14:paraId="7D3FD773"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5396239"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bookmarkStart w:id="282" w:name="_MON_1166523495"/>
    <w:bookmarkStart w:id="283" w:name="_MON_1166523394"/>
    <w:bookmarkStart w:id="284" w:name="_MON_1166523416"/>
    <w:bookmarkStart w:id="285" w:name="_MON_1166523425"/>
    <w:bookmarkEnd w:id="282"/>
    <w:bookmarkEnd w:id="283"/>
    <w:bookmarkEnd w:id="284"/>
    <w:bookmarkEnd w:id="285"/>
    <w:bookmarkStart w:id="286" w:name="_MON_1166523466"/>
    <w:bookmarkEnd w:id="286"/>
    <w:p w14:paraId="5579D988" w14:textId="77777777" w:rsidR="00070B6E" w:rsidRPr="00C7130A" w:rsidRDefault="00070B6E" w:rsidP="00C7130A">
      <w:pPr>
        <w:jc w:val="center"/>
        <w:rPr>
          <w:rFonts w:eastAsia="Times New Roman"/>
          <w:kern w:val="0"/>
          <w:szCs w:val="18"/>
          <w:rtl/>
          <w14:ligatures w14:val="none"/>
        </w:rPr>
      </w:pPr>
      <w:r w:rsidRPr="00C7130A">
        <w:rPr>
          <w:rFonts w:eastAsia="Times New Roman"/>
          <w:kern w:val="0"/>
          <w:szCs w:val="18"/>
          <w14:ligatures w14:val="none"/>
        </w:rPr>
        <w:object w:dxaOrig="3960" w:dyaOrig="1440" w14:anchorId="5242E0EA">
          <v:shape id="_x0000_i1037" type="#_x0000_t75" style="width:396.6pt;height:2in" o:ole="">
            <v:imagedata r:id="rId67" o:title=""/>
          </v:shape>
          <o:OLEObject Type="Embed" ProgID="PowerPoint.Show.8" ShapeID="_x0000_i1037" DrawAspect="Content" ObjectID="_1803892152" r:id="rId68"/>
        </w:object>
      </w:r>
    </w:p>
    <w:p w14:paraId="3E9B126B" w14:textId="77777777" w:rsidR="00070B6E" w:rsidRPr="00C7130A" w:rsidRDefault="00070B6E" w:rsidP="00C7130A">
      <w:pPr>
        <w:rPr>
          <w:rFonts w:eastAsia="Times New Roman"/>
          <w:kern w:val="0"/>
          <w:szCs w:val="18"/>
          <w:rtl/>
          <w14:ligatures w14:val="none"/>
        </w:rPr>
      </w:pPr>
    </w:p>
    <w:p w14:paraId="5E1E6ECE"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508DD02B"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ُتقدَّم معظم المادة من منظور نابع من داخل مخيم المديانيين، لا من مخيم إسرائيل.  إذ يؤخذ القارئ إلى مخيم مديانيين، ويسمح له برؤية خوفهم من بني إسرائيل (22: 3).  فهم مدركون لما فعله بنو إسرائيل للأموريين، ولهذا يلجأ الملك (بالاق) إلى مؤامرة سحرية لإيذاء إسرائيل.  فهو يريد أن يستخدم لعنةً ضدهم، فيلجأ إلى عرّاف اسمه بلعام طالباً منه أن يلعن إسرائيل.  ونحن نرى الدلالة اللاهوتية الكاملة في هذا الأمر.  فعندما يدعو بالاق بلعام، يقول له: "</w:t>
      </w:r>
      <w:r w:rsidRPr="00F61332">
        <w:rPr>
          <w:rFonts w:eastAsia="Times New Roman"/>
          <w:i/>
          <w:iCs/>
          <w:kern w:val="0"/>
          <w:rtl/>
          <w:lang w:bidi="ar-JO"/>
          <w14:ligatures w14:val="none"/>
        </w:rPr>
        <w:t>عرفتُ أن الذي تباركه مُبارك والذي تلعنه ملعون</w:t>
      </w:r>
      <w:r w:rsidRPr="00F61332">
        <w:rPr>
          <w:rFonts w:eastAsia="Times New Roman"/>
          <w:kern w:val="0"/>
          <w:rtl/>
          <w:lang w:bidi="ar-JO"/>
          <w14:ligatures w14:val="none"/>
        </w:rPr>
        <w:t>" (22: 6).</w:t>
      </w:r>
    </w:p>
    <w:p w14:paraId="6B77DAB5" w14:textId="77777777" w:rsidR="00070B6E" w:rsidRPr="00F6133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F61332">
        <w:rPr>
          <w:rFonts w:eastAsia="Times New Roman"/>
          <w:kern w:val="0"/>
          <w:rtl/>
          <w:lang w:bidi="ar-JO"/>
          <w14:ligatures w14:val="none"/>
        </w:rPr>
        <w:t>إن من الواضح أن بالاق لم يتحدث من منظور إلهي في هذا الأمر، لأن الله سبق أن وعد منذ زمن إبراهيم، "</w:t>
      </w:r>
      <w:r w:rsidRPr="00F61332">
        <w:rPr>
          <w:rFonts w:eastAsia="Times New Roman"/>
          <w:i/>
          <w:iCs/>
          <w:kern w:val="0"/>
          <w:rtl/>
          <w:lang w:bidi="ar-JO"/>
          <w14:ligatures w14:val="none"/>
        </w:rPr>
        <w:t>وأبارك مباركيك، ولاعنك ألعنه</w:t>
      </w:r>
      <w:r w:rsidRPr="00F61332">
        <w:rPr>
          <w:rFonts w:eastAsia="Times New Roman"/>
          <w:kern w:val="0"/>
          <w:rtl/>
          <w:lang w:bidi="ar-JO"/>
          <w14:ligatures w14:val="none"/>
        </w:rPr>
        <w:t xml:space="preserve">" (تكوين 12: 3).  وهكذا تصبح أحداث سفر العدد 22-25 امتحاناً للعهد الإبراهيمي.  إن </w:t>
      </w:r>
      <w:r w:rsidRPr="00F61332">
        <w:rPr>
          <w:rFonts w:eastAsia="Times New Roman"/>
          <w:kern w:val="0"/>
          <w:rtl/>
          <w:lang w:bidi="ar-JO"/>
          <w14:ligatures w14:val="none"/>
        </w:rPr>
        <w:lastRenderedPageBreak/>
        <w:t>الله مستعد أن يؤدب شعبه ويعاقبهم على تمرّدهم، لكنه لن يسمح لشخص آخر بأن يستمطر عليهم لعنة جزافاً (22: 12).</w:t>
      </w:r>
    </w:p>
    <w:p w14:paraId="700E50D4" w14:textId="77777777" w:rsidR="00070B6E" w:rsidRPr="00F61332" w:rsidRDefault="00070B6E" w:rsidP="00C7130A">
      <w:pPr>
        <w:tabs>
          <w:tab w:val="left" w:pos="454"/>
        </w:tabs>
        <w:spacing w:after="60"/>
        <w:ind w:left="550" w:hanging="550"/>
        <w:jc w:val="both"/>
        <w:rPr>
          <w:rFonts w:eastAsia="Times New Roman"/>
          <w:bCs/>
          <w:kern w:val="0"/>
          <w:rtl/>
          <w14:ligatures w14:val="none"/>
        </w:rPr>
      </w:pPr>
    </w:p>
    <w:p w14:paraId="703FD79D" w14:textId="77777777" w:rsidR="00070B6E" w:rsidRPr="00F61332" w:rsidRDefault="00070B6E" w:rsidP="00C7130A">
      <w:pPr>
        <w:tabs>
          <w:tab w:val="left" w:pos="454"/>
        </w:tabs>
        <w:spacing w:after="60"/>
        <w:ind w:left="550" w:hanging="550"/>
        <w:jc w:val="both"/>
        <w:rPr>
          <w:rFonts w:eastAsia="Times New Roman"/>
          <w:bCs/>
          <w:kern w:val="0"/>
          <w:rtl/>
          <w14:ligatures w14:val="none"/>
        </w:rPr>
      </w:pPr>
      <w:r w:rsidRPr="00F61332">
        <w:rPr>
          <w:rFonts w:eastAsia="Times New Roman"/>
          <w:bCs/>
          <w:kern w:val="0"/>
          <w:rtl/>
          <w14:ligatures w14:val="none"/>
        </w:rPr>
        <w:t>ب.</w:t>
      </w:r>
      <w:r w:rsidRPr="00F61332">
        <w:rPr>
          <w:rFonts w:eastAsia="Times New Roman"/>
          <w:bCs/>
          <w:kern w:val="0"/>
          <w:rtl/>
          <w14:ligatures w14:val="none"/>
        </w:rPr>
        <w:tab/>
        <w:t>بنية هذا القسم</w:t>
      </w:r>
    </w:p>
    <w:p w14:paraId="5C3F92F3" w14:textId="77777777" w:rsidR="00070B6E" w:rsidRPr="00C7130A" w:rsidRDefault="00070B6E" w:rsidP="00C7130A">
      <w:pPr>
        <w:tabs>
          <w:tab w:val="left" w:pos="454"/>
        </w:tabs>
        <w:spacing w:after="60"/>
        <w:ind w:left="550" w:hanging="550"/>
        <w:jc w:val="both"/>
        <w:rPr>
          <w:rFonts w:eastAsia="Times New Roman"/>
          <w:bCs/>
          <w:kern w:val="0"/>
          <w:szCs w:val="26"/>
          <w:rtl/>
          <w14:ligatures w14:val="none"/>
        </w:rPr>
      </w:pPr>
    </w:p>
    <w:bookmarkStart w:id="287" w:name="_MON_1166523568"/>
    <w:bookmarkEnd w:id="287"/>
    <w:p w14:paraId="0DF56A4B" w14:textId="77777777" w:rsidR="00070B6E" w:rsidRPr="00C7130A" w:rsidRDefault="00070B6E" w:rsidP="00C7130A">
      <w:pPr>
        <w:jc w:val="center"/>
        <w:rPr>
          <w:rFonts w:eastAsia="Times New Roman"/>
          <w:kern w:val="0"/>
          <w:szCs w:val="18"/>
          <w:rtl/>
          <w14:ligatures w14:val="none"/>
        </w:rPr>
      </w:pPr>
      <w:r w:rsidRPr="00C7130A">
        <w:rPr>
          <w:rFonts w:eastAsia="Times New Roman"/>
          <w:kern w:val="0"/>
          <w:szCs w:val="18"/>
          <w14:ligatures w14:val="none"/>
        </w:rPr>
        <w:object w:dxaOrig="3960" w:dyaOrig="1800" w14:anchorId="6ABB46B9">
          <v:shape id="_x0000_i1038" type="#_x0000_t75" style="width:396.6pt;height:180pt" o:ole="">
            <v:imagedata r:id="rId69" o:title=""/>
          </v:shape>
          <o:OLEObject Type="Embed" ProgID="PowerPoint.Show.8" ShapeID="_x0000_i1038" DrawAspect="Content" ObjectID="_1803892153" r:id="rId70"/>
        </w:object>
      </w:r>
    </w:p>
    <w:p w14:paraId="1AFB75F2" w14:textId="77777777" w:rsidR="00070B6E" w:rsidRPr="00C7130A" w:rsidRDefault="00070B6E" w:rsidP="00C7130A">
      <w:pPr>
        <w:rPr>
          <w:rFonts w:eastAsia="Times New Roman"/>
          <w:kern w:val="0"/>
          <w:szCs w:val="18"/>
          <w:rtl/>
          <w14:ligatures w14:val="none"/>
        </w:rPr>
      </w:pPr>
    </w:p>
    <w:p w14:paraId="3BE88F52" w14:textId="77777777" w:rsidR="00070B6E" w:rsidRPr="00C7130A" w:rsidRDefault="00070B6E" w:rsidP="00C7130A">
      <w:pPr>
        <w:rPr>
          <w:rFonts w:eastAsia="Times New Roman"/>
          <w:kern w:val="0"/>
          <w:szCs w:val="18"/>
          <w:rtl/>
          <w14:ligatures w14:val="none"/>
        </w:rPr>
      </w:pPr>
    </w:p>
    <w:p w14:paraId="63CEFE6D" w14:textId="77777777" w:rsidR="00070B6E" w:rsidRPr="00031873" w:rsidRDefault="00070B6E" w:rsidP="00C7130A">
      <w:pPr>
        <w:tabs>
          <w:tab w:val="left" w:pos="454"/>
        </w:tabs>
        <w:spacing w:after="60"/>
        <w:ind w:left="550" w:hanging="550"/>
        <w:jc w:val="both"/>
        <w:rPr>
          <w:rFonts w:eastAsia="Times New Roman"/>
          <w:bCs/>
          <w:kern w:val="0"/>
          <w:rtl/>
          <w14:ligatures w14:val="none"/>
        </w:rPr>
      </w:pPr>
      <w:r w:rsidRPr="00031873">
        <w:rPr>
          <w:rFonts w:eastAsia="Times New Roman"/>
          <w:bCs/>
          <w:kern w:val="0"/>
          <w:rtl/>
          <w14:ligatures w14:val="none"/>
        </w:rPr>
        <w:t>جـ.</w:t>
      </w:r>
      <w:r w:rsidRPr="00031873">
        <w:rPr>
          <w:rFonts w:eastAsia="Times New Roman"/>
          <w:bCs/>
          <w:kern w:val="0"/>
          <w:rtl/>
          <w14:ligatures w14:val="none"/>
        </w:rPr>
        <w:tab/>
        <w:t>شخصية بلعام</w:t>
      </w:r>
    </w:p>
    <w:p w14:paraId="170379EF"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31873">
        <w:rPr>
          <w:rFonts w:eastAsia="Times New Roman"/>
          <w:kern w:val="0"/>
          <w:rtl/>
          <w:lang w:bidi="ar-JO"/>
          <w14:ligatures w14:val="none"/>
        </w:rPr>
        <w:t>قد يتكون لدى المرء عند قراءته السريعة لهذه الأصحاحات انطباع أن بلعام كان نبياً وفياً يعرف الرب ويحبّه.  غير أن هذا الاستنتاج بعيد عن الحق، كما تؤكد مواضع أخرى:</w:t>
      </w:r>
    </w:p>
    <w:p w14:paraId="7B699399"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t>يشوع 13: 22- قتله بنو إسرائيل بصفته عرّافاً</w:t>
      </w:r>
    </w:p>
    <w:p w14:paraId="1C504341"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t>يشوع 24: 10- لم يشأ الرب أن يستمع إلى بلعام</w:t>
      </w:r>
    </w:p>
    <w:p w14:paraId="4E30D307"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t>2 بطرس 2: 15-16- ضل بلعام، إذ أحبّ أجرة الإثم</w:t>
      </w:r>
    </w:p>
    <w:p w14:paraId="421C9925"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t>يهوذا 11- تتحدث عن "ضلالة بلعام"</w:t>
      </w:r>
    </w:p>
    <w:p w14:paraId="5E2C05F8"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t>انظر عدد 31: 8، 16؛ تثنية 23: 5-6؛ نحميا 13: 2؛ ميخا 6: 5؛ رؤيا 2: 14.</w:t>
      </w:r>
    </w:p>
    <w:p w14:paraId="59EDD9A7"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4C3BE5A"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31873">
        <w:rPr>
          <w:rFonts w:eastAsia="Times New Roman"/>
          <w:kern w:val="0"/>
          <w:rtl/>
          <w:lang w:bidi="ar-JO"/>
          <w14:ligatures w14:val="none"/>
        </w:rPr>
        <w:t>تقدّم الآيتان 31: 8، 16 فهماً متبصّراً.  فعندما طلب الله فيما بعد من بني إسرائيل قتل المديانيين، قُتل بلعام معهم أيضاً لأنه كان مسؤولاً عن خطيّة فغور (الانحلال الأخلاقي)، فقد أشار على المديانيين بأنه يمكنهم أن يجعلوا بني إسرائيل يعثرون بإغرائهم بارتكاب الزنى مع النساء المديانيات، جالبين بهذا غضب الله عليهم.</w:t>
      </w:r>
    </w:p>
    <w:p w14:paraId="346A3EA4"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AF1D90A"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31873">
        <w:rPr>
          <w:rFonts w:eastAsia="Times New Roman"/>
          <w:kern w:val="0"/>
          <w:rtl/>
          <w:lang w:bidi="ar-JO"/>
          <w14:ligatures w14:val="none"/>
        </w:rPr>
        <w:t>تقدّم المكتشفات الأثرية ما يلقي الضوء على هذا الأمر، كما يقترح ميريل:</w:t>
      </w:r>
    </w:p>
    <w:p w14:paraId="5B204F10"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031873">
        <w:rPr>
          <w:rFonts w:eastAsia="Times New Roman"/>
          <w:kern w:val="0"/>
          <w:rtl/>
          <w:lang w:bidi="ar-JO"/>
          <w14:ligatures w14:val="none"/>
        </w:rPr>
        <w:t>توثّق النصوص المسمارية المأخوذة من مدينة ماري الأمورية، لوجود مجمع لنقابة من أنبياء خبراء في مهارات متنوعة بما فيها العرافة.  وتعود هذه الوثائق بشكل رئيسي إلى عام 1700ق م، لكن أنواع الأنبياء المذكورين والأساليب النبوية التي كانوا يستخدمونها كانت موجودة عبر المنطقة الشرقية من البحر المتوسط قبل هذا التاريخ وبعده منذ مئات السنين.</w:t>
      </w:r>
      <w:r w:rsidRPr="00031873">
        <w:rPr>
          <w:rFonts w:eastAsia="Times New Roman"/>
          <w:kern w:val="0"/>
          <w:vertAlign w:val="superscript"/>
          <w:rtl/>
          <w:lang w:bidi="ar-JO"/>
          <w14:ligatures w14:val="none"/>
        </w:rPr>
        <w:footnoteReference w:customMarkFollows="1" w:id="114"/>
        <w:t>2</w:t>
      </w:r>
      <w:r w:rsidRPr="00031873">
        <w:rPr>
          <w:rFonts w:eastAsia="Times New Roman"/>
          <w:kern w:val="0"/>
          <w:rtl/>
          <w:lang w:bidi="ar-JO"/>
          <w14:ligatures w14:val="none"/>
        </w:rPr>
        <w:t xml:space="preserve"> </w:t>
      </w:r>
    </w:p>
    <w:p w14:paraId="01861187"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F5B0D10"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310C7F3" w14:textId="1A10E45F"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31873">
        <w:rPr>
          <w:rFonts w:eastAsia="Times New Roman"/>
          <w:kern w:val="0"/>
          <w:rtl/>
          <w:lang w:bidi="ar-JO"/>
          <w14:ligatures w14:val="none"/>
        </w:rPr>
        <w:t>لقد كانت لبلعام معرفة بيهوه (انظر تثنية 2: 25؛ خروج 23: 27)، على الرغم من أن قلبه لم يكن مع الرب فعلاً.  إذ كان في قلبه صراع بين المعرفة والإرادة.  عرف أن يهوه لم يُرِدْه أن يذهب (22: 12)، لكن عندما قام رسل بالاق بزيارة ثانية له</w:t>
      </w:r>
      <w:r w:rsidRPr="00031873">
        <w:rPr>
          <w:rFonts w:eastAsia="Times New Roman"/>
          <w:kern w:val="0"/>
          <w14:ligatures w14:val="none"/>
        </w:rPr>
        <w:t xml:space="preserve"> </w:t>
      </w:r>
      <w:r w:rsidRPr="00031873">
        <w:rPr>
          <w:rFonts w:eastAsia="Times New Roman"/>
          <w:kern w:val="0"/>
          <w:rtl/>
          <w:lang w:bidi="ar-JO"/>
          <w14:ligatures w14:val="none"/>
        </w:rPr>
        <w:t>، أبلغهم بأنه سيرى "</w:t>
      </w:r>
      <w:r w:rsidRPr="00031873">
        <w:rPr>
          <w:rFonts w:eastAsia="Times New Roman"/>
          <w:i/>
          <w:iCs/>
          <w:kern w:val="0"/>
          <w:rtl/>
          <w:lang w:bidi="ar-JO"/>
          <w14:ligatures w14:val="none"/>
        </w:rPr>
        <w:t>ماذا يعود الرب يكلّمني به</w:t>
      </w:r>
      <w:r w:rsidRPr="00031873">
        <w:rPr>
          <w:rFonts w:eastAsia="Times New Roman"/>
          <w:kern w:val="0"/>
          <w:rtl/>
          <w:lang w:bidi="ar-JO"/>
          <w14:ligatures w14:val="none"/>
        </w:rPr>
        <w:t xml:space="preserve">" (22: 19).  ولم يكن هنالك داعٍ لهذا الأمر، حيث إن يهوه سبق أن جعل خطته واضحة تماماً.  ويكشف هذا أن بلعام لم يكن يهدف إلى إرضاء الرب في حياته، على الرغم من أنه تحدّث بنفاق عن يهوه بصفته "الرب إلهي" (22: 18).  كان بلعام عرّافاً وثنياً، ويبدو أنه أحرز بعض النجاح في إطلاق البركة واللعنة على بعض الأشخاص (22: 6).  لم يكن يهوه بالنسبة له الإله </w:t>
      </w:r>
      <w:r w:rsidRPr="00031873">
        <w:rPr>
          <w:rFonts w:eastAsia="Times New Roman"/>
          <w:kern w:val="0"/>
          <w:u w:val="single"/>
          <w:rtl/>
          <w:lang w:bidi="ar-JO"/>
          <w14:ligatures w14:val="none"/>
        </w:rPr>
        <w:t>الوحيد</w:t>
      </w:r>
      <w:r w:rsidRPr="00031873">
        <w:rPr>
          <w:rFonts w:eastAsia="Times New Roman"/>
          <w:kern w:val="0"/>
          <w:rtl/>
          <w:lang w:bidi="ar-JO"/>
          <w14:ligatures w14:val="none"/>
        </w:rPr>
        <w:t>، بل كان مجرّد واحد من آلهة كثيرين ينسجمون مع ممارسته للعرافة.  غير أن بلعام يعرف عن يهوه ويبدو أنه يدرك أن يهوه ليس إلهاً يمكن استغلاله أو التلاعب به.  ولهذا فإنه في الظاهر يتعاون مع يهوه، لكنه يسعى في واقع الأمر إلى مصالحه الخاصة.  وكأن لسان حاله هو: "لا أستطيع أن أتلاعب بيهوه أو أن أتحكم به؛ ولهذا فإني سأتعاون إلى الحد الذي يمكنني فيه أن أنتهز كل فرصة مناسبة لتطوير مصالحي." فعلى الرغم من أنه قال إنه لم يكن مهتمّاً بمال بالاق أو بالكرامة التي يعطيها، لكن الأمر كذلك في الواقع (2بطرس 2: 15-16).  تصارعت في بلعام الرغبة والضمير؛ وسيطرت الشهوه عليه (على الرغم من أن الحق كان واضحاً له).  تركه الله يذهب، وكان ذلك بسماح منه، إلاّ أن ذلك لم يكن ما أراده الله فعلاً- "</w:t>
      </w:r>
      <w:r w:rsidRPr="00031873">
        <w:rPr>
          <w:rFonts w:eastAsia="Times New Roman"/>
          <w:i/>
          <w:iCs/>
          <w:kern w:val="0"/>
          <w:rtl/>
          <w:lang w:bidi="ar-JO"/>
          <w14:ligatures w14:val="none"/>
        </w:rPr>
        <w:t>فحمي غضب الله لأنه منطلق</w:t>
      </w:r>
      <w:r w:rsidRPr="00031873">
        <w:rPr>
          <w:rFonts w:eastAsia="Times New Roman"/>
          <w:kern w:val="0"/>
          <w:rtl/>
          <w:lang w:bidi="ar-JO"/>
          <w14:ligatures w14:val="none"/>
        </w:rPr>
        <w:t>" (22: 32؛ انظر 22: 12).  استخدم الله بلعام، لسوء حظه، لأنه كان لله قصد يحققه، وليس لأن بلعام كان رجلاً بارّاً.  وحقيقة الأمر أنه كان جشعاً ومنافقاً طموحاً، حيث كان يُظهر غير ما يُبطن.  وهكذا استخدمه الله على الرغم من طبيعته الأخلاقية، لكي يحقق إرادته من أجل مجده من خلال بلعام.</w:t>
      </w:r>
    </w:p>
    <w:p w14:paraId="25D38FE8"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0447236"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31873">
        <w:rPr>
          <w:rFonts w:eastAsia="Times New Roman"/>
          <w:kern w:val="0"/>
          <w:rtl/>
          <w:lang w:bidi="ar-JO"/>
          <w14:ligatures w14:val="none"/>
        </w:rPr>
        <w:lastRenderedPageBreak/>
        <w:t xml:space="preserve">لكن إن كان الله لم يُرِد لبلعام أن يذهب، فلماذا يبدو أن هنالك تغييراً في رأيه بالسماح له في الذهاب؟ عندما سمح الله لبلعام بالذهاب، بيَّن بشكل أكثر قوّة اختياره لإسرائيل.  غير أن بلعام يبدو في نفس الوقت رجلاً عنيداً.  ويبدو أن هذا هو الهدف من رواية حمار بلعام ومواجهة الله له. </w:t>
      </w:r>
    </w:p>
    <w:p w14:paraId="1CDE6948"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031873">
        <w:rPr>
          <w:rFonts w:eastAsia="Times New Roman"/>
          <w:kern w:val="0"/>
          <w:rtl/>
          <w:lang w:bidi="ar-JO"/>
          <w14:ligatures w14:val="none"/>
        </w:rPr>
        <w:t>كان الحمار على الدوام رمزاً للعناد، ويهدف استخدام الحمار في عدد 22 إلى عملِ مقابلةٍ بين بلعام والحمار في عناده وغبائه: فالرائي الأعمى (وهو نفسه غبي) يرى أقل مما يراه هذا الحيوان الغبي الأعجم.  لكن هذا هو ما يجعل بلعام الشخصية المناسبة لهذه الإعلانات النبوية، فهو ليس من بني إسرائيل أو حتى عضواً وفياً في جماعة العهد (أي شخصاً ميّالاً في طبيعته إلى مصلحة إسرائيل).  انه راءٍ يمكن أن يستخدمه الله؛ غير أنه مستعد أن يستغل أيّة فرصة لكي يلعن إسرائيل.  ولو كان هنالك أي ميل من يهوه للعن إسرائيل، فإنه سيكون فرحاً جدّاً في كشف ذلك والحصول على ذهب بالاق.</w:t>
      </w:r>
    </w:p>
    <w:p w14:paraId="1B79C148"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28F89DA1" w14:textId="77777777" w:rsidR="00070B6E" w:rsidRPr="00031873" w:rsidRDefault="00070B6E" w:rsidP="00C7130A">
      <w:pPr>
        <w:tabs>
          <w:tab w:val="left" w:pos="454"/>
        </w:tabs>
        <w:spacing w:after="60"/>
        <w:ind w:left="550" w:hanging="550"/>
        <w:jc w:val="both"/>
        <w:rPr>
          <w:rFonts w:eastAsia="Times New Roman"/>
          <w:bCs/>
          <w:kern w:val="0"/>
          <w:rtl/>
          <w14:ligatures w14:val="none"/>
        </w:rPr>
      </w:pPr>
      <w:r w:rsidRPr="00031873">
        <w:rPr>
          <w:rFonts w:eastAsia="Times New Roman"/>
          <w:bCs/>
          <w:kern w:val="0"/>
          <w:rtl/>
          <w14:ligatures w14:val="none"/>
        </w:rPr>
        <w:t>د.</w:t>
      </w:r>
      <w:r w:rsidRPr="00031873">
        <w:rPr>
          <w:rFonts w:eastAsia="Times New Roman"/>
          <w:bCs/>
          <w:kern w:val="0"/>
          <w:rtl/>
          <w14:ligatures w14:val="none"/>
        </w:rPr>
        <w:tab/>
        <w:t>الإعلانات النبوية</w:t>
      </w:r>
    </w:p>
    <w:p w14:paraId="64C40559"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31873">
        <w:rPr>
          <w:rFonts w:eastAsia="Times New Roman"/>
          <w:kern w:val="0"/>
          <w:rtl/>
          <w:lang w:bidi="ar-JO"/>
          <w14:ligatures w14:val="none"/>
        </w:rPr>
        <w:t>في كل إعلان نبوي، تنتهي رغبة بلعام الأصلية في اللعن إلى الرغبة في البركة.  وبشكل عام، ومع تقدّم هذه الإعلانات، تزداد البركة تحديداً، ويزداد بالاق غضباً.  ومن الواضح أنه يجب أن نفهم رغبة بالاق في لعن إسرائيل في ضوء العهد الإبراهيمي.  ليست بركة الله مبنية على استحقاق إسرائيل، وإنما على وفاء الله لما سبق أن وعد به في العهد الإبراهيمي.  وإن الطريقة الوحيدة لجعل الله يغيّر نيّته في مباركة إسرائيل هي جعله يغيّر رأيه.  وهذا أمر مستحيل، لأن يهوه فريد ولا يمكن أن يتغير بأية وسيلة من وسائل العرافة المتبعة، كما كان الحال مع آلهة العالم الوثني (23: 22-23).</w:t>
      </w:r>
    </w:p>
    <w:p w14:paraId="4F0E1BB2" w14:textId="77777777" w:rsidR="00070B6E" w:rsidRPr="00031873"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31873">
        <w:rPr>
          <w:rFonts w:eastAsia="Times New Roman"/>
          <w:kern w:val="0"/>
          <w:rtl/>
          <w:lang w:bidi="ar-JO"/>
          <w14:ligatures w14:val="none"/>
        </w:rPr>
        <w:t>1.</w:t>
      </w:r>
      <w:r w:rsidRPr="00031873">
        <w:rPr>
          <w:rFonts w:eastAsia="Times New Roman"/>
          <w:kern w:val="0"/>
          <w:rtl/>
          <w:lang w:bidi="ar-JO"/>
          <w14:ligatures w14:val="none"/>
        </w:rPr>
        <w:tab/>
        <w:t>الإعلان النبوي الأول (23: 1-12)</w:t>
      </w:r>
    </w:p>
    <w:p w14:paraId="6B4958DF"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t>يصرخ بالاق قائلاً: "</w:t>
      </w:r>
      <w:r w:rsidRPr="00031873">
        <w:rPr>
          <w:rFonts w:eastAsia="Times New Roman"/>
          <w:i/>
          <w:iCs/>
          <w:kern w:val="0"/>
          <w:rtl/>
          <w:lang w:bidi="ar-JO"/>
          <w14:ligatures w14:val="none"/>
        </w:rPr>
        <w:t>كيف ألعن من لم يلعنه الله</w:t>
      </w:r>
      <w:r w:rsidRPr="00031873">
        <w:rPr>
          <w:rFonts w:eastAsia="Times New Roman"/>
          <w:kern w:val="0"/>
          <w:rtl/>
          <w:lang w:bidi="ar-JO"/>
          <w14:ligatures w14:val="none"/>
        </w:rPr>
        <w:t xml:space="preserve">؟" (23: 8).  إن أية محاولة للعن إسرائيل هي بلا جدوى، لأن الله جعلها </w:t>
      </w:r>
      <w:r w:rsidRPr="00031873">
        <w:rPr>
          <w:rFonts w:eastAsia="Times New Roman"/>
          <w:i/>
          <w:iCs/>
          <w:kern w:val="0"/>
          <w:rtl/>
          <w:lang w:bidi="ar-JO"/>
          <w14:ligatures w14:val="none"/>
        </w:rPr>
        <w:t>فريدة</w:t>
      </w:r>
      <w:r w:rsidRPr="00031873">
        <w:rPr>
          <w:rFonts w:eastAsia="Times New Roman"/>
          <w:kern w:val="0"/>
          <w:rtl/>
          <w:lang w:bidi="ar-JO"/>
          <w14:ligatures w14:val="none"/>
        </w:rPr>
        <w:t xml:space="preserve">... وهي شعب "يسكن وحده" (23: 9)، أي مفرزاً لله.  لا يتعامل الله مع إسرائيل كما يتعامل مع الأمم الأخرى، ولا يمكن لبلعام أن يتعامل مع إسرائيل كما يتعامل مع الأمم الأخرى. </w:t>
      </w:r>
    </w:p>
    <w:p w14:paraId="77E361B6"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9288950" w14:textId="77777777" w:rsidR="00070B6E" w:rsidRPr="00031873"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31873">
        <w:rPr>
          <w:rFonts w:eastAsia="Times New Roman"/>
          <w:kern w:val="0"/>
          <w:rtl/>
          <w:lang w:bidi="ar-JO"/>
          <w14:ligatures w14:val="none"/>
        </w:rPr>
        <w:t>2.</w:t>
      </w:r>
      <w:r w:rsidRPr="00031873">
        <w:rPr>
          <w:rFonts w:eastAsia="Times New Roman"/>
          <w:kern w:val="0"/>
          <w:rtl/>
          <w:lang w:bidi="ar-JO"/>
          <w14:ligatures w14:val="none"/>
        </w:rPr>
        <w:tab/>
        <w:t>الإعلان النبوي الثاني (23: 13-26)</w:t>
      </w:r>
    </w:p>
    <w:p w14:paraId="5328A830"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t>إنه لأمر عبثي أن يسعى المرء إلى تغيير موقف الله، فالله لا يتراجع عن وعده أبداً.  وقد وعد بأن يبارك إسرائيل، وسيحافظ على صدق وعده.  وهو يسكن في وسط شعبه، ولا تقدر الحُجُب والسحر والعرافة أن تغيِّر من هذه الحقيقة.</w:t>
      </w:r>
    </w:p>
    <w:p w14:paraId="59C92961"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5455651" w14:textId="77777777" w:rsidR="00070B6E" w:rsidRPr="00031873"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31873">
        <w:rPr>
          <w:rFonts w:eastAsia="Times New Roman"/>
          <w:kern w:val="0"/>
          <w:rtl/>
          <w:lang w:bidi="ar-JO"/>
          <w14:ligatures w14:val="none"/>
        </w:rPr>
        <w:t>3.</w:t>
      </w:r>
      <w:r w:rsidRPr="00031873">
        <w:rPr>
          <w:rFonts w:eastAsia="Times New Roman"/>
          <w:kern w:val="0"/>
          <w:rtl/>
          <w:lang w:bidi="ar-JO"/>
          <w14:ligatures w14:val="none"/>
        </w:rPr>
        <w:tab/>
        <w:t>الإعلان النبوي الثالث (23: 27-24: 13)</w:t>
      </w:r>
    </w:p>
    <w:p w14:paraId="200D205E"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lastRenderedPageBreak/>
        <w:t>يركّز هذا الإعلان على البركة الحتمية التي ستختبرها إسرائيل، في تعظّمها وانتصارها على أعدائها.  وإن الطريق الصائبة في التعامل مع إسرائيل هي أن تباركها الأمم الأخرى، لا أن تلعنها، فهذا هو الطريق إلى البركة التوسطية (24: 9).  ويجب أن تخضع الشعوب الأخرى للخطة الإلهية المعلنة في تكوين 12: 1-3.</w:t>
      </w:r>
    </w:p>
    <w:p w14:paraId="329F7FCE"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BF6CA85" w14:textId="77777777" w:rsidR="00070B6E" w:rsidRPr="00031873"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31873">
        <w:rPr>
          <w:rFonts w:eastAsia="Times New Roman"/>
          <w:kern w:val="0"/>
          <w:rtl/>
          <w:lang w:bidi="ar-JO"/>
          <w14:ligatures w14:val="none"/>
        </w:rPr>
        <w:t>4.</w:t>
      </w:r>
      <w:r w:rsidRPr="00031873">
        <w:rPr>
          <w:rFonts w:eastAsia="Times New Roman"/>
          <w:kern w:val="0"/>
          <w:rtl/>
          <w:lang w:bidi="ar-JO"/>
          <w14:ligatures w14:val="none"/>
        </w:rPr>
        <w:tab/>
        <w:t>الإعلان النبوي الرابع (24: 14-25)</w:t>
      </w:r>
    </w:p>
    <w:p w14:paraId="35C40B23"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t>يتحدث الإعلان الرابع والأخير عن "</w:t>
      </w:r>
      <w:r w:rsidRPr="00031873">
        <w:rPr>
          <w:rFonts w:eastAsia="Times New Roman"/>
          <w:i/>
          <w:iCs/>
          <w:kern w:val="0"/>
          <w:rtl/>
          <w:lang w:bidi="ar-JO"/>
          <w14:ligatures w14:val="none"/>
        </w:rPr>
        <w:t>كوكب (نجم) من يعقوب</w:t>
      </w:r>
      <w:r w:rsidRPr="00031873">
        <w:rPr>
          <w:rFonts w:eastAsia="Times New Roman"/>
          <w:kern w:val="0"/>
          <w:rtl/>
          <w:lang w:bidi="ar-JO"/>
          <w14:ligatures w14:val="none"/>
        </w:rPr>
        <w:t>" و "</w:t>
      </w:r>
      <w:r w:rsidRPr="00031873">
        <w:rPr>
          <w:rFonts w:eastAsia="Times New Roman"/>
          <w:i/>
          <w:iCs/>
          <w:kern w:val="0"/>
          <w:rtl/>
          <w:lang w:bidi="ar-JO"/>
          <w14:ligatures w14:val="none"/>
        </w:rPr>
        <w:t>يتسلّط الذي من يعقوب</w:t>
      </w:r>
      <w:r w:rsidRPr="00031873">
        <w:rPr>
          <w:rFonts w:eastAsia="Times New Roman"/>
          <w:kern w:val="0"/>
          <w:rtl/>
          <w:lang w:bidi="ar-JO"/>
          <w14:ligatures w14:val="none"/>
        </w:rPr>
        <w:t>".  ومن الواضح أن هذا توقّع مسيّاني.  سيُذلّ كل أعداء إسرائيل، وسيضمن مجيء مسيّا إسرائيل ذلك!</w:t>
      </w:r>
    </w:p>
    <w:p w14:paraId="3CEC07BF"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45F1EF8C"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t>تختتم هذه الإعلانات بفكرة أن يهوه مسيطر سيطرة مطلقة على الكون، وأنه لا يمكن إفشال مشيئته.  ويعترف بلعام قائلاً: "آهٍ! من يعيش حتى يفعل ذلك؟" وفي ترجمة أخرى ("واأسفاه! من يستطيع أن يحيا إلاّ أن يكون الله قضى بذلك؟" لا يمكن إذاً أن يقلب أحد الله ضد إسرائيل.</w:t>
      </w:r>
    </w:p>
    <w:p w14:paraId="6D7F9A6F"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3548697"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t>إن هذه الحقيقة هي ما يجعل الحادثة المذكورة في العدد 25 ذات دلالة خاصة.  فعندما ارتكبت إسرائيل خطيّتها الفظيعة في فغور، كانوا في أدنى مستوياتهم الروحية.  فقد زنوا مع النساء المديانيّات، حتى أنهم أكلوا وسجدوا للآلهة الوثنية (حتى لبعل).  فإذا احتاج يهوه يوماً إلى سبب لإلغاء خطّته لإسرائيل كما هي متضمّنة في العهد الإبراهيمي، فلا شك أنه هذه الحادثة كانت تصلح ذريعة مناسبة.  يقول فستشر:</w:t>
      </w:r>
    </w:p>
    <w:p w14:paraId="6CBC28D8"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14:ligatures w14:val="none"/>
        </w:rPr>
      </w:pPr>
      <w:r w:rsidRPr="00031873">
        <w:rPr>
          <w:rFonts w:eastAsia="Times New Roman"/>
          <w:kern w:val="0"/>
          <w:rtl/>
          <w:lang w:bidi="ar-JO"/>
          <w14:ligatures w14:val="none"/>
        </w:rPr>
        <w:t>يبدو أمراً مؤكّداً أن إسرائيل بفعلتها هذه تخلّت عن بركتها.  غير أن الرب يحوّل اللعنة في فم بلعام إلى بركة (وهذه هي معجزة وفاء الله وأمانته، وهي معجزة لا تقارن في روعتها أبداً بحقيقة أن حمار بلعام فتح فمه ونطق).  فعلى الرغم من خيانة إسرائيل، تبقى بركة إبراهيم ويعقوب.</w:t>
      </w:r>
      <w:r w:rsidRPr="00031873">
        <w:rPr>
          <w:rFonts w:eastAsia="Times New Roman"/>
          <w:kern w:val="0"/>
          <w:vertAlign w:val="superscript"/>
          <w:rtl/>
          <w:lang w:bidi="ar-JO"/>
          <w14:ligatures w14:val="none"/>
        </w:rPr>
        <w:footnoteReference w:customMarkFollows="1" w:id="115"/>
        <w:t>3</w:t>
      </w:r>
    </w:p>
    <w:p w14:paraId="0977C615"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31873">
        <w:rPr>
          <w:rFonts w:eastAsia="Times New Roman"/>
          <w:kern w:val="0"/>
          <w:rtl/>
          <w:lang w:bidi="ar-JO"/>
          <w14:ligatures w14:val="none"/>
        </w:rPr>
        <w:t>يُشكِّل هذا أساساً صلباً للاهوت قبل الألفي وانتظار مستقبل لإسرائيل، فإن كان الله لا يرفضهم في تلك المرحلة، فإنه لا يوجد ما يدعو إلى الاعتقاد بأنه سيتخلّى عنهم في أيّة مرحلة مستقبلة في التاريخ الكتابي!</w:t>
      </w:r>
    </w:p>
    <w:p w14:paraId="52F6BE6A"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Cs w:val="26"/>
          <w:rtl/>
          <w:lang w:bidi="ar-JO"/>
          <w14:ligatures w14:val="none"/>
        </w:rPr>
      </w:pPr>
    </w:p>
    <w:p w14:paraId="5EF3B77B" w14:textId="77777777" w:rsidR="00070B6E" w:rsidRPr="00031873" w:rsidRDefault="00070B6E" w:rsidP="000558B7">
      <w:pPr>
        <w:pStyle w:val="Heading3"/>
        <w:rPr>
          <w:rtl/>
          <w:lang w:bidi="ar-JO"/>
        </w:rPr>
      </w:pPr>
      <w:bookmarkStart w:id="288" w:name="_Toc193031059"/>
      <w:r w:rsidRPr="00031873">
        <w:rPr>
          <w:rtl/>
          <w:lang w:bidi="ar-JO"/>
        </w:rPr>
        <w:t>4.</w:t>
      </w:r>
      <w:r w:rsidRPr="00031873">
        <w:rPr>
          <w:rtl/>
          <w:lang w:bidi="ar-JO"/>
        </w:rPr>
        <w:tab/>
        <w:t>خاتمة</w:t>
      </w:r>
      <w:bookmarkEnd w:id="288"/>
      <w:r w:rsidRPr="00031873">
        <w:rPr>
          <w:rtl/>
          <w:lang w:bidi="ar-JO"/>
        </w:rPr>
        <w:t xml:space="preserve"> </w:t>
      </w:r>
    </w:p>
    <w:p w14:paraId="46D2D4C2" w14:textId="77777777" w:rsidR="00070B6E" w:rsidRPr="00031873"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31873">
        <w:rPr>
          <w:rFonts w:eastAsia="Times New Roman"/>
          <w:kern w:val="0"/>
          <w:rtl/>
          <w:lang w:bidi="ar-JO"/>
          <w14:ligatures w14:val="none"/>
        </w:rPr>
        <w:t xml:space="preserve">وأخيراً، يمكننا القول إن سفر العدد يتضمن التزاماً صريحاً من يهوه بالعهد الإبراهيمي، بغض النظر عن طاعة الأمة.  لقد تمرّد جيل الخروج على الله في قادش برنيع، وقام الجيل الجديد بتحريف كلّي لفكرة الوفاء للعهد في فغور.  غير أن الله لم </w:t>
      </w:r>
      <w:r w:rsidRPr="00031873">
        <w:rPr>
          <w:rFonts w:eastAsia="Times New Roman"/>
          <w:kern w:val="0"/>
          <w:rtl/>
          <w:lang w:bidi="ar-JO"/>
          <w14:ligatures w14:val="none"/>
        </w:rPr>
        <w:lastRenderedPageBreak/>
        <w:t xml:space="preserve">يترك الأمة، بل إنه يستمر في خطّته.  وما يحدث ليس إبطالاً للعهد، بل تفويت للبركة واختبار ذلك الجيل لتأديب الله.  فالعصيان لا يمر دون عقاب.  لكن العهد يبقى قائماً ينتظر الجيل الذي سيخضع ليهوه. </w:t>
      </w:r>
    </w:p>
    <w:p w14:paraId="2138DF9C" w14:textId="77777777" w:rsidR="00070B6E" w:rsidRPr="00031873" w:rsidRDefault="00070B6E" w:rsidP="00C7130A">
      <w:pPr>
        <w:rPr>
          <w:rFonts w:eastAsia="Times New Roman"/>
          <w:kern w:val="0"/>
          <w:rtl/>
          <w:lang w:bidi="ar-JO"/>
          <w14:ligatures w14:val="none"/>
        </w:rPr>
      </w:pPr>
      <w:r w:rsidRPr="00031873">
        <w:rPr>
          <w:rFonts w:eastAsia="Times New Roman"/>
          <w:kern w:val="0"/>
          <w:rtl/>
          <w:lang w:bidi="ar-JO"/>
          <w14:ligatures w14:val="none"/>
        </w:rPr>
        <w:t xml:space="preserve">  </w:t>
      </w:r>
    </w:p>
    <w:p w14:paraId="1DE721F1" w14:textId="77777777" w:rsidR="00070B6E" w:rsidRPr="00C7130A" w:rsidRDefault="00070B6E" w:rsidP="00C7130A">
      <w:pPr>
        <w:rPr>
          <w:rFonts w:eastAsia="Times New Roman"/>
          <w:kern w:val="0"/>
          <w:szCs w:val="18"/>
          <w:rtl/>
          <w:lang w:bidi="ar-JO"/>
          <w14:ligatures w14:val="none"/>
        </w:rPr>
      </w:pPr>
    </w:p>
    <w:p w14:paraId="470DCBDA" w14:textId="77777777" w:rsidR="00070B6E" w:rsidRPr="00C7130A" w:rsidRDefault="00070B6E" w:rsidP="00C7130A">
      <w:pPr>
        <w:rPr>
          <w:rFonts w:eastAsia="Times New Roman"/>
          <w:color w:val="A50021"/>
          <w:kern w:val="0"/>
          <w:szCs w:val="32"/>
          <w:rtl/>
          <w:lang w:bidi="ar-JO"/>
          <w14:ligatures w14:val="none"/>
        </w:rPr>
      </w:pPr>
    </w:p>
    <w:p w14:paraId="486428CD" w14:textId="24CD5F54" w:rsidR="007259B1" w:rsidRPr="00C7130A" w:rsidRDefault="007259B1" w:rsidP="00C7130A">
      <w:pPr>
        <w:tabs>
          <w:tab w:val="left" w:pos="547"/>
          <w:tab w:val="left" w:pos="1094"/>
          <w:tab w:val="left" w:pos="1642"/>
          <w:tab w:val="left" w:pos="2189"/>
          <w:tab w:val="left" w:pos="2736"/>
          <w:tab w:val="left" w:pos="3283"/>
          <w:tab w:val="left" w:pos="3830"/>
          <w:tab w:val="left" w:pos="4378"/>
        </w:tabs>
        <w:spacing w:after="120"/>
        <w:jc w:val="both"/>
        <w:outlineLvl w:val="4"/>
        <w:rPr>
          <w:rFonts w:eastAsia="Times New Roman"/>
          <w:bCs/>
          <w:kern w:val="0"/>
          <w:sz w:val="22"/>
          <w:szCs w:val="24"/>
          <w14:ligatures w14:val="none"/>
        </w:rPr>
      </w:pPr>
      <w:r w:rsidRPr="00C7130A">
        <w:rPr>
          <w:rFonts w:eastAsia="Times New Roman"/>
          <w:b/>
          <w:bCs/>
          <w:iCs/>
          <w:kern w:val="0"/>
          <w:sz w:val="22"/>
          <w:szCs w:val="26"/>
          <w14:ligatures w14:val="none"/>
        </w:rPr>
        <w:br w:type="page"/>
      </w:r>
    </w:p>
    <w:p w14:paraId="38EE745B" w14:textId="15479817" w:rsidR="00BE411E" w:rsidRPr="00C7130A" w:rsidRDefault="00851CEE" w:rsidP="00E80A44">
      <w:pPr>
        <w:pStyle w:val="Heading2"/>
      </w:pPr>
      <w:bookmarkStart w:id="289" w:name="_Toc193031060"/>
      <w:bookmarkStart w:id="290" w:name="_Hlk178779019"/>
      <w:r w:rsidRPr="00C7130A">
        <w:rPr>
          <w:rtl/>
        </w:rPr>
        <w:lastRenderedPageBreak/>
        <w:t xml:space="preserve">الدرس 9: توصية الجيل الجديد </w:t>
      </w:r>
      <w:bookmarkEnd w:id="289"/>
    </w:p>
    <w:p w14:paraId="2EF2A924" w14:textId="525F39CB" w:rsidR="00BE411E" w:rsidRPr="005C1BD5" w:rsidRDefault="005C1BD5" w:rsidP="005C1BD5">
      <w:pPr>
        <w:tabs>
          <w:tab w:val="left" w:pos="0"/>
          <w:tab w:val="left" w:pos="540"/>
          <w:tab w:val="left" w:pos="1080"/>
          <w:tab w:val="left" w:pos="1620"/>
          <w:tab w:val="left" w:pos="2160"/>
          <w:tab w:val="left" w:pos="2700"/>
          <w:tab w:val="left" w:pos="3240"/>
          <w:tab w:val="left" w:pos="3780"/>
          <w:tab w:val="left" w:pos="4320"/>
          <w:tab w:val="left" w:pos="4860"/>
        </w:tabs>
        <w:spacing w:after="200"/>
        <w:jc w:val="center"/>
        <w:rPr>
          <w:rFonts w:eastAsia="Calibri"/>
          <w:b/>
          <w:bCs/>
          <w:kern w:val="0"/>
          <w:sz w:val="52"/>
          <w:szCs w:val="52"/>
          <w14:ligatures w14:val="none"/>
        </w:rPr>
      </w:pPr>
      <w:r w:rsidRPr="005C1BD5">
        <w:rPr>
          <w:b/>
          <w:bCs/>
          <w:sz w:val="52"/>
          <w:szCs w:val="52"/>
          <w:rtl/>
          <w:lang w:bidi="ar-JO"/>
        </w:rPr>
        <w:t>(تثنية 1-34)</w:t>
      </w:r>
    </w:p>
    <w:p w14:paraId="2E4F9B01" w14:textId="3973A1CF" w:rsidR="00BE411E" w:rsidRPr="00C7130A" w:rsidRDefault="00EB5D57" w:rsidP="000558B7">
      <w:pPr>
        <w:pStyle w:val="Heading3"/>
      </w:pPr>
      <w:bookmarkStart w:id="291" w:name="_Toc193031061"/>
      <w:r w:rsidRPr="00C7130A">
        <w:rPr>
          <w:rtl/>
        </w:rPr>
        <w:t>مُقدِّمة الدرس</w:t>
      </w:r>
      <w:bookmarkEnd w:id="291"/>
    </w:p>
    <w:p w14:paraId="13D8F32A" w14:textId="52389DC9" w:rsidR="00EB5D57" w:rsidRPr="007B46BE" w:rsidRDefault="00982D83"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7B46BE">
        <w:rPr>
          <w:rFonts w:eastAsia="Calibri"/>
          <w:kern w:val="0"/>
          <w:rtl/>
          <w14:ligatures w14:val="none"/>
        </w:rPr>
        <w:t>يبدأ سفر التثنية بوجود الشعب العبري على حدود أرض كنعان (على الجهة الشرقية من نهر الأردن). مضت حوالي أربع</w:t>
      </w:r>
      <w:r w:rsidR="00AD1385" w:rsidRPr="007B46BE">
        <w:rPr>
          <w:rFonts w:eastAsia="Calibri"/>
          <w:kern w:val="0"/>
          <w:rtl/>
          <w14:ligatures w14:val="none"/>
        </w:rPr>
        <w:t>ي</w:t>
      </w:r>
      <w:r w:rsidRPr="007B46BE">
        <w:rPr>
          <w:rFonts w:eastAsia="Calibri"/>
          <w:kern w:val="0"/>
          <w:rtl/>
          <w14:ligatures w14:val="none"/>
        </w:rPr>
        <w:t xml:space="preserve">ن سنة على خروجهم من مصر. والشعب الذي شهد الخروج واختبره مات، وقام جيلٌ جديد مكانهم. وفي هذا الوقت، كان موسى بعمر المئة وعشرين سنة، ولن يُسمَح له بالدخول مع شعبه إلى </w:t>
      </w:r>
      <w:r w:rsidR="00AD1385" w:rsidRPr="007B46BE">
        <w:rPr>
          <w:rFonts w:eastAsia="Calibri"/>
          <w:kern w:val="0"/>
          <w:rtl/>
          <w14:ligatures w14:val="none"/>
        </w:rPr>
        <w:t>أ</w:t>
      </w:r>
      <w:r w:rsidRPr="007B46BE">
        <w:rPr>
          <w:rFonts w:eastAsia="Calibri"/>
          <w:kern w:val="0"/>
          <w:rtl/>
          <w14:ligatures w14:val="none"/>
        </w:rPr>
        <w:t>رض الموعد. ولكنّه يُعطى فرصة</w:t>
      </w:r>
      <w:r w:rsidR="00AD1385" w:rsidRPr="007B46BE">
        <w:rPr>
          <w:rFonts w:eastAsia="Calibri"/>
          <w:kern w:val="0"/>
          <w:rtl/>
          <w14:ligatures w14:val="none"/>
        </w:rPr>
        <w:t>ً</w:t>
      </w:r>
      <w:r w:rsidRPr="007B46BE">
        <w:rPr>
          <w:rFonts w:eastAsia="Calibri"/>
          <w:kern w:val="0"/>
          <w:rtl/>
          <w14:ligatures w14:val="none"/>
        </w:rPr>
        <w:t xml:space="preserve"> أخيرة </w:t>
      </w:r>
      <w:r w:rsidR="008815B7" w:rsidRPr="007B46BE">
        <w:rPr>
          <w:rFonts w:eastAsia="Calibri"/>
          <w:kern w:val="0"/>
          <w:rtl/>
          <w14:ligatures w14:val="none"/>
        </w:rPr>
        <w:t>بأن يخاطب العبرانيّين، وسفر التثنية في جوهره ومعظمه هو تلك الرسالة. رسالته مناشدة وعظيّة للأمة بأن تدخل إلى الأرض التي وعدهم الله بها، ومن ثم بأن يطيعوا عهد الناموس الذي أعطاهم الله إيّاه في جبل سيناء. وبهذا، فإن سفر التثنية في جوهره إعادة صياغة للعهد لأجل الجيل الجديد مطعَّمًا بالكثير من الحثّ على الأمانة.</w:t>
      </w:r>
    </w:p>
    <w:p w14:paraId="5152E587" w14:textId="7B96EF4F" w:rsidR="00EB5D57" w:rsidRPr="007B46BE" w:rsidRDefault="008815B7"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7B46BE">
        <w:rPr>
          <w:rFonts w:eastAsia="Calibri"/>
          <w:kern w:val="0"/>
          <w:rtl/>
          <w14:ligatures w14:val="none"/>
        </w:rPr>
        <w:t xml:space="preserve">الأصحاحان 28 و29 من سفر التثنية بيان مُفصَّل للبركات التي يمكن للشعب أن </w:t>
      </w:r>
      <w:r w:rsidR="00AD1385" w:rsidRPr="007B46BE">
        <w:rPr>
          <w:rFonts w:eastAsia="Calibri"/>
          <w:kern w:val="0"/>
          <w:rtl/>
          <w14:ligatures w14:val="none"/>
        </w:rPr>
        <w:t>ي</w:t>
      </w:r>
      <w:r w:rsidRPr="007B46BE">
        <w:rPr>
          <w:rFonts w:eastAsia="Calibri"/>
          <w:kern w:val="0"/>
          <w:rtl/>
          <w14:ligatures w14:val="none"/>
        </w:rPr>
        <w:t>توق</w:t>
      </w:r>
      <w:r w:rsidR="00AD1385" w:rsidRPr="007B46BE">
        <w:rPr>
          <w:rFonts w:eastAsia="Calibri"/>
          <w:kern w:val="0"/>
          <w:rtl/>
          <w14:ligatures w14:val="none"/>
        </w:rPr>
        <w:t>َّ</w:t>
      </w:r>
      <w:r w:rsidRPr="007B46BE">
        <w:rPr>
          <w:rFonts w:eastAsia="Calibri"/>
          <w:kern w:val="0"/>
          <w:rtl/>
          <w14:ligatures w14:val="none"/>
        </w:rPr>
        <w:t>ع نوالها بسبب أمانته للعهد، متبوعةً باللعنات (التأديب والدينونة) التي تنتظرهم إن عصوا. وعدم إصغائهم إلى الأشكال الخفيفة من التأديب (خاصّة حين ينخرطون في عبادةِ الأوثان مدّة طويلة) يمكن أن تؤدّي إلى غزوٍ من أمم أجنبي</w:t>
      </w:r>
      <w:r w:rsidR="00AD1385" w:rsidRPr="007B46BE">
        <w:rPr>
          <w:rFonts w:eastAsia="Calibri"/>
          <w:kern w:val="0"/>
          <w:rtl/>
          <w14:ligatures w14:val="none"/>
        </w:rPr>
        <w:t>ّ</w:t>
      </w:r>
      <w:r w:rsidRPr="007B46BE">
        <w:rPr>
          <w:rFonts w:eastAsia="Calibri"/>
          <w:kern w:val="0"/>
          <w:rtl/>
          <w14:ligatures w14:val="none"/>
        </w:rPr>
        <w:t>ة وسبيهم من أرضهم. ومع هذا، يُعطى تدبير يتعلَّق بخطّةٍ لرد</w:t>
      </w:r>
      <w:r w:rsidR="00AD1385" w:rsidRPr="007B46BE">
        <w:rPr>
          <w:rFonts w:eastAsia="Calibri"/>
          <w:kern w:val="0"/>
          <w:rtl/>
          <w14:ligatures w14:val="none"/>
        </w:rPr>
        <w:t>ِّ</w:t>
      </w:r>
      <w:r w:rsidRPr="007B46BE">
        <w:rPr>
          <w:rFonts w:eastAsia="Calibri"/>
          <w:kern w:val="0"/>
          <w:rtl/>
          <w14:ligatures w14:val="none"/>
        </w:rPr>
        <w:t xml:space="preserve"> الأم</w:t>
      </w:r>
      <w:r w:rsidR="00AD1385" w:rsidRPr="007B46BE">
        <w:rPr>
          <w:rFonts w:eastAsia="Calibri"/>
          <w:kern w:val="0"/>
          <w:rtl/>
          <w14:ligatures w14:val="none"/>
        </w:rPr>
        <w:t>ّ</w:t>
      </w:r>
      <w:r w:rsidRPr="007B46BE">
        <w:rPr>
          <w:rFonts w:eastAsia="Calibri"/>
          <w:kern w:val="0"/>
          <w:rtl/>
          <w14:ligatures w14:val="none"/>
        </w:rPr>
        <w:t xml:space="preserve">ة من خلال توبتها كأمّة (تثنية 30: 1-10). </w:t>
      </w:r>
    </w:p>
    <w:p w14:paraId="27658EF8" w14:textId="0527B7F3" w:rsidR="000706E7" w:rsidRPr="00C7130A" w:rsidRDefault="000706E7"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p>
    <w:p w14:paraId="1EFA8666" w14:textId="14B564FD" w:rsidR="00BE411E" w:rsidRPr="00C7130A" w:rsidRDefault="0020079F" w:rsidP="000558B7">
      <w:pPr>
        <w:pStyle w:val="Heading3"/>
      </w:pPr>
      <w:bookmarkStart w:id="292" w:name="_Toc193031062"/>
      <w:r w:rsidRPr="00C7130A">
        <w:rPr>
          <w:rtl/>
        </w:rPr>
        <w:t>مُخطَّط الدرس</w:t>
      </w:r>
      <w:bookmarkEnd w:id="292"/>
    </w:p>
    <w:p w14:paraId="154EB347" w14:textId="77777777" w:rsidR="0020079F" w:rsidRPr="007B46BE" w:rsidRDefault="0020079F"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bookmarkStart w:id="293" w:name="_Hlk190697274"/>
      <w:r w:rsidRPr="007B46BE">
        <w:rPr>
          <w:rFonts w:eastAsia="Calibri"/>
          <w:kern w:val="0"/>
          <w:rtl/>
          <w14:ligatures w14:val="none"/>
        </w:rPr>
        <w:t>الموضوع 1: مُقدِّمة إلى سفر التثنية</w:t>
      </w:r>
    </w:p>
    <w:p w14:paraId="2E619975" w14:textId="0740562E" w:rsidR="0020079F" w:rsidRPr="007B46BE" w:rsidRDefault="0020079F"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7B46BE">
        <w:rPr>
          <w:rFonts w:eastAsia="Calibri"/>
          <w:kern w:val="0"/>
          <w:rtl/>
          <w14:ligatures w14:val="none"/>
        </w:rPr>
        <w:t xml:space="preserve">الموضوع 2: حضٌّ على إطاعة العهد (تثنية 1: 1 – 4: 43) </w:t>
      </w:r>
    </w:p>
    <w:p w14:paraId="41CFBAA0" w14:textId="3C94AA9A" w:rsidR="0020079F" w:rsidRPr="007B46BE" w:rsidRDefault="0020079F"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7B46BE">
        <w:rPr>
          <w:rFonts w:eastAsia="Calibri"/>
          <w:kern w:val="0"/>
          <w:rtl/>
          <w14:ligatures w14:val="none"/>
        </w:rPr>
        <w:t xml:space="preserve">الموضوع 3: بنود العهد المُجدَّد (تثنية 4: 44 – 26: 19) </w:t>
      </w:r>
    </w:p>
    <w:p w14:paraId="71CEBED8" w14:textId="5A2B9654" w:rsidR="0020079F" w:rsidRPr="007B46BE" w:rsidRDefault="0020079F"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7B46BE">
        <w:rPr>
          <w:rFonts w:eastAsia="Calibri"/>
          <w:kern w:val="0"/>
          <w:rtl/>
          <w14:ligatures w14:val="none"/>
        </w:rPr>
        <w:t xml:space="preserve">الموضوع 4: مستقبل أمّة العهد (تثنية 27: 1 – 34: 12) </w:t>
      </w:r>
    </w:p>
    <w:bookmarkEnd w:id="293"/>
    <w:p w14:paraId="7634ABF8" w14:textId="77777777" w:rsidR="0020079F" w:rsidRPr="00C7130A" w:rsidRDefault="0020079F"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sz w:val="26"/>
          <w:szCs w:val="26"/>
          <w14:ligatures w14:val="none"/>
        </w:rPr>
      </w:pPr>
    </w:p>
    <w:p w14:paraId="0601874B" w14:textId="03AFFC40" w:rsidR="0020079F" w:rsidRPr="00C7130A" w:rsidRDefault="0020079F" w:rsidP="000558B7">
      <w:pPr>
        <w:pStyle w:val="Heading3"/>
      </w:pPr>
      <w:bookmarkStart w:id="294" w:name="_Toc193031063"/>
      <w:r w:rsidRPr="00C7130A">
        <w:rPr>
          <w:rtl/>
        </w:rPr>
        <w:t>أهداف الدرس</w:t>
      </w:r>
      <w:bookmarkEnd w:id="294"/>
      <w:r w:rsidRPr="00C7130A">
        <w:rPr>
          <w:rtl/>
        </w:rPr>
        <w:t xml:space="preserve"> </w:t>
      </w:r>
    </w:p>
    <w:p w14:paraId="26A82FB3" w14:textId="492ED4B9" w:rsidR="00BE411E" w:rsidRPr="007B46BE" w:rsidRDefault="0020079F" w:rsidP="00C7130A">
      <w:pPr>
        <w:spacing w:after="80"/>
        <w:rPr>
          <w:rFonts w:eastAsia="Calibri"/>
          <w:kern w:val="0"/>
          <w14:ligatures w14:val="none"/>
        </w:rPr>
      </w:pPr>
      <w:r w:rsidRPr="007B46BE">
        <w:rPr>
          <w:rFonts w:eastAsia="Calibri"/>
          <w:kern w:val="0"/>
          <w:rtl/>
          <w14:ligatures w14:val="none"/>
        </w:rPr>
        <w:t xml:space="preserve">بانتهائك من دراسة هذا الدرس، ستكون قادرًا على ما يلي: </w:t>
      </w:r>
    </w:p>
    <w:p w14:paraId="6E44C2D5" w14:textId="0EC9D01F" w:rsidR="00BE411E" w:rsidRPr="00626028" w:rsidRDefault="0020079F">
      <w:pPr>
        <w:pStyle w:val="ListParagraph"/>
        <w:numPr>
          <w:ilvl w:val="0"/>
          <w:numId w:val="28"/>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26028">
        <w:rPr>
          <w:rFonts w:eastAsia="Calibri"/>
          <w:kern w:val="0"/>
          <w:rtl/>
          <w14:ligatures w14:val="none"/>
        </w:rPr>
        <w:lastRenderedPageBreak/>
        <w:t xml:space="preserve">أن تفهم هجمات العلماء النقديّين على حقيقة تأليف موسى لسفر التثنية، وأن تكون قادرًا على أن تقدِّم حججًا مُضادّةً للدفاع عن تأليف موسى للسفر. </w:t>
      </w:r>
    </w:p>
    <w:p w14:paraId="6F41FBD7" w14:textId="5A7585EC" w:rsidR="0020079F" w:rsidRPr="00626028" w:rsidRDefault="0020079F">
      <w:pPr>
        <w:pStyle w:val="ListParagraph"/>
        <w:numPr>
          <w:ilvl w:val="0"/>
          <w:numId w:val="28"/>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26028">
        <w:rPr>
          <w:rFonts w:eastAsia="Calibri"/>
          <w:kern w:val="0"/>
          <w:rtl/>
          <w14:ligatures w14:val="none"/>
        </w:rPr>
        <w:t xml:space="preserve">أن تطبق دروسًا عديدة تعلَّمتَها عن الطاعة في ضوء اختبار شعب إسرائيل. </w:t>
      </w:r>
    </w:p>
    <w:p w14:paraId="699FA053" w14:textId="4D0BD36C" w:rsidR="0020079F" w:rsidRPr="00626028" w:rsidRDefault="0020079F">
      <w:pPr>
        <w:pStyle w:val="ListParagraph"/>
        <w:numPr>
          <w:ilvl w:val="0"/>
          <w:numId w:val="28"/>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26028">
        <w:rPr>
          <w:rFonts w:eastAsia="Calibri"/>
          <w:kern w:val="0"/>
          <w:rtl/>
          <w14:ligatures w14:val="none"/>
        </w:rPr>
        <w:t>أن تدرِك بعمق أكبر من قبل ضرورة</w:t>
      </w:r>
      <w:r w:rsidR="00DF784C" w:rsidRPr="00626028">
        <w:rPr>
          <w:rFonts w:eastAsia="Calibri"/>
          <w:kern w:val="0"/>
          <w:rtl/>
          <w14:ligatures w14:val="none"/>
        </w:rPr>
        <w:t>َ</w:t>
      </w:r>
      <w:r w:rsidRPr="00626028">
        <w:rPr>
          <w:rFonts w:eastAsia="Calibri"/>
          <w:kern w:val="0"/>
          <w:rtl/>
          <w14:ligatures w14:val="none"/>
        </w:rPr>
        <w:t xml:space="preserve"> أن تحبّ الرب لتعيش حياة الطاعة. </w:t>
      </w:r>
    </w:p>
    <w:p w14:paraId="4719E9AE" w14:textId="330BAE50" w:rsidR="0020079F" w:rsidRPr="00626028" w:rsidRDefault="0020079F">
      <w:pPr>
        <w:pStyle w:val="ListParagraph"/>
        <w:numPr>
          <w:ilvl w:val="0"/>
          <w:numId w:val="28"/>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26028">
        <w:rPr>
          <w:rFonts w:eastAsia="Calibri"/>
          <w:kern w:val="0"/>
          <w:rtl/>
          <w14:ligatures w14:val="none"/>
        </w:rPr>
        <w:t xml:space="preserve">أن تبيّن عدد البركات التي وُعِد بها للأمة على طاعتها، وكذلك اللعنات (التأديب) التي يمكنهم توقُّع مجيئها بسبب عصيانهم بنود العهد. </w:t>
      </w:r>
    </w:p>
    <w:p w14:paraId="622AFA8B" w14:textId="5E8E5639" w:rsidR="0020079F" w:rsidRPr="00626028" w:rsidRDefault="0020079F">
      <w:pPr>
        <w:pStyle w:val="ListParagraph"/>
        <w:numPr>
          <w:ilvl w:val="0"/>
          <w:numId w:val="28"/>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626028">
        <w:rPr>
          <w:rFonts w:eastAsia="Calibri"/>
          <w:kern w:val="0"/>
          <w:rtl/>
          <w14:ligatures w14:val="none"/>
        </w:rPr>
        <w:t xml:space="preserve">أن تحدِّد وتلخِّص المقطع الذي يقدِّم خطّة الله لردّ الأمّة. </w:t>
      </w:r>
    </w:p>
    <w:p w14:paraId="676C6C6E" w14:textId="77777777" w:rsidR="007B46BE" w:rsidRDefault="007B46BE" w:rsidP="000558B7">
      <w:pPr>
        <w:pStyle w:val="Heading3"/>
        <w:rPr>
          <w:rtl/>
        </w:rPr>
      </w:pPr>
    </w:p>
    <w:p w14:paraId="275628B8" w14:textId="77777777" w:rsidR="007B46BE" w:rsidRDefault="007B46BE">
      <w:pPr>
        <w:bidi w:val="0"/>
        <w:spacing w:before="0" w:after="160" w:line="259" w:lineRule="auto"/>
        <w:rPr>
          <w:b/>
          <w:bCs/>
          <w:kern w:val="0"/>
          <w:sz w:val="44"/>
          <w:szCs w:val="44"/>
          <w:rtl/>
        </w:rPr>
      </w:pPr>
      <w:r>
        <w:rPr>
          <w:rtl/>
        </w:rPr>
        <w:br w:type="page"/>
      </w:r>
    </w:p>
    <w:p w14:paraId="3781D9D9" w14:textId="4588ACB3" w:rsidR="00BE411E" w:rsidRPr="00C7130A" w:rsidRDefault="00E22EC9" w:rsidP="000558B7">
      <w:pPr>
        <w:pStyle w:val="Heading2B"/>
      </w:pPr>
      <w:bookmarkStart w:id="295" w:name="_Toc193031064"/>
      <w:r w:rsidRPr="00C7130A">
        <w:rPr>
          <w:rtl/>
        </w:rPr>
        <w:lastRenderedPageBreak/>
        <w:t>الموضوع 1: مُقدِّمة إلى سفر التثنية</w:t>
      </w:r>
      <w:bookmarkEnd w:id="295"/>
    </w:p>
    <w:p w14:paraId="0B8F377F" w14:textId="08EA8CFA" w:rsidR="00BE411E" w:rsidRPr="00C7130A" w:rsidRDefault="00BE411E"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rtl/>
          <w:lang w:bidi="ar-JO"/>
          <w14:ligatures w14:val="none"/>
        </w:rPr>
      </w:pPr>
      <w:r w:rsidRPr="00C7130A">
        <w:rPr>
          <w:rFonts w:eastAsia="Calibri"/>
          <w:b/>
          <w:caps/>
          <w:noProof/>
          <w:color w:val="006699"/>
          <w:kern w:val="0"/>
          <w:sz w:val="21"/>
          <w:szCs w:val="24"/>
          <w14:ligatures w14:val="none"/>
        </w:rPr>
        <w:drawing>
          <wp:inline distT="0" distB="0" distL="0" distR="0" wp14:anchorId="01602DE5" wp14:editId="61CD4AEF">
            <wp:extent cx="613692" cy="541464"/>
            <wp:effectExtent l="0" t="0" r="0" b="0"/>
            <wp:docPr id="917082530" name="Picture 917082530"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2F0BF2" w:rsidRPr="007B46BE">
        <w:rPr>
          <w:rFonts w:eastAsia="Calibri"/>
          <w:bCs/>
          <w:caps/>
          <w:color w:val="006699"/>
          <w:kern w:val="0"/>
          <w:u w:val="single"/>
          <w:rtl/>
          <w:lang w:bidi="ar-JO"/>
          <w14:ligatures w14:val="none"/>
        </w:rPr>
        <w:t>القراءة</w:t>
      </w:r>
      <w:r w:rsidR="002F0BF2" w:rsidRPr="00C7130A">
        <w:rPr>
          <w:rFonts w:eastAsia="Calibri"/>
          <w:bCs/>
          <w:caps/>
          <w:color w:val="006699"/>
          <w:kern w:val="0"/>
          <w:sz w:val="21"/>
          <w:szCs w:val="24"/>
          <w:u w:val="single"/>
          <w:rtl/>
          <w:lang w:bidi="ar-JO"/>
          <w14:ligatures w14:val="none"/>
        </w:rPr>
        <w:t>:</w:t>
      </w:r>
    </w:p>
    <w:p w14:paraId="1050B890" w14:textId="135BF6C8" w:rsidR="00BE411E" w:rsidRPr="00C7130A" w:rsidRDefault="00BE411E" w:rsidP="00C7130A">
      <w:pPr>
        <w:rPr>
          <w:b/>
          <w:bCs/>
        </w:rPr>
      </w:pPr>
      <w:r w:rsidRPr="00C7130A">
        <w:tab/>
      </w:r>
      <w:r w:rsidRPr="00C7130A">
        <w:tab/>
      </w:r>
      <w:r w:rsidR="002F0BF2" w:rsidRPr="00C7130A">
        <w:rPr>
          <w:rtl/>
        </w:rPr>
        <w:t xml:space="preserve">اقرأ </w:t>
      </w:r>
      <w:r w:rsidR="00DF784C" w:rsidRPr="00C7130A">
        <w:rPr>
          <w:rtl/>
        </w:rPr>
        <w:t xml:space="preserve">يوجين </w:t>
      </w:r>
      <w:r w:rsidR="002F0BF2" w:rsidRPr="00C7130A">
        <w:rPr>
          <w:rtl/>
        </w:rPr>
        <w:t xml:space="preserve">ميرل، </w:t>
      </w:r>
      <w:r w:rsidR="002F0BF2" w:rsidRPr="00C7130A">
        <w:rPr>
          <w:u w:val="single"/>
          <w:rtl/>
        </w:rPr>
        <w:t>لاهوت العهد القديم الكتابي</w:t>
      </w:r>
      <w:r w:rsidR="002F0BF2" w:rsidRPr="00C7130A">
        <w:rPr>
          <w:rtl/>
        </w:rPr>
        <w:t>، "لاهوت سفر العدد".</w:t>
      </w:r>
    </w:p>
    <w:bookmarkEnd w:id="290"/>
    <w:p w14:paraId="03C53359" w14:textId="4DEA86FA" w:rsidR="00BE411E" w:rsidRPr="00C7130A" w:rsidRDefault="00070B6E"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noProof/>
          <w:kern w:val="0"/>
          <w:szCs w:val="24"/>
          <w14:ligatures w14:val="none"/>
        </w:rPr>
        <w:drawing>
          <wp:inline distT="0" distB="0" distL="0" distR="0" wp14:anchorId="5BF4A8A1" wp14:editId="6F4BE704">
            <wp:extent cx="5935980" cy="4137660"/>
            <wp:effectExtent l="0" t="0" r="0" b="0"/>
            <wp:docPr id="15185515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35980" cy="4137660"/>
                    </a:xfrm>
                    <a:prstGeom prst="rect">
                      <a:avLst/>
                    </a:prstGeom>
                    <a:noFill/>
                    <a:ln>
                      <a:noFill/>
                    </a:ln>
                  </pic:spPr>
                </pic:pic>
              </a:graphicData>
            </a:graphic>
          </wp:inline>
        </w:drawing>
      </w:r>
    </w:p>
    <w:p w14:paraId="406E123F" w14:textId="77777777" w:rsidR="00070B6E" w:rsidRPr="00C7130A" w:rsidRDefault="00070B6E" w:rsidP="00C7130A">
      <w:pPr>
        <w:jc w:val="center"/>
        <w:rPr>
          <w:rFonts w:eastAsia="Times New Roman"/>
          <w:bCs/>
          <w:kern w:val="0"/>
          <w:szCs w:val="28"/>
          <w:rtl/>
          <w:lang w:bidi="ar-JO"/>
          <w14:ligatures w14:val="none"/>
        </w:rPr>
      </w:pPr>
    </w:p>
    <w:p w14:paraId="59BED865" w14:textId="77777777" w:rsidR="00070B6E" w:rsidRPr="00141112" w:rsidRDefault="00070B6E" w:rsidP="000558B7">
      <w:pPr>
        <w:pStyle w:val="Heading3"/>
        <w:rPr>
          <w:rtl/>
          <w:lang w:bidi="ar-JO"/>
        </w:rPr>
      </w:pPr>
      <w:bookmarkStart w:id="296" w:name="_Toc193031065"/>
      <w:r w:rsidRPr="00141112">
        <w:rPr>
          <w:rtl/>
          <w:lang w:bidi="ar-JO"/>
        </w:rPr>
        <w:t>1.</w:t>
      </w:r>
      <w:r w:rsidRPr="00141112">
        <w:rPr>
          <w:rtl/>
          <w:lang w:bidi="ar-JO"/>
        </w:rPr>
        <w:tab/>
        <w:t>مقدمة</w:t>
      </w:r>
      <w:bookmarkEnd w:id="296"/>
    </w:p>
    <w:p w14:paraId="09808EE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لا يمثل سفر التثنية فترة تاريخية أخرى من الزمن في تاريخ إسرائيل، لكنه يمثّل مناسبة فريدة تحدّث فيها موسى للجيل الجديد من بني إسرائيل قبل دخولهم مباشرة إلى أرض كنعان.  ألقى موسى هذا الخطاب في سهول موآب على الجانب الشرقي من نهر الأردن.  وتتضمن خلفية هذا المشهد الشعب الذي يوشك على عبور النهر وغزو الأرض لكي يسكنوا هناك ويبارَكوا من الله.  غير أنهم يحتاجون إلى "موعظة" جيدة في هذا الوقت لئلا يعتقدوا أن بإمكانهم أن يتراخوا في إيمانهم وطاعتهم بعد دخول الأرض.</w:t>
      </w:r>
    </w:p>
    <w:p w14:paraId="23F7298F"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5C020D2B" w14:textId="6FBCE16D"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lastRenderedPageBreak/>
        <w:t>والسفر وعظي جداً حقاً.  تقول تثنية 1: 5: "</w:t>
      </w:r>
      <w:r w:rsidRPr="00141112">
        <w:rPr>
          <w:rFonts w:eastAsia="Times New Roman"/>
          <w:i/>
          <w:iCs/>
          <w:kern w:val="0"/>
          <w:rtl/>
          <w:lang w:bidi="ar-JO"/>
          <w14:ligatures w14:val="none"/>
        </w:rPr>
        <w:t>في عبر الأردن، في أرض موآب، ابتدأ موسى يشرح هذه الشريعة</w:t>
      </w:r>
      <w:r w:rsidRPr="00141112">
        <w:rPr>
          <w:rFonts w:eastAsia="Times New Roman"/>
          <w:kern w:val="0"/>
          <w:rtl/>
          <w:lang w:bidi="ar-JO"/>
          <w14:ligatures w14:val="none"/>
        </w:rPr>
        <w:t xml:space="preserve">."  لم يكن هذا مجرّد مراجعة لما تطالب به الشريعة؛ بل كان بشكلٍ أساسي عظة </w:t>
      </w:r>
      <w:r w:rsidRPr="00141112">
        <w:rPr>
          <w:rFonts w:eastAsia="Times New Roman"/>
          <w:kern w:val="0"/>
          <w:u w:val="single"/>
          <w:rtl/>
          <w:lang w:bidi="ar-JO"/>
          <w14:ligatures w14:val="none"/>
        </w:rPr>
        <w:t>تحريضية</w:t>
      </w:r>
      <w:r w:rsidRPr="00141112">
        <w:rPr>
          <w:rFonts w:eastAsia="Times New Roman"/>
          <w:kern w:val="0"/>
          <w:rtl/>
          <w:lang w:bidi="ar-JO"/>
          <w14:ligatures w14:val="none"/>
        </w:rPr>
        <w:t xml:space="preserve"> تكشف قلب الشريعة وتقدّم حوافز للطاعة.  فلا بد أن تأتي الطاعة الحقيقية من محبّة المرء ليهوه (تثنية 6: 4-6)، وبدون طاعة الله لن تأتي البركات.  وفي الحقيقة، العصيان سيجلب لعنات وحتى النفي من الأرض.  فدخول الأرض ليس ضماناً بالمحافظة عليها؛ فالميراث يمكن أن يضيع.</w:t>
      </w:r>
    </w:p>
    <w:p w14:paraId="55C009A1"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433E4B9E" w14:textId="38ECA00C"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14:ligatures w14:val="none"/>
        </w:rPr>
      </w:pPr>
      <w:r w:rsidRPr="00141112">
        <w:rPr>
          <w:rFonts w:eastAsia="Times New Roman"/>
          <w:kern w:val="0"/>
          <w:rtl/>
          <w:lang w:bidi="ar-JO"/>
          <w14:ligatures w14:val="none"/>
        </w:rPr>
        <w:t>وسنتناول في بحثنا هذا رأي الباحثين الانتقاديين الذين يجمعون عملياً على رفضهم حقيقة أن موسى هو كاتب السفر.  وهم ينسبون السفر إلى مؤرخ "تثنوي" مجهول في القرن السابع ق م.</w:t>
      </w:r>
      <w:r w:rsidRPr="00141112">
        <w:rPr>
          <w:rFonts w:eastAsia="Times New Roman"/>
          <w:kern w:val="0"/>
          <w:vertAlign w:val="superscript"/>
          <w:rtl/>
          <w:lang w:bidi="ar-JO"/>
          <w14:ligatures w14:val="none"/>
        </w:rPr>
        <w:footnoteReference w:customMarkFollows="1" w:id="116"/>
        <w:t>1</w:t>
      </w:r>
      <w:r w:rsidRPr="00141112">
        <w:rPr>
          <w:rFonts w:eastAsia="Times New Roman"/>
          <w:kern w:val="0"/>
          <w:rtl/>
          <w:lang w:bidi="ar-JO"/>
          <w14:ligatures w14:val="none"/>
        </w:rPr>
        <w:t xml:space="preserve"> وسنقدم تفنيداً لهذه النظرية في بحث منفصل [انظر الدرس المعنون "النظرية التثنوية"].</w:t>
      </w:r>
    </w:p>
    <w:p w14:paraId="47E7B5F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1F3D1FE6" w14:textId="77777777" w:rsidR="00070B6E" w:rsidRPr="00141112" w:rsidRDefault="00070B6E" w:rsidP="000558B7">
      <w:pPr>
        <w:pStyle w:val="Heading3"/>
        <w:rPr>
          <w:rtl/>
          <w:lang w:bidi="ar-JO"/>
        </w:rPr>
      </w:pPr>
      <w:bookmarkStart w:id="297" w:name="_Toc193031066"/>
      <w:r w:rsidRPr="00141112">
        <w:rPr>
          <w:rtl/>
          <w:lang w:bidi="ar-JO"/>
        </w:rPr>
        <w:t>2.</w:t>
      </w:r>
      <w:r w:rsidRPr="00141112">
        <w:rPr>
          <w:rtl/>
          <w:lang w:bidi="ar-JO"/>
        </w:rPr>
        <w:tab/>
        <w:t>تعليقات عامّة</w:t>
      </w:r>
      <w:bookmarkEnd w:id="297"/>
    </w:p>
    <w:p w14:paraId="06FD7980"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أ.</w:t>
      </w:r>
      <w:r w:rsidRPr="00141112">
        <w:rPr>
          <w:rFonts w:eastAsia="Times New Roman"/>
          <w:bCs/>
          <w:kern w:val="0"/>
          <w:rtl/>
          <w14:ligatures w14:val="none"/>
        </w:rPr>
        <w:tab/>
        <w:t xml:space="preserve">عنوان السفر </w:t>
      </w:r>
    </w:p>
    <w:p w14:paraId="452AC6CB"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لم يكن العنوان الحالي للسفر (التثنية) هو الاسم الذي يعرف به دائماً.  فقد كان شائعاً لدى اليهود باسم</w:t>
      </w:r>
      <w:r w:rsidRPr="00141112">
        <w:rPr>
          <w:rFonts w:eastAsia="Times New Roman"/>
          <w:kern w:val="0"/>
          <w:rtl/>
          <w14:ligatures w14:val="none"/>
        </w:rPr>
        <w:t xml:space="preserve"> </w:t>
      </w:r>
      <w:r w:rsidRPr="00141112">
        <w:rPr>
          <w:rFonts w:eastAsia="Times New Roman"/>
          <w:bCs/>
          <w:i/>
          <w:iCs/>
          <w:kern w:val="0"/>
          <w:lang w:bidi="ar-JO"/>
          <w14:ligatures w14:val="none"/>
        </w:rPr>
        <w:t xml:space="preserve">ʾēlleh </w:t>
      </w:r>
      <w:r w:rsidRPr="00141112">
        <w:rPr>
          <w:rFonts w:eastAsia="Times New Roman"/>
          <w:kern w:val="0"/>
          <w14:ligatures w14:val="none"/>
        </w:rPr>
        <w:t>h^DD+b*r'm</w:t>
      </w:r>
      <w:r w:rsidRPr="00141112">
        <w:rPr>
          <w:rFonts w:eastAsia="Times New Roman"/>
          <w:kern w:val="0"/>
          <w:rtl/>
          <w:lang w:bidi="ar-JO"/>
          <w14:ligatures w14:val="none"/>
        </w:rPr>
        <w:t xml:space="preserve"> "</w:t>
      </w:r>
      <w:r w:rsidRPr="00141112">
        <w:rPr>
          <w:rFonts w:eastAsia="Times New Roman"/>
          <w:i/>
          <w:iCs/>
          <w:kern w:val="0"/>
          <w:rtl/>
          <w:lang w:bidi="ar-JO"/>
          <w14:ligatures w14:val="none"/>
        </w:rPr>
        <w:t xml:space="preserve">إِلِّه هَدِّفاريم" </w:t>
      </w:r>
      <w:r w:rsidRPr="00141112">
        <w:rPr>
          <w:rFonts w:eastAsia="Times New Roman"/>
          <w:kern w:val="0"/>
          <w:rtl/>
          <w:lang w:bidi="ar-JO"/>
          <w14:ligatures w14:val="none"/>
        </w:rPr>
        <w:t xml:space="preserve">("هذه هي الكلمات")، أي "هذا هو الكلام" كما يبدأ العدد الأول من السفر.  وقد استخدم تعبير </w:t>
      </w:r>
      <w:r w:rsidRPr="00141112">
        <w:rPr>
          <w:rFonts w:eastAsia="Times New Roman"/>
          <w:bCs/>
          <w:i/>
          <w:iCs/>
          <w:kern w:val="0"/>
          <w:lang w:bidi="ar-JO"/>
          <w14:ligatures w14:val="none"/>
        </w:rPr>
        <w:t>mišnĕh</w:t>
      </w:r>
      <w:r w:rsidRPr="00141112">
        <w:rPr>
          <w:rFonts w:eastAsia="Times New Roman"/>
          <w:kern w:val="0"/>
          <w:rtl/>
          <w:lang w:bidi="ar-JO"/>
          <w14:ligatures w14:val="none"/>
        </w:rPr>
        <w:t xml:space="preserve"> (</w:t>
      </w:r>
      <w:r w:rsidRPr="00141112">
        <w:rPr>
          <w:rFonts w:eastAsia="Times New Roman"/>
          <w:i/>
          <w:iCs/>
          <w:kern w:val="0"/>
          <w:rtl/>
          <w:lang w:bidi="ar-JO"/>
          <w14:ligatures w14:val="none"/>
        </w:rPr>
        <w:t>مِشنا)</w:t>
      </w:r>
      <w:r w:rsidRPr="00141112">
        <w:rPr>
          <w:rFonts w:eastAsia="Times New Roman"/>
          <w:kern w:val="0"/>
          <w:rtl/>
          <w:lang w:bidi="ar-JO"/>
          <w14:ligatures w14:val="none"/>
        </w:rPr>
        <w:t xml:space="preserve"> أحياناً للإشارة إلى سفر التثنية (مشتق من 17: 18 – "نسخة [</w:t>
      </w:r>
      <w:r w:rsidRPr="00141112">
        <w:rPr>
          <w:rFonts w:ascii="Times New Roman" w:eastAsia="Times New Roman" w:hAnsi="Times New Roman" w:cs="Times New Roman" w:hint="cs"/>
          <w:b/>
          <w:i/>
          <w:kern w:val="0"/>
          <w:rtl/>
          <w:lang w:bidi="he-IL"/>
          <w14:ligatures w14:val="none"/>
        </w:rPr>
        <w:t>מִשְׁנֵה</w:t>
      </w:r>
      <w:r w:rsidRPr="00141112">
        <w:rPr>
          <w:rFonts w:eastAsia="Times New Roman"/>
          <w:kern w:val="0"/>
          <w:rtl/>
          <w:lang w:bidi="ar-JO"/>
          <w14:ligatures w14:val="none"/>
        </w:rPr>
        <w:t>] من هذه الشريعة").</w:t>
      </w:r>
    </w:p>
    <w:p w14:paraId="1519226E"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004A90C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ولقد أخطأت الترجمة السبعينية (الترجمة اليونانية للعهد القديم في القرن الثالث ق م) بترجمة تعبير "نسخة من هذه الشريعة "في 17: 18 إلى </w:t>
      </w:r>
      <w:r w:rsidRPr="00141112">
        <w:rPr>
          <w:rFonts w:eastAsia="Times New Roman"/>
          <w:i/>
          <w:iCs/>
          <w:kern w:val="0"/>
          <w14:ligatures w14:val="none"/>
        </w:rPr>
        <w:t>to</w:t>
      </w:r>
      <w:r w:rsidRPr="00141112">
        <w:rPr>
          <w:rFonts w:eastAsia="Times New Roman"/>
          <w:kern w:val="0"/>
          <w14:ligatures w14:val="none"/>
        </w:rPr>
        <w:t xml:space="preserve"> </w:t>
      </w:r>
      <w:r w:rsidRPr="00141112">
        <w:rPr>
          <w:rFonts w:eastAsia="Times New Roman"/>
          <w:i/>
          <w:iCs/>
          <w:kern w:val="0"/>
          <w14:ligatures w14:val="none"/>
        </w:rPr>
        <w:t>deuteronomion touto</w:t>
      </w:r>
      <w:r w:rsidRPr="00141112">
        <w:rPr>
          <w:rFonts w:eastAsia="Times New Roman"/>
          <w:kern w:val="0"/>
          <w:rtl/>
          <w:lang w:bidi="ar-JO"/>
          <w14:ligatures w14:val="none"/>
        </w:rPr>
        <w:t xml:space="preserve"> ، أي "هذه الشريعة الثانية"، بمعنى "هذه الشريعة المكررة".  ومن هنا ترجمت الفَلجاتا اللاتينية الاسم اليوناني إلى </w:t>
      </w:r>
      <w:r w:rsidRPr="00141112">
        <w:rPr>
          <w:rFonts w:eastAsia="Times New Roman"/>
          <w:i/>
          <w:iCs/>
          <w:kern w:val="0"/>
          <w14:ligatures w14:val="none"/>
        </w:rPr>
        <w:t>deuteronomion</w:t>
      </w:r>
      <w:r w:rsidRPr="00141112">
        <w:rPr>
          <w:rFonts w:eastAsia="Times New Roman"/>
          <w:kern w:val="0"/>
          <w:rtl/>
          <w:lang w:bidi="ar-JO"/>
          <w14:ligatures w14:val="none"/>
        </w:rPr>
        <w:t xml:space="preserve"> (التي اشتقت </w:t>
      </w:r>
      <w:r w:rsidRPr="00141112">
        <w:rPr>
          <w:rFonts w:eastAsia="Times New Roman"/>
          <w:kern w:val="0"/>
          <w:rtl/>
          <w:lang w:bidi="ar-JO"/>
          <w14:ligatures w14:val="none"/>
        </w:rPr>
        <w:lastRenderedPageBreak/>
        <w:t>منها كلمة تثنية بالإنجليزية (</w:t>
      </w:r>
      <w:r w:rsidRPr="00141112">
        <w:rPr>
          <w:rFonts w:eastAsia="Times New Roman"/>
          <w:kern w:val="0"/>
          <w14:ligatures w14:val="none"/>
        </w:rPr>
        <w:t>Deuteronomy</w:t>
      </w:r>
      <w:r w:rsidRPr="00141112">
        <w:rPr>
          <w:rFonts w:eastAsia="Times New Roman"/>
          <w:kern w:val="0"/>
          <w:rtl/>
          <w:lang w:bidi="ar-JO"/>
          <w14:ligatures w14:val="none"/>
        </w:rPr>
        <w:t xml:space="preserve">)، وقد اعتُبرت المحتويات شريعة ثانية             ( </w:t>
      </w:r>
      <w:r w:rsidRPr="00141112">
        <w:rPr>
          <w:rFonts w:eastAsia="Times New Roman"/>
          <w:i/>
          <w:iCs/>
          <w:kern w:val="0"/>
          <w14:ligatures w14:val="none"/>
        </w:rPr>
        <w:t>deuteros</w:t>
      </w:r>
      <w:r w:rsidRPr="00141112">
        <w:rPr>
          <w:rFonts w:eastAsia="Times New Roman"/>
          <w:kern w:val="0"/>
          <w:rtl/>
          <w:lang w:bidi="ar-JO"/>
          <w14:ligatures w14:val="none"/>
        </w:rPr>
        <w:t xml:space="preserve">= ثانية؛ </w:t>
      </w:r>
      <w:r w:rsidRPr="00141112">
        <w:rPr>
          <w:rFonts w:eastAsia="Times New Roman"/>
          <w:i/>
          <w:iCs/>
          <w:kern w:val="0"/>
          <w14:ligatures w14:val="none"/>
        </w:rPr>
        <w:t>nomos</w:t>
      </w:r>
      <w:r w:rsidRPr="00141112">
        <w:rPr>
          <w:rFonts w:eastAsia="Times New Roman"/>
          <w:kern w:val="0"/>
          <w:rtl/>
          <w:lang w:bidi="ar-JO"/>
          <w14:ligatures w14:val="none"/>
        </w:rPr>
        <w:t xml:space="preserve">= شريعة). </w:t>
      </w:r>
    </w:p>
    <w:p w14:paraId="47A112AF"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i/>
          <w:iCs/>
          <w:kern w:val="0"/>
          <w:rtl/>
          <w:lang w:bidi="ar-JO"/>
          <w14:ligatures w14:val="none"/>
        </w:rPr>
        <w:t xml:space="preserve"> </w:t>
      </w:r>
      <w:r w:rsidRPr="00141112">
        <w:rPr>
          <w:rFonts w:eastAsia="Times New Roman"/>
          <w:kern w:val="0"/>
          <w:rtl/>
          <w:lang w:bidi="ar-JO"/>
          <w14:ligatures w14:val="none"/>
        </w:rPr>
        <w:t xml:space="preserve">  </w:t>
      </w:r>
    </w:p>
    <w:p w14:paraId="0956AF1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وعلى الرغم من أن العنوان جاء من ترجمة خاطئة للأصل العبري، فإنه ليس عنواناً غير سليم.  إذ يتضمن الوضع التاريخي للسفر الجيل الجديد لبني إسرائيل الذين حلّوا محل جيل الخروج الذي مات وانقرض في البرية.  وها هو موسى يدعو هذا الجيل إلى ربط أنفسهم بعهد مع الشريعة.</w:t>
      </w:r>
    </w:p>
    <w:p w14:paraId="5D882D0B"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4C34EC77"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ب.</w:t>
      </w:r>
      <w:r w:rsidRPr="00141112">
        <w:rPr>
          <w:rFonts w:eastAsia="Times New Roman"/>
          <w:bCs/>
          <w:kern w:val="0"/>
          <w:rtl/>
          <w14:ligatures w14:val="none"/>
        </w:rPr>
        <w:tab/>
        <w:t>نبرة سفر التثنية</w:t>
      </w:r>
    </w:p>
    <w:p w14:paraId="25607988"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ليس سفر التثنية مجرّد إسهاب مطوّل حول الأنظمة التي يجب أن تتبعها أمّة العهد.  ومما لا شك فيه أن هنالك تشريعاً، لكن السفر وعظي في معظمه، أي أنه "إقناع" يقوم به قائد الأمّة الذي سيرحل عمّا قريب لشعبه بأن يطيعوا يهوه.  ويجب أن تأتي هذه الطاعة المتصوَّرة من قلب يحب يهوه.  يقول جي. أ. ثومبسون:</w:t>
      </w:r>
    </w:p>
    <w:p w14:paraId="01232A41"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141112">
        <w:rPr>
          <w:rFonts w:eastAsia="Times New Roman"/>
          <w:kern w:val="0"/>
          <w:rtl/>
          <w:lang w:bidi="ar-JO"/>
          <w14:ligatures w14:val="none"/>
        </w:rPr>
        <w:t>يتّسم سفر التثنية بروح الإلحاح والضرورة.  وهو يأتي حتى للقارئ الحديث كعظة تهدف إلى التحدّي والتشجيع، فهو موجّه إلى تحريك عقول السامعين وإرادتهم لاتخاذ قرار: اختاروا الحياة لكي تحيوا أنتم وأبناؤكم (30: 19).  وقد هدف السفر ككل بوضوح إلى إعطاء إسرائيل إرشادات وتعليمهم في إيمانهم وإلى إفهامهم متطلبات إيمانهم.</w:t>
      </w:r>
      <w:r w:rsidRPr="00141112">
        <w:rPr>
          <w:rFonts w:eastAsia="Times New Roman"/>
          <w:kern w:val="0"/>
          <w:vertAlign w:val="superscript"/>
          <w:rtl/>
          <w:lang w:bidi="ar-JO"/>
          <w14:ligatures w14:val="none"/>
        </w:rPr>
        <w:footnoteReference w:customMarkFollows="1" w:id="117"/>
        <w:t>2</w:t>
      </w:r>
    </w:p>
    <w:p w14:paraId="3D18BCE8"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9A26014"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354C89E7" w14:textId="77777777" w:rsidR="00070B6E" w:rsidRPr="00141112" w:rsidRDefault="00070B6E" w:rsidP="000558B7">
      <w:pPr>
        <w:pStyle w:val="Heading3"/>
        <w:rPr>
          <w:rtl/>
          <w:lang w:bidi="ar-JO"/>
        </w:rPr>
      </w:pPr>
      <w:bookmarkStart w:id="298" w:name="_Toc193031067"/>
      <w:r w:rsidRPr="00141112">
        <w:rPr>
          <w:rtl/>
          <w:lang w:bidi="ar-JO"/>
        </w:rPr>
        <w:t>3.</w:t>
      </w:r>
      <w:r w:rsidRPr="00141112">
        <w:rPr>
          <w:rtl/>
          <w:lang w:bidi="ar-JO"/>
        </w:rPr>
        <w:tab/>
        <w:t>مسألة تاريخ كتابة السفر وهوية كاتبه</w:t>
      </w:r>
      <w:bookmarkEnd w:id="298"/>
    </w:p>
    <w:p w14:paraId="545323F4" w14:textId="41350C60"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يطبق الباحثون على البحث في مسألة زمن الكتابة أي سفر من الأسفار المقدّسة وهوية كاتبه اسم "النقد الأعلى</w:t>
      </w:r>
      <w:r w:rsidRPr="00141112">
        <w:rPr>
          <w:rFonts w:eastAsia="Times New Roman"/>
          <w:kern w:val="0"/>
          <w:rtl/>
          <w14:ligatures w14:val="none"/>
        </w:rPr>
        <w:t>.</w:t>
      </w:r>
      <w:r w:rsidRPr="00141112">
        <w:rPr>
          <w:rFonts w:eastAsia="Times New Roman"/>
          <w:kern w:val="0"/>
          <w:rtl/>
          <w:lang w:bidi="ar-JO"/>
          <w14:ligatures w14:val="none"/>
        </w:rPr>
        <w:t>"  وهذه ممارسة ملائمة في حد ذاتها، لأنه يتوجب علينا أن نعرف الكاتب وتاريخ الكتابة لكي نتمكن من فهم الوضع التاريخي الذي كُتب فيه السفر فهماً صحيحاً بالإضافة إلى جمهور القرّاء الأصليين للسفر.  ولسوء الحظ، كان سفر التثنية أحد أكثر أسفار العهد القديم تعرّضاً للطعن والشك في هذين الأمرين. ويعتبر الإنجيليون بشكل عام أن</w:t>
      </w:r>
      <w:r w:rsidR="00DF784C" w:rsidRPr="00141112">
        <w:rPr>
          <w:rFonts w:eastAsia="Times New Roman"/>
          <w:kern w:val="0"/>
          <w:rtl/>
          <w:lang w:bidi="ar-JO"/>
          <w14:ligatures w14:val="none"/>
        </w:rPr>
        <w:t>ّ</w:t>
      </w:r>
      <w:r w:rsidRPr="00141112">
        <w:rPr>
          <w:rFonts w:eastAsia="Times New Roman"/>
          <w:kern w:val="0"/>
          <w:rtl/>
          <w:lang w:bidi="ar-JO"/>
          <w14:ligatures w14:val="none"/>
        </w:rPr>
        <w:t xml:space="preserve"> موسى هو كاتب السفر (مع الاستثناء المحتمل للمقطع الذي يتحدث عن موته في نهاية السفر)، بينما يرفض الباحثون النقديون بشدة أن يكون موسى هو كاتب السفر.  يقول هاريسون: "تَبنّى اليهود والمسيحيّون، </w:t>
      </w:r>
      <w:r w:rsidRPr="00141112">
        <w:rPr>
          <w:rFonts w:eastAsia="Times New Roman"/>
          <w:kern w:val="0"/>
          <w:rtl/>
          <w:lang w:bidi="ar-JO"/>
          <w14:ligatures w14:val="none"/>
        </w:rPr>
        <w:lastRenderedPageBreak/>
        <w:t>مع بعض الاستثناءات، فكرة تأليف موسى للسفر حتى القرن التاسع عشر."</w:t>
      </w:r>
      <w:r w:rsidRPr="00141112">
        <w:rPr>
          <w:rFonts w:eastAsia="Times New Roman"/>
          <w:kern w:val="0"/>
          <w:vertAlign w:val="superscript"/>
          <w:rtl/>
          <w:lang w:bidi="ar-JO"/>
          <w14:ligatures w14:val="none"/>
        </w:rPr>
        <w:footnoteReference w:customMarkFollows="1" w:id="118"/>
        <w:t>3</w:t>
      </w:r>
      <w:r w:rsidRPr="00141112">
        <w:rPr>
          <w:rFonts w:eastAsia="Times New Roman"/>
          <w:kern w:val="0"/>
          <w:rtl/>
          <w:lang w:bidi="ar-JO"/>
          <w14:ligatures w14:val="none"/>
        </w:rPr>
        <w:t xml:space="preserve"> غير أن الرأي التقليدي قد تعرّض للهجوم على مدى القرنين الماضيين.</w:t>
      </w:r>
    </w:p>
    <w:p w14:paraId="14973AF5" w14:textId="14A7BB1D"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08BD9163"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أ.</w:t>
      </w:r>
      <w:r w:rsidRPr="00141112">
        <w:rPr>
          <w:rFonts w:eastAsia="Times New Roman"/>
          <w:bCs/>
          <w:kern w:val="0"/>
          <w:rtl/>
          <w14:ligatures w14:val="none"/>
        </w:rPr>
        <w:tab/>
        <w:t xml:space="preserve">تحدّي الباحثين النقديين </w:t>
      </w:r>
    </w:p>
    <w:p w14:paraId="6B7F4845" w14:textId="3ED67D3B"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1.</w:t>
      </w:r>
      <w:r w:rsidRPr="00141112">
        <w:rPr>
          <w:rFonts w:eastAsia="Times New Roman"/>
          <w:kern w:val="0"/>
          <w:rtl/>
          <w:lang w:bidi="ar-JO"/>
          <w14:ligatures w14:val="none"/>
        </w:rPr>
        <w:tab/>
        <w:t>دي وتّي ولهيلم م. ل. (1805)</w:t>
      </w:r>
    </w:p>
    <w:p w14:paraId="0D047FF2" w14:textId="2A7E16FF"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تحدّى دي وتّي الموقف التقليدي بأن أكّد على أن سفر التثنية كُتب في زمن يوشيا (في الجزء الأخير من القرن السابع ق م)، وأنه السفر الذي وجده الكاهن حلقيّا في الهيكل بعد السنوات الطويلة من الارتداد تحت حكم الملكين الشرّيرين منسّى وآمون.  "وعِند إخراجهم الفضّة المُدْخَلة إلى بيت الرب، وجد حلقيا الكاهن سفر شريعة الرب بيد موسى" (2 أخبار 34: 14؛ انظر 2 ملوك 22: 8 فصاعداً).</w:t>
      </w:r>
    </w:p>
    <w:p w14:paraId="00AD2A94" w14:textId="2DA2D92A"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E472412" w14:textId="4F1B1804"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2.</w:t>
      </w:r>
      <w:r w:rsidRPr="00141112">
        <w:rPr>
          <w:rFonts w:eastAsia="Times New Roman"/>
          <w:kern w:val="0"/>
          <w:rtl/>
          <w:lang w:bidi="ar-JO"/>
          <w14:ligatures w14:val="none"/>
        </w:rPr>
        <w:tab/>
        <w:t>ولهاوسن، جوليوس</w:t>
      </w:r>
    </w:p>
    <w:p w14:paraId="5A3F71C6" w14:textId="42450D6D"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b/>
          <w:iCs/>
          <w:noProof/>
          <w:kern w:val="0"/>
          <w14:ligatures w14:val="none"/>
        </w:rPr>
        <w:drawing>
          <wp:anchor distT="0" distB="0" distL="114300" distR="114300" simplePos="0" relativeHeight="251650048" behindDoc="0" locked="0" layoutInCell="1" allowOverlap="1" wp14:anchorId="79F034D9" wp14:editId="6E616BC7">
            <wp:simplePos x="0" y="0"/>
            <wp:positionH relativeFrom="column">
              <wp:posOffset>72390</wp:posOffset>
            </wp:positionH>
            <wp:positionV relativeFrom="paragraph">
              <wp:posOffset>171450</wp:posOffset>
            </wp:positionV>
            <wp:extent cx="1143000" cy="1654810"/>
            <wp:effectExtent l="0" t="0" r="0" b="0"/>
            <wp:wrapSquare wrapText="bothSides"/>
            <wp:docPr id="21463835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43000" cy="165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41112">
        <w:rPr>
          <w:rFonts w:eastAsia="Times New Roman"/>
          <w:kern w:val="0"/>
          <w:rtl/>
          <w:lang w:bidi="ar-JO"/>
          <w14:ligatures w14:val="none"/>
        </w:rPr>
        <w:t xml:space="preserve">بعد النتيجة التي خلص إليها دي وتّي، أشاع ولهاوسن "النظرية الوثائقية" معطياً إيّاها شكلها التقليدي.  وهذه النظرية هي نتيجة منهج </w:t>
      </w:r>
      <w:r w:rsidRPr="00141112">
        <w:rPr>
          <w:rFonts w:eastAsia="Times New Roman"/>
          <w:kern w:val="0"/>
          <w:u w:val="single"/>
          <w:rtl/>
          <w:lang w:bidi="ar-JO"/>
          <w14:ligatures w14:val="none"/>
        </w:rPr>
        <w:t>التحليل الأدبي</w:t>
      </w:r>
      <w:r w:rsidRPr="00141112">
        <w:rPr>
          <w:rFonts w:eastAsia="Times New Roman"/>
          <w:kern w:val="0"/>
          <w:rtl/>
          <w:lang w:bidi="ar-JO"/>
          <w14:ligatures w14:val="none"/>
        </w:rPr>
        <w:t xml:space="preserve"> في تناول الأسفار المقدَّسة الذي سعى إلى تحليل الأطوار الأدبية التي مرّ بها النص حتى وصل إلى شكله الحالي ضمن العهد القديم.  وقد ركّز هذا النهج على </w:t>
      </w:r>
      <w:r w:rsidRPr="00141112">
        <w:rPr>
          <w:rFonts w:eastAsia="Times New Roman"/>
          <w:kern w:val="0"/>
          <w:u w:val="single"/>
          <w:rtl/>
          <w:lang w:bidi="ar-JO"/>
          <w14:ligatures w14:val="none"/>
        </w:rPr>
        <w:t>تطوّر</w:t>
      </w:r>
      <w:r w:rsidRPr="00141112">
        <w:rPr>
          <w:rFonts w:eastAsia="Times New Roman"/>
          <w:kern w:val="0"/>
          <w:rtl/>
          <w:lang w:bidi="ar-JO"/>
          <w14:ligatures w14:val="none"/>
        </w:rPr>
        <w:t xml:space="preserve"> ديانة إسرائيل إلى أن وصلت إلى صيغتها التوحيدية في حوالي عام 750ق م.  وقد خلُص ولهاوسن إلى أن الشكل الحالي للعهد القديم قد جاء نتيجة جمع أربعة مصادر مختلفة: ي، إ، ت، ك (</w:t>
      </w:r>
      <w:r w:rsidRPr="00141112">
        <w:rPr>
          <w:rFonts w:eastAsia="Times New Roman"/>
          <w:kern w:val="0"/>
          <w14:ligatures w14:val="none"/>
        </w:rPr>
        <w:t>J,E,D,P</w:t>
      </w:r>
      <w:r w:rsidRPr="00141112">
        <w:rPr>
          <w:rFonts w:eastAsia="Times New Roman"/>
          <w:kern w:val="0"/>
          <w:rtl/>
          <w:lang w:bidi="ar-JO"/>
          <w14:ligatures w14:val="none"/>
        </w:rPr>
        <w:t>).  وقد افترض أن مصدر "ت" هو المادة التثنوية التي جاءت بعد مصدري "ي" و"إ".  وقد نسب ولهاوسن تاريخ المصدر التثنوي إلى زمن يوشيا (حوالي 622 ق م)، فتكون مادة التوراة ككل قد جُمعتْ حسب نظريته في زمن ما بعد 622 ق م.  يتحدث هاريسون عن منهج ولهاوسن فيقول:</w:t>
      </w:r>
    </w:p>
    <w:p w14:paraId="4EFC96D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141112">
        <w:rPr>
          <w:rFonts w:eastAsia="Times New Roman"/>
          <w:kern w:val="0"/>
          <w:rtl/>
          <w:lang w:bidi="ar-JO"/>
          <w14:ligatures w14:val="none"/>
        </w:rPr>
        <w:t>اعتبر ولهاوسن أن الأسفار الخمسة (التوراة) هي بشكلٍ أساسي من مصدر مركَّب، يتألف من مصدر يهووي (ي) يرجع إلى القرن التاسع ق م، ومصدر إيلوهيمي مستقل (إ)، يرجع إلى القرن الثامن ق م، والمضمون الأساسي لسفر التثنية (ت) الذي أرجعه إلى زمن يوشيّا (640/39-609ق م)، ومصدر كهنوتي (ك) يعود إلى القرن الخامس ق م.  وحسب هذه العملية التي قدّم ولهاوسن هيكلاً عاملاً لها في كتابه</w:t>
      </w:r>
      <w:r w:rsidRPr="00141112">
        <w:rPr>
          <w:rFonts w:eastAsia="Times New Roman"/>
          <w:i/>
          <w:iCs/>
          <w:kern w:val="0"/>
          <w14:ligatures w14:val="none"/>
        </w:rPr>
        <w:t xml:space="preserve">Die Kompostion </w:t>
      </w:r>
      <w:r w:rsidRPr="00141112">
        <w:rPr>
          <w:rFonts w:eastAsia="Times New Roman"/>
          <w:i/>
          <w:iCs/>
          <w:kern w:val="0"/>
          <w14:ligatures w14:val="none"/>
        </w:rPr>
        <w:lastRenderedPageBreak/>
        <w:t>des Hexateuchs</w:t>
      </w:r>
      <w:r w:rsidRPr="00141112">
        <w:rPr>
          <w:rFonts w:eastAsia="Times New Roman"/>
          <w:kern w:val="0"/>
          <w14:ligatures w14:val="none"/>
        </w:rPr>
        <w:t xml:space="preserve"> </w:t>
      </w:r>
      <w:r w:rsidRPr="00141112">
        <w:rPr>
          <w:rFonts w:eastAsia="Times New Roman"/>
          <w:kern w:val="0"/>
          <w:rtl/>
          <w14:ligatures w14:val="none"/>
        </w:rPr>
        <w:t xml:space="preserve"> </w:t>
      </w:r>
      <w:r w:rsidRPr="00141112">
        <w:rPr>
          <w:rFonts w:eastAsia="Times New Roman"/>
          <w:kern w:val="0"/>
          <w:rtl/>
          <w:lang w:bidi="ar-JO"/>
          <w14:ligatures w14:val="none"/>
        </w:rPr>
        <w:t>الذي نُشر في عام 1877، فإن الكاتب اليهودي جمع وثيقة سردية من المصدرين (ي) و(إ)، ثم ألحق بهما سفر التثنية الذي أُضيف في زمن يوشيا.</w:t>
      </w:r>
      <w:r w:rsidRPr="00141112">
        <w:rPr>
          <w:rFonts w:eastAsia="Times New Roman"/>
          <w:kern w:val="0"/>
          <w:vertAlign w:val="superscript"/>
          <w:rtl/>
          <w:lang w:bidi="ar-JO"/>
          <w14:ligatures w14:val="none"/>
        </w:rPr>
        <w:footnoteReference w:customMarkFollows="1" w:id="119"/>
        <w:t>4</w:t>
      </w:r>
    </w:p>
    <w:p w14:paraId="4B340A27"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67655A8" w14:textId="0547210D"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 xml:space="preserve">قد يبدو موقف ولهاوسن في ما يتعلق بنظرية "ي، إ، ت، ك) متّسماً بالخيال الواسع، لكن كان لهذه النظرية تأثير عميق على الباحثين الانتقاديين الدراسيين للعهد القديم.  وتقوم النظرية على إنكار كتابة موسى لسفر التثنية (بل كل التوراة)، وعلى نسبة تاريخ متأخر لسفر التثنية (القرن السابع ق م) وقد كان الباحثون براون </w:t>
      </w:r>
      <w:r w:rsidR="00857A90" w:rsidRPr="00141112">
        <w:rPr>
          <w:rFonts w:eastAsia="Times New Roman"/>
          <w:kern w:val="0"/>
          <w:rtl/>
          <w:lang w:bidi="ar-JO"/>
          <w14:ligatures w14:val="none"/>
        </w:rPr>
        <w:t>و</w:t>
      </w:r>
      <w:r w:rsidRPr="00141112">
        <w:rPr>
          <w:rFonts w:eastAsia="Times New Roman"/>
          <w:kern w:val="0"/>
          <w:rtl/>
          <w:lang w:bidi="ar-JO"/>
          <w14:ligatures w14:val="none"/>
        </w:rPr>
        <w:t>درايفر وبريجز الذي</w:t>
      </w:r>
      <w:r w:rsidR="00857A90" w:rsidRPr="00141112">
        <w:rPr>
          <w:rFonts w:eastAsia="Times New Roman"/>
          <w:kern w:val="0"/>
          <w:rtl/>
          <w:lang w:bidi="ar-JO"/>
          <w14:ligatures w14:val="none"/>
        </w:rPr>
        <w:t>ن</w:t>
      </w:r>
      <w:r w:rsidRPr="00141112">
        <w:rPr>
          <w:rFonts w:eastAsia="Times New Roman"/>
          <w:kern w:val="0"/>
          <w:rtl/>
          <w:lang w:bidi="ar-JO"/>
          <w14:ligatures w14:val="none"/>
        </w:rPr>
        <w:t xml:space="preserve"> ألّفوا المعجم العبري (1906) من مؤيدي هذه النظرية. </w:t>
      </w:r>
    </w:p>
    <w:p w14:paraId="24C0DF8E"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 xml:space="preserve"> </w:t>
      </w:r>
    </w:p>
    <w:p w14:paraId="164D160B"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3.</w:t>
      </w:r>
      <w:r w:rsidRPr="00141112">
        <w:rPr>
          <w:rFonts w:eastAsia="Times New Roman"/>
          <w:kern w:val="0"/>
          <w:rtl/>
          <w:lang w:bidi="ar-JO"/>
          <w14:ligatures w14:val="none"/>
        </w:rPr>
        <w:tab/>
        <w:t>محاولات أخرى</w:t>
      </w:r>
    </w:p>
    <w:p w14:paraId="2653541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141112">
        <w:rPr>
          <w:rFonts w:eastAsia="Times New Roman"/>
          <w:kern w:val="0"/>
          <w:rtl/>
          <w:lang w:bidi="ar-JO"/>
          <w14:ligatures w14:val="none"/>
        </w:rPr>
        <w:t>قبل الباحثون النقديون السابقون بشكل سريع نتائج نظرية "ي إ ت ك"، فقاموا بإرجاع تأليف سفر التثنية إلى القرن السابع ق م (إذ اقترح راولي، على سبيل المثال، أن أحد أتباع إشعياء كتب سفر التثنية في حوالي 680ق م).</w:t>
      </w:r>
      <w:r w:rsidRPr="00141112">
        <w:rPr>
          <w:rFonts w:eastAsia="Times New Roman"/>
          <w:kern w:val="0"/>
          <w:vertAlign w:val="superscript"/>
          <w:rtl/>
          <w:lang w:bidi="ar-JO"/>
          <w14:ligatures w14:val="none"/>
        </w:rPr>
        <w:footnoteReference w:customMarkFollows="1" w:id="120"/>
        <w:t>5</w:t>
      </w:r>
      <w:r w:rsidRPr="00141112">
        <w:rPr>
          <w:rFonts w:eastAsia="Times New Roman"/>
          <w:kern w:val="0"/>
          <w:rtl/>
          <w:lang w:bidi="ar-JO"/>
          <w14:ligatures w14:val="none"/>
        </w:rPr>
        <w:t xml:space="preserve"> وقد قُدّمت افتراضات أخرى.  فقد أرجع أولبرايت نشيد موسى (تثنية 32) إلى زمن صموئيل.</w:t>
      </w:r>
      <w:r w:rsidRPr="00141112">
        <w:rPr>
          <w:rFonts w:eastAsia="Times New Roman"/>
          <w:kern w:val="0"/>
          <w:vertAlign w:val="superscript"/>
          <w:rtl/>
          <w:lang w:bidi="ar-JO"/>
          <w14:ligatures w14:val="none"/>
        </w:rPr>
        <w:footnoteReference w:customMarkFollows="1" w:id="121"/>
        <w:t>6</w:t>
      </w:r>
      <w:r w:rsidRPr="00141112">
        <w:rPr>
          <w:rFonts w:eastAsia="Times New Roman"/>
          <w:kern w:val="0"/>
          <w:rtl/>
          <w:lang w:bidi="ar-JO"/>
          <w14:ligatures w14:val="none"/>
        </w:rPr>
        <w:t xml:space="preserve"> غير أن الميل الشائع في القسم الأخير من القرن العشرين اتجه إلى اعتبار سفر التثنية جزءاً من كتابات أدبية أكثر اتساعاً معروفة باسم "التاريخ التثنوي</w:t>
      </w:r>
      <w:r w:rsidRPr="00141112">
        <w:rPr>
          <w:rFonts w:eastAsia="Times New Roman"/>
          <w:kern w:val="0"/>
          <w:rtl/>
          <w:lang w:bidi="ar-KW"/>
          <w14:ligatures w14:val="none"/>
        </w:rPr>
        <w:t xml:space="preserve"> التأثُّر</w:t>
      </w:r>
      <w:r w:rsidRPr="00141112">
        <w:rPr>
          <w:rFonts w:eastAsia="Times New Roman"/>
          <w:kern w:val="0"/>
          <w:rtl/>
          <w14:ligatures w14:val="none"/>
        </w:rPr>
        <w:t>.</w:t>
      </w:r>
      <w:r w:rsidRPr="00141112">
        <w:rPr>
          <w:rFonts w:eastAsia="Times New Roman"/>
          <w:kern w:val="0"/>
          <w:rtl/>
          <w:lang w:bidi="ar-JO"/>
          <w14:ligatures w14:val="none"/>
        </w:rPr>
        <w:t>"  وتتألف هذه من المادة الموجودة في أسفار التثنية ويشوع وقضاة وصموئيل الأول والثاني وملوك الأول والثاني.  والفكرة هنا هي أن كل هذه المادة مكتوبة من نفس وجهة النظر، أي على أنها عمل أدبي كُتب وحُرِّر ونُقِّح على مدى فترة طويلة من الزمن.  ووفق هذه النظرية، فإن السفر الذي نعرفه باسم "التثنية" هو نتيجة أعمال تحرير وتنقيح متعددة تم آخرها في فترة السبي البابلي (حوالي 550ق م).  وهنالك نتائج أكثر تطرفاً وصل إليها بدرسن ومدرسة أبسالا الذين توصلوا إلى أن سفر التثنية وصل إلى شكله النهائي في حوالي 400 ق م.</w:t>
      </w:r>
      <w:r w:rsidRPr="00141112">
        <w:rPr>
          <w:rFonts w:eastAsia="Times New Roman"/>
          <w:kern w:val="0"/>
          <w:vertAlign w:val="superscript"/>
          <w:rtl/>
          <w:lang w:bidi="ar-JO"/>
          <w14:ligatures w14:val="none"/>
        </w:rPr>
        <w:footnoteReference w:customMarkFollows="1" w:id="122"/>
        <w:t>7</w:t>
      </w:r>
    </w:p>
    <w:p w14:paraId="65CE3472"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Cs w:val="26"/>
          <w:rtl/>
          <w:lang w:bidi="ar-JO"/>
          <w14:ligatures w14:val="none"/>
        </w:rPr>
      </w:pPr>
    </w:p>
    <w:p w14:paraId="32BEF2CD"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ب.</w:t>
      </w:r>
      <w:r w:rsidRPr="00141112">
        <w:rPr>
          <w:rFonts w:eastAsia="Times New Roman"/>
          <w:bCs/>
          <w:kern w:val="0"/>
          <w:rtl/>
          <w14:ligatures w14:val="none"/>
        </w:rPr>
        <w:tab/>
        <w:t>لماذا هذا التحدّي لحقيقة المصدر الموسوي</w:t>
      </w:r>
    </w:p>
    <w:p w14:paraId="62755FD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من الواضح أن هؤلاء الباحثين الانتقاديين قطعوا شوطاً بعيداً في اتّباع هذه النظرية.  غير أن هنالك تفسيراً معقولاً لذلك.  فقد ظهر ولهاوسن ومن هم على شاكلته في "الفترة العلمية" التي نُبذت أثناءها فكرة ما هو خارق لمصلحة التفسيرات العلمية.  وهكذا تم استبعاد القول بالمصادر النبوية والخارقة، وبُذلت محاولات لشرح عملية تطور ديانة إسرائيل.</w:t>
      </w:r>
    </w:p>
    <w:p w14:paraId="4BEA8BE1"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005093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يرى هؤلاء الباحثون النقديون ضرورة إرجاع سفر التثنية إلى تاريخ متأخر بسبب كثير من الملاحظات التي يتضمنها.  فمثلاً، هنالك الذهاب إلى السبي، أولاً للمملكة الشمالية في عام 722ق م، ثم للمملكة الجنوبية بين 605-586ق م.  وهذا السبي مُنبأ عنه في تثنية 29: 28.  فلا يمكن أن يقبل الباحثون النقديون أن سفراً كُتب في القرن الثالث عشر-الخامس عشر ق م أن يتنبّأ بدقّة عن أحداث القرنين الثامن والسابع ق م.  وبعبارة أخرى فإن لديهم تحاملاً على ما هو خارق.  فلا بد لكاتب سفر التثنية، أيّاً كان، أن يكون ملمّاً بأحداث القرنين الثامن والسابع قبل الميلاد.</w:t>
      </w:r>
    </w:p>
    <w:p w14:paraId="5C401C1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22834BC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ونجد في جيرهارد فون راد، الباحث النقدي الألماني، مثلاً على هذا الأمر عينه.  كتب يقول:</w:t>
      </w:r>
    </w:p>
    <w:p w14:paraId="21FF887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141112">
        <w:rPr>
          <w:rFonts w:eastAsia="Times New Roman"/>
          <w:kern w:val="0"/>
          <w:rtl/>
          <w:lang w:bidi="ar-JO"/>
          <w14:ligatures w14:val="none"/>
        </w:rPr>
        <w:t xml:space="preserve">إن العظات المتضمنة في سفر التثنية موجَّهة إلى إسرائيل على شكل كلمات نطق بها موسى الذي اقترب الآن من الموت، لدى وصولهم إلى أرض موآب بعد أسفارهم وتيهانهم.  وهذه الفكرة الخرافية موجودة في كل سفر التثنية.  </w:t>
      </w:r>
      <w:r w:rsidRPr="00141112">
        <w:rPr>
          <w:rFonts w:eastAsia="Times New Roman"/>
          <w:b/>
          <w:bCs/>
          <w:kern w:val="0"/>
          <w:rtl/>
          <w:lang w:bidi="ar-JO"/>
          <w14:ligatures w14:val="none"/>
        </w:rPr>
        <w:t>لكنها في حقيقة الأمر خرافة</w:t>
      </w:r>
      <w:r w:rsidRPr="00141112">
        <w:rPr>
          <w:rFonts w:eastAsia="Times New Roman"/>
          <w:kern w:val="0"/>
          <w:rtl/>
          <w:lang w:bidi="ar-JO"/>
          <w14:ligatures w14:val="none"/>
        </w:rPr>
        <w:t>، فهذه العظات موجّهة إلى بني إسرائيل في الفترة الأخيرة من الحكم الملكي.</w:t>
      </w:r>
      <w:r w:rsidRPr="00141112">
        <w:rPr>
          <w:rFonts w:eastAsia="Times New Roman"/>
          <w:kern w:val="0"/>
          <w:vertAlign w:val="superscript"/>
          <w:rtl/>
          <w:lang w:bidi="ar-JO"/>
          <w14:ligatures w14:val="none"/>
        </w:rPr>
        <w:footnoteReference w:customMarkFollows="1" w:id="123"/>
        <w:t>8</w:t>
      </w:r>
    </w:p>
    <w:p w14:paraId="6323B970"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C8DE6F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14:ligatures w14:val="none"/>
        </w:rPr>
      </w:pPr>
      <w:r w:rsidRPr="00141112">
        <w:rPr>
          <w:rFonts w:eastAsia="Times New Roman"/>
          <w:kern w:val="0"/>
          <w:rtl/>
          <w:lang w:bidi="ar-JO"/>
          <w14:ligatures w14:val="none"/>
        </w:rPr>
        <w:t>ثم يحدد مواضع معينة في سفر التثنية تتضمن تطورات لاحقة في تاريخ إسرائيل وتتطلب حسب رأيه تاريخاً لاحقاً لكتابة السفر:</w:t>
      </w:r>
    </w:p>
    <w:p w14:paraId="1AE24D14"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141112">
        <w:rPr>
          <w:rFonts w:eastAsia="Times New Roman"/>
          <w:kern w:val="0"/>
          <w:rtl/>
          <w:lang w:bidi="ar-JO"/>
          <w14:ligatures w14:val="none"/>
        </w:rPr>
        <w:t>يجب أن نضع في اعتبارنا ما يقال عن إمكانية وقوع مدن بأكملها في حال الارتداد (13: 13 فصاعداً)، وظهور أنبياء كذبة، والحديث عن الاقتصاد الذي حتّم إعادة تفسير القوانين القديمة المتعلقة بسنة الإبراء (15: 10 فصاعداً)، والاختبارات المؤسفة التي تشكّل أساس الشريعة في ما يتعلق بالملك وأمور أخرى كثيرة.</w:t>
      </w:r>
      <w:r w:rsidRPr="00141112">
        <w:rPr>
          <w:rFonts w:eastAsia="Times New Roman"/>
          <w:kern w:val="0"/>
          <w:vertAlign w:val="superscript"/>
          <w:rtl/>
          <w:lang w:bidi="ar-JO"/>
          <w14:ligatures w14:val="none"/>
        </w:rPr>
        <w:footnoteReference w:customMarkFollows="1" w:id="124"/>
        <w:t>9</w:t>
      </w:r>
    </w:p>
    <w:p w14:paraId="0E053775"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792D3807" w14:textId="2B28A468"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يدّعي جيرهارد فون راد أن السفر يتّسم بروح حربية واضحة ينسبها إلى فرقة من اللاويين (ص 24).  وهو يخلُص إلى أن فرقة من اللاويين تمثّل هذه الروح من التقوى المتعطّشة للدماء، كتبت المضمون الأساسي لسفر التثنية أثناء حكم الملك يوشيا. (قبل عام 622ق م) من أجل إيقاظ ديانة يهوه القديمة التي استسلمت أمام الديانة الكنعانية.  وهو يذهب إلى حد القول إن سفر التثنية وُلد في أحد مقادس المملكة الشمالية لإسرائيل (ربما شكيم أو بيت إيل، ص 26).</w:t>
      </w:r>
    </w:p>
    <w:p w14:paraId="56CB4B0B"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00AD16B" w14:textId="77777777" w:rsidR="00070B6E" w:rsidRPr="00141112" w:rsidRDefault="00070B6E" w:rsidP="00C7130A">
      <w:pPr>
        <w:tabs>
          <w:tab w:val="left" w:pos="454"/>
        </w:tabs>
        <w:spacing w:after="60"/>
        <w:ind w:left="550" w:hanging="550"/>
        <w:jc w:val="both"/>
        <w:rPr>
          <w:rFonts w:eastAsia="Times New Roman"/>
          <w:bCs/>
          <w:kern w:val="0"/>
          <w:rtl/>
          <w:lang w:bidi="ar-KW"/>
          <w14:ligatures w14:val="none"/>
        </w:rPr>
      </w:pPr>
      <w:r w:rsidRPr="00141112">
        <w:rPr>
          <w:rFonts w:eastAsia="Times New Roman"/>
          <w:bCs/>
          <w:kern w:val="0"/>
          <w:rtl/>
          <w14:ligatures w14:val="none"/>
        </w:rPr>
        <w:lastRenderedPageBreak/>
        <w:t>جـ.</w:t>
      </w:r>
      <w:r w:rsidRPr="00141112">
        <w:rPr>
          <w:rFonts w:eastAsia="Times New Roman"/>
          <w:bCs/>
          <w:kern w:val="0"/>
          <w:rtl/>
          <w14:ligatures w14:val="none"/>
        </w:rPr>
        <w:tab/>
        <w:t xml:space="preserve">حجج الباحثين النقديين </w:t>
      </w:r>
    </w:p>
    <w:p w14:paraId="4A10C957"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1.</w:t>
      </w:r>
      <w:r w:rsidRPr="00141112">
        <w:rPr>
          <w:rFonts w:eastAsia="Times New Roman"/>
          <w:kern w:val="0"/>
          <w:rtl/>
          <w:lang w:bidi="ar-JO"/>
          <w14:ligatures w14:val="none"/>
        </w:rPr>
        <w:tab/>
        <w:t xml:space="preserve">مركزية العبادة </w:t>
      </w:r>
    </w:p>
    <w:p w14:paraId="0108F5C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 xml:space="preserve">قال ولهاوسن بناءً على تثنية 12: 5، 11، 14، 18، 21، 26 إن كاتب سفر التثنية كان يهدف إلى ترسيخ مركزية العبادة في أورشليم.  وهو يدّعي من هذا المنطلق أن مثل هذا الموقف ملائم جدّاً لحركة إصلاحية في عهد يوشيّا. </w:t>
      </w:r>
    </w:p>
    <w:p w14:paraId="4FC9D811" w14:textId="5137E1FA"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i/>
          <w:iCs/>
          <w:kern w:val="0"/>
          <w:rtl/>
          <w:lang w:bidi="ar-JO"/>
          <w14:ligatures w14:val="none"/>
        </w:rPr>
        <w:t>رد</w:t>
      </w:r>
      <w:r w:rsidRPr="00141112">
        <w:rPr>
          <w:rFonts w:eastAsia="Times New Roman"/>
          <w:kern w:val="0"/>
          <w:rtl/>
          <w:lang w:bidi="ar-JO"/>
          <w14:ligatures w14:val="none"/>
        </w:rPr>
        <w:t>: لا يوجد أي شيء في سفر التثنية يفيد بأن المقدس المركزي المشروع الوحيد يجب أن يقع في أورشليم.  وفضلاً عن ذلك، فإن الدعوة إلى بناء مذبح على جبل عيبال في تثنية 27: 1-8 تنسف مثل هذا النهج التفكيري نسفاً كلّياً. ولا يقبل الباحثون النقديون الأكثر حداثة من ولهاوسن وجهة نظره بالنسبة لأورشليم.</w:t>
      </w:r>
    </w:p>
    <w:p w14:paraId="0D72D8E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9F8A563"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2.</w:t>
      </w:r>
      <w:r w:rsidRPr="00141112">
        <w:rPr>
          <w:rFonts w:eastAsia="Times New Roman"/>
          <w:kern w:val="0"/>
          <w:rtl/>
          <w:lang w:bidi="ar-JO"/>
          <w14:ligatures w14:val="none"/>
        </w:rPr>
        <w:tab/>
        <w:t xml:space="preserve">التحريمات الكنعانية </w:t>
      </w:r>
    </w:p>
    <w:p w14:paraId="22ED7DA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قال بعضهم إن التحريمات الموجودة في تثنية (16: 21 فصاعداً، و12: 29 فصاعداً) في ما يتعلق بالممارسات الدينية الكنعانية ستكون منطقية إذا عُزيت لكاتب في زمن يوشيا يسعى إلى تخليص الأمة من مثل هذه التأثيرات.</w:t>
      </w:r>
    </w:p>
    <w:p w14:paraId="0BFAAD2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i/>
          <w:iCs/>
          <w:kern w:val="0"/>
          <w:rtl/>
          <w:lang w:bidi="ar-JO"/>
          <w14:ligatures w14:val="none"/>
        </w:rPr>
        <w:t>رد</w:t>
      </w:r>
      <w:r w:rsidRPr="00141112">
        <w:rPr>
          <w:rFonts w:eastAsia="Times New Roman"/>
          <w:kern w:val="0"/>
          <w:rtl/>
          <w:lang w:bidi="ar-JO"/>
          <w14:ligatures w14:val="none"/>
        </w:rPr>
        <w:t>: لا يثبت هذا الكلام شيئاً.  فمثل هذه التحريمات مناسبة لأمة على وشك الدخول إلى الأرض في زمن موسى حيث يسكن الكنعانيون.  فكان موسى مهتمّاً جدّاً بأن لا يكون هنالك أي امتزاج بالممارسات الكنعانية.</w:t>
      </w:r>
    </w:p>
    <w:p w14:paraId="2AD1E5E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16D6086"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3.</w:t>
      </w:r>
      <w:r w:rsidRPr="00141112">
        <w:rPr>
          <w:rFonts w:eastAsia="Times New Roman"/>
          <w:kern w:val="0"/>
          <w:rtl/>
          <w:lang w:bidi="ar-JO"/>
          <w14:ligatures w14:val="none"/>
        </w:rPr>
        <w:tab/>
        <w:t>إن السفر الذي وجده حلقيّا هو سفر التثنية</w:t>
      </w:r>
    </w:p>
    <w:p w14:paraId="6C1CE8D1"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إن الحجة الأساسية للباحثين النقديين هي أن "سفر الشريعة" الذي وجده الكاهن حلقيا في زمن يوشيّا (622ق م) هو سفر التثنية (2 ملوك 22: 8؛ 2 أخبار 34: 14).  وهم يفترضون أنه لا بدّ أن يكون قد كُتب قبل وقت قصير من اكتشافه.</w:t>
      </w:r>
    </w:p>
    <w:p w14:paraId="2C1C889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DB113FF"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i/>
          <w:iCs/>
          <w:kern w:val="0"/>
          <w:rtl/>
          <w:lang w:bidi="ar-JO"/>
          <w14:ligatures w14:val="none"/>
        </w:rPr>
        <w:t>رد</w:t>
      </w:r>
      <w:r w:rsidRPr="00141112">
        <w:rPr>
          <w:rFonts w:eastAsia="Times New Roman"/>
          <w:kern w:val="0"/>
          <w:rtl/>
          <w:lang w:bidi="ar-JO"/>
          <w14:ligatures w14:val="none"/>
        </w:rPr>
        <w:t>: إنه لأمر مستحيل أن نقرر من النص طول "سفر التوراة" أو مضمونه.  وفضلاً عن هذا، فإنه يمكن أن يكون قد عُثر على سفر التثنية في زمن يوشيّا مع كتابته قبل ذلك بقرون.  ربما ضاع هذا السفر أو أُهمل أثناء سنوات حكم منسّى وآمون عندما سادت عبادة الأصنام.</w:t>
      </w:r>
    </w:p>
    <w:p w14:paraId="6D59033D"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4.</w:t>
      </w:r>
      <w:r w:rsidRPr="00141112">
        <w:rPr>
          <w:rFonts w:eastAsia="Times New Roman"/>
          <w:kern w:val="0"/>
          <w:rtl/>
          <w:lang w:bidi="ar-JO"/>
          <w14:ligatures w14:val="none"/>
        </w:rPr>
        <w:tab/>
        <w:t>العناصر التنبّؤية</w:t>
      </w:r>
    </w:p>
    <w:p w14:paraId="0ADE20B1"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بما أن الباحثين النقديين ينكرون العناصر النبوية في السفر كجزء من رفضهم للوحي الإلهي، فإن من الطبيعي أن يميلوا إلى إرجاع السفر إلى زمن متأخر يكون سهلاً تفسير هذه العناصر فيه (انظر التعليق السابق تحت عنوان "تحدّي المصدر الموسوي").</w:t>
      </w:r>
    </w:p>
    <w:p w14:paraId="0698DE93"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319F70B0"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د.</w:t>
      </w:r>
      <w:r w:rsidRPr="00141112">
        <w:rPr>
          <w:rFonts w:eastAsia="Times New Roman"/>
          <w:bCs/>
          <w:kern w:val="0"/>
          <w:rtl/>
          <w14:ligatures w14:val="none"/>
        </w:rPr>
        <w:tab/>
        <w:t>دفاع عن المصدر الموسوي (كتابة موسى لسفر التثنية)</w:t>
      </w:r>
    </w:p>
    <w:p w14:paraId="4CB2EE1F"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1.</w:t>
      </w:r>
      <w:r w:rsidRPr="00141112">
        <w:rPr>
          <w:rFonts w:eastAsia="Times New Roman"/>
          <w:kern w:val="0"/>
          <w:rtl/>
          <w:lang w:bidi="ar-JO"/>
          <w14:ligatures w14:val="none"/>
        </w:rPr>
        <w:tab/>
        <w:t>ما يقوله النص نفسه</w:t>
      </w:r>
    </w:p>
    <w:p w14:paraId="07660178"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تقول تثنية 31: 9، "وكتب موسى هذه التوراة وسلَّمها للكهنة..." (انظر 31: 24؛ 1: 5).</w:t>
      </w:r>
    </w:p>
    <w:p w14:paraId="6F5302C7"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2.</w:t>
      </w:r>
      <w:r w:rsidRPr="00141112">
        <w:rPr>
          <w:rFonts w:eastAsia="Times New Roman"/>
          <w:kern w:val="0"/>
          <w:rtl/>
          <w:lang w:bidi="ar-JO"/>
          <w14:ligatures w14:val="none"/>
        </w:rPr>
        <w:tab/>
        <w:t>اقتباسات العهد الجديد</w:t>
      </w:r>
    </w:p>
    <w:p w14:paraId="5E9E703F"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تقتبس أعمال 3: 22 تثنية 18: 15 وتنسبها إلى موسى (انظر 1كورنثوس 9: 9)</w:t>
      </w:r>
    </w:p>
    <w:p w14:paraId="7F4506B6"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3.</w:t>
      </w:r>
      <w:r w:rsidRPr="00141112">
        <w:rPr>
          <w:rFonts w:eastAsia="Times New Roman"/>
          <w:kern w:val="0"/>
          <w:rtl/>
          <w:lang w:bidi="ar-JO"/>
          <w14:ligatures w14:val="none"/>
        </w:rPr>
        <w:tab/>
        <w:t xml:space="preserve">أكَّد يسوع كتابة موسى للسفر </w:t>
      </w:r>
    </w:p>
    <w:p w14:paraId="161F6E8E"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في متّى 19: 8 نسب يسوع في حديثه حول الطلاق إلى موسى كتابة شريعة الطلاق في تثنية 24.</w:t>
      </w:r>
    </w:p>
    <w:p w14:paraId="4EE0E991"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4.</w:t>
      </w:r>
      <w:r w:rsidRPr="00141112">
        <w:rPr>
          <w:rFonts w:eastAsia="Times New Roman"/>
          <w:kern w:val="0"/>
          <w:rtl/>
          <w:lang w:bidi="ar-JO"/>
          <w14:ligatures w14:val="none"/>
        </w:rPr>
        <w:tab/>
        <w:t>صيغة المعاهدات السائدة في الألفية الثانية قبل الميلاد</w:t>
      </w:r>
    </w:p>
    <w:p w14:paraId="256D516B"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قدّم ميرديث كلاين حجّة ممتازة بأن سفر التثنية جاء في صيغة المعاهدات التي كانت سائدة في الشرق الأدنى بين الدولة المتسيدة المنتصرة والدولة الأضعف التابعة.  وفضلاً عن ذلك بيّن كلاين أن هنالك فروقات مميزة بين أشكال المعاهدات في الألف الأول قبل الميلاد، والألف الثاني قبل الميلاد، وهو أمر له أهميته ودلالته في ضوء أن سفر التثنية جاء حسب صيغة المعاهدات شبيهاً بمعاهدات الألف الثاني ق م.</w:t>
      </w:r>
      <w:r w:rsidRPr="00141112">
        <w:rPr>
          <w:rFonts w:eastAsia="Times New Roman"/>
          <w:kern w:val="0"/>
          <w:vertAlign w:val="superscript"/>
          <w:rtl/>
          <w:lang w:bidi="ar-JO"/>
          <w14:ligatures w14:val="none"/>
        </w:rPr>
        <w:footnoteReference w:customMarkFollows="1" w:id="125"/>
        <w:t>10</w:t>
      </w:r>
    </w:p>
    <w:p w14:paraId="6DD9455E"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43471CA3"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هـ.</w:t>
      </w:r>
      <w:r w:rsidRPr="00141112">
        <w:rPr>
          <w:rFonts w:eastAsia="Times New Roman"/>
          <w:bCs/>
          <w:kern w:val="0"/>
          <w:rtl/>
          <w14:ligatures w14:val="none"/>
        </w:rPr>
        <w:tab/>
        <w:t xml:space="preserve">سجل موت موسى </w:t>
      </w:r>
    </w:p>
    <w:p w14:paraId="1A226BD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من الواضح أن موسى لم يكتب الأصحاح الأخير الذي يذكر تفاصيل موته وتولّي يشوع للقيادة.   ويؤكد التقليد اليهودي أن يشوع أضاف هذا القسم إجلالاً وتقديراً لرجل عظيم. </w:t>
      </w:r>
    </w:p>
    <w:p w14:paraId="3590BE2D"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szCs w:val="26"/>
          <w:rtl/>
          <w:lang w:bidi="ar-JO"/>
          <w14:ligatures w14:val="none"/>
        </w:rPr>
      </w:pPr>
    </w:p>
    <w:p w14:paraId="76E9A9F2"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szCs w:val="26"/>
          <w:rtl/>
          <w:lang w:bidi="ar-JO"/>
          <w14:ligatures w14:val="none"/>
        </w:rPr>
      </w:pPr>
    </w:p>
    <w:p w14:paraId="7D29ACC9"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szCs w:val="26"/>
          <w:rtl/>
          <w:lang w:bidi="ar-JO"/>
          <w14:ligatures w14:val="none"/>
        </w:rPr>
      </w:pPr>
    </w:p>
    <w:p w14:paraId="42D68F3C"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و.</w:t>
      </w:r>
      <w:r w:rsidRPr="00141112">
        <w:rPr>
          <w:rFonts w:eastAsia="Times New Roman"/>
          <w:bCs/>
          <w:kern w:val="0"/>
          <w:rtl/>
          <w14:ligatures w14:val="none"/>
        </w:rPr>
        <w:tab/>
        <w:t xml:space="preserve">خاتمة </w:t>
      </w:r>
    </w:p>
    <w:p w14:paraId="3C41C026" w14:textId="5A9D0ECE"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كتب موسى سفر التثنية، حسب شهادة السفر نفسه، في نهاية حياته قبل عبور بني إسرائيل نهر الأردن.   وقد حدث هذا بعد انقراض جيل الخروج، حيث إن (تثنية 1 : 3) تذكر أن موسى شرح الشريعة لبني إسرائيل في السنة الأربعين، في اليوم الأول من الشهر الحادي عشر، ويعتمد تحديد السنة الأربعين على التاريخ المقبول </w:t>
      </w:r>
      <w:r w:rsidRPr="00141112">
        <w:rPr>
          <w:rFonts w:eastAsia="Times New Roman"/>
          <w:kern w:val="0"/>
          <w:rtl/>
          <w:lang w:bidi="ar-JO"/>
          <w14:ligatures w14:val="none"/>
        </w:rPr>
        <w:lastRenderedPageBreak/>
        <w:t xml:space="preserve">للخروج من مصر.  فإذا قُبل عام 1446 ق م كتاريخ للخروج (انظر1 ملوك 6 : 1)، يكون موسى قد كتب سفر التثنية في سهول موآب في الأشهر الأولى من عام 1406 ق م.  </w:t>
      </w:r>
    </w:p>
    <w:p w14:paraId="417532FE" w14:textId="77777777" w:rsidR="00070B6E" w:rsidRPr="00C7130A" w:rsidRDefault="00070B6E" w:rsidP="00C7130A">
      <w:pPr>
        <w:tabs>
          <w:tab w:val="num" w:pos="638"/>
        </w:tabs>
        <w:ind w:left="360" w:hanging="1162"/>
        <w:jc w:val="lowKashida"/>
        <w:rPr>
          <w:rFonts w:eastAsia="Times New Roman"/>
          <w:kern w:val="0"/>
          <w:sz w:val="30"/>
          <w:szCs w:val="30"/>
          <w:rtl/>
          <w14:ligatures w14:val="none"/>
        </w:rPr>
      </w:pPr>
      <w:r w:rsidRPr="00C7130A">
        <w:rPr>
          <w:rFonts w:eastAsia="Times New Roman"/>
          <w:kern w:val="0"/>
          <w:sz w:val="30"/>
          <w:szCs w:val="30"/>
          <w:rtl/>
          <w14:ligatures w14:val="none"/>
        </w:rPr>
        <w:t xml:space="preserve"> </w:t>
      </w:r>
    </w:p>
    <w:p w14:paraId="48321529" w14:textId="77777777" w:rsidR="00070B6E" w:rsidRPr="00141112" w:rsidRDefault="00070B6E" w:rsidP="000558B7">
      <w:pPr>
        <w:pStyle w:val="Heading3"/>
        <w:rPr>
          <w:rtl/>
          <w:lang w:bidi="ar-JO"/>
        </w:rPr>
      </w:pPr>
      <w:bookmarkStart w:id="299" w:name="_Toc193031068"/>
      <w:r w:rsidRPr="00141112">
        <w:rPr>
          <w:rtl/>
        </w:rPr>
        <w:t>4.</w:t>
      </w:r>
      <w:r w:rsidRPr="00141112">
        <w:rPr>
          <w:rtl/>
        </w:rPr>
        <w:tab/>
      </w:r>
      <w:r w:rsidRPr="00141112">
        <w:rPr>
          <w:rtl/>
          <w:lang w:bidi="ar-JO"/>
        </w:rPr>
        <w:t>الخلفية التاريخية لسفر التثنية</w:t>
      </w:r>
      <w:bookmarkEnd w:id="299"/>
      <w:r w:rsidRPr="00141112">
        <w:rPr>
          <w:rtl/>
          <w:lang w:bidi="ar-JO"/>
        </w:rPr>
        <w:t xml:space="preserve"> </w:t>
      </w:r>
    </w:p>
    <w:p w14:paraId="4462AC66"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أ.</w:t>
      </w:r>
      <w:r w:rsidRPr="00141112">
        <w:rPr>
          <w:rFonts w:eastAsia="Times New Roman"/>
          <w:bCs/>
          <w:kern w:val="0"/>
          <w:rtl/>
          <w14:ligatures w14:val="none"/>
        </w:rPr>
        <w:tab/>
        <w:t xml:space="preserve">مقدمة </w:t>
      </w:r>
    </w:p>
    <w:p w14:paraId="187C8B1E"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تعتمد أية محاولة لدراسة الخلفية التاريخية لسفر التثنية على تحديد تاريخ دقيق لكتابة السفر.  تقول تثنية 1 : 3 إن موسى خاطب الأمة بهذه الكلمات في السنة الأربعين، في اليوم الأول من الشهر الحادي عشر.  غير أن هوية (تحديد) السنة الأربعين هذه تعتمد على التاريخ الذي يقبله المرء للخروج من مصر، وهي مسألة يدور حولها خلاف.  يعطي الباحثون النقديون (وحتى بعض الباحثين الإنجيليين) " تاريخاً متأخراً" للخروج، أي في القرن الثالث عشر ق م.  ويقبل حتى الباحث المحافظ كينيث أ. كتشن تاريخاً متأخراً للخروج. </w:t>
      </w:r>
      <w:r w:rsidRPr="00141112">
        <w:rPr>
          <w:rFonts w:eastAsia="Times New Roman"/>
          <w:kern w:val="0"/>
          <w:vertAlign w:val="superscript"/>
          <w:rtl/>
          <w:lang w:bidi="ar-JO"/>
          <w14:ligatures w14:val="none"/>
        </w:rPr>
        <w:footnoteReference w:customMarkFollows="1" w:id="126"/>
        <w:t>11</w:t>
      </w:r>
      <w:r w:rsidRPr="00141112">
        <w:rPr>
          <w:rFonts w:eastAsia="Times New Roman"/>
          <w:kern w:val="0"/>
          <w:rtl/>
          <w:lang w:bidi="ar-JO"/>
          <w14:ligatures w14:val="none"/>
        </w:rPr>
        <w:t xml:space="preserve">  ويميل باحثون إنجيليون آخرون، من ضمنهم أنا، إلى القول "بتاريخ مبكِّر" للخروج، حوالي 1446 ق م (وهو أمر يتّفق مع 1 ملوك 6 : 1).  وبناء على هذا " التاريخ المبكر" للخروج، يكون سفر التثنية قد كُتب حوالي كانون 2-شباط من عام 1406 ق م.</w:t>
      </w:r>
    </w:p>
    <w:p w14:paraId="7CF1AB00"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5E3A2C8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ويمكن تقرير الخلفية الجغرافية من تثنية 1 : 5.  فقد قدّم موسى الرسالة عندما كان بنو إسرائيل "في عبر الأردن... في أرض موآب" (أنظر 4 : 46). </w:t>
      </w:r>
    </w:p>
    <w:p w14:paraId="78CB889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 </w:t>
      </w:r>
    </w:p>
    <w:p w14:paraId="3344F11D"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ب.</w:t>
      </w:r>
      <w:r w:rsidRPr="00141112">
        <w:rPr>
          <w:rFonts w:eastAsia="Times New Roman"/>
          <w:bCs/>
          <w:kern w:val="0"/>
          <w:rtl/>
          <w14:ligatures w14:val="none"/>
        </w:rPr>
        <w:tab/>
        <w:t xml:space="preserve">المشهد الدولي </w:t>
      </w:r>
    </w:p>
    <w:p w14:paraId="76E2A59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بقيت منطقة سورية –كنعان الواسعة منطقة تبادل إطلاق نار أثناء الفترة الممتدة ما بين القرن السادس عشر إلى الثالث عشر قبل الميلاد.  وقد تنافست ثلاث إمبراطوريات على السيطرة على هذه المنطقة: مصر وميتاني والإمبراطورية الحثّية.  وكانت كلا المملكتين الميتانيّة والحثّية واقعتين إلى الشمال من سورية، بينما كانت مصر واقعة إلى الجنوب.  وكانت سورية – كنعان تحت تأثير المملكة الميتانية حتى حوالي منتصف القرن السادس عشر ق م.  ومن تلك النقطة فصاعداً، وقعت الهيمنة المصرية على الرغم من أن الإمبراطوريتين بقيتا متنافستين حتى أوائل القرن الرابع عشر ق م.  وانتقل الصراع إلى توتر بين مصر والحثّيين. </w:t>
      </w:r>
    </w:p>
    <w:p w14:paraId="6FF7C408"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14:ligatures w14:val="none"/>
        </w:rPr>
      </w:pPr>
      <w:r w:rsidRPr="00141112">
        <w:rPr>
          <w:rFonts w:eastAsia="Times New Roman"/>
          <w:kern w:val="0"/>
          <w:rtl/>
          <w:lang w:bidi="ar-JO"/>
          <w14:ligatures w14:val="none"/>
        </w:rPr>
        <w:t xml:space="preserve">فإذا قبلنا عام 1406 ق م كتاريخ لكتابة سفر التثنية (وبداية الغزو)، فإن معنى هذا أن كلاًّ من كنعان وسورية في هذه الفترة كانتا تحت الهيمنة المصرية.  </w:t>
      </w:r>
    </w:p>
    <w:p w14:paraId="1BB7F28B" w14:textId="4489A24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14:ligatures w14:val="none"/>
        </w:rPr>
      </w:pPr>
    </w:p>
    <w:p w14:paraId="7AE078C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كل من الخروج وغزو كنعان قد حدثا خلال فترة فراعنة مصر من الأسرة الثامنة عشرة. ومع ذلك، فإن تحديد هوية الفراعنة لكل من هذه الأحداث يعتمد على التسلسل الزمني المصري الذي يختار المرء اتباعه (يناقش العلماء بين "التسلسل الزمني المنخفض" و"التسلسل الزمني العالي" لفراعنة الأسرة الثامنة عشرة). أما الفراعنة والتواريخ حسب التسلسل الزمني المنخفض فهي تقريبًا كما يلي:</w:t>
      </w:r>
    </w:p>
    <w:p w14:paraId="1086C35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أحمس الأول </w:t>
      </w:r>
      <w:r w:rsidRPr="00141112">
        <w:rPr>
          <w:rFonts w:eastAsia="Times New Roman"/>
          <w:kern w:val="0"/>
          <w:rtl/>
          <w:lang w:bidi="ar-JO"/>
          <w14:ligatures w14:val="none"/>
        </w:rPr>
        <w:tab/>
      </w:r>
      <w:r w:rsidRPr="00141112">
        <w:rPr>
          <w:rFonts w:eastAsia="Times New Roman"/>
          <w:kern w:val="0"/>
          <w:lang w:bidi="ar-JO"/>
          <w14:ligatures w14:val="none"/>
        </w:rPr>
        <w:t xml:space="preserve">     </w:t>
      </w:r>
      <w:r w:rsidRPr="00141112">
        <w:rPr>
          <w:rFonts w:eastAsia="Times New Roman"/>
          <w:kern w:val="0"/>
          <w:lang w:bidi="ar-JO"/>
          <w14:ligatures w14:val="none"/>
        </w:rPr>
        <w:tab/>
      </w:r>
      <w:r w:rsidRPr="00141112">
        <w:rPr>
          <w:rFonts w:eastAsia="Times New Roman"/>
          <w:kern w:val="0"/>
          <w:rtl/>
          <w:lang w:bidi="ar-JO"/>
          <w14:ligatures w14:val="none"/>
        </w:rPr>
        <w:tab/>
        <w:t>1549</w:t>
      </w:r>
      <w:r w:rsidRPr="00141112">
        <w:rPr>
          <w:rFonts w:eastAsia="Times New Roman"/>
          <w:kern w:val="0"/>
          <w:lang w:bidi="ar-JO"/>
          <w14:ligatures w14:val="none"/>
        </w:rPr>
        <w:tab/>
      </w:r>
      <w:r w:rsidRPr="00141112">
        <w:rPr>
          <w:rFonts w:eastAsia="Times New Roman"/>
          <w:kern w:val="0"/>
          <w:rtl/>
          <w:lang w:bidi="ar-JO"/>
          <w14:ligatures w14:val="none"/>
        </w:rPr>
        <w:t>-1524 ق.م</w:t>
      </w:r>
    </w:p>
    <w:p w14:paraId="1D018281"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أمنحتب الأول </w:t>
      </w:r>
      <w:r w:rsidRPr="00141112">
        <w:rPr>
          <w:rFonts w:eastAsia="Times New Roman"/>
          <w:kern w:val="0"/>
          <w:rtl/>
          <w:lang w:bidi="ar-JO"/>
          <w14:ligatures w14:val="none"/>
        </w:rPr>
        <w:tab/>
      </w:r>
      <w:r w:rsidRPr="00141112">
        <w:rPr>
          <w:rFonts w:eastAsia="Times New Roman"/>
          <w:kern w:val="0"/>
          <w:rtl/>
          <w:lang w:bidi="ar-JO"/>
          <w14:ligatures w14:val="none"/>
        </w:rPr>
        <w:tab/>
        <w:t>1524-1503 ق</w:t>
      </w:r>
    </w:p>
    <w:p w14:paraId="5DF85FC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تحتمس الأول </w:t>
      </w:r>
      <w:r w:rsidRPr="00141112">
        <w:rPr>
          <w:rFonts w:eastAsia="Times New Roman"/>
          <w:kern w:val="0"/>
          <w:rtl/>
          <w:lang w:bidi="ar-JO"/>
          <w14:ligatures w14:val="none"/>
        </w:rPr>
        <w:tab/>
      </w:r>
      <w:r w:rsidRPr="00141112">
        <w:rPr>
          <w:rFonts w:eastAsia="Times New Roman"/>
          <w:kern w:val="0"/>
          <w:rtl/>
          <w:lang w:bidi="ar-JO"/>
          <w14:ligatures w14:val="none"/>
        </w:rPr>
        <w:tab/>
        <w:t>1503 – 1493 ق.م</w:t>
      </w:r>
    </w:p>
    <w:p w14:paraId="1C7F8274"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تحتمس الثاني</w:t>
      </w:r>
      <w:r w:rsidRPr="00141112">
        <w:rPr>
          <w:rFonts w:eastAsia="Times New Roman"/>
          <w:kern w:val="0"/>
          <w:rtl/>
          <w:lang w:bidi="ar-JO"/>
          <w14:ligatures w14:val="none"/>
        </w:rPr>
        <w:tab/>
      </w:r>
      <w:r w:rsidRPr="00141112">
        <w:rPr>
          <w:rFonts w:eastAsia="Times New Roman"/>
          <w:kern w:val="0"/>
          <w:rtl/>
          <w:lang w:bidi="ar-JO"/>
          <w14:ligatures w14:val="none"/>
        </w:rPr>
        <w:tab/>
        <w:t xml:space="preserve"> 1493-1479 ق.م</w:t>
      </w:r>
    </w:p>
    <w:p w14:paraId="62BC6D3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تحتمس الثالث</w:t>
      </w:r>
      <w:r w:rsidRPr="00141112">
        <w:rPr>
          <w:rFonts w:eastAsia="Times New Roman"/>
          <w:kern w:val="0"/>
          <w:rtl/>
          <w:lang w:bidi="ar-JO"/>
          <w14:ligatures w14:val="none"/>
        </w:rPr>
        <w:tab/>
      </w:r>
      <w:r w:rsidRPr="00141112">
        <w:rPr>
          <w:rFonts w:eastAsia="Times New Roman"/>
          <w:kern w:val="0"/>
          <w:rtl/>
          <w:lang w:bidi="ar-JO"/>
          <w14:ligatures w14:val="none"/>
        </w:rPr>
        <w:tab/>
        <w:t xml:space="preserve"> 1479-1424 ق.م. (مع حكم مشترك مع حتشبسوت، 1479-1458)</w:t>
      </w:r>
    </w:p>
    <w:p w14:paraId="71B69EF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أمنحتب الثاني </w:t>
      </w:r>
      <w:r w:rsidRPr="00141112">
        <w:rPr>
          <w:rFonts w:eastAsia="Times New Roman"/>
          <w:kern w:val="0"/>
          <w:rtl/>
          <w:lang w:bidi="ar-JO"/>
          <w14:ligatures w14:val="none"/>
        </w:rPr>
        <w:tab/>
      </w:r>
      <w:r w:rsidRPr="00141112">
        <w:rPr>
          <w:rFonts w:eastAsia="Times New Roman"/>
          <w:kern w:val="0"/>
          <w:rtl/>
          <w:lang w:bidi="ar-JO"/>
          <w14:ligatures w14:val="none"/>
        </w:rPr>
        <w:tab/>
        <w:t>1424-1398 ق.م. (بدأ الحكم المشترك مع تحتمس الثالث حوالي عام 1427)</w:t>
      </w:r>
    </w:p>
    <w:p w14:paraId="05FE18BF"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تحتمس الرابع </w:t>
      </w:r>
      <w:r w:rsidRPr="00141112">
        <w:rPr>
          <w:rFonts w:eastAsia="Times New Roman"/>
          <w:kern w:val="0"/>
          <w:rtl/>
          <w:lang w:bidi="ar-JO"/>
          <w14:ligatures w14:val="none"/>
        </w:rPr>
        <w:tab/>
      </w:r>
      <w:r w:rsidRPr="00141112">
        <w:rPr>
          <w:rFonts w:eastAsia="Times New Roman"/>
          <w:kern w:val="0"/>
          <w:rtl/>
          <w:lang w:bidi="ar-JO"/>
          <w14:ligatures w14:val="none"/>
        </w:rPr>
        <w:tab/>
        <w:t>1398-1388 ق.م</w:t>
      </w:r>
    </w:p>
    <w:p w14:paraId="0007F9C8"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أمنحتب الثالث </w:t>
      </w:r>
      <w:r w:rsidRPr="00141112">
        <w:rPr>
          <w:rFonts w:eastAsia="Times New Roman"/>
          <w:kern w:val="0"/>
          <w:rtl/>
          <w:lang w:bidi="ar-JO"/>
          <w14:ligatures w14:val="none"/>
        </w:rPr>
        <w:tab/>
      </w:r>
      <w:r w:rsidRPr="00141112">
        <w:rPr>
          <w:rFonts w:eastAsia="Times New Roman"/>
          <w:kern w:val="0"/>
          <w:rtl/>
          <w:lang w:bidi="ar-JO"/>
          <w14:ligatures w14:val="none"/>
        </w:rPr>
        <w:tab/>
        <w:t>1388-1351/50 ق.م</w:t>
      </w:r>
    </w:p>
    <w:p w14:paraId="4D062F71"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وبافتراض صحة هذه التواريخ، فإن "الملك الجديد الذي لم يعرف يوسف" (خروج 1: 8) سيكون أحمس الأول. وكان موسى (ولد 1526 ق.م.) قد نشأ في بلاط أمنحتب الأول، وتحتمس الأول، وجزئياً في عهد تحتمس الثاني. وكان الأخير، تحتمس الثاني، هو الفرعون الذي هرب منه موسى عام 1486 قبل الميلاد. إذاً، كان فرعون الخروج (1446 ق.م.) هو تحتمس الثالث، وكان فرعون وقت غزو كنعان (1406 ق.م.) هو أمنحتب الثاني.</w:t>
      </w:r>
    </w:p>
    <w:p w14:paraId="0156EE54"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14:ligatures w14:val="none"/>
        </w:rPr>
      </w:pPr>
      <w:r w:rsidRPr="00141112">
        <w:rPr>
          <w:rFonts w:eastAsia="Times New Roman"/>
          <w:kern w:val="0"/>
          <w:rtl/>
          <w:lang w:bidi="ar-JO"/>
          <w14:ligatures w14:val="none"/>
        </w:rPr>
        <w:t xml:space="preserve">وكانت منطقة كنعان مقسّمة إلى عدد من المدن – الولايات التي تدين بالولاء لمصر. وحكم كل واحدة منها ملك يتمتع بقدرة معيَّنة من الحرية ما دام يدرك أنه مسؤول أمام السلطة المصرية: </w:t>
      </w:r>
    </w:p>
    <w:p w14:paraId="7F01B952"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 xml:space="preserve">لم يتدخل المصريون في البنية الداخلية للمدن- الممالك الكنعانية الأخرى ما دامت تقبل السلطة المصرية، وتدفع الجزية، وتؤمّن الطرقات المارة عبر أراضيها، وتزوّد الجيش المصري بالمركبات والقوّات المساعدة والطعام واللوازم الأخرى. </w:t>
      </w:r>
      <w:r w:rsidRPr="00141112">
        <w:rPr>
          <w:rFonts w:eastAsia="Times New Roman"/>
          <w:kern w:val="0"/>
          <w:vertAlign w:val="superscript"/>
          <w:rtl/>
          <w:lang w:bidi="ar-JO"/>
          <w14:ligatures w14:val="none"/>
        </w:rPr>
        <w:footnoteReference w:customMarkFollows="1" w:id="127"/>
        <w:t>12</w:t>
      </w:r>
    </w:p>
    <w:p w14:paraId="002F707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 xml:space="preserve"> </w:t>
      </w:r>
    </w:p>
    <w:p w14:paraId="36FA0CA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lastRenderedPageBreak/>
        <w:t>تميز عهد تحتمس الثالث بعدد من الرحلات العسكرية باتجاه الشمال. وقد أدى ذلك إلى دخوله في صراع مع الإمبراطورية الميتانية شمال سوريا، وكلاهما تنافسا على السيطرة على سوريا. تضمنت هذه الحملات انتقالات عبر المناطق الساحلية في فلسطين. ومع ذلك، قام أمنحتب الثاني، ابن تحتمس، بحملات عسكرية قليلة جدًا، وشهد عهده وقف الأعمال العدائية بين مصر وميتاني. ومن المثير للاهتمام أن أمنحتب الثاني لم يكن الابن البكر لتحتمس الثالث. أمنحتب الثاني (ابن من ميريتر حتشبسوت غير الملكية) كان له أخ أكبر اسمه أمنمحات الذي كان الابن البكر لتحتمس الثالث من الملكة ساتيا. إلا أن الأمير أمنمحات مات قبل أن يصبح فرعوناً. ومن المحتمل جدًا أن يكون الابن البكر لفرعون الذي مات في وقت الخروج (خروج 29:12-32).</w:t>
      </w:r>
    </w:p>
    <w:p w14:paraId="31C4157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lang w:bidi="ar-JO"/>
          <w14:ligatures w14:val="none"/>
        </w:rPr>
      </w:pPr>
    </w:p>
    <w:p w14:paraId="4A788AA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ولد أمنحتب الثاني ونشأ في ممفيس (بالقرب من القاهرة الحديثة) بدلاً من طيبة (الأقصر)، العاصمة التقليدية. وقد شارك في الحكم مع والده، تحتمس الثالث، لمدة عامين وأربعة أشهر تقريبًا. وهذا من شأنه أن يؤرخ انضمامه إلى حوالي عام 1427 قبل الميلاد. على الرغم من أنه قام في وقت مبكر من حكمه بحملتين شمالًا إلى كنعان وسوريا، إلا أن حملته الأخيرة حدثت في عامه التاسع، والذي كان من الممكن أن يكون قبل دخول العبرانيين إلى كنعان. بعد ذلك، يبدو أنه عقد السلام (على الأقل بشكل غير رسمي) مع ميتاني، وتحول تركيزه أكثر إلى الشؤون الداخلية</w:t>
      </w:r>
    </w:p>
    <w:p w14:paraId="0D6C6F15"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13EE2B82"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بعد حكم أمنحتب الثاني انتقلت السياسة الخارجية لمصر من العدوان العسكري إلى علاقات سلمية نسبياً مع بقية العالم المعروف.</w:t>
      </w:r>
      <w:r w:rsidRPr="00141112">
        <w:rPr>
          <w:rFonts w:eastAsia="Times New Roman"/>
          <w:kern w:val="0"/>
          <w:vertAlign w:val="superscript"/>
          <w:rtl/>
          <w:lang w:bidi="ar-JO"/>
          <w14:ligatures w14:val="none"/>
        </w:rPr>
        <w:footnoteReference w:id="128"/>
      </w:r>
      <w:r w:rsidRPr="00141112">
        <w:rPr>
          <w:rFonts w:eastAsia="Times New Roman"/>
          <w:kern w:val="0"/>
          <w:rtl/>
          <w:lang w:bidi="ar-JO"/>
          <w14:ligatures w14:val="none"/>
        </w:rPr>
        <w:t xml:space="preserve"> </w:t>
      </w:r>
    </w:p>
    <w:p w14:paraId="3307DA84"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لا يُعرف سوى القليل عن ابن أمنحتب وخليفته، تحتمس الرابع. يسجل التاريخ أنه عزز أيضًا العلاقات السلمية مع ميتاني وتزوج من أميرة ميتانية لإبرام هذا التحالف الجديد. عند وفاته، أصبح أمنحتب الثالث (المعروف أيضًا باسم أمنحتب الكبير) فرعون مصر.</w:t>
      </w:r>
    </w:p>
    <w:p w14:paraId="4F56CDF2"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وتحت حكم أمنحتب الثالث (يشار إليه أحيانًا باسم أمينوفيس الثالث) أرتخت قبضة مصر على ما يبدو عن المقاطعات الآسيوية، إذ يوصف هذا الحكم " كحاكم أدى إهماله الكسول للمقاطعات الآسيوية إلى تمهيد الطريق لانحسار سيطرة مصر على سورية." </w:t>
      </w:r>
      <w:r w:rsidRPr="00141112">
        <w:rPr>
          <w:rFonts w:eastAsia="Times New Roman"/>
          <w:kern w:val="0"/>
          <w:vertAlign w:val="superscript"/>
          <w:rtl/>
          <w:lang w:bidi="ar-JO"/>
          <w14:ligatures w14:val="none"/>
        </w:rPr>
        <w:footnoteReference w:customMarkFollows="1" w:id="129"/>
        <w:t>14</w:t>
      </w:r>
      <w:r w:rsidRPr="00141112">
        <w:rPr>
          <w:rFonts w:eastAsia="Times New Roman"/>
          <w:kern w:val="0"/>
          <w:rtl/>
          <w:lang w:bidi="ar-JO"/>
          <w14:ligatures w14:val="none"/>
        </w:rPr>
        <w:t xml:space="preserve"> غير أن أحوال مصر نفسها كانت ممتازة:</w:t>
      </w:r>
    </w:p>
    <w:p w14:paraId="5027AE81"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lastRenderedPageBreak/>
        <w:t xml:space="preserve">جاء اعتلاء المللك نبمير، أمينوفس الثالث، في لحظة من تاريخ مصر، كانت مصر فيها، بفضل قرنين من الإنجازات التي لا مثيل لها تقريباً في الداخل والخارج، في ذروة قوتها السياسية وازدهارها الاقتصادي وتطوُّرها الحضاري. </w:t>
      </w:r>
      <w:r w:rsidRPr="00141112">
        <w:rPr>
          <w:rFonts w:eastAsia="Times New Roman"/>
          <w:kern w:val="0"/>
          <w:vertAlign w:val="superscript"/>
          <w:rtl/>
          <w:lang w:bidi="ar-JO"/>
          <w14:ligatures w14:val="none"/>
        </w:rPr>
        <w:footnoteReference w:customMarkFollows="1" w:id="130"/>
        <w:t>15</w:t>
      </w:r>
      <w:r w:rsidRPr="00141112">
        <w:rPr>
          <w:rFonts w:eastAsia="Times New Roman"/>
          <w:kern w:val="0"/>
          <w:rtl/>
          <w:lang w:bidi="ar-JO"/>
          <w14:ligatures w14:val="none"/>
        </w:rPr>
        <w:t xml:space="preserve"> </w:t>
      </w:r>
    </w:p>
    <w:p w14:paraId="1D5E72CB" w14:textId="77777777" w:rsidR="00070B6E" w:rsidRPr="00141112" w:rsidRDefault="00070B6E" w:rsidP="00C7130A">
      <w:pPr>
        <w:jc w:val="lowKashida"/>
        <w:rPr>
          <w:rFonts w:eastAsia="Times New Roman"/>
          <w:kern w:val="0"/>
          <w:rtl/>
          <w14:ligatures w14:val="none"/>
        </w:rPr>
      </w:pPr>
    </w:p>
    <w:p w14:paraId="4B6686C0"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ومن ناحية بشرية، كانت الدعوة إلى إسرائيل في تثنية إلى الهجوم على كنعان وقتل كل السكان مغامرة محفوفة بالخطر.  فقد كانت فلسطين تحت هيمنة مصر عندما كانت في أوج قوتها ومجدها.  وقد يعود عدم قيام مصر بهجوم شامل مضاد إلى تطوير العلاقات السلمية مع ميتاني (وبالتالي الحد من مشاريع مصر شمالاً) واهتمامها الأول بالجبهة الداخلية. </w:t>
      </w:r>
    </w:p>
    <w:p w14:paraId="374C45A6" w14:textId="77777777" w:rsidR="00070B6E" w:rsidRPr="00141112" w:rsidRDefault="00070B6E" w:rsidP="00C7130A">
      <w:pPr>
        <w:jc w:val="lowKashida"/>
        <w:rPr>
          <w:rFonts w:eastAsia="Times New Roman"/>
          <w:kern w:val="0"/>
          <w:rtl/>
          <w14:ligatures w14:val="none"/>
        </w:rPr>
      </w:pPr>
    </w:p>
    <w:p w14:paraId="0418B93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بالإضافة الى ذلك، لا يوجد لدينا أي سجل لإجراءات انتقامية قام بها أخناتون الذي خلف أمنحتب الثالث.  غير أن المكتشفات الأثرية كشفت لنا ما يعرف بـ " رسائل العمارنة"، وهي عدد من الألواح التي عُثر عليها في مصر.  وهي رسائل موجهة إلى الفرعونيين أمنحتب  الثالث وأختاتون من ملوك سوريين – فلسطينيين يناشدون الفرعون العون في ما يتعلق بأحداث التمرد و الثورات في بلادهم.  وتعرف هذه الفترة باسم "فترة العمارنة" عندما أدى الضغط الحثي وثورة المدن الأمورية في الشمال إلى إضعاف نفوذ مصر بشكل حاسم.  وقد تبع ذلك غزوات داخل أرض فلسطين من قبل عصابات شبه حربية معروفة باسم خابيرو. </w:t>
      </w:r>
      <w:r w:rsidRPr="00141112">
        <w:rPr>
          <w:rFonts w:eastAsia="Times New Roman"/>
          <w:kern w:val="0"/>
          <w:vertAlign w:val="superscript"/>
          <w:rtl/>
          <w:lang w:bidi="ar-JO"/>
          <w14:ligatures w14:val="none"/>
        </w:rPr>
        <w:footnoteReference w:customMarkFollows="1" w:id="131"/>
        <w:t>16</w:t>
      </w:r>
      <w:r w:rsidRPr="00141112">
        <w:rPr>
          <w:rFonts w:eastAsia="Times New Roman"/>
          <w:kern w:val="0"/>
          <w:rtl/>
          <w:lang w:bidi="ar-JO"/>
          <w14:ligatures w14:val="none"/>
        </w:rPr>
        <w:t xml:space="preserve"> والباحثون غير واثقين من صلة هذا الأمر الأخير بالعبرانيين المذكورين في الكتاب المقدس. </w:t>
      </w:r>
    </w:p>
    <w:p w14:paraId="43871B06" w14:textId="77777777" w:rsidR="00070B6E" w:rsidRPr="00C7130A" w:rsidRDefault="00070B6E" w:rsidP="00C7130A">
      <w:pPr>
        <w:jc w:val="lowKashida"/>
        <w:rPr>
          <w:rFonts w:eastAsia="Times New Roman"/>
          <w:kern w:val="0"/>
          <w:sz w:val="30"/>
          <w:szCs w:val="30"/>
          <w:rtl/>
          <w14:ligatures w14:val="none"/>
        </w:rPr>
      </w:pPr>
    </w:p>
    <w:p w14:paraId="3124820F"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ج.</w:t>
      </w:r>
      <w:r w:rsidRPr="00141112">
        <w:rPr>
          <w:rFonts w:eastAsia="Times New Roman"/>
          <w:bCs/>
          <w:kern w:val="0"/>
          <w:rtl/>
          <w14:ligatures w14:val="none"/>
        </w:rPr>
        <w:tab/>
        <w:t xml:space="preserve">في سهول موآب </w:t>
      </w:r>
    </w:p>
    <w:p w14:paraId="609E3ADC" w14:textId="53728D6C"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لا يمثل سفر التثنية فترة تاريخية، وإنما مناسبة معينة خاطب فيها موسى أمة إسرائيل.  وقد حدث قبل شهرين فقط من بدء الغزو (انظر يشوع </w:t>
      </w:r>
      <w:r w:rsidR="00DF784C" w:rsidRPr="00141112">
        <w:rPr>
          <w:rFonts w:eastAsia="Times New Roman"/>
          <w:kern w:val="0"/>
          <w:rtl/>
          <w:lang w:bidi="ar-JO"/>
          <w14:ligatures w14:val="none"/>
        </w:rPr>
        <w:t>4</w:t>
      </w:r>
      <w:r w:rsidRPr="00141112">
        <w:rPr>
          <w:rFonts w:eastAsia="Times New Roman"/>
          <w:kern w:val="0"/>
          <w:rtl/>
          <w:lang w:bidi="ar-JO"/>
          <w14:ligatures w14:val="none"/>
        </w:rPr>
        <w:t>: 19).  تاهت الأمة في البرية أربعين سنة، ومات جيل الخروج وانقرض.  وخيم الآن جيل جديد في سهول موآب</w:t>
      </w:r>
      <w:r w:rsidRPr="00141112">
        <w:rPr>
          <w:rFonts w:eastAsia="Times New Roman"/>
          <w:kern w:val="0"/>
          <w:rtl/>
          <w14:ligatures w14:val="none"/>
        </w:rPr>
        <w:t xml:space="preserve"> </w:t>
      </w:r>
      <w:r w:rsidRPr="00141112">
        <w:rPr>
          <w:rFonts w:eastAsia="Times New Roman"/>
          <w:kern w:val="0"/>
          <w:rtl/>
          <w:lang w:bidi="ar-JO"/>
          <w14:ligatures w14:val="none"/>
        </w:rPr>
        <w:t xml:space="preserve">(تثنية </w:t>
      </w:r>
      <w:r w:rsidR="00DF784C" w:rsidRPr="00141112">
        <w:rPr>
          <w:rFonts w:eastAsia="Times New Roman"/>
          <w:kern w:val="0"/>
          <w:rtl/>
          <w:lang w:bidi="ar-JO"/>
          <w14:ligatures w14:val="none"/>
        </w:rPr>
        <w:t>1</w:t>
      </w:r>
      <w:r w:rsidRPr="00141112">
        <w:rPr>
          <w:rFonts w:eastAsia="Times New Roman"/>
          <w:kern w:val="0"/>
          <w:rtl/>
          <w:lang w:bidi="ar-JO"/>
          <w14:ligatures w14:val="none"/>
        </w:rPr>
        <w:t xml:space="preserve">: 5) على الجانب الشرقي من نهر الأردن متأهبين لدخول الأرض التي سبق أن أقسم الله أن يعطيها لإبراهيم و نسله،  فهل سيكونون مستعدين لدخول الأرض بالإيمان والقضاء على السكان؟ وهل سيطيعون الرب حال دخولهم الأرض؟ إن سفر التثنية عظة تتناول هذه القضايا، لكنه أكثر من مجرد عظة، فهو أيضاً تجديد أمة إسرائيل للعهد مع ملكها، يهوه.  والنبرة هنا مخلصة جداً؛ إنها توسل يتسم بالإلحاح من موسى الطاعن في السن للأمة لكي تكون وفية.  هذا هو تثقُّل قلبه الشديد، إذ هو على وشك الموت. </w:t>
      </w:r>
    </w:p>
    <w:p w14:paraId="3144F9B7"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3E2CBB9F" w14:textId="0DAB2833"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14:ligatures w14:val="none"/>
        </w:rPr>
      </w:pPr>
      <w:r w:rsidRPr="00141112">
        <w:rPr>
          <w:rFonts w:eastAsia="Times New Roman"/>
          <w:kern w:val="0"/>
          <w:rtl/>
          <w:lang w:bidi="ar-JO"/>
          <w14:ligatures w14:val="none"/>
        </w:rPr>
        <w:t xml:space="preserve">لن يسمح الله لموسى بالاستمرار مع الأمة بالرغم من توسله ( تثنية </w:t>
      </w:r>
      <w:r w:rsidR="00DF784C" w:rsidRPr="00141112">
        <w:rPr>
          <w:rFonts w:eastAsia="Times New Roman"/>
          <w:kern w:val="0"/>
          <w:rtl/>
          <w:lang w:bidi="ar-JO"/>
          <w14:ligatures w14:val="none"/>
        </w:rPr>
        <w:t>3</w:t>
      </w:r>
      <w:r w:rsidRPr="00141112">
        <w:rPr>
          <w:rFonts w:eastAsia="Times New Roman"/>
          <w:kern w:val="0"/>
          <w:rtl/>
          <w:lang w:bidi="ar-JO"/>
          <w14:ligatures w14:val="none"/>
        </w:rPr>
        <w:t>: 23 – 28) وقد أعطته سنوات قيادته الطويلة للأمة فرصاً كثيرة لملاحظة الشعب.  وسفر التثنية هو ذروة فرصه وآخرها لحث الأمة على الولاء ليهوه: "أطيعوا فيبارككم الله!" دعا موسى الشعب إلى تجديد عهدهم (دستورهم) لأن فرصة امتلاك الأرض كانت مناسبة ذات أهمية كبيرة، أتاح خطاب موسى الفرصة لعدة أحداث هامة:</w:t>
      </w:r>
      <w:r w:rsidRPr="00141112">
        <w:rPr>
          <w:rFonts w:eastAsia="Times New Roman"/>
          <w:kern w:val="0"/>
          <w:vertAlign w:val="superscript"/>
          <w:rtl/>
          <w:lang w:bidi="ar-JO"/>
          <w14:ligatures w14:val="none"/>
        </w:rPr>
        <w:footnoteReference w:customMarkFollows="1" w:id="132"/>
        <w:t>17</w:t>
      </w:r>
      <w:r w:rsidRPr="00141112">
        <w:rPr>
          <w:rFonts w:eastAsia="Times New Roman"/>
          <w:kern w:val="0"/>
          <w:rtl/>
          <w:lang w:bidi="ar-JO"/>
          <w14:ligatures w14:val="none"/>
        </w:rPr>
        <w:t xml:space="preserve"> </w:t>
      </w:r>
    </w:p>
    <w:p w14:paraId="552689F1" w14:textId="7A31E000"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(1)</w:t>
      </w:r>
      <w:r w:rsidRPr="00141112">
        <w:rPr>
          <w:rFonts w:eastAsia="Times New Roman"/>
          <w:kern w:val="0"/>
          <w:rtl/>
          <w:lang w:bidi="ar-JO"/>
          <w14:ligatures w14:val="none"/>
        </w:rPr>
        <w:tab/>
        <w:t xml:space="preserve">أعلن الشعب بشكل رسمي ولاءهم وذلك بالتأكيد على أن يهوه هو إلههم (26: 16 – 17). </w:t>
      </w:r>
    </w:p>
    <w:p w14:paraId="4286D1D2"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(2)</w:t>
      </w:r>
      <w:r w:rsidRPr="00141112">
        <w:rPr>
          <w:rFonts w:eastAsia="Times New Roman"/>
          <w:kern w:val="0"/>
          <w:rtl/>
          <w:lang w:bidi="ar-JO"/>
          <w14:ligatures w14:val="none"/>
        </w:rPr>
        <w:tab/>
        <w:t xml:space="preserve">ُقدِّمت تعليمات من أجل التجديد التالي للعهد (الأصحاح 27). </w:t>
      </w:r>
    </w:p>
    <w:p w14:paraId="492C3503"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(3)</w:t>
      </w:r>
      <w:r w:rsidRPr="00141112">
        <w:rPr>
          <w:rFonts w:eastAsia="Times New Roman"/>
          <w:kern w:val="0"/>
          <w:rtl/>
          <w:lang w:bidi="ar-JO"/>
          <w14:ligatures w14:val="none"/>
        </w:rPr>
        <w:tab/>
        <w:t xml:space="preserve">أعلنت بركات ولعنات للشعب (الأصحاح 28). </w:t>
      </w:r>
    </w:p>
    <w:p w14:paraId="3FFA981F"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(4)</w:t>
      </w:r>
      <w:r w:rsidRPr="00141112">
        <w:rPr>
          <w:rFonts w:eastAsia="Times New Roman"/>
          <w:kern w:val="0"/>
          <w:rtl/>
          <w:lang w:bidi="ar-JO"/>
          <w14:ligatures w14:val="none"/>
        </w:rPr>
        <w:tab/>
        <w:t xml:space="preserve">عُيِّن يشوع خليفةُ لموسى.  </w:t>
      </w:r>
    </w:p>
    <w:p w14:paraId="0BAAA38C" w14:textId="77777777" w:rsidR="00070B6E" w:rsidRPr="00141112"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141112">
        <w:rPr>
          <w:rFonts w:eastAsia="Times New Roman"/>
          <w:kern w:val="0"/>
          <w:rtl/>
          <w:lang w:bidi="ar-JO"/>
          <w14:ligatures w14:val="none"/>
        </w:rPr>
        <w:t>(5)</w:t>
      </w:r>
      <w:r w:rsidRPr="00141112">
        <w:rPr>
          <w:rFonts w:eastAsia="Times New Roman"/>
          <w:kern w:val="0"/>
          <w:rtl/>
          <w:lang w:bidi="ar-JO"/>
          <w14:ligatures w14:val="none"/>
        </w:rPr>
        <w:tab/>
        <w:t xml:space="preserve">أعطيت تعليمات بوضع نص العهد في تابوت العهد (31: 9، 26).  </w:t>
      </w:r>
    </w:p>
    <w:p w14:paraId="2C50F3DF" w14:textId="77777777" w:rsidR="00070B6E" w:rsidRPr="00141112" w:rsidRDefault="00070B6E" w:rsidP="00C7130A">
      <w:pPr>
        <w:jc w:val="lowKashida"/>
        <w:rPr>
          <w:rFonts w:eastAsia="Times New Roman"/>
          <w:kern w:val="0"/>
          <w:rtl/>
          <w14:ligatures w14:val="none"/>
        </w:rPr>
      </w:pPr>
    </w:p>
    <w:p w14:paraId="38A88CD3"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د.</w:t>
      </w:r>
      <w:r w:rsidRPr="00141112">
        <w:rPr>
          <w:rFonts w:eastAsia="Times New Roman"/>
          <w:bCs/>
          <w:kern w:val="0"/>
          <w:rtl/>
          <w14:ligatures w14:val="none"/>
        </w:rPr>
        <w:tab/>
        <w:t xml:space="preserve">الاستعداد للحرب المقدسة </w:t>
      </w:r>
    </w:p>
    <w:p w14:paraId="352F5A30" w14:textId="666B5808"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كانت مناسبة سفر التثنية هامة أيضاً كوقت للاستعداد، حيث كان في انتظارهم غزو عسكري، غير أن هذا الاستعداد كان أقرب إلى الطبيعة الروحية منه إلى الطبيعة التكتيكية. يقول كريجي:</w:t>
      </w:r>
    </w:p>
    <w:p w14:paraId="74A3AD9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lang w:bidi="ar-JO"/>
          <w14:ligatures w14:val="none"/>
        </w:rPr>
        <w:t>لكنهم الآن، بعد أن عرفوا الطبيعة الأخلاقية لإلههم، جددوا ولاءهم للعهد وله قبل دخولهم المعركة، إذ لم تكن حصيلة المعارك المستقبلية تعتمد على قدرتهم العسكرية، و إنما على قوة الله و تكريسهم القلبي الكامل له.</w:t>
      </w:r>
      <w:r w:rsidRPr="00141112">
        <w:rPr>
          <w:rFonts w:eastAsia="Times New Roman"/>
          <w:kern w:val="0"/>
          <w:vertAlign w:val="superscript"/>
          <w:rtl/>
          <w:lang w:bidi="ar-JO"/>
          <w14:ligatures w14:val="none"/>
        </w:rPr>
        <w:footnoteReference w:customMarkFollows="1" w:id="133"/>
        <w:t>18</w:t>
      </w:r>
      <w:r w:rsidRPr="00141112">
        <w:rPr>
          <w:rFonts w:eastAsia="Times New Roman"/>
          <w:kern w:val="0"/>
          <w:rtl/>
          <w:lang w:bidi="ar-JO"/>
          <w14:ligatures w14:val="none"/>
        </w:rPr>
        <w:t xml:space="preserve"> </w:t>
      </w:r>
    </w:p>
    <w:p w14:paraId="4648597E"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09E218B" w14:textId="44190F00"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كانت سياسة الحرب مزدوجة، إذ كان يجب القضاء على سكان الأرض، خاصة الكنعانيين (7 : 1 – 5، 20 : 16 فصاعداً)، بينما يجب اعتبار شعوب أخرى أعداء دائمين، كالعمونيين والموآبين على سبيل المثال (23 : 3 – 6).  و قد كان تعبير "الكنعانيين" يشير أحياناً إلى مجموعة معينة من الناس الساكنين في الأرض، ويضم أحياناً أخرى عدة مجموعات من السكان (أنظر 7 : 1 فصاعداً).  غير أن الله شاء أن يكون هنالك تمييز كامل (انفصال) بين بني إسرائيل والكنعانيين (خروج 23 : 32، 33).  وقد كان القضاء على الكنعانيين دينونة من الله عليهم (تكوين 15 : 16).  ولم يكن هذا أمراً غير معقول على الإطلاق، عندما يضع المرء في اعتباره ثقافتهم.  فقد كانوا يمارسون الرق والتمييز الطبقي، وعبدوا آلهة كثيرين وقدموا ذبائح لها، و أسسوا كهنوتهم الخاص، و بنوا </w:t>
      </w:r>
      <w:r w:rsidRPr="00141112">
        <w:rPr>
          <w:rFonts w:eastAsia="Times New Roman"/>
          <w:kern w:val="0"/>
          <w:rtl/>
          <w:lang w:bidi="ar-JO"/>
          <w14:ligatures w14:val="none"/>
        </w:rPr>
        <w:lastRenderedPageBreak/>
        <w:t>معابد لعبادتهم (مثلاً في لخيش وأريحا ومجدو وحاضور)، وقدموا أبناءهم ذبائح لآلهتهم، و انغمسوا في طقوس شيطانية كثيرة (تثنية 8 : 9 – 11)، وأسسوا ديانة الخصب.  وقد تضمنت الممارسة الأخيرة ممارسة البغاء في الهيكل الذي تضمن نساءً ورجا</w:t>
      </w:r>
      <w:r w:rsidR="007E1B23" w:rsidRPr="00141112">
        <w:rPr>
          <w:rFonts w:eastAsia="Times New Roman"/>
          <w:kern w:val="0"/>
          <w:rtl/>
          <w:lang w:bidi="ar-JO"/>
          <w14:ligatures w14:val="none"/>
        </w:rPr>
        <w:t>لاً</w:t>
      </w:r>
      <w:r w:rsidRPr="00141112">
        <w:rPr>
          <w:rFonts w:eastAsia="Times New Roman"/>
          <w:kern w:val="0"/>
          <w:rtl/>
          <w:lang w:bidi="ar-JO"/>
          <w14:ligatures w14:val="none"/>
        </w:rPr>
        <w:t xml:space="preserve"> على حد سواء (انظر عاموس 2 : 7، هوشع 4 : 14).</w:t>
      </w:r>
      <w:r w:rsidRPr="00141112">
        <w:rPr>
          <w:rFonts w:eastAsia="Times New Roman"/>
          <w:kern w:val="0"/>
          <w:vertAlign w:val="superscript"/>
          <w:rtl/>
          <w:lang w:bidi="ar-JO"/>
          <w14:ligatures w14:val="none"/>
        </w:rPr>
        <w:footnoteReference w:id="134"/>
      </w:r>
      <w:r w:rsidRPr="00141112">
        <w:rPr>
          <w:rFonts w:eastAsia="Times New Roman"/>
          <w:kern w:val="0"/>
          <w:rtl/>
          <w:lang w:bidi="ar-JO"/>
          <w14:ligatures w14:val="none"/>
        </w:rPr>
        <w:t xml:space="preserve">  فكان "التحريم" أو "القضاء الكامل" الذي دعا إليه يهوه معقولاً تماماً.  وكانت لإسرائيل ديانة وإعلان معتمد على هذا العمل، و قد تضمن هذا القرار خير شعوب العالم (تكوين 12).  ونجد مزيداً من الوصف للحرب في 20: 1- 20، 21: 10-14، 23: 10-14، 24: 5، 25: 17-19.  وقد وضعت هذه المسؤولية على عاتق إسرائيل، وكانت جزءاً من الدعوة إلى الطاعة التي يعهد بها موسى إلى الأمة. </w:t>
      </w:r>
    </w:p>
    <w:p w14:paraId="347FFC6F" w14:textId="77777777" w:rsidR="00070B6E" w:rsidRPr="00141112" w:rsidRDefault="00070B6E" w:rsidP="00C7130A">
      <w:pPr>
        <w:jc w:val="lowKashida"/>
        <w:rPr>
          <w:rFonts w:eastAsia="Times New Roman"/>
          <w:kern w:val="0"/>
          <w:rtl/>
          <w14:ligatures w14:val="none"/>
        </w:rPr>
      </w:pPr>
    </w:p>
    <w:p w14:paraId="2D04047E" w14:textId="77777777" w:rsidR="00070B6E" w:rsidRPr="00141112" w:rsidRDefault="00070B6E" w:rsidP="000558B7">
      <w:pPr>
        <w:pStyle w:val="Heading3"/>
        <w:rPr>
          <w:rtl/>
          <w:lang w:bidi="ar-JO"/>
        </w:rPr>
      </w:pPr>
      <w:bookmarkStart w:id="300" w:name="_Toc193031069"/>
      <w:r w:rsidRPr="00141112">
        <w:rPr>
          <w:rtl/>
          <w:lang w:bidi="ar-JO"/>
        </w:rPr>
        <w:t>5.</w:t>
      </w:r>
      <w:r w:rsidRPr="00141112">
        <w:rPr>
          <w:rtl/>
          <w:lang w:bidi="ar-JO"/>
        </w:rPr>
        <w:tab/>
        <w:t>أطروحة السفر وغرضه</w:t>
      </w:r>
      <w:bookmarkEnd w:id="300"/>
      <w:r w:rsidRPr="00141112">
        <w:rPr>
          <w:rtl/>
          <w:lang w:bidi="ar-JO"/>
        </w:rPr>
        <w:t xml:space="preserve"> </w:t>
      </w:r>
    </w:p>
    <w:p w14:paraId="0E2D2B45"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إن من شأن تحديد الوحدات الأساسية للفكر ضمن هذا السفر و" الآيات الرئيسية" ( 4 : 44، 12 : 1، 29 : 1) أن تساعد في تحديد أطروحة سفر التثنية والغرض منه.  وإن من الواضح أن السفر متعلق بالشريعة، خاصة أنَّها تُشرح لهذا الجيل الجديد الذي يوشك على دخول الأرض الموعودة.  " في عبر الأردن، في أرض موآب، ابتدأ موسى بشرح هذه الشريعة..." (1 : 5). </w:t>
      </w:r>
    </w:p>
    <w:p w14:paraId="75E1B334"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6EA4DA7B"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غير أن آيات أخرى من تلك التي تحاول شرح الشريعة كانت أكثر من مجرد توضيح للحقائق.  ومن الواضح أن الشريعة كانت لدى إسرائيل من قبل، كما هو مذكور في خروج- لاويين.  إذ كانت رسالة موسى في سهول موآب فرصة لكي يربط الجيل الحالي أنفسهم باتفاقية العهد مع يهوه.   وهي اتفاقية عهد متميزة عن تلك التي تمت عند جبل سيناء (انظر 29 : 1، 10 – 13).  وهكذا فإن البنود الحالية (12 : 1 – 26 : 19)، على الرغم من أن معظمها متضمن في العهد السابق، تقدم بوضوح للجيل الجديد،  وهاهم الآن يعطون فرصة لأن يكونوا شعب يهوه (29 : 13).  لكن لا يجب التعامل مع هذه الفرصة باستخفاف.  فمعنى أن يكونوا" شعبه" هو أن يتحملوا مسؤولية أن يكونوا نوراً للأمم... وسطاء بركة الله ومعرفة يهوه (تكوين 12، خروج 19).  لكن هذا الدور الفريد هو امتياز، وهو لا يأتي إلا بمطالب محدودة.  و هكذا يواجه الجيل الجديد بهذه المطالب و بأهمية الطاعة.  يجعلهم موسى ينظرون عن كثب إلى التوقعات لكي يفهموا بوضوح ما الذي يتوقع منهم كشعب يهوه.  ثم يطلب منهم أن يتخذوا قراراً إن كانوا مستعدين أن يأخذوا هذا الدور كشعب يهوه.  يمكنهم أن يستجيبوا بشكل إيجابي بالدخول في هذا العهد مع يهوه (29 : 12).  يؤكد العهد على ضرورة اتخاذ إسرائيل هذا القرار، وإذا اتخذوه، فهذا يعني أنهم مستعدون لتحمل مسؤوليات قرارهم.  إنهم يعرفون مطلب الطاعة، ويعرفون أيضاً عواقب العصيان ( اللعنات).  فالفكرة الأساسية من اتفاقية العهد هي المساءلة.</w:t>
      </w:r>
    </w:p>
    <w:p w14:paraId="455EA5FB"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lastRenderedPageBreak/>
        <w:t xml:space="preserve">   </w:t>
      </w:r>
    </w:p>
    <w:p w14:paraId="5B126D6B" w14:textId="7998043A"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تجلب الدعوة إلى الدخول في العهد الانتباه إلى الفكرة الأساسية للسفر، ألا وهي استجابة إسرائيل.  فالله يسعى (من خلال وساطة موسى) إلى الحصول على استجابة من الأمة.   وهي استجابة لا تنطبق على الجيل الحالي للأمة، بل على الأجيال المستقبلية أيضاً (29 : 14 – 15).  يقدم سفر التثنية بشكلٍ أساسي خياراً للأمة، ونرى ذروة ذلك في (30: 19 – 20).  </w:t>
      </w:r>
    </w:p>
    <w:p w14:paraId="6CFC768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2C5C6FB7" w14:textId="57E72FC3"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أُشهِد عليكم اليوم السماء والأرض.  قد جُعلت قدامك الحياة والموت، البركة واللعنة، فاختر الحياة لكي تحيا أنتً ونسلك، إذ تحب الرب ألهك وتسمع لصوته وتلتصق به، لأنه هو حياتك والذي يطيل أيامك لكي تسكن على الأرض التي حلف الرب لآبائك إبراهيم وإسحاق ويعقوب أن يعطيهم إياها.</w:t>
      </w:r>
    </w:p>
    <w:p w14:paraId="36E7E5B7"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79646C27"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تلخص هذه الآيات رسالة السفر: </w:t>
      </w:r>
    </w:p>
    <w:p w14:paraId="1C9609B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kern w:val="0"/>
          <w:rtl/>
          <w14:ligatures w14:val="none"/>
        </w:rPr>
        <w:t>-</w:t>
      </w:r>
      <w:r w:rsidRPr="00141112">
        <w:rPr>
          <w:rFonts w:eastAsia="Times New Roman"/>
          <w:kern w:val="0"/>
          <w:rtl/>
          <w14:ligatures w14:val="none"/>
        </w:rPr>
        <w:tab/>
      </w:r>
      <w:r w:rsidRPr="00141112">
        <w:rPr>
          <w:rFonts w:eastAsia="Times New Roman"/>
          <w:kern w:val="0"/>
          <w:rtl/>
          <w:lang w:bidi="ar-JO"/>
          <w14:ligatures w14:val="none"/>
        </w:rPr>
        <w:t xml:space="preserve">يضع الله أمام الأمة خياراً </w:t>
      </w:r>
    </w:p>
    <w:p w14:paraId="4300249F"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14:ligatures w14:val="none"/>
        </w:rPr>
      </w:pPr>
      <w:r w:rsidRPr="00141112">
        <w:rPr>
          <w:rFonts w:eastAsia="Times New Roman"/>
          <w:kern w:val="0"/>
          <w:rtl/>
          <w14:ligatures w14:val="none"/>
        </w:rPr>
        <w:t>-</w:t>
      </w:r>
      <w:r w:rsidRPr="00141112">
        <w:rPr>
          <w:rFonts w:eastAsia="Times New Roman"/>
          <w:kern w:val="0"/>
          <w:rtl/>
          <w14:ligatures w14:val="none"/>
        </w:rPr>
        <w:tab/>
      </w:r>
      <w:r w:rsidRPr="00141112">
        <w:rPr>
          <w:rFonts w:eastAsia="Times New Roman"/>
          <w:kern w:val="0"/>
          <w:rtl/>
          <w:lang w:bidi="ar-JO"/>
          <w14:ligatures w14:val="none"/>
        </w:rPr>
        <w:t xml:space="preserve">يؤثر الخيار على الجيل الحالي وعلى الأجيال التالية أيضاً </w:t>
      </w:r>
    </w:p>
    <w:p w14:paraId="7789D1DB"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14:ligatures w14:val="none"/>
        </w:rPr>
      </w:pPr>
      <w:r w:rsidRPr="00141112">
        <w:rPr>
          <w:rFonts w:eastAsia="Times New Roman"/>
          <w:kern w:val="0"/>
          <w:rtl/>
          <w14:ligatures w14:val="none"/>
        </w:rPr>
        <w:t>-</w:t>
      </w:r>
      <w:r w:rsidRPr="00141112">
        <w:rPr>
          <w:rFonts w:eastAsia="Times New Roman"/>
          <w:kern w:val="0"/>
          <w:rtl/>
          <w14:ligatures w14:val="none"/>
        </w:rPr>
        <w:tab/>
      </w:r>
      <w:r w:rsidRPr="00141112">
        <w:rPr>
          <w:rFonts w:eastAsia="Times New Roman"/>
          <w:kern w:val="0"/>
          <w:rtl/>
          <w:lang w:bidi="ar-JO"/>
          <w14:ligatures w14:val="none"/>
        </w:rPr>
        <w:t xml:space="preserve">بركة الأمة هي الحصيلة المقصودة </w:t>
      </w:r>
    </w:p>
    <w:p w14:paraId="7D44C68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14:ligatures w14:val="none"/>
        </w:rPr>
      </w:pPr>
      <w:r w:rsidRPr="00141112">
        <w:rPr>
          <w:rFonts w:eastAsia="Times New Roman"/>
          <w:kern w:val="0"/>
          <w:rtl/>
          <w14:ligatures w14:val="none"/>
        </w:rPr>
        <w:t>-</w:t>
      </w:r>
      <w:r w:rsidRPr="00141112">
        <w:rPr>
          <w:rFonts w:eastAsia="Times New Roman"/>
          <w:kern w:val="0"/>
          <w:rtl/>
          <w14:ligatures w14:val="none"/>
        </w:rPr>
        <w:tab/>
      </w:r>
      <w:r w:rsidRPr="00141112">
        <w:rPr>
          <w:rFonts w:eastAsia="Times New Roman"/>
          <w:kern w:val="0"/>
          <w:rtl/>
          <w:lang w:bidi="ar-JO"/>
          <w14:ligatures w14:val="none"/>
        </w:rPr>
        <w:t xml:space="preserve">تعتمد البركة على طاعة يهوه من محبة قلبية </w:t>
      </w:r>
    </w:p>
    <w:p w14:paraId="52820323"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14:ligatures w14:val="none"/>
        </w:rPr>
      </w:pPr>
      <w:r w:rsidRPr="00141112">
        <w:rPr>
          <w:rFonts w:eastAsia="Times New Roman"/>
          <w:kern w:val="0"/>
          <w:rtl/>
          <w:lang w:bidi="ar-JO"/>
          <w14:ligatures w14:val="none"/>
        </w:rPr>
        <w:t>-</w:t>
      </w:r>
      <w:r w:rsidRPr="00141112">
        <w:rPr>
          <w:rFonts w:eastAsia="Times New Roman"/>
          <w:kern w:val="0"/>
          <w:rtl/>
          <w:lang w:bidi="ar-JO"/>
          <w14:ligatures w14:val="none"/>
        </w:rPr>
        <w:tab/>
        <w:t xml:space="preserve">يهدف الخيار إلى تحقيق العهد الإبراهيمي </w:t>
      </w:r>
    </w:p>
    <w:p w14:paraId="60BF2F8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p>
    <w:p w14:paraId="21902C43"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rtl/>
          <w:lang w:bidi="ar-JO"/>
          <w14:ligatures w14:val="none"/>
        </w:rPr>
      </w:pPr>
      <w:r w:rsidRPr="00141112">
        <w:rPr>
          <w:rFonts w:eastAsia="Times New Roman"/>
          <w:kern w:val="0"/>
          <w:rtl/>
          <w:lang w:bidi="ar-JO"/>
          <w14:ligatures w14:val="none"/>
        </w:rPr>
        <w:t xml:space="preserve">فإذا أخذنا هذا بعين الاعتبار، يمكن تلخيص أطروحة السفر وغرضه كما يلي: </w:t>
      </w:r>
    </w:p>
    <w:p w14:paraId="32FEB95E"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b/>
          <w:bCs/>
          <w:kern w:val="0"/>
          <w:u w:val="single"/>
          <w:rtl/>
          <w:lang w:bidi="ar-JO"/>
          <w14:ligatures w14:val="none"/>
        </w:rPr>
        <w:t>الأطروحة:</w:t>
      </w:r>
      <w:r w:rsidRPr="00141112">
        <w:rPr>
          <w:rFonts w:eastAsia="Times New Roman"/>
          <w:kern w:val="0"/>
          <w:rtl/>
          <w:lang w:bidi="ar-JO"/>
          <w14:ligatures w14:val="none"/>
        </w:rPr>
        <w:t xml:space="preserve"> </w:t>
      </w:r>
      <w:r w:rsidRPr="00141112">
        <w:rPr>
          <w:rFonts w:eastAsia="Times New Roman"/>
          <w:kern w:val="0"/>
          <w:rtl/>
          <w14:ligatures w14:val="none"/>
        </w:rPr>
        <w:tab/>
      </w:r>
      <w:r w:rsidRPr="00141112">
        <w:rPr>
          <w:rFonts w:eastAsia="Times New Roman"/>
          <w:kern w:val="0"/>
          <w:rtl/>
          <w:lang w:bidi="ar-JO"/>
          <w14:ligatures w14:val="none"/>
        </w:rPr>
        <w:t xml:space="preserve">إن استجابة إسرائيل المطلوبة لمحبة يهوه وعهده معهم هي الطاعة القلبية له ولشريعته. </w:t>
      </w:r>
    </w:p>
    <w:p w14:paraId="711A195F"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141112">
        <w:rPr>
          <w:rFonts w:eastAsia="Times New Roman"/>
          <w:b/>
          <w:bCs/>
          <w:kern w:val="0"/>
          <w:u w:val="single"/>
          <w:rtl/>
          <w:lang w:bidi="ar-JO"/>
          <w14:ligatures w14:val="none"/>
        </w:rPr>
        <w:t>الغرض:</w:t>
      </w:r>
      <w:r w:rsidRPr="00141112">
        <w:rPr>
          <w:rFonts w:eastAsia="Times New Roman"/>
          <w:kern w:val="0"/>
          <w:rtl/>
          <w:lang w:bidi="ar-JO"/>
          <w14:ligatures w14:val="none"/>
        </w:rPr>
        <w:t xml:space="preserve"> </w:t>
      </w:r>
      <w:r w:rsidRPr="00141112">
        <w:rPr>
          <w:rFonts w:eastAsia="Times New Roman"/>
          <w:kern w:val="0"/>
          <w:rtl/>
          <w14:ligatures w14:val="none"/>
        </w:rPr>
        <w:tab/>
      </w:r>
      <w:r w:rsidRPr="00141112">
        <w:rPr>
          <w:rFonts w:eastAsia="Times New Roman"/>
          <w:kern w:val="0"/>
          <w:rtl/>
          <w:lang w:bidi="ar-JO"/>
          <w14:ligatures w14:val="none"/>
        </w:rPr>
        <w:t xml:space="preserve">أن تتمتع الأمة ببركة مستمرة في الأرض وأن يكونوا في الوقت نفسه عرضة للمساءلة عن عصيانهم. </w:t>
      </w:r>
    </w:p>
    <w:p w14:paraId="114C43A1" w14:textId="77777777" w:rsidR="00070B6E" w:rsidRPr="00141112" w:rsidRDefault="00070B6E" w:rsidP="00C7130A">
      <w:pPr>
        <w:ind w:left="864"/>
        <w:jc w:val="lowKashida"/>
        <w:rPr>
          <w:rFonts w:eastAsia="Times New Roman"/>
          <w:kern w:val="0"/>
          <w:rtl/>
          <w14:ligatures w14:val="none"/>
        </w:rPr>
      </w:pPr>
    </w:p>
    <w:p w14:paraId="35CB438B"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1100"/>
        <w:jc w:val="both"/>
        <w:rPr>
          <w:rFonts w:eastAsia="Times New Roman"/>
          <w:kern w:val="0"/>
          <w:szCs w:val="26"/>
          <w:rtl/>
          <w:lang w:bidi="ar-JO"/>
          <w14:ligatures w14:val="none"/>
        </w:rPr>
      </w:pPr>
      <w:r w:rsidRPr="00141112">
        <w:rPr>
          <w:rFonts w:eastAsia="Times New Roman"/>
          <w:kern w:val="0"/>
          <w:rtl/>
          <w:lang w:bidi="ar-JO"/>
          <w14:ligatures w14:val="none"/>
        </w:rPr>
        <w:t>هذه الأطروحة وهذا الغرض هامان للأسفار التالية في العهد القديم، لأنهما يشرحان أساس تعامل الله مع الأمة.  وعندما نرى إسرائيل تُؤدَّب، فإننا نفهم أن هذا نابع من عامل المساءلة المشروح في سفر التثنية.</w:t>
      </w:r>
      <w:r w:rsidRPr="00C7130A">
        <w:rPr>
          <w:rFonts w:eastAsia="Times New Roman"/>
          <w:kern w:val="0"/>
          <w:szCs w:val="26"/>
          <w:rtl/>
          <w:lang w:bidi="ar-JO"/>
          <w14:ligatures w14:val="none"/>
        </w:rPr>
        <w:t xml:space="preserve">  </w:t>
      </w:r>
    </w:p>
    <w:p w14:paraId="51EAECFC" w14:textId="77777777" w:rsidR="00070B6E" w:rsidRPr="00C7130A" w:rsidRDefault="00070B6E" w:rsidP="00C7130A">
      <w:pPr>
        <w:jc w:val="lowKashida"/>
        <w:rPr>
          <w:rFonts w:eastAsia="Times New Roman"/>
          <w:kern w:val="0"/>
          <w:sz w:val="30"/>
          <w:szCs w:val="30"/>
          <w:rtl/>
          <w14:ligatures w14:val="none"/>
        </w:rPr>
      </w:pPr>
    </w:p>
    <w:p w14:paraId="3C924FF2"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szCs w:val="26"/>
          <w:rtl/>
          <w:lang w:bidi="ar-JO"/>
          <w14:ligatures w14:val="none"/>
        </w:rPr>
      </w:pPr>
    </w:p>
    <w:p w14:paraId="35366BD4" w14:textId="77777777" w:rsidR="00857A90" w:rsidRPr="00C7130A" w:rsidRDefault="00857A90" w:rsidP="000558B7">
      <w:pPr>
        <w:pStyle w:val="Heading2B"/>
        <w:rPr>
          <w:rtl/>
        </w:rPr>
      </w:pPr>
      <w:bookmarkStart w:id="301" w:name="_Toc193031070"/>
      <w:bookmarkStart w:id="302" w:name="_Hlk178779045"/>
      <w:bookmarkStart w:id="303" w:name="_Hlk157179038"/>
      <w:r w:rsidRPr="00C7130A">
        <w:rPr>
          <w:rtl/>
        </w:rPr>
        <w:lastRenderedPageBreak/>
        <w:t>الموضوع 2: حضٌّ على إطاعة العهد (تثنية 1: 1 – 4: 43)</w:t>
      </w:r>
      <w:bookmarkEnd w:id="301"/>
      <w:r w:rsidRPr="00C7130A">
        <w:rPr>
          <w:rtl/>
        </w:rPr>
        <w:t xml:space="preserve"> </w:t>
      </w:r>
    </w:p>
    <w:p w14:paraId="127491B1" w14:textId="5E54AC18" w:rsidR="00BE411E" w:rsidRPr="00C7130A" w:rsidRDefault="00BE411E"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14:ligatures w14:val="none"/>
        </w:rPr>
      </w:pPr>
      <w:r w:rsidRPr="00C7130A">
        <w:rPr>
          <w:rFonts w:eastAsia="Calibri"/>
          <w:b/>
          <w:caps/>
          <w:noProof/>
          <w:color w:val="006699"/>
          <w:kern w:val="0"/>
          <w:sz w:val="21"/>
          <w:szCs w:val="24"/>
          <w14:ligatures w14:val="none"/>
        </w:rPr>
        <w:drawing>
          <wp:inline distT="0" distB="0" distL="0" distR="0" wp14:anchorId="31802176" wp14:editId="1B908B54">
            <wp:extent cx="613692" cy="541464"/>
            <wp:effectExtent l="0" t="0" r="0" b="0"/>
            <wp:docPr id="949911906" name="Picture 949911906"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7C4B14" w:rsidRPr="00141112">
        <w:rPr>
          <w:rFonts w:eastAsia="Calibri"/>
          <w:bCs/>
          <w:caps/>
          <w:color w:val="006699"/>
          <w:kern w:val="0"/>
          <w:u w:val="single"/>
          <w:rtl/>
          <w14:ligatures w14:val="none"/>
        </w:rPr>
        <w:t>القراءة</w:t>
      </w:r>
      <w:r w:rsidR="007C4B14" w:rsidRPr="00C7130A">
        <w:rPr>
          <w:rFonts w:eastAsia="Calibri"/>
          <w:bCs/>
          <w:caps/>
          <w:color w:val="006699"/>
          <w:kern w:val="0"/>
          <w:sz w:val="21"/>
          <w:szCs w:val="24"/>
          <w:u w:val="single"/>
          <w:rtl/>
          <w14:ligatures w14:val="none"/>
        </w:rPr>
        <w:t>:</w:t>
      </w:r>
    </w:p>
    <w:p w14:paraId="1D05FFF4" w14:textId="7CE7A84B" w:rsidR="00BE411E" w:rsidRPr="00C7130A" w:rsidRDefault="00BE411E" w:rsidP="00C7130A">
      <w:pPr>
        <w:rPr>
          <w:b/>
          <w:bCs/>
        </w:rPr>
      </w:pPr>
      <w:r w:rsidRPr="00C7130A">
        <w:tab/>
      </w:r>
      <w:r w:rsidRPr="00C7130A">
        <w:tab/>
      </w:r>
      <w:r w:rsidR="007C4B14" w:rsidRPr="00C7130A">
        <w:rPr>
          <w:rtl/>
        </w:rPr>
        <w:t xml:space="preserve">اقرأ تثنية 1: 1 – 4: 43 في كتابك المُقدَّس. </w:t>
      </w:r>
    </w:p>
    <w:bookmarkEnd w:id="302"/>
    <w:bookmarkEnd w:id="303"/>
    <w:p w14:paraId="4208C31F" w14:textId="77777777" w:rsidR="00070B6E" w:rsidRPr="00C7130A" w:rsidRDefault="00070B6E" w:rsidP="00C7130A">
      <w:pPr>
        <w:jc w:val="center"/>
        <w:rPr>
          <w:rFonts w:eastAsia="Times New Roman"/>
          <w:bCs/>
          <w:kern w:val="0"/>
          <w:szCs w:val="28"/>
          <w:rtl/>
          <w:lang w:bidi="ar-JO"/>
          <w14:ligatures w14:val="none"/>
        </w:rPr>
      </w:pPr>
    </w:p>
    <w:p w14:paraId="653250DB" w14:textId="77777777" w:rsidR="00070B6E" w:rsidRPr="00141112" w:rsidRDefault="00070B6E" w:rsidP="000558B7">
      <w:pPr>
        <w:pStyle w:val="Heading3"/>
        <w:rPr>
          <w:rtl/>
          <w:lang w:bidi="ar-JO"/>
        </w:rPr>
      </w:pPr>
      <w:bookmarkStart w:id="304" w:name="_Toc193031071"/>
      <w:r w:rsidRPr="00141112">
        <w:rPr>
          <w:rtl/>
          <w:lang w:bidi="ar-JO"/>
        </w:rPr>
        <w:t>1.</w:t>
      </w:r>
      <w:r w:rsidRPr="00141112">
        <w:rPr>
          <w:rtl/>
          <w:lang w:bidi="ar-JO"/>
        </w:rPr>
        <w:tab/>
        <w:t>نظرة عامة إلى 1: 1-4: 43</w:t>
      </w:r>
      <w:bookmarkEnd w:id="304"/>
    </w:p>
    <w:p w14:paraId="5654D52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لا يركز الجزء الأول من السفر على المواصفات الفعلية للشريعة (كما هو الحال في 4: 44-26: 19).  وهذا القسم الافتتاحي تحريضي تحضيري في طبيعته مع تركيزه على تاريخ عهدهم.  لكن الغرض من المراجعة التاريخية هو مساعدة الجيل الجديد في فهم حاجتهم إلى الطاعة (الأصحاح 4).  وهكذا، وقبل أن تفصَّل لهم بنود العهد الذي سيطيعونه، فإن من الضروري أن يفهموا الأهمية القصوى للطاعة.  ويجب أن تتضمن هذه الطاعة فتح الأرض بالإضافة إلى وفائهم ليهوه عند استقرارهم في الأرض.  طُلب إلى قديس عجوز حكيم يوماً ما أن يلخّص مضمون سفر التثنية، فأجاب: "يمكنني أن ألخص في ثلاث كلمات: أَطِع! أَطِع! أَطِع!".</w:t>
      </w:r>
    </w:p>
    <w:p w14:paraId="0F82DD3E"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2A6E4859" w14:textId="77777777" w:rsidR="00070B6E" w:rsidRPr="00141112" w:rsidRDefault="00070B6E" w:rsidP="000558B7">
      <w:pPr>
        <w:pStyle w:val="Heading3"/>
        <w:rPr>
          <w:rtl/>
          <w:lang w:bidi="ar-JO"/>
        </w:rPr>
      </w:pPr>
      <w:bookmarkStart w:id="305" w:name="_Toc193031072"/>
      <w:r w:rsidRPr="00141112">
        <w:rPr>
          <w:rtl/>
          <w:lang w:bidi="ar-JO"/>
        </w:rPr>
        <w:t>2.</w:t>
      </w:r>
      <w:r w:rsidRPr="00141112">
        <w:rPr>
          <w:rtl/>
          <w:lang w:bidi="ar-JO"/>
        </w:rPr>
        <w:tab/>
        <w:t>بنية هذا القسم</w:t>
      </w:r>
      <w:bookmarkEnd w:id="305"/>
    </w:p>
    <w:p w14:paraId="63DA5A58" w14:textId="77777777" w:rsidR="00070B6E" w:rsidRPr="00C7130A" w:rsidRDefault="00070B6E" w:rsidP="00C7130A">
      <w:pPr>
        <w:tabs>
          <w:tab w:val="left" w:pos="454"/>
        </w:tabs>
        <w:spacing w:after="60"/>
        <w:jc w:val="both"/>
        <w:rPr>
          <w:rFonts w:eastAsia="Times New Roman"/>
          <w:bCs/>
          <w:kern w:val="0"/>
          <w:szCs w:val="28"/>
          <w:rtl/>
          <w:lang w:bidi="ar-JO"/>
          <w14:ligatures w14:val="none"/>
        </w:rPr>
      </w:pPr>
    </w:p>
    <w:p w14:paraId="4AC8BDE8" w14:textId="77777777" w:rsidR="00070B6E" w:rsidRPr="00C7130A" w:rsidRDefault="00070B6E" w:rsidP="00C7130A">
      <w:pPr>
        <w:rPr>
          <w:rFonts w:eastAsia="Times New Roman"/>
          <w:kern w:val="0"/>
          <w:szCs w:val="18"/>
          <w:rtl/>
          <w14:ligatures w14:val="none"/>
        </w:rPr>
      </w:pPr>
    </w:p>
    <w:bookmarkStart w:id="306" w:name="_MON_1166681123"/>
    <w:bookmarkStart w:id="307" w:name="_MON_1066905422"/>
    <w:bookmarkEnd w:id="306"/>
    <w:bookmarkEnd w:id="307"/>
    <w:bookmarkStart w:id="308" w:name="_MON_1066905708"/>
    <w:bookmarkEnd w:id="308"/>
    <w:p w14:paraId="122A4241" w14:textId="77777777" w:rsidR="00070B6E" w:rsidRPr="00C7130A" w:rsidRDefault="00070B6E" w:rsidP="00C7130A">
      <w:pPr>
        <w:jc w:val="center"/>
        <w:rPr>
          <w:rFonts w:eastAsia="Times New Roman"/>
          <w:kern w:val="0"/>
          <w:szCs w:val="18"/>
          <w:rtl/>
          <w14:ligatures w14:val="none"/>
        </w:rPr>
      </w:pPr>
      <w:r w:rsidRPr="00C7130A">
        <w:rPr>
          <w:rFonts w:eastAsia="Times New Roman"/>
          <w:kern w:val="0"/>
          <w:szCs w:val="18"/>
          <w14:ligatures w14:val="none"/>
        </w:rPr>
        <w:object w:dxaOrig="3960" w:dyaOrig="1800" w14:anchorId="03251E51">
          <v:shape id="_x0000_i1039" type="#_x0000_t75" style="width:396.6pt;height:180pt" o:ole="">
            <v:imagedata r:id="rId73" o:title=""/>
          </v:shape>
          <o:OLEObject Type="Embed" ProgID="PowerPoint.Show.8" ShapeID="_x0000_i1039" DrawAspect="Content" ObjectID="_1803892154" r:id="rId74"/>
        </w:object>
      </w:r>
    </w:p>
    <w:p w14:paraId="7A3C6A56" w14:textId="77777777" w:rsidR="00070B6E" w:rsidRPr="00C7130A" w:rsidRDefault="00070B6E" w:rsidP="00C7130A">
      <w:pPr>
        <w:rPr>
          <w:rFonts w:eastAsia="Times New Roman"/>
          <w:kern w:val="0"/>
          <w:szCs w:val="18"/>
          <w:rtl/>
          <w:lang w:bidi="ar-KW"/>
          <w14:ligatures w14:val="none"/>
        </w:rPr>
      </w:pPr>
    </w:p>
    <w:p w14:paraId="74BD7A06" w14:textId="77777777" w:rsidR="00070B6E" w:rsidRPr="00C7130A" w:rsidRDefault="00070B6E" w:rsidP="00C7130A">
      <w:pPr>
        <w:rPr>
          <w:rFonts w:eastAsia="Times New Roman"/>
          <w:kern w:val="0"/>
          <w:szCs w:val="18"/>
          <w:rtl/>
          <w:lang w:bidi="ar-KW"/>
          <w14:ligatures w14:val="none"/>
        </w:rPr>
      </w:pPr>
    </w:p>
    <w:p w14:paraId="23FF2919" w14:textId="77777777" w:rsidR="00070B6E" w:rsidRPr="00C7130A" w:rsidRDefault="00070B6E" w:rsidP="00C7130A">
      <w:pPr>
        <w:rPr>
          <w:rFonts w:eastAsia="Times New Roman"/>
          <w:kern w:val="0"/>
          <w:szCs w:val="18"/>
          <w:rtl/>
          <w:lang w:bidi="ar-KW"/>
          <w14:ligatures w14:val="none"/>
        </w:rPr>
      </w:pPr>
    </w:p>
    <w:p w14:paraId="0ED873BC" w14:textId="77777777" w:rsidR="00070B6E" w:rsidRPr="00141112" w:rsidRDefault="00070B6E" w:rsidP="000558B7">
      <w:pPr>
        <w:pStyle w:val="Heading3"/>
        <w:rPr>
          <w:rtl/>
          <w:lang w:bidi="ar-JO"/>
        </w:rPr>
      </w:pPr>
      <w:bookmarkStart w:id="309" w:name="_Toc193031073"/>
      <w:r w:rsidRPr="00141112">
        <w:rPr>
          <w:rtl/>
          <w:lang w:bidi="ar-JO"/>
        </w:rPr>
        <w:lastRenderedPageBreak/>
        <w:t>3.</w:t>
      </w:r>
      <w:r w:rsidRPr="00141112">
        <w:rPr>
          <w:rtl/>
          <w:lang w:bidi="ar-JO"/>
        </w:rPr>
        <w:tab/>
        <w:t>تمهيد (1: 1-5)</w:t>
      </w:r>
      <w:bookmarkEnd w:id="309"/>
    </w:p>
    <w:p w14:paraId="20DCA9FF"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تعرّفنا الآيات الخمس الأولى بوسيط العهد وتذكّر الجيل الثاني من بني إسرائيل من أين أتوا.  والزمن هنا هو اليوم الأول من الشهر الحادي عشر من السنة الأربعين.  فقد مرّت حوالي أربعين سنة على خروج إسرائيل من مصر، لكن لم تمض ستّة أشهر بعد على الخطية التي ارتكبت في بعل فغور (سفر العدد 25).  وقد مات الجيل الأول من الرجال الذين كانوا مؤهلين للحرب، لكن ذكرى خطية بعل فغّور ظلّت ماثلة في أذهان الجيل الجديد.  فعلى الرغم من انقراض الجيل الأول، إلاّ أن الجيل الجديد يدرك أيضاً أن قلوبهم ميّالة إلى الضلال.  والسؤال الماثل في ذهن موسى هو: هل سيرتكب هذا الجيل نفس الخطأ الذي ارتكبه الجيل السابق في قادش برْنيع؟ إنهم الآن متمركزون على حدود أرض الموعد، لكن هل ستخور عزائهم في عدم إيمان؟ وإذا كان لهم أن يدخلوا الأرض ويفتحوها، فهل سيخدمون ويطيعون يهوه بحسب التعليمات التي أعطاها لهم؟ كانت هذه أسئلة هامّة جدّاً.  فهل تعلّم الشعب من ماضيهم؟</w:t>
      </w:r>
    </w:p>
    <w:p w14:paraId="4C72660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5BC175A2"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 xml:space="preserve">شرع موسى في </w:t>
      </w:r>
      <w:r w:rsidRPr="00141112">
        <w:rPr>
          <w:rFonts w:eastAsia="Times New Roman"/>
          <w:kern w:val="0"/>
          <w:u w:val="single"/>
          <w:rtl/>
          <w:lang w:bidi="ar-JO"/>
          <w14:ligatures w14:val="none"/>
        </w:rPr>
        <w:t>شرح</w:t>
      </w:r>
      <w:r w:rsidRPr="00141112">
        <w:rPr>
          <w:rFonts w:eastAsia="Times New Roman"/>
          <w:kern w:val="0"/>
          <w:rtl/>
          <w:lang w:bidi="ar-JO"/>
          <w14:ligatures w14:val="none"/>
        </w:rPr>
        <w:t xml:space="preserve"> الشريعة (1: 5) على أمل أن لا يكرر الجيل الجديد نفس الأخطاء.  والكلمة العبرية المستخدمة هنا هي بيإير</w:t>
      </w:r>
      <w:r w:rsidRPr="00141112">
        <w:rPr>
          <w:rFonts w:eastAsia="Times New Roman"/>
          <w:bCs/>
          <w:i/>
          <w:iCs/>
          <w:kern w:val="0"/>
          <w:lang w:bidi="ar-JO"/>
          <w14:ligatures w14:val="none"/>
        </w:rPr>
        <w:t>bēʾēr</w:t>
      </w:r>
      <w:r w:rsidRPr="00141112">
        <w:rPr>
          <w:rFonts w:eastAsia="Times New Roman"/>
          <w:kern w:val="0"/>
          <w:lang w:bidi="ar-JO"/>
          <w14:ligatures w14:val="none"/>
        </w:rPr>
        <w:t xml:space="preserve"> </w:t>
      </w:r>
      <w:r w:rsidRPr="00141112">
        <w:rPr>
          <w:rFonts w:eastAsia="Times New Roman"/>
          <w:kern w:val="0"/>
          <w:rtl/>
          <w:lang w:bidi="ar-JO"/>
          <w14:ligatures w14:val="none"/>
        </w:rPr>
        <w:t xml:space="preserve"> </w:t>
      </w:r>
      <w:r w:rsidRPr="00141112">
        <w:rPr>
          <w:rFonts w:eastAsia="Times New Roman"/>
          <w:kern w:val="0"/>
          <w:lang w:bidi="ar-JO"/>
          <w14:ligatures w14:val="none"/>
        </w:rPr>
        <w:t>)</w:t>
      </w:r>
      <w:r w:rsidRPr="00141112">
        <w:rPr>
          <w:rFonts w:eastAsia="Times New Roman"/>
          <w:bCs/>
          <w:kern w:val="0"/>
          <w:lang w:bidi="ar-JO"/>
          <w14:ligatures w14:val="none"/>
        </w:rPr>
        <w:t xml:space="preserve"> </w:t>
      </w:r>
      <w:r w:rsidRPr="00141112">
        <w:rPr>
          <w:rFonts w:ascii="Times New Roman" w:eastAsia="Times New Roman" w:hAnsi="Times New Roman" w:cs="Times New Roman" w:hint="cs"/>
          <w:b/>
          <w:kern w:val="0"/>
          <w:rtl/>
          <w:lang w:bidi="he-IL"/>
          <w14:ligatures w14:val="none"/>
        </w:rPr>
        <w:t>בֵּאֵר</w:t>
      </w:r>
      <w:r w:rsidRPr="00141112">
        <w:rPr>
          <w:rFonts w:eastAsia="Times New Roman"/>
          <w:b/>
          <w:kern w:val="0"/>
          <w:lang w:bidi="he-IL"/>
          <w14:ligatures w14:val="none"/>
        </w:rPr>
        <w:t xml:space="preserve"> </w:t>
      </w:r>
      <w:r w:rsidRPr="00141112">
        <w:rPr>
          <w:rFonts w:eastAsia="Times New Roman"/>
          <w:bCs/>
          <w:kern w:val="0"/>
          <w:lang w:bidi="ar-JO"/>
          <w14:ligatures w14:val="none"/>
        </w:rPr>
        <w:t>(</w:t>
      </w:r>
      <w:r w:rsidRPr="00141112">
        <w:rPr>
          <w:rFonts w:eastAsia="Times New Roman"/>
          <w:kern w:val="0"/>
          <w:rtl/>
          <w:lang w:bidi="ar-JO"/>
          <w14:ligatures w14:val="none"/>
        </w:rPr>
        <w:t xml:space="preserve">وتعني "يفسّر" أو "يوضّح".  وكان الهدف من المادة التحريضية لسفر التثنية، خاصة الأصحاحات 1-4، هو إيضاح أهمية الناموس للأمة مع التركيز على الطاعة.  وهكذا فإن الأصحاحات الافتتاحية لا تشكّل مراجعة تاريخية فحسب (إذ كان بنو إسرائيل يعرفون هذه الأحداث)، لكنها </w:t>
      </w:r>
      <w:r w:rsidRPr="00141112">
        <w:rPr>
          <w:rFonts w:eastAsia="Times New Roman"/>
          <w:kern w:val="0"/>
          <w:u w:val="single"/>
          <w:rtl/>
          <w:lang w:bidi="ar-JO"/>
          <w14:ligatures w14:val="none"/>
        </w:rPr>
        <w:t>لاهوتية</w:t>
      </w:r>
      <w:r w:rsidRPr="00141112">
        <w:rPr>
          <w:rFonts w:eastAsia="Times New Roman"/>
          <w:kern w:val="0"/>
          <w:rtl/>
          <w:lang w:bidi="ar-JO"/>
          <w14:ligatures w14:val="none"/>
        </w:rPr>
        <w:t xml:space="preserve"> أيضاً في مضمونها مذكّرة الشعب بأي إله يعبدون: وهو لن يتعامل باستخفاف مع عدم الإيمان والتمرُّد، كما حدث في قادش برْنيع.  غير أنه سيُنجح الشعب إذا سعوا إلى طاعة إرادته (مثلاً، في محاربة الأموريين). لم يُعطَ الناموس لمعاقبة الناس لكن لحمايتهم وليريهم طريق البركة.  وكانت محبتهم ليهوه تشكّل أساساً لطاعته (تثنية 6).</w:t>
      </w:r>
    </w:p>
    <w:p w14:paraId="27CAA630"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24564D37" w14:textId="77777777" w:rsidR="00070B6E" w:rsidRPr="00141112" w:rsidRDefault="00070B6E" w:rsidP="000558B7">
      <w:pPr>
        <w:pStyle w:val="Heading3"/>
        <w:rPr>
          <w:rtl/>
          <w:lang w:bidi="ar-JO"/>
        </w:rPr>
      </w:pPr>
      <w:bookmarkStart w:id="310" w:name="_Toc193031074"/>
      <w:r w:rsidRPr="00141112">
        <w:rPr>
          <w:rtl/>
          <w:lang w:bidi="ar-JO"/>
        </w:rPr>
        <w:t>4.</w:t>
      </w:r>
      <w:r w:rsidRPr="00141112">
        <w:rPr>
          <w:rtl/>
          <w:lang w:bidi="ar-JO"/>
        </w:rPr>
        <w:tab/>
        <w:t>التحفيز على دخول الأرض وفتحها (1: 6-3: 29)</w:t>
      </w:r>
      <w:bookmarkEnd w:id="310"/>
    </w:p>
    <w:p w14:paraId="1DDCFF4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تنقسم المقدمة التاريخية (1: 6-4: 43) إلى قسمين رئيسيين: (1) التحفيز على دخول أرض الموعد وفتحها (1: 6-3: 29)، و(2) التحريض على الطاعة عند استقرارهم في الأرض (4: 1-40).</w:t>
      </w:r>
    </w:p>
    <w:p w14:paraId="423A783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58230157" w14:textId="7E4EF37B"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لا يُقصد بالقسم الرئيسي الأول إعادة سرد تاريخ إسرائيل أثناء الأربعين سنة الماضية.  فالمادة منتقاة بحرص، وتختص بشكل رئيسي بفشلهم في قادش وعمليات النجاح الأخيرة ضد الأموريين وباشان. الأول مثال سلبي، أمّا الثاني فإيجابي.  يتوجب على الشعب أن يطيعوا ويفتحوا الأرض؛ وسيعطيهم الله النجاح يقيناً!</w:t>
      </w:r>
    </w:p>
    <w:p w14:paraId="4836A89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73EF4CB3" w14:textId="77777777" w:rsidR="00070B6E" w:rsidRPr="00141112" w:rsidRDefault="00070B6E" w:rsidP="00C7130A">
      <w:pPr>
        <w:tabs>
          <w:tab w:val="left" w:pos="454"/>
        </w:tabs>
        <w:spacing w:after="60"/>
        <w:ind w:right="550" w:hanging="550"/>
        <w:jc w:val="both"/>
        <w:rPr>
          <w:rFonts w:eastAsia="Times New Roman"/>
          <w:bCs/>
          <w:kern w:val="0"/>
          <w:rtl/>
          <w14:ligatures w14:val="none"/>
        </w:rPr>
      </w:pPr>
      <w:r w:rsidRPr="00141112">
        <w:rPr>
          <w:rFonts w:eastAsia="Times New Roman"/>
          <w:bCs/>
          <w:kern w:val="0"/>
          <w:rtl/>
          <w14:ligatures w14:val="none"/>
        </w:rPr>
        <w:t>أ.</w:t>
      </w:r>
      <w:r w:rsidRPr="00141112">
        <w:rPr>
          <w:rFonts w:eastAsia="Times New Roman"/>
          <w:bCs/>
          <w:kern w:val="0"/>
          <w:rtl/>
          <w14:ligatures w14:val="none"/>
        </w:rPr>
        <w:tab/>
        <w:t>وصية امتلاك الأرض (1: 6-8)</w:t>
      </w:r>
    </w:p>
    <w:p w14:paraId="3E5E5BA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lastRenderedPageBreak/>
        <w:t>يبدأ هذا القسم المتعلق بالفتح بإعادة ذكر وصية الله لإسرائيل بدخول الأرض وامتلاكها.  ومن شأن إعادة التوكيد على إعطاء الأرض لإسرائيل أن توضح أن فشل إسرائيل سابقاً لم يلغِ خطة يهوه.  غير أن الفكرة الرئيسية موجودة في الآية 8: لماذا يتوجب على الشعب أن يأخذوا الأرض؟ الجواب – ما زال الله يتعامل معهم على أساس العهد الإبراهيمي.</w:t>
      </w:r>
    </w:p>
    <w:p w14:paraId="44EFBE02"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3C593B7A" w14:textId="77777777" w:rsidR="00070B6E" w:rsidRPr="00141112" w:rsidRDefault="00070B6E" w:rsidP="00C7130A">
      <w:pPr>
        <w:tabs>
          <w:tab w:val="left" w:pos="454"/>
        </w:tabs>
        <w:spacing w:after="60"/>
        <w:ind w:right="550" w:hanging="550"/>
        <w:jc w:val="both"/>
        <w:rPr>
          <w:rFonts w:eastAsia="Times New Roman"/>
          <w:bCs/>
          <w:kern w:val="0"/>
          <w:rtl/>
          <w14:ligatures w14:val="none"/>
        </w:rPr>
      </w:pPr>
      <w:r w:rsidRPr="00141112">
        <w:rPr>
          <w:rFonts w:eastAsia="Times New Roman"/>
          <w:bCs/>
          <w:kern w:val="0"/>
          <w:rtl/>
          <w14:ligatures w14:val="none"/>
        </w:rPr>
        <w:t>ب.</w:t>
      </w:r>
      <w:r w:rsidRPr="00141112">
        <w:rPr>
          <w:rFonts w:eastAsia="Times New Roman"/>
          <w:bCs/>
          <w:kern w:val="0"/>
          <w:rtl/>
          <w14:ligatures w14:val="none"/>
        </w:rPr>
        <w:tab/>
        <w:t>المثال السلبي لما حدث في قادش (1: 9-46)</w:t>
      </w:r>
    </w:p>
    <w:p w14:paraId="464B8E9D" w14:textId="35DF9F69"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 xml:space="preserve">يبدأ هذا القسم بذكر تفويض السلطة من أجل مساعدة موسى.  ولقد كان هذا ضرورياً بسبب عبء الشعب </w:t>
      </w:r>
      <w:r w:rsidRPr="00141112">
        <w:rPr>
          <w:rFonts w:eastAsia="Times New Roman"/>
          <w:kern w:val="0"/>
          <w:u w:val="single"/>
          <w:rtl/>
          <w:lang w:bidi="ar-JO"/>
          <w14:ligatures w14:val="none"/>
        </w:rPr>
        <w:t>و</w:t>
      </w:r>
      <w:r w:rsidRPr="00141112">
        <w:rPr>
          <w:rFonts w:eastAsia="Times New Roman"/>
          <w:kern w:val="0"/>
          <w:u w:val="single"/>
          <w:rtl/>
          <w14:ligatures w14:val="none"/>
        </w:rPr>
        <w:t>م</w:t>
      </w:r>
      <w:r w:rsidRPr="00141112">
        <w:rPr>
          <w:rFonts w:eastAsia="Times New Roman"/>
          <w:kern w:val="0"/>
          <w:u w:val="single"/>
          <w:rtl/>
          <w:lang w:bidi="ar-JO"/>
          <w14:ligatures w14:val="none"/>
        </w:rPr>
        <w:t>خ</w:t>
      </w:r>
      <w:r w:rsidRPr="00141112">
        <w:rPr>
          <w:rFonts w:eastAsia="Times New Roman"/>
          <w:kern w:val="0"/>
          <w:u w:val="single"/>
          <w:rtl/>
          <w14:ligatures w14:val="none"/>
        </w:rPr>
        <w:t>ا</w:t>
      </w:r>
      <w:r w:rsidRPr="00141112">
        <w:rPr>
          <w:rFonts w:eastAsia="Times New Roman"/>
          <w:kern w:val="0"/>
          <w:u w:val="single"/>
          <w:rtl/>
          <w:lang w:bidi="ar-JO"/>
          <w14:ligatures w14:val="none"/>
        </w:rPr>
        <w:t>صماتهم</w:t>
      </w:r>
      <w:r w:rsidRPr="00141112">
        <w:rPr>
          <w:rFonts w:eastAsia="Times New Roman"/>
          <w:kern w:val="0"/>
          <w:rtl/>
          <w:lang w:bidi="ar-JO"/>
          <w14:ligatures w14:val="none"/>
        </w:rPr>
        <w:t xml:space="preserve"> (1: 12).  وتشكّل هذه الفكرة تمهيداً لقادش برْنيع: حيث يتبين أن التمرد وعدم الإيمان اللذين وصلا ذروتهما في قادش كانت لهما جذور في سلوك الناس منذ البد</w:t>
      </w:r>
      <w:r w:rsidRPr="00141112">
        <w:rPr>
          <w:rFonts w:eastAsia="Times New Roman"/>
          <w:kern w:val="0"/>
          <w:rtl/>
          <w14:ligatures w14:val="none"/>
        </w:rPr>
        <w:t>ا</w:t>
      </w:r>
      <w:r w:rsidRPr="00141112">
        <w:rPr>
          <w:rFonts w:eastAsia="Times New Roman"/>
          <w:kern w:val="0"/>
          <w:rtl/>
          <w:lang w:bidi="ar-JO"/>
          <w14:ligatures w14:val="none"/>
        </w:rPr>
        <w:t>ية في حوريب.  ولم يكن في مقدور أفضل إدارة موجودة أن تغيّر من هذه الحقيقة.</w:t>
      </w:r>
    </w:p>
    <w:p w14:paraId="5BAAE7F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4691BAC8"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يتركّز باقي الأصحاح (19- 46) بشكل مباشر على أحداث قادش:</w:t>
      </w:r>
    </w:p>
    <w:p w14:paraId="5FB77281"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1: 19-25</w:t>
      </w:r>
      <w:r w:rsidRPr="00141112">
        <w:rPr>
          <w:rFonts w:eastAsia="Times New Roman"/>
          <w:kern w:val="0"/>
          <w:rtl/>
          <w:lang w:bidi="ar-JO"/>
          <w14:ligatures w14:val="none"/>
        </w:rPr>
        <w:tab/>
        <w:t>قرار إرسال الجواسيس</w:t>
      </w:r>
    </w:p>
    <w:p w14:paraId="1BB0B5A1"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1: 26-33</w:t>
      </w:r>
      <w:r w:rsidRPr="00141112">
        <w:rPr>
          <w:rFonts w:eastAsia="Times New Roman"/>
          <w:kern w:val="0"/>
          <w:rtl/>
          <w:lang w:bidi="ar-JO"/>
          <w14:ligatures w14:val="none"/>
        </w:rPr>
        <w:tab/>
        <w:t xml:space="preserve">تمرّد إسرائيل وعدم إيمانهم </w:t>
      </w:r>
    </w:p>
    <w:p w14:paraId="65349124"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1: 34-40</w:t>
      </w:r>
      <w:r w:rsidRPr="00141112">
        <w:rPr>
          <w:rFonts w:eastAsia="Times New Roman"/>
          <w:kern w:val="0"/>
          <w:rtl/>
          <w:lang w:bidi="ar-JO"/>
          <w14:ligatures w14:val="none"/>
        </w:rPr>
        <w:tab/>
        <w:t>استجابة يهوه بتحريم دخول الأرض</w:t>
      </w:r>
    </w:p>
    <w:p w14:paraId="2CB10000"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1: 41-46</w:t>
      </w:r>
      <w:r w:rsidRPr="00141112">
        <w:rPr>
          <w:rFonts w:eastAsia="Times New Roman"/>
          <w:kern w:val="0"/>
          <w:rtl/>
          <w:lang w:bidi="ar-JO"/>
          <w14:ligatures w14:val="none"/>
        </w:rPr>
        <w:tab/>
        <w:t xml:space="preserve">عمل عصيان وقح للاستيلاء على الأرض دون موافقة الرب </w:t>
      </w:r>
    </w:p>
    <w:p w14:paraId="1D59C563"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17F6221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احتاج الجيل الحالي إلى أن يذكَّر كيف أن التمرّد على الرب كان سبب سقوط الجيل الأول قبل التوجه إلى الأرض مرة أخرى.  كان تصرّفهم في قادش هو التمرّد، وهو إهانة لمحبة الله لهم، وتعبيراً عن عدم الثقة به بالرغم من إثباته لأمانته ووفائه.</w:t>
      </w:r>
    </w:p>
    <w:p w14:paraId="58866588"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ا: 26-</w:t>
      </w:r>
      <w:r w:rsidRPr="00141112">
        <w:rPr>
          <w:rFonts w:eastAsia="Times New Roman"/>
          <w:kern w:val="0"/>
          <w:rtl/>
          <w:lang w:bidi="ar-JO"/>
          <w14:ligatures w14:val="none"/>
        </w:rPr>
        <w:tab/>
      </w:r>
      <w:r w:rsidRPr="00141112">
        <w:rPr>
          <w:rFonts w:eastAsia="Times New Roman"/>
          <w:kern w:val="0"/>
          <w:rtl/>
          <w:lang w:bidi="ar-JO"/>
          <w14:ligatures w14:val="none"/>
        </w:rPr>
        <w:tab/>
      </w:r>
      <w:r w:rsidRPr="00141112">
        <w:rPr>
          <w:rFonts w:eastAsia="Times New Roman"/>
          <w:kern w:val="0"/>
          <w:rtl/>
          <w:lang w:bidi="ar-JO"/>
          <w14:ligatures w14:val="none"/>
        </w:rPr>
        <w:tab/>
        <w:t xml:space="preserve">لكنكم </w:t>
      </w:r>
      <w:r w:rsidRPr="00141112">
        <w:rPr>
          <w:rFonts w:eastAsia="Times New Roman"/>
          <w:kern w:val="0"/>
          <w:u w:val="single"/>
          <w:rtl/>
          <w:lang w:bidi="ar-JO"/>
          <w14:ligatures w14:val="none"/>
        </w:rPr>
        <w:t>لم تشاءوا</w:t>
      </w:r>
      <w:r w:rsidRPr="00141112">
        <w:rPr>
          <w:rFonts w:eastAsia="Times New Roman"/>
          <w:kern w:val="0"/>
          <w:rtl/>
          <w:lang w:bidi="ar-JO"/>
          <w14:ligatures w14:val="none"/>
        </w:rPr>
        <w:t xml:space="preserve">  أن تصعدوا، وعصيتم قول الرب إلهكم.</w:t>
      </w:r>
    </w:p>
    <w:p w14:paraId="36F1ED72"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1: 27-</w:t>
      </w:r>
      <w:r w:rsidRPr="00141112">
        <w:rPr>
          <w:rFonts w:eastAsia="Times New Roman"/>
          <w:kern w:val="0"/>
          <w:rtl/>
          <w:lang w:bidi="ar-JO"/>
          <w14:ligatures w14:val="none"/>
        </w:rPr>
        <w:tab/>
      </w:r>
      <w:r w:rsidRPr="00141112">
        <w:rPr>
          <w:rFonts w:eastAsia="Times New Roman"/>
          <w:kern w:val="0"/>
          <w:rtl/>
          <w:lang w:bidi="ar-JO"/>
          <w14:ligatures w14:val="none"/>
        </w:rPr>
        <w:tab/>
        <w:t xml:space="preserve">قلتم: الرب بسبب </w:t>
      </w:r>
      <w:r w:rsidRPr="00141112">
        <w:rPr>
          <w:rFonts w:eastAsia="Times New Roman"/>
          <w:kern w:val="0"/>
          <w:u w:val="single"/>
          <w:rtl/>
          <w:lang w:bidi="ar-JO"/>
          <w14:ligatures w14:val="none"/>
        </w:rPr>
        <w:t>بُغضه</w:t>
      </w:r>
      <w:r w:rsidRPr="00141112">
        <w:rPr>
          <w:rFonts w:eastAsia="Times New Roman"/>
          <w:kern w:val="0"/>
          <w:rtl/>
          <w:lang w:bidi="ar-JO"/>
          <w14:ligatures w14:val="none"/>
        </w:rPr>
        <w:t xml:space="preserve"> لنا...</w:t>
      </w:r>
    </w:p>
    <w:p w14:paraId="7A2EFC7C"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i/>
          <w:iCs/>
          <w:kern w:val="0"/>
          <w:rtl/>
          <w:lang w:bidi="ar-JO"/>
          <w14:ligatures w14:val="none"/>
        </w:rPr>
        <w:t>1: 32-</w:t>
      </w:r>
      <w:r w:rsidRPr="00141112">
        <w:rPr>
          <w:rFonts w:eastAsia="Times New Roman"/>
          <w:i/>
          <w:iCs/>
          <w:kern w:val="0"/>
          <w:rtl/>
          <w:lang w:bidi="ar-JO"/>
          <w14:ligatures w14:val="none"/>
        </w:rPr>
        <w:tab/>
      </w:r>
      <w:r w:rsidRPr="00141112">
        <w:rPr>
          <w:rFonts w:eastAsia="Times New Roman"/>
          <w:i/>
          <w:iCs/>
          <w:kern w:val="0"/>
          <w:rtl/>
          <w:lang w:bidi="ar-JO"/>
          <w14:ligatures w14:val="none"/>
        </w:rPr>
        <w:tab/>
        <w:t xml:space="preserve">"ولكن في هذا الأمر لستم </w:t>
      </w:r>
      <w:r w:rsidRPr="00141112">
        <w:rPr>
          <w:rFonts w:eastAsia="Times New Roman"/>
          <w:i/>
          <w:iCs/>
          <w:kern w:val="0"/>
          <w:u w:val="single"/>
          <w:rtl/>
          <w:lang w:bidi="ar-JO"/>
          <w14:ligatures w14:val="none"/>
        </w:rPr>
        <w:t>واثقين</w:t>
      </w:r>
      <w:r w:rsidRPr="00141112">
        <w:rPr>
          <w:rFonts w:eastAsia="Times New Roman"/>
          <w:i/>
          <w:iCs/>
          <w:kern w:val="0"/>
          <w:rtl/>
          <w:lang w:bidi="ar-JO"/>
          <w14:ligatures w14:val="none"/>
        </w:rPr>
        <w:t xml:space="preserve"> بالرب إلهكم"،</w:t>
      </w:r>
      <w:r w:rsidRPr="00141112">
        <w:rPr>
          <w:rFonts w:eastAsia="Times New Roman"/>
          <w:kern w:val="0"/>
          <w:rtl/>
          <w:lang w:bidi="ar-JO"/>
          <w14:ligatures w14:val="none"/>
        </w:rPr>
        <w:t xml:space="preserve"> وفي ترجمة أخرى "في كل هذه الأمور لم تثقوا بالرب إلهكم."</w:t>
      </w:r>
    </w:p>
    <w:p w14:paraId="77992B9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4A2A142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استجاب الرب لتمرّدهم بالغضب.  وكان الرب قد انتظر لعدّة سنوات فرصة التقدم ببرنامجه الإلهي الذي بدأه بإبراهيم.  والآن صار لديه شعب أعطاه دستوراً؛ وإن ترك الأمة ليهوه هو خيانة.  وهذا مستحق للتأديب العادل:</w:t>
      </w:r>
    </w:p>
    <w:p w14:paraId="4B53DCFB"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2160" w:right="2160" w:hanging="1139"/>
        <w:jc w:val="both"/>
        <w:rPr>
          <w:rFonts w:eastAsia="Times New Roman"/>
          <w:kern w:val="0"/>
          <w:rtl/>
          <w:lang w:bidi="ar-JO"/>
          <w14:ligatures w14:val="none"/>
        </w:rPr>
      </w:pPr>
      <w:r w:rsidRPr="00141112">
        <w:rPr>
          <w:rFonts w:eastAsia="Times New Roman"/>
          <w:kern w:val="0"/>
          <w:rtl/>
          <w:lang w:bidi="ar-JO"/>
          <w14:ligatures w14:val="none"/>
        </w:rPr>
        <w:lastRenderedPageBreak/>
        <w:t>1: 35-</w:t>
      </w:r>
      <w:r w:rsidRPr="00141112">
        <w:rPr>
          <w:rFonts w:eastAsia="Times New Roman"/>
          <w:kern w:val="0"/>
          <w:rtl/>
          <w:lang w:bidi="ar-JO"/>
          <w14:ligatures w14:val="none"/>
        </w:rPr>
        <w:tab/>
      </w:r>
      <w:r w:rsidRPr="00141112">
        <w:rPr>
          <w:rFonts w:eastAsia="Times New Roman"/>
          <w:kern w:val="0"/>
          <w:rtl/>
          <w:lang w:bidi="ar-JO"/>
          <w14:ligatures w14:val="none"/>
        </w:rPr>
        <w:tab/>
        <w:t xml:space="preserve">لن يرى إنسان من هؤلاء الناس – من </w:t>
      </w:r>
      <w:r w:rsidRPr="00141112">
        <w:rPr>
          <w:rFonts w:eastAsia="Times New Roman"/>
          <w:kern w:val="0"/>
          <w:u w:val="single"/>
          <w:rtl/>
          <w:lang w:bidi="ar-JO"/>
          <w14:ligatures w14:val="none"/>
        </w:rPr>
        <w:t>هذا الجيل الشرير</w:t>
      </w:r>
      <w:r w:rsidRPr="00141112">
        <w:rPr>
          <w:rFonts w:eastAsia="Times New Roman"/>
          <w:kern w:val="0"/>
          <w:rtl/>
          <w:lang w:bidi="ar-JO"/>
          <w14:ligatures w14:val="none"/>
        </w:rPr>
        <w:t xml:space="preserve"> – الأرض الجيدة التي أقسمت أن أعطيها لآبائكم، ما عدا كالب...  ويشوع."</w:t>
      </w:r>
    </w:p>
    <w:p w14:paraId="6B516797"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 xml:space="preserve">إن إعلان التأديب أمر ذو دلالة.  فالرب لا ينبذ الأمّة إلى الأبد من برنامجه؛ فقد خسر ذلك الجيل بالذات الامتياز الذي كان في إمكانهم أن ينالوه.  وحتى الآن، لم توضع إسرائيل بشكل كلّي خارج برنامج الله.  إذ سيحقق الله مستقبلاً كل وعوده لإسرائيل.  وستكون للعهد مع إبراهيم تطبيقاته.  فالكنيسة (التي وُلدت في يوم الخمسين) لم تحل محل إسرائيل.  إن إسرائيل الآن </w:t>
      </w:r>
      <w:r w:rsidRPr="00141112">
        <w:rPr>
          <w:rFonts w:eastAsia="Times New Roman"/>
          <w:kern w:val="0"/>
          <w:u w:val="single"/>
          <w:rtl/>
          <w:lang w:bidi="ar-JO"/>
          <w14:ligatures w14:val="none"/>
        </w:rPr>
        <w:t>تحت التأديب</w:t>
      </w:r>
      <w:r w:rsidRPr="00141112">
        <w:rPr>
          <w:rFonts w:eastAsia="Times New Roman"/>
          <w:kern w:val="0"/>
          <w:rtl/>
          <w:lang w:bidi="ar-JO"/>
          <w14:ligatures w14:val="none"/>
        </w:rPr>
        <w:t>، والكنيسة هي النقطة المركزية لنشاط (عمل) الله الفدائي.  لكن سيكون هنالك جيل في إسرائيل مستقبلاً سيُرد إلى الله وسيحقق الله من خلاله وعوده لإسرائيل.</w:t>
      </w:r>
    </w:p>
    <w:p w14:paraId="2D0006F7"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7517F5FD" w14:textId="77777777" w:rsidR="00070B6E" w:rsidRPr="00141112" w:rsidRDefault="00070B6E" w:rsidP="00C7130A">
      <w:pPr>
        <w:tabs>
          <w:tab w:val="left" w:pos="454"/>
        </w:tabs>
        <w:spacing w:after="60"/>
        <w:ind w:right="550" w:hanging="550"/>
        <w:jc w:val="both"/>
        <w:rPr>
          <w:rFonts w:eastAsia="Times New Roman"/>
          <w:bCs/>
          <w:kern w:val="0"/>
          <w:rtl/>
          <w14:ligatures w14:val="none"/>
        </w:rPr>
      </w:pPr>
      <w:r w:rsidRPr="00141112">
        <w:rPr>
          <w:rFonts w:eastAsia="Times New Roman"/>
          <w:bCs/>
          <w:kern w:val="0"/>
          <w:rtl/>
          <w14:ligatures w14:val="none"/>
        </w:rPr>
        <w:t>هـ.</w:t>
      </w:r>
      <w:r w:rsidRPr="00141112">
        <w:rPr>
          <w:rFonts w:eastAsia="Times New Roman"/>
          <w:bCs/>
          <w:kern w:val="0"/>
          <w:rtl/>
          <w14:ligatures w14:val="none"/>
        </w:rPr>
        <w:tab/>
        <w:t>المثال الإيجابي – النجاح العسكري (2: 1-3: 17)</w:t>
      </w:r>
    </w:p>
    <w:p w14:paraId="3344D6F5"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لا يجب أن يحرص الجيل الجديد على عدم تكرار الخطأ الفاضح في قادش فحسب، لكن يجب عليهم أيضاً أن يتحلّوا بالشجاعة، حيث إن الله أظهر لهم قوّته وانتصاره على الأعداء.  فهم غير مطالبين بالانطلاق وفتح بلاد الكنعانيين بإيمان أعمى.  ففي الأشهر القليلة الأخيرة فقط هزموا مملكتي سيحون ملك حشبون (الأموريين) وعوج ملك باشان.  وقد هدف هذا إلى أن يتأكدوا أن الله سيمدهم بعون إلهي ويمكنّهم من هزيمة سكان الأرض:</w:t>
      </w:r>
    </w:p>
    <w:p w14:paraId="72F74C25"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1021"/>
        <w:jc w:val="both"/>
        <w:rPr>
          <w:rFonts w:eastAsia="Times New Roman"/>
          <w:kern w:val="0"/>
          <w:rtl/>
          <w14:ligatures w14:val="none"/>
        </w:rPr>
      </w:pPr>
      <w:r w:rsidRPr="00141112">
        <w:rPr>
          <w:rFonts w:eastAsia="Times New Roman"/>
          <w:kern w:val="0"/>
          <w:rtl/>
          <w:lang w:bidi="ar-JO"/>
          <w14:ligatures w14:val="none"/>
        </w:rPr>
        <w:t>وأمرتُ يشوع في ذلك الوقت قائلاً: "عيناكَ قد أبصرتا كل ما فعل الرب إلهكم بهذين الملكين.  هكذا يفعل الرب بجميع الممالك التي أنت عابر إليها.  لا تخافوا منهم، لأن الرب إلهكم هو المحارب عنكم" (تثنية 3: 21-22).</w:t>
      </w:r>
    </w:p>
    <w:p w14:paraId="14310AC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1588"/>
        <w:jc w:val="both"/>
        <w:rPr>
          <w:rFonts w:eastAsia="Times New Roman"/>
          <w:kern w:val="0"/>
          <w:rtl/>
          <w14:ligatures w14:val="none"/>
        </w:rPr>
      </w:pPr>
    </w:p>
    <w:p w14:paraId="3878088E" w14:textId="77777777" w:rsidR="00070B6E" w:rsidRPr="00141112" w:rsidRDefault="00070B6E" w:rsidP="000558B7">
      <w:pPr>
        <w:pStyle w:val="Heading3"/>
        <w:rPr>
          <w:rtl/>
          <w:lang w:bidi="ar-JO"/>
        </w:rPr>
      </w:pPr>
      <w:bookmarkStart w:id="311" w:name="_Toc193031075"/>
      <w:r w:rsidRPr="00141112">
        <w:rPr>
          <w:rtl/>
          <w:lang w:bidi="ar-JO"/>
        </w:rPr>
        <w:t>5.</w:t>
      </w:r>
      <w:r w:rsidRPr="00141112">
        <w:rPr>
          <w:rtl/>
          <w:lang w:bidi="ar-JO"/>
        </w:rPr>
        <w:tab/>
        <w:t>تحفيز على الطاعة في الأرض (4: 1-40)</w:t>
      </w:r>
      <w:bookmarkEnd w:id="311"/>
    </w:p>
    <w:p w14:paraId="6FECFE42"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تتوقع مادة الأصحاح الرابع أن تذهب إسرائيل وتفتح الأرض.  لكن وماذا بعد ذلك؟ إن من الواضح أن الله يعرّفهم بأن الطاعة شرط مسبق للبركة!</w:t>
      </w:r>
    </w:p>
    <w:p w14:paraId="71E31F8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313DCAD3" w14:textId="77777777" w:rsidR="00070B6E" w:rsidRPr="00141112" w:rsidRDefault="00070B6E" w:rsidP="00626028">
      <w:pPr>
        <w:tabs>
          <w:tab w:val="left" w:pos="454"/>
        </w:tabs>
        <w:spacing w:after="60"/>
        <w:ind w:left="550" w:right="550" w:hanging="550"/>
        <w:jc w:val="both"/>
        <w:rPr>
          <w:rFonts w:eastAsia="Times New Roman"/>
          <w:bCs/>
          <w:kern w:val="0"/>
          <w:rtl/>
          <w14:ligatures w14:val="none"/>
        </w:rPr>
      </w:pPr>
      <w:r w:rsidRPr="00141112">
        <w:rPr>
          <w:rFonts w:eastAsia="Times New Roman"/>
          <w:bCs/>
          <w:kern w:val="0"/>
          <w:rtl/>
          <w14:ligatures w14:val="none"/>
        </w:rPr>
        <w:t>أ.</w:t>
      </w:r>
      <w:r w:rsidRPr="00141112">
        <w:rPr>
          <w:rFonts w:eastAsia="Times New Roman"/>
          <w:bCs/>
          <w:kern w:val="0"/>
          <w:rtl/>
          <w14:ligatures w14:val="none"/>
        </w:rPr>
        <w:tab/>
        <w:t>تحريض على الطاعة (4: 1-8)</w:t>
      </w:r>
    </w:p>
    <w:p w14:paraId="2A9AC477"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550" w:right="454"/>
        <w:jc w:val="both"/>
        <w:rPr>
          <w:rFonts w:eastAsia="Times New Roman"/>
          <w:kern w:val="0"/>
          <w:rtl/>
          <w:lang w:bidi="ar-JO"/>
          <w14:ligatures w14:val="none"/>
        </w:rPr>
      </w:pPr>
      <w:r w:rsidRPr="00141112">
        <w:rPr>
          <w:rFonts w:eastAsia="Times New Roman"/>
          <w:kern w:val="0"/>
          <w:rtl/>
          <w:lang w:bidi="ar-JO"/>
          <w14:ligatures w14:val="none"/>
        </w:rPr>
        <w:t>يبدأ الأصحاح الرابع بحث على طاعة يهوه، يتبعه أربعة أسباب لعمل ذلك. أولاً، إن الطاعة هي الطريق إلى "الحياة"، أي إلى اختبار بركة يهوه (4: 1).  ثانياً، سيُسفر العصيان عن التأديب كما في حالة بعل فغور (4: 3).  ثالثاً، ستراقب الأمم الأخرى إسرائيل عن كثب، خاصّة في ضوء الطريقة الباهرة التي امتلكوا بها كنعان (تقاطع طرق العالم القديم).  وإن من شأن اتّباع إسرائيل ليهوه أن يسمها كشعب حكيم فَطِن، وسيجذب هذا انتباه الأمم الأخرى، معطياً إياها بهذا فرصة سماع شهادتهم عن يهوه (4: 6).  رابعاً، أعطيت إسرائيل فرصة فريدة وسط الأمم! "لأنه أي شعب هو عظيم له آلهة قريبة منه كالرب إلهنا في كل أدعيتنا إليه؟" (4: 7).</w:t>
      </w:r>
    </w:p>
    <w:p w14:paraId="5A1BD472" w14:textId="77777777" w:rsidR="00070B6E" w:rsidRPr="00141112" w:rsidRDefault="00070B6E" w:rsidP="00626028">
      <w:pPr>
        <w:tabs>
          <w:tab w:val="left" w:pos="454"/>
        </w:tabs>
        <w:spacing w:after="60"/>
        <w:ind w:left="550" w:right="550" w:hanging="550"/>
        <w:jc w:val="both"/>
        <w:rPr>
          <w:rFonts w:eastAsia="Times New Roman"/>
          <w:bCs/>
          <w:kern w:val="0"/>
          <w:rtl/>
          <w14:ligatures w14:val="none"/>
        </w:rPr>
      </w:pPr>
      <w:r w:rsidRPr="00141112">
        <w:rPr>
          <w:rFonts w:eastAsia="Times New Roman"/>
          <w:bCs/>
          <w:kern w:val="0"/>
          <w:rtl/>
          <w14:ligatures w14:val="none"/>
        </w:rPr>
        <w:lastRenderedPageBreak/>
        <w:t>ب.</w:t>
      </w:r>
      <w:r w:rsidRPr="00141112">
        <w:rPr>
          <w:rFonts w:eastAsia="Times New Roman"/>
          <w:bCs/>
          <w:kern w:val="0"/>
          <w:rtl/>
          <w14:ligatures w14:val="none"/>
        </w:rPr>
        <w:tab/>
        <w:t>التحريض على عدم النسيان (4: 9-14)</w:t>
      </w:r>
    </w:p>
    <w:p w14:paraId="78B20B3A"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550" w:right="454"/>
        <w:jc w:val="both"/>
        <w:rPr>
          <w:rFonts w:eastAsia="Times New Roman"/>
          <w:kern w:val="0"/>
          <w:rtl/>
          <w:lang w:bidi="ar-JO"/>
          <w14:ligatures w14:val="none"/>
        </w:rPr>
      </w:pPr>
      <w:r w:rsidRPr="00141112">
        <w:rPr>
          <w:rFonts w:eastAsia="Times New Roman"/>
          <w:kern w:val="0"/>
          <w:rtl/>
          <w:lang w:bidi="ar-JO"/>
          <w14:ligatures w14:val="none"/>
        </w:rPr>
        <w:t>سيكون الميل إلى النسيان أحد أسوأ أعداء إسرائيل الذين ستواجههم إسرائيل عندما تستقر في الأرض.  فعلى الرغم من قيام يهوه بمعجزات عجيبة بينهم، إلاّ أنهم كانوا مهددين بخطر نسيان هذه الأمور وتركها تتسرب من قلوبهم (4: 9).  ولهذا يجب أن يحترسوا وأن ينتبهوا لأنفسهم عن كثب، لأن لديهم مسؤولية في نقل إيمانهم إلى أبنائهم.</w:t>
      </w:r>
    </w:p>
    <w:p w14:paraId="6165ACE6" w14:textId="77777777" w:rsidR="00070B6E" w:rsidRPr="00141112" w:rsidRDefault="00070B6E" w:rsidP="00626028">
      <w:pPr>
        <w:tabs>
          <w:tab w:val="left" w:pos="454"/>
        </w:tabs>
        <w:spacing w:after="60"/>
        <w:ind w:left="550" w:right="550" w:hanging="550"/>
        <w:jc w:val="both"/>
        <w:rPr>
          <w:rFonts w:eastAsia="Times New Roman"/>
          <w:bCs/>
          <w:kern w:val="0"/>
          <w:rtl/>
          <w14:ligatures w14:val="none"/>
        </w:rPr>
      </w:pPr>
      <w:r w:rsidRPr="00141112">
        <w:rPr>
          <w:rFonts w:eastAsia="Times New Roman"/>
          <w:bCs/>
          <w:kern w:val="0"/>
          <w:rtl/>
          <w14:ligatures w14:val="none"/>
        </w:rPr>
        <w:t>جـ.</w:t>
      </w:r>
      <w:r w:rsidRPr="00141112">
        <w:rPr>
          <w:rFonts w:eastAsia="Times New Roman"/>
          <w:bCs/>
          <w:kern w:val="0"/>
          <w:rtl/>
          <w14:ligatures w14:val="none"/>
        </w:rPr>
        <w:tab/>
        <w:t>التحريض على تجنّب عبادة الأصنام (4: 15-24)</w:t>
      </w:r>
    </w:p>
    <w:p w14:paraId="14A6E513"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550" w:right="454"/>
        <w:jc w:val="both"/>
        <w:rPr>
          <w:rFonts w:eastAsia="Times New Roman"/>
          <w:kern w:val="0"/>
          <w:rtl/>
          <w:lang w:bidi="ar-JO"/>
          <w14:ligatures w14:val="none"/>
        </w:rPr>
      </w:pPr>
      <w:r w:rsidRPr="00141112">
        <w:rPr>
          <w:rFonts w:eastAsia="Times New Roman"/>
          <w:kern w:val="0"/>
          <w:rtl/>
          <w:lang w:bidi="ar-JO"/>
          <w14:ligatures w14:val="none"/>
        </w:rPr>
        <w:t xml:space="preserve"> الله غيور جدّاً على مجده ولن يشاركه مع أحد آخر.  ولهذا يجب أن يتجنّب شعبه العبادة الوثنية مهما كلّفه الأمر.  هذه وصيّة هامّة جدّاً لأن بني إسرائيل كانوا على وشك دخول أرض مشبعة بكل أشكال عبادة الأصنام.  وقد واجهتهم من كل ناحية إغراءات بالاشتراك في الممارسات اليومية للكنعانيين.  فهل سيؤثر الكنعانيون في إسرائيل؟ لم تنجح أمة إسرائيل بعد في تجنّب عبادة الأصنام.  فقد صنع جيل الخروج تحت سلطة هارون العجل الذهبي، وقد قدّم الجيل الجديد ذبائح لآلهة الموآبيين وعبدوها في بعل فغور (سفر العدد 25).  وفي هذا القسم يذكر موسى خطيّته الشخصية عندما ضرب الصخرة.  وقد سلبت هذه الخطية، مثلها في ذلك مثل عبادة الأصنام، الله مجده.</w:t>
      </w:r>
    </w:p>
    <w:p w14:paraId="61AEC47F" w14:textId="77777777" w:rsidR="00070B6E" w:rsidRPr="00141112" w:rsidRDefault="00070B6E" w:rsidP="00626028">
      <w:pPr>
        <w:tabs>
          <w:tab w:val="left" w:pos="454"/>
        </w:tabs>
        <w:spacing w:after="60"/>
        <w:ind w:left="550" w:right="550" w:hanging="550"/>
        <w:jc w:val="both"/>
        <w:rPr>
          <w:rFonts w:eastAsia="Times New Roman"/>
          <w:bCs/>
          <w:kern w:val="0"/>
          <w:rtl/>
          <w14:ligatures w14:val="none"/>
        </w:rPr>
      </w:pPr>
      <w:r w:rsidRPr="00141112">
        <w:rPr>
          <w:rFonts w:eastAsia="Times New Roman"/>
          <w:bCs/>
          <w:kern w:val="0"/>
          <w:rtl/>
          <w14:ligatures w14:val="none"/>
        </w:rPr>
        <w:t>د.</w:t>
      </w:r>
      <w:r w:rsidRPr="00141112">
        <w:rPr>
          <w:rFonts w:eastAsia="Times New Roman"/>
          <w:bCs/>
          <w:kern w:val="0"/>
          <w:rtl/>
          <w14:ligatures w14:val="none"/>
        </w:rPr>
        <w:tab/>
        <w:t>الإنباء بعصيان مستقبلي وسبي (4: 25-31)</w:t>
      </w:r>
    </w:p>
    <w:p w14:paraId="08B517A1"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550" w:right="454"/>
        <w:jc w:val="both"/>
        <w:rPr>
          <w:rFonts w:eastAsia="Times New Roman"/>
          <w:kern w:val="0"/>
          <w:rtl/>
          <w:lang w:bidi="ar-JO"/>
          <w14:ligatures w14:val="none"/>
        </w:rPr>
      </w:pPr>
      <w:r w:rsidRPr="00141112">
        <w:rPr>
          <w:rFonts w:eastAsia="Times New Roman"/>
          <w:kern w:val="0"/>
          <w:rtl/>
          <w:lang w:bidi="ar-JO"/>
          <w14:ligatures w14:val="none"/>
        </w:rPr>
        <w:t>هذه فقرة هامة جدّاً، لا على أساس ما تتنبأ به حول سبي إسرائيل فحسب، بل أيضاً بسبب ما تكشفه عن ردِّهم.  ولا يمكن لأحد أن ينكر نبويّة هذه الفقرة؛ لكن تحديد الأحداث بدقّة هو مسألة أخرى يختلف عليها الباحثون.</w:t>
      </w:r>
    </w:p>
    <w:p w14:paraId="265826A6"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إن بنية 4: 25-31 واضحة:</w:t>
      </w:r>
    </w:p>
    <w:p w14:paraId="1ECF79C3"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1.</w:t>
      </w:r>
      <w:r w:rsidRPr="00141112">
        <w:rPr>
          <w:rFonts w:eastAsia="Times New Roman"/>
          <w:kern w:val="0"/>
          <w:rtl/>
          <w:lang w:bidi="ar-JO"/>
          <w14:ligatures w14:val="none"/>
        </w:rPr>
        <w:tab/>
        <w:t>ارتداد مستقبلي (25)</w:t>
      </w:r>
    </w:p>
    <w:p w14:paraId="187EDDF2"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2.</w:t>
      </w:r>
      <w:r w:rsidRPr="00141112">
        <w:rPr>
          <w:rFonts w:eastAsia="Times New Roman"/>
          <w:kern w:val="0"/>
          <w:rtl/>
          <w:lang w:bidi="ar-JO"/>
          <w14:ligatures w14:val="none"/>
        </w:rPr>
        <w:tab/>
        <w:t>تأديب من يهوه (26-28)</w:t>
      </w:r>
    </w:p>
    <w:p w14:paraId="561557EB"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3.</w:t>
      </w:r>
      <w:r w:rsidRPr="00141112">
        <w:rPr>
          <w:rFonts w:eastAsia="Times New Roman"/>
          <w:kern w:val="0"/>
          <w:rtl/>
          <w:lang w:bidi="ar-JO"/>
          <w14:ligatures w14:val="none"/>
        </w:rPr>
        <w:tab/>
        <w:t>الردّ (29-30)</w:t>
      </w:r>
    </w:p>
    <w:p w14:paraId="0BDAA565"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4.</w:t>
      </w:r>
      <w:r w:rsidRPr="00141112">
        <w:rPr>
          <w:rFonts w:eastAsia="Times New Roman"/>
          <w:kern w:val="0"/>
          <w:rtl/>
          <w:lang w:bidi="ar-JO"/>
          <w14:ligatures w14:val="none"/>
        </w:rPr>
        <w:tab/>
        <w:t>أساس وفاء الله لإسرائيل (31)</w:t>
      </w:r>
    </w:p>
    <w:p w14:paraId="5E07D10E"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 xml:space="preserve">تبدأ الفقرة بتنبيه الأمة إلى الارتداد المستقبلي.  كان موسى قد انتهى لتوّه من تحريض الأمة على عبادة الرب وعدم الوقوع في عبادة الأصنام، فعندئذ فقط سينالون بركة يهوه.  لكنه ينبههم الآن إلى أن الطاعة هي مسؤولية كل جيل.  وفضلاً عن ذلك، فإنه يؤكد لهم أن جيلاً في المستقبل سيبتعد عنه ويرتد.  إن تفصيلات هذا الأمر غامضة، لكنها كافية لتجعل كل جيل يتوقّف ويفكّر: هل سنطيع الرب أم سنكون الجيل الذي سيرتدّ عن الله؟ سيتضمن هذا الارتداد (1) التصرّف الفاسد، (2) عبادة الأصنام، (3) إثارة غضب يهوه بفعل ما هو شر في عينيه.  إن زمن هذا الارتداد غير محدد، لكنه سيحدث على الأقل بعد أن يكونوا قد "أطالوا الزمان في الأرض".  وإن غموض الزمن وطبيعته أمر متعمَّد لكي يتوقّف كل جيل ويفكّر: "هل سنكون نحن ذلك الجيل؟" </w:t>
      </w:r>
    </w:p>
    <w:p w14:paraId="6CEBFD38"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345E4634"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لن يسمح يهوه بأن يمر ارتداد الأمة دون عقاب: إذْ سيجلب عليهم تأديباً في نهاية الأمر (الآيات 26-28).  وسيأتي تأديب الله في حقيقة الأمر على شكل دورات، تكون كل دورة أقسى من سابقتها من أجل ردّ الشعب إلى الله (قارن لاويين 26).  ولا نجد هنا إلاّ جوانب عامّة: (1) دماراً في الأرض، (2) سبياً من الأرض وتشتّت بين الشعوب الأممية، (3) تقليل عدد السكّان (انظر تكوين 15: 5)، وعبادة آلهة الوثنيين.</w:t>
      </w:r>
    </w:p>
    <w:p w14:paraId="1FB81248"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73A22261"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وبعد هذا التأديب والسبي إلى دولٍ أجنبية، سيردّ الله شعبه (الآيات 69-30).  وسيكون هنالك زمن فيه "يرجعون إلى الرب."... عندما تتوب الأمة (كأمّة) وتتطلع بإيمان إلى الرب.  وسيحدث هذا الردّ تحت ظروف معيّنة:</w:t>
      </w:r>
    </w:p>
    <w:p w14:paraId="2E0DD55B"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1.</w:t>
      </w:r>
      <w:r w:rsidRPr="00141112">
        <w:rPr>
          <w:rFonts w:eastAsia="Times New Roman"/>
          <w:kern w:val="0"/>
          <w:rtl/>
          <w:lang w:bidi="ar-JO"/>
          <w14:ligatures w14:val="none"/>
        </w:rPr>
        <w:tab/>
        <w:t>ستكون إسرائيل في السبي (الآية 29 –"من هناك")</w:t>
      </w:r>
    </w:p>
    <w:p w14:paraId="63BED01C"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2.</w:t>
      </w:r>
      <w:r w:rsidRPr="00141112">
        <w:rPr>
          <w:rFonts w:eastAsia="Times New Roman"/>
          <w:kern w:val="0"/>
          <w:rtl/>
          <w:lang w:bidi="ar-JO"/>
          <w14:ligatures w14:val="none"/>
        </w:rPr>
        <w:tab/>
        <w:t>يجب أن تكون التوبة حقيقية وعميقة من القلب</w:t>
      </w:r>
    </w:p>
    <w:p w14:paraId="2A42AA06"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3.</w:t>
      </w:r>
      <w:r w:rsidRPr="00141112">
        <w:rPr>
          <w:rFonts w:eastAsia="Times New Roman"/>
          <w:kern w:val="0"/>
          <w:rtl/>
          <w:lang w:bidi="ar-JO"/>
          <w14:ligatures w14:val="none"/>
        </w:rPr>
        <w:tab/>
        <w:t>عندما تكون إسرائيل "في ضيق"</w:t>
      </w:r>
    </w:p>
    <w:p w14:paraId="5A817894"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1100" w:right="1571" w:hanging="550"/>
        <w:jc w:val="both"/>
        <w:rPr>
          <w:rFonts w:eastAsia="Times New Roman"/>
          <w:kern w:val="0"/>
          <w:rtl/>
          <w:lang w:bidi="ar-JO"/>
          <w14:ligatures w14:val="none"/>
        </w:rPr>
      </w:pPr>
      <w:r w:rsidRPr="00141112">
        <w:rPr>
          <w:rFonts w:eastAsia="Times New Roman"/>
          <w:kern w:val="0"/>
          <w:rtl/>
          <w:lang w:bidi="ar-JO"/>
          <w14:ligatures w14:val="none"/>
        </w:rPr>
        <w:t>4.</w:t>
      </w:r>
      <w:r w:rsidRPr="00141112">
        <w:rPr>
          <w:rFonts w:eastAsia="Times New Roman"/>
          <w:kern w:val="0"/>
          <w:rtl/>
          <w:lang w:bidi="ar-JO"/>
          <w14:ligatures w14:val="none"/>
        </w:rPr>
        <w:tab/>
        <w:t>سيحدث هذا في "آخر الأيام"</w:t>
      </w:r>
    </w:p>
    <w:p w14:paraId="33FB9BC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56943593"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يترجم بيتر كريجي تعبير "في آخر الأيام" إلى "في الأيام القادمة" ويعلّق قائلاً: "على الرغم من أن هذه الكلمات تحمل نغمة نبوية... إلاّ أن إشارتها المباشرة هي إلى نقطة في المستقبل القريب وفي الأرض الموعودة."</w:t>
      </w:r>
      <w:r w:rsidRPr="00141112">
        <w:rPr>
          <w:rFonts w:eastAsia="Times New Roman"/>
          <w:kern w:val="0"/>
          <w:vertAlign w:val="superscript"/>
          <w:rtl/>
          <w:lang w:bidi="ar-JO"/>
          <w14:ligatures w14:val="none"/>
        </w:rPr>
        <w:footnoteReference w:id="135"/>
      </w:r>
      <w:r w:rsidRPr="00141112">
        <w:rPr>
          <w:rFonts w:eastAsia="Times New Roman"/>
          <w:kern w:val="0"/>
          <w:rtl/>
          <w:lang w:bidi="ar-JO"/>
          <w14:ligatures w14:val="none"/>
        </w:rPr>
        <w:t xml:space="preserve"> غير أن هذا الاستنتاج مشكوك فيه.  فلا بدّ أن يتضمن هذا المشهد السبي.  وقد سبي اليهود إلى بابل تحت حكم نبوخذنصّر، وقد تمّ سبيهم ثانية بعد دمار أورشليم في عام 70ب م (إن تشتُّت المملكة الشمالية في عام 722 متميز من حيث إنه لم تكن هنالك عودة واضحة للشعب الذين حافظوا على هويتهم).  وعلى الرغم من أن السبي البابلي كان يتّفق بشكل عام مع هذا النمط، إلاّ أنه لم يحقّق النبوءة تحقيقاً كاملاً.  ولا يبدو أن عودة إسرائيل من بابل كانت مشروطة بتوبة وطنية.  ويتطلع زكريّا، الذي كتب بعد السبي، إلى توبة وطنية مرتبطة بعودة المسيح للحكم كملك (زكريّا 12: 10 فصاعداً).  وهذا أمر أكثر ملاءمة لفقرة تثنية هذه وأكثر معقولية بالنسبة لعبارة "في آخر الأيام" (</w:t>
      </w:r>
      <w:r w:rsidRPr="00141112">
        <w:rPr>
          <w:rFonts w:ascii="Times New Roman" w:eastAsia="Times New Roman" w:hAnsi="Times New Roman" w:cs="Times New Roman" w:hint="cs"/>
          <w:b/>
          <w:kern w:val="0"/>
          <w:rtl/>
          <w:lang w:bidi="he-IL"/>
          <w14:ligatures w14:val="none"/>
        </w:rPr>
        <w:t>בְּאַחֲרִית</w:t>
      </w:r>
      <w:r w:rsidRPr="00141112">
        <w:rPr>
          <w:rFonts w:eastAsia="Times New Roman"/>
          <w:b/>
          <w:kern w:val="0"/>
          <w:rtl/>
          <w:lang w:bidi="he-IL"/>
          <w14:ligatures w14:val="none"/>
        </w:rPr>
        <w:t xml:space="preserve"> </w:t>
      </w:r>
      <w:r w:rsidRPr="00141112">
        <w:rPr>
          <w:rFonts w:ascii="Times New Roman" w:eastAsia="Times New Roman" w:hAnsi="Times New Roman" w:cs="Times New Roman" w:hint="cs"/>
          <w:b/>
          <w:kern w:val="0"/>
          <w:rtl/>
          <w:lang w:bidi="he-IL"/>
          <w14:ligatures w14:val="none"/>
        </w:rPr>
        <w:t>הַיָּמִים</w:t>
      </w:r>
      <w:r w:rsidRPr="00141112">
        <w:rPr>
          <w:rFonts w:eastAsia="Times New Roman"/>
          <w:kern w:val="0"/>
          <w:rtl/>
          <w:lang w:bidi="ar-JO"/>
          <w14:ligatures w14:val="none"/>
        </w:rPr>
        <w:t>).</w:t>
      </w:r>
    </w:p>
    <w:p w14:paraId="0ED83427"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szCs w:val="26"/>
          <w:rtl/>
          <w:lang w:bidi="ar-JO"/>
          <w14:ligatures w14:val="none"/>
        </w:rPr>
      </w:pPr>
    </w:p>
    <w:p w14:paraId="3159C293" w14:textId="79E44615"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 xml:space="preserve">هذه العبارة مستخدمة 14 مرّة في العهد القديم: تكوين 49: 1؛ عدد 24: 14؛ تثنية 4: 30؛ 31: 29؛ إشعياء 2: 2؛ إرميا 23: 20؛ 30: 24؛ 48: 47؛ 49: 39؛ حزقيال 38: 16؛ دانيال 2: 28؛ 10: 14؛ هوشع 3: 5؛ ميخا 4: 1.  ويخلص سيباس إلى أن هذا التعبير يمكن أن يُستخدم بمعنى عام لفكرة "وقت مستقبلي ما" أو بمعنى </w:t>
      </w:r>
      <w:r w:rsidRPr="00141112">
        <w:rPr>
          <w:rFonts w:eastAsia="Times New Roman"/>
          <w:kern w:val="0"/>
          <w:rtl/>
          <w:lang w:bidi="ar-JO"/>
          <w14:ligatures w14:val="none"/>
        </w:rPr>
        <w:lastRenderedPageBreak/>
        <w:t>اصطلاحي، لـ"آخر الزمان".</w:t>
      </w:r>
      <w:r w:rsidRPr="00141112">
        <w:rPr>
          <w:rFonts w:eastAsia="Times New Roman"/>
          <w:kern w:val="0"/>
          <w:vertAlign w:val="superscript"/>
          <w:rtl/>
          <w:lang w:bidi="ar-JO"/>
          <w14:ligatures w14:val="none"/>
        </w:rPr>
        <w:footnoteReference w:id="136"/>
      </w:r>
      <w:r w:rsidRPr="00141112">
        <w:rPr>
          <w:rFonts w:eastAsia="Times New Roman"/>
          <w:kern w:val="0"/>
          <w:rtl/>
          <w:lang w:bidi="ar-JO"/>
          <w14:ligatures w14:val="none"/>
        </w:rPr>
        <w:t xml:space="preserve"> وإنه لأمر صعب أن يثبت المرء أن كل هذه الإشارات استخدمت بالمعنى الثاني الاصطلاحي، "آخر الزمان"، لكن من المؤكد أن هذا الاحتمال موجود بالنسبة لتثنية 4: 30.  وتوجد آيات أخرى (يرد كثير منها في سياق بركات الملكوت السعيد) تتطلع هذه إلى الفترة المرتبطة ارتباطاً وثيقاً بعودة المسيح في نهاية هذا الدهر (مثلاً إشعياء 2: 2؛ إرميا 30: </w:t>
      </w:r>
      <w:r w:rsidR="006B5847" w:rsidRPr="00141112">
        <w:rPr>
          <w:rFonts w:eastAsia="Times New Roman"/>
          <w:kern w:val="0"/>
          <w:rtl/>
          <w:lang w:bidi="ar-JO"/>
          <w14:ligatures w14:val="none"/>
        </w:rPr>
        <w:t>2</w:t>
      </w:r>
      <w:r w:rsidRPr="00141112">
        <w:rPr>
          <w:rFonts w:eastAsia="Times New Roman"/>
          <w:kern w:val="0"/>
          <w:rtl/>
          <w:lang w:bidi="ar-JO"/>
          <w14:ligatures w14:val="none"/>
        </w:rPr>
        <w:t>4، دانيال 2: 28).  ويبدو أن الأدلة تصب في صالح فكرة أن الفقرة الموجودة في تثنية 4 تُنبئ بردٍ آخر من السبي لليهود اليوم (فلم ينتهِ الله من عمله معهم بعد).  وسيُردّون إلى الأرض ثانية (وإن القول إن الكنيسة = إسرائيل لا يكون له معنى بالنسبة إلى فكرة العودة إلى الأرض).</w:t>
      </w:r>
    </w:p>
    <w:p w14:paraId="5B8A48B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63152B23"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 xml:space="preserve">وأخيراً تعطي الآية 31 </w:t>
      </w:r>
      <w:r w:rsidRPr="00141112">
        <w:rPr>
          <w:rFonts w:eastAsia="Times New Roman"/>
          <w:kern w:val="0"/>
          <w:u w:val="single"/>
          <w:rtl/>
          <w:lang w:bidi="ar-JO"/>
          <w14:ligatures w14:val="none"/>
        </w:rPr>
        <w:t>سبب</w:t>
      </w:r>
      <w:r w:rsidRPr="00141112">
        <w:rPr>
          <w:rFonts w:eastAsia="Times New Roman"/>
          <w:kern w:val="0"/>
          <w:rtl/>
          <w:lang w:bidi="ar-JO"/>
          <w14:ligatures w14:val="none"/>
        </w:rPr>
        <w:t xml:space="preserve"> إعطاء يهوه وعد الرد للأمة حتى بعد السبي، ألا وهو العهد الإبراهيمي! فالرب "</w:t>
      </w:r>
      <w:r w:rsidRPr="00141112">
        <w:rPr>
          <w:rFonts w:eastAsia="Times New Roman"/>
          <w:i/>
          <w:iCs/>
          <w:kern w:val="0"/>
          <w:rtl/>
          <w:lang w:bidi="ar-JO"/>
          <w14:ligatures w14:val="none"/>
        </w:rPr>
        <w:t>لا ينسى عهد آبائك الذي أقسم لهم عليه</w:t>
      </w:r>
      <w:r w:rsidRPr="00141112">
        <w:rPr>
          <w:rFonts w:eastAsia="Times New Roman"/>
          <w:kern w:val="0"/>
          <w:rtl/>
          <w:lang w:bidi="ar-JO"/>
          <w14:ligatures w14:val="none"/>
        </w:rPr>
        <w:t>."  نرى مرّة أخرى أن الله يستمر في التعامل مع إسرائيل على أساس هذا العهد.  ولا تبطل عدم أمانتهم العهد.  فالعهد الإبراهيمي مازال مشروعاً وقائماً اليوم، وهو يؤكد أن لإسرائيل مستقبلاً.</w:t>
      </w:r>
    </w:p>
    <w:p w14:paraId="3E24CB8F"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szCs w:val="26"/>
          <w:rtl/>
          <w:lang w:bidi="ar-JO"/>
          <w14:ligatures w14:val="none"/>
        </w:rPr>
      </w:pPr>
    </w:p>
    <w:p w14:paraId="24A211BB" w14:textId="77777777" w:rsidR="00070B6E" w:rsidRPr="00141112" w:rsidRDefault="00070B6E" w:rsidP="00626028">
      <w:pPr>
        <w:tabs>
          <w:tab w:val="left" w:pos="454"/>
        </w:tabs>
        <w:spacing w:after="60"/>
        <w:ind w:left="550" w:right="550" w:hanging="550"/>
        <w:jc w:val="both"/>
        <w:rPr>
          <w:rFonts w:eastAsia="Times New Roman"/>
          <w:bCs/>
          <w:kern w:val="0"/>
          <w:rtl/>
          <w14:ligatures w14:val="none"/>
        </w:rPr>
      </w:pPr>
      <w:r w:rsidRPr="00141112">
        <w:rPr>
          <w:rFonts w:eastAsia="Times New Roman"/>
          <w:bCs/>
          <w:kern w:val="0"/>
          <w:rtl/>
          <w14:ligatures w14:val="none"/>
        </w:rPr>
        <w:t>هـ.</w:t>
      </w:r>
      <w:r w:rsidRPr="00141112">
        <w:rPr>
          <w:rFonts w:eastAsia="Times New Roman"/>
          <w:bCs/>
          <w:kern w:val="0"/>
          <w:rtl/>
          <w14:ligatures w14:val="none"/>
        </w:rPr>
        <w:tab/>
        <w:t>خاتمة – مناشدة للطاعة (4: 32-40)</w:t>
      </w:r>
    </w:p>
    <w:p w14:paraId="788EF22C" w14:textId="77777777" w:rsidR="00070B6E" w:rsidRPr="00141112" w:rsidRDefault="00070B6E" w:rsidP="00626028">
      <w:pPr>
        <w:tabs>
          <w:tab w:val="left" w:pos="550"/>
          <w:tab w:val="left" w:pos="1100"/>
          <w:tab w:val="left" w:pos="1650"/>
          <w:tab w:val="left" w:pos="2200"/>
          <w:tab w:val="left" w:pos="2750"/>
          <w:tab w:val="left" w:pos="3300"/>
          <w:tab w:val="left" w:pos="3850"/>
          <w:tab w:val="left" w:pos="4400"/>
        </w:tabs>
        <w:ind w:left="550" w:right="454"/>
        <w:jc w:val="both"/>
        <w:rPr>
          <w:rFonts w:eastAsia="Times New Roman"/>
          <w:kern w:val="0"/>
          <w:rtl/>
          <w:lang w:bidi="ar-JO"/>
          <w14:ligatures w14:val="none"/>
        </w:rPr>
      </w:pPr>
      <w:r w:rsidRPr="00141112">
        <w:rPr>
          <w:rFonts w:eastAsia="Times New Roman"/>
          <w:kern w:val="0"/>
          <w:rtl/>
          <w:lang w:bidi="ar-JO"/>
          <w14:ligatures w14:val="none"/>
        </w:rPr>
        <w:t>نجد في هذا القسم الأخير من تثنية 4 إعادة لتحريض إسرائيل على الطاعة.  لقد تمتّعت إسرائيل بامتياز العلاقة الخاصة مع يهوه؛ ولهذا يجب أن يطيعوه (الآيات 32-34).  لقد خلق الله إسرائيل لكي يعرفوا يهوه ومجده (الآيات 35-38).  وأخيراً، تلخّص الآيتان 39-40 الحاجة إلى الطاعة: فمجد الله وبركة إسرائيل هما على المحك.  لكن إذا رفضت إسرائيل، فسيعلن الله مجده أيضاً.</w:t>
      </w:r>
    </w:p>
    <w:p w14:paraId="1EED6784"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p>
    <w:p w14:paraId="14A8EB3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right="454"/>
        <w:jc w:val="both"/>
        <w:rPr>
          <w:rFonts w:eastAsia="Times New Roman"/>
          <w:kern w:val="0"/>
          <w:rtl/>
          <w:lang w:bidi="ar-JO"/>
          <w14:ligatures w14:val="none"/>
        </w:rPr>
      </w:pPr>
      <w:r w:rsidRPr="00141112">
        <w:rPr>
          <w:rFonts w:eastAsia="Times New Roman"/>
          <w:kern w:val="0"/>
          <w:rtl/>
          <w:lang w:bidi="ar-JO"/>
          <w14:ligatures w14:val="none"/>
        </w:rPr>
        <w:t>يختتم هذا الأصحاح بملحق يخص مدن الملجأ الثلاث عبر الأردن (تثنية 4: 41-43).</w:t>
      </w:r>
    </w:p>
    <w:p w14:paraId="11D89107" w14:textId="77777777" w:rsidR="003E1A38" w:rsidRPr="00C7130A" w:rsidRDefault="003E1A38" w:rsidP="00C7130A">
      <w:pPr>
        <w:tabs>
          <w:tab w:val="left" w:pos="0"/>
          <w:tab w:val="left" w:pos="504"/>
          <w:tab w:val="left" w:pos="1008"/>
          <w:tab w:val="left" w:pos="1094"/>
          <w:tab w:val="left" w:pos="1512"/>
          <w:tab w:val="left" w:pos="1642"/>
          <w:tab w:val="left" w:pos="2016"/>
          <w:tab w:val="left" w:pos="2189"/>
          <w:tab w:val="left" w:pos="2520"/>
          <w:tab w:val="left" w:pos="2736"/>
          <w:tab w:val="left" w:pos="3024"/>
          <w:tab w:val="left" w:pos="3283"/>
          <w:tab w:val="left" w:pos="3528"/>
          <w:tab w:val="left" w:pos="3830"/>
          <w:tab w:val="left" w:pos="4032"/>
          <w:tab w:val="left" w:pos="4536"/>
          <w:tab w:val="left" w:pos="5040"/>
          <w:tab w:val="left" w:pos="5544"/>
          <w:tab w:val="left" w:pos="6048"/>
          <w:tab w:val="left" w:pos="6552"/>
          <w:tab w:val="left" w:pos="7056"/>
          <w:tab w:val="left" w:pos="7560"/>
          <w:tab w:val="left" w:pos="8064"/>
          <w:tab w:val="left" w:pos="8568"/>
          <w:tab w:val="left" w:pos="8640"/>
          <w:tab w:val="left" w:pos="9072"/>
        </w:tabs>
        <w:spacing w:after="120"/>
        <w:ind w:left="547"/>
        <w:jc w:val="both"/>
        <w:rPr>
          <w:rFonts w:eastAsia="Times New Roman"/>
          <w:bCs/>
          <w:kern w:val="0"/>
          <w:sz w:val="22"/>
          <w:lang w:bidi="ar-JO"/>
          <w14:ligatures w14:val="none"/>
        </w:rPr>
      </w:pPr>
    </w:p>
    <w:p w14:paraId="0F66A1B3" w14:textId="77777777" w:rsidR="003E1A38" w:rsidRPr="00C7130A" w:rsidRDefault="003E1A38" w:rsidP="00C7130A">
      <w:pPr>
        <w:tabs>
          <w:tab w:val="left" w:pos="0"/>
          <w:tab w:val="left" w:pos="504"/>
          <w:tab w:val="left" w:pos="1008"/>
          <w:tab w:val="left" w:pos="1094"/>
          <w:tab w:val="left" w:pos="1512"/>
          <w:tab w:val="left" w:pos="1642"/>
          <w:tab w:val="left" w:pos="2016"/>
          <w:tab w:val="left" w:pos="2189"/>
          <w:tab w:val="left" w:pos="2520"/>
          <w:tab w:val="left" w:pos="2736"/>
          <w:tab w:val="left" w:pos="3024"/>
          <w:tab w:val="left" w:pos="3283"/>
          <w:tab w:val="left" w:pos="3528"/>
          <w:tab w:val="left" w:pos="3830"/>
          <w:tab w:val="left" w:pos="4032"/>
          <w:tab w:val="left" w:pos="4536"/>
          <w:tab w:val="left" w:pos="5040"/>
          <w:tab w:val="left" w:pos="5544"/>
          <w:tab w:val="left" w:pos="6048"/>
          <w:tab w:val="left" w:pos="6552"/>
          <w:tab w:val="left" w:pos="7056"/>
          <w:tab w:val="left" w:pos="7560"/>
          <w:tab w:val="left" w:pos="8064"/>
          <w:tab w:val="left" w:pos="8568"/>
          <w:tab w:val="left" w:pos="8640"/>
          <w:tab w:val="left" w:pos="9072"/>
        </w:tabs>
        <w:spacing w:after="120"/>
        <w:ind w:left="547"/>
        <w:jc w:val="both"/>
        <w:rPr>
          <w:rFonts w:eastAsia="Times New Roman"/>
          <w:bCs/>
          <w:kern w:val="0"/>
          <w:sz w:val="22"/>
          <w14:ligatures w14:val="none"/>
        </w:rPr>
      </w:pPr>
    </w:p>
    <w:p w14:paraId="20F484FB" w14:textId="77777777" w:rsidR="00857A90" w:rsidRPr="00C7130A" w:rsidRDefault="00857A90" w:rsidP="000558B7">
      <w:pPr>
        <w:pStyle w:val="Heading2B"/>
        <w:rPr>
          <w:rtl/>
        </w:rPr>
      </w:pPr>
      <w:bookmarkStart w:id="312" w:name="_Toc193031076"/>
      <w:r w:rsidRPr="00C7130A">
        <w:rPr>
          <w:rtl/>
        </w:rPr>
        <w:t>الموضوع 3: بنود العهد المُجدَّد (تثنية 4: 44 – 26: 19)</w:t>
      </w:r>
      <w:bookmarkStart w:id="313" w:name="_Hlk178779068"/>
      <w:bookmarkEnd w:id="312"/>
      <w:r w:rsidRPr="00C7130A">
        <w:rPr>
          <w:rtl/>
        </w:rPr>
        <w:t xml:space="preserve"> </w:t>
      </w:r>
    </w:p>
    <w:p w14:paraId="6195BEFB" w14:textId="065F66C0" w:rsidR="00BE411E" w:rsidRPr="00C7130A" w:rsidRDefault="00BE411E"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14:ligatures w14:val="none"/>
        </w:rPr>
      </w:pPr>
      <w:bookmarkStart w:id="314" w:name="_Hlk157179112"/>
      <w:r w:rsidRPr="00C7130A">
        <w:rPr>
          <w:rFonts w:eastAsia="Calibri"/>
          <w:b/>
          <w:caps/>
          <w:noProof/>
          <w:color w:val="006699"/>
          <w:kern w:val="0"/>
          <w:sz w:val="21"/>
          <w:szCs w:val="24"/>
          <w14:ligatures w14:val="none"/>
        </w:rPr>
        <w:drawing>
          <wp:inline distT="0" distB="0" distL="0" distR="0" wp14:anchorId="133DD8BB" wp14:editId="46B02EC9">
            <wp:extent cx="613692" cy="541464"/>
            <wp:effectExtent l="0" t="0" r="0" b="0"/>
            <wp:docPr id="1803605162" name="Picture 180360516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2975BE" w:rsidRPr="00141112">
        <w:rPr>
          <w:rFonts w:eastAsia="Calibri"/>
          <w:bCs/>
          <w:caps/>
          <w:color w:val="006699"/>
          <w:kern w:val="0"/>
          <w:u w:val="single"/>
          <w:rtl/>
          <w14:ligatures w14:val="none"/>
        </w:rPr>
        <w:t>القراءة</w:t>
      </w:r>
      <w:r w:rsidR="002975BE" w:rsidRPr="00C7130A">
        <w:rPr>
          <w:rFonts w:eastAsia="Calibri"/>
          <w:bCs/>
          <w:caps/>
          <w:color w:val="006699"/>
          <w:kern w:val="0"/>
          <w:sz w:val="21"/>
          <w:szCs w:val="24"/>
          <w:u w:val="single"/>
          <w:rtl/>
          <w14:ligatures w14:val="none"/>
        </w:rPr>
        <w:t>:</w:t>
      </w:r>
    </w:p>
    <w:p w14:paraId="48CC8BA2" w14:textId="2AAD77E3" w:rsidR="00BE411E" w:rsidRPr="00C7130A" w:rsidRDefault="00BE411E" w:rsidP="00C7130A">
      <w:pPr>
        <w:rPr>
          <w:b/>
          <w:bCs/>
        </w:rPr>
      </w:pPr>
      <w:r w:rsidRPr="00C7130A">
        <w:tab/>
      </w:r>
      <w:r w:rsidRPr="00C7130A">
        <w:tab/>
      </w:r>
      <w:r w:rsidR="002975BE" w:rsidRPr="00C7130A">
        <w:rPr>
          <w:rtl/>
        </w:rPr>
        <w:t xml:space="preserve">اقرأ تثنية 4: 44 – 11: 32 في كتابك المُقدَّس. </w:t>
      </w:r>
    </w:p>
    <w:bookmarkEnd w:id="313"/>
    <w:bookmarkEnd w:id="314"/>
    <w:p w14:paraId="7338F429" w14:textId="77777777" w:rsidR="00070B6E" w:rsidRPr="00C7130A" w:rsidRDefault="00070B6E" w:rsidP="00C7130A">
      <w:pPr>
        <w:jc w:val="center"/>
        <w:rPr>
          <w:rFonts w:eastAsia="Times New Roman"/>
          <w:bCs/>
          <w:kern w:val="0"/>
          <w:szCs w:val="28"/>
          <w:rtl/>
          <w:lang w:bidi="ar-JO"/>
          <w14:ligatures w14:val="none"/>
        </w:rPr>
      </w:pPr>
    </w:p>
    <w:p w14:paraId="6AFBB5B0" w14:textId="77777777" w:rsidR="00070B6E" w:rsidRPr="00141112" w:rsidRDefault="00070B6E" w:rsidP="000558B7">
      <w:pPr>
        <w:pStyle w:val="Heading3"/>
        <w:rPr>
          <w:rtl/>
        </w:rPr>
      </w:pPr>
      <w:bookmarkStart w:id="315" w:name="_Toc193031077"/>
      <w:r w:rsidRPr="00141112">
        <w:rPr>
          <w:rtl/>
          <w:lang w:bidi="ar-JO"/>
        </w:rPr>
        <w:t>1.</w:t>
      </w:r>
      <w:r w:rsidRPr="00141112">
        <w:rPr>
          <w:rtl/>
          <w:lang w:bidi="ar-JO"/>
        </w:rPr>
        <w:tab/>
        <w:t>بنود العهد في موآب (4: 44-29: 1)</w:t>
      </w:r>
      <w:bookmarkEnd w:id="315"/>
    </w:p>
    <w:p w14:paraId="55761740"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141112">
        <w:rPr>
          <w:rFonts w:eastAsia="Times New Roman"/>
          <w:kern w:val="0"/>
          <w:rtl/>
          <w:lang w:bidi="ar-JO"/>
          <w14:ligatures w14:val="none"/>
        </w:rPr>
        <w:t>درسنا في القسم السابق الأصحاحات الأربعة الأولى من السفر.  ورأينا أنها تحريضية في طبيعتها، لكي ينطلق الجيل الجديد بالإيمان ويأخذ أرض الموعد.  وقد أكّد القسم السابق على أن الاستجابة بالطاعة أمر جوهري في أهميته للحصول على بركة يهوه والمحافظة عليها.  سيركِّز هذا الجزء (قلب السفر) على تفاصيل العهد المجدَّد الذي طلب أن تستجيب إسرائيل إليه بالطاعة.  بشكلٍ أساسي، سيُظهر هذا القسم (4: 44-29: 1) ما ستتضمنه الطاعة الذي كان موسى يشدِّد عليها بقوة.  باختصار، نرى الأمة هنا تتلقى تعليماً بشأن أسلوب حياة العهد. (ستُعالَج الأصحاحات 27: 1-29: 1 في الدرس التالي).</w:t>
      </w:r>
    </w:p>
    <w:p w14:paraId="2E66C4E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79C6C72"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أ.</w:t>
      </w:r>
      <w:r w:rsidRPr="00141112">
        <w:rPr>
          <w:rFonts w:eastAsia="Times New Roman"/>
          <w:bCs/>
          <w:kern w:val="0"/>
          <w:rtl/>
          <w14:ligatures w14:val="none"/>
        </w:rPr>
        <w:tab/>
        <w:t>مقدّمة لشريعة العهد (4: 44-49)</w:t>
      </w:r>
    </w:p>
    <w:p w14:paraId="06F9106F"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141112">
        <w:rPr>
          <w:rFonts w:eastAsia="Times New Roman"/>
          <w:kern w:val="0"/>
          <w:rtl/>
          <w:lang w:bidi="ar-JO"/>
          <w14:ligatures w14:val="none"/>
        </w:rPr>
        <w:t xml:space="preserve">يبدأ موسى في هذا القسم بقوله، "وهذه هي الشريعة..." (4: 44).  وهو لن يتناول التفصيلات حتى الآية الأولى من الأصحاح 12.  غير أنه يبدو أن هذه الآية، لدى مقارنتها بـ 29: 1، تبدأ القسم الرئيسي الذي يتناول بنود العهد في موآب.  تؤكّد المقدمة على </w:t>
      </w:r>
      <w:r w:rsidRPr="00141112">
        <w:rPr>
          <w:rFonts w:eastAsia="Times New Roman"/>
          <w:i/>
          <w:iCs/>
          <w:kern w:val="0"/>
          <w:rtl/>
          <w:lang w:bidi="ar-JO"/>
          <w14:ligatures w14:val="none"/>
        </w:rPr>
        <w:t xml:space="preserve">فرادة </w:t>
      </w:r>
      <w:r w:rsidRPr="00141112">
        <w:rPr>
          <w:rFonts w:eastAsia="Times New Roman"/>
          <w:kern w:val="0"/>
          <w:rtl/>
          <w:lang w:bidi="ar-JO"/>
          <w14:ligatures w14:val="none"/>
        </w:rPr>
        <w:t>المناسبة التي قُدّم فيها العهد، أي في سهول موآب في عبر الأردن.  وقبل أن تعبر الأمة نهر الأردن، يريد الله أن يُفهمهم بوضوح ما هو المطلوب منهم.  إذ يعني كونهم "أمّة فريدة" (انظر خروج 19: 5-6) امتيازاً، لكنه يعني مسؤولية في نفس الوقت.</w:t>
      </w:r>
    </w:p>
    <w:p w14:paraId="1BF81C9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86D6B0E"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ب.</w:t>
      </w:r>
      <w:r w:rsidRPr="00141112">
        <w:rPr>
          <w:rFonts w:eastAsia="Times New Roman"/>
          <w:bCs/>
          <w:kern w:val="0"/>
          <w:rtl/>
          <w14:ligatures w14:val="none"/>
        </w:rPr>
        <w:tab/>
        <w:t>مراجعة للعهد في سيناء</w:t>
      </w:r>
    </w:p>
    <w:p w14:paraId="38B0B348"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141112">
        <w:rPr>
          <w:rFonts w:eastAsia="Times New Roman"/>
          <w:kern w:val="0"/>
          <w:rtl/>
          <w:lang w:bidi="ar-JO"/>
          <w14:ligatures w14:val="none"/>
        </w:rPr>
        <w:t xml:space="preserve">قبل أن يواصل موسى الحديث في الدعوة الحالية إلى تجديد العهد، فإنه يذكّرهم بالعهد السابق الذي دخل فيه الجيل السابق مع يهوه.  وترتبط الدعوة الحالية إلى تجديد العهد ارتباطاً حيوياً بالعهد في سيناء... إذ ينبع منه ويعتمد أيضاً على الوصايا العشر العامة.  ثم يواصل القسم مراجعة استجابة إسرائيل لإعطائهم العهد في المرة الأولى.  فعلى الرغم من أن إسرائيل استجابت بشكل لائق بالتعبير عن استعدادهم لربط أنفسهم بيهوه تحت شريعته (5: 27-28)، إلاّ أنهم لم يستوعبوا قدرتهم على حفظ الشريعة.  </w:t>
      </w:r>
    </w:p>
    <w:p w14:paraId="6DDA97A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141112">
        <w:rPr>
          <w:rFonts w:eastAsia="Times New Roman"/>
          <w:kern w:val="0"/>
          <w:rtl/>
          <w:lang w:bidi="ar-JO"/>
          <w14:ligatures w14:val="none"/>
        </w:rPr>
        <w:t>تاق الرب إلى طاعتهم له، لكن بنظرة أكثر واقعية: "</w:t>
      </w:r>
      <w:r w:rsidRPr="00141112">
        <w:rPr>
          <w:rFonts w:eastAsia="Times New Roman"/>
          <w:i/>
          <w:iCs/>
          <w:kern w:val="0"/>
          <w:rtl/>
          <w:lang w:bidi="ar-JO"/>
          <w14:ligatures w14:val="none"/>
        </w:rPr>
        <w:t>يا ليت قلبهم كان هكذا فيهم حتى يتّقوني ويحفظوا جميع وصاياي كل الأيام، لكي يكون لهم ولأبنائهم خير إلى الأبد</w:t>
      </w:r>
      <w:r w:rsidRPr="00141112">
        <w:rPr>
          <w:rFonts w:eastAsia="Times New Roman"/>
          <w:kern w:val="0"/>
          <w:rtl/>
          <w:lang w:bidi="ar-JO"/>
          <w14:ligatures w14:val="none"/>
        </w:rPr>
        <w:t>" (5: 29).  يرغب لهم الله حقّاً أن يختبروا بركته، لكنه يدرك أنها لا تأتي إلا من "قلب سليم".  وهو يعطي موسى دور إرشاد الشعب حول الاستجابة الصحيحة لإعلان الشريعة.  فدوره هنا هو دور معلّم.  ليست الطاعة استجابة بيولوجية.  فلا يجب أن يعرف الشعب ما يُتوقّع منهم فحسب، لكن يجب أن يعرفوا أيضاً الأساس الذي تنبع منهُ الطاعة.  غير أنه لا يجب وضع العربة قبل الحصان، فتعلُّم جوهر الطاعة (6: 1-11: 32) يسبق التفاصيل المحددة لما يجب أن يطيعوه (12: 1-26: 19).</w:t>
      </w:r>
    </w:p>
    <w:p w14:paraId="75F92BA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30D5A4B"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جـ.</w:t>
      </w:r>
      <w:r w:rsidRPr="00141112">
        <w:rPr>
          <w:rFonts w:eastAsia="Times New Roman"/>
          <w:bCs/>
          <w:kern w:val="0"/>
          <w:rtl/>
          <w14:ligatures w14:val="none"/>
        </w:rPr>
        <w:tab/>
        <w:t>أساس الطاعة (6: 1-11: 32)</w:t>
      </w:r>
    </w:p>
    <w:p w14:paraId="624DF657"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141112">
        <w:rPr>
          <w:rFonts w:eastAsia="Times New Roman"/>
          <w:kern w:val="0"/>
          <w:rtl/>
          <w:lang w:bidi="ar-JO"/>
          <w14:ligatures w14:val="none"/>
        </w:rPr>
        <w:t>يتولّى موسى دوره كمعلّم.  وقبل أن يُطلع الشعب على مطالب العهد، فإنه يوضّح كيف يمكن للطاعة أن تأتي من قلب بشري.  وتتضمن الطاعة الحقيقية عوامل إيجابية وأخرى سلبية في نفس الوقت.  وبغير اعتبار لائق لها، يكون مطلب الطاعة وأمر الطاعة بلا فائدة.  فمن ناحية إيجابية، تأتي الطاعة من قلب:</w:t>
      </w:r>
    </w:p>
    <w:p w14:paraId="63F054A0"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141112">
        <w:rPr>
          <w:rFonts w:eastAsia="Times New Roman"/>
          <w:kern w:val="0"/>
          <w:rtl/>
          <w:lang w:bidi="ar-JO"/>
          <w14:ligatures w14:val="none"/>
        </w:rPr>
        <w:t>1)</w:t>
      </w:r>
      <w:r w:rsidRPr="00141112">
        <w:rPr>
          <w:rFonts w:eastAsia="Times New Roman"/>
          <w:kern w:val="0"/>
          <w:rtl/>
          <w:lang w:bidi="ar-JO"/>
          <w14:ligatures w14:val="none"/>
        </w:rPr>
        <w:tab/>
        <w:t>يحب الرب محبّة كاملة (6: 1-9)</w:t>
      </w:r>
    </w:p>
    <w:p w14:paraId="15EB62FB"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141112">
        <w:rPr>
          <w:rFonts w:eastAsia="Times New Roman"/>
          <w:kern w:val="0"/>
          <w:rtl/>
          <w:lang w:bidi="ar-JO"/>
          <w14:ligatures w14:val="none"/>
        </w:rPr>
        <w:t>2)</w:t>
      </w:r>
      <w:r w:rsidRPr="00141112">
        <w:rPr>
          <w:rFonts w:eastAsia="Times New Roman"/>
          <w:kern w:val="0"/>
          <w:rtl/>
          <w:lang w:bidi="ar-JO"/>
          <w14:ligatures w14:val="none"/>
        </w:rPr>
        <w:tab/>
        <w:t>قبِل أعمال التأديب الكريمة من الرب كتدريب على الطاعة (8: 1-10)</w:t>
      </w:r>
    </w:p>
    <w:p w14:paraId="0240FD65"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141112">
        <w:rPr>
          <w:rFonts w:eastAsia="Times New Roman"/>
          <w:kern w:val="0"/>
          <w:rtl/>
          <w:lang w:bidi="ar-JO"/>
          <w14:ligatures w14:val="none"/>
        </w:rPr>
        <w:t>3)</w:t>
      </w:r>
      <w:r w:rsidRPr="00141112">
        <w:rPr>
          <w:rFonts w:eastAsia="Times New Roman"/>
          <w:kern w:val="0"/>
          <w:rtl/>
          <w:lang w:bidi="ar-JO"/>
          <w14:ligatures w14:val="none"/>
        </w:rPr>
        <w:tab/>
        <w:t>يركّز على طبيعة الله الأخلاقية (10: 12-22)</w:t>
      </w:r>
    </w:p>
    <w:p w14:paraId="1245C6B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141112">
        <w:rPr>
          <w:rFonts w:eastAsia="Times New Roman"/>
          <w:kern w:val="0"/>
          <w:rtl/>
          <w:lang w:bidi="ar-JO"/>
          <w14:ligatures w14:val="none"/>
        </w:rPr>
        <w:t>4)</w:t>
      </w:r>
      <w:r w:rsidRPr="00141112">
        <w:rPr>
          <w:rFonts w:eastAsia="Times New Roman"/>
          <w:kern w:val="0"/>
          <w:rtl/>
          <w:lang w:bidi="ar-JO"/>
          <w14:ligatures w14:val="none"/>
        </w:rPr>
        <w:tab/>
        <w:t>يعطي توقيراً جادّاً لمبدأ اللعنات والبركات (7: 12 –26؛ 11: 1-32)</w:t>
      </w:r>
    </w:p>
    <w:p w14:paraId="19E5F93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141112">
        <w:rPr>
          <w:rFonts w:eastAsia="Times New Roman"/>
          <w:kern w:val="0"/>
          <w:rtl/>
          <w:lang w:bidi="ar-JO"/>
          <w14:ligatures w14:val="none"/>
        </w:rPr>
        <w:t>5)</w:t>
      </w:r>
      <w:r w:rsidRPr="00141112">
        <w:rPr>
          <w:rFonts w:eastAsia="Times New Roman"/>
          <w:kern w:val="0"/>
          <w:rtl/>
          <w:lang w:bidi="ar-JO"/>
          <w14:ligatures w14:val="none"/>
        </w:rPr>
        <w:tab/>
        <w:t xml:space="preserve">يستجيب بامتنان للامتيازات التي منحها الله في كرمه (7: 6-11) </w:t>
      </w:r>
    </w:p>
    <w:p w14:paraId="26974299"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3E2AC38"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141112">
        <w:rPr>
          <w:rFonts w:eastAsia="Times New Roman"/>
          <w:kern w:val="0"/>
          <w:rtl/>
          <w:lang w:bidi="ar-JO"/>
          <w14:ligatures w14:val="none"/>
        </w:rPr>
        <w:t>لكن توجد من ناحية أخرى عوامل سلبية يمكن أن تُفشل الطاعة، وهي عوامل يجب أن تحترس منها الأمّة لئلا يتعرّض وضع الأمّة مع الله للتهديد:</w:t>
      </w:r>
    </w:p>
    <w:p w14:paraId="79F5A281"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141112">
        <w:rPr>
          <w:rFonts w:eastAsia="Times New Roman"/>
          <w:kern w:val="0"/>
          <w:rtl/>
          <w:lang w:bidi="ar-JO"/>
          <w14:ligatures w14:val="none"/>
        </w:rPr>
        <w:t>1)</w:t>
      </w:r>
      <w:r w:rsidRPr="00141112">
        <w:rPr>
          <w:rFonts w:eastAsia="Times New Roman"/>
          <w:kern w:val="0"/>
          <w:rtl/>
          <w:lang w:bidi="ar-JO"/>
          <w14:ligatures w14:val="none"/>
        </w:rPr>
        <w:tab/>
        <w:t>يجب أن يحترسوا من الميل إلى "النسيان".  إذ يمكن أن يكون لبركات الطاعة تأثير عكسي يتمثّل في عدم رؤية ضرورة الاتكال على الرب (6: 10-19؛ 8: 11-20).</w:t>
      </w:r>
    </w:p>
    <w:p w14:paraId="5F68179D"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141112">
        <w:rPr>
          <w:rFonts w:eastAsia="Times New Roman"/>
          <w:kern w:val="0"/>
          <w:rtl/>
          <w:lang w:bidi="ar-JO"/>
          <w14:ligatures w14:val="none"/>
        </w:rPr>
        <w:t>2)</w:t>
      </w:r>
      <w:r w:rsidRPr="00141112">
        <w:rPr>
          <w:rFonts w:eastAsia="Times New Roman"/>
          <w:kern w:val="0"/>
          <w:rtl/>
          <w:lang w:bidi="ar-JO"/>
          <w14:ligatures w14:val="none"/>
        </w:rPr>
        <w:tab/>
        <w:t>يجب أن تحرص الأمّة على استمرار الإيمان بنقله إلى الأبناء الذين سيشكّلون الجيل التالي (6: 20-25).</w:t>
      </w:r>
    </w:p>
    <w:p w14:paraId="375EB97A"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141112">
        <w:rPr>
          <w:rFonts w:eastAsia="Times New Roman"/>
          <w:kern w:val="0"/>
          <w:rtl/>
          <w:lang w:bidi="ar-JO"/>
          <w14:ligatures w14:val="none"/>
        </w:rPr>
        <w:t>3)</w:t>
      </w:r>
      <w:r w:rsidRPr="00141112">
        <w:rPr>
          <w:rFonts w:eastAsia="Times New Roman"/>
          <w:kern w:val="0"/>
          <w:rtl/>
          <w:lang w:bidi="ar-JO"/>
          <w14:ligatures w14:val="none"/>
        </w:rPr>
        <w:tab/>
        <w:t>يجب أن تحرص الأمة على إزالة تلك التأثيرات التي يمكن أن تبعدها عن يهوه خاصة تأثيرات الكنعانيين الأشرار                   (6: 1-5).</w:t>
      </w:r>
    </w:p>
    <w:p w14:paraId="47FE562F"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141112">
        <w:rPr>
          <w:rFonts w:eastAsia="Times New Roman"/>
          <w:kern w:val="0"/>
          <w:rtl/>
          <w:lang w:bidi="ar-JO"/>
          <w14:ligatures w14:val="none"/>
        </w:rPr>
        <w:t>4)</w:t>
      </w:r>
      <w:r w:rsidRPr="00141112">
        <w:rPr>
          <w:rFonts w:eastAsia="Times New Roman"/>
          <w:kern w:val="0"/>
          <w:rtl/>
          <w:lang w:bidi="ar-JO"/>
          <w14:ligatures w14:val="none"/>
        </w:rPr>
        <w:tab/>
        <w:t>يجب أن يقاوموا كل نظرة تفاخر متّسمة بالكبرياء تنسب النجاح إلى برِّ المرء الذاتي، إذ يعكس تاريخهم في واقع الأمر مقاومة عنيدة لله (9: 1-10: 11).</w:t>
      </w:r>
    </w:p>
    <w:p w14:paraId="033D3340" w14:textId="77777777" w:rsidR="00070B6E" w:rsidRPr="00141112" w:rsidRDefault="00070B6E" w:rsidP="00C7130A">
      <w:pPr>
        <w:tabs>
          <w:tab w:val="left" w:pos="454"/>
        </w:tabs>
        <w:spacing w:after="60"/>
        <w:ind w:left="550" w:hanging="550"/>
        <w:jc w:val="both"/>
        <w:rPr>
          <w:rFonts w:eastAsia="Times New Roman"/>
          <w:bCs/>
          <w:kern w:val="0"/>
          <w:rtl/>
          <w14:ligatures w14:val="none"/>
        </w:rPr>
      </w:pPr>
      <w:r w:rsidRPr="00141112">
        <w:rPr>
          <w:rFonts w:eastAsia="Times New Roman"/>
          <w:bCs/>
          <w:kern w:val="0"/>
          <w:rtl/>
          <w14:ligatures w14:val="none"/>
        </w:rPr>
        <w:t>د.</w:t>
      </w:r>
      <w:r w:rsidRPr="00141112">
        <w:rPr>
          <w:rFonts w:eastAsia="Times New Roman"/>
          <w:bCs/>
          <w:kern w:val="0"/>
          <w:rtl/>
          <w14:ligatures w14:val="none"/>
        </w:rPr>
        <w:tab/>
        <w:t>بنود الطاعة (12: 1-26: 19)</w:t>
      </w:r>
    </w:p>
    <w:p w14:paraId="5DE3E07C"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141112">
        <w:rPr>
          <w:rFonts w:eastAsia="Times New Roman"/>
          <w:kern w:val="0"/>
          <w:rtl/>
          <w:lang w:bidi="ar-JO"/>
          <w14:ligatures w14:val="none"/>
        </w:rPr>
        <w:t>الآن وبعد أن عرض موسى طبيعة الطاعة، فإنه يفصّل الوصايا التي يجب أن تطيعها الأمّة لكي تتمتع بالنجاح والبركات في الأرض وهي تشمل نواحي مثل (1) نقاوة عبادتهم ليهوه، (2) احترام حياة الآخرين وممتلكاتهم، (3) احترام الزواج والطهارة الجنسية، (4) الحفاظ على العدل، (5) التحنن على المضطهدين والمظلومين في المجتمع، (6) الوكالة الأمينة في الأمور المالية، مع الله والإنسان.</w:t>
      </w:r>
    </w:p>
    <w:p w14:paraId="4D2B15AD"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14:ligatures w14:val="none"/>
        </w:rPr>
      </w:pPr>
    </w:p>
    <w:p w14:paraId="20893C5D" w14:textId="664EAC68" w:rsidR="00BE411E" w:rsidRPr="00C7130A" w:rsidRDefault="00BE411E" w:rsidP="00C7130A">
      <w:pPr>
        <w:tabs>
          <w:tab w:val="left" w:pos="0"/>
          <w:tab w:val="left" w:pos="504"/>
          <w:tab w:val="left" w:pos="1008"/>
          <w:tab w:val="left" w:pos="1094"/>
          <w:tab w:val="left" w:pos="1512"/>
          <w:tab w:val="left" w:pos="1642"/>
          <w:tab w:val="left" w:pos="2016"/>
          <w:tab w:val="left" w:pos="2189"/>
          <w:tab w:val="left" w:pos="2520"/>
          <w:tab w:val="left" w:pos="2736"/>
          <w:tab w:val="left" w:pos="3024"/>
          <w:tab w:val="left" w:pos="3283"/>
          <w:tab w:val="left" w:pos="3528"/>
          <w:tab w:val="left" w:pos="3830"/>
          <w:tab w:val="left" w:pos="4032"/>
          <w:tab w:val="left" w:pos="4536"/>
          <w:tab w:val="left" w:pos="5040"/>
          <w:tab w:val="left" w:pos="5544"/>
          <w:tab w:val="left" w:pos="6048"/>
          <w:tab w:val="left" w:pos="6552"/>
          <w:tab w:val="left" w:pos="7056"/>
          <w:tab w:val="left" w:pos="7560"/>
          <w:tab w:val="left" w:pos="8064"/>
          <w:tab w:val="left" w:pos="8568"/>
          <w:tab w:val="left" w:pos="8640"/>
          <w:tab w:val="left" w:pos="9072"/>
        </w:tabs>
        <w:spacing w:after="120"/>
        <w:jc w:val="both"/>
        <w:rPr>
          <w:rFonts w:eastAsia="Times New Roman"/>
          <w:bCs/>
          <w:kern w:val="0"/>
          <w:sz w:val="22"/>
          <w:lang w:bidi="ar-JO"/>
          <w14:ligatures w14:val="none"/>
        </w:rPr>
      </w:pPr>
    </w:p>
    <w:p w14:paraId="4BDD6D9D" w14:textId="3B2B9D00" w:rsidR="00BE411E" w:rsidRPr="00C7130A" w:rsidRDefault="00BE411E"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14:ligatures w14:val="none"/>
        </w:rPr>
      </w:pPr>
      <w:bookmarkStart w:id="316" w:name="_Hlk178779087"/>
      <w:r w:rsidRPr="00C7130A">
        <w:rPr>
          <w:rFonts w:eastAsia="Calibri"/>
          <w:b/>
          <w:caps/>
          <w:noProof/>
          <w:color w:val="006699"/>
          <w:kern w:val="0"/>
          <w:sz w:val="21"/>
          <w:szCs w:val="24"/>
          <w14:ligatures w14:val="none"/>
        </w:rPr>
        <w:drawing>
          <wp:inline distT="0" distB="0" distL="0" distR="0" wp14:anchorId="6FFFBF57" wp14:editId="415C6324">
            <wp:extent cx="613692" cy="541464"/>
            <wp:effectExtent l="0" t="0" r="0" b="0"/>
            <wp:docPr id="674142303" name="Picture 674142303"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1E42C4" w:rsidRPr="00141112">
        <w:rPr>
          <w:rFonts w:eastAsia="Calibri"/>
          <w:bCs/>
          <w:caps/>
          <w:color w:val="006699"/>
          <w:kern w:val="0"/>
          <w:u w:val="single"/>
          <w:rtl/>
          <w14:ligatures w14:val="none"/>
        </w:rPr>
        <w:t>القراءة</w:t>
      </w:r>
      <w:r w:rsidR="001E42C4" w:rsidRPr="00C7130A">
        <w:rPr>
          <w:rFonts w:eastAsia="Calibri"/>
          <w:bCs/>
          <w:caps/>
          <w:color w:val="006699"/>
          <w:kern w:val="0"/>
          <w:sz w:val="21"/>
          <w:szCs w:val="24"/>
          <w:u w:val="single"/>
          <w:rtl/>
          <w14:ligatures w14:val="none"/>
        </w:rPr>
        <w:t>:</w:t>
      </w:r>
      <w:r w:rsidR="001E42C4" w:rsidRPr="00C7130A">
        <w:rPr>
          <w:rFonts w:eastAsia="Calibri"/>
          <w:b/>
          <w:caps/>
          <w:color w:val="006699"/>
          <w:kern w:val="0"/>
          <w:sz w:val="21"/>
          <w:szCs w:val="24"/>
          <w:u w:val="single"/>
          <w:rtl/>
          <w14:ligatures w14:val="none"/>
        </w:rPr>
        <w:t xml:space="preserve"> </w:t>
      </w:r>
    </w:p>
    <w:p w14:paraId="08C2F1DC" w14:textId="6A26A12A" w:rsidR="00BE411E" w:rsidRPr="00C7130A" w:rsidRDefault="00BE411E" w:rsidP="00C7130A">
      <w:pPr>
        <w:rPr>
          <w:b/>
          <w:bCs/>
        </w:rPr>
      </w:pPr>
      <w:r w:rsidRPr="00C7130A">
        <w:tab/>
      </w:r>
      <w:r w:rsidRPr="00C7130A">
        <w:tab/>
      </w:r>
      <w:r w:rsidR="001E42C4" w:rsidRPr="00C7130A">
        <w:rPr>
          <w:rtl/>
        </w:rPr>
        <w:t xml:space="preserve">اقرأ تثنية 12: 1 – 26: 19 في كتابك المُقدَّس. </w:t>
      </w:r>
    </w:p>
    <w:p w14:paraId="4D06511B" w14:textId="77777777" w:rsidR="00070B6E" w:rsidRPr="00141112" w:rsidRDefault="00070B6E" w:rsidP="000558B7">
      <w:pPr>
        <w:pStyle w:val="Heading3"/>
        <w:rPr>
          <w:rtl/>
          <w:lang w:bidi="ar-JO"/>
        </w:rPr>
      </w:pPr>
      <w:bookmarkStart w:id="317" w:name="_Toc193031078"/>
      <w:bookmarkEnd w:id="316"/>
      <w:r w:rsidRPr="00141112">
        <w:rPr>
          <w:rtl/>
          <w:lang w:bidi="ar-JO"/>
        </w:rPr>
        <w:t>درس لحياتنا</w:t>
      </w:r>
      <w:bookmarkEnd w:id="317"/>
      <w:r w:rsidRPr="00141112">
        <w:rPr>
          <w:rtl/>
          <w:lang w:bidi="ar-JO"/>
        </w:rPr>
        <w:t xml:space="preserve"> </w:t>
      </w:r>
    </w:p>
    <w:p w14:paraId="066255A6" w14:textId="77777777" w:rsidR="00070B6E" w:rsidRPr="00141112"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141112">
        <w:rPr>
          <w:rFonts w:eastAsia="Times New Roman"/>
          <w:kern w:val="0"/>
          <w:rtl/>
          <w:lang w:bidi="ar-JO"/>
          <w14:ligatures w14:val="none"/>
        </w:rPr>
        <w:t xml:space="preserve">تأمَّل تثنية 4: 9.  ما أسهل أن </w:t>
      </w:r>
      <w:r w:rsidRPr="00141112">
        <w:rPr>
          <w:rFonts w:eastAsia="Times New Roman"/>
          <w:kern w:val="0"/>
          <w:u w:val="single"/>
          <w:rtl/>
          <w:lang w:bidi="ar-JO"/>
          <w14:ligatures w14:val="none"/>
        </w:rPr>
        <w:t>ينسى</w:t>
      </w:r>
      <w:r w:rsidRPr="00141112">
        <w:rPr>
          <w:rFonts w:eastAsia="Times New Roman"/>
          <w:kern w:val="0"/>
          <w:rtl/>
          <w:lang w:bidi="ar-JO"/>
          <w14:ligatures w14:val="none"/>
        </w:rPr>
        <w:t xml:space="preserve"> المرء.  فمهما كانت الانتصارات الروحية التي حققناها أو الامتيازات التي حصلنا عليها عندما رأينا الله يعمل ويصنع المعجزات، فقد ننسى وننجرف بعيداً.  لا تنظر بثقة زائدة إلى نفسك وتعتبر أن ما حصلت عليه أمر مفروغ منه، وإن من الحكمة أن يكون للمرء رفيق روحي... أخ يمكن أن يضع نفسه أمامه موضع المساءلة. </w:t>
      </w:r>
    </w:p>
    <w:p w14:paraId="67ED9747" w14:textId="77777777" w:rsidR="00BE411E" w:rsidRPr="00C7130A" w:rsidRDefault="00BE411E" w:rsidP="00C7130A">
      <w:pPr>
        <w:tabs>
          <w:tab w:val="left" w:pos="547"/>
          <w:tab w:val="left" w:pos="1094"/>
          <w:tab w:val="left" w:pos="1642"/>
          <w:tab w:val="left" w:pos="2189"/>
          <w:tab w:val="left" w:pos="2736"/>
          <w:tab w:val="left" w:pos="3283"/>
          <w:tab w:val="left" w:pos="3830"/>
          <w:tab w:val="left" w:pos="4378"/>
        </w:tabs>
        <w:spacing w:after="120"/>
        <w:jc w:val="both"/>
        <w:rPr>
          <w:rFonts w:eastAsia="Times New Roman"/>
          <w:kern w:val="0"/>
          <w:sz w:val="22"/>
          <w:szCs w:val="24"/>
          <w:lang w:bidi="ar-JO"/>
          <w14:ligatures w14:val="none"/>
        </w:rPr>
      </w:pPr>
    </w:p>
    <w:p w14:paraId="23461492" w14:textId="77777777" w:rsidR="000558B7" w:rsidRDefault="000558B7" w:rsidP="000558B7">
      <w:pPr>
        <w:pStyle w:val="Heading2B"/>
        <w:rPr>
          <w:rtl/>
        </w:rPr>
      </w:pPr>
      <w:bookmarkStart w:id="318" w:name="_Toc193031079"/>
    </w:p>
    <w:p w14:paraId="20D16A18" w14:textId="08FE6A71" w:rsidR="00BE411E" w:rsidRPr="00C7130A" w:rsidRDefault="00857A90" w:rsidP="000558B7">
      <w:pPr>
        <w:pStyle w:val="Heading2B"/>
      </w:pPr>
      <w:r w:rsidRPr="00C7130A">
        <w:rPr>
          <w:rtl/>
        </w:rPr>
        <w:t>الموضوع 4: مستقبل أمّة العهد (تثنية 27: 1 – 34: 12)</w:t>
      </w:r>
      <w:bookmarkStart w:id="319" w:name="_Hlk178779102"/>
      <w:bookmarkEnd w:id="318"/>
    </w:p>
    <w:p w14:paraId="1CDFD265" w14:textId="7724FF70" w:rsidR="00BE411E" w:rsidRPr="00C7130A" w:rsidRDefault="00BE411E"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14:ligatures w14:val="none"/>
        </w:rPr>
      </w:pPr>
      <w:bookmarkStart w:id="320" w:name="_Hlk157179225"/>
      <w:r w:rsidRPr="00C7130A">
        <w:rPr>
          <w:rFonts w:eastAsia="Calibri"/>
          <w:b/>
          <w:caps/>
          <w:noProof/>
          <w:color w:val="006699"/>
          <w:kern w:val="0"/>
          <w:sz w:val="21"/>
          <w:szCs w:val="24"/>
          <w14:ligatures w14:val="none"/>
        </w:rPr>
        <w:drawing>
          <wp:inline distT="0" distB="0" distL="0" distR="0" wp14:anchorId="105443B5" wp14:editId="0BB63240">
            <wp:extent cx="613692" cy="541464"/>
            <wp:effectExtent l="0" t="0" r="0" b="0"/>
            <wp:docPr id="18739591" name="Picture 18739591"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1E42C4" w:rsidRPr="003B15BA">
        <w:rPr>
          <w:rFonts w:eastAsia="Calibri"/>
          <w:bCs/>
          <w:caps/>
          <w:color w:val="006699"/>
          <w:kern w:val="0"/>
          <w:u w:val="single"/>
          <w:rtl/>
          <w14:ligatures w14:val="none"/>
        </w:rPr>
        <w:t>القراءة</w:t>
      </w:r>
      <w:r w:rsidR="001E42C4" w:rsidRPr="00C7130A">
        <w:rPr>
          <w:rFonts w:eastAsia="Calibri"/>
          <w:bCs/>
          <w:caps/>
          <w:color w:val="006699"/>
          <w:kern w:val="0"/>
          <w:sz w:val="21"/>
          <w:szCs w:val="24"/>
          <w:u w:val="single"/>
          <w:rtl/>
          <w14:ligatures w14:val="none"/>
        </w:rPr>
        <w:t>:</w:t>
      </w:r>
    </w:p>
    <w:p w14:paraId="51971E98" w14:textId="2CEF7D31" w:rsidR="00BE411E" w:rsidRPr="00C7130A" w:rsidRDefault="00BE411E" w:rsidP="00C7130A">
      <w:pPr>
        <w:rPr>
          <w:b/>
          <w:bCs/>
        </w:rPr>
      </w:pPr>
      <w:r w:rsidRPr="00C7130A">
        <w:tab/>
      </w:r>
      <w:r w:rsidRPr="00C7130A">
        <w:tab/>
      </w:r>
      <w:r w:rsidR="001E42C4" w:rsidRPr="00C7130A">
        <w:rPr>
          <w:rtl/>
        </w:rPr>
        <w:t xml:space="preserve">اقرأ تثنية 27: 1 – 34: 12 في كتابك المُقدَّس. </w:t>
      </w:r>
    </w:p>
    <w:bookmarkEnd w:id="319"/>
    <w:bookmarkEnd w:id="320"/>
    <w:p w14:paraId="6AE96803" w14:textId="77777777" w:rsidR="00070B6E" w:rsidRPr="00C7130A" w:rsidRDefault="00070B6E" w:rsidP="00C7130A">
      <w:pPr>
        <w:jc w:val="center"/>
        <w:rPr>
          <w:rFonts w:eastAsia="Times New Roman"/>
          <w:bCs/>
          <w:kern w:val="0"/>
          <w:szCs w:val="28"/>
          <w:rtl/>
          <w:lang w:bidi="ar-JO"/>
          <w14:ligatures w14:val="none"/>
        </w:rPr>
      </w:pPr>
    </w:p>
    <w:p w14:paraId="1748390C" w14:textId="77777777" w:rsidR="00070B6E" w:rsidRPr="003B15BA" w:rsidRDefault="00070B6E" w:rsidP="000558B7">
      <w:pPr>
        <w:pStyle w:val="Heading3"/>
        <w:rPr>
          <w:rtl/>
          <w:lang w:bidi="ar-JO"/>
        </w:rPr>
      </w:pPr>
      <w:bookmarkStart w:id="321" w:name="_Toc193031080"/>
      <w:r w:rsidRPr="003B15BA">
        <w:rPr>
          <w:rtl/>
          <w:lang w:bidi="ar-JO"/>
        </w:rPr>
        <w:t>1.</w:t>
      </w:r>
      <w:r w:rsidRPr="003B15BA">
        <w:rPr>
          <w:rtl/>
          <w:lang w:bidi="ar-JO"/>
        </w:rPr>
        <w:tab/>
        <w:t>مقدمة</w:t>
      </w:r>
      <w:bookmarkEnd w:id="321"/>
    </w:p>
    <w:p w14:paraId="48C141DF" w14:textId="6F4B3E6E"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 xml:space="preserve">حمل العهد الإبراهيمي معه وعداً بأن يبارك يهوه الأمّة.  غير أن الأمة تعلّمت أن البركات متوقّفة على الطاعة.  ولهذا كان لا بد أن تعرف الأمة كيف تطيع يهوه لتحصل على البركات، وقد أخبرتهم الشريعة ماذا يجب أن يفعلوا.  كانت تثنية 4: 44-26: 19 توضيحاً أكثر وأعمق للناموس، معلِّمةً إياهم أسلوب حياة العهد.  سبق أن وضعت أمامهم توقُّعات يهوه منهم، وهم مدعوون إلى اتّخاذ قرار.  إن الجيل الجديد مدعو إلى </w:t>
      </w:r>
      <w:r w:rsidRPr="003B15BA">
        <w:rPr>
          <w:rFonts w:eastAsia="Times New Roman"/>
          <w:kern w:val="0"/>
          <w:u w:val="single"/>
          <w:rtl/>
          <w:lang w:bidi="ar-JO"/>
          <w14:ligatures w14:val="none"/>
        </w:rPr>
        <w:t xml:space="preserve">تجديد </w:t>
      </w:r>
      <w:r w:rsidR="000E5C77" w:rsidRPr="003B15BA">
        <w:rPr>
          <w:rFonts w:eastAsia="Times New Roman" w:hint="cs"/>
          <w:kern w:val="0"/>
          <w:u w:val="single"/>
          <w:rtl/>
          <w:lang w:bidi="ar-JO"/>
          <w14:ligatures w14:val="none"/>
        </w:rPr>
        <w:t xml:space="preserve">العهد </w:t>
      </w:r>
      <w:r w:rsidR="000E5C77" w:rsidRPr="003B15BA">
        <w:rPr>
          <w:rFonts w:eastAsia="Times New Roman" w:hint="cs"/>
          <w:kern w:val="0"/>
          <w:rtl/>
          <w:lang w:bidi="ar-JO"/>
          <w14:ligatures w14:val="none"/>
        </w:rPr>
        <w:t>مع</w:t>
      </w:r>
      <w:r w:rsidRPr="003B15BA">
        <w:rPr>
          <w:rFonts w:eastAsia="Times New Roman"/>
          <w:kern w:val="0"/>
          <w:rtl/>
          <w:lang w:bidi="ar-JO"/>
          <w14:ligatures w14:val="none"/>
        </w:rPr>
        <w:t xml:space="preserve"> يهوه قبل الدخول إلى الأرض.  غير أنهم ُينبَّهون بشكل كامل إلى ما ينتظرهم، إذ سيكون هنالك بركات ولعنات معاً، وسيكون كل جيل تالٍ مسؤولاً عن المحافظة على العهد.  وعلى الرغم من أن فشل الأجيال القادمة أمر لا مفر منه، إلاّ أن الردّ أمرٌ ممكن... فهنالك إذاً رجاء.</w:t>
      </w:r>
    </w:p>
    <w:p w14:paraId="3908F0E9"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70EFFE0" w14:textId="77777777" w:rsidR="00070B6E" w:rsidRPr="003B15BA" w:rsidRDefault="00070B6E" w:rsidP="000558B7">
      <w:pPr>
        <w:pStyle w:val="Heading3"/>
        <w:rPr>
          <w:rtl/>
          <w:lang w:bidi="ar-JO"/>
        </w:rPr>
      </w:pPr>
      <w:bookmarkStart w:id="322" w:name="_Toc193031081"/>
      <w:r w:rsidRPr="003B15BA">
        <w:rPr>
          <w:rtl/>
          <w:lang w:bidi="ar-JO"/>
        </w:rPr>
        <w:t>2.</w:t>
      </w:r>
      <w:r w:rsidRPr="003B15BA">
        <w:rPr>
          <w:rtl/>
          <w:lang w:bidi="ar-JO"/>
        </w:rPr>
        <w:tab/>
        <w:t>بنية هذا القسم</w:t>
      </w:r>
      <w:bookmarkEnd w:id="322"/>
    </w:p>
    <w:p w14:paraId="057AF711"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lastRenderedPageBreak/>
        <w:t>توجد وحدتان رئيسيتان في هذا القسم.  الوحدة الأولى هي 27: 1-30: 20، وتتضمن المصادقة على العهد والدعوة إلى الالتزام به.  والوحدة الثانية هي 31: 1-34: 12 التي تتناول بشكل رئيسي الأحداث الأخيرة في حياة موسى، إداري الأمّة الثيوقراطي منذ الخروج.  تسهم هذه الأحداث في استمرارية العهد.</w:t>
      </w:r>
    </w:p>
    <w:p w14:paraId="5964ED9D"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14:ligatures w14:val="none"/>
        </w:rPr>
      </w:pPr>
      <w:r w:rsidRPr="003B15BA">
        <w:rPr>
          <w:rFonts w:eastAsia="Times New Roman"/>
          <w:kern w:val="0"/>
          <w:rtl/>
          <w:lang w:bidi="ar-JO"/>
          <w14:ligatures w14:val="none"/>
        </w:rPr>
        <w:t xml:space="preserve">  </w:t>
      </w:r>
    </w:p>
    <w:p w14:paraId="0FFC80D9" w14:textId="77777777" w:rsidR="00070B6E" w:rsidRPr="003B15BA"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3B15BA">
        <w:rPr>
          <w:rFonts w:eastAsia="Times New Roman"/>
          <w:kern w:val="0"/>
          <w:rtl/>
          <w:lang w:bidi="ar-JO"/>
          <w14:ligatures w14:val="none"/>
        </w:rPr>
        <w:t>أ.</w:t>
      </w:r>
      <w:r w:rsidRPr="003B15BA">
        <w:rPr>
          <w:rFonts w:eastAsia="Times New Roman"/>
          <w:kern w:val="0"/>
          <w:rtl/>
          <w:lang w:bidi="ar-JO"/>
          <w14:ligatures w14:val="none"/>
        </w:rPr>
        <w:tab/>
        <w:t>المصادقة على العهد والالتزام به (27: 1-30: 20)</w:t>
      </w:r>
    </w:p>
    <w:p w14:paraId="64E7AC05"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B15BA">
        <w:rPr>
          <w:rFonts w:eastAsia="Times New Roman"/>
          <w:kern w:val="0"/>
          <w:rtl/>
          <w:lang w:bidi="ar-JO"/>
          <w14:ligatures w14:val="none"/>
        </w:rPr>
        <w:t>1.</w:t>
      </w:r>
      <w:r w:rsidRPr="003B15BA">
        <w:rPr>
          <w:rFonts w:eastAsia="Times New Roman"/>
          <w:kern w:val="0"/>
          <w:rtl/>
          <w:lang w:bidi="ar-JO"/>
          <w14:ligatures w14:val="none"/>
        </w:rPr>
        <w:tab/>
        <w:t>طقس المصادقة في كنعان (27: 1-26)</w:t>
      </w:r>
    </w:p>
    <w:p w14:paraId="26BF1595"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B15BA">
        <w:rPr>
          <w:rFonts w:eastAsia="Times New Roman"/>
          <w:kern w:val="0"/>
          <w:rtl/>
          <w:lang w:bidi="ar-JO"/>
          <w14:ligatures w14:val="none"/>
        </w:rPr>
        <w:t>2.</w:t>
      </w:r>
      <w:r w:rsidRPr="003B15BA">
        <w:rPr>
          <w:rFonts w:eastAsia="Times New Roman"/>
          <w:kern w:val="0"/>
          <w:rtl/>
          <w:lang w:bidi="ar-JO"/>
          <w14:ligatures w14:val="none"/>
        </w:rPr>
        <w:tab/>
        <w:t>إعلان البركات واللعنات (28: 1-29: 1)</w:t>
      </w:r>
    </w:p>
    <w:p w14:paraId="0BABBFD6"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B15BA">
        <w:rPr>
          <w:rFonts w:eastAsia="Times New Roman"/>
          <w:kern w:val="0"/>
          <w:rtl/>
          <w:lang w:bidi="ar-JO"/>
          <w14:ligatures w14:val="none"/>
        </w:rPr>
        <w:t>3.</w:t>
      </w:r>
      <w:r w:rsidRPr="003B15BA">
        <w:rPr>
          <w:rFonts w:eastAsia="Times New Roman"/>
          <w:kern w:val="0"/>
          <w:rtl/>
          <w:lang w:bidi="ar-JO"/>
          <w14:ligatures w14:val="none"/>
        </w:rPr>
        <w:tab/>
        <w:t>فرصة الاستجابة (29: 2-30: 20)</w:t>
      </w:r>
    </w:p>
    <w:p w14:paraId="56EB2BE3"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3B15BA">
        <w:rPr>
          <w:rFonts w:eastAsia="Times New Roman"/>
          <w:kern w:val="0"/>
          <w:rtl/>
          <w:lang w:bidi="ar-JO"/>
          <w14:ligatures w14:val="none"/>
        </w:rPr>
        <w:t>أ.</w:t>
      </w:r>
      <w:r w:rsidRPr="003B15BA">
        <w:rPr>
          <w:rFonts w:eastAsia="Times New Roman"/>
          <w:kern w:val="0"/>
          <w:rtl/>
          <w:lang w:bidi="ar-JO"/>
          <w14:ligatures w14:val="none"/>
        </w:rPr>
        <w:tab/>
        <w:t>الدعوة إلى قَسَم العهد والتحذير من التمرّد (29: 2-29)</w:t>
      </w:r>
    </w:p>
    <w:p w14:paraId="16FF97AE"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3B15BA">
        <w:rPr>
          <w:rFonts w:eastAsia="Times New Roman"/>
          <w:kern w:val="0"/>
          <w:rtl/>
          <w:lang w:bidi="ar-JO"/>
          <w14:ligatures w14:val="none"/>
        </w:rPr>
        <w:t>ب.</w:t>
      </w:r>
      <w:r w:rsidRPr="003B15BA">
        <w:rPr>
          <w:rFonts w:eastAsia="Times New Roman"/>
          <w:kern w:val="0"/>
          <w:rtl/>
          <w:lang w:bidi="ar-JO"/>
          <w14:ligatures w14:val="none"/>
        </w:rPr>
        <w:tab/>
        <w:t>الرد وطاعة العهد (30: 1-20)</w:t>
      </w:r>
    </w:p>
    <w:p w14:paraId="666ABD7C"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p>
    <w:p w14:paraId="27F41EA2"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p>
    <w:p w14:paraId="5B47E57F" w14:textId="77777777" w:rsidR="00070B6E" w:rsidRPr="003B15BA"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3B15BA">
        <w:rPr>
          <w:rFonts w:eastAsia="Times New Roman"/>
          <w:kern w:val="0"/>
          <w:rtl/>
          <w:lang w:bidi="ar-JO"/>
          <w14:ligatures w14:val="none"/>
        </w:rPr>
        <w:t>ب.</w:t>
      </w:r>
      <w:r w:rsidRPr="003B15BA">
        <w:rPr>
          <w:rFonts w:eastAsia="Times New Roman"/>
          <w:kern w:val="0"/>
          <w:rtl/>
          <w:lang w:bidi="ar-JO"/>
          <w14:ligatures w14:val="none"/>
        </w:rPr>
        <w:tab/>
        <w:t>استمرارية العهد عند موت موسى (31: 1-34: 12)</w:t>
      </w:r>
    </w:p>
    <w:p w14:paraId="703C1F43"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B15BA">
        <w:rPr>
          <w:rFonts w:eastAsia="Times New Roman"/>
          <w:kern w:val="0"/>
          <w:rtl/>
          <w:lang w:bidi="ar-JO"/>
          <w14:ligatures w14:val="none"/>
        </w:rPr>
        <w:t>1.</w:t>
      </w:r>
      <w:r w:rsidRPr="003B15BA">
        <w:rPr>
          <w:rFonts w:eastAsia="Times New Roman"/>
          <w:kern w:val="0"/>
          <w:rtl/>
          <w:lang w:bidi="ar-JO"/>
          <w14:ligatures w14:val="none"/>
        </w:rPr>
        <w:tab/>
        <w:t>مواصلة العهد (3: 1-30)</w:t>
      </w:r>
    </w:p>
    <w:p w14:paraId="4D883D48"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3B15BA">
        <w:rPr>
          <w:rFonts w:eastAsia="Times New Roman"/>
          <w:kern w:val="0"/>
          <w:rtl/>
          <w:lang w:bidi="ar-JO"/>
          <w14:ligatures w14:val="none"/>
        </w:rPr>
        <w:t>2.</w:t>
      </w:r>
      <w:r w:rsidRPr="003B15BA">
        <w:rPr>
          <w:rFonts w:eastAsia="Times New Roman"/>
          <w:kern w:val="0"/>
          <w:rtl/>
          <w:lang w:bidi="ar-JO"/>
          <w14:ligatures w14:val="none"/>
        </w:rPr>
        <w:tab/>
        <w:t>نشيد موسى حول مستقبل إسرائيل الضال (32: 1-47)</w:t>
      </w:r>
    </w:p>
    <w:p w14:paraId="7EA3DB61" w14:textId="77777777" w:rsidR="00070B6E" w:rsidRPr="003B15BA" w:rsidRDefault="00070B6E">
      <w:pPr>
        <w:numPr>
          <w:ilvl w:val="0"/>
          <w:numId w:val="10"/>
        </w:numPr>
        <w:tabs>
          <w:tab w:val="left" w:pos="550"/>
          <w:tab w:val="left" w:pos="1100"/>
          <w:tab w:val="left" w:pos="1650"/>
          <w:tab w:val="left" w:pos="2200"/>
          <w:tab w:val="left" w:pos="2750"/>
          <w:tab w:val="left" w:pos="3300"/>
          <w:tab w:val="left" w:pos="3850"/>
          <w:tab w:val="left" w:pos="4400"/>
        </w:tabs>
        <w:jc w:val="both"/>
        <w:rPr>
          <w:rFonts w:eastAsia="Times New Roman"/>
          <w:kern w:val="0"/>
          <w:rtl/>
          <w:lang w:bidi="ar-JO"/>
          <w14:ligatures w14:val="none"/>
        </w:rPr>
      </w:pPr>
      <w:r w:rsidRPr="003B15BA">
        <w:rPr>
          <w:rFonts w:eastAsia="Times New Roman"/>
          <w:kern w:val="0"/>
          <w:rtl/>
          <w:lang w:bidi="ar-JO"/>
          <w14:ligatures w14:val="none"/>
        </w:rPr>
        <w:t>بركة موسى وموته (32: 48-34: 12)</w:t>
      </w:r>
    </w:p>
    <w:p w14:paraId="6F240B7A"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4D92F3F"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AF65B54" w14:textId="77777777" w:rsidR="00070B6E" w:rsidRPr="003B15BA" w:rsidRDefault="00070B6E" w:rsidP="000558B7">
      <w:pPr>
        <w:pStyle w:val="Heading3"/>
        <w:rPr>
          <w:rtl/>
          <w:lang w:bidi="ar-JO"/>
        </w:rPr>
      </w:pPr>
      <w:bookmarkStart w:id="323" w:name="_Toc193031082"/>
      <w:r w:rsidRPr="003B15BA">
        <w:rPr>
          <w:rtl/>
          <w:lang w:bidi="ar-JO"/>
        </w:rPr>
        <w:t>3.</w:t>
      </w:r>
      <w:r w:rsidRPr="003B15BA">
        <w:rPr>
          <w:rtl/>
          <w:lang w:bidi="ar-JO"/>
        </w:rPr>
        <w:tab/>
        <w:t>المصادقة على العهد والالتزام به (27: 1-30: 20)</w:t>
      </w:r>
      <w:bookmarkEnd w:id="323"/>
    </w:p>
    <w:p w14:paraId="481A7E61" w14:textId="77777777" w:rsidR="00070B6E" w:rsidRPr="003B15BA" w:rsidRDefault="00070B6E" w:rsidP="00C7130A">
      <w:pPr>
        <w:tabs>
          <w:tab w:val="left" w:pos="454"/>
        </w:tabs>
        <w:spacing w:after="60"/>
        <w:ind w:left="550" w:hanging="550"/>
        <w:jc w:val="both"/>
        <w:rPr>
          <w:rFonts w:eastAsia="Times New Roman"/>
          <w:bCs/>
          <w:kern w:val="0"/>
          <w:rtl/>
          <w14:ligatures w14:val="none"/>
        </w:rPr>
      </w:pPr>
      <w:r w:rsidRPr="003B15BA">
        <w:rPr>
          <w:rFonts w:eastAsia="Times New Roman"/>
          <w:bCs/>
          <w:kern w:val="0"/>
          <w:rtl/>
          <w14:ligatures w14:val="none"/>
        </w:rPr>
        <w:t>أ.</w:t>
      </w:r>
      <w:r w:rsidRPr="003B15BA">
        <w:rPr>
          <w:rFonts w:eastAsia="Times New Roman"/>
          <w:bCs/>
          <w:kern w:val="0"/>
          <w:rtl/>
          <w14:ligatures w14:val="none"/>
        </w:rPr>
        <w:tab/>
        <w:t>طقس المصادقة في كنعان (27: 10-26)</w:t>
      </w:r>
    </w:p>
    <w:p w14:paraId="3B6F396A"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 xml:space="preserve">فصّل القسم السابق التوقعات المحددة من أمّة يهوه الفريدة.  وعلى الرغم من أنه لم يكن شاملاً بالضرورة، إلاّ أنه قدّم صورة واضحة للمطالب الموضوعة على شعب سيكون مقتنى فريداً لله بين شعوب العالم.  وكدليل لوعيهم لما طُلب إليهم أن يكرّسوا أنفسهم له بالطاعة، طُلب إلى الأمّة أن تقوم بطقسٍ احتفالي لتجديد العهد حال ترسيخ أنفسهم في أرض الموعد.  كان عليهم، كدليل على أخذهم للعهد مأخذ الجد، أن يعلنوا البركات واللعنات من فوق جبلي عيبال وجرزيم.  </w:t>
      </w:r>
      <w:r w:rsidRPr="003B15BA">
        <w:rPr>
          <w:rFonts w:eastAsia="Times New Roman"/>
          <w:kern w:val="0"/>
          <w:rtl/>
          <w:lang w:bidi="ar-JO"/>
          <w14:ligatures w14:val="none"/>
        </w:rPr>
        <w:lastRenderedPageBreak/>
        <w:t>وسيكون هذا الطقس الاحتفالي والمذبح الذي سيبنونه شاهداً على الواجبات والالتزامات التي اضطلع بها الشعب.  وإن من الواضح أنهم كانوا عرضة للمساءلة حول أمانتهم في حفظ العهد.</w:t>
      </w:r>
    </w:p>
    <w:p w14:paraId="34FA59BF"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351BDBF" w14:textId="5EF33E02"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وبين جبلي عيبال وجرزيم كانت تقع مدينة شكيم على بعد 32 ميلاً إلى الشمال من أورشليم.  كان إبراهيم قد بنى أول مذبح له ليهوه في هذا الموقع (تكوين 12: 4-9).  ومن هناك بدأ ينادي باسم يهوه.  كان ذلك هو المكان الذي أشار منه الله إلى أن هذه هي الأرض التي سيعطيها لنسل إبراهيم.  والآن سيقوم الجيل الذي تحت قيادة يشوع بإعلان تمسّكهم بالعهد مع يهوه في نفس المنطقة.  وسيقومون بطريقة مشابهة ببناء حجارة تذكارية ومذبح على جبل عيبال.  وهكذا كان هذا الطقس الاحتفالي تذكاراً ملائماً بأمانة يهوه.  فها الله الآن يعطي الأمّة في أمانته ما سبق أن وعد به لإبراهيم.</w:t>
      </w:r>
    </w:p>
    <w:p w14:paraId="71E8F531"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1134A79"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سيتضمن جزء آخر من الطقس تقسيم الشعب إلى مجموعتين، حيث توضع المجموعة الأولى على جبل جرزيم لإعلان البركات، والمجموعة الأخرى على جبل عيبال لإعلان البركات.  وقد أوضح هذا الاحتفال التفرع الثنائي القوي بين الطاعة المصحوبة بالبركة وبين العصيان المصحوب باللعنة.  فكان على الشعب أن يكونوا في إحدى الخانتين؛ إذ لم يكن الله يريد نصف طاعة.</w:t>
      </w:r>
    </w:p>
    <w:p w14:paraId="2C1CBD21"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6590652A" w14:textId="3AFA15F5"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r w:rsidRPr="00C7130A">
        <w:rPr>
          <w:rFonts w:eastAsia="Times New Roman"/>
          <w:noProof/>
          <w:kern w:val="0"/>
          <w:szCs w:val="26"/>
          <w:lang w:bidi="ar-JO"/>
          <w14:ligatures w14:val="none"/>
        </w:rPr>
        <w:drawing>
          <wp:inline distT="0" distB="0" distL="0" distR="0" wp14:anchorId="72BFECE0" wp14:editId="50B75807">
            <wp:extent cx="5676900" cy="4032055"/>
            <wp:effectExtent l="0" t="0" r="0" b="0"/>
            <wp:docPr id="2764591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678464" cy="4033166"/>
                    </a:xfrm>
                    <a:prstGeom prst="rect">
                      <a:avLst/>
                    </a:prstGeom>
                    <a:noFill/>
                    <a:ln>
                      <a:noFill/>
                    </a:ln>
                  </pic:spPr>
                </pic:pic>
              </a:graphicData>
            </a:graphic>
          </wp:inline>
        </w:drawing>
      </w:r>
    </w:p>
    <w:p w14:paraId="257527A9"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1A7F394A" w14:textId="77777777" w:rsidR="00070B6E" w:rsidRPr="003B15BA" w:rsidRDefault="00070B6E" w:rsidP="00C7130A">
      <w:pPr>
        <w:tabs>
          <w:tab w:val="left" w:pos="454"/>
        </w:tabs>
        <w:spacing w:after="60"/>
        <w:ind w:left="550" w:hanging="550"/>
        <w:jc w:val="both"/>
        <w:rPr>
          <w:rFonts w:eastAsia="Times New Roman"/>
          <w:bCs/>
          <w:kern w:val="0"/>
          <w:rtl/>
          <w14:ligatures w14:val="none"/>
        </w:rPr>
      </w:pPr>
      <w:r w:rsidRPr="003B15BA">
        <w:rPr>
          <w:rFonts w:eastAsia="Times New Roman"/>
          <w:bCs/>
          <w:kern w:val="0"/>
          <w:rtl/>
          <w14:ligatures w14:val="none"/>
        </w:rPr>
        <w:t>ب.</w:t>
      </w:r>
      <w:r w:rsidRPr="003B15BA">
        <w:rPr>
          <w:rFonts w:eastAsia="Times New Roman"/>
          <w:bCs/>
          <w:kern w:val="0"/>
          <w:rtl/>
          <w14:ligatures w14:val="none"/>
        </w:rPr>
        <w:tab/>
        <w:t>إعلان البركات واللعنات (28: 1-29: 1)</w:t>
      </w:r>
    </w:p>
    <w:p w14:paraId="1DC59CE2" w14:textId="58DE2ED0"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 xml:space="preserve">تقدّم القائمة الطويلة من البركات واللعنات للأمة أساساً تفهم بموجبه تعاملات الرب معها في أيّة لحظة من التاريخ.  وإذ كانت الأمة تستمع، أخذ موسى يصف لهم طبيعة البركات واللعنات.  إذ ستكون هنالك بركات للطاعة (28: 1-14) ولعنات </w:t>
      </w:r>
      <w:r w:rsidR="000E5C77" w:rsidRPr="003B15BA">
        <w:rPr>
          <w:rFonts w:eastAsia="Times New Roman" w:hint="cs"/>
          <w:kern w:val="0"/>
          <w:rtl/>
          <w:lang w:bidi="ar-JO"/>
          <w14:ligatures w14:val="none"/>
        </w:rPr>
        <w:t>للعصيان (</w:t>
      </w:r>
      <w:r w:rsidRPr="003B15BA">
        <w:rPr>
          <w:rFonts w:eastAsia="Times New Roman"/>
          <w:kern w:val="0"/>
          <w:rtl/>
          <w:lang w:bidi="ar-JO"/>
          <w14:ligatures w14:val="none"/>
        </w:rPr>
        <w:t>28: 15-29: 1).  كان المبدأ بسيطاً: "البركات مشروطة بالطاعة!" وسيكون هذا هو المبدأ العام الذي سيتعامل الله بموجبه مع الشعب المفدي عندما يكونون في الأرض.  وهذا الأصحاح هام جدّاً، خاصة عندما نتناول الكتب النبوية.  التفاصيل المذكورة في تثنية 28 تعكس حقيقة إن كانت الأمة تحت التأديب أم تحت البركة.  وإن أحد الأمثلة البارزة على ذلك هو بركة المطر (28: 12)؛ فتعرُّض الأمة للجفاف يعكس استياء الله منهم.  ويمكن لبركات المطر والحصاد، والأمان من أعدائهم، والحريّة من الأمراض أن تكون كلّها من نصيبهم إذا أطاعوا.</w:t>
      </w:r>
    </w:p>
    <w:p w14:paraId="41204B24"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EEF7108"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lang w:bidi="ar-JO"/>
          <w14:ligatures w14:val="none"/>
        </w:rPr>
      </w:pPr>
      <w:r w:rsidRPr="003B15BA">
        <w:rPr>
          <w:rFonts w:eastAsia="Times New Roman"/>
          <w:kern w:val="0"/>
          <w:rtl/>
          <w:lang w:bidi="ar-JO"/>
          <w14:ligatures w14:val="none"/>
        </w:rPr>
        <w:t>أمّا إذا لم يطيعوا، فستأتي اللعنات متدرّجة متزايدة الشدة، ويمكن أن تصل إلى ذروتها في السماح بغزو أجنبي وبالسبي... سيذهبون إلى السبي (ويزاحون من أرض الموعد).  وستجبر هذه الظروف الأمّة على الركوع وانسحاق الروح.  تقول 28: 34: "</w:t>
      </w:r>
      <w:r w:rsidRPr="003B15BA">
        <w:rPr>
          <w:rFonts w:eastAsia="Times New Roman"/>
          <w:i/>
          <w:iCs/>
          <w:kern w:val="0"/>
          <w:rtl/>
          <w:lang w:bidi="ar-JO"/>
          <w14:ligatures w14:val="none"/>
        </w:rPr>
        <w:t>وتكون مجنوناً من منظر عينيك الذي تنظر</w:t>
      </w:r>
      <w:r w:rsidRPr="003B15BA">
        <w:rPr>
          <w:rFonts w:eastAsia="Times New Roman"/>
          <w:kern w:val="0"/>
          <w:rtl/>
          <w:lang w:bidi="ar-JO"/>
          <w14:ligatures w14:val="none"/>
        </w:rPr>
        <w:t>."  قارن تثنية 28: 52-57 مع 2ملوك 6: 34-31 ومراثي 2: 30؛ 4: 10.  فكما أحضرهم الرب إلى الأرض، فإنه يستطيع أن يخرجهم من الأرض تأديباً لهم.  إذ سيهاجَمون (49-51) ويحاصَرون (52-57)، ويُشتَّتون في نهاية الأمر بين الأمم (36-37، 41، 64).  والآية 28: 64 جديرة بالملاحظة، لأنها تتطلع إلى سبي أكثر اتساعاً من السبي إلى بابل.  "</w:t>
      </w:r>
      <w:r w:rsidRPr="003B15BA">
        <w:rPr>
          <w:rFonts w:eastAsia="Times New Roman"/>
          <w:i/>
          <w:iCs/>
          <w:kern w:val="0"/>
          <w:rtl/>
          <w:lang w:bidi="ar-JO"/>
          <w14:ligatures w14:val="none"/>
        </w:rPr>
        <w:t>ويبدّدك الرب في جميع الشعوب من أقصاء الأرض إلى أقصائها...</w:t>
      </w:r>
      <w:r w:rsidRPr="003B15BA">
        <w:rPr>
          <w:rFonts w:eastAsia="Times New Roman"/>
          <w:kern w:val="0"/>
          <w:rtl/>
          <w:lang w:bidi="ar-JO"/>
          <w14:ligatures w14:val="none"/>
        </w:rPr>
        <w:t>" وهذا هو وضع اليهود اليوم.  إنهم مشتّتون، وهم تحت التأديب، لكن هذا لا يعني أن العهد الإبراهيمي مع الله قد أُلغي.</w:t>
      </w:r>
    </w:p>
    <w:p w14:paraId="12D0084A" w14:textId="77777777" w:rsidR="00070B6E" w:rsidRPr="003B15BA" w:rsidRDefault="00070B6E" w:rsidP="000E5C77">
      <w:pPr>
        <w:tabs>
          <w:tab w:val="left" w:pos="550"/>
          <w:tab w:val="left" w:pos="1100"/>
          <w:tab w:val="left" w:pos="1650"/>
          <w:tab w:val="left" w:pos="2200"/>
          <w:tab w:val="left" w:pos="2750"/>
          <w:tab w:val="left" w:pos="3300"/>
          <w:tab w:val="left" w:pos="3850"/>
          <w:tab w:val="left" w:pos="4400"/>
        </w:tabs>
        <w:jc w:val="both"/>
        <w:rPr>
          <w:rFonts w:eastAsia="Times New Roman"/>
          <w:kern w:val="0"/>
          <w:rtl/>
          <w:lang w:bidi="ar-JO"/>
          <w14:ligatures w14:val="none"/>
        </w:rPr>
      </w:pPr>
    </w:p>
    <w:p w14:paraId="51DAC431"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هذه اللعنات موصوفة في 28: 46 على أنها "آية" أي علامة على الأمّة (لنتذكر أن الآية [العلامة] استخدمت لتأييد أمر الله الموجَّه إلى فرعون).  والغرض من الآيات هو تذكير الأمّة بأنها لم تكن مطيعة.  وسيدل استمرار الآيات على مقاومة إسرائيل للرب ويذكّرهم بواجباتهم والتزاماتهم.  وستكون الأمم الغازية عاملاً أو وسيطاً هاماً في التأديب (28: 47-48).  ويمكن أن يكون النمط كما يلي:</w:t>
      </w:r>
    </w:p>
    <w:p w14:paraId="50A56650"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B15BA">
        <w:rPr>
          <w:rFonts w:eastAsia="Times New Roman"/>
          <w:kern w:val="0"/>
          <w:rtl/>
          <w:lang w:bidi="ar-JO"/>
          <w14:ligatures w14:val="none"/>
        </w:rPr>
        <w:t>خطية ... غزو... توبة... إقامة الله لمخلِّص</w:t>
      </w:r>
    </w:p>
    <w:p w14:paraId="7452F515"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D9127A8" w14:textId="4551F7B9"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 xml:space="preserve">أصبح هذا النمط بارزاً جداً في فترة القضاة.  رأى الشعب أثناء تلك الفترة الغزوات كعلامات ضدّهم.  وأثناء فترة المملكة الموحَّدة كان هنالك سلام وانتصار بسبب طاعتهم النسبية.  وأثناء فترة المملكة المنقسمة، لم تُبالِ المملكة الشمالية بالآيات، </w:t>
      </w:r>
      <w:r w:rsidRPr="003B15BA">
        <w:rPr>
          <w:rFonts w:eastAsia="Times New Roman"/>
          <w:kern w:val="0"/>
          <w:rtl/>
          <w:lang w:bidi="ar-JO"/>
          <w14:ligatures w14:val="none"/>
        </w:rPr>
        <w:lastRenderedPageBreak/>
        <w:t xml:space="preserve">فذهبت إلى السبي (722 ق م).  ومضت المملكة الجنوبية أيضاً في نهاية المطاف إلى السبي في عام 586ق م.  كان هنالك تمديد لفترة المملكة الجنوبية بسبب وجود ملوك قاموا بحركات إصلاحية. </w:t>
      </w:r>
    </w:p>
    <w:p w14:paraId="34AB29C7" w14:textId="38BB6F60"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 xml:space="preserve">ونكتشف مع كتابة سفر دانيال (الذي كُتب أثناء السبي البابلي) أن على الأمّة أن تخضع لـ "أزمنة الأمم"، وهي فترة ستمتد من سقوط أورشليم </w:t>
      </w:r>
      <w:r w:rsidR="000E5C77" w:rsidRPr="003B15BA">
        <w:rPr>
          <w:rFonts w:eastAsia="Times New Roman" w:hint="cs"/>
          <w:kern w:val="0"/>
          <w:rtl/>
          <w:lang w:bidi="ar-JO"/>
          <w14:ligatures w14:val="none"/>
        </w:rPr>
        <w:t>في 586</w:t>
      </w:r>
      <w:r w:rsidRPr="003B15BA">
        <w:rPr>
          <w:rFonts w:eastAsia="Times New Roman"/>
          <w:kern w:val="0"/>
          <w:rtl/>
          <w:lang w:bidi="ar-JO"/>
          <w14:ligatures w14:val="none"/>
        </w:rPr>
        <w:t xml:space="preserve">ق م حتى حُكم المسيّا.  وهكذا ظهرت علامات تثنية 28 في تاريخ إسرائيل وقد أُعطيت لردّ الأمة ثانية (انظر 28: 58-59). </w:t>
      </w:r>
    </w:p>
    <w:p w14:paraId="256E97A7"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 xml:space="preserve"> </w:t>
      </w:r>
    </w:p>
    <w:p w14:paraId="1EBCABC6" w14:textId="3CCA28E0"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تنبّه تثنية 29: 1 القارئ إلى أن العهد المقطوع في سهول موآب ليس مطابقاً للعهد المقطوع عند جبل سيناء.  فالعهد المشروح في تثنية كان "</w:t>
      </w:r>
      <w:r w:rsidRPr="003B15BA">
        <w:rPr>
          <w:rFonts w:eastAsia="Times New Roman"/>
          <w:i/>
          <w:iCs/>
          <w:kern w:val="0"/>
          <w:rtl/>
          <w:lang w:bidi="ar-JO"/>
          <w14:ligatures w14:val="none"/>
        </w:rPr>
        <w:t xml:space="preserve"> فضلاً عن (إلى جانب) العهد الذي قطعه معهم في حوريب</w:t>
      </w:r>
      <w:r w:rsidRPr="003B15BA">
        <w:rPr>
          <w:rFonts w:eastAsia="Times New Roman"/>
          <w:kern w:val="0"/>
          <w:rtl/>
          <w:lang w:bidi="ar-JO"/>
          <w14:ligatures w14:val="none"/>
        </w:rPr>
        <w:t xml:space="preserve">."  وهما متشابهان من نواحٍ كثيرة، على الرغم من أن العهد التثنوي الثاني يتميّز بالتاريخ والخبرات.  وينظر بعض الباحثين التابعين لمدرسة الفكر ما قبل الألفي (مثلاً جي د. بنتيكوست) إلى تثنية 28-30 باعتباره "العهد الفلسطيني" بسبب التركيز على الأرض.  وهم يعتبرونه عهداً غير مشروط ومتميّزاً عن العهد الموسوي، وينظرون </w:t>
      </w:r>
      <w:r w:rsidR="000E5C77" w:rsidRPr="003B15BA">
        <w:rPr>
          <w:rFonts w:eastAsia="Times New Roman" w:hint="cs"/>
          <w:kern w:val="0"/>
          <w:rtl/>
          <w:lang w:bidi="ar-JO"/>
          <w14:ligatures w14:val="none"/>
        </w:rPr>
        <w:t>إليه على</w:t>
      </w:r>
      <w:r w:rsidRPr="003B15BA">
        <w:rPr>
          <w:rFonts w:eastAsia="Times New Roman"/>
          <w:kern w:val="0"/>
          <w:rtl/>
          <w:lang w:bidi="ar-JO"/>
          <w14:ligatures w14:val="none"/>
        </w:rPr>
        <w:t xml:space="preserve"> أنه يوسّع وعود العهد الإبراهيمي في ما يختص بالأرض ويسهب في الحديث عنها.  أمّا أنا، فأفضّل أن أنظر إلى سفر التثنية بصفته </w:t>
      </w:r>
      <w:r w:rsidRPr="003B15BA">
        <w:rPr>
          <w:rFonts w:eastAsia="Times New Roman"/>
          <w:i/>
          <w:iCs/>
          <w:kern w:val="0"/>
          <w:rtl/>
          <w:lang w:bidi="ar-JO"/>
          <w14:ligatures w14:val="none"/>
        </w:rPr>
        <w:t xml:space="preserve">تجديداً </w:t>
      </w:r>
      <w:r w:rsidRPr="003B15BA">
        <w:rPr>
          <w:rFonts w:eastAsia="Times New Roman"/>
          <w:kern w:val="0"/>
          <w:rtl/>
          <w:lang w:bidi="ar-JO"/>
          <w14:ligatures w14:val="none"/>
        </w:rPr>
        <w:t xml:space="preserve">للعهد الموسوي مع الجيل الجديد حيث توجد وعود كثيرة مرتبطة بالأرض.  لكن العهد ليس مقصوراً على الأصحاحات 28-30، ولا يقتصر على الأرض.  غير أنه يؤكّد أن لإسرائيل مستقبلاً </w:t>
      </w:r>
      <w:r w:rsidRPr="003B15BA">
        <w:rPr>
          <w:rFonts w:eastAsia="Times New Roman"/>
          <w:i/>
          <w:iCs/>
          <w:kern w:val="0"/>
          <w:rtl/>
          <w:lang w:bidi="ar-JO"/>
          <w14:ligatures w14:val="none"/>
        </w:rPr>
        <w:t>في الأرض (لكن لجيلٍ مستقبلي تائب)</w:t>
      </w:r>
      <w:r w:rsidRPr="003B15BA">
        <w:rPr>
          <w:rFonts w:eastAsia="Times New Roman"/>
          <w:kern w:val="0"/>
          <w:rtl/>
          <w:lang w:bidi="ar-JO"/>
          <w14:ligatures w14:val="none"/>
        </w:rPr>
        <w:t>.</w:t>
      </w:r>
    </w:p>
    <w:p w14:paraId="4716970F"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8ADE2E8" w14:textId="77777777" w:rsidR="00070B6E" w:rsidRPr="003B15BA" w:rsidRDefault="00070B6E" w:rsidP="00C7130A">
      <w:pPr>
        <w:tabs>
          <w:tab w:val="left" w:pos="454"/>
        </w:tabs>
        <w:spacing w:after="60"/>
        <w:ind w:left="550" w:hanging="550"/>
        <w:jc w:val="both"/>
        <w:rPr>
          <w:rFonts w:eastAsia="Times New Roman"/>
          <w:bCs/>
          <w:kern w:val="0"/>
          <w:rtl/>
          <w14:ligatures w14:val="none"/>
        </w:rPr>
      </w:pPr>
      <w:r w:rsidRPr="003B15BA">
        <w:rPr>
          <w:rFonts w:eastAsia="Times New Roman"/>
          <w:bCs/>
          <w:kern w:val="0"/>
          <w:rtl/>
          <w14:ligatures w14:val="none"/>
        </w:rPr>
        <w:t>جـ.</w:t>
      </w:r>
      <w:r w:rsidRPr="003B15BA">
        <w:rPr>
          <w:rFonts w:eastAsia="Times New Roman"/>
          <w:bCs/>
          <w:kern w:val="0"/>
          <w:rtl/>
          <w14:ligatures w14:val="none"/>
        </w:rPr>
        <w:tab/>
        <w:t>فرصة الاستجابة (29: 2-30: 20)</w:t>
      </w:r>
    </w:p>
    <w:p w14:paraId="51E6AA8F"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رسمت الأصحاحات السابقة بدقّة العهد الذي يطالب الله إسرائيل بالدخول فيه.  وقد تحدّثت عن طبيعة الطاعة وتوقّعاتها ومسؤولياتها بشكل مفصَّل.  أمّا الآن فتُشجّع الأمة على الاستجابة: أن تجدد العهد وتستمر في الطاعة.  وقد ذُكّرت الأمّة بأن خيار تجديد العهد جزء من البرنامج الإلهي المستمر الذي بدأ بإبراهيم (29: 13).  غير أن الأمّة نُبّهت إلى أن التأديب النهائي بالغزو والسبي سيقع على جيلٍ عاصِ مستقبلاً، على الرغم من أن الرد ولم الشمل سيظل أمراً ممكناً.</w:t>
      </w:r>
    </w:p>
    <w:p w14:paraId="192A0658"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C422200" w14:textId="77777777" w:rsidR="00070B6E" w:rsidRPr="003B15BA"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3B15BA">
        <w:rPr>
          <w:rFonts w:eastAsia="Times New Roman"/>
          <w:kern w:val="0"/>
          <w:rtl/>
          <w:lang w:bidi="ar-JO"/>
          <w14:ligatures w14:val="none"/>
        </w:rPr>
        <w:t>1.</w:t>
      </w:r>
      <w:r w:rsidRPr="003B15BA">
        <w:rPr>
          <w:rFonts w:eastAsia="Times New Roman"/>
          <w:kern w:val="0"/>
          <w:rtl/>
          <w:lang w:bidi="ar-JO"/>
          <w14:ligatures w14:val="none"/>
        </w:rPr>
        <w:tab/>
        <w:t>دعوة إلى قسم العهد والتحذير من التمرّد (9: 1-29)</w:t>
      </w:r>
    </w:p>
    <w:p w14:paraId="101F5782"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B15BA">
        <w:rPr>
          <w:rFonts w:eastAsia="Times New Roman"/>
          <w:kern w:val="0"/>
          <w:rtl/>
          <w:lang w:bidi="ar-JO"/>
          <w14:ligatures w14:val="none"/>
        </w:rPr>
        <w:t>تشكّل الآية 29: 4 فكرة هامّة جداً في لاهوت برنامج الله مع إسرائيل: "</w:t>
      </w:r>
      <w:r w:rsidRPr="003B15BA">
        <w:rPr>
          <w:rFonts w:eastAsia="Times New Roman"/>
          <w:i/>
          <w:iCs/>
          <w:kern w:val="0"/>
          <w:rtl/>
          <w:lang w:bidi="ar-JO"/>
          <w14:ligatures w14:val="none"/>
        </w:rPr>
        <w:t xml:space="preserve">ولكن لم يعطِكم الله </w:t>
      </w:r>
      <w:r w:rsidRPr="003B15BA">
        <w:rPr>
          <w:rFonts w:eastAsia="Times New Roman"/>
          <w:i/>
          <w:iCs/>
          <w:kern w:val="0"/>
          <w:u w:val="single"/>
          <w:rtl/>
          <w:lang w:bidi="ar-JO"/>
          <w14:ligatures w14:val="none"/>
        </w:rPr>
        <w:t>قلباً</w:t>
      </w:r>
      <w:r w:rsidRPr="003B15BA">
        <w:rPr>
          <w:rFonts w:eastAsia="Times New Roman"/>
          <w:i/>
          <w:iCs/>
          <w:kern w:val="0"/>
          <w:rtl/>
          <w:lang w:bidi="ar-JO"/>
          <w14:ligatures w14:val="none"/>
        </w:rPr>
        <w:t xml:space="preserve"> لتفهموا، وأعيناً لتصروا، وآذاناً لتسمعوا إلى هذا اليوم</w:t>
      </w:r>
      <w:r w:rsidRPr="003B15BA">
        <w:rPr>
          <w:rFonts w:eastAsia="Times New Roman"/>
          <w:kern w:val="0"/>
          <w:rtl/>
          <w:lang w:bidi="ar-JO"/>
          <w14:ligatures w14:val="none"/>
        </w:rPr>
        <w:t xml:space="preserve">."  كان لإسرائيل امتياز إمكانية التعلّم من خبرة إنقاذ الله لهم من مصر (لاحظ الآيات 5-9) بالإضافة إلى خبرات البرّية، لكن ما يزال هنالك شيء حيوي ناقص، إذ لم يفهموا عمل الله فهماً تاماً ولم يدركوا حاجتهم.  فقبل أن تتمكن الأمّة من الخضوع بشكل كامل ليهوه وتحصل بهذا على بركاته، لا بدّ أن يقوم يهوه بعملية تحويل في داخلهم.  كانوا في حاجة إلى قلب مختون! ولا يمكن أن يأتي هذا إلاّ من يهوه (يجب </w:t>
      </w:r>
      <w:r w:rsidRPr="003B15BA">
        <w:rPr>
          <w:rFonts w:eastAsia="Times New Roman"/>
          <w:kern w:val="0"/>
          <w:rtl/>
          <w:lang w:bidi="ar-JO"/>
          <w14:ligatures w14:val="none"/>
        </w:rPr>
        <w:lastRenderedPageBreak/>
        <w:t>أن يعطى لهم هذا القلب)، ولن تتمتع إسرائيل أبداً بعلاقة سليمة مع يهوه إلى أن يقوم بهذا العمل الخارق.  وسيعطى هذا القلب الجديد للأمة من خلال العهد الجديد (إرميا 31: 31 فصاعداً).</w:t>
      </w:r>
    </w:p>
    <w:p w14:paraId="1D6CD34C"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B15BA">
        <w:rPr>
          <w:rFonts w:eastAsia="Times New Roman"/>
          <w:kern w:val="0"/>
          <w:rtl/>
          <w:lang w:bidi="ar-JO"/>
          <w14:ligatures w14:val="none"/>
        </w:rPr>
        <w:t>وفي هذا العصر الحاضر يشارك المؤمنون بالمسيح في بعض بركات العهد الإبراهيمي (مثلاً،  غفران كامل للخطايا).  غير أن إسرائيل لم تدخل بعد كأمّة في العهد الجديد (انظر رومية 11: 27).  تتطلع تثنية 30: 6 إلى نوال "قلب مختون"، وهو حدث يتحقق عندما تتم إقامة العهد الجديد مع إسرائيل في سياق المجيء الثاني للمسيح.  عندئذ ستُجمع إسرائيل في أرض الوعد وتعطى قلباً لمعرفة الرب.  سيكون هذا إعداداً للحكم الألفي للمسيح من أورشليم.</w:t>
      </w:r>
    </w:p>
    <w:p w14:paraId="72F2BF82"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5A9C134"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B15BA">
        <w:rPr>
          <w:rFonts w:eastAsia="Times New Roman"/>
          <w:kern w:val="0"/>
          <w:rtl/>
          <w:lang w:bidi="ar-JO"/>
          <w14:ligatures w14:val="none"/>
        </w:rPr>
        <w:t>وبين زمن موسى والزمن الذي سيتم فيه إدخال إسرائيل في العهد الجديد وإعطائهم قلباً مختوناً، لا بدّ أن تختبر الأمة تأديب الله لها على عصيانها.  سيأتي تأديب خفيف على أجيال عديدة (وفق درجة عصيانها)،  لكن العصيان سيصل إلى ذروته في جيل واحد معيّن سيختبر ملء اللعنات.  ونتيجة لذلك، سيصير ذلك الجيل درساً لكل الشعوب:</w:t>
      </w:r>
    </w:p>
    <w:p w14:paraId="3C65E625"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B15BA">
        <w:rPr>
          <w:rFonts w:eastAsia="Times New Roman"/>
          <w:kern w:val="0"/>
          <w:rtl/>
          <w:lang w:bidi="ar-JO"/>
          <w14:ligatures w14:val="none"/>
        </w:rPr>
        <w:t>ويقول جميع الأمم: "لماذا فعل الرب هكذا بهذه الأرض؟ لماذا حُمُوُّ هذا الغضب العظيم؟" فيقولون: "لأنهم تركوا عهد الرب..." (تثنية 29: 24-25).</w:t>
      </w:r>
    </w:p>
    <w:p w14:paraId="2C3AF5C1"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B15BA">
        <w:rPr>
          <w:rFonts w:eastAsia="Times New Roman"/>
          <w:kern w:val="0"/>
          <w:rtl/>
          <w:lang w:bidi="ar-JO"/>
          <w14:ligatures w14:val="none"/>
        </w:rPr>
        <w:t>مهما حصل مع إسرائيل، فإنه يمكننا أن نتأكد أن ظروفها لن تكون أبداً من قبيل الصدفة.  بل ستكون دائماً بترتيب إلهي! وستكون اللعنات على الأرض متناسبة مع عصيان إسرائيل للعهد الذي قطعته مع يهوه.</w:t>
      </w:r>
    </w:p>
    <w:p w14:paraId="6CF2BE8F"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37855ECC" w14:textId="77777777" w:rsidR="00070B6E" w:rsidRPr="003B15BA" w:rsidRDefault="00070B6E"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3B15BA">
        <w:rPr>
          <w:rFonts w:eastAsia="Times New Roman"/>
          <w:kern w:val="0"/>
          <w:rtl/>
          <w:lang w:bidi="ar-JO"/>
          <w14:ligatures w14:val="none"/>
        </w:rPr>
        <w:t>2.</w:t>
      </w:r>
      <w:r w:rsidRPr="003B15BA">
        <w:rPr>
          <w:rFonts w:eastAsia="Times New Roman"/>
          <w:kern w:val="0"/>
          <w:rtl/>
          <w:lang w:bidi="ar-JO"/>
          <w14:ligatures w14:val="none"/>
        </w:rPr>
        <w:tab/>
        <w:t>ردّ وطاعة العهد (30: 1-20)</w:t>
      </w:r>
    </w:p>
    <w:p w14:paraId="129292DA" w14:textId="4A9A1F6F"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B15BA">
        <w:rPr>
          <w:rFonts w:eastAsia="Times New Roman"/>
          <w:kern w:val="0"/>
          <w:rtl/>
          <w:lang w:bidi="ar-JO"/>
          <w14:ligatures w14:val="none"/>
        </w:rPr>
        <w:t xml:space="preserve">يُنبئ الأصحاح 29 ارتداد إسرائيل الأكيد واختبارها للعنات.  سيأتي النفي والسبي لأن الأمّة ستبتعد في نهاية الأمر عن يهوه بعصيانها.  غير أن الرد أمر ممكن.  أمّا الردّ الذي تتصوره تثنية 30: 1-10 فليس ردّاً من السبي البابلي فحسب، لكنه أيضاً الرد النهائي في المستقبل البعيد.  وهذه الفقرة، في واقع الأمر، نموذج لكيفية تعامل الرب مع أي </w:t>
      </w:r>
      <w:r w:rsidR="000E5C77" w:rsidRPr="003B15BA">
        <w:rPr>
          <w:rFonts w:eastAsia="Times New Roman" w:hint="cs"/>
          <w:kern w:val="0"/>
          <w:rtl/>
          <w:lang w:bidi="ar-JO"/>
          <w14:ligatures w14:val="none"/>
        </w:rPr>
        <w:t>جيل من</w:t>
      </w:r>
      <w:r w:rsidRPr="003B15BA">
        <w:rPr>
          <w:rFonts w:eastAsia="Times New Roman"/>
          <w:kern w:val="0"/>
          <w:rtl/>
          <w:lang w:bidi="ar-JO"/>
          <w14:ligatures w14:val="none"/>
        </w:rPr>
        <w:t xml:space="preserve"> أجيال إسرائيل يتوب ويُرَد.  والفكرة هنا هي أن التوبة القومية هي شرط مسبق للرد والعودة إلى </w:t>
      </w:r>
      <w:r w:rsidR="000E5C77" w:rsidRPr="003B15BA">
        <w:rPr>
          <w:rFonts w:eastAsia="Times New Roman" w:hint="cs"/>
          <w:kern w:val="0"/>
          <w:rtl/>
          <w:lang w:bidi="ar-JO"/>
          <w14:ligatures w14:val="none"/>
        </w:rPr>
        <w:t>الأرض (</w:t>
      </w:r>
      <w:r w:rsidRPr="003B15BA">
        <w:rPr>
          <w:rFonts w:eastAsia="Times New Roman"/>
          <w:kern w:val="0"/>
          <w:rtl/>
          <w:lang w:bidi="ar-JO"/>
          <w14:ligatures w14:val="none"/>
        </w:rPr>
        <w:t>انظر صلاة دانيال، دانيال 9: 4-19).</w:t>
      </w:r>
    </w:p>
    <w:p w14:paraId="1C186766"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F43825A"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B15BA">
        <w:rPr>
          <w:rFonts w:eastAsia="Times New Roman"/>
          <w:kern w:val="0"/>
          <w:rtl/>
          <w:lang w:bidi="ar-JO"/>
          <w14:ligatures w14:val="none"/>
        </w:rPr>
        <w:t>لخّصت في رسالة الماجستير التي قدّمتها النقاش حول رد إسرائيل كما هو مبيّن في تثنية 30: 1-10:</w:t>
      </w:r>
    </w:p>
    <w:p w14:paraId="0BECAFC8"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3B15BA">
        <w:rPr>
          <w:rFonts w:eastAsia="Times New Roman"/>
          <w:kern w:val="0"/>
          <w:rtl/>
          <w:lang w:bidi="ar-JO"/>
          <w14:ligatures w14:val="none"/>
        </w:rPr>
        <w:t>"يتناول العهد القديم مسألة رد إسرائيل تناولاً مطوّلاً، معتمداً بشكل أساسي على تثنية 28- 30. ويبدو أن هذا المقطع أصبح أساساً لمادة نبوية كثيرة لاحقة، خاصة استخدام تعبير "يتوب" (</w:t>
      </w:r>
      <w:r w:rsidRPr="003B15BA">
        <w:rPr>
          <w:rFonts w:ascii="Times New Roman" w:eastAsia="Times New Roman" w:hAnsi="Times New Roman" w:cs="Times New Roman" w:hint="cs"/>
          <w:kern w:val="0"/>
          <w:rtl/>
          <w:lang w:bidi="he-IL"/>
          <w14:ligatures w14:val="none"/>
        </w:rPr>
        <w:t>שׁוב</w:t>
      </w:r>
      <w:r w:rsidRPr="003B15BA">
        <w:rPr>
          <w:rFonts w:eastAsia="Times New Roman"/>
          <w:kern w:val="0"/>
          <w:rtl/>
          <w:lang w:bidi="ar-JO"/>
          <w14:ligatures w14:val="none"/>
        </w:rPr>
        <w:t>) و "يردّ سبيك (ثروتك)" (</w:t>
      </w:r>
      <w:r w:rsidRPr="003B15BA">
        <w:rPr>
          <w:rFonts w:ascii="Times New Roman" w:eastAsia="Times New Roman" w:hAnsi="Times New Roman" w:cs="Times New Roman" w:hint="cs"/>
          <w:kern w:val="0"/>
          <w:rtl/>
          <w:lang w:bidi="he-IL"/>
          <w14:ligatures w14:val="none"/>
        </w:rPr>
        <w:t>שׁוב</w:t>
      </w:r>
      <w:r w:rsidRPr="003B15BA">
        <w:rPr>
          <w:rFonts w:eastAsia="Times New Roman"/>
          <w:kern w:val="0"/>
          <w:rtl/>
          <w:lang w:bidi="he-IL"/>
          <w14:ligatures w14:val="none"/>
        </w:rPr>
        <w:t xml:space="preserve"> </w:t>
      </w:r>
      <w:r w:rsidRPr="003B15BA">
        <w:rPr>
          <w:rFonts w:ascii="Times New Roman" w:eastAsia="Times New Roman" w:hAnsi="Times New Roman" w:cs="Times New Roman" w:hint="cs"/>
          <w:kern w:val="0"/>
          <w:rtl/>
          <w:lang w:bidi="he-IL"/>
          <w14:ligatures w14:val="none"/>
        </w:rPr>
        <w:t>שׁבות</w:t>
      </w:r>
      <w:r w:rsidRPr="003B15BA">
        <w:rPr>
          <w:rFonts w:eastAsia="Times New Roman"/>
          <w:kern w:val="0"/>
          <w:rtl/>
          <w:lang w:bidi="ar-JO"/>
          <w14:ligatures w14:val="none"/>
        </w:rPr>
        <w:t>).  وقد أصبح هذا التعبير تعبيراً واصفاً لردّ إسرائيل:</w:t>
      </w:r>
    </w:p>
    <w:p w14:paraId="12205384"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3B15BA">
        <w:rPr>
          <w:rFonts w:eastAsia="Times New Roman"/>
          <w:kern w:val="0"/>
          <w:rtl/>
          <w:lang w:bidi="ar-JO"/>
          <w14:ligatures w14:val="none"/>
        </w:rPr>
        <w:lastRenderedPageBreak/>
        <w:t>إن أقدم استخدام لتعبير (</w:t>
      </w:r>
      <w:r w:rsidRPr="003B15BA">
        <w:rPr>
          <w:rFonts w:ascii="Times New Roman" w:eastAsia="Times New Roman" w:hAnsi="Times New Roman" w:cs="Times New Roman" w:hint="cs"/>
          <w:kern w:val="0"/>
          <w:rtl/>
          <w:lang w:bidi="he-IL"/>
          <w14:ligatures w14:val="none"/>
        </w:rPr>
        <w:t>שׁוב</w:t>
      </w:r>
      <w:r w:rsidRPr="003B15BA">
        <w:rPr>
          <w:rFonts w:eastAsia="Times New Roman"/>
          <w:kern w:val="0"/>
          <w:rtl/>
          <w:lang w:bidi="he-IL"/>
          <w14:ligatures w14:val="none"/>
        </w:rPr>
        <w:t xml:space="preserve"> </w:t>
      </w:r>
      <w:r w:rsidRPr="003B15BA">
        <w:rPr>
          <w:rFonts w:ascii="Times New Roman" w:eastAsia="Times New Roman" w:hAnsi="Times New Roman" w:cs="Times New Roman" w:hint="cs"/>
          <w:kern w:val="0"/>
          <w:rtl/>
          <w:lang w:bidi="he-IL"/>
          <w14:ligatures w14:val="none"/>
        </w:rPr>
        <w:t>שׁבות</w:t>
      </w:r>
      <w:r w:rsidRPr="003B15BA">
        <w:rPr>
          <w:rFonts w:eastAsia="Times New Roman"/>
          <w:kern w:val="0"/>
          <w:rtl/>
          <w:lang w:bidi="ar-JO"/>
          <w14:ligatures w14:val="none"/>
        </w:rPr>
        <w:t>) موجود في تثنية 30: 3 حيث يُشرح بشكل كامل بالتفاصيل التالية (30: 3-9).  ويشير استخدام هذا التعبير في الأنبياء إلى أنه عندما يستخدم مرتبطاً بإسرائيل، فإنه يصبح تعبيراً اصطلاحياً للرد الأخروي للأمة؛ الفداء القومي (انظر هوشع 6: 11؛ يوئيل 4: 1؛ إرميا 29: 14؛ 30: 3، 18؛ 37: 7، 11).</w:t>
      </w:r>
    </w:p>
    <w:p w14:paraId="7D30A9D8" w14:textId="5B4A25E0"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3B15BA">
        <w:rPr>
          <w:rFonts w:eastAsia="Times New Roman"/>
          <w:kern w:val="0"/>
          <w:rtl/>
          <w:lang w:bidi="ar-JO"/>
          <w14:ligatures w14:val="none"/>
        </w:rPr>
        <w:t>تشكّل تثنية 30: 1 فصاعداً</w:t>
      </w:r>
      <w:r w:rsidRPr="003B15BA">
        <w:rPr>
          <w:rFonts w:eastAsia="Times New Roman"/>
          <w:kern w:val="0"/>
          <w:u w:val="single"/>
          <w:rtl/>
          <w:lang w:bidi="ar-JO"/>
          <w14:ligatures w14:val="none"/>
        </w:rPr>
        <w:t xml:space="preserve"> أساس رد </w:t>
      </w:r>
      <w:r w:rsidR="008C499B" w:rsidRPr="003B15BA">
        <w:rPr>
          <w:rFonts w:eastAsia="Times New Roman" w:hint="cs"/>
          <w:kern w:val="0"/>
          <w:u w:val="single"/>
          <w:rtl/>
          <w:lang w:bidi="ar-JO"/>
          <w14:ligatures w14:val="none"/>
        </w:rPr>
        <w:t>إسرائيل</w:t>
      </w:r>
      <w:r w:rsidR="008C499B" w:rsidRPr="003B15BA">
        <w:rPr>
          <w:rFonts w:eastAsia="Times New Roman" w:hint="cs"/>
          <w:kern w:val="0"/>
          <w:rtl/>
          <w:lang w:bidi="ar-JO"/>
          <w14:ligatures w14:val="none"/>
        </w:rPr>
        <w:t>،</w:t>
      </w:r>
      <w:r w:rsidRPr="003B15BA">
        <w:rPr>
          <w:rFonts w:eastAsia="Times New Roman"/>
          <w:kern w:val="0"/>
          <w:rtl/>
          <w:lang w:bidi="ar-JO"/>
          <w14:ligatures w14:val="none"/>
        </w:rPr>
        <w:t xml:space="preserve"> وهو يتضمن عدّة عناصر هامة: (1) التشتت بين الأمم (30: 1)؛ (2) التوبة القومية – "ورجعتَ إلى الرب إلهك" (30: 2)؛ (3) لم شمل الأمة في الأرض  (30: 3)؛ (4) تفعيل العهد الجديد مع إسرائيل – وإعطائهم قلباً مختوناً ليحبوا الرب (30: 6)؛ (5) الانتقام من الأمم التي اضطهدت إسرائيل  (30:  7) ؛ (6) ازدهار إسرائيل.  تؤكّد الآية العاشرة الشرط الجوهري- "إذا رجعت إلى الرب إلهك بكل قلبك وبكل نفسك."  وهكذا فإن توبة إسرائيل القومية شرط مسبق لفدائها.  وسيتبع لم شمل إسرائيل من بين كل الشعوب هذه التوبة الوطنية.</w:t>
      </w:r>
      <w:r w:rsidRPr="003B15BA">
        <w:rPr>
          <w:rFonts w:eastAsia="Times New Roman"/>
          <w:kern w:val="0"/>
          <w:vertAlign w:val="superscript"/>
          <w:rtl/>
          <w:lang w:bidi="ar-JO"/>
          <w14:ligatures w14:val="none"/>
        </w:rPr>
        <w:footnoteReference w:customMarkFollows="1" w:id="137"/>
        <w:t>1</w:t>
      </w:r>
    </w:p>
    <w:p w14:paraId="4EF0BAD4"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p>
    <w:p w14:paraId="043C3E7F"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3B15BA">
        <w:rPr>
          <w:rFonts w:eastAsia="Times New Roman"/>
          <w:kern w:val="0"/>
          <w:rtl/>
          <w:lang w:bidi="ar-JO"/>
          <w14:ligatures w14:val="none"/>
        </w:rPr>
        <w:t>تقدّم لنا 30: 19-20 ذروة رسالة السفر: "اختر الحياة لكي تحيا!" فهذا هو الطريق الذي يعمل العهد الإبراهيمي من خلاله.</w:t>
      </w:r>
    </w:p>
    <w:p w14:paraId="16363BB2" w14:textId="77777777" w:rsidR="00070B6E" w:rsidRPr="00C7130A" w:rsidRDefault="00070B6E"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Cs w:val="26"/>
          <w:rtl/>
          <w:lang w:bidi="ar-JO"/>
          <w14:ligatures w14:val="none"/>
        </w:rPr>
      </w:pPr>
    </w:p>
    <w:p w14:paraId="399CDFED" w14:textId="77777777" w:rsidR="00070B6E" w:rsidRPr="003B15BA" w:rsidRDefault="00070B6E" w:rsidP="000558B7">
      <w:pPr>
        <w:pStyle w:val="Heading3"/>
        <w:rPr>
          <w:rtl/>
          <w:lang w:bidi="ar-JO"/>
        </w:rPr>
      </w:pPr>
      <w:bookmarkStart w:id="324" w:name="_Toc193031083"/>
      <w:r w:rsidRPr="003B15BA">
        <w:rPr>
          <w:rtl/>
          <w:lang w:bidi="ar-JO"/>
        </w:rPr>
        <w:t>4.</w:t>
      </w:r>
      <w:r w:rsidRPr="003B15BA">
        <w:rPr>
          <w:rtl/>
          <w:lang w:bidi="ar-JO"/>
        </w:rPr>
        <w:tab/>
        <w:t>نهاية قيادة موسى (31: 1-33: 29)</w:t>
      </w:r>
      <w:bookmarkEnd w:id="324"/>
    </w:p>
    <w:p w14:paraId="52474CC8"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3B15BA">
        <w:rPr>
          <w:rFonts w:eastAsia="Times New Roman"/>
          <w:kern w:val="0"/>
          <w:rtl/>
          <w:lang w:bidi="ar-JO"/>
          <w14:ligatures w14:val="none"/>
        </w:rPr>
        <w:t>تختتم الأسفار الخمسة بموت موسى.  وعلى الرغم من أنه لا بدّ للأمة من أن تجدد العهد وتمتلك الأرض وتسكن فيها أياماً كثيرة، إلاّ أن موسى لم يستطع أن يستمر مع الأمّة في مستقبلها.  فلن يسمح له الله إلاّ برؤية لمحة من أرض الموعد من بعيد: "</w:t>
      </w:r>
      <w:r w:rsidRPr="003B15BA">
        <w:rPr>
          <w:rFonts w:eastAsia="Times New Roman"/>
          <w:i/>
          <w:iCs/>
          <w:kern w:val="0"/>
          <w:rtl/>
          <w:lang w:bidi="ar-JO"/>
          <w14:ligatures w14:val="none"/>
        </w:rPr>
        <w:t>هذه هي الأرض التي أقسمت لإسحاق ويعقوب قائلاً: لنسلك أعطيها.  قد أريتك إياها بعينيك، لكنك إلى هناك لا تعبر</w:t>
      </w:r>
      <w:r w:rsidRPr="003B15BA">
        <w:rPr>
          <w:rFonts w:eastAsia="Times New Roman"/>
          <w:kern w:val="0"/>
          <w:rtl/>
          <w:lang w:bidi="ar-JO"/>
          <w14:ligatures w14:val="none"/>
        </w:rPr>
        <w:t>" (34: 4).  لكن يجب أن يستمر العهد وأن تتقدم الأمة في برنامج الله.  ولهذا فإن هذه الأصحاحات تقدّم طريقة لاستمرار العهد والقيادة بالنسبة للأمة.  وسيتولى يشوع القيادة من حيث رحل موسى.</w:t>
      </w:r>
    </w:p>
    <w:p w14:paraId="14596BA7"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458394B9" w14:textId="77777777" w:rsidR="00070B6E" w:rsidRPr="003B15BA" w:rsidRDefault="00070B6E" w:rsidP="000558B7">
      <w:pPr>
        <w:pStyle w:val="Heading3"/>
        <w:rPr>
          <w:rtl/>
          <w:lang w:bidi="ar-JO"/>
        </w:rPr>
      </w:pPr>
      <w:bookmarkStart w:id="325" w:name="_Toc193031084"/>
      <w:r w:rsidRPr="003B15BA">
        <w:rPr>
          <w:rtl/>
          <w:lang w:bidi="ar-JO"/>
        </w:rPr>
        <w:t>5.</w:t>
      </w:r>
      <w:r w:rsidRPr="003B15BA">
        <w:rPr>
          <w:rtl/>
          <w:lang w:bidi="ar-JO"/>
        </w:rPr>
        <w:tab/>
        <w:t>خاتمة (34: 1-12)</w:t>
      </w:r>
      <w:bookmarkEnd w:id="325"/>
    </w:p>
    <w:p w14:paraId="63ED59BE"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3B15BA">
        <w:rPr>
          <w:rFonts w:eastAsia="Times New Roman"/>
          <w:kern w:val="0"/>
          <w:rtl/>
          <w:lang w:bidi="ar-JO"/>
          <w14:ligatures w14:val="none"/>
        </w:rPr>
        <w:t>كان لا بد من امتداح قيادة موسى المباركة، أثناء الفترة الحاسمة من وجود الأمّة، عند موته.  ولهذا كان موته مناسبة ملائمة لمدحِهِ وتقديره: "ولم يقم بعد نبي في إسرائيل مثل موسى الذي عرفه الرب وجهاً لوجه" (34: 10).</w:t>
      </w:r>
    </w:p>
    <w:p w14:paraId="2398B461"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344CA55C" w14:textId="77777777" w:rsidR="00070B6E" w:rsidRPr="003B15BA" w:rsidRDefault="00070B6E" w:rsidP="00C7130A">
      <w:pPr>
        <w:tabs>
          <w:tab w:val="left" w:pos="454"/>
        </w:tabs>
        <w:spacing w:after="60"/>
        <w:jc w:val="both"/>
        <w:rPr>
          <w:rFonts w:eastAsia="Times New Roman"/>
          <w:bCs/>
          <w:kern w:val="0"/>
          <w:rtl/>
          <w:lang w:bidi="ar-JO"/>
          <w14:ligatures w14:val="none"/>
        </w:rPr>
      </w:pPr>
      <w:r w:rsidRPr="003B15BA">
        <w:rPr>
          <w:rFonts w:eastAsia="Times New Roman"/>
          <w:bCs/>
          <w:kern w:val="0"/>
          <w:rtl/>
          <w:lang w:bidi="ar-JO"/>
          <w14:ligatures w14:val="none"/>
        </w:rPr>
        <w:lastRenderedPageBreak/>
        <w:t>درس لحياتنا</w:t>
      </w:r>
    </w:p>
    <w:p w14:paraId="7B709621" w14:textId="77777777" w:rsidR="00070B6E" w:rsidRPr="003B15BA" w:rsidRDefault="00070B6E"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3B15BA">
        <w:rPr>
          <w:rFonts w:eastAsia="Times New Roman"/>
          <w:kern w:val="0"/>
          <w:rtl/>
          <w:lang w:bidi="ar-JO"/>
          <w14:ligatures w14:val="none"/>
        </w:rPr>
        <w:t>تأمل تثنية 31: 6 "</w:t>
      </w:r>
      <w:r w:rsidRPr="003B15BA">
        <w:rPr>
          <w:rFonts w:eastAsia="Times New Roman"/>
          <w:i/>
          <w:iCs/>
          <w:kern w:val="0"/>
          <w:rtl/>
          <w:lang w:bidi="ar-JO"/>
          <w14:ligatures w14:val="none"/>
        </w:rPr>
        <w:t>تشدّدوا وتشجّعوا</w:t>
      </w:r>
      <w:r w:rsidRPr="003B15BA">
        <w:rPr>
          <w:rFonts w:eastAsia="Times New Roman"/>
          <w:kern w:val="0"/>
          <w:rtl/>
          <w:lang w:bidi="ar-JO"/>
          <w14:ligatures w14:val="none"/>
        </w:rPr>
        <w:t>.</w:t>
      </w:r>
      <w:r w:rsidRPr="003B15BA">
        <w:rPr>
          <w:rFonts w:eastAsia="Times New Roman"/>
          <w:i/>
          <w:iCs/>
          <w:kern w:val="0"/>
          <w:rtl/>
          <w:lang w:bidi="ar-JO"/>
          <w14:ligatures w14:val="none"/>
        </w:rPr>
        <w:t xml:space="preserve">  لا تخافوا ولا ترهبوا وجوههم، لأن الرب إلهك سائر معك.  لا يُهملك ولا يتركك.</w:t>
      </w:r>
      <w:r w:rsidRPr="003B15BA">
        <w:rPr>
          <w:rFonts w:eastAsia="Times New Roman"/>
          <w:kern w:val="0"/>
          <w:rtl/>
          <w:lang w:bidi="ar-JO"/>
          <w14:ligatures w14:val="none"/>
        </w:rPr>
        <w:t>"  عندما تخدم الرب وتتبع إرادته، يمكنك أن تعتمد عليه.  لن يتركك وحيداً، بل سيكون معك.  ومع هذا الوعد يمكنك أن تواجه أي تحدٍّ.  لا ينبغي أن تكون عبداً للخوف، فهو معك.</w:t>
      </w:r>
    </w:p>
    <w:p w14:paraId="293C7CC8" w14:textId="77777777" w:rsidR="00070B6E" w:rsidRPr="00C7130A" w:rsidRDefault="00070B6E" w:rsidP="00C7130A">
      <w:pPr>
        <w:rPr>
          <w:rFonts w:eastAsia="Times New Roman"/>
          <w:kern w:val="0"/>
          <w:sz w:val="32"/>
          <w:szCs w:val="18"/>
          <w:rtl/>
          <w:lang w:bidi="ar-JO"/>
          <w14:ligatures w14:val="none"/>
        </w:rPr>
      </w:pPr>
    </w:p>
    <w:p w14:paraId="6BBD5C1F" w14:textId="3B4F43D0" w:rsidR="00BE411E" w:rsidRPr="00C7130A" w:rsidRDefault="00BE411E" w:rsidP="00C7130A">
      <w:pPr>
        <w:tabs>
          <w:tab w:val="left" w:pos="547"/>
          <w:tab w:val="left" w:pos="1094"/>
          <w:tab w:val="left" w:pos="1642"/>
          <w:tab w:val="left" w:pos="2189"/>
          <w:tab w:val="left" w:pos="2736"/>
          <w:tab w:val="left" w:pos="3283"/>
        </w:tabs>
        <w:spacing w:after="120"/>
        <w:jc w:val="both"/>
        <w:rPr>
          <w:rFonts w:eastAsia="Times New Roman"/>
          <w:bCs/>
          <w:kern w:val="0"/>
          <w:sz w:val="22"/>
          <w:szCs w:val="24"/>
          <w14:ligatures w14:val="none"/>
        </w:rPr>
      </w:pPr>
    </w:p>
    <w:p w14:paraId="5A83F969" w14:textId="1D124C2D" w:rsidR="00BE411E" w:rsidRPr="00C7130A" w:rsidRDefault="00BE411E"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rtl/>
          <w:lang w:bidi="ar-JO"/>
          <w14:ligatures w14:val="none"/>
        </w:rPr>
      </w:pPr>
      <w:bookmarkStart w:id="326" w:name="_Hlk178779123"/>
      <w:r w:rsidRPr="00C7130A">
        <w:rPr>
          <w:rFonts w:eastAsia="Calibri"/>
          <w:b/>
          <w:caps/>
          <w:noProof/>
          <w:color w:val="006699"/>
          <w:kern w:val="0"/>
          <w:sz w:val="21"/>
          <w:szCs w:val="24"/>
          <w14:ligatures w14:val="none"/>
        </w:rPr>
        <w:drawing>
          <wp:inline distT="0" distB="0" distL="0" distR="0" wp14:anchorId="5540AC73" wp14:editId="2D248A5A">
            <wp:extent cx="613692" cy="541464"/>
            <wp:effectExtent l="0" t="0" r="0" b="0"/>
            <wp:docPr id="678490361" name="Picture 678490361"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BE4756" w:rsidRPr="003B15BA">
        <w:rPr>
          <w:rFonts w:eastAsia="Calibri"/>
          <w:bCs/>
          <w:caps/>
          <w:color w:val="006699"/>
          <w:kern w:val="0"/>
          <w:u w:val="single"/>
          <w:rtl/>
          <w:lang w:bidi="ar-JO"/>
          <w14:ligatures w14:val="none"/>
        </w:rPr>
        <w:t>القراءة</w:t>
      </w:r>
      <w:r w:rsidR="00BE4756" w:rsidRPr="00C7130A">
        <w:rPr>
          <w:rFonts w:eastAsia="Calibri"/>
          <w:bCs/>
          <w:caps/>
          <w:color w:val="006699"/>
          <w:kern w:val="0"/>
          <w:sz w:val="21"/>
          <w:szCs w:val="24"/>
          <w:u w:val="single"/>
          <w:rtl/>
          <w:lang w:bidi="ar-JO"/>
          <w14:ligatures w14:val="none"/>
        </w:rPr>
        <w:t>:</w:t>
      </w:r>
      <w:r w:rsidR="00BE4756" w:rsidRPr="00C7130A">
        <w:rPr>
          <w:rFonts w:eastAsia="Calibri"/>
          <w:b/>
          <w:caps/>
          <w:color w:val="006699"/>
          <w:kern w:val="0"/>
          <w:sz w:val="21"/>
          <w:szCs w:val="24"/>
          <w:u w:val="single"/>
          <w:rtl/>
          <w:lang w:bidi="ar-JO"/>
          <w14:ligatures w14:val="none"/>
        </w:rPr>
        <w:t xml:space="preserve"> </w:t>
      </w:r>
    </w:p>
    <w:p w14:paraId="1991020C" w14:textId="1FA14167" w:rsidR="00BE4756" w:rsidRPr="00C7130A" w:rsidRDefault="00BE411E" w:rsidP="00C7130A">
      <w:pPr>
        <w:rPr>
          <w:rtl/>
        </w:rPr>
      </w:pPr>
      <w:r w:rsidRPr="00C7130A">
        <w:tab/>
      </w:r>
      <w:r w:rsidRPr="00C7130A">
        <w:tab/>
      </w:r>
      <w:r w:rsidR="00BE4756" w:rsidRPr="00C7130A">
        <w:rPr>
          <w:rtl/>
        </w:rPr>
        <w:t xml:space="preserve">1. اقرأ </w:t>
      </w:r>
      <w:r w:rsidR="007E1B23" w:rsidRPr="00C7130A">
        <w:rPr>
          <w:rtl/>
        </w:rPr>
        <w:t xml:space="preserve">يوجين </w:t>
      </w:r>
      <w:r w:rsidR="00BE4756" w:rsidRPr="00C7130A">
        <w:rPr>
          <w:rtl/>
        </w:rPr>
        <w:t xml:space="preserve">ميرل، </w:t>
      </w:r>
      <w:r w:rsidR="00BE4756" w:rsidRPr="00C7130A">
        <w:rPr>
          <w:u w:val="single"/>
          <w:rtl/>
        </w:rPr>
        <w:t>لاهوت العهد القديم الكتابي</w:t>
      </w:r>
      <w:r w:rsidR="00BE4756" w:rsidRPr="00C7130A">
        <w:rPr>
          <w:rtl/>
        </w:rPr>
        <w:t xml:space="preserve">، "لاهوت سفر التثنية". </w:t>
      </w:r>
    </w:p>
    <w:p w14:paraId="14041D92" w14:textId="531D3305" w:rsidR="00BE411E" w:rsidRPr="00C7130A" w:rsidRDefault="00BE4756" w:rsidP="00C7130A">
      <w:pPr>
        <w:ind w:left="720" w:firstLine="720"/>
        <w:rPr>
          <w:b/>
          <w:bCs/>
        </w:rPr>
      </w:pPr>
      <w:r w:rsidRPr="00C7130A">
        <w:rPr>
          <w:rtl/>
        </w:rPr>
        <w:t xml:space="preserve">2. اقرأ </w:t>
      </w:r>
      <w:r w:rsidR="007E1B23" w:rsidRPr="00C7130A">
        <w:rPr>
          <w:rtl/>
        </w:rPr>
        <w:t xml:space="preserve">يوجين </w:t>
      </w:r>
      <w:r w:rsidRPr="00C7130A">
        <w:rPr>
          <w:rtl/>
        </w:rPr>
        <w:t xml:space="preserve">ميرل، </w:t>
      </w:r>
      <w:r w:rsidRPr="00C7130A">
        <w:rPr>
          <w:u w:val="single"/>
          <w:rtl/>
        </w:rPr>
        <w:t>لاهوت العهد القديم الكتابي</w:t>
      </w:r>
      <w:r w:rsidRPr="00C7130A">
        <w:rPr>
          <w:rtl/>
        </w:rPr>
        <w:t>، "الخاتمة".</w:t>
      </w:r>
      <w:r w:rsidR="00BE411E" w:rsidRPr="00C7130A">
        <w:br/>
      </w:r>
      <w:r w:rsidR="00BE411E" w:rsidRPr="00C7130A">
        <w:tab/>
      </w:r>
      <w:r w:rsidR="00C24023" w:rsidRPr="00C7130A">
        <w:tab/>
      </w:r>
    </w:p>
    <w:bookmarkEnd w:id="326"/>
    <w:p w14:paraId="7CEF1724" w14:textId="77777777" w:rsidR="00BE411E" w:rsidRPr="00C7130A" w:rsidRDefault="00BE411E" w:rsidP="00C7130A">
      <w:pPr>
        <w:tabs>
          <w:tab w:val="left" w:pos="547"/>
          <w:tab w:val="left" w:pos="1094"/>
          <w:tab w:val="left" w:pos="1642"/>
          <w:tab w:val="left" w:pos="2189"/>
          <w:tab w:val="left" w:pos="2736"/>
          <w:tab w:val="left" w:pos="3283"/>
          <w:tab w:val="left" w:pos="3830"/>
          <w:tab w:val="left" w:pos="4378"/>
        </w:tabs>
        <w:spacing w:after="120"/>
        <w:jc w:val="both"/>
        <w:rPr>
          <w:rFonts w:eastAsia="Times New Roman"/>
          <w:kern w:val="0"/>
          <w:sz w:val="22"/>
          <w:szCs w:val="24"/>
          <w14:ligatures w14:val="none"/>
        </w:rPr>
      </w:pPr>
    </w:p>
    <w:p w14:paraId="7B57CD9D" w14:textId="77777777" w:rsidR="00BE411E" w:rsidRPr="00C7130A" w:rsidRDefault="00BE411E"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p>
    <w:p w14:paraId="727804E1" w14:textId="77777777" w:rsidR="00BE411E" w:rsidRPr="00C7130A" w:rsidRDefault="00BE411E" w:rsidP="00C7130A">
      <w:pPr>
        <w:tabs>
          <w:tab w:val="left" w:pos="0"/>
          <w:tab w:val="left" w:pos="540"/>
          <w:tab w:val="left" w:pos="1080"/>
          <w:tab w:val="left" w:pos="1620"/>
          <w:tab w:val="left" w:pos="2160"/>
          <w:tab w:val="left" w:pos="2700"/>
          <w:tab w:val="left" w:pos="3240"/>
          <w:tab w:val="left" w:pos="3780"/>
          <w:tab w:val="left" w:pos="4320"/>
          <w:tab w:val="left" w:pos="4860"/>
        </w:tabs>
        <w:spacing w:after="200"/>
        <w:contextualSpacing/>
        <w:rPr>
          <w:rFonts w:eastAsia="Calibri"/>
          <w:kern w:val="0"/>
          <w:szCs w:val="24"/>
          <w14:ligatures w14:val="none"/>
        </w:rPr>
      </w:pPr>
      <w:r w:rsidRPr="00C7130A">
        <w:rPr>
          <w:rFonts w:eastAsia="Calibri"/>
          <w:kern w:val="0"/>
          <w:szCs w:val="24"/>
          <w14:ligatures w14:val="none"/>
        </w:rPr>
        <w:br w:type="page"/>
      </w:r>
    </w:p>
    <w:p w14:paraId="1F163C57" w14:textId="2165B14C" w:rsidR="005B452F" w:rsidRPr="00C7130A" w:rsidRDefault="00FF6CEC" w:rsidP="00E80A44">
      <w:pPr>
        <w:pStyle w:val="Heading2"/>
        <w:rPr>
          <w:rtl/>
        </w:rPr>
      </w:pPr>
      <w:bookmarkStart w:id="327" w:name="_Toc193031085"/>
      <w:r w:rsidRPr="00C7130A">
        <w:rPr>
          <w:rtl/>
        </w:rPr>
        <w:lastRenderedPageBreak/>
        <w:t>الوحدة 4: فتح الأرض والصراعات في أرض الموعد</w:t>
      </w:r>
      <w:r w:rsidR="005B452F" w:rsidRPr="00C7130A">
        <w:br/>
      </w:r>
      <w:r w:rsidRPr="00C7130A">
        <w:rPr>
          <w:rtl/>
        </w:rPr>
        <w:t>(يشوع – راعوث)</w:t>
      </w:r>
      <w:bookmarkEnd w:id="327"/>
    </w:p>
    <w:p w14:paraId="6711F45D" w14:textId="1347A7DA" w:rsidR="00FF6CEC" w:rsidRPr="00C7130A" w:rsidRDefault="003E3929" w:rsidP="003B15BA">
      <w:pPr>
        <w:rPr>
          <w:rtl/>
          <w:lang w:bidi="ar-JO"/>
        </w:rPr>
      </w:pPr>
      <w:r w:rsidRPr="00C7130A">
        <w:rPr>
          <w:rtl/>
        </w:rPr>
        <w:t>نقوم في هذه الوحدة الأخيرة من المساق بعمل مسحٍ للأحداث التي مرّ بها العبرانيّون من وقت دخولهم أرض كنعان وحتّى وقتٍ قريب من تنصيب أول ملك لإسرائيل (بعد عدّة قرون). تُعرَف هذه الفترة في تاريخ إسرائيل بـ"الثيوقراطية"، أي أنّها</w:t>
      </w:r>
      <w:r w:rsidR="00281678" w:rsidRPr="00C7130A">
        <w:rPr>
          <w:rtl/>
        </w:rPr>
        <w:t xml:space="preserve"> الفترة التي كانت إسرائيل فيها</w:t>
      </w:r>
      <w:r w:rsidRPr="00C7130A">
        <w:rPr>
          <w:rtl/>
        </w:rPr>
        <w:t xml:space="preserve"> محكومة من الله من دون تدخُّل الملوك. اختار الله يشوع، الذي كان مساعدًا أمينًا لموسى في طول فترة البرّيّة، ليقود الدخول إلى أرض كنعان بدءًا بالعام 1406 ق.م. وبعد الدخول إلى الأرض، قُسِّمت الأرض بين الأسباط الاثني عشر. ولكن</w:t>
      </w:r>
      <w:r w:rsidR="00281678" w:rsidRPr="00C7130A">
        <w:rPr>
          <w:rtl/>
        </w:rPr>
        <w:t>ْ</w:t>
      </w:r>
      <w:r w:rsidRPr="00C7130A">
        <w:rPr>
          <w:rtl/>
        </w:rPr>
        <w:t xml:space="preserve"> حين </w:t>
      </w:r>
      <w:r w:rsidR="00281678" w:rsidRPr="00C7130A">
        <w:rPr>
          <w:rtl/>
        </w:rPr>
        <w:t>مات</w:t>
      </w:r>
      <w:r w:rsidRPr="00C7130A">
        <w:rPr>
          <w:rtl/>
        </w:rPr>
        <w:t xml:space="preserve"> جيل يشوع وابتعد عن مشهد الأحداث، ترك الأسباط الرب</w:t>
      </w:r>
      <w:r w:rsidR="00281678" w:rsidRPr="00C7130A">
        <w:rPr>
          <w:rtl/>
        </w:rPr>
        <w:t>َّ</w:t>
      </w:r>
      <w:r w:rsidRPr="00C7130A">
        <w:rPr>
          <w:rtl/>
        </w:rPr>
        <w:t xml:space="preserve"> وتبنَّ</w:t>
      </w:r>
      <w:r w:rsidR="00281678" w:rsidRPr="00C7130A">
        <w:rPr>
          <w:rtl/>
        </w:rPr>
        <w:t>وا</w:t>
      </w:r>
      <w:r w:rsidRPr="00C7130A">
        <w:rPr>
          <w:rtl/>
        </w:rPr>
        <w:t xml:space="preserve"> ممارساتٍ وثنية. ونتيجة لهذه الوثنية، تعرَّضت الأمة لغزو</w:t>
      </w:r>
      <w:r w:rsidR="00281678" w:rsidRPr="00C7130A">
        <w:rPr>
          <w:rtl/>
        </w:rPr>
        <w:t>ِ</w:t>
      </w:r>
      <w:r w:rsidRPr="00C7130A">
        <w:rPr>
          <w:rtl/>
        </w:rPr>
        <w:t xml:space="preserve"> قوى أجنبيّة أخربت الأرض وآذت الشعب. وفي حالة البؤس هذه، صرخ بنو إسرائيل إلى الله بأن يخلِّصهم، وقد أقام برحمته "قضاةً" (قادة محاربين كاريزماتيّين) أنقذوهم. ولكنّهم لم يتعلَّموا من هذا، فعادوا بصورة متكرِّرة </w:t>
      </w:r>
      <w:r w:rsidR="00281678" w:rsidRPr="00C7130A">
        <w:rPr>
          <w:rtl/>
        </w:rPr>
        <w:t>إ</w:t>
      </w:r>
      <w:r w:rsidRPr="00C7130A">
        <w:rPr>
          <w:rtl/>
        </w:rPr>
        <w:t xml:space="preserve">لى عبادة الأوثان. وقد وقعت أحداث سفر راعوث في هذه الفترة الكئيبة </w:t>
      </w:r>
      <w:r w:rsidRPr="00C7130A">
        <w:rPr>
          <w:rtl/>
          <w:lang w:bidi="ar-JO"/>
        </w:rPr>
        <w:t>من تاريخ شعب إسرائيل، ولكن</w:t>
      </w:r>
      <w:r w:rsidR="00281678" w:rsidRPr="00C7130A">
        <w:rPr>
          <w:rtl/>
          <w:lang w:bidi="ar-JO"/>
        </w:rPr>
        <w:t>َّه</w:t>
      </w:r>
      <w:r w:rsidRPr="00C7130A">
        <w:rPr>
          <w:rtl/>
          <w:lang w:bidi="ar-JO"/>
        </w:rPr>
        <w:t xml:space="preserve"> (بخلاف كآبة سفر القضاة) يقدِّم نظرةً إلى عمل نعمة الله، إذ نراه يستجيب لصلوات مجموعة قليلة من الناس وإلى أعمالهم المُخلِصة والأم</w:t>
      </w:r>
      <w:r w:rsidR="00281678" w:rsidRPr="00C7130A">
        <w:rPr>
          <w:rtl/>
          <w:lang w:bidi="ar-JO"/>
        </w:rPr>
        <w:t>ي</w:t>
      </w:r>
      <w:r w:rsidRPr="00C7130A">
        <w:rPr>
          <w:rtl/>
          <w:lang w:bidi="ar-JO"/>
        </w:rPr>
        <w:t xml:space="preserve">نة. لافت للنظر أنْ نرى امرأة أمميّة تقبل </w:t>
      </w:r>
      <w:r w:rsidR="00281678" w:rsidRPr="00C7130A">
        <w:rPr>
          <w:rtl/>
          <w:lang w:bidi="ar-JO"/>
        </w:rPr>
        <w:t xml:space="preserve">إله </w:t>
      </w:r>
      <w:r w:rsidRPr="00C7130A">
        <w:rPr>
          <w:rtl/>
          <w:lang w:bidi="ar-JO"/>
        </w:rPr>
        <w:t>إسرائيل بالإيمان، لتكون جدّةً للملك داود.</w:t>
      </w:r>
    </w:p>
    <w:p w14:paraId="2859E025" w14:textId="77777777" w:rsidR="00FF6CEC" w:rsidRPr="00C7130A" w:rsidRDefault="00FF6CEC"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rtl/>
          <w14:ligatures w14:val="none"/>
        </w:rPr>
      </w:pPr>
    </w:p>
    <w:p w14:paraId="61DC9248" w14:textId="4D6FAE23" w:rsidR="005B452F" w:rsidRPr="00C7130A" w:rsidRDefault="003E3929" w:rsidP="000558B7">
      <w:pPr>
        <w:pStyle w:val="Heading3"/>
      </w:pPr>
      <w:bookmarkStart w:id="328" w:name="_Toc193031086"/>
      <w:r w:rsidRPr="00C7130A">
        <w:rPr>
          <w:rtl/>
        </w:rPr>
        <w:t>مُخطَّط الوحدة</w:t>
      </w:r>
      <w:bookmarkEnd w:id="328"/>
    </w:p>
    <w:p w14:paraId="3E2891E3" w14:textId="77777777" w:rsidR="003E3929" w:rsidRPr="003B15BA" w:rsidRDefault="003E3929" w:rsidP="00C7130A">
      <w:pPr>
        <w:ind w:left="1440" w:hanging="900"/>
        <w:contextualSpacing/>
        <w:rPr>
          <w:b/>
          <w:kern w:val="0"/>
          <w:rtl/>
          <w14:ligatures w14:val="none"/>
        </w:rPr>
      </w:pPr>
      <w:r w:rsidRPr="003B15BA">
        <w:rPr>
          <w:b/>
          <w:kern w:val="0"/>
          <w:rtl/>
          <w14:ligatures w14:val="none"/>
        </w:rPr>
        <w:t xml:space="preserve">الدرس 10: فتح الأرض وتوزيعها على الأسباط (يشوع 1-24) </w:t>
      </w:r>
    </w:p>
    <w:p w14:paraId="35719126" w14:textId="77777777" w:rsidR="003E3929" w:rsidRPr="003B15BA" w:rsidRDefault="003E3929" w:rsidP="00C7130A">
      <w:pPr>
        <w:ind w:left="1440" w:hanging="900"/>
        <w:contextualSpacing/>
        <w:rPr>
          <w:b/>
          <w:kern w:val="0"/>
          <w:rtl/>
          <w14:ligatures w14:val="none"/>
        </w:rPr>
      </w:pPr>
      <w:r w:rsidRPr="003B15BA">
        <w:rPr>
          <w:b/>
          <w:kern w:val="0"/>
          <w:rtl/>
          <w14:ligatures w14:val="none"/>
        </w:rPr>
        <w:t>الدرس 11: ضلال إسرائيل في فترة القضاة (قضاة 1-21)</w:t>
      </w:r>
    </w:p>
    <w:p w14:paraId="60DA36EB" w14:textId="77777777" w:rsidR="003E3929" w:rsidRPr="003B15BA" w:rsidRDefault="003E3929" w:rsidP="00C7130A">
      <w:pPr>
        <w:ind w:firstLine="540"/>
      </w:pPr>
      <w:r w:rsidRPr="003B15BA">
        <w:rPr>
          <w:b/>
          <w:kern w:val="0"/>
          <w:rtl/>
          <w14:ligatures w14:val="none"/>
        </w:rPr>
        <w:t>الدرس 12: سفر راعوث، نظرة عامّة والتوقُّعات المسيانيّة</w:t>
      </w:r>
    </w:p>
    <w:p w14:paraId="61D63232" w14:textId="1D6947B7" w:rsidR="005B452F" w:rsidRPr="00C7130A" w:rsidRDefault="003E3929" w:rsidP="000558B7">
      <w:pPr>
        <w:pStyle w:val="Heading3"/>
      </w:pPr>
      <w:bookmarkStart w:id="329" w:name="_Toc193031087"/>
      <w:r w:rsidRPr="00C7130A">
        <w:rPr>
          <w:rtl/>
        </w:rPr>
        <w:t>أهدف الوحدة</w:t>
      </w:r>
      <w:bookmarkEnd w:id="329"/>
    </w:p>
    <w:p w14:paraId="71509C60" w14:textId="24A3A61C" w:rsidR="005B452F" w:rsidRPr="003B15BA" w:rsidRDefault="003E3929"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3B15BA">
        <w:rPr>
          <w:rFonts w:eastAsia="Calibri"/>
          <w:kern w:val="0"/>
          <w:rtl/>
          <w14:ligatures w14:val="none"/>
        </w:rPr>
        <w:t xml:space="preserve">بانتهائك من دراسة هذه الوحدة، ستكون قادرًا على ما يلي: </w:t>
      </w:r>
    </w:p>
    <w:p w14:paraId="782A7751" w14:textId="49D21E2E" w:rsidR="00FA6819" w:rsidRPr="003B15BA" w:rsidRDefault="003E3929">
      <w:pPr>
        <w:pStyle w:val="ListParagraph"/>
        <w:numPr>
          <w:ilvl w:val="0"/>
          <w:numId w:val="29"/>
        </w:numPr>
        <w:tabs>
          <w:tab w:val="left" w:pos="0"/>
          <w:tab w:val="left" w:pos="540"/>
          <w:tab w:val="left" w:pos="1080"/>
          <w:tab w:val="left" w:pos="1620"/>
          <w:tab w:val="left" w:pos="2160"/>
          <w:tab w:val="left" w:pos="2700"/>
          <w:tab w:val="left" w:pos="3240"/>
          <w:tab w:val="left" w:pos="3780"/>
          <w:tab w:val="left" w:pos="4320"/>
          <w:tab w:val="left" w:pos="4860"/>
        </w:tabs>
        <w:spacing w:after="200"/>
      </w:pPr>
      <w:bookmarkStart w:id="330" w:name="_Hlk162950358"/>
      <w:r w:rsidRPr="008C499B">
        <w:rPr>
          <w:rFonts w:eastAsia="Calibri"/>
          <w:kern w:val="0"/>
          <w:rtl/>
          <w14:ligatures w14:val="none"/>
        </w:rPr>
        <w:t xml:space="preserve">أن تتبع مثال يشوع في أن "تتشدَّد وتتشجَّع" في مواجهة المعارك الروحيّة. </w:t>
      </w:r>
    </w:p>
    <w:p w14:paraId="1CDCA2FB" w14:textId="738D5D73" w:rsidR="003E3929" w:rsidRPr="003B15BA" w:rsidRDefault="003E3929">
      <w:pPr>
        <w:pStyle w:val="ListParagraph"/>
        <w:numPr>
          <w:ilvl w:val="0"/>
          <w:numId w:val="29"/>
        </w:numPr>
        <w:tabs>
          <w:tab w:val="left" w:pos="0"/>
          <w:tab w:val="left" w:pos="540"/>
          <w:tab w:val="left" w:pos="1080"/>
          <w:tab w:val="left" w:pos="1620"/>
          <w:tab w:val="left" w:pos="2160"/>
          <w:tab w:val="left" w:pos="2700"/>
          <w:tab w:val="left" w:pos="3240"/>
          <w:tab w:val="left" w:pos="3780"/>
          <w:tab w:val="left" w:pos="4320"/>
          <w:tab w:val="left" w:pos="4860"/>
        </w:tabs>
        <w:spacing w:after="200"/>
      </w:pPr>
      <w:r w:rsidRPr="008C499B">
        <w:rPr>
          <w:rFonts w:eastAsia="Calibri"/>
          <w:kern w:val="0"/>
          <w:rtl/>
          <w14:ligatures w14:val="none"/>
        </w:rPr>
        <w:t xml:space="preserve">أن تسعى إلى "ميراثك" بغيرةٍ أعظم، الميراث الذي ستُعطاه </w:t>
      </w:r>
      <w:r w:rsidR="00DB2474" w:rsidRPr="008C499B">
        <w:rPr>
          <w:rFonts w:eastAsia="Calibri"/>
          <w:kern w:val="0"/>
          <w:rtl/>
          <w14:ligatures w14:val="none"/>
        </w:rPr>
        <w:t>عند</w:t>
      </w:r>
      <w:r w:rsidRPr="008C499B">
        <w:rPr>
          <w:rFonts w:eastAsia="Calibri"/>
          <w:kern w:val="0"/>
          <w:rtl/>
          <w14:ligatures w14:val="none"/>
        </w:rPr>
        <w:t xml:space="preserve"> عودة المسيح. </w:t>
      </w:r>
    </w:p>
    <w:p w14:paraId="2493AB0A" w14:textId="463A1663" w:rsidR="003E3929" w:rsidRPr="003B15BA" w:rsidRDefault="003E3929">
      <w:pPr>
        <w:pStyle w:val="ListParagraph"/>
        <w:numPr>
          <w:ilvl w:val="0"/>
          <w:numId w:val="29"/>
        </w:numPr>
        <w:tabs>
          <w:tab w:val="left" w:pos="0"/>
          <w:tab w:val="left" w:pos="540"/>
          <w:tab w:val="left" w:pos="1080"/>
          <w:tab w:val="left" w:pos="1620"/>
          <w:tab w:val="left" w:pos="2160"/>
          <w:tab w:val="left" w:pos="2700"/>
          <w:tab w:val="left" w:pos="3240"/>
          <w:tab w:val="left" w:pos="3780"/>
          <w:tab w:val="left" w:pos="4320"/>
          <w:tab w:val="left" w:pos="4860"/>
        </w:tabs>
        <w:spacing w:after="200"/>
      </w:pPr>
      <w:r w:rsidRPr="008C499B">
        <w:rPr>
          <w:rFonts w:eastAsia="Calibri"/>
          <w:kern w:val="0"/>
          <w:rtl/>
          <w14:ligatures w14:val="none"/>
        </w:rPr>
        <w:t xml:space="preserve">أن تصف التصميم العام لسفر القضاة الذي يكشف عن فساد تدريجي للأمة في عدم حفظها وطاعتها للشريعة. </w:t>
      </w:r>
    </w:p>
    <w:p w14:paraId="3D79B4ED" w14:textId="1146E823" w:rsidR="003E3929" w:rsidRPr="003B15BA" w:rsidRDefault="003E3929">
      <w:pPr>
        <w:pStyle w:val="ListParagraph"/>
        <w:numPr>
          <w:ilvl w:val="0"/>
          <w:numId w:val="29"/>
        </w:numPr>
        <w:tabs>
          <w:tab w:val="left" w:pos="0"/>
          <w:tab w:val="left" w:pos="540"/>
          <w:tab w:val="left" w:pos="1080"/>
          <w:tab w:val="left" w:pos="1620"/>
          <w:tab w:val="left" w:pos="2160"/>
          <w:tab w:val="left" w:pos="2700"/>
          <w:tab w:val="left" w:pos="3240"/>
          <w:tab w:val="left" w:pos="3780"/>
          <w:tab w:val="left" w:pos="4320"/>
          <w:tab w:val="left" w:pos="4860"/>
        </w:tabs>
        <w:spacing w:after="200"/>
      </w:pPr>
      <w:r w:rsidRPr="008C499B">
        <w:rPr>
          <w:rFonts w:eastAsia="Calibri"/>
          <w:kern w:val="0"/>
          <w:rtl/>
          <w14:ligatures w14:val="none"/>
        </w:rPr>
        <w:t>أن تبيّن مغزى كون جدعون "قاضيًا" في الحبكة العام</w:t>
      </w:r>
      <w:r w:rsidR="00DB2474" w:rsidRPr="008C499B">
        <w:rPr>
          <w:rFonts w:eastAsia="Calibri"/>
          <w:kern w:val="0"/>
          <w:rtl/>
          <w14:ligatures w14:val="none"/>
        </w:rPr>
        <w:t>ّ</w:t>
      </w:r>
      <w:r w:rsidRPr="008C499B">
        <w:rPr>
          <w:rFonts w:eastAsia="Calibri"/>
          <w:kern w:val="0"/>
          <w:rtl/>
          <w14:ligatures w14:val="none"/>
        </w:rPr>
        <w:t xml:space="preserve">ة لسفر القضاة. </w:t>
      </w:r>
    </w:p>
    <w:p w14:paraId="0A318A82" w14:textId="1F8C3FA0" w:rsidR="003E3929" w:rsidRPr="003B15BA" w:rsidRDefault="003E3929">
      <w:pPr>
        <w:pStyle w:val="ListParagraph"/>
        <w:numPr>
          <w:ilvl w:val="0"/>
          <w:numId w:val="29"/>
        </w:numPr>
        <w:tabs>
          <w:tab w:val="left" w:pos="0"/>
          <w:tab w:val="left" w:pos="540"/>
          <w:tab w:val="left" w:pos="1080"/>
          <w:tab w:val="left" w:pos="1620"/>
          <w:tab w:val="left" w:pos="2160"/>
          <w:tab w:val="left" w:pos="2700"/>
          <w:tab w:val="left" w:pos="3240"/>
          <w:tab w:val="left" w:pos="3780"/>
          <w:tab w:val="left" w:pos="4320"/>
          <w:tab w:val="left" w:pos="4860"/>
        </w:tabs>
        <w:spacing w:after="200"/>
      </w:pPr>
      <w:r w:rsidRPr="008C499B">
        <w:rPr>
          <w:rFonts w:eastAsia="Calibri"/>
          <w:kern w:val="0"/>
          <w:rtl/>
          <w14:ligatures w14:val="none"/>
        </w:rPr>
        <w:t xml:space="preserve">أن تشرح مغزى وأهمّيّة هوية راعوث وصفاتها وأعمالها في ضوء السياق التاريخي للسفر. </w:t>
      </w:r>
    </w:p>
    <w:p w14:paraId="62719ED6" w14:textId="684434CB" w:rsidR="003E3929" w:rsidRPr="003B15BA" w:rsidRDefault="003E3929">
      <w:pPr>
        <w:pStyle w:val="ListParagraph"/>
        <w:numPr>
          <w:ilvl w:val="0"/>
          <w:numId w:val="29"/>
        </w:numPr>
        <w:tabs>
          <w:tab w:val="left" w:pos="0"/>
          <w:tab w:val="left" w:pos="540"/>
          <w:tab w:val="left" w:pos="1080"/>
          <w:tab w:val="left" w:pos="1620"/>
          <w:tab w:val="left" w:pos="2160"/>
          <w:tab w:val="left" w:pos="2700"/>
          <w:tab w:val="left" w:pos="3240"/>
          <w:tab w:val="left" w:pos="3780"/>
          <w:tab w:val="left" w:pos="4320"/>
          <w:tab w:val="left" w:pos="4860"/>
        </w:tabs>
        <w:spacing w:after="200"/>
      </w:pPr>
      <w:r w:rsidRPr="008C499B">
        <w:rPr>
          <w:rFonts w:eastAsia="Calibri"/>
          <w:kern w:val="0"/>
          <w:rtl/>
          <w14:ligatures w14:val="none"/>
        </w:rPr>
        <w:lastRenderedPageBreak/>
        <w:t xml:space="preserve">أن </w:t>
      </w:r>
      <w:r w:rsidR="00445DBD" w:rsidRPr="008C499B">
        <w:rPr>
          <w:rFonts w:eastAsia="Calibri"/>
          <w:kern w:val="0"/>
          <w:rtl/>
          <w:lang w:bidi="ar-JO"/>
          <w14:ligatures w14:val="none"/>
        </w:rPr>
        <w:t>تبي</w:t>
      </w:r>
      <w:r w:rsidR="00DB2474" w:rsidRPr="008C499B">
        <w:rPr>
          <w:rFonts w:eastAsia="Calibri"/>
          <w:kern w:val="0"/>
          <w:rtl/>
          <w:lang w:bidi="ar-JO"/>
          <w14:ligatures w14:val="none"/>
        </w:rPr>
        <w:t>ّ</w:t>
      </w:r>
      <w:r w:rsidR="00445DBD" w:rsidRPr="008C499B">
        <w:rPr>
          <w:rFonts w:eastAsia="Calibri"/>
          <w:kern w:val="0"/>
          <w:rtl/>
          <w:lang w:bidi="ar-JO"/>
          <w14:ligatures w14:val="none"/>
        </w:rPr>
        <w:t xml:space="preserve">ن الأحداث والتطوُّرات الرئيسيّة في الأسفار الثمانية الأولى في الكتاب المُقدَّس (تثنية – راعوث) </w:t>
      </w:r>
    </w:p>
    <w:p w14:paraId="6E6A6276" w14:textId="6AF512D9" w:rsidR="00445DBD" w:rsidRPr="003B15BA" w:rsidRDefault="00445DBD">
      <w:pPr>
        <w:pStyle w:val="ListParagraph"/>
        <w:numPr>
          <w:ilvl w:val="0"/>
          <w:numId w:val="29"/>
        </w:numPr>
        <w:tabs>
          <w:tab w:val="left" w:pos="0"/>
          <w:tab w:val="left" w:pos="540"/>
          <w:tab w:val="left" w:pos="1080"/>
          <w:tab w:val="left" w:pos="1620"/>
          <w:tab w:val="left" w:pos="2160"/>
          <w:tab w:val="left" w:pos="2700"/>
          <w:tab w:val="left" w:pos="3240"/>
          <w:tab w:val="left" w:pos="3780"/>
          <w:tab w:val="left" w:pos="4320"/>
          <w:tab w:val="left" w:pos="4860"/>
        </w:tabs>
        <w:spacing w:after="200"/>
      </w:pPr>
      <w:r w:rsidRPr="008C499B">
        <w:rPr>
          <w:rFonts w:eastAsia="Calibri"/>
          <w:kern w:val="0"/>
          <w:rtl/>
          <w:lang w:bidi="ar-JO"/>
          <w14:ligatures w14:val="none"/>
        </w:rPr>
        <w:t xml:space="preserve">أن تُشير إلى التوقُّعات المسيانيّة الرئيسيّة الموجودة في الأسفار من تكوين إلى راعوث. </w:t>
      </w:r>
    </w:p>
    <w:bookmarkEnd w:id="330"/>
    <w:p w14:paraId="4709F99B" w14:textId="57A5F455" w:rsidR="009810D1" w:rsidRPr="00C7130A" w:rsidRDefault="009810D1">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spacing w:after="200"/>
        <w:contextualSpacing/>
      </w:pPr>
      <w:r w:rsidRPr="00C7130A">
        <w:br w:type="page"/>
      </w:r>
    </w:p>
    <w:p w14:paraId="28E32A4C" w14:textId="2264E4C0" w:rsidR="008B149F" w:rsidRPr="00C7130A" w:rsidRDefault="00445DBD" w:rsidP="00E80A44">
      <w:pPr>
        <w:pStyle w:val="Heading2"/>
      </w:pPr>
      <w:bookmarkStart w:id="331" w:name="_Toc193031088"/>
      <w:r w:rsidRPr="00C7130A">
        <w:rPr>
          <w:rtl/>
        </w:rPr>
        <w:lastRenderedPageBreak/>
        <w:t xml:space="preserve">الدرس 10: فتح الأرض وتوزيعها على الأسباط </w:t>
      </w:r>
      <w:bookmarkEnd w:id="331"/>
    </w:p>
    <w:p w14:paraId="0CBAC31F" w14:textId="212BCEEE" w:rsidR="00311C51" w:rsidRPr="000558B7" w:rsidRDefault="000558B7" w:rsidP="000558B7">
      <w:pPr>
        <w:tabs>
          <w:tab w:val="left" w:pos="0"/>
          <w:tab w:val="left" w:pos="540"/>
          <w:tab w:val="left" w:pos="1080"/>
          <w:tab w:val="left" w:pos="1620"/>
          <w:tab w:val="left" w:pos="2160"/>
          <w:tab w:val="left" w:pos="2700"/>
          <w:tab w:val="left" w:pos="3240"/>
          <w:tab w:val="left" w:pos="3780"/>
          <w:tab w:val="left" w:pos="4320"/>
          <w:tab w:val="left" w:pos="4860"/>
        </w:tabs>
        <w:spacing w:after="200"/>
        <w:jc w:val="center"/>
        <w:rPr>
          <w:rFonts w:eastAsia="Calibri"/>
          <w:b/>
          <w:bCs/>
          <w:kern w:val="0"/>
          <w:sz w:val="52"/>
          <w:szCs w:val="52"/>
          <w14:ligatures w14:val="none"/>
        </w:rPr>
      </w:pPr>
      <w:r w:rsidRPr="000558B7">
        <w:rPr>
          <w:b/>
          <w:bCs/>
          <w:sz w:val="52"/>
          <w:szCs w:val="52"/>
          <w:rtl/>
        </w:rPr>
        <w:t>(يشوع 1-24)</w:t>
      </w:r>
    </w:p>
    <w:p w14:paraId="2DDA7F9A" w14:textId="6C2E05C0" w:rsidR="008B149F" w:rsidRPr="00C7130A" w:rsidRDefault="00445DBD" w:rsidP="000558B7">
      <w:pPr>
        <w:pStyle w:val="Heading3"/>
      </w:pPr>
      <w:bookmarkStart w:id="332" w:name="_Toc193031089"/>
      <w:r w:rsidRPr="00C7130A">
        <w:rPr>
          <w:rtl/>
        </w:rPr>
        <w:t>مُقدّمة الدرس</w:t>
      </w:r>
      <w:bookmarkEnd w:id="332"/>
    </w:p>
    <w:p w14:paraId="3E352C44" w14:textId="79DB85AD" w:rsidR="00003420" w:rsidRPr="00264A7E" w:rsidRDefault="00003420"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lang w:bidi="ar-JO"/>
          <w14:ligatures w14:val="none"/>
        </w:rPr>
      </w:pPr>
      <w:r w:rsidRPr="00264A7E">
        <w:rPr>
          <w:rFonts w:eastAsia="Calibri"/>
          <w:kern w:val="0"/>
          <w:rtl/>
          <w:lang w:bidi="ar-JO"/>
          <w14:ligatures w14:val="none"/>
        </w:rPr>
        <w:t>بانتهاء سفر التثنية، تكون أسفار موسى الخمسة قد اكتملت، ويُدوَّن موت موسى بصورة لائقة ومناسبة. ويمثِّل سفر ي</w:t>
      </w:r>
      <w:r w:rsidR="00DB2474" w:rsidRPr="00264A7E">
        <w:rPr>
          <w:rFonts w:eastAsia="Calibri"/>
          <w:kern w:val="0"/>
          <w:rtl/>
          <w:lang w:bidi="ar-JO"/>
          <w14:ligatures w14:val="none"/>
        </w:rPr>
        <w:t>ش</w:t>
      </w:r>
      <w:r w:rsidRPr="00264A7E">
        <w:rPr>
          <w:rFonts w:eastAsia="Calibri"/>
          <w:kern w:val="0"/>
          <w:rtl/>
          <w:lang w:bidi="ar-JO"/>
          <w14:ligatures w14:val="none"/>
        </w:rPr>
        <w:t>وع، التي يأتي بعد سفر التثنية، نقطة</w:t>
      </w:r>
      <w:r w:rsidR="00DB2474" w:rsidRPr="00264A7E">
        <w:rPr>
          <w:rFonts w:eastAsia="Calibri"/>
          <w:kern w:val="0"/>
          <w:rtl/>
          <w:lang w:bidi="ar-JO"/>
          <w14:ligatures w14:val="none"/>
        </w:rPr>
        <w:t>َ</w:t>
      </w:r>
      <w:r w:rsidRPr="00264A7E">
        <w:rPr>
          <w:rFonts w:eastAsia="Calibri"/>
          <w:kern w:val="0"/>
          <w:rtl/>
          <w:lang w:bidi="ar-JO"/>
          <w14:ligatures w14:val="none"/>
        </w:rPr>
        <w:t xml:space="preserve"> تحوُّل</w:t>
      </w:r>
      <w:r w:rsidR="00DB2474" w:rsidRPr="00264A7E">
        <w:rPr>
          <w:rFonts w:eastAsia="Calibri"/>
          <w:kern w:val="0"/>
          <w:rtl/>
          <w:lang w:bidi="ar-JO"/>
          <w14:ligatures w14:val="none"/>
        </w:rPr>
        <w:t>ٍ</w:t>
      </w:r>
      <w:r w:rsidRPr="00264A7E">
        <w:rPr>
          <w:rFonts w:eastAsia="Calibri"/>
          <w:kern w:val="0"/>
          <w:rtl/>
          <w:lang w:bidi="ar-JO"/>
          <w14:ligatures w14:val="none"/>
        </w:rPr>
        <w:t xml:space="preserve"> في تطوُّرات </w:t>
      </w:r>
      <w:r w:rsidR="00DB2474" w:rsidRPr="00264A7E">
        <w:rPr>
          <w:rFonts w:eastAsia="Calibri"/>
          <w:kern w:val="0"/>
          <w:rtl/>
          <w:lang w:bidi="ar-JO"/>
          <w14:ligatures w14:val="none"/>
        </w:rPr>
        <w:t xml:space="preserve">أحداث </w:t>
      </w:r>
      <w:r w:rsidRPr="00264A7E">
        <w:rPr>
          <w:rFonts w:eastAsia="Calibri"/>
          <w:kern w:val="0"/>
          <w:rtl/>
          <w:lang w:bidi="ar-JO"/>
          <w14:ligatures w14:val="none"/>
        </w:rPr>
        <w:t>الع</w:t>
      </w:r>
      <w:r w:rsidR="00DB2474" w:rsidRPr="00264A7E">
        <w:rPr>
          <w:rFonts w:eastAsia="Calibri"/>
          <w:kern w:val="0"/>
          <w:rtl/>
          <w:lang w:bidi="ar-JO"/>
          <w14:ligatures w14:val="none"/>
        </w:rPr>
        <w:t>ه</w:t>
      </w:r>
      <w:r w:rsidRPr="00264A7E">
        <w:rPr>
          <w:rFonts w:eastAsia="Calibri"/>
          <w:kern w:val="0"/>
          <w:rtl/>
          <w:lang w:bidi="ar-JO"/>
          <w14:ligatures w14:val="none"/>
        </w:rPr>
        <w:t>د القديم. فالآن ظهرت حاجة إلى قائد جديد يقود الأمّة إلى الأمام. وهذا القائد هو يشوع، مساعد موسى الأمين، الذي خدم موسى مدّة أربعين سنة. في البداية، نراه يلتقي بقائد جند الرب</w:t>
      </w:r>
      <w:r w:rsidR="00DB2474" w:rsidRPr="00264A7E">
        <w:rPr>
          <w:rFonts w:eastAsia="Calibri"/>
          <w:kern w:val="0"/>
          <w:rtl/>
          <w:lang w:bidi="ar-JO"/>
          <w14:ligatures w14:val="none"/>
        </w:rPr>
        <w:t>ّ</w:t>
      </w:r>
      <w:r w:rsidRPr="00264A7E">
        <w:rPr>
          <w:rFonts w:eastAsia="Calibri"/>
          <w:kern w:val="0"/>
          <w:rtl/>
          <w:lang w:bidi="ar-JO"/>
          <w14:ligatures w14:val="none"/>
        </w:rPr>
        <w:t>، وقد أدرك أنّ الرب</w:t>
      </w:r>
      <w:r w:rsidR="00DB2474" w:rsidRPr="00264A7E">
        <w:rPr>
          <w:rFonts w:eastAsia="Calibri"/>
          <w:kern w:val="0"/>
          <w:rtl/>
          <w:lang w:bidi="ar-JO"/>
          <w14:ligatures w14:val="none"/>
        </w:rPr>
        <w:t>ّ</w:t>
      </w:r>
      <w:r w:rsidRPr="00264A7E">
        <w:rPr>
          <w:rFonts w:eastAsia="Calibri"/>
          <w:kern w:val="0"/>
          <w:rtl/>
          <w:lang w:bidi="ar-JO"/>
          <w14:ligatures w14:val="none"/>
        </w:rPr>
        <w:t xml:space="preserve"> الإله هو مَن سيسير أمامهم ويمكِّنهم من النجاح، طالما كانوا يثقون به ويطيعون قيادته. حدث الاستيلاء على الأرض في ثلاث مراحل من الناحية الجغرافية. وبرغم النجاح الذي تحقَّق في النهاية، حدث</w:t>
      </w:r>
      <w:r w:rsidR="00DB2474" w:rsidRPr="00264A7E">
        <w:rPr>
          <w:rFonts w:eastAsia="Calibri"/>
          <w:kern w:val="0"/>
          <w:rtl/>
          <w:lang w:bidi="ar-JO"/>
          <w14:ligatures w14:val="none"/>
        </w:rPr>
        <w:t>تْ</w:t>
      </w:r>
      <w:r w:rsidRPr="00264A7E">
        <w:rPr>
          <w:rFonts w:eastAsia="Calibri"/>
          <w:kern w:val="0"/>
          <w:rtl/>
          <w:lang w:bidi="ar-JO"/>
          <w14:ligatures w14:val="none"/>
        </w:rPr>
        <w:t xml:space="preserve"> أخطاء في عملية الاستيلاء ظهر أنّها أخطاء كلَّفت الكثير. ومع هذا، مع أنّه بقيت جيوبٌ من مقاومة الكنعانيّين في الأرض، فقد تمكَّن العبرانيون من الاستيلاء بفاعلية على كل</w:t>
      </w:r>
      <w:r w:rsidR="00DB2474" w:rsidRPr="00264A7E">
        <w:rPr>
          <w:rFonts w:eastAsia="Calibri"/>
          <w:kern w:val="0"/>
          <w:rtl/>
          <w:lang w:bidi="ar-JO"/>
          <w14:ligatures w14:val="none"/>
        </w:rPr>
        <w:t>ّ</w:t>
      </w:r>
      <w:r w:rsidRPr="00264A7E">
        <w:rPr>
          <w:rFonts w:eastAsia="Calibri"/>
          <w:kern w:val="0"/>
          <w:rtl/>
          <w:lang w:bidi="ar-JO"/>
          <w14:ligatures w14:val="none"/>
        </w:rPr>
        <w:t xml:space="preserve"> الأرض التي وُعِد إبراهيم ونسله بها. </w:t>
      </w:r>
    </w:p>
    <w:p w14:paraId="0479C108" w14:textId="1B73E699" w:rsidR="00003420" w:rsidRPr="00264A7E" w:rsidRDefault="00003420"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lang w:bidi="ar-JO"/>
          <w14:ligatures w14:val="none"/>
        </w:rPr>
      </w:pPr>
      <w:r w:rsidRPr="00264A7E">
        <w:rPr>
          <w:rFonts w:eastAsia="Calibri"/>
          <w:kern w:val="0"/>
          <w:rtl/>
          <w:lang w:bidi="ar-JO"/>
          <w14:ligatures w14:val="none"/>
        </w:rPr>
        <w:t>بكسر القوّة الرئيسيّة للكنعانيّين، استمرّ يشوع في مهمّة سعيه بأن ينال كلّ</w:t>
      </w:r>
      <w:r w:rsidR="00DB2474" w:rsidRPr="00264A7E">
        <w:rPr>
          <w:rFonts w:eastAsia="Calibri"/>
          <w:kern w:val="0"/>
          <w:rtl/>
          <w:lang w:bidi="ar-JO"/>
          <w14:ligatures w14:val="none"/>
        </w:rPr>
        <w:t>ُ</w:t>
      </w:r>
      <w:r w:rsidRPr="00264A7E">
        <w:rPr>
          <w:rFonts w:eastAsia="Calibri"/>
          <w:kern w:val="0"/>
          <w:rtl/>
          <w:lang w:bidi="ar-JO"/>
          <w14:ligatures w14:val="none"/>
        </w:rPr>
        <w:t xml:space="preserve"> واحدٍ من الأسباط الاثني عشر حصّته المناسبة من الأرض (ميراثه). وقد بلغ الس</w:t>
      </w:r>
      <w:r w:rsidR="00DB2474" w:rsidRPr="00264A7E">
        <w:rPr>
          <w:rFonts w:eastAsia="Calibri"/>
          <w:kern w:val="0"/>
          <w:rtl/>
          <w:lang w:bidi="ar-JO"/>
          <w14:ligatures w14:val="none"/>
        </w:rPr>
        <w:t>ِّ</w:t>
      </w:r>
      <w:r w:rsidRPr="00264A7E">
        <w:rPr>
          <w:rFonts w:eastAsia="Calibri"/>
          <w:kern w:val="0"/>
          <w:rtl/>
          <w:lang w:bidi="ar-JO"/>
          <w14:ligatures w14:val="none"/>
        </w:rPr>
        <w:t>فر ذروته في المراسم الاحتفاليّة التي حدث</w:t>
      </w:r>
      <w:r w:rsidR="00DB2474" w:rsidRPr="00264A7E">
        <w:rPr>
          <w:rFonts w:eastAsia="Calibri"/>
          <w:kern w:val="0"/>
          <w:rtl/>
          <w:lang w:bidi="ar-JO"/>
          <w14:ligatures w14:val="none"/>
        </w:rPr>
        <w:t>ت</w:t>
      </w:r>
      <w:r w:rsidRPr="00264A7E">
        <w:rPr>
          <w:rFonts w:eastAsia="Calibri"/>
          <w:kern w:val="0"/>
          <w:rtl/>
          <w:lang w:bidi="ar-JO"/>
          <w14:ligatures w14:val="none"/>
        </w:rPr>
        <w:t xml:space="preserve"> في شكيم، والتي بها أعادت الأسباط التأكيد على التزامها بالعهد الموسوي وولائها للربّ وعبادته وخدمته وحده. </w:t>
      </w:r>
    </w:p>
    <w:p w14:paraId="771140D4" w14:textId="77777777" w:rsidR="00003420" w:rsidRPr="00264A7E" w:rsidRDefault="00003420"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lang w:bidi="ar-JO"/>
          <w14:ligatures w14:val="none"/>
        </w:rPr>
      </w:pPr>
    </w:p>
    <w:p w14:paraId="58D458F2" w14:textId="59DC4184" w:rsidR="008B149F" w:rsidRPr="00C7130A" w:rsidRDefault="00003420" w:rsidP="000558B7">
      <w:pPr>
        <w:pStyle w:val="Heading3"/>
      </w:pPr>
      <w:bookmarkStart w:id="333" w:name="_Toc193031090"/>
      <w:r w:rsidRPr="00C7130A">
        <w:rPr>
          <w:rtl/>
        </w:rPr>
        <w:t>مُخطّط الدرس</w:t>
      </w:r>
      <w:bookmarkEnd w:id="333"/>
      <w:r w:rsidRPr="00C7130A">
        <w:rPr>
          <w:rtl/>
        </w:rPr>
        <w:t xml:space="preserve"> </w:t>
      </w:r>
    </w:p>
    <w:p w14:paraId="6E551441" w14:textId="77777777" w:rsidR="00915244" w:rsidRPr="00264A7E" w:rsidRDefault="00915244"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bookmarkStart w:id="334" w:name="_Hlk190754588"/>
      <w:r w:rsidRPr="00264A7E">
        <w:rPr>
          <w:rFonts w:eastAsia="Calibri"/>
          <w:kern w:val="0"/>
          <w:rtl/>
          <w14:ligatures w14:val="none"/>
        </w:rPr>
        <w:t xml:space="preserve">الموضوع 1: مُقدِّمة إلى سفر يشوع </w:t>
      </w:r>
    </w:p>
    <w:p w14:paraId="3CD8D3AF" w14:textId="77777777" w:rsidR="00915244" w:rsidRPr="00264A7E" w:rsidRDefault="00915244"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264A7E">
        <w:rPr>
          <w:rFonts w:eastAsia="Calibri"/>
          <w:kern w:val="0"/>
          <w:rtl/>
          <w14:ligatures w14:val="none"/>
        </w:rPr>
        <w:t xml:space="preserve">الموضوع 2: الاستيلاء على أرض كنعان (يشوع 1: 1 – 12: 24) </w:t>
      </w:r>
    </w:p>
    <w:p w14:paraId="65653140" w14:textId="6FA9B92F" w:rsidR="008B149F" w:rsidRPr="00C7130A" w:rsidRDefault="00915244"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szCs w:val="24"/>
          <w14:ligatures w14:val="none"/>
        </w:rPr>
      </w:pPr>
      <w:r w:rsidRPr="00264A7E">
        <w:rPr>
          <w:rFonts w:eastAsia="Calibri"/>
          <w:kern w:val="0"/>
          <w:rtl/>
          <w14:ligatures w14:val="none"/>
        </w:rPr>
        <w:t xml:space="preserve">الموضوع 3: توزيع الأرض حصصًا (يشوع 13: 1 – 24: 33) </w:t>
      </w:r>
      <w:bookmarkEnd w:id="334"/>
      <w:r w:rsidR="008B149F" w:rsidRPr="00264A7E">
        <w:rPr>
          <w:rFonts w:eastAsia="Calibri"/>
          <w:kern w:val="0"/>
          <w14:ligatures w14:val="none"/>
        </w:rPr>
        <w:br/>
      </w:r>
    </w:p>
    <w:p w14:paraId="761F4F52" w14:textId="7BB22E80" w:rsidR="008B149F" w:rsidRPr="00C7130A" w:rsidRDefault="00915244" w:rsidP="000558B7">
      <w:pPr>
        <w:pStyle w:val="Heading3"/>
      </w:pPr>
      <w:bookmarkStart w:id="335" w:name="_Toc193031091"/>
      <w:r w:rsidRPr="00C7130A">
        <w:rPr>
          <w:rtl/>
        </w:rPr>
        <w:t>أهداف الدرس</w:t>
      </w:r>
      <w:bookmarkEnd w:id="335"/>
    </w:p>
    <w:p w14:paraId="2A32EC49" w14:textId="35283F0A" w:rsidR="008B149F" w:rsidRPr="00264A7E" w:rsidRDefault="00915244" w:rsidP="00C7130A">
      <w:pPr>
        <w:spacing w:after="80"/>
        <w:rPr>
          <w:rFonts w:eastAsia="Calibri"/>
          <w:kern w:val="0"/>
          <w14:ligatures w14:val="none"/>
        </w:rPr>
      </w:pPr>
      <w:r w:rsidRPr="00264A7E">
        <w:rPr>
          <w:rFonts w:eastAsia="Calibri"/>
          <w:kern w:val="0"/>
          <w:rtl/>
          <w14:ligatures w14:val="none"/>
        </w:rPr>
        <w:t xml:space="preserve">بانتهائك من دراسة هذا الدرس، ستكون قادرًا على ما يلي: </w:t>
      </w:r>
    </w:p>
    <w:p w14:paraId="579E405F" w14:textId="485AF8FC" w:rsidR="00A444C2" w:rsidRPr="00046041" w:rsidRDefault="00915244">
      <w:pPr>
        <w:pStyle w:val="ListParagraph"/>
        <w:numPr>
          <w:ilvl w:val="0"/>
          <w:numId w:val="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046041">
        <w:rPr>
          <w:rFonts w:eastAsia="Calibri"/>
          <w:kern w:val="0"/>
          <w:rtl/>
          <w14:ligatures w14:val="none"/>
        </w:rPr>
        <w:t xml:space="preserve">أن تتبع مثال يشوع في أن "تتشدَّد وتتشجَّع" في مواجهة المعاركة الروحية. </w:t>
      </w:r>
    </w:p>
    <w:p w14:paraId="650EA786" w14:textId="69EEE30D" w:rsidR="00915244" w:rsidRPr="00046041" w:rsidRDefault="00915244">
      <w:pPr>
        <w:pStyle w:val="ListParagraph"/>
        <w:numPr>
          <w:ilvl w:val="0"/>
          <w:numId w:val="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046041">
        <w:rPr>
          <w:rFonts w:eastAsia="Calibri"/>
          <w:kern w:val="0"/>
          <w:rtl/>
          <w14:ligatures w14:val="none"/>
        </w:rPr>
        <w:t xml:space="preserve">أن تسعى إلى "ميراثك" بغيرة أعظم، وهو الميراث الذي ستناله عند عودة المسيح. </w:t>
      </w:r>
    </w:p>
    <w:p w14:paraId="0C89589F" w14:textId="58C2AC7F" w:rsidR="00915244" w:rsidRPr="00046041" w:rsidRDefault="00915244">
      <w:pPr>
        <w:pStyle w:val="ListParagraph"/>
        <w:numPr>
          <w:ilvl w:val="0"/>
          <w:numId w:val="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046041">
        <w:rPr>
          <w:rFonts w:eastAsia="Calibri"/>
          <w:kern w:val="0"/>
          <w:rtl/>
          <w14:ligatures w14:val="none"/>
        </w:rPr>
        <w:lastRenderedPageBreak/>
        <w:t xml:space="preserve">أن تشرح حقيقة صحّة وعدالة تعليمات الرب بإبادة الحضارة الكنعانيّة. </w:t>
      </w:r>
    </w:p>
    <w:p w14:paraId="3F606E16" w14:textId="28F22FB5" w:rsidR="00915244" w:rsidRPr="00046041" w:rsidRDefault="00915244">
      <w:pPr>
        <w:pStyle w:val="ListParagraph"/>
        <w:numPr>
          <w:ilvl w:val="0"/>
          <w:numId w:val="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046041">
        <w:rPr>
          <w:rFonts w:eastAsia="Calibri"/>
          <w:kern w:val="0"/>
          <w:rtl/>
          <w14:ligatures w14:val="none"/>
        </w:rPr>
        <w:t xml:space="preserve">أن تُشير إلى الخطايا والأخطاء العديدة التي ارتكبها شعب إسرائيل وهم يسعون إلى الاستيلاء على الأرض، من أجل أن تكتسب بصيرةً بشأن الضلال والحرب الروحيّة اللذين نواجههما اليوم. </w:t>
      </w:r>
    </w:p>
    <w:p w14:paraId="6E1CFF54" w14:textId="2A9C0478" w:rsidR="00915244" w:rsidRPr="00046041" w:rsidRDefault="00915244">
      <w:pPr>
        <w:pStyle w:val="ListParagraph"/>
        <w:numPr>
          <w:ilvl w:val="0"/>
          <w:numId w:val="2"/>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046041">
        <w:rPr>
          <w:rFonts w:eastAsia="Calibri"/>
          <w:kern w:val="0"/>
          <w:rtl/>
          <w14:ligatures w14:val="none"/>
        </w:rPr>
        <w:t xml:space="preserve">أن تدرِك حقيقة أن التزام يشوع الشخصي نحو الربّ قد ألهم كلّ الأمّة بأن </w:t>
      </w:r>
      <w:r w:rsidR="00DB2474" w:rsidRPr="00046041">
        <w:rPr>
          <w:rFonts w:eastAsia="Calibri"/>
          <w:kern w:val="0"/>
          <w:rtl/>
          <w14:ligatures w14:val="none"/>
        </w:rPr>
        <w:t>تتمِّم</w:t>
      </w:r>
      <w:r w:rsidRPr="00046041">
        <w:rPr>
          <w:rFonts w:eastAsia="Calibri"/>
          <w:kern w:val="0"/>
          <w:rtl/>
          <w14:ligatures w14:val="none"/>
        </w:rPr>
        <w:t xml:space="preserve"> خطّة الرب بالاستيلاء على أرض كنعان. </w:t>
      </w:r>
    </w:p>
    <w:p w14:paraId="782D956E" w14:textId="6985CA92" w:rsidR="006311FA" w:rsidRPr="00C7130A" w:rsidRDefault="008B149F" w:rsidP="000558B7">
      <w:pPr>
        <w:pStyle w:val="Heading2B"/>
        <w:rPr>
          <w:rFonts w:eastAsia="Calibri"/>
          <w:szCs w:val="24"/>
        </w:rPr>
      </w:pPr>
      <w:r w:rsidRPr="00264A7E">
        <w:rPr>
          <w:rFonts w:eastAsia="Calibri"/>
          <w:sz w:val="36"/>
          <w:szCs w:val="36"/>
        </w:rPr>
        <w:br w:type="page"/>
      </w:r>
      <w:bookmarkStart w:id="336" w:name="_Toc193031092"/>
      <w:r w:rsidR="00915244" w:rsidRPr="00C7130A">
        <w:rPr>
          <w:rtl/>
        </w:rPr>
        <w:lastRenderedPageBreak/>
        <w:t>الموضوع 1: مُقدِّمة إلى سفر يشوع</w:t>
      </w:r>
      <w:bookmarkStart w:id="337" w:name="_Hlk178779141"/>
      <w:bookmarkEnd w:id="336"/>
    </w:p>
    <w:p w14:paraId="429923E2" w14:textId="60412557" w:rsidR="00BD35FC" w:rsidRPr="00264A7E" w:rsidRDefault="00915244" w:rsidP="000558B7">
      <w:pPr>
        <w:pStyle w:val="Heading3"/>
        <w:rPr>
          <w:rtl/>
        </w:rPr>
      </w:pPr>
      <w:bookmarkStart w:id="338" w:name="_Toc193031093"/>
      <w:bookmarkEnd w:id="337"/>
      <w:r w:rsidRPr="00264A7E">
        <w:rPr>
          <w:rtl/>
        </w:rPr>
        <w:t>لوحة توضيحيّة لسفر يشوع</w:t>
      </w:r>
      <w:bookmarkEnd w:id="338"/>
    </w:p>
    <w:p w14:paraId="3E425665" w14:textId="77777777" w:rsidR="00915244" w:rsidRPr="00C7130A" w:rsidRDefault="00915244" w:rsidP="00C7130A">
      <w:pPr>
        <w:pStyle w:val="Heading4RED"/>
        <w:rPr>
          <w:rFonts w:cs="Arabic Typesetting"/>
        </w:rPr>
      </w:pPr>
    </w:p>
    <w:p w14:paraId="05332506" w14:textId="51FCAE46" w:rsidR="006311FA" w:rsidRPr="00C7130A" w:rsidRDefault="00070B6E"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noProof/>
          <w:kern w:val="0"/>
          <w:szCs w:val="24"/>
          <w14:ligatures w14:val="none"/>
        </w:rPr>
        <w:drawing>
          <wp:inline distT="0" distB="0" distL="0" distR="0" wp14:anchorId="2E32A21E" wp14:editId="10EC3D69">
            <wp:extent cx="5935980" cy="4191000"/>
            <wp:effectExtent l="0" t="0" r="0" b="0"/>
            <wp:docPr id="13963816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5980" cy="4191000"/>
                    </a:xfrm>
                    <a:prstGeom prst="rect">
                      <a:avLst/>
                    </a:prstGeom>
                    <a:noFill/>
                    <a:ln>
                      <a:noFill/>
                    </a:ln>
                  </pic:spPr>
                </pic:pic>
              </a:graphicData>
            </a:graphic>
          </wp:inline>
        </w:drawing>
      </w:r>
    </w:p>
    <w:p w14:paraId="2BE37DE9" w14:textId="5C69143F" w:rsidR="00BD35FC" w:rsidRPr="00264A7E" w:rsidRDefault="00A74161" w:rsidP="000558B7">
      <w:pPr>
        <w:pStyle w:val="Heading3"/>
        <w:rPr>
          <w:rtl/>
          <w:lang w:bidi="ar-JO"/>
        </w:rPr>
      </w:pPr>
      <w:bookmarkStart w:id="339" w:name="_Toc193031094"/>
      <w:r w:rsidRPr="00264A7E">
        <w:rPr>
          <w:rtl/>
          <w:lang w:bidi="ar-JO"/>
        </w:rPr>
        <w:t>تبرير إبادة وإفناء الحضارة الكنعانيّة</w:t>
      </w:r>
      <w:bookmarkEnd w:id="339"/>
    </w:p>
    <w:p w14:paraId="2EC109B5" w14:textId="77777777" w:rsidR="00046041" w:rsidRDefault="00046041" w:rsidP="000558B7">
      <w:pPr>
        <w:pStyle w:val="Heading3"/>
        <w:rPr>
          <w:rtl/>
        </w:rPr>
      </w:pPr>
    </w:p>
    <w:p w14:paraId="0004BF75" w14:textId="3A2168DF" w:rsidR="00E71FF9" w:rsidRPr="00264A7E" w:rsidRDefault="00A74161" w:rsidP="000558B7">
      <w:pPr>
        <w:pStyle w:val="Heading3"/>
      </w:pPr>
      <w:bookmarkStart w:id="340" w:name="_Toc193031095"/>
      <w:r w:rsidRPr="00264A7E">
        <w:rPr>
          <w:rtl/>
        </w:rPr>
        <w:t>مُقدِّمة</w:t>
      </w:r>
      <w:bookmarkEnd w:id="340"/>
    </w:p>
    <w:p w14:paraId="4C66AC32" w14:textId="7DE30146" w:rsidR="00A74161" w:rsidRPr="00264A7E" w:rsidRDefault="009579C7" w:rsidP="00C7130A">
      <w:pPr>
        <w:rPr>
          <w:rtl/>
          <w:lang w:bidi="ar-JO"/>
        </w:rPr>
      </w:pPr>
      <w:r w:rsidRPr="00264A7E">
        <w:rPr>
          <w:rtl/>
        </w:rPr>
        <w:t>يمثِّل أمر الله لشعب إسرائيل بتدمير الحضارة الكنعانيّة أكبر</w:t>
      </w:r>
      <w:r w:rsidR="00DB2474" w:rsidRPr="00264A7E">
        <w:rPr>
          <w:rtl/>
        </w:rPr>
        <w:t>َ</w:t>
      </w:r>
      <w:r w:rsidRPr="00264A7E">
        <w:rPr>
          <w:rtl/>
        </w:rPr>
        <w:t xml:space="preserve"> ورطة أخلاقيّة في العهد القديم. فهل حقّا أمر</w:t>
      </w:r>
      <w:r w:rsidR="00DB2474" w:rsidRPr="00264A7E">
        <w:rPr>
          <w:rtl/>
        </w:rPr>
        <w:t>َ</w:t>
      </w:r>
      <w:r w:rsidRPr="00264A7E">
        <w:rPr>
          <w:rtl/>
        </w:rPr>
        <w:t xml:space="preserve"> الإله القدّوس والم</w:t>
      </w:r>
      <w:r w:rsidR="00DB2474" w:rsidRPr="00264A7E">
        <w:rPr>
          <w:rtl/>
        </w:rPr>
        <w:t>ُ</w:t>
      </w:r>
      <w:r w:rsidRPr="00264A7E">
        <w:rPr>
          <w:rtl/>
        </w:rPr>
        <w:t xml:space="preserve">حبّ إسرائيل بإبادة شعبٍ كامل؟ بالنسبة إلى كثيرين، </w:t>
      </w:r>
      <w:r w:rsidR="00FF3AD1" w:rsidRPr="00264A7E">
        <w:rPr>
          <w:rtl/>
        </w:rPr>
        <w:t>ليس هذا سوى</w:t>
      </w:r>
      <w:r w:rsidR="00FF3AD1" w:rsidRPr="00264A7E">
        <w:rPr>
          <w:rtl/>
          <w:lang w:bidi="ar-JO"/>
        </w:rPr>
        <w:t xml:space="preserve"> انتهاك أخلاقي</w:t>
      </w:r>
      <w:r w:rsidR="00DB2474" w:rsidRPr="00264A7E">
        <w:rPr>
          <w:rtl/>
          <w:lang w:bidi="ar-JO"/>
        </w:rPr>
        <w:t>ّ</w:t>
      </w:r>
      <w:r w:rsidR="00FF3AD1" w:rsidRPr="00264A7E">
        <w:rPr>
          <w:rtl/>
          <w:lang w:bidi="ar-JO"/>
        </w:rPr>
        <w:t xml:space="preserve"> لا مبرِّر له. فكيف ينبغي للمؤمنين أن يردّ</w:t>
      </w:r>
      <w:r w:rsidR="00DB2474" w:rsidRPr="00264A7E">
        <w:rPr>
          <w:rtl/>
          <w:lang w:bidi="ar-JO"/>
        </w:rPr>
        <w:t>ُو</w:t>
      </w:r>
      <w:r w:rsidR="00FF3AD1" w:rsidRPr="00264A7E">
        <w:rPr>
          <w:rtl/>
          <w:lang w:bidi="ar-JO"/>
        </w:rPr>
        <w:t xml:space="preserve">ا على انتقاد الآخرين بشأن هذه المسألة الصعبة؟ </w:t>
      </w:r>
    </w:p>
    <w:p w14:paraId="707F3202" w14:textId="77777777" w:rsidR="00FF3AD1" w:rsidRPr="00264A7E" w:rsidRDefault="00FF3AD1" w:rsidP="00C7130A">
      <w:pPr>
        <w:rPr>
          <w:lang w:bidi="ar-JO"/>
        </w:rPr>
      </w:pPr>
    </w:p>
    <w:p w14:paraId="7A495250" w14:textId="1464C6C7" w:rsidR="00FF3AD1" w:rsidRPr="00264A7E" w:rsidRDefault="00FF3AD1" w:rsidP="000558B7">
      <w:pPr>
        <w:pStyle w:val="Heading3"/>
        <w:rPr>
          <w:rtl/>
        </w:rPr>
      </w:pPr>
      <w:bookmarkStart w:id="341" w:name="_Toc193031096"/>
      <w:r w:rsidRPr="00264A7E">
        <w:rPr>
          <w:rtl/>
        </w:rPr>
        <w:t>نظرة إلى بعض التعليمات التي أُعطيت لإسرائيل</w:t>
      </w:r>
      <w:bookmarkEnd w:id="341"/>
      <w:r w:rsidRPr="00264A7E">
        <w:rPr>
          <w:rtl/>
        </w:rPr>
        <w:t xml:space="preserve"> </w:t>
      </w:r>
    </w:p>
    <w:p w14:paraId="12779A6E" w14:textId="392AD454" w:rsidR="00FF3AD1" w:rsidRPr="00264A7E" w:rsidRDefault="00FF3AD1" w:rsidP="00C7130A">
      <w:pPr>
        <w:rPr>
          <w:rtl/>
        </w:rPr>
      </w:pPr>
      <w:r w:rsidRPr="00264A7E">
        <w:rPr>
          <w:rtl/>
        </w:rPr>
        <w:lastRenderedPageBreak/>
        <w:t xml:space="preserve">تثنية 7: 1-5: </w:t>
      </w:r>
    </w:p>
    <w:p w14:paraId="5EFBB903" w14:textId="360D8BB3" w:rsidR="00FF3AD1" w:rsidRPr="00264A7E" w:rsidRDefault="00FF3AD1" w:rsidP="00C7130A">
      <w:pPr>
        <w:ind w:left="1008" w:right="1008"/>
        <w:rPr>
          <w:vertAlign w:val="superscript"/>
          <w:rtl/>
          <w:lang w:val="en"/>
        </w:rPr>
      </w:pPr>
      <w:r w:rsidRPr="00264A7E">
        <w:rPr>
          <w:vertAlign w:val="superscript"/>
          <w:rtl/>
        </w:rPr>
        <w:t>1</w:t>
      </w:r>
      <w:r w:rsidRPr="00264A7E">
        <w:rPr>
          <w:rtl/>
        </w:rPr>
        <w:t xml:space="preserve">مَتَى أَتَى بِكَ الرَّبُّ إِلهُكَ إِلَى الأَرْضِ الَّتِي أَنْتَ دَاخِلٌ إِلَيْهَا لِتَمْتَلِكَهَا، وَطَرَدَ شُعُوبًا كَثِيرَةً مِنْ أَمَامِكَ: الْحِثِّيِّينَ وَالْجِرْجَاشِيِّينَ وَالأَمُورِيِّينَ وَالْكَنْعَانِيِّينَ وَالْفِرِزِّيِّينَ وَالْحِوِّيِّينَ وَالْيَبُوسِيِّينَ، سَبْعَ شُعُوبٍ أَكْثَرَ وَأَعْظَمَ مِنْكَ، </w:t>
      </w:r>
      <w:r w:rsidRPr="00264A7E">
        <w:rPr>
          <w:vertAlign w:val="superscript"/>
          <w:rtl/>
        </w:rPr>
        <w:t>2</w:t>
      </w:r>
      <w:r w:rsidRPr="00264A7E">
        <w:rPr>
          <w:rtl/>
        </w:rPr>
        <w:t xml:space="preserve">وَدَفَعَهُمُ الرَّبُّ إِلهُكَ أَمَامَكَ، وَضَرَبْتَهُمْ، فَإِنَّكَ تُحَرِّمُهُمْ. لاَ تَقْطَعْ لَهُمْ عَهْدًا، وَلاَ تُشْفِقْ عَلَيْهِمْ، </w:t>
      </w:r>
      <w:r w:rsidRPr="00264A7E">
        <w:rPr>
          <w:vertAlign w:val="superscript"/>
          <w:rtl/>
        </w:rPr>
        <w:t>3</w:t>
      </w:r>
      <w:r w:rsidRPr="00264A7E">
        <w:rPr>
          <w:rtl/>
        </w:rPr>
        <w:t xml:space="preserve">وَلاَ تُصَاهِرْهُمْ. بْنَتَكَ لاَ تُعْطِ لابْنِهِ، وَبِنتْهُ لاَ تَأْخُذْ لابْنِكَ. </w:t>
      </w:r>
      <w:r w:rsidRPr="00264A7E">
        <w:rPr>
          <w:vertAlign w:val="superscript"/>
          <w:rtl/>
        </w:rPr>
        <w:t>4</w:t>
      </w:r>
      <w:r w:rsidRPr="00264A7E">
        <w:rPr>
          <w:rtl/>
        </w:rPr>
        <w:t xml:space="preserve">لأَنَّهُ يَرُدُّ ابْنَكَ مِنْ وَرَائِي فَيَعْبُدُ آلِهَةً أُخْرَى، فَيَحْمَى غَضَبُ الرَّبِّ عَلَيْكُمْ وَيُهْلِكُكُمْ سَرِيعًا. </w:t>
      </w:r>
      <w:r w:rsidRPr="00264A7E">
        <w:rPr>
          <w:vertAlign w:val="superscript"/>
          <w:rtl/>
        </w:rPr>
        <w:t>5</w:t>
      </w:r>
      <w:r w:rsidRPr="00264A7E">
        <w:rPr>
          <w:rtl/>
        </w:rPr>
        <w:t>وَلكِنْ هكَذَا تَفْعَلُونَ بِهِمْ: تَهْدِمُونَ مَذَابِحَهُمْ، وَتُكَسِّرُونَ أَنْصَابَهُمْ، وَتُقَطِّعُونَ سَوَارِيَهُمْ، وَتُحْرِقُونَ تَمَاثِيلَهُمْ بِالنَّارِ.</w:t>
      </w:r>
    </w:p>
    <w:p w14:paraId="6D299CBA" w14:textId="3066B5A2" w:rsidR="00FE004C" w:rsidRPr="00264A7E" w:rsidRDefault="00FE004C" w:rsidP="00C7130A">
      <w:pPr>
        <w:rPr>
          <w:rtl/>
        </w:rPr>
      </w:pPr>
    </w:p>
    <w:p w14:paraId="6F52C8BD" w14:textId="30D22C5B" w:rsidR="00FF3AD1" w:rsidRPr="00264A7E" w:rsidRDefault="00FF3AD1" w:rsidP="00C7130A">
      <w:r w:rsidRPr="00264A7E">
        <w:rPr>
          <w:rtl/>
        </w:rPr>
        <w:t xml:space="preserve">ونقرأ أمرًا شبيهًا في تثنية 20: 16-18: </w:t>
      </w:r>
    </w:p>
    <w:p w14:paraId="31D16E1B" w14:textId="080D138B" w:rsidR="00FF3AD1" w:rsidRPr="00264A7E" w:rsidRDefault="00A859D9" w:rsidP="00C7130A">
      <w:pPr>
        <w:ind w:left="1008" w:right="1008"/>
        <w:rPr>
          <w:rtl/>
        </w:rPr>
      </w:pPr>
      <w:r w:rsidRPr="00264A7E">
        <w:rPr>
          <w:vertAlign w:val="superscript"/>
          <w:rtl/>
        </w:rPr>
        <w:t>16</w:t>
      </w:r>
      <w:r w:rsidRPr="00264A7E">
        <w:rPr>
          <w:rtl/>
        </w:rPr>
        <w:t xml:space="preserve">وَأَمَّا مُدُنُ هؤُلاَءِ الشُّعُوبِ الَّتِي يُعْطِيكَ الرَّبُّ إِلهُكَ نَصِيبًا فَلاَ تَسْتَبْقِ مِنْهَا نَسَمَةً مَّا، </w:t>
      </w:r>
      <w:r w:rsidRPr="00264A7E">
        <w:rPr>
          <w:vertAlign w:val="superscript"/>
          <w:rtl/>
        </w:rPr>
        <w:t>17</w:t>
      </w:r>
      <w:r w:rsidRPr="00264A7E">
        <w:rPr>
          <w:rtl/>
        </w:rPr>
        <w:t xml:space="preserve">بَلْ تُحَرِّمُهَا تَحْرِيمًا: الْحِثِّيِّينَ وَالأَمُورِيِّينَ وَالْكَنْعَانِيِّينَ وَالْفِرِزِّيِّينَ وَالْحِوِّيِّينَ وَالْيَبُوسِيِّينَ، كَمَا أَمَرَكَ الرَّبُّ إِلهُكَ، </w:t>
      </w:r>
      <w:r w:rsidRPr="00264A7E">
        <w:rPr>
          <w:vertAlign w:val="superscript"/>
          <w:rtl/>
        </w:rPr>
        <w:t>18</w:t>
      </w:r>
      <w:r w:rsidRPr="00264A7E">
        <w:rPr>
          <w:rtl/>
        </w:rPr>
        <w:t>لِكَيْ لاَ يُعَلِّمُوكُمْ أَنْ تَعْمَلُوا حَسَبَ جَمِيعِ أَرْجَاسِهِمِ الَّتِي عَمِلُوا لآلِهَتِهِمْ، فَتُخْطِئُوا إِلَى الرَّبِّ إِلهِكُمْ.</w:t>
      </w:r>
    </w:p>
    <w:p w14:paraId="77CFD80A" w14:textId="77777777" w:rsidR="00A859D9" w:rsidRPr="00264A7E" w:rsidRDefault="00A859D9" w:rsidP="00C7130A">
      <w:pPr>
        <w:rPr>
          <w:rtl/>
        </w:rPr>
      </w:pPr>
    </w:p>
    <w:p w14:paraId="299751CF" w14:textId="08B4DEAF" w:rsidR="00A859D9" w:rsidRPr="00264A7E" w:rsidRDefault="00A859D9" w:rsidP="00C7130A">
      <w:pPr>
        <w:rPr>
          <w:rtl/>
        </w:rPr>
      </w:pPr>
      <w:r w:rsidRPr="00264A7E">
        <w:rPr>
          <w:rtl/>
        </w:rPr>
        <w:t>وفي تثنية 3: 3-7، أمر موسى بأن</w:t>
      </w:r>
      <w:r w:rsidR="00DB2474" w:rsidRPr="00264A7E">
        <w:rPr>
          <w:rtl/>
        </w:rPr>
        <w:t>ْ</w:t>
      </w:r>
      <w:r w:rsidRPr="00264A7E">
        <w:rPr>
          <w:rtl/>
        </w:rPr>
        <w:t xml:space="preserve"> يهزم شعب إسرائيل أعداءهم في شرق نهر الأردن:</w:t>
      </w:r>
    </w:p>
    <w:p w14:paraId="644B03F6" w14:textId="3CF90609" w:rsidR="00723F77" w:rsidRPr="00264A7E" w:rsidRDefault="00A859D9" w:rsidP="00C7130A">
      <w:pPr>
        <w:ind w:left="1008" w:right="1008"/>
      </w:pPr>
      <w:r w:rsidRPr="00264A7E">
        <w:rPr>
          <w:vertAlign w:val="superscript"/>
          <w:rtl/>
        </w:rPr>
        <w:t>3</w:t>
      </w:r>
      <w:r w:rsidRPr="00264A7E">
        <w:rPr>
          <w:rtl/>
        </w:rPr>
        <w:t xml:space="preserve">فَدَفَعَ الرَّبُّ إِلهُنَا إِلَى أَيْدِينَا عُوجَ أَيْضًا مَلِكَ بَاشَانَ وَجَمِيعَ قَوْمِهِ، فَضَرَبْنَاهُ حَتَّى لَمْ يَبْقَ لَهُ شَارِدٌ. </w:t>
      </w:r>
      <w:r w:rsidRPr="00264A7E">
        <w:rPr>
          <w:vertAlign w:val="superscript"/>
          <w:rtl/>
        </w:rPr>
        <w:t>4</w:t>
      </w:r>
      <w:r w:rsidRPr="00264A7E">
        <w:rPr>
          <w:rtl/>
        </w:rPr>
        <w:t xml:space="preserve">وَأَخَذْنَا كُلَّ مُدُنِهِ فِي ذلِكَ الْوَقْتِ. لَمْ تَكُنْ قَرْيَةٌ لَمْ نَأْخُذْهَا مِنْهُمْ. سِتُّونَ مَدِينَةً، كُلُّ كُورَةِ أَرْجُوبَ مَمْلَكَةُ عُوجٍ فِي بَاشَانَ. </w:t>
      </w:r>
      <w:r w:rsidRPr="00264A7E">
        <w:rPr>
          <w:vertAlign w:val="superscript"/>
          <w:rtl/>
        </w:rPr>
        <w:t>5</w:t>
      </w:r>
      <w:r w:rsidRPr="00264A7E">
        <w:rPr>
          <w:rtl/>
        </w:rPr>
        <w:t>كُلُّ هذِهِ كَانَتْ مُدُنًا مُحَصَّنَةً بِأَسْوَارٍ شَامِخَةٍ، وَأَبْوَابٍ وَمَزَالِيجَ</w:t>
      </w:r>
      <w:r w:rsidR="00DB2474" w:rsidRPr="00264A7E">
        <w:rPr>
          <w:rtl/>
        </w:rPr>
        <w:t>،</w:t>
      </w:r>
      <w:r w:rsidRPr="00264A7E">
        <w:rPr>
          <w:rtl/>
        </w:rPr>
        <w:t xml:space="preserve"> سِوَى قُرَى الصَّحْرَاءِ الْكَثِيرَةِ جِدًّا. </w:t>
      </w:r>
      <w:r w:rsidRPr="00264A7E">
        <w:rPr>
          <w:vertAlign w:val="superscript"/>
          <w:rtl/>
        </w:rPr>
        <w:t>6</w:t>
      </w:r>
      <w:r w:rsidRPr="00264A7E">
        <w:rPr>
          <w:rtl/>
        </w:rPr>
        <w:t xml:space="preserve">فَحَرَّمْنَاهَا كَمَا فَعَلْنَا بِسِيحُونَ مَلِكِ حَشْبُونَ، مُحَرِّمِينَ كُلَّ مَدِينَةٍ: الرِّجَالَ وَالنِّسَاءَ وَالأَطْفَالَ. </w:t>
      </w:r>
      <w:r w:rsidRPr="00264A7E">
        <w:rPr>
          <w:vertAlign w:val="superscript"/>
          <w:rtl/>
        </w:rPr>
        <w:t>7</w:t>
      </w:r>
      <w:r w:rsidRPr="00264A7E">
        <w:rPr>
          <w:rtl/>
        </w:rPr>
        <w:t>لكِنَّ كُلَّ الْبَهَائِمِ وَغَنِيمَةِ الْمُدُنِ نَهَبْنَاهَا لأَنْفُسِنَا.</w:t>
      </w:r>
    </w:p>
    <w:p w14:paraId="68CCE0CD" w14:textId="19DD82D7" w:rsidR="00A859D9" w:rsidRPr="00264A7E" w:rsidRDefault="00A859D9" w:rsidP="00C7130A">
      <w:r w:rsidRPr="00264A7E">
        <w:rPr>
          <w:rtl/>
        </w:rPr>
        <w:t xml:space="preserve">يستخدم بعض العلماء التعبير "حرب يهوه" بوصفها فئةً تصف أحداثًا مثل المعارك التي خيضت في الاستيلاء على كنعان. تُدوَّن لنا أخبار هذه المعارك في الكتاب المُقدَّس التي أمر الله بها وحقَّق الشعب فيها الانتصار بقوة الله. </w:t>
      </w:r>
      <w:r w:rsidR="00017885" w:rsidRPr="00264A7E">
        <w:rPr>
          <w:rtl/>
        </w:rPr>
        <w:t>يصف يوجين ميرل (</w:t>
      </w:r>
      <w:r w:rsidR="00017885" w:rsidRPr="00264A7E">
        <w:t>Eugene Merrill</w:t>
      </w:r>
      <w:r w:rsidR="00017885" w:rsidRPr="00264A7E">
        <w:rPr>
          <w:rtl/>
        </w:rPr>
        <w:t xml:space="preserve">)، وهو عالمٌ بارز في العهد القديم، "حرب يهوه" بالكلمات التالية: </w:t>
      </w:r>
    </w:p>
    <w:p w14:paraId="61F121FC" w14:textId="3E6BB916" w:rsidR="00017885" w:rsidRPr="00264A7E" w:rsidRDefault="000A24AD" w:rsidP="00C7130A">
      <w:pPr>
        <w:ind w:left="1152" w:right="1008"/>
        <w:rPr>
          <w:rtl/>
          <w:lang w:bidi="ar-JO"/>
        </w:rPr>
      </w:pPr>
      <w:r w:rsidRPr="00264A7E">
        <w:rPr>
          <w:rtl/>
          <w:lang w:bidi="ar-JO"/>
        </w:rPr>
        <w:t>"بدأ الله العملية بإفراز المُعيَّنين للهلاك، فأعطى قوّة لوسيطٍ (عادةً ما كان شعبه المختار إسرائيل) لأجل إنجاز هذه العملية، ضامنًا نجاح مهمّتها حين يوفَى بالشروط."</w:t>
      </w:r>
      <w:r w:rsidRPr="00264A7E">
        <w:rPr>
          <w:rStyle w:val="FootnoteReference"/>
        </w:rPr>
        <w:t xml:space="preserve"> </w:t>
      </w:r>
      <w:r w:rsidRPr="00264A7E">
        <w:rPr>
          <w:rStyle w:val="FootnoteReference"/>
        </w:rPr>
        <w:footnoteReference w:id="138"/>
      </w:r>
      <w:r w:rsidRPr="00264A7E">
        <w:rPr>
          <w:rtl/>
          <w:lang w:bidi="ar-JO"/>
        </w:rPr>
        <w:t xml:space="preserve"> وهذ</w:t>
      </w:r>
      <w:r w:rsidR="00DB2474" w:rsidRPr="00264A7E">
        <w:rPr>
          <w:rtl/>
          <w:lang w:bidi="ar-JO"/>
        </w:rPr>
        <w:t>ه</w:t>
      </w:r>
      <w:r w:rsidRPr="00264A7E">
        <w:rPr>
          <w:rtl/>
          <w:lang w:bidi="ar-JO"/>
        </w:rPr>
        <w:t xml:space="preserve"> الحروب </w:t>
      </w:r>
      <w:r w:rsidRPr="00264A7E">
        <w:rPr>
          <w:rtl/>
          <w:lang w:bidi="ar-JO"/>
        </w:rPr>
        <w:lastRenderedPageBreak/>
        <w:t>كانت "جزءًا من علاقة العهد" بين يهوه وإسرائيل. "لن يشهد شعب إسرائيل أعمال الله العظيمة، بوصفه محاربًا سماويًّا، فقط، ولكنّهم سيشاركون في إنجاز هذه الأعمال."</w:t>
      </w:r>
      <w:r w:rsidRPr="00264A7E">
        <w:rPr>
          <w:rStyle w:val="FootnoteReference"/>
        </w:rPr>
        <w:t xml:space="preserve"> </w:t>
      </w:r>
      <w:r w:rsidRPr="00264A7E">
        <w:rPr>
          <w:rStyle w:val="FootnoteReference"/>
        </w:rPr>
        <w:footnoteReference w:id="139"/>
      </w:r>
    </w:p>
    <w:p w14:paraId="2DF5CE09" w14:textId="77777777" w:rsidR="000A24AD" w:rsidRPr="00C7130A" w:rsidRDefault="000A24AD" w:rsidP="00C7130A">
      <w:pPr>
        <w:rPr>
          <w:b/>
          <w:bCs/>
          <w:rtl/>
        </w:rPr>
      </w:pPr>
    </w:p>
    <w:p w14:paraId="60C3B34E" w14:textId="1FF02CC7" w:rsidR="00723F77" w:rsidRPr="00264A7E" w:rsidRDefault="000A24AD" w:rsidP="000558B7">
      <w:pPr>
        <w:pStyle w:val="Heading3"/>
      </w:pPr>
      <w:bookmarkStart w:id="342" w:name="_Toc193031097"/>
      <w:r w:rsidRPr="00264A7E">
        <w:rPr>
          <w:rtl/>
        </w:rPr>
        <w:t>مسألة صفات الله</w:t>
      </w:r>
      <w:bookmarkEnd w:id="342"/>
      <w:r w:rsidRPr="00264A7E">
        <w:rPr>
          <w:rtl/>
        </w:rPr>
        <w:t xml:space="preserve"> </w:t>
      </w:r>
    </w:p>
    <w:p w14:paraId="026348FE" w14:textId="69F01BAA" w:rsidR="000A24AD" w:rsidRPr="00264A7E" w:rsidRDefault="00C82138" w:rsidP="00C7130A">
      <w:pPr>
        <w:rPr>
          <w:rtl/>
        </w:rPr>
      </w:pPr>
      <w:r w:rsidRPr="00264A7E">
        <w:rPr>
          <w:rtl/>
        </w:rPr>
        <w:t>بحسب الرواية الكتابية، فإنّ فكرة إبادة الكنعانيّين لم تكن طموحًا غير إنساني متعطِّشًا للدم عند الشعب العبري. وببساطة، لم تكن تلك فكرتهم. ولذا لا ينبغي لومهم عليها. فقد كانت فكرة الله، إذ هو من أمر بعمل ذلك. ولذا، قد يردّ شخصٌ ما على هذا الكلام بالاستنتاج بأن</w:t>
      </w:r>
      <w:r w:rsidR="00DB2474" w:rsidRPr="00264A7E">
        <w:rPr>
          <w:rtl/>
        </w:rPr>
        <w:t>َّ</w:t>
      </w:r>
      <w:r w:rsidRPr="00264A7E">
        <w:rPr>
          <w:rtl/>
        </w:rPr>
        <w:t xml:space="preserve"> إله الكتاب المُقدَّس (أو على الأقل إله العهد القديم) إله لاأخلاقيّ ينبغي عدم إطاعته أو عبادته. ولكنّ هذا الاستنتاج ببساطة غير سليم. فالحقّ هو أنّه لأن</w:t>
      </w:r>
      <w:r w:rsidR="003E0B4F" w:rsidRPr="00264A7E">
        <w:rPr>
          <w:rtl/>
        </w:rPr>
        <w:t>ّ</w:t>
      </w:r>
      <w:r w:rsidRPr="00264A7E">
        <w:rPr>
          <w:rtl/>
        </w:rPr>
        <w:t xml:space="preserve"> إله الكتاب المُقدَّس إله قدّوس، فإن مرسوم إبادة الكنعانيّين عادل ومناسب. ينبغي أن نتذكَّر باستمرار أن يسوع قال: "أنا والآب واحد" (يوحنا 10: 30)، و"الذي رآني فقد رأى الآب" (يوحنا 14: 9). وعلاوةً على ذلك، فالله سيدين في النهاية كل</w:t>
      </w:r>
      <w:r w:rsidR="003E0B4F" w:rsidRPr="00264A7E">
        <w:rPr>
          <w:rtl/>
        </w:rPr>
        <w:t>َّ</w:t>
      </w:r>
      <w:r w:rsidRPr="00264A7E">
        <w:rPr>
          <w:rtl/>
        </w:rPr>
        <w:t xml:space="preserve"> الخطاة الذين لم يقبلوا يسوع المسيح مُخلِّصًا، وسيقضي هؤلاء الأبديّة في عذابٍ أبدي</w:t>
      </w:r>
      <w:r w:rsidR="003E0B4F" w:rsidRPr="00264A7E">
        <w:rPr>
          <w:rtl/>
        </w:rPr>
        <w:t>ّ</w:t>
      </w:r>
      <w:r w:rsidRPr="00264A7E">
        <w:rPr>
          <w:rtl/>
        </w:rPr>
        <w:t xml:space="preserve"> في بحيرة النار والكبريت. ولذا، فإنّه إبادته للكنعانيّين تتوافق مع ما سيعمله</w:t>
      </w:r>
      <w:r w:rsidR="00A50985" w:rsidRPr="00264A7E">
        <w:rPr>
          <w:rtl/>
        </w:rPr>
        <w:t xml:space="preserve"> في إدانته كلّ الأشرار، وسيشمل هذا اليهود الذين لن يعود</w:t>
      </w:r>
      <w:r w:rsidR="003E0B4F" w:rsidRPr="00264A7E">
        <w:rPr>
          <w:rtl/>
        </w:rPr>
        <w:t>وا</w:t>
      </w:r>
      <w:r w:rsidR="00A50985" w:rsidRPr="00264A7E">
        <w:rPr>
          <w:rtl/>
        </w:rPr>
        <w:t xml:space="preserve"> إلى الرب يسوع ليقبلوا خلاصه. </w:t>
      </w:r>
    </w:p>
    <w:p w14:paraId="6862F00F" w14:textId="36A056DA" w:rsidR="00A50985" w:rsidRPr="00C7130A" w:rsidRDefault="00A50985" w:rsidP="00C7130A">
      <w:pPr>
        <w:rPr>
          <w:sz w:val="26"/>
          <w:szCs w:val="26"/>
          <w:rtl/>
        </w:rPr>
      </w:pPr>
    </w:p>
    <w:p w14:paraId="4030B626" w14:textId="0CF188CB" w:rsidR="00A50985" w:rsidRPr="00C7130A" w:rsidRDefault="00A50985" w:rsidP="000558B7">
      <w:pPr>
        <w:pStyle w:val="Heading3"/>
        <w:rPr>
          <w:rtl/>
        </w:rPr>
      </w:pPr>
      <w:bookmarkStart w:id="343" w:name="_Toc193031098"/>
      <w:r w:rsidRPr="00C7130A">
        <w:rPr>
          <w:rtl/>
        </w:rPr>
        <w:t>أخلاقيات كنعان التي تتطلَّب دينونة الله</w:t>
      </w:r>
      <w:bookmarkEnd w:id="343"/>
      <w:r w:rsidRPr="00C7130A">
        <w:rPr>
          <w:rtl/>
        </w:rPr>
        <w:t xml:space="preserve"> </w:t>
      </w:r>
    </w:p>
    <w:p w14:paraId="291984E7" w14:textId="6685D8CC" w:rsidR="00A50985" w:rsidRPr="00264A7E" w:rsidRDefault="00A50985" w:rsidP="00C7130A">
      <w:pPr>
        <w:rPr>
          <w:rtl/>
        </w:rPr>
      </w:pPr>
      <w:r w:rsidRPr="00264A7E">
        <w:rPr>
          <w:rtl/>
        </w:rPr>
        <w:t xml:space="preserve">كانت إبادة الحضارة الكنعانيّة أمرًا أُنبئ به حين وعد الله بالأرض لإبراهيم (حوالي العالم 2085 ق.م.). وهذا مُدوَّن لنا في تكوين 15: 13-16: </w:t>
      </w:r>
    </w:p>
    <w:p w14:paraId="37DAE526" w14:textId="15AB6BA2" w:rsidR="00A50985" w:rsidRPr="00264A7E" w:rsidRDefault="008B57F6" w:rsidP="00C7130A">
      <w:pPr>
        <w:ind w:left="1008" w:right="1008"/>
        <w:rPr>
          <w:rtl/>
        </w:rPr>
      </w:pPr>
      <w:r w:rsidRPr="00264A7E">
        <w:rPr>
          <w:vertAlign w:val="superscript"/>
          <w:rtl/>
        </w:rPr>
        <w:t>13</w:t>
      </w:r>
      <w:r w:rsidRPr="00264A7E">
        <w:rPr>
          <w:rtl/>
        </w:rPr>
        <w:t xml:space="preserve">فَقَالَ لأَبْرَامَ: "اعْلَمْ يَقِينًا أَنَّ نَسْلَكَ سَيَكُونُ غَرِيبًا فِي أَرْضٍ لَيْسَتْ لَهُمْ، وَيُسْتَعْبَدُونَ لَهُمْ. فَيُذِلُّونَهُمْ أَرْبَعَ مِئَةِ سَنَةٍ. </w:t>
      </w:r>
      <w:r w:rsidRPr="00264A7E">
        <w:rPr>
          <w:vertAlign w:val="superscript"/>
          <w:rtl/>
        </w:rPr>
        <w:t>14</w:t>
      </w:r>
      <w:r w:rsidRPr="00264A7E">
        <w:rPr>
          <w:rtl/>
        </w:rPr>
        <w:t xml:space="preserve">ثُمَّ الأُمَّةُ الَّتِي يُسْتَعْبَدُونَ لَهَا أَنَا أَدِينُهَا، وَبَعْدَ ذلِكَ يَخْرُجُونَ بِأَمْلاَكٍ جَزِيلَةٍ. </w:t>
      </w:r>
      <w:r w:rsidRPr="00264A7E">
        <w:rPr>
          <w:vertAlign w:val="superscript"/>
          <w:rtl/>
        </w:rPr>
        <w:t>15</w:t>
      </w:r>
      <w:r w:rsidRPr="00264A7E">
        <w:rPr>
          <w:rtl/>
        </w:rPr>
        <w:t xml:space="preserve">وَأَمَّا أَنْتَ فَتَمْضِي إِلَى آبَائِكَ بِسَلاَمٍ وَتُدْفَنُ بِشَيْبَةٍ صَالِحَةٍ. </w:t>
      </w:r>
      <w:r w:rsidRPr="00264A7E">
        <w:rPr>
          <w:vertAlign w:val="superscript"/>
          <w:rtl/>
        </w:rPr>
        <w:t>16</w:t>
      </w:r>
      <w:r w:rsidRPr="00264A7E">
        <w:rPr>
          <w:rtl/>
        </w:rPr>
        <w:t>وَفِي الْجِيلِ الرَّابعِ يَرْجِعُونَ إِلَى ههُنَا، لأَنَّ ذَنْبَ الأَمُورِيِّينَ لَيْسَ إِلَى الآنَ كَامِلاً."</w:t>
      </w:r>
    </w:p>
    <w:p w14:paraId="00AF8BEC" w14:textId="7EACA8AE" w:rsidR="00A50985" w:rsidRPr="00264A7E" w:rsidRDefault="00A50985" w:rsidP="00C7130A">
      <w:pPr>
        <w:rPr>
          <w:rtl/>
        </w:rPr>
      </w:pPr>
    </w:p>
    <w:p w14:paraId="40D00C34" w14:textId="62C6A75F" w:rsidR="008B57F6" w:rsidRPr="00264A7E" w:rsidRDefault="008B57F6" w:rsidP="00C7130A">
      <w:pPr>
        <w:rPr>
          <w:rtl/>
        </w:rPr>
      </w:pPr>
      <w:r w:rsidRPr="00264A7E">
        <w:rPr>
          <w:rtl/>
        </w:rPr>
        <w:t>تتعلَّق الآيتان 13-14 بوجود شعب إسرائيل في أرض مصر وما سيتعرَّضون له هناك، بينما تُنبئ الآية 16 بامتلاك الأرض بقيادة يشوع عام 1406</w:t>
      </w:r>
      <w:r w:rsidR="003E0B4F" w:rsidRPr="00264A7E">
        <w:rPr>
          <w:rtl/>
        </w:rPr>
        <w:t xml:space="preserve"> ق.م.</w:t>
      </w:r>
      <w:r w:rsidRPr="00264A7E">
        <w:rPr>
          <w:rtl/>
        </w:rPr>
        <w:t xml:space="preserve"> [تُستخدَم الكلمة "أموريّ" ككلمة مرادفة للكلمة "كنعاني" في هذا النصّ، إذ الأموريّون إحدى المجموعات الفرعيّة الكنعانيّة.] أُعطي هذا الوعد لإبراهيم قبل أكثر من 300 سنة من نزول شعب إسرائيل إلى مصر، وقبل حوالي 700 سنة من فتح يشوع للأرض. ومع هذا، فحتّى في زمن إبراهيم، كان</w:t>
      </w:r>
      <w:r w:rsidR="00B06F6A" w:rsidRPr="00264A7E">
        <w:rPr>
          <w:rtl/>
        </w:rPr>
        <w:t>تْ</w:t>
      </w:r>
      <w:r w:rsidRPr="00264A7E">
        <w:rPr>
          <w:rtl/>
        </w:rPr>
        <w:t xml:space="preserve"> عينُ الله على إثم هذا الشعب الكنعاني الذي كان يسكن في الأرض التي اختار الله أن يعطيها لإبراهيم ونسله. </w:t>
      </w:r>
      <w:r w:rsidR="00B33719" w:rsidRPr="00264A7E">
        <w:rPr>
          <w:rtl/>
        </w:rPr>
        <w:t xml:space="preserve">كانوا شعبًا فاسدًا </w:t>
      </w:r>
      <w:r w:rsidR="00B06F6A" w:rsidRPr="00264A7E">
        <w:rPr>
          <w:rtl/>
        </w:rPr>
        <w:t>من الناحية الأخلاقيّة</w:t>
      </w:r>
      <w:r w:rsidR="00B33719" w:rsidRPr="00264A7E">
        <w:rPr>
          <w:rtl/>
        </w:rPr>
        <w:t xml:space="preserve"> </w:t>
      </w:r>
      <w:r w:rsidR="00B33719" w:rsidRPr="00264A7E">
        <w:rPr>
          <w:rtl/>
        </w:rPr>
        <w:lastRenderedPageBreak/>
        <w:t>بصورة بشعة، وأشرارًا جدًّا، ولذا استحقّوا دينونة الله. وحين قال الله إنّ ذنبهم "ليس إلى الآن كاملًا،" قصد أنّه سيعطيهم مزيدًا من الوقت ليتوبوا ويتغيَّروا، ولكن</w:t>
      </w:r>
      <w:r w:rsidR="00B06F6A" w:rsidRPr="00264A7E">
        <w:rPr>
          <w:rtl/>
        </w:rPr>
        <w:t>ْ</w:t>
      </w:r>
      <w:r w:rsidR="00B33719" w:rsidRPr="00264A7E">
        <w:rPr>
          <w:rtl/>
        </w:rPr>
        <w:t xml:space="preserve"> في وقتٍ ما (حين يقرِّر الله أنّهم بلغوا درجةً لا تُحتمَل من الإثم) ستأتي الدينونة. ولذا، فقد كان شرّ</w:t>
      </w:r>
      <w:r w:rsidR="00B06F6A" w:rsidRPr="00264A7E">
        <w:rPr>
          <w:rtl/>
        </w:rPr>
        <w:t>ُ</w:t>
      </w:r>
      <w:r w:rsidR="00B33719" w:rsidRPr="00264A7E">
        <w:rPr>
          <w:rtl/>
        </w:rPr>
        <w:t xml:space="preserve"> الكنعانيّين سببًا عادلًا لدينونة الله. </w:t>
      </w:r>
      <w:r w:rsidR="00390F80" w:rsidRPr="00264A7E">
        <w:rPr>
          <w:rtl/>
        </w:rPr>
        <w:t>أوضح موسى هذه النقطة للعبرانيّين في قوله: "</w:t>
      </w:r>
      <w:r w:rsidR="00724F98" w:rsidRPr="00264A7E">
        <w:rPr>
          <w:rtl/>
        </w:rPr>
        <w:t xml:space="preserve">لَيْسَ لأَجْلِ بِرِّكَ وَعَدَالَةِ قَلْبِكَ تَدْخُلُ لِتَمْتَلِكَ أَرْضَهُمْ، بَلْ لأَجْلِ إِثْمِ أُولئِكَ الشُّعُوبِ يَطْرُدُهُمُ الرَّبُّ إِلهُكَ مِنْ أَمَامِكَ، وَلِكَيْ يَفِيَ بِالْكَلاَمِ الَّذِي أَقْسَمَ الرَّبُّ عَلَيْهِ لآبَائِكَ إِبْرَاهِيمَ وَإِسْحَاقَ وَيَعْقُوبَ" (تثنية 9: 5). </w:t>
      </w:r>
    </w:p>
    <w:p w14:paraId="4F030DB5" w14:textId="0D127934" w:rsidR="00724F98" w:rsidRPr="00264A7E" w:rsidRDefault="00724F98" w:rsidP="00C7130A">
      <w:pPr>
        <w:rPr>
          <w:rtl/>
        </w:rPr>
      </w:pPr>
      <w:r w:rsidRPr="00264A7E">
        <w:rPr>
          <w:rtl/>
        </w:rPr>
        <w:t xml:space="preserve">ولذا، يُثار السؤال هنا بشأن مقدار شرّ الكنعانيّين. يصف سفر اللاويّين 18 عددًا من الممارسات الفاسدة أخلاقيًّا التي كان على شعب إسرائيل ألا يتسامحوا بوجودها في وسطهم، وهي لا تقتصر على الاغتصاب والزنى، بل تتجاوزهما (انظر بصورة خاصّة لاويّين 18: 20، 22-23). يلخِّص غريغ كوكل الأمر بالكلمات التالية: </w:t>
      </w:r>
    </w:p>
    <w:p w14:paraId="75ACA2FD" w14:textId="56490C69" w:rsidR="00A50985" w:rsidRPr="00264A7E" w:rsidRDefault="00D20F03" w:rsidP="00C7130A">
      <w:pPr>
        <w:ind w:left="1008" w:right="1008"/>
        <w:rPr>
          <w:rtl/>
          <w:lang w:bidi="ar-JO"/>
        </w:rPr>
      </w:pPr>
      <w:r w:rsidRPr="00264A7E">
        <w:rPr>
          <w:rtl/>
        </w:rPr>
        <w:t xml:space="preserve">حتّى بالمعايير القديمة، كان الكنعانيّون </w:t>
      </w:r>
      <w:r w:rsidRPr="00264A7E">
        <w:rPr>
          <w:rtl/>
          <w:lang w:bidi="ar-JO"/>
        </w:rPr>
        <w:t>مجموعةً مُقرِفة</w:t>
      </w:r>
      <w:r w:rsidR="00C67DC7" w:rsidRPr="00264A7E">
        <w:rPr>
          <w:rtl/>
          <w:lang w:bidi="ar-JO"/>
        </w:rPr>
        <w:t xml:space="preserve"> بصورة بشعة. كانت ثقافتهم لاأخلاقيّة بصورة فاضحة، منحلة وعفِنة من جذورها. كان فسقهم مُشرَّعًا بصورةٍ أساسيّة بديانة الخصب التي كان</w:t>
      </w:r>
      <w:r w:rsidR="00B06F6A" w:rsidRPr="00264A7E">
        <w:rPr>
          <w:rtl/>
          <w:lang w:bidi="ar-JO"/>
        </w:rPr>
        <w:t>وا</w:t>
      </w:r>
      <w:r w:rsidR="00C67DC7" w:rsidRPr="00264A7E">
        <w:rPr>
          <w:rtl/>
          <w:lang w:bidi="ar-JO"/>
        </w:rPr>
        <w:t xml:space="preserve"> يعتنقونها، والتي كانت تربط الشهوانيّة بكل أنواعها بالدورات الزراعيّة الناجحة من الزرع والحصاد. وبالإضافة إلى العرافة والسحر </w:t>
      </w:r>
      <w:r w:rsidR="00177884" w:rsidRPr="00264A7E">
        <w:rPr>
          <w:rtl/>
          <w:lang w:bidi="ar-JO"/>
        </w:rPr>
        <w:t>والممارسات الجنسيّة في المعابد للذكور والإناث، اشتملت الوثنية الكنعانيّة مجموعة كبيرة من الممارسات ا</w:t>
      </w:r>
      <w:r w:rsidR="00D06E49" w:rsidRPr="00264A7E">
        <w:rPr>
          <w:rtl/>
          <w:lang w:bidi="ar-JO"/>
        </w:rPr>
        <w:t>للا</w:t>
      </w:r>
      <w:r w:rsidR="00177884" w:rsidRPr="00264A7E">
        <w:rPr>
          <w:rtl/>
          <w:lang w:bidi="ar-JO"/>
        </w:rPr>
        <w:t>أخلاقيّة المُقرِفة التي قلّدت سلوك آلهة الخصب الكنعانيّين المُقرِف: الزنى، المثلي</w:t>
      </w:r>
      <w:r w:rsidR="00D06E49" w:rsidRPr="00264A7E">
        <w:rPr>
          <w:rtl/>
          <w:lang w:bidi="ar-JO"/>
        </w:rPr>
        <w:t>ّ</w:t>
      </w:r>
      <w:r w:rsidR="00177884" w:rsidRPr="00264A7E">
        <w:rPr>
          <w:rtl/>
          <w:lang w:bidi="ar-JO"/>
        </w:rPr>
        <w:t>ة الجنسي</w:t>
      </w:r>
      <w:r w:rsidR="00D06E49" w:rsidRPr="00264A7E">
        <w:rPr>
          <w:rtl/>
          <w:lang w:bidi="ar-JO"/>
        </w:rPr>
        <w:t>ّ</w:t>
      </w:r>
      <w:r w:rsidR="00177884" w:rsidRPr="00264A7E">
        <w:rPr>
          <w:rtl/>
          <w:lang w:bidi="ar-JO"/>
        </w:rPr>
        <w:t>ة، والتشبه بالجنس الآخر، والشذوذ الجنسي مع الأطفال، وممارسات الجنس مع شتّى أنواع الحيوانات، وزنى المحارم.</w:t>
      </w:r>
      <w:r w:rsidR="00177884" w:rsidRPr="00264A7E">
        <w:rPr>
          <w:rStyle w:val="FootnoteReference"/>
          <w:rtl/>
          <w:lang w:bidi="ar-JO"/>
        </w:rPr>
        <w:footnoteReference w:id="140"/>
      </w:r>
    </w:p>
    <w:p w14:paraId="721372D9" w14:textId="7544191E" w:rsidR="00D20F03" w:rsidRPr="00264A7E" w:rsidRDefault="00D20F03" w:rsidP="00C7130A">
      <w:pPr>
        <w:rPr>
          <w:rtl/>
          <w:lang w:bidi="ar-JO"/>
        </w:rPr>
      </w:pPr>
    </w:p>
    <w:p w14:paraId="5084827E" w14:textId="563387D6" w:rsidR="00177884" w:rsidRPr="00264A7E" w:rsidRDefault="00177884" w:rsidP="00C7130A">
      <w:pPr>
        <w:rPr>
          <w:rtl/>
        </w:rPr>
      </w:pPr>
      <w:r w:rsidRPr="00264A7E">
        <w:rPr>
          <w:rtl/>
        </w:rPr>
        <w:t>وبالطبع، كانت الوثني</w:t>
      </w:r>
      <w:r w:rsidR="00D06E49" w:rsidRPr="00264A7E">
        <w:rPr>
          <w:rtl/>
        </w:rPr>
        <w:t>ّ</w:t>
      </w:r>
      <w:r w:rsidRPr="00264A7E">
        <w:rPr>
          <w:rtl/>
        </w:rPr>
        <w:t>ة ال</w:t>
      </w:r>
      <w:r w:rsidR="00E02A35" w:rsidRPr="00264A7E">
        <w:rPr>
          <w:rtl/>
          <w:lang w:bidi="ar-JO"/>
        </w:rPr>
        <w:t xml:space="preserve">متفشّيّة </w:t>
      </w:r>
      <w:r w:rsidR="003D4BE9" w:rsidRPr="00264A7E">
        <w:rPr>
          <w:rtl/>
          <w:lang w:bidi="ar-JO"/>
        </w:rPr>
        <w:t>السمة التي تميِّز الحضارة الكنعانيّة. وكانت إحدى أبشع الممارسات الكنعانيّة في العبادة تقديمهم الأطفال ذبائح. وتظهر هذه الممارسة في النهي عن ممارستها في آيات كتابيّة عديدة، مثل لاوي</w:t>
      </w:r>
      <w:r w:rsidR="00D06E49" w:rsidRPr="00264A7E">
        <w:rPr>
          <w:rtl/>
          <w:lang w:bidi="ar-JO"/>
        </w:rPr>
        <w:t>ّ</w:t>
      </w:r>
      <w:r w:rsidR="003D4BE9" w:rsidRPr="00264A7E">
        <w:rPr>
          <w:rtl/>
          <w:lang w:bidi="ar-JO"/>
        </w:rPr>
        <w:t>ين 18: 21: "</w:t>
      </w:r>
      <w:r w:rsidR="003D4BE9" w:rsidRPr="00264A7E">
        <w:rPr>
          <w:rtl/>
        </w:rPr>
        <w:t xml:space="preserve">وَلاَ تُعْطِ مِنْ زَرْعِكَ لِلإِجَازَةِ لِمُولَكَ لِئَلاَّ تُدَنِّسَ اسْمَ إِلهِكَ. أَنَا الرَّبُّ." ويُضيف سفر التثنية 12: 30-31: </w:t>
      </w:r>
    </w:p>
    <w:p w14:paraId="0FA475D9" w14:textId="2A64F499" w:rsidR="003D4BE9" w:rsidRPr="00264A7E" w:rsidRDefault="007B3CE2" w:rsidP="00C7130A">
      <w:pPr>
        <w:ind w:left="1008" w:right="1008"/>
        <w:rPr>
          <w:rtl/>
          <w:lang w:bidi="ar-JO"/>
        </w:rPr>
      </w:pPr>
      <w:r w:rsidRPr="00264A7E">
        <w:rPr>
          <w:vertAlign w:val="superscript"/>
          <w:rtl/>
        </w:rPr>
        <w:t>30</w:t>
      </w:r>
      <w:r w:rsidRPr="00264A7E">
        <w:rPr>
          <w:rtl/>
        </w:rPr>
        <w:t xml:space="preserve">فَاحْتَرِزْ مِنْ أَنْ تُصَادَ وَرَاءَهُمْ مِنْ بَعْدِ مَا بَادُوا مِنْ أَمَامِكَ، وَمِنْ أَنْ تَسْأَلَ عَنْ آلِهَتِهِمْ قَائِلاً: كَيْفَ عَبَدَ هؤُلاَءِ الأُمَمُ آلِهَتَهُمْ، فَأَنَا أَيْضًا أَفْعَلُ هكَذَا؟ </w:t>
      </w:r>
      <w:r w:rsidRPr="00264A7E">
        <w:rPr>
          <w:vertAlign w:val="superscript"/>
          <w:rtl/>
        </w:rPr>
        <w:t>31</w:t>
      </w:r>
      <w:r w:rsidRPr="00264A7E">
        <w:rPr>
          <w:rtl/>
        </w:rPr>
        <w:t>لاَ تَعْمَلْ هكَذَا لِلرَّبِّ إِلهِكَ، لأَنَّهُمْ قَدْ عَمِلُوا لآلِهَتِهِمْ كُلَّ رِجْسٍ لَدَى الرَّبِّ مِمَّا يَكْرَهُهُ، إِذْ أَحْرَقُوا حَتَّى بَنِيهِمْ وَبَنَاتِهِمْ بِالنَّارِ لآلِهَتِهِمْ.</w:t>
      </w:r>
    </w:p>
    <w:p w14:paraId="379014E9" w14:textId="77777777" w:rsidR="00D20F03" w:rsidRPr="00C7130A" w:rsidRDefault="00D20F03" w:rsidP="00C7130A">
      <w:pPr>
        <w:rPr>
          <w:sz w:val="26"/>
          <w:szCs w:val="26"/>
          <w:rtl/>
        </w:rPr>
      </w:pPr>
    </w:p>
    <w:p w14:paraId="41477117" w14:textId="59FC8D7E" w:rsidR="007B3CE2" w:rsidRPr="00264A7E" w:rsidRDefault="007B3CE2" w:rsidP="00C7130A">
      <w:pPr>
        <w:keepNext/>
        <w:rPr>
          <w:rtl/>
        </w:rPr>
      </w:pPr>
      <w:r w:rsidRPr="00264A7E">
        <w:rPr>
          <w:rtl/>
        </w:rPr>
        <w:t>لن أنسى زيارتي لتونس عام 2010، حين أخذني أحد المؤمنين التونسيّين خارج تونس الحديثة، لأرى آثار قرطاجة. فلأن الفينيقيّين (وهم مجموعة من الشعوب الكنعانيّة) كانوا بحّارة، فقد أسّسوا مستوطنات كنعانّية حول البحر المتوسط، بما في ذلك قرطاجة. صحبني الأخ التونسي (وهو من أصلٍ ينتمي إلى</w:t>
      </w:r>
      <w:r w:rsidR="00D06E49" w:rsidRPr="00264A7E">
        <w:rPr>
          <w:rtl/>
        </w:rPr>
        <w:t xml:space="preserve"> ديانة</w:t>
      </w:r>
      <w:r w:rsidRPr="00264A7E">
        <w:rPr>
          <w:rtl/>
        </w:rPr>
        <w:t xml:space="preserve"> الأغلبية في البلد)، وحدَّثني عن صراعه في الماضي مع قصص العهد القديم التي تُورِد إهلاك العبرانيّين للكنعانيين، إل</w:t>
      </w:r>
      <w:r w:rsidR="00D06E49" w:rsidRPr="00264A7E">
        <w:rPr>
          <w:rtl/>
        </w:rPr>
        <w:t>ى</w:t>
      </w:r>
      <w:r w:rsidRPr="00264A7E">
        <w:rPr>
          <w:rtl/>
        </w:rPr>
        <w:t xml:space="preserve"> أنْ زار هذا المركز الديني الكنعاني في قرطاحة. فرأى هناك مذبحًا </w:t>
      </w:r>
      <w:r w:rsidRPr="00264A7E">
        <w:rPr>
          <w:rtl/>
        </w:rPr>
        <w:lastRenderedPageBreak/>
        <w:t>كانوا يعبدون عنده، ورأى نُصُبًا حجريّة لتدلّ على تقديم الكنعانيّين أولادهم ذبائح لآلهتهم الثنية. ثم قال لي إنه عندئذٍ أدرك مقدار فساد الكنعانيّين والسبب الذي لأجله رأى الرب</w:t>
      </w:r>
      <w:r w:rsidR="00D06E49" w:rsidRPr="00264A7E">
        <w:rPr>
          <w:rtl/>
        </w:rPr>
        <w:t>ّ</w:t>
      </w:r>
      <w:r w:rsidRPr="00264A7E">
        <w:rPr>
          <w:rtl/>
        </w:rPr>
        <w:t xml:space="preserve"> أن يبيدهم. </w:t>
      </w:r>
    </w:p>
    <w:p w14:paraId="7CC67830" w14:textId="4F5E9395" w:rsidR="00745BA1" w:rsidRPr="00264A7E" w:rsidRDefault="009477BE" w:rsidP="00C7130A">
      <w:pPr>
        <w:keepNext/>
        <w:rPr>
          <w:rtl/>
          <w:lang w:bidi="ar-JO"/>
        </w:rPr>
      </w:pPr>
      <w:r w:rsidRPr="00264A7E">
        <w:rPr>
          <w:noProof/>
        </w:rPr>
        <w:drawing>
          <wp:anchor distT="0" distB="0" distL="114300" distR="114300" simplePos="0" relativeHeight="251653120" behindDoc="0" locked="0" layoutInCell="1" allowOverlap="1" wp14:anchorId="10B33C94" wp14:editId="40DE95CF">
            <wp:simplePos x="0" y="0"/>
            <wp:positionH relativeFrom="column">
              <wp:posOffset>3489960</wp:posOffset>
            </wp:positionH>
            <wp:positionV relativeFrom="paragraph">
              <wp:posOffset>2701290</wp:posOffset>
            </wp:positionV>
            <wp:extent cx="2340610" cy="1912620"/>
            <wp:effectExtent l="0" t="0" r="2540" b="0"/>
            <wp:wrapSquare wrapText="bothSides"/>
            <wp:docPr id="823510012" name="Picture 3" descr="A group of stone statu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10012" name="Picture 3" descr="A group of stone statues&#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340610" cy="1912620"/>
                    </a:xfrm>
                    <a:prstGeom prst="rect">
                      <a:avLst/>
                    </a:prstGeom>
                  </pic:spPr>
                </pic:pic>
              </a:graphicData>
            </a:graphic>
            <wp14:sizeRelH relativeFrom="margin">
              <wp14:pctWidth>0</wp14:pctWidth>
            </wp14:sizeRelH>
            <wp14:sizeRelV relativeFrom="margin">
              <wp14:pctHeight>0</wp14:pctHeight>
            </wp14:sizeRelV>
          </wp:anchor>
        </w:drawing>
      </w:r>
      <w:r w:rsidRPr="00264A7E">
        <w:rPr>
          <w:noProof/>
        </w:rPr>
        <w:drawing>
          <wp:anchor distT="0" distB="0" distL="114300" distR="114300" simplePos="0" relativeHeight="251649024" behindDoc="0" locked="0" layoutInCell="1" allowOverlap="1" wp14:anchorId="1BC981B6" wp14:editId="26C9F362">
            <wp:simplePos x="0" y="0"/>
            <wp:positionH relativeFrom="column">
              <wp:posOffset>2738120</wp:posOffset>
            </wp:positionH>
            <wp:positionV relativeFrom="paragraph">
              <wp:posOffset>65405</wp:posOffset>
            </wp:positionV>
            <wp:extent cx="3093720" cy="2109470"/>
            <wp:effectExtent l="0" t="0" r="0" b="5080"/>
            <wp:wrapSquare wrapText="bothSides"/>
            <wp:docPr id="1687282392" name="Picture 2" descr="A person standing in front of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82392" name="Picture 2" descr="A person standing in front of a stone wall&#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093720" cy="2109470"/>
                    </a:xfrm>
                    <a:prstGeom prst="rect">
                      <a:avLst/>
                    </a:prstGeom>
                  </pic:spPr>
                </pic:pic>
              </a:graphicData>
            </a:graphic>
            <wp14:sizeRelH relativeFrom="margin">
              <wp14:pctWidth>0</wp14:pctWidth>
            </wp14:sizeRelH>
            <wp14:sizeRelV relativeFrom="margin">
              <wp14:pctHeight>0</wp14:pctHeight>
            </wp14:sizeRelV>
          </wp:anchor>
        </w:drawing>
      </w:r>
      <w:r w:rsidR="007B3CE2" w:rsidRPr="00264A7E">
        <w:rPr>
          <w:rtl/>
        </w:rPr>
        <w:t>ومن ناحية أخرى، دخل العبرانيون في عهد مع الله في جبل سيناء (أي العهد الموسوي)</w:t>
      </w:r>
      <w:r w:rsidR="00C0114D" w:rsidRPr="00264A7E">
        <w:rPr>
          <w:rtl/>
        </w:rPr>
        <w:t>. ولذا، كان ينبغي أن يكونوا شعبًا مُقدَّس</w:t>
      </w:r>
      <w:r w:rsidR="00D06E49" w:rsidRPr="00264A7E">
        <w:rPr>
          <w:rtl/>
        </w:rPr>
        <w:t>ًا</w:t>
      </w:r>
      <w:r w:rsidR="00C0114D" w:rsidRPr="00264A7E">
        <w:rPr>
          <w:rtl/>
        </w:rPr>
        <w:t xml:space="preserve">، وانبغى أن يكونوا أمّة تنهى بصورةٍ خاصّة عن عبادة الأوثان. </w:t>
      </w:r>
      <w:r w:rsidR="00745BA1" w:rsidRPr="00264A7E">
        <w:rPr>
          <w:rtl/>
          <w:lang w:bidi="ar-JO"/>
        </w:rPr>
        <w:t>بالإضافة إلى إيقاع الله دينونته الإلهيّة على الكنعانيّين بسبب شرهم، فإنّ أمرَ الله بإ</w:t>
      </w:r>
      <w:r w:rsidR="00D06E49" w:rsidRPr="00264A7E">
        <w:rPr>
          <w:rtl/>
          <w:lang w:bidi="ar-JO"/>
        </w:rPr>
        <w:t>ب</w:t>
      </w:r>
      <w:r w:rsidR="00745BA1" w:rsidRPr="00264A7E">
        <w:rPr>
          <w:rtl/>
          <w:lang w:bidi="ar-JO"/>
        </w:rPr>
        <w:t xml:space="preserve">ادتهم كان يهدف إلى دعم دعوة شعب إسرائيل بأن يكون أمّة مُقدَّسة. </w:t>
      </w:r>
      <w:r w:rsidR="001F0875" w:rsidRPr="00264A7E">
        <w:rPr>
          <w:rtl/>
          <w:lang w:bidi="ar-JO"/>
        </w:rPr>
        <w:t>أيْ أنّ الله عمل على إزالة التأثيرات الشريرة والوثنيّة من أجل إ</w:t>
      </w:r>
      <w:r w:rsidR="00D06E49" w:rsidRPr="00264A7E">
        <w:rPr>
          <w:rtl/>
          <w:lang w:bidi="ar-JO"/>
        </w:rPr>
        <w:t>ع</w:t>
      </w:r>
      <w:r w:rsidR="001F0875" w:rsidRPr="00264A7E">
        <w:rPr>
          <w:rtl/>
          <w:lang w:bidi="ar-JO"/>
        </w:rPr>
        <w:t>طاء شعبه أكبر فرصة ممكنة لعبادته وخدمته بأمانة. وقد سارت إقامة أرضٍ تتّصف بالنقاء الروحي والحقّ الديني يدًا بيد مع استراتيحيّة الله بأن يخلِّص كل الأمم ويأتي بها إلى بركته (تكوين 12: 3). وبالطبع، توثِّق بقية قصّة الكتاب المُقدَّس حقيقة أن</w:t>
      </w:r>
      <w:r w:rsidR="00D06E49" w:rsidRPr="00264A7E">
        <w:rPr>
          <w:rtl/>
          <w:lang w:bidi="ar-JO"/>
        </w:rPr>
        <w:t>َّ</w:t>
      </w:r>
      <w:r w:rsidR="001F0875" w:rsidRPr="00264A7E">
        <w:rPr>
          <w:rtl/>
          <w:lang w:bidi="ar-JO"/>
        </w:rPr>
        <w:t xml:space="preserve"> شعب إسرائيل لم يكن أمينًا للرب</w:t>
      </w:r>
      <w:r w:rsidR="00D06E49" w:rsidRPr="00264A7E">
        <w:rPr>
          <w:rtl/>
          <w:lang w:bidi="ar-JO"/>
        </w:rPr>
        <w:t>ّ</w:t>
      </w:r>
      <w:r w:rsidR="001F0875" w:rsidRPr="00264A7E">
        <w:rPr>
          <w:rtl/>
          <w:lang w:bidi="ar-JO"/>
        </w:rPr>
        <w:t xml:space="preserve">، بل انحرف بصورة متكرِّرة إلى عبادة الأوثان. وبعملهم هذا أعاقوا تحقيق مقاصد الله، لكن دون أن يعطّلوها تمامًا. ومع هذا، كان دافع الله أن يعطيهم أكبر فرصة يمكنه إعطاؤها لهم. وسيتعلَّم شعب إسرائيل في النهاية أنّ الله سيأتي بالدينونة عليهم أيضًا، بل وسيُخرجهم من الأرض التي وعد بها نسل إبراهيم. ففي أوقات تمرُّد شعب إسرائيل، هلك كثيرون منهم على يد الجيوش الأجنبيّة التي أرسلها الله لتأديبهم. </w:t>
      </w:r>
    </w:p>
    <w:p w14:paraId="30908E7A" w14:textId="34B69AA3" w:rsidR="001F0875" w:rsidRPr="00C7130A" w:rsidRDefault="001F0875" w:rsidP="00C7130A">
      <w:pPr>
        <w:keepNext/>
        <w:rPr>
          <w:sz w:val="26"/>
          <w:szCs w:val="26"/>
          <w:rtl/>
          <w:lang w:bidi="ar-JO"/>
        </w:rPr>
      </w:pPr>
    </w:p>
    <w:p w14:paraId="5C574185" w14:textId="372BB315" w:rsidR="001F0875" w:rsidRPr="00C7130A" w:rsidRDefault="001F0875" w:rsidP="000558B7">
      <w:pPr>
        <w:pStyle w:val="Heading3"/>
        <w:rPr>
          <w:rtl/>
          <w:lang w:bidi="ar-JO"/>
        </w:rPr>
      </w:pPr>
      <w:bookmarkStart w:id="344" w:name="_Toc193031099"/>
      <w:r w:rsidRPr="00C7130A">
        <w:rPr>
          <w:rtl/>
          <w:lang w:bidi="ar-JO"/>
        </w:rPr>
        <w:t>أفكار ختامية</w:t>
      </w:r>
      <w:bookmarkEnd w:id="344"/>
    </w:p>
    <w:p w14:paraId="4F09A867" w14:textId="4AF92B0E" w:rsidR="001F0875" w:rsidRPr="00264A7E" w:rsidRDefault="001F0875" w:rsidP="00C7130A">
      <w:pPr>
        <w:keepNext/>
        <w:rPr>
          <w:rtl/>
        </w:rPr>
      </w:pPr>
      <w:r w:rsidRPr="00264A7E">
        <w:rPr>
          <w:rtl/>
        </w:rPr>
        <w:t xml:space="preserve">لم يكن الاستيلاء على أرض كنعان تطهيرًا عرقيًّا ولا إبادة جماعيّة، لأنّ سكّان الأرض لم يُقتَلوا بسبب كرههم، ولا كان بسبب لون بشرتهم أو أصلهم. فقد كانت المسألة الأساسيّة هي الخطيّة، الخطيّة التي رأى الله القدوس أنّه ينبغي إدانتها. وحقيقة أنّه </w:t>
      </w:r>
      <w:r w:rsidR="009E644A" w:rsidRPr="00264A7E">
        <w:rPr>
          <w:rtl/>
          <w:lang w:bidi="ar-JO"/>
        </w:rPr>
        <w:t xml:space="preserve">أمر </w:t>
      </w:r>
      <w:r w:rsidRPr="00264A7E">
        <w:rPr>
          <w:rtl/>
        </w:rPr>
        <w:t xml:space="preserve">بالقتل على مستوى الأمّة تتوافق مع حقيقة أنّه الإله الذي يقاضي الشعوب والأمم بالإضافة إلى مقاضاته الأفراد. وفي </w:t>
      </w:r>
      <w:r w:rsidRPr="00264A7E">
        <w:rPr>
          <w:rtl/>
        </w:rPr>
        <w:lastRenderedPageBreak/>
        <w:t>النهاية، سيقاضي الله كل</w:t>
      </w:r>
      <w:r w:rsidR="00736F8C" w:rsidRPr="00264A7E">
        <w:rPr>
          <w:rtl/>
        </w:rPr>
        <w:t>َّ</w:t>
      </w:r>
      <w:r w:rsidRPr="00264A7E">
        <w:rPr>
          <w:rtl/>
        </w:rPr>
        <w:t xml:space="preserve"> الذين لا يلجأون إلى ابنه. وقد عبَّر أحد</w:t>
      </w:r>
      <w:r w:rsidR="00736F8C" w:rsidRPr="00264A7E">
        <w:rPr>
          <w:rtl/>
        </w:rPr>
        <w:t>ُ</w:t>
      </w:r>
      <w:r w:rsidRPr="00264A7E">
        <w:rPr>
          <w:rtl/>
        </w:rPr>
        <w:t xml:space="preserve"> الكتّاب عن هذه الحقيقة قائلًا: "كانت الحرب على الكنعانيّين ببساطة مرحلةً مبك</w:t>
      </w:r>
      <w:r w:rsidR="00736F8C" w:rsidRPr="00264A7E">
        <w:rPr>
          <w:rtl/>
        </w:rPr>
        <w:t>ّ</w:t>
      </w:r>
      <w:r w:rsidRPr="00264A7E">
        <w:rPr>
          <w:rtl/>
        </w:rPr>
        <w:t>رة للمعركة التي ستصل ذروتها في الصليب، وستكتمل في الدينونة الأخيرة."</w:t>
      </w:r>
      <w:r w:rsidRPr="00264A7E">
        <w:rPr>
          <w:rStyle w:val="FootnoteReference"/>
        </w:rPr>
        <w:t xml:space="preserve"> </w:t>
      </w:r>
      <w:r w:rsidRPr="00264A7E">
        <w:rPr>
          <w:rStyle w:val="FootnoteReference"/>
        </w:rPr>
        <w:footnoteReference w:id="141"/>
      </w:r>
    </w:p>
    <w:p w14:paraId="3865EF36" w14:textId="5817CFD4" w:rsidR="001F0875" w:rsidRPr="00264A7E" w:rsidRDefault="001F0875" w:rsidP="00C7130A">
      <w:pPr>
        <w:keepNext/>
        <w:rPr>
          <w:rtl/>
        </w:rPr>
      </w:pPr>
      <w:r w:rsidRPr="00264A7E">
        <w:rPr>
          <w:rtl/>
        </w:rPr>
        <w:t xml:space="preserve">كما كان القصد من إبادة الكنعانيّين </w:t>
      </w:r>
      <w:r w:rsidR="00AE237A" w:rsidRPr="00264A7E">
        <w:rPr>
          <w:rtl/>
        </w:rPr>
        <w:t>مساعدة شعب إسرائيل، بوصفه شعبَ الله، في أن ينطلق في بداية جديدة في الأرض التي وعد الله بها نسلَ إبراهيم، وذلك بإزالة كل تلوُّث من عبادة الأوثان والشر</w:t>
      </w:r>
      <w:r w:rsidR="00736F8C" w:rsidRPr="00264A7E">
        <w:rPr>
          <w:rtl/>
        </w:rPr>
        <w:t>ّ</w:t>
      </w:r>
      <w:r w:rsidR="00AE237A" w:rsidRPr="00264A7E">
        <w:rPr>
          <w:rtl/>
        </w:rPr>
        <w:t>. أي أنّه كان ينبغي إزالة التأثيرات الشر</w:t>
      </w:r>
      <w:r w:rsidR="00736F8C" w:rsidRPr="00264A7E">
        <w:rPr>
          <w:rtl/>
        </w:rPr>
        <w:t>ّ</w:t>
      </w:r>
      <w:r w:rsidR="00AE237A" w:rsidRPr="00264A7E">
        <w:rPr>
          <w:rtl/>
        </w:rPr>
        <w:t>يرة، فلا ي</w:t>
      </w:r>
      <w:r w:rsidR="00736F8C" w:rsidRPr="00264A7E">
        <w:rPr>
          <w:rtl/>
        </w:rPr>
        <w:t>ُ</w:t>
      </w:r>
      <w:r w:rsidR="00AE237A" w:rsidRPr="00264A7E">
        <w:rPr>
          <w:rtl/>
        </w:rPr>
        <w:t>خدَع شعب إسرائيل ويُغرى فيقبل ممارسات الكنعانيّين وطرقهم. وبعمل الله هذا، كان يعطي شعب إسرائيل فرصّةً بأن تنفّذ تعليم الله بصورةٍ كاملة، ونتيجة لهذا، بقيت جيوب من الكنعانيّين في وسطهم. وبعد فترة غير طويلة، وكما يشهد سفر القضاة، تسب</w:t>
      </w:r>
      <w:r w:rsidR="00736F8C" w:rsidRPr="00264A7E">
        <w:rPr>
          <w:rtl/>
        </w:rPr>
        <w:t>ّ</w:t>
      </w:r>
      <w:r w:rsidR="00AE237A" w:rsidRPr="00264A7E">
        <w:rPr>
          <w:rtl/>
        </w:rPr>
        <w:t xml:space="preserve">ب عدم إبادة شعب إسرائيل للكنعانيّين بصورة تامّة إلى جرّهم إلى عبادة الأوثان، وبالتالي جلبهم تأديب الله على أنفسهم. </w:t>
      </w:r>
    </w:p>
    <w:p w14:paraId="7B0D4F82" w14:textId="77777777" w:rsidR="005B1911" w:rsidRPr="00C7130A" w:rsidRDefault="005B1911" w:rsidP="00C7130A">
      <w:pPr>
        <w:keepNext/>
      </w:pPr>
    </w:p>
    <w:p w14:paraId="07351707" w14:textId="6A8619E3" w:rsidR="007D50F1" w:rsidRPr="00C7130A" w:rsidRDefault="00915244" w:rsidP="000558B7">
      <w:pPr>
        <w:pStyle w:val="Heading2B"/>
      </w:pPr>
      <w:bookmarkStart w:id="345" w:name="_Toc193031100"/>
      <w:r w:rsidRPr="00C7130A">
        <w:rPr>
          <w:rtl/>
        </w:rPr>
        <w:t>الموضوع 2: الاستيلاء على أرض كنعان (يشوع 1: 1 – 12: 24)</w:t>
      </w:r>
      <w:bookmarkStart w:id="346" w:name="_Hlk178779200"/>
      <w:bookmarkStart w:id="347" w:name="_Hlk157179661"/>
      <w:bookmarkEnd w:id="345"/>
    </w:p>
    <w:p w14:paraId="162EB5EC" w14:textId="3084021B" w:rsidR="00BE411E" w:rsidRPr="00C7130A" w:rsidRDefault="00BE411E" w:rsidP="00C7130A">
      <w:pPr>
        <w:rPr>
          <w:b/>
          <w:bCs/>
          <w:color w:val="0070C0"/>
          <w:sz w:val="21"/>
          <w:szCs w:val="21"/>
        </w:rPr>
      </w:pPr>
      <w:r w:rsidRPr="00C7130A">
        <w:rPr>
          <w:b/>
          <w:bCs/>
          <w:caps/>
          <w:noProof/>
          <w:color w:val="0070C0"/>
          <w:sz w:val="21"/>
          <w:szCs w:val="21"/>
        </w:rPr>
        <w:drawing>
          <wp:anchor distT="0" distB="0" distL="114300" distR="114300" simplePos="0" relativeHeight="251654144" behindDoc="0" locked="0" layoutInCell="1" allowOverlap="1" wp14:anchorId="65C76769" wp14:editId="3625F1F4">
            <wp:simplePos x="0" y="0"/>
            <wp:positionH relativeFrom="column">
              <wp:posOffset>73742</wp:posOffset>
            </wp:positionH>
            <wp:positionV relativeFrom="paragraph">
              <wp:posOffset>92505</wp:posOffset>
            </wp:positionV>
            <wp:extent cx="687705" cy="607060"/>
            <wp:effectExtent l="0" t="0" r="0" b="2540"/>
            <wp:wrapSquare wrapText="bothSides"/>
            <wp:docPr id="1813199802" name="Picture 181319980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87705" cy="607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3E94B7" w14:textId="63E819F4" w:rsidR="00BE411E" w:rsidRPr="00C7130A" w:rsidRDefault="00BE411E" w:rsidP="00C7130A">
      <w:pPr>
        <w:rPr>
          <w:b/>
          <w:bCs/>
          <w:color w:val="0070C0"/>
          <w:sz w:val="21"/>
          <w:szCs w:val="21"/>
        </w:rPr>
      </w:pPr>
    </w:p>
    <w:p w14:paraId="4CF05C93" w14:textId="536FED3D" w:rsidR="005B1911" w:rsidRPr="00C7130A" w:rsidRDefault="00AE237A" w:rsidP="00C7130A">
      <w:pPr>
        <w:rPr>
          <w:b/>
          <w:bCs/>
          <w:sz w:val="21"/>
          <w:szCs w:val="21"/>
          <w:u w:val="single"/>
        </w:rPr>
      </w:pPr>
      <w:r w:rsidRPr="00264A7E">
        <w:rPr>
          <w:b/>
          <w:bCs/>
          <w:color w:val="0070C0"/>
          <w:u w:val="single"/>
          <w:rtl/>
        </w:rPr>
        <w:t>القراءة</w:t>
      </w:r>
      <w:r w:rsidRPr="00C7130A">
        <w:rPr>
          <w:b/>
          <w:bCs/>
          <w:color w:val="0070C0"/>
          <w:sz w:val="21"/>
          <w:szCs w:val="21"/>
          <w:u w:val="single"/>
          <w:rtl/>
        </w:rPr>
        <w:t>:</w:t>
      </w:r>
      <w:r w:rsidR="005B1911" w:rsidRPr="00C7130A">
        <w:rPr>
          <w:b/>
          <w:bCs/>
          <w:sz w:val="21"/>
          <w:szCs w:val="21"/>
          <w:u w:val="single"/>
        </w:rPr>
        <w:t xml:space="preserve">  </w:t>
      </w:r>
    </w:p>
    <w:p w14:paraId="662648E5" w14:textId="34BAE844" w:rsidR="00942124" w:rsidRPr="00C7130A" w:rsidRDefault="00AE237A" w:rsidP="00C7130A">
      <w:pPr>
        <w:ind w:firstLine="720"/>
        <w:rPr>
          <w:rFonts w:eastAsia="Calibri"/>
          <w:b/>
          <w:bCs/>
          <w:caps/>
          <w:color w:val="006699"/>
          <w:sz w:val="21"/>
          <w:szCs w:val="24"/>
        </w:rPr>
      </w:pPr>
      <w:r w:rsidRPr="00C7130A">
        <w:rPr>
          <w:rtl/>
        </w:rPr>
        <w:t xml:space="preserve">اقرأ يشوع 1: 1 – 12: 24 في كتابك المُقدَّس. </w:t>
      </w:r>
    </w:p>
    <w:p w14:paraId="342F6138" w14:textId="77777777" w:rsidR="006A7C83" w:rsidRPr="00C7130A" w:rsidRDefault="006A7C83" w:rsidP="000558B7">
      <w:pPr>
        <w:pStyle w:val="Heading3"/>
        <w:rPr>
          <w:rtl/>
          <w:lang w:bidi="ar-JO"/>
        </w:rPr>
      </w:pPr>
      <w:bookmarkStart w:id="348" w:name="_Toc193031101"/>
      <w:bookmarkEnd w:id="346"/>
      <w:bookmarkEnd w:id="347"/>
      <w:r w:rsidRPr="00C7130A">
        <w:rPr>
          <w:rtl/>
          <w:lang w:bidi="ar-JO"/>
        </w:rPr>
        <w:t>1.</w:t>
      </w:r>
      <w:r w:rsidRPr="00C7130A">
        <w:rPr>
          <w:rtl/>
          <w:lang w:bidi="ar-JO"/>
        </w:rPr>
        <w:tab/>
        <w:t>مقدمة</w:t>
      </w:r>
      <w:bookmarkEnd w:id="348"/>
      <w:r w:rsidRPr="00C7130A">
        <w:rPr>
          <w:rtl/>
          <w:lang w:bidi="ar-JO"/>
        </w:rPr>
        <w:t xml:space="preserve"> </w:t>
      </w:r>
    </w:p>
    <w:p w14:paraId="18B1653B" w14:textId="016D575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حسب الأسفار القانونية للكتاب المقدّس العبري، يترأس سفر يشوع القسم الثاني من العهد القديم المسمّى "الأنبياء</w:t>
      </w:r>
      <w:r w:rsidRPr="00264A7E">
        <w:rPr>
          <w:rFonts w:eastAsia="Times New Roman"/>
          <w:kern w:val="0"/>
          <w:rtl/>
          <w14:ligatures w14:val="none"/>
        </w:rPr>
        <w:t>.</w:t>
      </w:r>
      <w:r w:rsidRPr="00264A7E">
        <w:rPr>
          <w:rFonts w:eastAsia="Times New Roman"/>
          <w:kern w:val="0"/>
          <w:rtl/>
          <w:lang w:bidi="ar-JO"/>
          <w14:ligatures w14:val="none"/>
        </w:rPr>
        <w:t>" ويشمل هذا القسم بعض الأسفار التاريخية بالإضافة إلى الأنبياء الكتّاب.</w:t>
      </w:r>
      <w:r w:rsidRPr="00264A7E">
        <w:rPr>
          <w:rFonts w:eastAsia="Times New Roman"/>
          <w:kern w:val="0"/>
          <w:vertAlign w:val="superscript"/>
          <w:rtl/>
          <w:lang w:bidi="ar-JO"/>
          <w14:ligatures w14:val="none"/>
        </w:rPr>
        <w:t xml:space="preserve"> </w:t>
      </w:r>
      <w:r w:rsidRPr="00264A7E">
        <w:rPr>
          <w:rFonts w:eastAsia="Times New Roman"/>
          <w:kern w:val="0"/>
          <w:vertAlign w:val="superscript"/>
          <w:rtl/>
          <w:lang w:bidi="ar-JO"/>
          <w14:ligatures w14:val="none"/>
        </w:rPr>
        <w:footnoteReference w:customMarkFollows="1" w:id="142"/>
        <w:t>1</w:t>
      </w:r>
      <w:r w:rsidRPr="00264A7E">
        <w:rPr>
          <w:rFonts w:eastAsia="Times New Roman"/>
          <w:kern w:val="0"/>
          <w:rtl/>
          <w:lang w:bidi="ar-JO"/>
          <w14:ligatures w14:val="none"/>
        </w:rPr>
        <w:t xml:space="preserve">  وهذا يميّز سفر يشوع عن الأسفار الخمسة السابقة التي تشكّل التوراة.  ويعكس عنوان السفر الطبيعة الرئيسية للمادة السردية، وليس بالضرورة الكاتب.  لا يُذكر مؤلّف هذا السفر في أي موضع من الكتاب المقدّس، على الرغم من أنه أمر ممكن جدّاً أن يكون يشوع هو كاتب هذه المادة (انظر 24: 26).  ويعترف معظم الباحثين المحافظين بوجود أدلة على بعض الأعمال التحريرية اللاحقة (مثلاً 24: 29-31).</w:t>
      </w:r>
    </w:p>
    <w:p w14:paraId="688551A3"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D99C5CF"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64A7E">
        <w:rPr>
          <w:rFonts w:eastAsia="Times New Roman"/>
          <w:kern w:val="0"/>
          <w:rtl/>
          <w:lang w:bidi="ar-JO"/>
          <w14:ligatures w14:val="none"/>
        </w:rPr>
        <w:lastRenderedPageBreak/>
        <w:t>غير أنه توجد إشارات إلى أن بعض الزمن قد مرّ بين أحداث سفر يشوع وإكمال كتابة السفر.  إذ يمكن أن توحي إشارة الكاتب إلى "سفر ياشر" اعتماده على مصدر سابق لهذه المعلومات (على الرغم من أنه لا يمكننا أن نقرر تاريخ هذا المصدر).  وفضلاً عن ذلك، فإن تكرار تعبير "إلى هذا اليوم" قد يوحي بأن مدّة زمنية قد مضت قبل كتابة سفر يشوع (لاحظ 4: 9؛ 5: 9؛ 6: 25؛ 7: 26؛ 8: 28-29؛ 9: 27؛ 10: 27؛ 13: 13؛ 15: 63؛ 16: 10).  وبأخذ كل هذه الأمور بعين الاعتبار، فإنه يجب أن تبقى المسألة مفتوحة.</w:t>
      </w:r>
    </w:p>
    <w:p w14:paraId="6F46901B"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 w:val="12"/>
          <w:szCs w:val="14"/>
          <w:rtl/>
          <w:lang w:bidi="ar-JO"/>
          <w14:ligatures w14:val="none"/>
        </w:rPr>
      </w:pPr>
    </w:p>
    <w:p w14:paraId="011349F5" w14:textId="77777777" w:rsidR="006A7C83" w:rsidRPr="00C7130A" w:rsidRDefault="006A7C83" w:rsidP="000558B7">
      <w:pPr>
        <w:pStyle w:val="Heading3"/>
        <w:rPr>
          <w:rtl/>
          <w:lang w:bidi="ar-JO"/>
        </w:rPr>
      </w:pPr>
      <w:bookmarkStart w:id="349" w:name="_Toc193031102"/>
      <w:r w:rsidRPr="00C7130A">
        <w:rPr>
          <w:rtl/>
          <w:lang w:bidi="ar-JO"/>
        </w:rPr>
        <w:t>2.</w:t>
      </w:r>
      <w:r w:rsidRPr="00C7130A">
        <w:rPr>
          <w:rtl/>
          <w:lang w:bidi="ar-JO"/>
        </w:rPr>
        <w:tab/>
        <w:t>علاقة السفر بالتوراة</w:t>
      </w:r>
      <w:bookmarkEnd w:id="349"/>
      <w:r w:rsidRPr="00C7130A">
        <w:rPr>
          <w:rtl/>
          <w:lang w:bidi="ar-JO"/>
        </w:rPr>
        <w:t xml:space="preserve"> </w:t>
      </w:r>
    </w:p>
    <w:p w14:paraId="5C08F014"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 xml:space="preserve">سفر يشوع تكملة مناسبة للأسفار الخمسة الأولى من العهد القديم.  ومرة أخرى أقول إن مفتاح فهمنا للعهد القديم هو العهد الإبراهيمي.  فقد كانت هذه خطّة يهوه لجلب البركة لكل قبائل الأرض.  ولعمل هذا اختار أمّة واحدة تكون وسيطاً لبركته.  ولكي تتحقق مقاصد الله مع هذه الأمّة، لزمت ثلاثة أمور: </w:t>
      </w:r>
      <w:r w:rsidRPr="00264A7E">
        <w:rPr>
          <w:rFonts w:eastAsia="Times New Roman"/>
          <w:kern w:val="0"/>
          <w:u w:val="single"/>
          <w:rtl/>
          <w:lang w:bidi="ar-JO"/>
          <w14:ligatures w14:val="none"/>
        </w:rPr>
        <w:t>شعب</w:t>
      </w:r>
      <w:r w:rsidRPr="00264A7E">
        <w:rPr>
          <w:rFonts w:eastAsia="Times New Roman"/>
          <w:kern w:val="0"/>
          <w:rtl/>
          <w:lang w:bidi="ar-JO"/>
          <w14:ligatures w14:val="none"/>
        </w:rPr>
        <w:t xml:space="preserve">، </w:t>
      </w:r>
      <w:r w:rsidRPr="00264A7E">
        <w:rPr>
          <w:rFonts w:eastAsia="Times New Roman"/>
          <w:kern w:val="0"/>
          <w:u w:val="single"/>
          <w:rtl/>
          <w:lang w:bidi="ar-JO"/>
          <w14:ligatures w14:val="none"/>
        </w:rPr>
        <w:t>ودستور</w:t>
      </w:r>
      <w:r w:rsidRPr="00264A7E">
        <w:rPr>
          <w:rFonts w:eastAsia="Times New Roman"/>
          <w:kern w:val="0"/>
          <w:rtl/>
          <w:lang w:bidi="ar-JO"/>
          <w14:ligatures w14:val="none"/>
        </w:rPr>
        <w:t xml:space="preserve"> يربط الشعب، </w:t>
      </w:r>
      <w:r w:rsidRPr="00264A7E">
        <w:rPr>
          <w:rFonts w:eastAsia="Times New Roman"/>
          <w:kern w:val="0"/>
          <w:u w:val="single"/>
          <w:rtl/>
          <w:lang w:bidi="ar-JO"/>
          <w14:ligatures w14:val="none"/>
        </w:rPr>
        <w:t>وأرض</w:t>
      </w:r>
      <w:r w:rsidRPr="00264A7E">
        <w:rPr>
          <w:rFonts w:eastAsia="Times New Roman"/>
          <w:kern w:val="0"/>
          <w:rtl/>
          <w:lang w:bidi="ar-JO"/>
          <w14:ligatures w14:val="none"/>
        </w:rPr>
        <w:t xml:space="preserve"> يسكن فيها الشعب.  نرى في خروج 1-18 تشكيل الشعب.</w:t>
      </w:r>
    </w:p>
    <w:p w14:paraId="5DEF1252"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وفي خروج 19- عدد 12، نتعرّف إلى دستور يربط يهوه بشعبه.  وتكمل مادة سفري اللاويين والتثنية الدستور الأساسي، مع وجود أنظمة تمكّن يهوه من أن يحكم كملك في وسط شعبه.  والعنصر الثالث هو الأرض.  وهذا هو ما يركّز عليه سفر يشوع.  سيبيّن سفر يشوع كيف أن الله فعَّل ونفَّذ قصده الإلهي بإعطاء إسرائيل أرض كنعان.  وكان هذا هو التوقع الذي طال انتظاره لامتلاك الأرض المرتبط بالأرض منذ بداية العهد الإبراهيمي.  وهكذا فإن الاهتمام الرئيسي لسفر يشوع هو بأمانة يهوه للعهد.  وتوجد بطبيعة الحال دروس كثيرة مصاحبة لهذا الأمر، لأن تحقيق العهد لا يأتي إلاّ بالطاعة.</w:t>
      </w:r>
    </w:p>
    <w:p w14:paraId="379EBE0A"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 w:val="12"/>
          <w:szCs w:val="14"/>
          <w:rtl/>
          <w:lang w:bidi="ar-JO"/>
          <w14:ligatures w14:val="none"/>
        </w:rPr>
      </w:pPr>
    </w:p>
    <w:p w14:paraId="5FED4ED6" w14:textId="77777777" w:rsidR="006A7C83" w:rsidRPr="00C7130A" w:rsidRDefault="006A7C83" w:rsidP="000558B7">
      <w:pPr>
        <w:pStyle w:val="Heading3"/>
        <w:rPr>
          <w:rtl/>
          <w:lang w:bidi="ar-JO"/>
        </w:rPr>
      </w:pPr>
      <w:bookmarkStart w:id="350" w:name="_Toc193031103"/>
      <w:r w:rsidRPr="00C7130A">
        <w:rPr>
          <w:rtl/>
          <w:lang w:bidi="ar-JO"/>
        </w:rPr>
        <w:t>3.</w:t>
      </w:r>
      <w:r w:rsidRPr="00C7130A">
        <w:rPr>
          <w:rtl/>
          <w:lang w:bidi="ar-JO"/>
        </w:rPr>
        <w:tab/>
        <w:t>غرض السفر</w:t>
      </w:r>
      <w:bookmarkEnd w:id="350"/>
      <w:r w:rsidRPr="00C7130A">
        <w:rPr>
          <w:rtl/>
          <w:lang w:bidi="ar-JO"/>
        </w:rPr>
        <w:t xml:space="preserve"> </w:t>
      </w:r>
    </w:p>
    <w:p w14:paraId="2DF65357"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كُتب سفر يشوع بغرض تتبُّع التحقيق التاريخي لبركة يهوه الموعودة بوطن قومي، حيث أنَّ هذا كان متوقّعاً في الأسفار الخمسة.  ولأن هذا السفر يمثّل تحقيق يهوه لقصده، فإن النجاح هو نقطة التركيز المركزية.  والمبدأ العامل في احتلال الأرض هو أن يهوه يستخدم طاعة الشعب لكي يحقق وعده.  فالله يحقق كل وعد يصدَّق.  ونحن نرى عنصر النجاح والتحقيق في يشوع 11: 23 و21: 43.</w:t>
      </w:r>
    </w:p>
    <w:p w14:paraId="5DE80426"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8F413F3" w14:textId="77777777" w:rsidR="006A7C83" w:rsidRPr="00264A7E" w:rsidRDefault="006A7C83" w:rsidP="00C7130A">
      <w:pPr>
        <w:tabs>
          <w:tab w:val="left" w:pos="454"/>
          <w:tab w:val="left" w:pos="550"/>
          <w:tab w:val="left" w:pos="1100"/>
          <w:tab w:val="left" w:pos="1650"/>
          <w:tab w:val="left" w:pos="2200"/>
          <w:tab w:val="left" w:pos="2750"/>
          <w:tab w:val="left" w:pos="3300"/>
          <w:tab w:val="left" w:pos="3850"/>
          <w:tab w:val="left" w:pos="4400"/>
        </w:tabs>
        <w:ind w:left="2160" w:hanging="1706"/>
        <w:jc w:val="both"/>
        <w:rPr>
          <w:rFonts w:eastAsia="Times New Roman"/>
          <w:kern w:val="0"/>
          <w:rtl/>
          <w:lang w:bidi="ar-JO"/>
          <w14:ligatures w14:val="none"/>
        </w:rPr>
      </w:pPr>
      <w:r w:rsidRPr="00264A7E">
        <w:rPr>
          <w:rFonts w:eastAsia="Times New Roman"/>
          <w:kern w:val="0"/>
          <w:rtl/>
          <w:lang w:bidi="ar-JO"/>
          <w14:ligatures w14:val="none"/>
        </w:rPr>
        <w:t>يشوع 11: 23-</w:t>
      </w:r>
      <w:r w:rsidRPr="00264A7E">
        <w:rPr>
          <w:rFonts w:eastAsia="Times New Roman"/>
          <w:kern w:val="0"/>
          <w:rtl/>
          <w:lang w:bidi="ar-JO"/>
          <w14:ligatures w14:val="none"/>
        </w:rPr>
        <w:tab/>
      </w:r>
      <w:r w:rsidRPr="00264A7E">
        <w:rPr>
          <w:rFonts w:eastAsia="Times New Roman"/>
          <w:kern w:val="0"/>
          <w:rtl/>
          <w14:ligatures w14:val="none"/>
        </w:rPr>
        <w:tab/>
      </w:r>
      <w:r w:rsidRPr="00264A7E">
        <w:rPr>
          <w:rFonts w:eastAsia="Times New Roman"/>
          <w:kern w:val="0"/>
          <w:rtl/>
          <w:lang w:bidi="ar-JO"/>
          <w14:ligatures w14:val="none"/>
        </w:rPr>
        <w:t xml:space="preserve">" فأخذ يشوع كل الأرض حسب ما كلَّم به الرب موسى، وأعطاها يشوع مُلكاً لإسرائيل حسب فِرقهم وأسباطهم، واستراحت الأرض من الحرب."  </w:t>
      </w:r>
    </w:p>
    <w:p w14:paraId="36AE2B91" w14:textId="77777777" w:rsidR="006A7C83" w:rsidRPr="00264A7E" w:rsidRDefault="006A7C83" w:rsidP="00C7130A">
      <w:pPr>
        <w:tabs>
          <w:tab w:val="left" w:pos="454"/>
          <w:tab w:val="left" w:pos="550"/>
          <w:tab w:val="left" w:pos="1100"/>
          <w:tab w:val="left" w:pos="1650"/>
          <w:tab w:val="left" w:pos="2200"/>
          <w:tab w:val="left" w:pos="2750"/>
          <w:tab w:val="left" w:pos="3300"/>
          <w:tab w:val="left" w:pos="3850"/>
          <w:tab w:val="left" w:pos="4400"/>
        </w:tabs>
        <w:ind w:left="2160" w:hanging="1706"/>
        <w:jc w:val="both"/>
        <w:rPr>
          <w:rFonts w:eastAsia="Times New Roman"/>
          <w:kern w:val="0"/>
          <w:rtl/>
          <w:lang w:bidi="ar-JO"/>
          <w14:ligatures w14:val="none"/>
        </w:rPr>
      </w:pPr>
      <w:r w:rsidRPr="00264A7E">
        <w:rPr>
          <w:rFonts w:eastAsia="Times New Roman"/>
          <w:kern w:val="0"/>
          <w:rtl/>
          <w:lang w:bidi="ar-JO"/>
          <w14:ligatures w14:val="none"/>
        </w:rPr>
        <w:t>يشوع 21: 43-45-</w:t>
      </w:r>
      <w:r w:rsidRPr="00264A7E">
        <w:rPr>
          <w:rFonts w:eastAsia="Times New Roman"/>
          <w:kern w:val="0"/>
          <w:rtl/>
          <w:lang w:bidi="ar-JO"/>
          <w14:ligatures w14:val="none"/>
        </w:rPr>
        <w:tab/>
        <w:t xml:space="preserve">"فأعطى الرب إسرائيل جميع الأرض التي أقسم أن يعطيها لآبائهم، فامتلكوها وسكنوا بها، فأراحهم الرب حواليهم حسب كل ما أقسم لآبائهم، ولم يقف قدّامهم رجل من جميع أعدائهم بل دفع الرب </w:t>
      </w:r>
      <w:r w:rsidRPr="00264A7E">
        <w:rPr>
          <w:rFonts w:eastAsia="Times New Roman"/>
          <w:kern w:val="0"/>
          <w:rtl/>
          <w:lang w:bidi="ar-JO"/>
          <w14:ligatures w14:val="none"/>
        </w:rPr>
        <w:lastRenderedPageBreak/>
        <w:t>جميع أعدائهم بأيديهم.  لم تسقط كلمة واحدة من جميع الكلام الصالح الذي كلّم به الرب بيت إسرائيل، بل الكل صار."</w:t>
      </w:r>
    </w:p>
    <w:p w14:paraId="52CA2ECB"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17208C6"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صاغ د. والتكي جملة تعبّر عن قصد سفر يشوع تعكس التعليقات السابقة:</w:t>
      </w:r>
    </w:p>
    <w:p w14:paraId="7EC76466"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64A7E">
        <w:rPr>
          <w:rFonts w:eastAsia="Times New Roman"/>
          <w:kern w:val="0"/>
          <w:rtl/>
          <w:lang w:bidi="ar-JO"/>
          <w14:ligatures w14:val="none"/>
        </w:rPr>
        <w:t>يهدف سفر يشوع إلى إظهار التحقيق التاريخي للوعد الذي قطعه يهوه للآباء وموسى بأن يعطي إسرائيل أرض كنعان بحرب مقدّسة.</w:t>
      </w:r>
      <w:r w:rsidRPr="00264A7E">
        <w:rPr>
          <w:rFonts w:eastAsia="Times New Roman"/>
          <w:kern w:val="0"/>
          <w:vertAlign w:val="superscript"/>
          <w:rtl/>
          <w:lang w:bidi="ar-JO"/>
          <w14:ligatures w14:val="none"/>
        </w:rPr>
        <w:footnoteReference w:customMarkFollows="1" w:id="143"/>
        <w:t>2</w:t>
      </w:r>
    </w:p>
    <w:p w14:paraId="4263A067"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 w:val="32"/>
          <w:szCs w:val="32"/>
          <w:rtl/>
          <w:lang w:bidi="ar-JO"/>
          <w14:ligatures w14:val="none"/>
        </w:rPr>
      </w:pPr>
    </w:p>
    <w:p w14:paraId="030D794C" w14:textId="77777777" w:rsidR="006A7C83" w:rsidRPr="00C7130A" w:rsidRDefault="006A7C83" w:rsidP="000558B7">
      <w:pPr>
        <w:pStyle w:val="Heading3"/>
        <w:rPr>
          <w:rtl/>
          <w:lang w:bidi="ar-JO"/>
        </w:rPr>
      </w:pPr>
      <w:bookmarkStart w:id="351" w:name="_Toc193031104"/>
      <w:r w:rsidRPr="00C7130A">
        <w:rPr>
          <w:rtl/>
          <w:lang w:bidi="ar-JO"/>
        </w:rPr>
        <w:t>4.</w:t>
      </w:r>
      <w:r w:rsidRPr="00C7130A">
        <w:rPr>
          <w:rtl/>
          <w:lang w:bidi="ar-JO"/>
        </w:rPr>
        <w:tab/>
        <w:t>أحوال أرض كنعان</w:t>
      </w:r>
      <w:bookmarkEnd w:id="351"/>
    </w:p>
    <w:p w14:paraId="36F2FEF9"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كانت الأرض في زمن يشوع (حوالي 1400ق م) مليئة بما يسمّى "المدن-الدول" (أي كل مدينة عبارة عن دولة)، والتي كان لكل واحدة منها ملِكها الخاص وحكومتها المستقلّة.  وهذا مشابه من وجوه عديدة للنظام الإقطاعي الذي اتسمت به أوروبا في العصور الوسطى.  غير أن هذه المدن – الدول لم تكن حرّ ة حرّية كاملة، لأنها كانت موجودة تحت سيطرة مصر.  وقد قسّمت مصر تلك الأرض إلى وحدات جغرافية وأسّست مراكز إدارية عبر المنطقة كلّها.  وقد واجه تحتموس الثالث، فرعون مصر (1504-1450 ق م)، ثورة منظمة من عدد من الولايات الفلسطينية والسورية  في مرحلة مبكّرة من حكمه، لكنه استطاع أن يحافظ على نفوذ مصر الذي استمر حتى بقية القرن الخامس عشر.  غير أن السيطرة المصرية كانت عند مجيء يشوع ضعيفة: "غير أنه جاءت في أوائل القرن الرابع عشر فترة عُرفت باسم فترة العمارنة أضعف فيها الضغط الحثّي وتمرُّد المدن الأمّورية في الشمال نفوذ مصر.  وتبع ذلك غزو لأرض فلسطين من عصابات شبه عسكرية معروفة باسم خابيرو."</w:t>
      </w:r>
      <w:r w:rsidRPr="00264A7E">
        <w:rPr>
          <w:rFonts w:eastAsia="Times New Roman"/>
          <w:kern w:val="0"/>
          <w:vertAlign w:val="superscript"/>
          <w:rtl/>
          <w:lang w:bidi="ar-JO"/>
          <w14:ligatures w14:val="none"/>
        </w:rPr>
        <w:footnoteReference w:customMarkFollows="1" w:id="144"/>
        <w:t>3</w:t>
      </w:r>
      <w:r w:rsidRPr="00264A7E">
        <w:rPr>
          <w:rFonts w:eastAsia="Times New Roman"/>
          <w:kern w:val="0"/>
          <w:rtl/>
          <w:lang w:bidi="ar-JO"/>
          <w14:ligatures w14:val="none"/>
        </w:rPr>
        <w:t xml:space="preserve"> ولقد كان دخول إسرائيل واحتلالها أرض كنعان حسن التوقيت، حيث كان اهتمام مصر بكنعان يمر في حالة غفوة.  يقول ميريل:</w:t>
      </w:r>
    </w:p>
    <w:p w14:paraId="232C704D"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64A7E">
        <w:rPr>
          <w:rFonts w:eastAsia="Times New Roman"/>
          <w:kern w:val="0"/>
          <w:rtl/>
          <w:lang w:bidi="ar-JO"/>
          <w14:ligatures w14:val="none"/>
        </w:rPr>
        <w:t>كان أمنحوتب الثالث (1417-1379) يحكم مصر أثناء غزو إسرائيل لأرض كنعان واحتلالها، لكن اهتمامه لم يكن منصبّاً على الدفاع عن مصالحه في كنعان، بل على الصيد والفنون.  وكانت نشاطاته العسكرية موجّهة نحو بلاد النوبة في الجنوب، وإن من الواضح أن هذا بفضل العناية الإلهية لإسرائيل.</w:t>
      </w:r>
      <w:r w:rsidRPr="00264A7E">
        <w:rPr>
          <w:rFonts w:eastAsia="Times New Roman"/>
          <w:kern w:val="0"/>
          <w:vertAlign w:val="superscript"/>
          <w:rtl/>
          <w:lang w:bidi="ar-JO"/>
          <w14:ligatures w14:val="none"/>
        </w:rPr>
        <w:footnoteReference w:customMarkFollows="1" w:id="145"/>
        <w:t>4</w:t>
      </w:r>
      <w:r w:rsidRPr="00264A7E">
        <w:rPr>
          <w:rFonts w:eastAsia="Times New Roman"/>
          <w:kern w:val="0"/>
          <w:rtl/>
          <w:lang w:bidi="ar-JO"/>
          <w14:ligatures w14:val="none"/>
        </w:rPr>
        <w:t xml:space="preserve"> </w:t>
      </w:r>
    </w:p>
    <w:p w14:paraId="7ADCFC48"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AC74CD9"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lastRenderedPageBreak/>
        <w:t xml:space="preserve">إن أقل ما يمكن أن يقال عن الوضع الديني في كنعان هو أنه كان بغيضاً، وإنه لمن المفيد جدّاً للدارس أن يدرس هذه الناحية.  كان الإله الأعلى عند الكنعانيين هو إيل، وكان هنالك إله أدنى منه هو بعل (ويعني "سيد").  غير أن الإله بعل كان من ناحية عملية أكثر أهمية، إذ كان إله الخصب </w:t>
      </w:r>
      <w:r w:rsidRPr="00264A7E">
        <w:rPr>
          <w:rFonts w:eastAsia="Times New Roman"/>
          <w:i/>
          <w:iCs/>
          <w:kern w:val="0"/>
          <w:rtl/>
          <w:lang w:bidi="ar-JO"/>
          <w14:ligatures w14:val="none"/>
        </w:rPr>
        <w:t>بلا منازع</w:t>
      </w:r>
      <w:r w:rsidRPr="00264A7E">
        <w:rPr>
          <w:rFonts w:eastAsia="Times New Roman"/>
          <w:kern w:val="0"/>
          <w:rtl/>
          <w:lang w:bidi="ar-JO"/>
          <w14:ligatures w14:val="none"/>
        </w:rPr>
        <w:t>.  وفضلاً عن ذلك يعتبر بعل معادلاً لهَدَد، إله العاصفة.  كان بعل مسؤولاً عن الخصب، لا للزوجات فحسب، ولكن للمحاصيل والمواشي أيضاً.  ولهذا السبب، كان هاماً جدّاً عند الكنعانيين.</w:t>
      </w:r>
    </w:p>
    <w:p w14:paraId="1ADBC985"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CCEBEFE" w14:textId="248CCFAF"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تضمنت الديانة الكنعانية آلهة كثيرين وإلاهات كثيرات من بينهم الإلهات عناث وأشيرة وعشتروت (إلاهات الجنس والحرب).  وقد كانت صلاة يشوع بأن تتوقف الشمس والقمر (10: 12-14) هامّة من ناحية لاهوتية، لأن الشمس والقمر كانا من الآلهة الكنعانية.  ومما يؤكد هذا وجود أماكن مثل بيت – شِمش ("هيكل الشمس") وأريحا ("هيكل القمر").</w:t>
      </w:r>
    </w:p>
    <w:p w14:paraId="228201A6"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64A7E">
        <w:rPr>
          <w:rFonts w:eastAsia="Times New Roman"/>
          <w:kern w:val="0"/>
          <w:rtl/>
          <w:lang w:bidi="ar-JO"/>
          <w14:ligatures w14:val="none"/>
        </w:rPr>
        <w:t>تضمنت الديانة الكنعانية تقديم ذبائح للآلهة، وتضمنت أيضاً وجود موظفين دينيين مثل الكهنة وأشخاص مخصَّصين ومغنّين ونساء كن جزءاً من موظفي الهيكل المرتبطين بديانة الخصب.  ولقد كانت الديانة كلها منحطة جدّاً وبربرية وإباحية بشكل كامل، وكان يجب القضاء عليها لئلا يتلوّثوا بها.  وسرعان ما انحط بنو إسرائيل الذين تعثّروا وشاركوا في العبادة الوثنية إلى المستوى الأخلاقي للآلهة الدنيئة التي عبدوها.  وقد تضمن هذا ممارسة البغاء الديني، وتقديم الأطفال كذبائح وعبادة الأفاعي.</w:t>
      </w:r>
      <w:r w:rsidRPr="00264A7E">
        <w:rPr>
          <w:rFonts w:eastAsia="Times New Roman"/>
          <w:kern w:val="0"/>
          <w:vertAlign w:val="superscript"/>
          <w:rtl/>
          <w:lang w:bidi="ar-JO"/>
          <w14:ligatures w14:val="none"/>
        </w:rPr>
        <w:footnoteReference w:customMarkFollows="1" w:id="146"/>
        <w:t>5</w:t>
      </w:r>
      <w:r w:rsidRPr="00264A7E">
        <w:rPr>
          <w:rFonts w:eastAsia="Times New Roman"/>
          <w:kern w:val="0"/>
          <w:rtl/>
          <w:lang w:bidi="ar-JO"/>
          <w14:ligatures w14:val="none"/>
        </w:rPr>
        <w:t xml:space="preserve"> وإن فهمنا لهذا الأمر أمر أساسي لفهمنا لحرب إسرائيل المقدّسة.</w:t>
      </w:r>
    </w:p>
    <w:p w14:paraId="7085FC04"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 w:val="12"/>
          <w:szCs w:val="14"/>
          <w:rtl/>
          <w14:ligatures w14:val="none"/>
        </w:rPr>
      </w:pPr>
    </w:p>
    <w:p w14:paraId="5F2226ED" w14:textId="77777777" w:rsidR="006A7C83" w:rsidRPr="00C7130A" w:rsidRDefault="006A7C83" w:rsidP="000558B7">
      <w:pPr>
        <w:pStyle w:val="Heading3"/>
        <w:rPr>
          <w:rtl/>
          <w:lang w:bidi="ar-JO"/>
        </w:rPr>
      </w:pPr>
      <w:bookmarkStart w:id="352" w:name="_Toc193031105"/>
      <w:r w:rsidRPr="00C7130A">
        <w:rPr>
          <w:rtl/>
          <w:lang w:bidi="ar-JO"/>
        </w:rPr>
        <w:t>5.</w:t>
      </w:r>
      <w:r w:rsidRPr="00C7130A">
        <w:rPr>
          <w:rtl/>
          <w:lang w:bidi="ar-JO"/>
        </w:rPr>
        <w:tab/>
        <w:t xml:space="preserve"> سياسة إسرائيل الخارجية</w:t>
      </w:r>
      <w:bookmarkEnd w:id="352"/>
      <w:r w:rsidRPr="00C7130A">
        <w:rPr>
          <w:rtl/>
          <w:lang w:bidi="ar-JO"/>
        </w:rPr>
        <w:t xml:space="preserve"> </w:t>
      </w:r>
    </w:p>
    <w:p w14:paraId="3C3C4D81" w14:textId="7EACCFDD"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أعطى الله تعليمات لإسرائيل حول كيفية التعامل مع الشؤون الخارجية.  والخطة معلنة في تثنية 20: 10-18، وتضمنت مرحلتين (انظر 7: 1-26؛ 21: 10-14؛ 25: 17-19).</w:t>
      </w:r>
    </w:p>
    <w:p w14:paraId="70762DEB"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64A7E">
        <w:rPr>
          <w:rFonts w:eastAsia="Times New Roman"/>
          <w:kern w:val="0"/>
          <w:rtl/>
          <w:lang w:bidi="ar-JO"/>
          <w14:ligatures w14:val="none"/>
        </w:rPr>
        <w:t>(1)</w:t>
      </w:r>
      <w:r w:rsidRPr="00264A7E">
        <w:rPr>
          <w:rFonts w:eastAsia="Times New Roman"/>
          <w:kern w:val="0"/>
          <w:rtl/>
          <w:lang w:bidi="ar-JO"/>
          <w14:ligatures w14:val="none"/>
        </w:rPr>
        <w:tab/>
      </w:r>
      <w:r w:rsidRPr="00264A7E">
        <w:rPr>
          <w:rFonts w:eastAsia="Times New Roman"/>
          <w:kern w:val="0"/>
          <w:u w:val="single"/>
          <w:rtl/>
          <w:lang w:bidi="ar-JO"/>
          <w14:ligatures w14:val="none"/>
        </w:rPr>
        <w:t>المدن البعيدة جداً</w:t>
      </w:r>
      <w:r w:rsidRPr="00264A7E">
        <w:rPr>
          <w:rFonts w:eastAsia="Times New Roman"/>
          <w:kern w:val="0"/>
          <w:rtl/>
          <w:lang w:bidi="ar-JO"/>
          <w14:ligatures w14:val="none"/>
        </w:rPr>
        <w:t xml:space="preserve"> (أي المدن غير الكنعانية) – كانت السياسة هي عرض شروط سلام لجعل هذه المدن تخضع لحكم يهوه وإسرائيل (تثنية 20: 10-15).</w:t>
      </w:r>
    </w:p>
    <w:p w14:paraId="00CC8B55"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64A7E">
        <w:rPr>
          <w:rFonts w:eastAsia="Times New Roman"/>
          <w:kern w:val="0"/>
          <w:rtl/>
          <w:lang w:bidi="ar-JO"/>
          <w14:ligatures w14:val="none"/>
        </w:rPr>
        <w:t>(2)</w:t>
      </w:r>
      <w:r w:rsidRPr="00264A7E">
        <w:rPr>
          <w:rFonts w:eastAsia="Times New Roman"/>
          <w:kern w:val="0"/>
          <w:rtl/>
          <w:lang w:bidi="ar-JO"/>
          <w14:ligatures w14:val="none"/>
        </w:rPr>
        <w:tab/>
      </w:r>
      <w:r w:rsidRPr="00264A7E">
        <w:rPr>
          <w:rFonts w:eastAsia="Times New Roman"/>
          <w:kern w:val="0"/>
          <w:u w:val="single"/>
          <w:rtl/>
          <w:lang w:bidi="ar-JO"/>
          <w14:ligatures w14:val="none"/>
        </w:rPr>
        <w:t>المدن- الدول الكنعانية</w:t>
      </w:r>
      <w:r w:rsidRPr="00264A7E">
        <w:rPr>
          <w:rFonts w:eastAsia="Times New Roman"/>
          <w:kern w:val="0"/>
          <w:rtl/>
          <w:lang w:bidi="ar-JO"/>
          <w14:ligatures w14:val="none"/>
        </w:rPr>
        <w:t xml:space="preserve"> – كانت السياسة هي إبادتها (تثنية 20: 16-18).</w:t>
      </w:r>
    </w:p>
    <w:p w14:paraId="4209F234"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29D82D2" w14:textId="490833FB"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 xml:space="preserve">وربما يكون مناسباً هنا أن أقدّم بعض التعليقات حول فتح إسرائيل لأرض كنعان بصفته حرباً مقدَّسة.  لقد استهجن بعض الباحثين مثل هذه الممارسات وقالوا إنها لا تتفق مع إله الرحمة والمحبة المعلن في العهد الجديد (مثلاً هـ. هـ. راولي).  ويرى هؤلاء الباحثون أن إسرائيل تتصرف بشكل ظالم جداً في أخذها لأرض الكنعانيين.  أفليس أمراً قاسياً مناقضاً </w:t>
      </w:r>
      <w:r w:rsidRPr="00264A7E">
        <w:rPr>
          <w:rFonts w:eastAsia="Times New Roman"/>
          <w:kern w:val="0"/>
          <w:rtl/>
          <w:lang w:bidi="ar-JO"/>
          <w14:ligatures w14:val="none"/>
        </w:rPr>
        <w:lastRenderedPageBreak/>
        <w:t>للمبادئ السامية تدمير بيوت شعب بريء وعائلاته ومدنه ومواشيه؟ يفترض مثل هذا السؤال مسبقاً أن الكنعانيين شعب بريء.  وفي الواقع كان الله يجلب دينونته على الكنعانيين.  كانت هذه الحروب أخلاقية في طبيعتها، وقد عمد الله في هذه الحرب المقدسة إلى القضاء على الديانة الكنعانية.  ولم يكن هذا أكثر ظلماً من دينونة الله الأخلاقية التي أنزلها بالعالم الشرير بالطوفان، أو الدينونة التي أتت على سدوم وعمورة، أو الدينونة أمام العرش الأبيض العظيم عندما سيُرسل الأشرار إلى الجحيم.  لقد سبق أن أعطى الله الكنعانيين فرصة للتوبة، وقد انتهت فترة النعمة لهم بمجيء يشوع.  لنتذكر أن إبراهيم كان قد نادى بيهوه في وسط مركز عبادة كنعاني عندما جاء إلى الأرض (تكوين 12: 4-9).  وعلى الرغم من مناداة إبراهيم بالحق، لكن يهوه أعطى الكنعانيين فترة للتوبة أيضاً.  لنلاحظ تكوين 15: 16:</w:t>
      </w:r>
    </w:p>
    <w:p w14:paraId="3FB06DA2"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64A7E">
        <w:rPr>
          <w:rFonts w:eastAsia="Times New Roman"/>
          <w:kern w:val="0"/>
          <w:rtl/>
          <w:lang w:bidi="ar-JO"/>
          <w14:ligatures w14:val="none"/>
        </w:rPr>
        <w:t>وفي الجيل الرابع يرجعون إلى ههنا، لأن ذنب الأموريين ليس إلى الآن كاملاً.</w:t>
      </w:r>
    </w:p>
    <w:p w14:paraId="6E6AB44B"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Cs w:val="26"/>
          <w:rtl/>
          <w:lang w:bidi="ar-JO"/>
          <w14:ligatures w14:val="none"/>
        </w:rPr>
      </w:pPr>
      <w:r w:rsidRPr="00C7130A">
        <w:rPr>
          <w:rFonts w:eastAsia="Times New Roman"/>
          <w:kern w:val="0"/>
          <w:szCs w:val="26"/>
          <w:rtl/>
          <w:lang w:bidi="ar-JO"/>
          <w14:ligatures w14:val="none"/>
        </w:rPr>
        <w:t xml:space="preserve"> </w:t>
      </w:r>
    </w:p>
    <w:p w14:paraId="0E93964A" w14:textId="77777777" w:rsidR="006A7C83" w:rsidRPr="00C7130A" w:rsidRDefault="006A7C83" w:rsidP="000558B7">
      <w:pPr>
        <w:pStyle w:val="Heading3"/>
        <w:rPr>
          <w:rtl/>
          <w:lang w:bidi="ar-JO"/>
        </w:rPr>
      </w:pPr>
      <w:bookmarkStart w:id="353" w:name="_Toc193031106"/>
      <w:r w:rsidRPr="00C7130A">
        <w:rPr>
          <w:rtl/>
          <w:lang w:bidi="ar-JO"/>
        </w:rPr>
        <w:t>6.</w:t>
      </w:r>
      <w:r w:rsidRPr="00C7130A">
        <w:rPr>
          <w:rtl/>
          <w:lang w:bidi="ar-JO"/>
        </w:rPr>
        <w:tab/>
      </w:r>
      <w:r w:rsidRPr="00C7130A">
        <w:rPr>
          <w:rtl/>
        </w:rPr>
        <w:t xml:space="preserve">شخص </w:t>
      </w:r>
      <w:r w:rsidRPr="00C7130A">
        <w:rPr>
          <w:rtl/>
          <w:lang w:bidi="ar-JO"/>
        </w:rPr>
        <w:t>يشوع</w:t>
      </w:r>
      <w:bookmarkEnd w:id="353"/>
      <w:r w:rsidRPr="00C7130A">
        <w:rPr>
          <w:rtl/>
          <w:lang w:bidi="ar-JO"/>
        </w:rPr>
        <w:t xml:space="preserve"> </w:t>
      </w:r>
    </w:p>
    <w:p w14:paraId="4EF93DDE"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 xml:space="preserve">كان اسم يشوع مناسباً جدّاً للدور الذي سيلعبه كقائد للفتح، وكان الشكل الأصلي للاسم العبري هو هَوشَع </w:t>
      </w:r>
      <w:r w:rsidRPr="00264A7E">
        <w:rPr>
          <w:rFonts w:eastAsia="Times New Roman"/>
          <w:bCs/>
          <w:i/>
          <w:iCs/>
          <w:kern w:val="0"/>
          <w14:ligatures w14:val="none"/>
        </w:rPr>
        <w:t>hôs̆ēaʿ</w:t>
      </w:r>
      <w:r w:rsidRPr="00264A7E">
        <w:rPr>
          <w:rFonts w:eastAsia="Times New Roman"/>
          <w:kern w:val="0"/>
          <w:rtl/>
          <w14:ligatures w14:val="none"/>
        </w:rPr>
        <w:t xml:space="preserve"> </w:t>
      </w:r>
      <w:r w:rsidRPr="00264A7E">
        <w:rPr>
          <w:rFonts w:eastAsia="Times New Roman"/>
          <w:kern w:val="0"/>
          <w:rtl/>
          <w:lang w:bidi="ar-JO"/>
          <w14:ligatures w14:val="none"/>
        </w:rPr>
        <w:t>ويعني "الخلاص" (عدد 13: 8؛ الترجمة السبعينية أوسي</w:t>
      </w:r>
      <w:r w:rsidRPr="00264A7E">
        <w:rPr>
          <w:rFonts w:eastAsia="Times New Roman"/>
          <w:kern w:val="0"/>
          <w:rtl/>
          <w14:ligatures w14:val="none"/>
        </w:rPr>
        <w:t xml:space="preserve"> </w:t>
      </w:r>
      <w:r w:rsidRPr="00264A7E">
        <w:rPr>
          <w:rFonts w:eastAsia="Times New Roman"/>
          <w:bCs/>
          <w:i/>
          <w:iCs/>
          <w:kern w:val="0"/>
          <w14:ligatures w14:val="none"/>
        </w:rPr>
        <w:t>Ausē</w:t>
      </w:r>
      <w:r w:rsidRPr="00264A7E">
        <w:rPr>
          <w:rFonts w:eastAsia="Times New Roman"/>
          <w:kern w:val="0"/>
          <w:rtl/>
          <w14:ligatures w14:val="none"/>
        </w:rPr>
        <w:t>)</w:t>
      </w:r>
      <w:r w:rsidRPr="00264A7E">
        <w:rPr>
          <w:rFonts w:eastAsia="Times New Roman"/>
          <w:kern w:val="0"/>
          <w:rtl/>
          <w:lang w:bidi="ar-JO"/>
          <w14:ligatures w14:val="none"/>
        </w:rPr>
        <w:t>، لكن موسى غيّره إلى "</w:t>
      </w:r>
      <w:r w:rsidRPr="00264A7E">
        <w:rPr>
          <w:rFonts w:eastAsia="Times New Roman"/>
          <w:i/>
          <w:iCs/>
          <w:kern w:val="0"/>
          <w:rtl/>
          <w:lang w:bidi="ar-JO"/>
          <w14:ligatures w14:val="none"/>
        </w:rPr>
        <w:t>يشوع"</w:t>
      </w:r>
      <w:r w:rsidRPr="00264A7E">
        <w:rPr>
          <w:rFonts w:eastAsia="Times New Roman"/>
          <w:kern w:val="0"/>
          <w:rtl/>
          <w:lang w:bidi="ar-JO"/>
          <w14:ligatures w14:val="none"/>
        </w:rPr>
        <w:t xml:space="preserve">، الذي يعني </w:t>
      </w:r>
      <w:r w:rsidRPr="00264A7E">
        <w:rPr>
          <w:rFonts w:eastAsia="Times New Roman"/>
          <w:kern w:val="0"/>
          <w14:ligatures w14:val="none"/>
        </w:rPr>
        <w:t xml:space="preserve"> </w:t>
      </w:r>
      <w:r w:rsidRPr="00264A7E">
        <w:rPr>
          <w:rFonts w:eastAsia="Times New Roman"/>
          <w:bCs/>
          <w:i/>
          <w:iCs/>
          <w:kern w:val="0"/>
          <w14:ligatures w14:val="none"/>
        </w:rPr>
        <w:t>y</w:t>
      </w:r>
      <w:r w:rsidRPr="00264A7E">
        <w:rPr>
          <w:rFonts w:ascii="Times New Roman" w:eastAsia="Times New Roman" w:hAnsi="Times New Roman" w:cs="Times New Roman"/>
          <w:bCs/>
          <w:i/>
          <w:iCs/>
          <w:kern w:val="0"/>
          <w14:ligatures w14:val="none"/>
        </w:rPr>
        <w:t>ᵊ</w:t>
      </w:r>
      <w:r w:rsidRPr="00264A7E">
        <w:rPr>
          <w:rFonts w:eastAsia="Times New Roman"/>
          <w:bCs/>
          <w:i/>
          <w:iCs/>
          <w:kern w:val="0"/>
          <w14:ligatures w14:val="none"/>
        </w:rPr>
        <w:t>hôs̆uaʿ</w:t>
      </w:r>
      <w:r w:rsidRPr="00264A7E">
        <w:rPr>
          <w:rFonts w:eastAsia="Times New Roman"/>
          <w:kern w:val="0"/>
          <w:rtl/>
          <w:lang w:bidi="ar-JO"/>
          <w14:ligatures w14:val="none"/>
        </w:rPr>
        <w:t xml:space="preserve"> "يهوه يخلّص" (عدد 13: 16؛ الترجمة السبعينية إيسون</w:t>
      </w:r>
      <w:r w:rsidRPr="00264A7E">
        <w:rPr>
          <w:rFonts w:eastAsia="Times New Roman"/>
          <w:kern w:val="0"/>
          <w:rtl/>
          <w14:ligatures w14:val="none"/>
        </w:rPr>
        <w:t xml:space="preserve"> </w:t>
      </w:r>
      <w:r w:rsidRPr="00264A7E">
        <w:rPr>
          <w:rFonts w:eastAsia="Times New Roman"/>
          <w:bCs/>
          <w:i/>
          <w:iCs/>
          <w:kern w:val="0"/>
          <w14:ligatures w14:val="none"/>
        </w:rPr>
        <w:t>Iēsoun</w:t>
      </w:r>
      <w:r w:rsidRPr="00264A7E">
        <w:rPr>
          <w:rFonts w:eastAsia="Times New Roman"/>
          <w:kern w:val="0"/>
          <w:rtl/>
          <w:lang w:bidi="ar-JO"/>
          <w14:ligatures w14:val="none"/>
        </w:rPr>
        <w:t xml:space="preserve">)... ولُفظ فيما بعد </w:t>
      </w:r>
      <w:r w:rsidRPr="00264A7E">
        <w:rPr>
          <w:rFonts w:eastAsia="Times New Roman"/>
          <w:i/>
          <w:iCs/>
          <w:kern w:val="0"/>
          <w:rtl/>
          <w:lang w:bidi="ar-JO"/>
          <w14:ligatures w14:val="none"/>
        </w:rPr>
        <w:t>يشوع</w:t>
      </w:r>
      <w:r w:rsidRPr="00264A7E">
        <w:rPr>
          <w:rFonts w:eastAsia="Times New Roman"/>
          <w:kern w:val="0"/>
          <w:rtl/>
          <w:lang w:bidi="ar-JO"/>
          <w14:ligatures w14:val="none"/>
        </w:rPr>
        <w:t xml:space="preserve"> </w:t>
      </w:r>
      <w:r w:rsidRPr="00264A7E">
        <w:rPr>
          <w:rFonts w:eastAsia="Times New Roman"/>
          <w:kern w:val="0"/>
          <w:rtl/>
          <w14:ligatures w14:val="none"/>
        </w:rPr>
        <w:t xml:space="preserve"> </w:t>
      </w:r>
      <w:r w:rsidRPr="00264A7E">
        <w:rPr>
          <w:rFonts w:eastAsia="Times New Roman"/>
          <w:bCs/>
          <w:i/>
          <w:iCs/>
          <w:kern w:val="0"/>
          <w14:ligatures w14:val="none"/>
        </w:rPr>
        <w:t>yēs̆ūaʿ</w:t>
      </w:r>
      <w:r w:rsidRPr="00264A7E">
        <w:rPr>
          <w:rFonts w:eastAsia="Times New Roman"/>
          <w:kern w:val="0"/>
          <w:rtl/>
          <w:lang w:bidi="ar-JO"/>
          <w14:ligatures w14:val="none"/>
        </w:rPr>
        <w:t xml:space="preserve"> (نحميا 8: 17  الترجمة السبعينية إيسوس</w:t>
      </w:r>
      <w:r w:rsidRPr="00264A7E">
        <w:rPr>
          <w:rFonts w:eastAsia="Times New Roman"/>
          <w:kern w:val="0"/>
          <w:rtl/>
          <w14:ligatures w14:val="none"/>
        </w:rPr>
        <w:t xml:space="preserve"> </w:t>
      </w:r>
      <w:r w:rsidRPr="00264A7E">
        <w:rPr>
          <w:rFonts w:eastAsia="Times New Roman"/>
          <w:bCs/>
          <w:i/>
          <w:iCs/>
          <w:kern w:val="0"/>
          <w14:ligatures w14:val="none"/>
        </w:rPr>
        <w:t>Iēsous</w:t>
      </w:r>
      <w:r w:rsidRPr="00264A7E">
        <w:rPr>
          <w:rFonts w:eastAsia="Times New Roman"/>
          <w:kern w:val="0"/>
          <w:rtl/>
          <w14:ligatures w14:val="none"/>
        </w:rPr>
        <w:t>)</w:t>
      </w:r>
      <w:r w:rsidRPr="00264A7E">
        <w:rPr>
          <w:rFonts w:eastAsia="Times New Roman"/>
          <w:kern w:val="0"/>
          <w:rtl/>
          <w:lang w:bidi="ar-JO"/>
          <w14:ligatures w14:val="none"/>
        </w:rPr>
        <w:t>.</w:t>
      </w:r>
      <w:r w:rsidRPr="00264A7E">
        <w:rPr>
          <w:rFonts w:eastAsia="Times New Roman"/>
          <w:kern w:val="0"/>
          <w:vertAlign w:val="superscript"/>
          <w:rtl/>
          <w:lang w:bidi="ar-JO"/>
          <w14:ligatures w14:val="none"/>
        </w:rPr>
        <w:footnoteReference w:customMarkFollows="1" w:id="147"/>
        <w:t>6</w:t>
      </w:r>
      <w:r w:rsidRPr="00264A7E">
        <w:rPr>
          <w:rFonts w:eastAsia="Times New Roman"/>
          <w:kern w:val="0"/>
          <w:rtl/>
          <w:lang w:bidi="ar-JO"/>
          <w14:ligatures w14:val="none"/>
        </w:rPr>
        <w:t xml:space="preserve"> وسيأخذ الرب يسوع المسيح نفس الاسم، لأنه بمعنى أكثر واقعية، قائد فتحٍ أعظم.</w:t>
      </w:r>
    </w:p>
    <w:p w14:paraId="4AC75533"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C1C606A"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كان يشوع ذا شخصية متميّزة:</w:t>
      </w:r>
    </w:p>
    <w:p w14:paraId="47ABA902"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64A7E">
        <w:rPr>
          <w:rFonts w:eastAsia="Times New Roman"/>
          <w:kern w:val="0"/>
          <w:rtl/>
          <w:lang w:bidi="ar-JO"/>
          <w14:ligatures w14:val="none"/>
        </w:rPr>
        <w:t>(1)</w:t>
      </w:r>
      <w:r w:rsidRPr="00264A7E">
        <w:rPr>
          <w:rFonts w:eastAsia="Times New Roman"/>
          <w:kern w:val="0"/>
          <w:rtl/>
          <w:lang w:bidi="ar-JO"/>
          <w14:ligatures w14:val="none"/>
        </w:rPr>
        <w:tab/>
        <w:t>شجاعة غير محدودة (لنتذكر أنه كان أحد الإثني عشر جاسوساً الذين أُرسلوا لاستكشاف الأرض).</w:t>
      </w:r>
    </w:p>
    <w:p w14:paraId="1F7F9E26"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64A7E">
        <w:rPr>
          <w:rFonts w:eastAsia="Times New Roman"/>
          <w:kern w:val="0"/>
          <w:rtl/>
          <w:lang w:bidi="ar-JO"/>
          <w14:ligatures w14:val="none"/>
        </w:rPr>
        <w:t>(2)</w:t>
      </w:r>
      <w:r w:rsidRPr="00264A7E">
        <w:rPr>
          <w:rFonts w:eastAsia="Times New Roman"/>
          <w:kern w:val="0"/>
          <w:rtl/>
          <w:lang w:bidi="ar-JO"/>
          <w14:ligatures w14:val="none"/>
        </w:rPr>
        <w:tab/>
        <w:t>إيمان عظيم (على الرغم من حجم العدو، كان مقتنعاً أن الرب سيعطيهم النصر).</w:t>
      </w:r>
    </w:p>
    <w:p w14:paraId="7DE2EB45"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14:ligatures w14:val="none"/>
        </w:rPr>
      </w:pPr>
      <w:r w:rsidRPr="00264A7E">
        <w:rPr>
          <w:rFonts w:eastAsia="Times New Roman"/>
          <w:kern w:val="0"/>
          <w:rtl/>
          <w:lang w:bidi="ar-JO"/>
          <w14:ligatures w14:val="none"/>
        </w:rPr>
        <w:t>(3)</w:t>
      </w:r>
      <w:r w:rsidRPr="00264A7E">
        <w:rPr>
          <w:rFonts w:eastAsia="Times New Roman"/>
          <w:kern w:val="0"/>
          <w:rtl/>
          <w:lang w:bidi="ar-JO"/>
          <w14:ligatures w14:val="none"/>
        </w:rPr>
        <w:tab/>
        <w:t>طاعة غير محدودة (كان خاضعاً لرئيسه موسى وللرب في نفس الوقت؛ (انظر خروج 17: 8-10؛ 24: 13-18؛ 32: 15-18).</w:t>
      </w:r>
    </w:p>
    <w:p w14:paraId="0568C39C" w14:textId="77777777" w:rsidR="006A7C83" w:rsidRPr="00C7130A" w:rsidRDefault="006A7C83" w:rsidP="000558B7">
      <w:pPr>
        <w:pStyle w:val="Heading3"/>
        <w:rPr>
          <w:rtl/>
        </w:rPr>
      </w:pPr>
      <w:bookmarkStart w:id="354" w:name="_Toc193031107"/>
      <w:r w:rsidRPr="00C7130A">
        <w:rPr>
          <w:rtl/>
          <w:lang w:bidi="ar-JO"/>
        </w:rPr>
        <w:t>7.</w:t>
      </w:r>
      <w:r w:rsidRPr="00C7130A">
        <w:rPr>
          <w:rtl/>
          <w:lang w:bidi="ar-JO"/>
        </w:rPr>
        <w:tab/>
        <w:t>البنية</w:t>
      </w:r>
      <w:bookmarkEnd w:id="354"/>
      <w:r w:rsidRPr="00C7130A">
        <w:rPr>
          <w:rtl/>
          <w:lang w:bidi="ar-JO"/>
        </w:rPr>
        <w:t xml:space="preserve"> </w:t>
      </w:r>
    </w:p>
    <w:p w14:paraId="1F24EFCC"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64A7E">
        <w:rPr>
          <w:rFonts w:eastAsia="Times New Roman"/>
          <w:kern w:val="0"/>
          <w:rtl/>
          <w:lang w:bidi="ar-JO"/>
          <w14:ligatures w14:val="none"/>
        </w:rPr>
        <w:t xml:space="preserve">إن بنية السفر مباشِرة نوعاً ما (انظر ملحق 22-1).  يختص القسم الأول من السفر (1-12) بأخذ الأرض، بينما يختص القسم الثاني (13-21) بتوزيع الأرض على الإثني عشر سبطاً.  وتشكل الأصحاحات   22-24 خاتمة تتضمن إرشادات للشعب حول الكيفية التي يجب أن يعيشوا فيها في الأرض.  وقد يبدو هذا سرداً مملاً للأحداث بعض الشيء مع أهميّة </w:t>
      </w:r>
      <w:r w:rsidRPr="00264A7E">
        <w:rPr>
          <w:rFonts w:eastAsia="Times New Roman"/>
          <w:kern w:val="0"/>
          <w:rtl/>
          <w:lang w:bidi="ar-JO"/>
          <w14:ligatures w14:val="none"/>
        </w:rPr>
        <w:lastRenderedPageBreak/>
        <w:t>روحية قليلة.  لكن هذا غير صحيح، إذ توجد مبادئ روحية كثيرة في هذه الصفحات.  وفضلاً عن ذلك، فإن سرد الغزو يعد المسرح للاهوت العهد الجديد المرتبط بمسألة نوال الميراث الذي يحصل عليه المؤمن بالمسيح، الذي يحتمل بأمانة في سيره مع الله وخدمة للمسيح.</w:t>
      </w:r>
    </w:p>
    <w:p w14:paraId="67101A75"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KW"/>
          <w14:ligatures w14:val="none"/>
        </w:rPr>
      </w:pPr>
    </w:p>
    <w:p w14:paraId="6FD3E0EE" w14:textId="77777777" w:rsidR="006A7C83" w:rsidRPr="00C7130A" w:rsidRDefault="006A7C83" w:rsidP="000558B7">
      <w:pPr>
        <w:pStyle w:val="Heading3"/>
        <w:rPr>
          <w:rtl/>
          <w:lang w:bidi="ar-JO"/>
        </w:rPr>
      </w:pPr>
      <w:bookmarkStart w:id="355" w:name="_Toc193031108"/>
      <w:r w:rsidRPr="00C7130A">
        <w:rPr>
          <w:rtl/>
          <w:lang w:bidi="ar-JO"/>
        </w:rPr>
        <w:t>8.</w:t>
      </w:r>
      <w:r w:rsidRPr="00C7130A">
        <w:rPr>
          <w:rtl/>
          <w:lang w:bidi="ar-JO"/>
        </w:rPr>
        <w:tab/>
        <w:t>كتاب الحرب: أخذ الأرض (يشوع 1-12)</w:t>
      </w:r>
      <w:bookmarkEnd w:id="355"/>
    </w:p>
    <w:p w14:paraId="2E68EFEA" w14:textId="77777777" w:rsidR="006A7C83" w:rsidRPr="00264A7E" w:rsidRDefault="006A7C83" w:rsidP="00C7130A">
      <w:pPr>
        <w:tabs>
          <w:tab w:val="left" w:pos="454"/>
        </w:tabs>
        <w:spacing w:after="60"/>
        <w:ind w:left="550" w:hanging="550"/>
        <w:jc w:val="both"/>
        <w:rPr>
          <w:rFonts w:eastAsia="Times New Roman"/>
          <w:b/>
          <w:kern w:val="0"/>
          <w:rtl/>
          <w14:ligatures w14:val="none"/>
        </w:rPr>
      </w:pPr>
      <w:r w:rsidRPr="00264A7E">
        <w:rPr>
          <w:rFonts w:eastAsia="Times New Roman"/>
          <w:b/>
          <w:kern w:val="0"/>
          <w:rtl/>
          <w14:ligatures w14:val="none"/>
        </w:rPr>
        <w:t>أ.</w:t>
      </w:r>
      <w:r w:rsidRPr="00264A7E">
        <w:rPr>
          <w:rFonts w:eastAsia="Times New Roman"/>
          <w:b/>
          <w:kern w:val="0"/>
          <w:rtl/>
          <w14:ligatures w14:val="none"/>
        </w:rPr>
        <w:tab/>
        <w:t>الإعداد للحرب (يشوع 1-5)</w:t>
      </w:r>
    </w:p>
    <w:p w14:paraId="0AC8BBC1" w14:textId="08EA7405"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يتناول هذا القسم الإعداد الروحي للشعب وللقيادة – وهو أمر جوهري في أهميته قبل المعركة.  ويصوّر الجدول التالي تنظيم هذه الأصحاحات الخمس ومواضيعها وغرضها:</w:t>
      </w:r>
      <w:r w:rsidR="00AE237A" w:rsidRPr="00264A7E">
        <w:rPr>
          <w:rFonts w:eastAsia="Times New Roman"/>
          <w:kern w:val="0"/>
          <w:rtl/>
          <w:lang w:bidi="ar-JO"/>
          <w14:ligatures w14:val="none"/>
        </w:rPr>
        <w:t xml:space="preserve"> </w:t>
      </w:r>
    </w:p>
    <w:p w14:paraId="257188C2" w14:textId="0F984303" w:rsidR="00AE237A" w:rsidRPr="00C7130A" w:rsidRDefault="00AE237A"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5F4F76F8" w14:textId="069400BB" w:rsidR="00AE237A" w:rsidRPr="00C7130A" w:rsidRDefault="00AE237A"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76ECCA57" w14:textId="751B6596" w:rsidR="00AE237A" w:rsidRPr="00C7130A" w:rsidRDefault="00AE237A"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3715209B" w14:textId="77777777" w:rsidR="00AE237A" w:rsidRPr="00C7130A" w:rsidRDefault="00AE237A"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51D78320"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53CE3C50" w14:textId="07B78B17" w:rsidR="006A7C83" w:rsidRPr="00C7130A" w:rsidRDefault="00E83954" w:rsidP="00C7130A">
      <w:pPr>
        <w:rPr>
          <w:rFonts w:eastAsia="Times New Roman"/>
          <w:kern w:val="0"/>
          <w:sz w:val="32"/>
          <w:szCs w:val="32"/>
          <w:rtl/>
          <w14:ligatures w14:val="none"/>
        </w:rPr>
      </w:pPr>
      <w:r w:rsidRPr="00C7130A">
        <w:rPr>
          <w:rFonts w:eastAsia="Times New Roman"/>
          <w:noProof/>
          <w:kern w:val="0"/>
          <w:sz w:val="20"/>
          <w:szCs w:val="18"/>
          <w:rtl/>
          <w:lang w:val="ar-SA" w:eastAsia="ar-SA"/>
          <w14:ligatures w14:val="none"/>
        </w:rPr>
        <mc:AlternateContent>
          <mc:Choice Requires="wpg">
            <w:drawing>
              <wp:anchor distT="0" distB="0" distL="114300" distR="114300" simplePos="0" relativeHeight="251666432" behindDoc="0" locked="0" layoutInCell="1" allowOverlap="1" wp14:anchorId="42341769" wp14:editId="73B87D9B">
                <wp:simplePos x="0" y="0"/>
                <wp:positionH relativeFrom="column">
                  <wp:posOffset>304800</wp:posOffset>
                </wp:positionH>
                <wp:positionV relativeFrom="paragraph">
                  <wp:posOffset>46355</wp:posOffset>
                </wp:positionV>
                <wp:extent cx="5334000" cy="3209925"/>
                <wp:effectExtent l="9525" t="8255" r="9525" b="1270"/>
                <wp:wrapNone/>
                <wp:docPr id="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00" cy="3209925"/>
                          <a:chOff x="1727" y="7352"/>
                          <a:chExt cx="8400" cy="5055"/>
                        </a:xfrm>
                      </wpg:grpSpPr>
                      <wps:wsp>
                        <wps:cNvPr id="9" name="Line 66"/>
                        <wps:cNvCnPr>
                          <a:cxnSpLocks noChangeShapeType="1"/>
                        </wps:cNvCnPr>
                        <wps:spPr bwMode="auto">
                          <a:xfrm>
                            <a:off x="952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 name="Line 67"/>
                        <wps:cNvCnPr>
                          <a:cxnSpLocks noChangeShapeType="1"/>
                        </wps:cNvCnPr>
                        <wps:spPr bwMode="auto">
                          <a:xfrm>
                            <a:off x="844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 name="Line 68"/>
                        <wps:cNvCnPr>
                          <a:cxnSpLocks noChangeShapeType="1"/>
                        </wps:cNvCnPr>
                        <wps:spPr bwMode="auto">
                          <a:xfrm>
                            <a:off x="724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2" name="Group 69"/>
                        <wpg:cNvGrpSpPr>
                          <a:grpSpLocks/>
                        </wpg:cNvGrpSpPr>
                        <wpg:grpSpPr bwMode="auto">
                          <a:xfrm>
                            <a:off x="1727" y="7352"/>
                            <a:ext cx="8400" cy="5055"/>
                            <a:chOff x="1727" y="7367"/>
                            <a:chExt cx="8400" cy="5055"/>
                          </a:xfrm>
                        </wpg:grpSpPr>
                        <wps:wsp>
                          <wps:cNvPr id="13" name="Line 70"/>
                          <wps:cNvCnPr>
                            <a:cxnSpLocks noChangeShapeType="1"/>
                          </wps:cNvCnPr>
                          <wps:spPr bwMode="auto">
                            <a:xfrm>
                              <a:off x="1012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 name="Line 71"/>
                          <wps:cNvCnPr>
                            <a:cxnSpLocks noChangeShapeType="1"/>
                          </wps:cNvCnPr>
                          <wps:spPr bwMode="auto">
                            <a:xfrm>
                              <a:off x="592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Line 72"/>
                          <wps:cNvCnPr>
                            <a:cxnSpLocks noChangeShapeType="1"/>
                          </wps:cNvCnPr>
                          <wps:spPr bwMode="auto">
                            <a:xfrm>
                              <a:off x="460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Line 73"/>
                          <wps:cNvCnPr>
                            <a:cxnSpLocks noChangeShapeType="1"/>
                          </wps:cNvCnPr>
                          <wps:spPr bwMode="auto">
                            <a:xfrm>
                              <a:off x="316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Line 74"/>
                          <wps:cNvCnPr>
                            <a:cxnSpLocks noChangeShapeType="1"/>
                          </wps:cNvCnPr>
                          <wps:spPr bwMode="auto">
                            <a:xfrm>
                              <a:off x="3167" y="12287"/>
                              <a:ext cx="6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 name="Line 75"/>
                          <wps:cNvCnPr>
                            <a:cxnSpLocks noChangeShapeType="1"/>
                          </wps:cNvCnPr>
                          <wps:spPr bwMode="auto">
                            <a:xfrm>
                              <a:off x="3167" y="9167"/>
                              <a:ext cx="6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Line 76"/>
                          <wps:cNvCnPr>
                            <a:cxnSpLocks noChangeShapeType="1"/>
                          </wps:cNvCnPr>
                          <wps:spPr bwMode="auto">
                            <a:xfrm flipH="1" flipV="1">
                              <a:off x="8102" y="7367"/>
                              <a:ext cx="144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Line 77"/>
                          <wps:cNvCnPr>
                            <a:cxnSpLocks noChangeShapeType="1"/>
                          </wps:cNvCnPr>
                          <wps:spPr bwMode="auto">
                            <a:xfrm flipH="1" flipV="1">
                              <a:off x="7007" y="7367"/>
                              <a:ext cx="144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Line 78"/>
                          <wps:cNvCnPr>
                            <a:cxnSpLocks noChangeShapeType="1"/>
                          </wps:cNvCnPr>
                          <wps:spPr bwMode="auto">
                            <a:xfrm flipH="1" flipV="1">
                              <a:off x="5807" y="7367"/>
                              <a:ext cx="144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Line 79"/>
                          <wps:cNvCnPr>
                            <a:cxnSpLocks noChangeShapeType="1"/>
                          </wps:cNvCnPr>
                          <wps:spPr bwMode="auto">
                            <a:xfrm flipH="1" flipV="1">
                              <a:off x="3167" y="7367"/>
                              <a:ext cx="144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Line 80"/>
                          <wps:cNvCnPr>
                            <a:cxnSpLocks noChangeShapeType="1"/>
                          </wps:cNvCnPr>
                          <wps:spPr bwMode="auto">
                            <a:xfrm flipH="1" flipV="1">
                              <a:off x="1727" y="7367"/>
                              <a:ext cx="144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Line 81"/>
                          <wps:cNvCnPr>
                            <a:cxnSpLocks noChangeShapeType="1"/>
                          </wps:cNvCnPr>
                          <wps:spPr bwMode="auto">
                            <a:xfrm>
                              <a:off x="1742" y="7367"/>
                              <a:ext cx="6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Line 82"/>
                          <wps:cNvCnPr>
                            <a:cxnSpLocks noChangeShapeType="1"/>
                          </wps:cNvCnPr>
                          <wps:spPr bwMode="auto">
                            <a:xfrm>
                              <a:off x="2807" y="8687"/>
                              <a:ext cx="6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Text Box 83"/>
                          <wps:cNvSpPr txBox="1">
                            <a:spLocks noChangeArrowheads="1"/>
                          </wps:cNvSpPr>
                          <wps:spPr bwMode="auto">
                            <a:xfrm rot="-5400000">
                              <a:off x="9207" y="9427"/>
                              <a:ext cx="1080" cy="68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07986" w14:textId="77777777" w:rsidR="006A7C83" w:rsidRDefault="006A7C83" w:rsidP="006A7C83">
                                <w:pPr>
                                  <w:autoSpaceDE w:val="0"/>
                                  <w:autoSpaceDN w:val="0"/>
                                  <w:adjustRightInd w:val="0"/>
                                  <w:rPr>
                                    <w:color w:val="000000"/>
                                    <w:rtl/>
                                  </w:rPr>
                                </w:pPr>
                                <w:r>
                                  <w:rPr>
                                    <w:color w:val="000000"/>
                                    <w:rtl/>
                                  </w:rPr>
                                  <w:t>الموضوع</w:t>
                                </w:r>
                              </w:p>
                            </w:txbxContent>
                          </wps:txbx>
                          <wps:bodyPr rot="0" vert="horz" wrap="square" lIns="91440" tIns="45720" rIns="91440" bIns="45720" anchor="t" anchorCtr="0" upright="1">
                            <a:noAutofit/>
                          </wps:bodyPr>
                        </wps:wsp>
                        <wps:wsp>
                          <wps:cNvPr id="27" name="Text Box 84"/>
                          <wps:cNvSpPr txBox="1">
                            <a:spLocks noChangeArrowheads="1"/>
                          </wps:cNvSpPr>
                          <wps:spPr bwMode="auto">
                            <a:xfrm rot="-5400000">
                              <a:off x="9114" y="11103"/>
                              <a:ext cx="1440" cy="557"/>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7A0AF" w14:textId="77777777" w:rsidR="006A7C83" w:rsidRDefault="006A7C83" w:rsidP="006A7C83">
                                <w:pPr>
                                  <w:autoSpaceDE w:val="0"/>
                                  <w:autoSpaceDN w:val="0"/>
                                  <w:adjustRightInd w:val="0"/>
                                  <w:jc w:val="center"/>
                                  <w:rPr>
                                    <w:color w:val="000000"/>
                                    <w:rtl/>
                                  </w:rPr>
                                </w:pPr>
                                <w:r>
                                  <w:rPr>
                                    <w:color w:val="000000"/>
                                    <w:rtl/>
                                  </w:rPr>
                                  <w:t>الغرض</w:t>
                                </w:r>
                              </w:p>
                            </w:txbxContent>
                          </wps:txbx>
                          <wps:bodyPr rot="0" vert="horz" wrap="square" lIns="91440" tIns="45720" rIns="91440" bIns="45720" anchor="t" anchorCtr="0" upright="1">
                            <a:noAutofit/>
                          </wps:bodyPr>
                        </wps:wsp>
                        <wps:wsp>
                          <wps:cNvPr id="28" name="Text Box 85"/>
                          <wps:cNvSpPr txBox="1">
                            <a:spLocks noChangeArrowheads="1"/>
                          </wps:cNvSpPr>
                          <wps:spPr bwMode="auto">
                            <a:xfrm>
                              <a:off x="7367" y="7532"/>
                              <a:ext cx="1080" cy="91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F1624" w14:textId="77777777" w:rsidR="006A7C83" w:rsidRDefault="006A7C83" w:rsidP="006A7C83">
                                <w:pPr>
                                  <w:autoSpaceDE w:val="0"/>
                                  <w:autoSpaceDN w:val="0"/>
                                  <w:adjustRightInd w:val="0"/>
                                  <w:jc w:val="center"/>
                                  <w:rPr>
                                    <w:color w:val="000000"/>
                                    <w:rtl/>
                                  </w:rPr>
                                </w:pPr>
                                <w:r>
                                  <w:rPr>
                                    <w:color w:val="000000"/>
                                    <w:rtl/>
                                  </w:rPr>
                                  <w:t>الأمر بالحرب</w:t>
                                </w:r>
                                <w:r>
                                  <w:rPr>
                                    <w:color w:val="000000"/>
                                  </w:rPr>
                                  <w:t xml:space="preserve"> </w:t>
                                </w:r>
                              </w:p>
                            </w:txbxContent>
                          </wps:txbx>
                          <wps:bodyPr rot="0" vert="horz" wrap="square" lIns="91440" tIns="45720" rIns="91440" bIns="45720" anchor="t" anchorCtr="0" upright="1">
                            <a:noAutofit/>
                          </wps:bodyPr>
                        </wps:wsp>
                        <wps:wsp>
                          <wps:cNvPr id="29" name="Text Box 86"/>
                          <wps:cNvSpPr txBox="1">
                            <a:spLocks noChangeArrowheads="1"/>
                          </wps:cNvSpPr>
                          <wps:spPr bwMode="auto">
                            <a:xfrm>
                              <a:off x="8207" y="8567"/>
                              <a:ext cx="1080" cy="66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B7CEF" w14:textId="77777777" w:rsidR="006A7C83" w:rsidRDefault="006A7C83" w:rsidP="006A7C83">
                                <w:pPr>
                                  <w:autoSpaceDE w:val="0"/>
                                  <w:autoSpaceDN w:val="0"/>
                                  <w:adjustRightInd w:val="0"/>
                                  <w:jc w:val="center"/>
                                  <w:rPr>
                                    <w:color w:val="000000"/>
                                    <w:rtl/>
                                  </w:rPr>
                                </w:pPr>
                                <w:r>
                                  <w:rPr>
                                    <w:color w:val="000000"/>
                                    <w:rtl/>
                                  </w:rPr>
                                  <w:t>إص 1</w:t>
                                </w:r>
                              </w:p>
                            </w:txbxContent>
                          </wps:txbx>
                          <wps:bodyPr rot="0" vert="horz" wrap="square" lIns="91440" tIns="45720" rIns="91440" bIns="45720" anchor="t" anchorCtr="0" upright="1">
                            <a:noAutofit/>
                          </wps:bodyPr>
                        </wps:wsp>
                        <wps:wsp>
                          <wps:cNvPr id="30" name="Text Box 87"/>
                          <wps:cNvSpPr txBox="1">
                            <a:spLocks noChangeArrowheads="1"/>
                          </wps:cNvSpPr>
                          <wps:spPr bwMode="auto">
                            <a:xfrm>
                              <a:off x="7007" y="8567"/>
                              <a:ext cx="1080" cy="66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CE7D2" w14:textId="77777777" w:rsidR="006A7C83" w:rsidRDefault="006A7C83" w:rsidP="006A7C83">
                                <w:pPr>
                                  <w:autoSpaceDE w:val="0"/>
                                  <w:autoSpaceDN w:val="0"/>
                                  <w:adjustRightInd w:val="0"/>
                                  <w:jc w:val="center"/>
                                  <w:rPr>
                                    <w:color w:val="000000"/>
                                    <w:rtl/>
                                  </w:rPr>
                                </w:pPr>
                                <w:r>
                                  <w:rPr>
                                    <w:color w:val="000000"/>
                                    <w:rtl/>
                                  </w:rPr>
                                  <w:t>إص 2</w:t>
                                </w:r>
                              </w:p>
                            </w:txbxContent>
                          </wps:txbx>
                          <wps:bodyPr rot="0" vert="horz" wrap="square" lIns="91440" tIns="45720" rIns="91440" bIns="45720" anchor="t" anchorCtr="0" upright="1">
                            <a:noAutofit/>
                          </wps:bodyPr>
                        </wps:wsp>
                        <wps:wsp>
                          <wps:cNvPr id="31" name="Text Box 88"/>
                          <wps:cNvSpPr txBox="1">
                            <a:spLocks noChangeArrowheads="1"/>
                          </wps:cNvSpPr>
                          <wps:spPr bwMode="auto">
                            <a:xfrm>
                              <a:off x="4847" y="8582"/>
                              <a:ext cx="1680" cy="72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9FD46" w14:textId="77777777" w:rsidR="006A7C83" w:rsidRDefault="006A7C83" w:rsidP="006A7C83">
                                <w:pPr>
                                  <w:autoSpaceDE w:val="0"/>
                                  <w:autoSpaceDN w:val="0"/>
                                  <w:adjustRightInd w:val="0"/>
                                  <w:jc w:val="center"/>
                                  <w:rPr>
                                    <w:color w:val="000000"/>
                                    <w:rtl/>
                                  </w:rPr>
                                </w:pPr>
                                <w:r>
                                  <w:rPr>
                                    <w:color w:val="000000"/>
                                    <w:rtl/>
                                  </w:rPr>
                                  <w:t>إص 3: 1-5:1</w:t>
                                </w:r>
                              </w:p>
                            </w:txbxContent>
                          </wps:txbx>
                          <wps:bodyPr rot="0" vert="horz" wrap="square" lIns="91440" tIns="45720" rIns="91440" bIns="45720" anchor="t" anchorCtr="0" upright="1">
                            <a:noAutofit/>
                          </wps:bodyPr>
                        </wps:wsp>
                        <wps:wsp>
                          <wps:cNvPr id="32" name="Text Box 89"/>
                          <wps:cNvSpPr txBox="1">
                            <a:spLocks noChangeArrowheads="1"/>
                          </wps:cNvSpPr>
                          <wps:spPr bwMode="auto">
                            <a:xfrm>
                              <a:off x="2942" y="8567"/>
                              <a:ext cx="1440" cy="64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A88E0" w14:textId="77777777" w:rsidR="006A7C83" w:rsidRDefault="006A7C83" w:rsidP="006A7C83">
                                <w:pPr>
                                  <w:autoSpaceDE w:val="0"/>
                                  <w:autoSpaceDN w:val="0"/>
                                  <w:adjustRightInd w:val="0"/>
                                  <w:jc w:val="center"/>
                                  <w:rPr>
                                    <w:color w:val="000000"/>
                                    <w:rtl/>
                                  </w:rPr>
                                </w:pPr>
                                <w:r>
                                  <w:rPr>
                                    <w:color w:val="000000"/>
                                    <w:rtl/>
                                  </w:rPr>
                                  <w:t>إص 5: 2-15</w:t>
                                </w:r>
                              </w:p>
                            </w:txbxContent>
                          </wps:txbx>
                          <wps:bodyPr rot="0" vert="horz" wrap="square" lIns="91440" tIns="45720" rIns="91440" bIns="45720" anchor="t" anchorCtr="0" upright="1">
                            <a:noAutofit/>
                          </wps:bodyPr>
                        </wps:wsp>
                        <wps:wsp>
                          <wps:cNvPr id="33" name="Text Box 90"/>
                          <wps:cNvSpPr txBox="1">
                            <a:spLocks noChangeArrowheads="1"/>
                          </wps:cNvSpPr>
                          <wps:spPr bwMode="auto">
                            <a:xfrm>
                              <a:off x="6197" y="7532"/>
                              <a:ext cx="1200" cy="91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7D093" w14:textId="77777777" w:rsidR="006A7C83" w:rsidRDefault="006A7C83" w:rsidP="006A7C83">
                                <w:pPr>
                                  <w:autoSpaceDE w:val="0"/>
                                  <w:autoSpaceDN w:val="0"/>
                                  <w:adjustRightInd w:val="0"/>
                                  <w:jc w:val="center"/>
                                  <w:rPr>
                                    <w:color w:val="000000"/>
                                    <w:rtl/>
                                  </w:rPr>
                                </w:pPr>
                                <w:r>
                                  <w:rPr>
                                    <w:color w:val="000000"/>
                                    <w:rtl/>
                                  </w:rPr>
                                  <w:t>استطلاع أريحا</w:t>
                                </w:r>
                                <w:r>
                                  <w:rPr>
                                    <w:color w:val="000000"/>
                                  </w:rPr>
                                  <w:t xml:space="preserve"> </w:t>
                                </w:r>
                              </w:p>
                            </w:txbxContent>
                          </wps:txbx>
                          <wps:bodyPr rot="0" vert="horz" wrap="square" lIns="91440" tIns="45720" rIns="91440" bIns="45720" anchor="t" anchorCtr="0" upright="1">
                            <a:noAutofit/>
                          </wps:bodyPr>
                        </wps:wsp>
                        <wps:wsp>
                          <wps:cNvPr id="34" name="Text Box 91"/>
                          <wps:cNvSpPr txBox="1">
                            <a:spLocks noChangeArrowheads="1"/>
                          </wps:cNvSpPr>
                          <wps:spPr bwMode="auto">
                            <a:xfrm>
                              <a:off x="3917" y="7487"/>
                              <a:ext cx="1680" cy="91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10D34" w14:textId="77777777" w:rsidR="006A7C83" w:rsidRDefault="006A7C83" w:rsidP="006A7C83">
                                <w:pPr>
                                  <w:autoSpaceDE w:val="0"/>
                                  <w:autoSpaceDN w:val="0"/>
                                  <w:adjustRightInd w:val="0"/>
                                  <w:jc w:val="center"/>
                                  <w:rPr>
                                    <w:color w:val="000000"/>
                                    <w:sz w:val="28"/>
                                    <w:szCs w:val="28"/>
                                    <w:rtl/>
                                  </w:rPr>
                                </w:pPr>
                                <w:r>
                                  <w:rPr>
                                    <w:color w:val="000000"/>
                                    <w:sz w:val="28"/>
                                    <w:szCs w:val="28"/>
                                    <w:rtl/>
                                  </w:rPr>
                                  <w:t>عبور نهر الأردن</w:t>
                                </w:r>
                                <w:r>
                                  <w:rPr>
                                    <w:color w:val="000000"/>
                                    <w:sz w:val="28"/>
                                    <w:szCs w:val="28"/>
                                  </w:rPr>
                                  <w:t xml:space="preserve"> </w:t>
                                </w:r>
                              </w:p>
                            </w:txbxContent>
                          </wps:txbx>
                          <wps:bodyPr rot="0" vert="horz" wrap="square" lIns="91440" tIns="45720" rIns="91440" bIns="45720" anchor="t" anchorCtr="0" upright="1">
                            <a:noAutofit/>
                          </wps:bodyPr>
                        </wps:wsp>
                        <wps:wsp>
                          <wps:cNvPr id="35" name="Text Box 92"/>
                          <wps:cNvSpPr txBox="1">
                            <a:spLocks noChangeArrowheads="1"/>
                          </wps:cNvSpPr>
                          <wps:spPr bwMode="auto">
                            <a:xfrm>
                              <a:off x="2072" y="7382"/>
                              <a:ext cx="1470" cy="10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12BAE" w14:textId="77777777" w:rsidR="006A7C83" w:rsidRDefault="006A7C83" w:rsidP="006A7C83">
                                <w:pPr>
                                  <w:autoSpaceDE w:val="0"/>
                                  <w:autoSpaceDN w:val="0"/>
                                  <w:adjustRightInd w:val="0"/>
                                  <w:jc w:val="center"/>
                                  <w:rPr>
                                    <w:color w:val="000000"/>
                                    <w:rtl/>
                                  </w:rPr>
                                </w:pPr>
                                <w:r>
                                  <w:rPr>
                                    <w:rFonts w:hint="cs"/>
                                    <w:color w:val="000000"/>
                                    <w:rtl/>
                                  </w:rPr>
                                  <w:t xml:space="preserve">التحضيرات الروحية الأخيرة </w:t>
                                </w:r>
                                <w:r>
                                  <w:rPr>
                                    <w:color w:val="000000"/>
                                  </w:rPr>
                                  <w:t xml:space="preserve"> </w:t>
                                </w:r>
                              </w:p>
                            </w:txbxContent>
                          </wps:txbx>
                          <wps:bodyPr rot="0" vert="horz" wrap="square" lIns="91440" tIns="45720" rIns="91440" bIns="45720" anchor="t" anchorCtr="0" upright="1">
                            <a:noAutofit/>
                          </wps:bodyPr>
                        </wps:wsp>
                        <wps:wsp>
                          <wps:cNvPr id="36" name="Text Box 93"/>
                          <wps:cNvSpPr txBox="1">
                            <a:spLocks noChangeArrowheads="1"/>
                          </wps:cNvSpPr>
                          <wps:spPr bwMode="auto">
                            <a:xfrm>
                              <a:off x="8563" y="9310"/>
                              <a:ext cx="964" cy="1117"/>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20D16" w14:textId="77777777" w:rsidR="006A7C83" w:rsidRDefault="006A7C83" w:rsidP="006A7C83">
                                <w:pPr>
                                  <w:autoSpaceDE w:val="0"/>
                                  <w:autoSpaceDN w:val="0"/>
                                  <w:adjustRightInd w:val="0"/>
                                  <w:jc w:val="center"/>
                                  <w:rPr>
                                    <w:color w:val="000000"/>
                                    <w:rtl/>
                                  </w:rPr>
                                </w:pPr>
                                <w:r>
                                  <w:rPr>
                                    <w:color w:val="000000"/>
                                    <w:rtl/>
                                  </w:rPr>
                                  <w:t>الشريعة (الكلمة</w:t>
                                </w:r>
                                <w:r>
                                  <w:rPr>
                                    <w:rFonts w:hint="cs"/>
                                    <w:color w:val="000000"/>
                                    <w:rtl/>
                                  </w:rPr>
                                  <w:t>)</w:t>
                                </w:r>
                              </w:p>
                            </w:txbxContent>
                          </wps:txbx>
                          <wps:bodyPr rot="0" vert="horz" wrap="square" lIns="91440" tIns="45720" rIns="91440" bIns="45720" anchor="t" anchorCtr="0" upright="1">
                            <a:noAutofit/>
                          </wps:bodyPr>
                        </wps:wsp>
                        <wps:wsp>
                          <wps:cNvPr id="37" name="Text Box 94"/>
                          <wps:cNvSpPr txBox="1">
                            <a:spLocks noChangeArrowheads="1"/>
                          </wps:cNvSpPr>
                          <wps:spPr bwMode="auto">
                            <a:xfrm>
                              <a:off x="7247" y="9287"/>
                              <a:ext cx="1200" cy="1166"/>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4579E" w14:textId="77777777" w:rsidR="006A7C83" w:rsidRDefault="006A7C83" w:rsidP="006A7C83">
                                <w:pPr>
                                  <w:autoSpaceDE w:val="0"/>
                                  <w:autoSpaceDN w:val="0"/>
                                  <w:adjustRightInd w:val="0"/>
                                  <w:jc w:val="center"/>
                                  <w:rPr>
                                    <w:color w:val="000000"/>
                                    <w:rtl/>
                                  </w:rPr>
                                </w:pPr>
                                <w:r>
                                  <w:rPr>
                                    <w:color w:val="000000"/>
                                    <w:rtl/>
                                  </w:rPr>
                                  <w:t>تقرير الجواسيس</w:t>
                                </w:r>
                                <w:r>
                                  <w:rPr>
                                    <w:color w:val="000000"/>
                                  </w:rPr>
                                  <w:t xml:space="preserve"> </w:t>
                                </w:r>
                              </w:p>
                            </w:txbxContent>
                          </wps:txbx>
                          <wps:bodyPr rot="0" vert="horz" wrap="square" lIns="91440" tIns="45720" rIns="91440" bIns="45720" anchor="t" anchorCtr="0" upright="1">
                            <a:noAutofit/>
                          </wps:bodyPr>
                        </wps:wsp>
                        <wps:wsp>
                          <wps:cNvPr id="38" name="Text Box 95"/>
                          <wps:cNvSpPr txBox="1">
                            <a:spLocks noChangeArrowheads="1"/>
                          </wps:cNvSpPr>
                          <wps:spPr bwMode="auto">
                            <a:xfrm>
                              <a:off x="5837" y="9122"/>
                              <a:ext cx="1440" cy="13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D2D85" w14:textId="77777777" w:rsidR="006A7C83" w:rsidRDefault="006A7C83" w:rsidP="006A7C83">
                                <w:pPr>
                                  <w:autoSpaceDE w:val="0"/>
                                  <w:autoSpaceDN w:val="0"/>
                                  <w:adjustRightInd w:val="0"/>
                                  <w:jc w:val="center"/>
                                  <w:rPr>
                                    <w:color w:val="000000"/>
                                    <w:rtl/>
                                  </w:rPr>
                                </w:pPr>
                                <w:r>
                                  <w:rPr>
                                    <w:color w:val="000000"/>
                                    <w:rtl/>
                                  </w:rPr>
                                  <w:t xml:space="preserve">يشوع يقود الشعب عبر نهر الأردن </w:t>
                                </w:r>
                              </w:p>
                            </w:txbxContent>
                          </wps:txbx>
                          <wps:bodyPr rot="0" vert="horz" wrap="square" lIns="91440" tIns="45720" rIns="91440" bIns="45720" anchor="t" anchorCtr="0" upright="1">
                            <a:noAutofit/>
                          </wps:bodyPr>
                        </wps:wsp>
                        <wps:wsp>
                          <wps:cNvPr id="39" name="Text Box 96"/>
                          <wps:cNvSpPr txBox="1">
                            <a:spLocks noChangeArrowheads="1"/>
                          </wps:cNvSpPr>
                          <wps:spPr bwMode="auto">
                            <a:xfrm>
                              <a:off x="4772" y="9482"/>
                              <a:ext cx="960" cy="5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D1E13" w14:textId="77777777" w:rsidR="006A7C83" w:rsidRDefault="006A7C83" w:rsidP="006A7C83">
                                <w:pPr>
                                  <w:autoSpaceDE w:val="0"/>
                                  <w:autoSpaceDN w:val="0"/>
                                  <w:adjustRightInd w:val="0"/>
                                  <w:jc w:val="center"/>
                                  <w:rPr>
                                    <w:color w:val="000000"/>
                                    <w:rtl/>
                                  </w:rPr>
                                </w:pPr>
                                <w:r>
                                  <w:rPr>
                                    <w:color w:val="000000"/>
                                    <w:rtl/>
                                  </w:rPr>
                                  <w:t>العمود</w:t>
                                </w:r>
                                <w:r>
                                  <w:rPr>
                                    <w:color w:val="000000"/>
                                  </w:rPr>
                                  <w:t xml:space="preserve"> </w:t>
                                </w:r>
                              </w:p>
                            </w:txbxContent>
                          </wps:txbx>
                          <wps:bodyPr rot="0" vert="horz" wrap="square" lIns="91440" tIns="45720" rIns="91440" bIns="45720" anchor="t" anchorCtr="0" upright="1">
                            <a:noAutofit/>
                          </wps:bodyPr>
                        </wps:wsp>
                        <wps:wsp>
                          <wps:cNvPr id="40" name="Text Box 97"/>
                          <wps:cNvSpPr txBox="1">
                            <a:spLocks noChangeArrowheads="1"/>
                          </wps:cNvSpPr>
                          <wps:spPr bwMode="auto">
                            <a:xfrm>
                              <a:off x="3287" y="9317"/>
                              <a:ext cx="1200" cy="107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5C91A" w14:textId="77777777" w:rsidR="006A7C83" w:rsidRDefault="006A7C83" w:rsidP="006A7C83">
                                <w:pPr>
                                  <w:autoSpaceDE w:val="0"/>
                                  <w:autoSpaceDN w:val="0"/>
                                  <w:adjustRightInd w:val="0"/>
                                  <w:jc w:val="center"/>
                                  <w:rPr>
                                    <w:color w:val="000000"/>
                                    <w:rtl/>
                                  </w:rPr>
                                </w:pPr>
                                <w:r>
                                  <w:rPr>
                                    <w:rFonts w:hint="cs"/>
                                    <w:color w:val="000000"/>
                                    <w:rtl/>
                                  </w:rPr>
                                  <w:t>طقوس</w:t>
                                </w:r>
                                <w:r>
                                  <w:rPr>
                                    <w:color w:val="000000"/>
                                    <w:rtl/>
                                  </w:rPr>
                                  <w:t xml:space="preserve"> ومواجهة</w:t>
                                </w:r>
                                <w:r>
                                  <w:rPr>
                                    <w:color w:val="000000"/>
                                  </w:rPr>
                                  <w:t xml:space="preserve"> </w:t>
                                </w:r>
                              </w:p>
                            </w:txbxContent>
                          </wps:txbx>
                          <wps:bodyPr rot="0" vert="horz" wrap="square" lIns="91440" tIns="45720" rIns="91440" bIns="45720" anchor="t" anchorCtr="0" upright="1">
                            <a:noAutofit/>
                          </wps:bodyPr>
                        </wps:wsp>
                        <wps:wsp>
                          <wps:cNvPr id="41" name="Text Box 98"/>
                          <wps:cNvSpPr txBox="1">
                            <a:spLocks noChangeArrowheads="1"/>
                          </wps:cNvSpPr>
                          <wps:spPr bwMode="auto">
                            <a:xfrm>
                              <a:off x="8372" y="10352"/>
                              <a:ext cx="1215" cy="207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B7B09" w14:textId="77777777" w:rsidR="006A7C83" w:rsidRDefault="006A7C83" w:rsidP="006A7C83">
                                <w:pPr>
                                  <w:autoSpaceDE w:val="0"/>
                                  <w:autoSpaceDN w:val="0"/>
                                  <w:adjustRightInd w:val="0"/>
                                  <w:jc w:val="center"/>
                                  <w:rPr>
                                    <w:color w:val="000000"/>
                                    <w:rtl/>
                                  </w:rPr>
                                </w:pPr>
                                <w:r>
                                  <w:rPr>
                                    <w:color w:val="000000"/>
                                    <w:rtl/>
                                  </w:rPr>
                                  <w:t>تعزيز القدرة القيادية ليشوع الذي يطيع كلمة الله</w:t>
                                </w:r>
                                <w:r>
                                  <w:rPr>
                                    <w:color w:val="000000"/>
                                  </w:rPr>
                                  <w:t xml:space="preserve"> </w:t>
                                </w:r>
                              </w:p>
                            </w:txbxContent>
                          </wps:txbx>
                          <wps:bodyPr rot="0" vert="horz" wrap="square" lIns="91440" tIns="45720" rIns="91440" bIns="45720" anchor="t" anchorCtr="0" upright="1">
                            <a:noAutofit/>
                          </wps:bodyPr>
                        </wps:wsp>
                        <wps:wsp>
                          <wps:cNvPr id="42" name="Text Box 99"/>
                          <wps:cNvSpPr txBox="1">
                            <a:spLocks noChangeArrowheads="1"/>
                          </wps:cNvSpPr>
                          <wps:spPr bwMode="auto">
                            <a:xfrm>
                              <a:off x="7292" y="10487"/>
                              <a:ext cx="1080" cy="168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2FFC8" w14:textId="77777777" w:rsidR="006A7C83" w:rsidRDefault="006A7C83" w:rsidP="006A7C83">
                                <w:pPr>
                                  <w:autoSpaceDE w:val="0"/>
                                  <w:autoSpaceDN w:val="0"/>
                                  <w:adjustRightInd w:val="0"/>
                                  <w:jc w:val="center"/>
                                  <w:rPr>
                                    <w:color w:val="000000"/>
                                    <w:rtl/>
                                  </w:rPr>
                                </w:pPr>
                                <w:r>
                                  <w:rPr>
                                    <w:color w:val="000000"/>
                                    <w:rtl/>
                                  </w:rPr>
                                  <w:t>رفع الروح المعنوية لدى إسرائيل</w:t>
                                </w:r>
                                <w:r>
                                  <w:rPr>
                                    <w:color w:val="000000"/>
                                  </w:rPr>
                                  <w:t xml:space="preserve"> </w:t>
                                </w:r>
                              </w:p>
                            </w:txbxContent>
                          </wps:txbx>
                          <wps:bodyPr rot="0" vert="horz" wrap="square" lIns="91440" tIns="45720" rIns="91440" bIns="45720" anchor="t" anchorCtr="0" upright="1">
                            <a:noAutofit/>
                          </wps:bodyPr>
                        </wps:wsp>
                        <wps:wsp>
                          <wps:cNvPr id="43" name="Text Box 100"/>
                          <wps:cNvSpPr txBox="1">
                            <a:spLocks noChangeArrowheads="1"/>
                          </wps:cNvSpPr>
                          <wps:spPr bwMode="auto">
                            <a:xfrm>
                              <a:off x="6107" y="10622"/>
                              <a:ext cx="960" cy="13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9D31A" w14:textId="77777777" w:rsidR="006A7C83" w:rsidRDefault="006A7C83" w:rsidP="006A7C83">
                                <w:pPr>
                                  <w:autoSpaceDE w:val="0"/>
                                  <w:autoSpaceDN w:val="0"/>
                                  <w:adjustRightInd w:val="0"/>
                                  <w:jc w:val="center"/>
                                  <w:rPr>
                                    <w:color w:val="000000"/>
                                    <w:rtl/>
                                  </w:rPr>
                                </w:pPr>
                                <w:r>
                                  <w:rPr>
                                    <w:color w:val="000000"/>
                                    <w:rtl/>
                                  </w:rPr>
                                  <w:t>ترسيخ قيادة يشوع</w:t>
                                </w:r>
                                <w:r>
                                  <w:rPr>
                                    <w:color w:val="000000"/>
                                  </w:rPr>
                                  <w:t xml:space="preserve"> </w:t>
                                </w:r>
                              </w:p>
                            </w:txbxContent>
                          </wps:txbx>
                          <wps:bodyPr rot="0" vert="horz" wrap="square" lIns="91440" tIns="45720" rIns="91440" bIns="45720" anchor="t" anchorCtr="0" upright="1">
                            <a:noAutofit/>
                          </wps:bodyPr>
                        </wps:wsp>
                        <wps:wsp>
                          <wps:cNvPr id="44" name="Text Box 101"/>
                          <wps:cNvSpPr txBox="1">
                            <a:spLocks noChangeArrowheads="1"/>
                          </wps:cNvSpPr>
                          <wps:spPr bwMode="auto">
                            <a:xfrm>
                              <a:off x="4727" y="10427"/>
                              <a:ext cx="1080" cy="156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2ED55" w14:textId="77777777" w:rsidR="006A7C83" w:rsidRDefault="006A7C83" w:rsidP="006A7C83">
                                <w:pPr>
                                  <w:autoSpaceDE w:val="0"/>
                                  <w:autoSpaceDN w:val="0"/>
                                  <w:adjustRightInd w:val="0"/>
                                  <w:jc w:val="center"/>
                                  <w:rPr>
                                    <w:color w:val="000000"/>
                                    <w:rtl/>
                                  </w:rPr>
                                </w:pPr>
                                <w:r>
                                  <w:rPr>
                                    <w:color w:val="000000"/>
                                    <w:rtl/>
                                  </w:rPr>
                                  <w:t>تذكير بما سبق أن فعله الله</w:t>
                                </w:r>
                                <w:r>
                                  <w:rPr>
                                    <w:color w:val="000000"/>
                                  </w:rPr>
                                  <w:t xml:space="preserve"> </w:t>
                                </w:r>
                              </w:p>
                            </w:txbxContent>
                          </wps:txbx>
                          <wps:bodyPr rot="0" vert="horz" wrap="square" lIns="91440" tIns="45720" rIns="91440" bIns="45720" anchor="t" anchorCtr="0" upright="1">
                            <a:noAutofit/>
                          </wps:bodyPr>
                        </wps:wsp>
                        <wps:wsp>
                          <wps:cNvPr id="45" name="Text Box 102"/>
                          <wps:cNvSpPr txBox="1">
                            <a:spLocks noChangeArrowheads="1"/>
                          </wps:cNvSpPr>
                          <wps:spPr bwMode="auto">
                            <a:xfrm>
                              <a:off x="3362" y="10622"/>
                              <a:ext cx="1080" cy="13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53BDC" w14:textId="77777777" w:rsidR="006A7C83" w:rsidRDefault="006A7C83" w:rsidP="006A7C83">
                                <w:pPr>
                                  <w:autoSpaceDE w:val="0"/>
                                  <w:autoSpaceDN w:val="0"/>
                                  <w:adjustRightInd w:val="0"/>
                                  <w:jc w:val="center"/>
                                  <w:rPr>
                                    <w:color w:val="000000"/>
                                    <w:rtl/>
                                  </w:rPr>
                                </w:pPr>
                                <w:r>
                                  <w:rPr>
                                    <w:color w:val="000000"/>
                                    <w:rtl/>
                                  </w:rPr>
                                  <w:t>تركيز إيمانهم على يهوه</w:t>
                                </w:r>
                                <w:r>
                                  <w:rPr>
                                    <w:color w:val="000000"/>
                                  </w:rPr>
                                  <w:t xml:space="preserve"> </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2341769" id="Group 65" o:spid="_x0000_s1027" style="position:absolute;left:0;text-align:left;margin-left:24pt;margin-top:3.65pt;width:420pt;height:252.75pt;z-index:251666432" coordorigin="1727,7352" coordsize="8400,5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">
                <v:line id="Line 66" o:spid="_x0000_s1028" style="position:absolute;visibility:visible;mso-wrap-style:square" from="9527,9167" to="952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"/>
                <v:line id="Line 67" o:spid="_x0000_s1029" style="position:absolute;visibility:visible;mso-wrap-style:square" from="8447,9167" to="844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"/>
                <v:line id="Line 68" o:spid="_x0000_s1030" style="position:absolute;visibility:visible;mso-wrap-style:square" from="7247,9167" to="724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"/>
                <v:group id="Group 69" o:spid="_x0000_s1031" style="position:absolute;left:1727;top:7352;width:8400;height:5055" coordorigin="1727,7367" coordsize="8400,5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Line 70" o:spid="_x0000_s1032" style="position:absolute;visibility:visible;mso-wrap-style:square" from="10127,9167" to="1012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"/>
                  <v:line id="Line 71" o:spid="_x0000_s1033" style="position:absolute;visibility:visible;mso-wrap-style:square" from="5927,9167" to="592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2LxAAAANsAAAAPAAAAZHJzL2Rvd25yZXYueG1sRE9La8JA&#10;EL4X+h+WEXqrG9sS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MQaDYvEAAAA2wAAAA8A&#10;AAAAAAAAAAAAAAAABwIAAGRycy9kb3ducmV2LnhtbFBLBQYAAAAAAwADALcAAAD4AgAAAAA=&#10;"/>
                  <v:line id="Line 72" o:spid="_x0000_s1034" style="position:absolute;visibility:visible;mso-wrap-style:square" from="4607,9167" to="460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gQxAAAANsAAAAPAAAAZHJzL2Rvd25yZXYueG1sRE9La8JA&#10;EL4X+h+WEXqrG1sa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KtWqBDEAAAA2wAAAA8A&#10;AAAAAAAAAAAAAAAABwIAAGRycy9kb3ducmV2LnhtbFBLBQYAAAAAAwADALcAAAD4AgAAAAA=&#10;"/>
                  <v:line id="Line 73" o:spid="_x0000_s1035" style="position:absolute;visibility:visible;mso-wrap-style:square" from="3167,9167" to="316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"/>
                  <v:line id="Line 74" o:spid="_x0000_s1036" style="position:absolute;visibility:visible;mso-wrap-style:square" from="3167,12287" to="1012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"/>
                  <v:line id="Line 75" o:spid="_x0000_s1037" style="position:absolute;visibility:visible;mso-wrap-style:square" from="3167,9167" to="10127,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"/>
                  <v:line id="Line 76" o:spid="_x0000_s1038" style="position:absolute;flip:x y;visibility:visible;mso-wrap-style:square" from="8102,7367" to="9542,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"/>
                  <v:line id="Line 77" o:spid="_x0000_s1039" style="position:absolute;flip:x y;visibility:visible;mso-wrap-style:square" from="7007,7367" to="8447,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"/>
                  <v:line id="Line 78" o:spid="_x0000_s1040" style="position:absolute;flip:x y;visibility:visible;mso-wrap-style:square" from="5807,7367" to="7247,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"/>
                  <v:line id="Line 79" o:spid="_x0000_s1041" style="position:absolute;flip:x y;visibility:visible;mso-wrap-style:square" from="3167,7367" to="4607,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"/>
                  <v:line id="Line 80" o:spid="_x0000_s1042" style="position:absolute;flip:x y;visibility:visible;mso-wrap-style:square" from="1727,7367" to="3167,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"/>
                  <v:line id="Line 81" o:spid="_x0000_s1043" style="position:absolute;visibility:visible;mso-wrap-style:square" from="1742,7367" to="8102,7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sc2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CnbHNsYAAADbAAAA&#10;DwAAAAAAAAAAAAAAAAAHAgAAZHJzL2Rvd25yZXYueG1sUEsFBgAAAAADAAMAtwAAAPoCAAAAAA==&#10;"/>
                  <v:line id="Line 82" o:spid="_x0000_s1044" style="position:absolute;visibility:visible;mso-wrap-style:square" from="2807,8687" to="9167,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KtxgAAANsAAAAPAAAAZHJzL2Rvd25yZXYueG1sRI9Ba8JA&#10;FITvBf/D8gRvdVOl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ZTpircYAAADbAAAA&#10;DwAAAAAAAAAAAAAAAAAHAgAAZHJzL2Rvd25yZXYueG1sUEsFBgAAAAADAAMAtwAAAPoCAAAAAA==&#10;"/>
                  <v:shape id="Text Box 83" o:spid="_x0000_s1045" type="#_x0000_t202" style="position:absolute;left:9207;top:9427;width:1080;height:6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" filled="f" fillcolor="#0c9" stroked="f">
                    <v:textbox>
                      <w:txbxContent>
                        <w:p w14:paraId="49D07986" w14:textId="77777777" w:rsidR="006A7C83" w:rsidRDefault="006A7C83" w:rsidP="006A7C83">
                          <w:pPr>
                            <w:autoSpaceDE w:val="0"/>
                            <w:autoSpaceDN w:val="0"/>
                            <w:adjustRightInd w:val="0"/>
                            <w:rPr>
                              <w:color w:val="000000"/>
                              <w:rtl/>
                            </w:rPr>
                          </w:pPr>
                          <w:r>
                            <w:rPr>
                              <w:color w:val="000000"/>
                              <w:rtl/>
                            </w:rPr>
                            <w:t>الموضوع</w:t>
                          </w:r>
                        </w:p>
                      </w:txbxContent>
                    </v:textbox>
                  </v:shape>
                  <v:shape id="Text Box 84" o:spid="_x0000_s1046" type="#_x0000_t202" style="position:absolute;left:9114;top:11103;width:1440;height:5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" filled="f" fillcolor="#0c9" stroked="f">
                    <v:textbox>
                      <w:txbxContent>
                        <w:p w14:paraId="7D97A0AF" w14:textId="77777777" w:rsidR="006A7C83" w:rsidRDefault="006A7C83" w:rsidP="006A7C83">
                          <w:pPr>
                            <w:autoSpaceDE w:val="0"/>
                            <w:autoSpaceDN w:val="0"/>
                            <w:adjustRightInd w:val="0"/>
                            <w:jc w:val="center"/>
                            <w:rPr>
                              <w:color w:val="000000"/>
                              <w:rtl/>
                            </w:rPr>
                          </w:pPr>
                          <w:r>
                            <w:rPr>
                              <w:color w:val="000000"/>
                              <w:rtl/>
                            </w:rPr>
                            <w:t>الغرض</w:t>
                          </w:r>
                        </w:p>
                      </w:txbxContent>
                    </v:textbox>
                  </v:shape>
                  <v:shape id="Text Box 85" o:spid="_x0000_s1047" type="#_x0000_t202" style="position:absolute;left:7367;top:7532;width:108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" filled="f" fillcolor="#0c9" stroked="f">
                    <v:textbox>
                      <w:txbxContent>
                        <w:p w14:paraId="384F1624" w14:textId="77777777" w:rsidR="006A7C83" w:rsidRDefault="006A7C83" w:rsidP="006A7C83">
                          <w:pPr>
                            <w:autoSpaceDE w:val="0"/>
                            <w:autoSpaceDN w:val="0"/>
                            <w:adjustRightInd w:val="0"/>
                            <w:jc w:val="center"/>
                            <w:rPr>
                              <w:color w:val="000000"/>
                              <w:rtl/>
                            </w:rPr>
                          </w:pPr>
                          <w:r>
                            <w:rPr>
                              <w:color w:val="000000"/>
                              <w:rtl/>
                            </w:rPr>
                            <w:t>الأمر بالحرب</w:t>
                          </w:r>
                          <w:r>
                            <w:rPr>
                              <w:color w:val="000000"/>
                            </w:rPr>
                            <w:t xml:space="preserve"> </w:t>
                          </w:r>
                        </w:p>
                      </w:txbxContent>
                    </v:textbox>
                  </v:shape>
                  <v:shape id="Text Box 86" o:spid="_x0000_s1048" type="#_x0000_t202" style="position:absolute;left:8207;top:8567;width:108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" filled="f" fillcolor="#0c9" stroked="f">
                    <v:textbox>
                      <w:txbxContent>
                        <w:p w14:paraId="28AB7CEF" w14:textId="77777777" w:rsidR="006A7C83" w:rsidRDefault="006A7C83" w:rsidP="006A7C83">
                          <w:pPr>
                            <w:autoSpaceDE w:val="0"/>
                            <w:autoSpaceDN w:val="0"/>
                            <w:adjustRightInd w:val="0"/>
                            <w:jc w:val="center"/>
                            <w:rPr>
                              <w:color w:val="000000"/>
                              <w:rtl/>
                            </w:rPr>
                          </w:pPr>
                          <w:r>
                            <w:rPr>
                              <w:color w:val="000000"/>
                              <w:rtl/>
                            </w:rPr>
                            <w:t>إص 1</w:t>
                          </w:r>
                        </w:p>
                      </w:txbxContent>
                    </v:textbox>
                  </v:shape>
                  <v:shape id="Text Box 87" o:spid="_x0000_s1049" type="#_x0000_t202" style="position:absolute;left:7007;top:8567;width:108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" filled="f" fillcolor="#0c9" stroked="f">
                    <v:textbox>
                      <w:txbxContent>
                        <w:p w14:paraId="3F9CE7D2" w14:textId="77777777" w:rsidR="006A7C83" w:rsidRDefault="006A7C83" w:rsidP="006A7C83">
                          <w:pPr>
                            <w:autoSpaceDE w:val="0"/>
                            <w:autoSpaceDN w:val="0"/>
                            <w:adjustRightInd w:val="0"/>
                            <w:jc w:val="center"/>
                            <w:rPr>
                              <w:color w:val="000000"/>
                              <w:rtl/>
                            </w:rPr>
                          </w:pPr>
                          <w:r>
                            <w:rPr>
                              <w:color w:val="000000"/>
                              <w:rtl/>
                            </w:rPr>
                            <w:t>إص 2</w:t>
                          </w:r>
                        </w:p>
                      </w:txbxContent>
                    </v:textbox>
                  </v:shape>
                  <v:shape id="Text Box 88" o:spid="_x0000_s1050" type="#_x0000_t202" style="position:absolute;left:4847;top:8582;width:16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" filled="f" fillcolor="#0c9" stroked="f">
                    <v:textbox>
                      <w:txbxContent>
                        <w:p w14:paraId="3169FD46" w14:textId="77777777" w:rsidR="006A7C83" w:rsidRDefault="006A7C83" w:rsidP="006A7C83">
                          <w:pPr>
                            <w:autoSpaceDE w:val="0"/>
                            <w:autoSpaceDN w:val="0"/>
                            <w:adjustRightInd w:val="0"/>
                            <w:jc w:val="center"/>
                            <w:rPr>
                              <w:color w:val="000000"/>
                              <w:rtl/>
                            </w:rPr>
                          </w:pPr>
                          <w:r>
                            <w:rPr>
                              <w:color w:val="000000"/>
                              <w:rtl/>
                            </w:rPr>
                            <w:t>إص 3: 1-5:1</w:t>
                          </w:r>
                        </w:p>
                      </w:txbxContent>
                    </v:textbox>
                  </v:shape>
                  <v:shape id="Text Box 89" o:spid="_x0000_s1051" type="#_x0000_t202" style="position:absolute;left:2942;top:8567;width:1440;height: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" filled="f" fillcolor="#0c9" stroked="f">
                    <v:textbox>
                      <w:txbxContent>
                        <w:p w14:paraId="33EA88E0" w14:textId="77777777" w:rsidR="006A7C83" w:rsidRDefault="006A7C83" w:rsidP="006A7C83">
                          <w:pPr>
                            <w:autoSpaceDE w:val="0"/>
                            <w:autoSpaceDN w:val="0"/>
                            <w:adjustRightInd w:val="0"/>
                            <w:jc w:val="center"/>
                            <w:rPr>
                              <w:color w:val="000000"/>
                              <w:rtl/>
                            </w:rPr>
                          </w:pPr>
                          <w:r>
                            <w:rPr>
                              <w:color w:val="000000"/>
                              <w:rtl/>
                            </w:rPr>
                            <w:t>إص 5: 2-15</w:t>
                          </w:r>
                        </w:p>
                      </w:txbxContent>
                    </v:textbox>
                  </v:shape>
                  <v:shape id="Text Box 90" o:spid="_x0000_s1052" type="#_x0000_t202" style="position:absolute;left:6197;top:7532;width:120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" filled="f" fillcolor="#0c9" stroked="f">
                    <v:textbox>
                      <w:txbxContent>
                        <w:p w14:paraId="40E7D093" w14:textId="77777777" w:rsidR="006A7C83" w:rsidRDefault="006A7C83" w:rsidP="006A7C83">
                          <w:pPr>
                            <w:autoSpaceDE w:val="0"/>
                            <w:autoSpaceDN w:val="0"/>
                            <w:adjustRightInd w:val="0"/>
                            <w:jc w:val="center"/>
                            <w:rPr>
                              <w:color w:val="000000"/>
                              <w:rtl/>
                            </w:rPr>
                          </w:pPr>
                          <w:r>
                            <w:rPr>
                              <w:color w:val="000000"/>
                              <w:rtl/>
                            </w:rPr>
                            <w:t>استطلاع أريحا</w:t>
                          </w:r>
                          <w:r>
                            <w:rPr>
                              <w:color w:val="000000"/>
                            </w:rPr>
                            <w:t xml:space="preserve"> </w:t>
                          </w:r>
                        </w:p>
                      </w:txbxContent>
                    </v:textbox>
                  </v:shape>
                  <v:shape id="Text Box 91" o:spid="_x0000_s1053" type="#_x0000_t202" style="position:absolute;left:3917;top:7487;width:168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" filled="f" fillcolor="#0c9" stroked="f">
                    <v:textbox>
                      <w:txbxContent>
                        <w:p w14:paraId="6E610D34" w14:textId="77777777" w:rsidR="006A7C83" w:rsidRDefault="006A7C83" w:rsidP="006A7C83">
                          <w:pPr>
                            <w:autoSpaceDE w:val="0"/>
                            <w:autoSpaceDN w:val="0"/>
                            <w:adjustRightInd w:val="0"/>
                            <w:jc w:val="center"/>
                            <w:rPr>
                              <w:color w:val="000000"/>
                              <w:sz w:val="28"/>
                              <w:szCs w:val="28"/>
                              <w:rtl/>
                            </w:rPr>
                          </w:pPr>
                          <w:r>
                            <w:rPr>
                              <w:color w:val="000000"/>
                              <w:sz w:val="28"/>
                              <w:szCs w:val="28"/>
                              <w:rtl/>
                            </w:rPr>
                            <w:t>عبور نهر الأردن</w:t>
                          </w:r>
                          <w:r>
                            <w:rPr>
                              <w:color w:val="000000"/>
                              <w:sz w:val="28"/>
                              <w:szCs w:val="28"/>
                            </w:rPr>
                            <w:t xml:space="preserve"> </w:t>
                          </w:r>
                        </w:p>
                      </w:txbxContent>
                    </v:textbox>
                  </v:shape>
                  <v:shape id="Text Box 92" o:spid="_x0000_s1054" type="#_x0000_t202" style="position:absolute;left:2072;top:7382;width:1470;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" filled="f" fillcolor="#0c9" stroked="f">
                    <v:textbox>
                      <w:txbxContent>
                        <w:p w14:paraId="07A12BAE" w14:textId="77777777" w:rsidR="006A7C83" w:rsidRDefault="006A7C83" w:rsidP="006A7C83">
                          <w:pPr>
                            <w:autoSpaceDE w:val="0"/>
                            <w:autoSpaceDN w:val="0"/>
                            <w:adjustRightInd w:val="0"/>
                            <w:jc w:val="center"/>
                            <w:rPr>
                              <w:color w:val="000000"/>
                              <w:rtl/>
                            </w:rPr>
                          </w:pPr>
                          <w:r>
                            <w:rPr>
                              <w:rFonts w:hint="cs"/>
                              <w:color w:val="000000"/>
                              <w:rtl/>
                            </w:rPr>
                            <w:t xml:space="preserve">التحضيرات الروحية الأخيرة </w:t>
                          </w:r>
                          <w:r>
                            <w:rPr>
                              <w:color w:val="000000"/>
                            </w:rPr>
                            <w:t xml:space="preserve"> </w:t>
                          </w:r>
                        </w:p>
                      </w:txbxContent>
                    </v:textbox>
                  </v:shape>
                  <v:shape id="Text Box 93" o:spid="_x0000_s1055" type="#_x0000_t202" style="position:absolute;left:8563;top:9310;width:964;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" filled="f" fillcolor="#0c9" stroked="f">
                    <v:textbox>
                      <w:txbxContent>
                        <w:p w14:paraId="48020D16" w14:textId="77777777" w:rsidR="006A7C83" w:rsidRDefault="006A7C83" w:rsidP="006A7C83">
                          <w:pPr>
                            <w:autoSpaceDE w:val="0"/>
                            <w:autoSpaceDN w:val="0"/>
                            <w:adjustRightInd w:val="0"/>
                            <w:jc w:val="center"/>
                            <w:rPr>
                              <w:color w:val="000000"/>
                              <w:rtl/>
                            </w:rPr>
                          </w:pPr>
                          <w:r>
                            <w:rPr>
                              <w:color w:val="000000"/>
                              <w:rtl/>
                            </w:rPr>
                            <w:t>الشريعة (الكلمة</w:t>
                          </w:r>
                          <w:r>
                            <w:rPr>
                              <w:rFonts w:hint="cs"/>
                              <w:color w:val="000000"/>
                              <w:rtl/>
                            </w:rPr>
                            <w:t>)</w:t>
                          </w:r>
                        </w:p>
                      </w:txbxContent>
                    </v:textbox>
                  </v:shape>
                  <v:shape id="Text Box 94" o:spid="_x0000_s1056" type="#_x0000_t202" style="position:absolute;left:7247;top:9287;width:1200;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" filled="f" fillcolor="#0c9" stroked="f">
                    <v:textbox>
                      <w:txbxContent>
                        <w:p w14:paraId="13F4579E" w14:textId="77777777" w:rsidR="006A7C83" w:rsidRDefault="006A7C83" w:rsidP="006A7C83">
                          <w:pPr>
                            <w:autoSpaceDE w:val="0"/>
                            <w:autoSpaceDN w:val="0"/>
                            <w:adjustRightInd w:val="0"/>
                            <w:jc w:val="center"/>
                            <w:rPr>
                              <w:color w:val="000000"/>
                              <w:rtl/>
                            </w:rPr>
                          </w:pPr>
                          <w:r>
                            <w:rPr>
                              <w:color w:val="000000"/>
                              <w:rtl/>
                            </w:rPr>
                            <w:t>تقرير الجواسيس</w:t>
                          </w:r>
                          <w:r>
                            <w:rPr>
                              <w:color w:val="000000"/>
                            </w:rPr>
                            <w:t xml:space="preserve"> </w:t>
                          </w:r>
                        </w:p>
                      </w:txbxContent>
                    </v:textbox>
                  </v:shape>
                  <v:shape id="Text Box 95" o:spid="_x0000_s1057" type="#_x0000_t202" style="position:absolute;left:5837;top:9122;width:1440;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" filled="f" fillcolor="#0c9" stroked="f">
                    <v:textbox>
                      <w:txbxContent>
                        <w:p w14:paraId="561D2D85" w14:textId="77777777" w:rsidR="006A7C83" w:rsidRDefault="006A7C83" w:rsidP="006A7C83">
                          <w:pPr>
                            <w:autoSpaceDE w:val="0"/>
                            <w:autoSpaceDN w:val="0"/>
                            <w:adjustRightInd w:val="0"/>
                            <w:jc w:val="center"/>
                            <w:rPr>
                              <w:color w:val="000000"/>
                              <w:rtl/>
                            </w:rPr>
                          </w:pPr>
                          <w:r>
                            <w:rPr>
                              <w:color w:val="000000"/>
                              <w:rtl/>
                            </w:rPr>
                            <w:t xml:space="preserve">يشوع يقود الشعب عبر نهر الأردن </w:t>
                          </w:r>
                        </w:p>
                      </w:txbxContent>
                    </v:textbox>
                  </v:shape>
                  <v:shape id="Text Box 96" o:spid="_x0000_s1058" type="#_x0000_t202" style="position:absolute;left:4772;top:9482;width:960;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" filled="f" fillcolor="#0c9" stroked="f">
                    <v:textbox>
                      <w:txbxContent>
                        <w:p w14:paraId="0F1D1E13" w14:textId="77777777" w:rsidR="006A7C83" w:rsidRDefault="006A7C83" w:rsidP="006A7C83">
                          <w:pPr>
                            <w:autoSpaceDE w:val="0"/>
                            <w:autoSpaceDN w:val="0"/>
                            <w:adjustRightInd w:val="0"/>
                            <w:jc w:val="center"/>
                            <w:rPr>
                              <w:color w:val="000000"/>
                              <w:rtl/>
                            </w:rPr>
                          </w:pPr>
                          <w:r>
                            <w:rPr>
                              <w:color w:val="000000"/>
                              <w:rtl/>
                            </w:rPr>
                            <w:t>العمود</w:t>
                          </w:r>
                          <w:r>
                            <w:rPr>
                              <w:color w:val="000000"/>
                            </w:rPr>
                            <w:t xml:space="preserve"> </w:t>
                          </w:r>
                        </w:p>
                      </w:txbxContent>
                    </v:textbox>
                  </v:shape>
                  <v:shape id="Text Box 97" o:spid="_x0000_s1059" type="#_x0000_t202" style="position:absolute;left:3287;top:9317;width:1200;height:1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" filled="f" fillcolor="#0c9" stroked="f">
                    <v:textbox>
                      <w:txbxContent>
                        <w:p w14:paraId="7FF5C91A" w14:textId="77777777" w:rsidR="006A7C83" w:rsidRDefault="006A7C83" w:rsidP="006A7C83">
                          <w:pPr>
                            <w:autoSpaceDE w:val="0"/>
                            <w:autoSpaceDN w:val="0"/>
                            <w:adjustRightInd w:val="0"/>
                            <w:jc w:val="center"/>
                            <w:rPr>
                              <w:color w:val="000000"/>
                              <w:rtl/>
                            </w:rPr>
                          </w:pPr>
                          <w:r>
                            <w:rPr>
                              <w:rFonts w:hint="cs"/>
                              <w:color w:val="000000"/>
                              <w:rtl/>
                            </w:rPr>
                            <w:t>طقوس</w:t>
                          </w:r>
                          <w:r>
                            <w:rPr>
                              <w:color w:val="000000"/>
                              <w:rtl/>
                            </w:rPr>
                            <w:t xml:space="preserve"> ومواجهة</w:t>
                          </w:r>
                          <w:r>
                            <w:rPr>
                              <w:color w:val="000000"/>
                            </w:rPr>
                            <w:t xml:space="preserve"> </w:t>
                          </w:r>
                        </w:p>
                      </w:txbxContent>
                    </v:textbox>
                  </v:shape>
                  <v:shape id="Text Box 98" o:spid="_x0000_s1060" type="#_x0000_t202" style="position:absolute;left:8372;top:10352;width:1215;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" filled="f" fillcolor="#0c9" stroked="f">
                    <v:textbox>
                      <w:txbxContent>
                        <w:p w14:paraId="560B7B09" w14:textId="77777777" w:rsidR="006A7C83" w:rsidRDefault="006A7C83" w:rsidP="006A7C83">
                          <w:pPr>
                            <w:autoSpaceDE w:val="0"/>
                            <w:autoSpaceDN w:val="0"/>
                            <w:adjustRightInd w:val="0"/>
                            <w:jc w:val="center"/>
                            <w:rPr>
                              <w:color w:val="000000"/>
                              <w:rtl/>
                            </w:rPr>
                          </w:pPr>
                          <w:r>
                            <w:rPr>
                              <w:color w:val="000000"/>
                              <w:rtl/>
                            </w:rPr>
                            <w:t>تعزيز القدرة القيادية ليشوع الذي يطيع كلمة الله</w:t>
                          </w:r>
                          <w:r>
                            <w:rPr>
                              <w:color w:val="000000"/>
                            </w:rPr>
                            <w:t xml:space="preserve"> </w:t>
                          </w:r>
                        </w:p>
                      </w:txbxContent>
                    </v:textbox>
                  </v:shape>
                  <v:shape id="Text Box 99" o:spid="_x0000_s1061" type="#_x0000_t202" style="position:absolute;left:7292;top:10487;width:1080;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" filled="f" fillcolor="#0c9" stroked="f">
                    <v:textbox>
                      <w:txbxContent>
                        <w:p w14:paraId="5872FFC8" w14:textId="77777777" w:rsidR="006A7C83" w:rsidRDefault="006A7C83" w:rsidP="006A7C83">
                          <w:pPr>
                            <w:autoSpaceDE w:val="0"/>
                            <w:autoSpaceDN w:val="0"/>
                            <w:adjustRightInd w:val="0"/>
                            <w:jc w:val="center"/>
                            <w:rPr>
                              <w:color w:val="000000"/>
                              <w:rtl/>
                            </w:rPr>
                          </w:pPr>
                          <w:r>
                            <w:rPr>
                              <w:color w:val="000000"/>
                              <w:rtl/>
                            </w:rPr>
                            <w:t>رفع الروح المعنوية لدى إسرائيل</w:t>
                          </w:r>
                          <w:r>
                            <w:rPr>
                              <w:color w:val="000000"/>
                            </w:rPr>
                            <w:t xml:space="preserve"> </w:t>
                          </w:r>
                        </w:p>
                      </w:txbxContent>
                    </v:textbox>
                  </v:shape>
                  <v:shape id="Text Box 100" o:spid="_x0000_s1062" type="#_x0000_t202" style="position:absolute;left:6107;top:10622;width:960;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" filled="f" fillcolor="#0c9" stroked="f">
                    <v:textbox>
                      <w:txbxContent>
                        <w:p w14:paraId="71D9D31A" w14:textId="77777777" w:rsidR="006A7C83" w:rsidRDefault="006A7C83" w:rsidP="006A7C83">
                          <w:pPr>
                            <w:autoSpaceDE w:val="0"/>
                            <w:autoSpaceDN w:val="0"/>
                            <w:adjustRightInd w:val="0"/>
                            <w:jc w:val="center"/>
                            <w:rPr>
                              <w:color w:val="000000"/>
                              <w:rtl/>
                            </w:rPr>
                          </w:pPr>
                          <w:r>
                            <w:rPr>
                              <w:color w:val="000000"/>
                              <w:rtl/>
                            </w:rPr>
                            <w:t>ترسيخ قيادة يشوع</w:t>
                          </w:r>
                          <w:r>
                            <w:rPr>
                              <w:color w:val="000000"/>
                            </w:rPr>
                            <w:t xml:space="preserve"> </w:t>
                          </w:r>
                        </w:p>
                      </w:txbxContent>
                    </v:textbox>
                  </v:shape>
                  <v:shape id="Text Box 101" o:spid="_x0000_s1063" type="#_x0000_t202" style="position:absolute;left:4727;top:10427;width:1080;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" filled="f" fillcolor="#0c9" stroked="f">
                    <v:textbox>
                      <w:txbxContent>
                        <w:p w14:paraId="1422ED55" w14:textId="77777777" w:rsidR="006A7C83" w:rsidRDefault="006A7C83" w:rsidP="006A7C83">
                          <w:pPr>
                            <w:autoSpaceDE w:val="0"/>
                            <w:autoSpaceDN w:val="0"/>
                            <w:adjustRightInd w:val="0"/>
                            <w:jc w:val="center"/>
                            <w:rPr>
                              <w:color w:val="000000"/>
                              <w:rtl/>
                            </w:rPr>
                          </w:pPr>
                          <w:r>
                            <w:rPr>
                              <w:color w:val="000000"/>
                              <w:rtl/>
                            </w:rPr>
                            <w:t>تذكير بما سبق أن فعله الله</w:t>
                          </w:r>
                          <w:r>
                            <w:rPr>
                              <w:color w:val="000000"/>
                            </w:rPr>
                            <w:t xml:space="preserve"> </w:t>
                          </w:r>
                        </w:p>
                      </w:txbxContent>
                    </v:textbox>
                  </v:shape>
                  <v:shape id="Text Box 102" o:spid="_x0000_s1064" type="#_x0000_t202" style="position:absolute;left:3362;top:10622;width:1080;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" filled="f" fillcolor="#0c9" stroked="f">
                    <v:textbox>
                      <w:txbxContent>
                        <w:p w14:paraId="27F53BDC" w14:textId="77777777" w:rsidR="006A7C83" w:rsidRDefault="006A7C83" w:rsidP="006A7C83">
                          <w:pPr>
                            <w:autoSpaceDE w:val="0"/>
                            <w:autoSpaceDN w:val="0"/>
                            <w:adjustRightInd w:val="0"/>
                            <w:jc w:val="center"/>
                            <w:rPr>
                              <w:color w:val="000000"/>
                              <w:rtl/>
                            </w:rPr>
                          </w:pPr>
                          <w:r>
                            <w:rPr>
                              <w:color w:val="000000"/>
                              <w:rtl/>
                            </w:rPr>
                            <w:t>تركيز إيمانهم على يهوه</w:t>
                          </w:r>
                          <w:r>
                            <w:rPr>
                              <w:color w:val="000000"/>
                            </w:rPr>
                            <w:t xml:space="preserve"> </w:t>
                          </w:r>
                        </w:p>
                      </w:txbxContent>
                    </v:textbox>
                  </v:shape>
                </v:group>
              </v:group>
            </w:pict>
          </mc:Fallback>
        </mc:AlternateContent>
      </w:r>
    </w:p>
    <w:p w14:paraId="29ECB32A"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78A20D86"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7BEDC184"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6B25DE42"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26CC8D2E"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1050D34A"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07C66C7E"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623CD080"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52179737"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6E10F537"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1B9C2FD3" w14:textId="236F5129" w:rsidR="006A7C83" w:rsidRPr="00C7130A" w:rsidRDefault="00E83954"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r w:rsidRPr="00C7130A">
        <w:rPr>
          <w:rFonts w:eastAsia="Times New Roman"/>
          <w:noProof/>
          <w:kern w:val="0"/>
          <w:sz w:val="18"/>
          <w:szCs w:val="20"/>
          <w:rtl/>
          <w:lang w:val="ar-SA" w:eastAsia="ar-SA"/>
          <w14:ligatures w14:val="none"/>
        </w:rPr>
        <mc:AlternateContent>
          <mc:Choice Requires="wps">
            <w:drawing>
              <wp:anchor distT="0" distB="0" distL="114300" distR="114300" simplePos="0" relativeHeight="251665408" behindDoc="0" locked="0" layoutInCell="1" allowOverlap="1" wp14:anchorId="6372E538" wp14:editId="1A3CA414">
                <wp:simplePos x="0" y="0"/>
                <wp:positionH relativeFrom="column">
                  <wp:posOffset>1219200</wp:posOffset>
                </wp:positionH>
                <wp:positionV relativeFrom="paragraph">
                  <wp:posOffset>120650</wp:posOffset>
                </wp:positionV>
                <wp:extent cx="4419600" cy="0"/>
                <wp:effectExtent l="9525" t="9525" r="9525" b="9525"/>
                <wp:wrapNone/>
                <wp:docPr id="7"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19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CF62E8" id="Line 6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pt,9.5pt" to="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"/>
            </w:pict>
          </mc:Fallback>
        </mc:AlternateContent>
      </w:r>
    </w:p>
    <w:p w14:paraId="51E37A68"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rtl/>
          <w14:ligatures w14:val="none"/>
        </w:rPr>
      </w:pPr>
    </w:p>
    <w:p w14:paraId="1EDBCFEF" w14:textId="77777777" w:rsidR="006A7C83" w:rsidRPr="00C7130A"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szCs w:val="26"/>
          <w:rtl/>
          <w:lang w:bidi="ar-JO"/>
          <w14:ligatures w14:val="none"/>
        </w:rPr>
      </w:pPr>
      <w:r w:rsidRPr="00C7130A">
        <w:rPr>
          <w:rFonts w:eastAsia="Times New Roman"/>
          <w:kern w:val="0"/>
          <w:szCs w:val="26"/>
          <w:rtl/>
          <w:lang w:bidi="ar-JO"/>
          <w14:ligatures w14:val="none"/>
        </w:rPr>
        <w:t>1</w:t>
      </w:r>
    </w:p>
    <w:p w14:paraId="79E924C2" w14:textId="77777777" w:rsidR="006A7C83" w:rsidRPr="00C7130A"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szCs w:val="26"/>
          <w:rtl/>
          <w:lang w:bidi="ar-JO"/>
          <w14:ligatures w14:val="none"/>
        </w:rPr>
      </w:pPr>
      <w:r w:rsidRPr="00C7130A">
        <w:rPr>
          <w:rFonts w:eastAsia="Times New Roman"/>
          <w:kern w:val="0"/>
          <w:szCs w:val="26"/>
          <w:rtl/>
          <w:lang w:bidi="ar-JO"/>
          <w14:ligatures w14:val="none"/>
        </w:rPr>
        <w:t>.</w:t>
      </w:r>
      <w:r w:rsidRPr="00C7130A">
        <w:rPr>
          <w:rFonts w:eastAsia="Times New Roman"/>
          <w:kern w:val="0"/>
          <w:szCs w:val="26"/>
          <w:rtl/>
          <w:lang w:bidi="ar-JO"/>
          <w14:ligatures w14:val="none"/>
        </w:rPr>
        <w:tab/>
        <w:t xml:space="preserve">الأمر بالحرب (الإصحاح 1) </w:t>
      </w:r>
    </w:p>
    <w:p w14:paraId="003424CF"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64A7E">
        <w:rPr>
          <w:rFonts w:eastAsia="Times New Roman"/>
          <w:kern w:val="0"/>
          <w:rtl/>
          <w:lang w:bidi="ar-JO"/>
          <w14:ligatures w14:val="none"/>
        </w:rPr>
        <w:t>أ.</w:t>
      </w:r>
      <w:r w:rsidRPr="00264A7E">
        <w:rPr>
          <w:rFonts w:eastAsia="Times New Roman"/>
          <w:kern w:val="0"/>
          <w:rtl/>
          <w:lang w:bidi="ar-JO"/>
          <w14:ligatures w14:val="none"/>
        </w:rPr>
        <w:tab/>
        <w:t xml:space="preserve">إعطاء يهوه الأمر ليشوع (1: 1-9) </w:t>
      </w:r>
    </w:p>
    <w:p w14:paraId="6B74D643"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264A7E">
        <w:rPr>
          <w:rFonts w:eastAsia="Times New Roman"/>
          <w:kern w:val="0"/>
          <w:rtl/>
          <w:lang w:bidi="ar-JO"/>
          <w14:ligatures w14:val="none"/>
        </w:rPr>
        <w:t>اختير يشوع وأعطي مسؤولية مزدوجة: (1) أن يكون القائد، ذاك الذي سيأخذ المبادرة بقيادة الشعب في الفتح، و(2) بالخدمة كموزّع للأرض (وهو يبدأ بعمل هذا في 13: 7).</w:t>
      </w:r>
    </w:p>
    <w:p w14:paraId="7C4CC9F7"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264A7E">
        <w:rPr>
          <w:rFonts w:eastAsia="Times New Roman"/>
          <w:kern w:val="0"/>
          <w:rtl/>
          <w:lang w:bidi="ar-JO"/>
          <w14:ligatures w14:val="none"/>
        </w:rPr>
        <w:lastRenderedPageBreak/>
        <w:t>سبق أن حدّد يهوه أبعاد الأرض المخوَّلة للشعب (انظر تكوين 15: 18؛ خروج 23: 27؛ تثنية 1: 7-8)، غير أن هنالك مبدأ مرسَّخاً في يشوع 1: 3 – "</w:t>
      </w:r>
      <w:r w:rsidRPr="00264A7E">
        <w:rPr>
          <w:rFonts w:eastAsia="Times New Roman"/>
          <w:i/>
          <w:iCs/>
          <w:kern w:val="0"/>
          <w:rtl/>
          <w:lang w:bidi="ar-JO"/>
          <w14:ligatures w14:val="none"/>
        </w:rPr>
        <w:t>كل موضع تدوسه بطون أقدامكم أعطيته لكم.</w:t>
      </w:r>
      <w:r w:rsidRPr="00264A7E">
        <w:rPr>
          <w:rFonts w:eastAsia="Times New Roman"/>
          <w:kern w:val="0"/>
          <w:rtl/>
          <w:lang w:bidi="ar-JO"/>
          <w14:ligatures w14:val="none"/>
        </w:rPr>
        <w:t xml:space="preserve">" وهكذا فإنه يوجد شرط، ألا وهو </w:t>
      </w:r>
      <w:r w:rsidRPr="00264A7E">
        <w:rPr>
          <w:rFonts w:eastAsia="Times New Roman"/>
          <w:kern w:val="0"/>
          <w:u w:val="single"/>
          <w:rtl/>
          <w:lang w:bidi="ar-JO"/>
          <w14:ligatures w14:val="none"/>
        </w:rPr>
        <w:t>السير</w:t>
      </w:r>
      <w:r w:rsidRPr="00264A7E">
        <w:rPr>
          <w:rFonts w:eastAsia="Times New Roman"/>
          <w:kern w:val="0"/>
          <w:rtl/>
          <w:lang w:bidi="ar-JO"/>
          <w14:ligatures w14:val="none"/>
        </w:rPr>
        <w:t>.  وعلاقة الوعد بالشرط هي أن الله يستخدم طاعة الشعب لكي يحقق وعده.  وينطبق نفس الأمر على المؤمنين بالمسيح اليوم، مُعظم المؤمنين يقصِّرون كثيراً عن الوصول إلى النصر الروحي الذي جعله الله ممكناً الآن في المسيح.  نحن لا نتملك إلاّ ما نحصل عليه بالإيمان.</w:t>
      </w:r>
    </w:p>
    <w:p w14:paraId="28ECFA19"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264A7E">
        <w:rPr>
          <w:rFonts w:eastAsia="Times New Roman"/>
          <w:kern w:val="0"/>
          <w:rtl/>
          <w:lang w:bidi="ar-JO"/>
          <w14:ligatures w14:val="none"/>
        </w:rPr>
        <w:t>تشتهر هذه الفقرة (خاصّة الآيتان 7-8) بتركيزهما على طاعة كلمة الله.  فلن يكون أي غياب للنجاح بسبب خذلان الله ليشوع، لكن يمكن أن يفوّت يشوع النجاح إذ لم يكن حريصاً على فعل كل شيء حسب كلمة الله (وتقدّم خطية عخان في الأصحاح السابع إثباتاً على صحّة هذا المبدأ).  وسيتضح هذا الحصن بأسمى طريقة في حياة يسوع (على الرغم من أنها تظل مثالاً لنا).  ولا يمكننا أن نحقق أهدافاً في الحياة المسيحية إلاّ إذا كنّا مكرّسين لعمل إرادة الله ولكلمة الله.  يقول آلان رالف:</w:t>
      </w:r>
    </w:p>
    <w:p w14:paraId="2643642E"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KW"/>
          <w14:ligatures w14:val="none"/>
        </w:rPr>
      </w:pPr>
      <w:r w:rsidRPr="00264A7E">
        <w:rPr>
          <w:rFonts w:eastAsia="Times New Roman"/>
          <w:kern w:val="0"/>
          <w:rtl/>
          <w:lang w:bidi="ar-JO"/>
          <w14:ligatures w14:val="none"/>
        </w:rPr>
        <w:t>ليست لدي وصفة سحرية للقداسة؛ لا يوجد لدي علاج خارق مشعوذ أقدّمه لكم؛ لا توجد طريق مختصرة للقوة الروحية أقدّمها لأي منكم.  فكل ما يمكنني أن أقوله لكم هو: ارجعوا إلى كتابكم المقدّس؛ إلهجوا به وتأملوه نهاراً وليلاً، وانطرحوا على وجوهكم أمام الله في الصلاة.  فأعظم التحوّلات التي يمكن أن يختبرها إنسان موجودة، لا داخل كنيسة، بل خلف أبواب مغلقة.</w:t>
      </w:r>
      <w:r w:rsidRPr="00264A7E">
        <w:rPr>
          <w:rFonts w:eastAsia="Times New Roman"/>
          <w:kern w:val="0"/>
          <w:vertAlign w:val="superscript"/>
          <w:rtl/>
          <w:lang w:bidi="ar-JO"/>
          <w14:ligatures w14:val="none"/>
        </w:rPr>
        <w:footnoteReference w:customMarkFollows="1" w:id="148"/>
        <w:t>7</w:t>
      </w:r>
    </w:p>
    <w:p w14:paraId="0266FD0D"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p>
    <w:p w14:paraId="44068203"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64A7E">
        <w:rPr>
          <w:rFonts w:eastAsia="Times New Roman"/>
          <w:kern w:val="0"/>
          <w:rtl/>
          <w:lang w:bidi="ar-JO"/>
          <w14:ligatures w14:val="none"/>
        </w:rPr>
        <w:t>ب.</w:t>
      </w:r>
      <w:r w:rsidRPr="00264A7E">
        <w:rPr>
          <w:rFonts w:eastAsia="Times New Roman"/>
          <w:kern w:val="0"/>
          <w:rtl/>
          <w:lang w:bidi="ar-JO"/>
          <w14:ligatures w14:val="none"/>
        </w:rPr>
        <w:tab/>
        <w:t>توجيه يشوع أمره للشعب (1: 10-18)</w:t>
      </w:r>
    </w:p>
    <w:p w14:paraId="48B67FF6"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264A7E">
        <w:rPr>
          <w:rFonts w:eastAsia="Times New Roman"/>
          <w:kern w:val="0"/>
          <w:rtl/>
          <w:lang w:bidi="ar-JO"/>
          <w14:ligatures w14:val="none"/>
        </w:rPr>
        <w:t>في هذا القسم حُشد الشعب الذي يتجاوز عدده مليوني شخص وجُعلوا في حالة تأهّب.  لنلاحظ العناصر المتضمنة في روح التكريس والتعاون لديهم (1: 16- 18): (1) الطاعة، (2) الإيمان والرجاء ، (3) عدم التسامح مع الخطية، (4) الدعم بالتشجيع.  يجب أن يقضي شعب الله وقتاً في الاستعداد، ويجب أن يتجاوبوا بروح مطيعة، ويجب أن يكونوا واثقين بقائدهم – الرب يسوع المسيح.</w:t>
      </w:r>
    </w:p>
    <w:p w14:paraId="1C57ED2A"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74323434" w14:textId="77777777" w:rsidR="006A7C83" w:rsidRPr="00264A7E"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64A7E">
        <w:rPr>
          <w:rFonts w:eastAsia="Times New Roman"/>
          <w:kern w:val="0"/>
          <w:rtl/>
          <w:lang w:bidi="ar-JO"/>
          <w14:ligatures w14:val="none"/>
        </w:rPr>
        <w:t>2.</w:t>
      </w:r>
      <w:r w:rsidRPr="00264A7E">
        <w:rPr>
          <w:rFonts w:eastAsia="Times New Roman"/>
          <w:kern w:val="0"/>
          <w:rtl/>
          <w:lang w:bidi="ar-JO"/>
          <w14:ligatures w14:val="none"/>
        </w:rPr>
        <w:tab/>
        <w:t>استطلاع أريحا (الأصحاح 2)</w:t>
      </w:r>
    </w:p>
    <w:p w14:paraId="4509A7D3"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64A7E">
        <w:rPr>
          <w:rFonts w:eastAsia="Times New Roman"/>
          <w:kern w:val="0"/>
          <w:rtl/>
          <w:lang w:bidi="ar-JO"/>
          <w14:ligatures w14:val="none"/>
        </w:rPr>
        <w:t xml:space="preserve">يتركّز هذا الأصحاح حول راحاب الزانية.  فعلى الرغم من أن هذه المرأة لا تستحق عطف الله وكرمه (كما هو حالنا جميعاً)، فإنها تصبح صورة متميّزة للإيمان (انظر يعقوب 2).  وفضلاً عن ذلك، فإنها مذكورة في النسل المسيّاني (انظر راعوث 4؛               متى 1).  ويكشف هذا الأصحاح أيضاً الموقف الحقيقي لسكان الأرض: إنهم خائفون من بني إسرائيل لأن الله يهوه معهم                (2: 9-11).  وترتفع الروح المعنوية لدى بني </w:t>
      </w:r>
      <w:r w:rsidRPr="00264A7E">
        <w:rPr>
          <w:rFonts w:eastAsia="Times New Roman"/>
          <w:kern w:val="0"/>
          <w:rtl/>
          <w:lang w:bidi="ar-JO"/>
          <w14:ligatures w14:val="none"/>
        </w:rPr>
        <w:lastRenderedPageBreak/>
        <w:t>إسرائيل حين يدركون هذا.  يجب أن يدرك المؤمنون الشباب بالمسيح اليوم نعمة الله الرائعة المتاحة لأشرّ الخطاة؛ ومن الواضح أننا نخلص بالإيمان وحده! ولا يتوجب علينا أن نخشى أعداءنا الروحيين، لأننا الآن نقف في صف المسيح، ومن شأن هذا أن يوقع الرعب في قلب كل الأرواح الشريرة (انظر يوحنا 4: 4).</w:t>
      </w:r>
    </w:p>
    <w:p w14:paraId="1E782A16"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64A7E">
        <w:rPr>
          <w:rFonts w:eastAsia="Times New Roman"/>
          <w:kern w:val="0"/>
          <w:rtl/>
          <w:lang w:bidi="ar-JO"/>
          <w14:ligatures w14:val="none"/>
        </w:rPr>
        <w:t>لنلاحظ تقرير الجاسوسين في 2: 24: "إن الرب قد دفع بيدنا الأرض كلها، وقد ذاب كل سكّان الأرض بسببنا..." ويتوجب علينا أن نقابل هذا مع تقرير معظم الجواسيس في قادش برنيع (عدد 13: 31).</w:t>
      </w:r>
    </w:p>
    <w:p w14:paraId="02F35F12"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4D92D72E" w14:textId="77777777" w:rsidR="006A7C83" w:rsidRPr="00264A7E"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64A7E">
        <w:rPr>
          <w:rFonts w:eastAsia="Times New Roman"/>
          <w:kern w:val="0"/>
          <w:rtl/>
          <w:lang w:bidi="ar-JO"/>
          <w14:ligatures w14:val="none"/>
        </w:rPr>
        <w:t>3.</w:t>
      </w:r>
      <w:r w:rsidRPr="00264A7E">
        <w:rPr>
          <w:rFonts w:eastAsia="Times New Roman"/>
          <w:kern w:val="0"/>
          <w:rtl/>
          <w:lang w:bidi="ar-JO"/>
          <w14:ligatures w14:val="none"/>
        </w:rPr>
        <w:tab/>
        <w:t>عبور معجزي لنهر الأردن (3: 1-5: 1)</w:t>
      </w:r>
    </w:p>
    <w:p w14:paraId="1555EEE9"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64A7E">
        <w:rPr>
          <w:rFonts w:eastAsia="Times New Roman"/>
          <w:kern w:val="0"/>
          <w:rtl/>
          <w:lang w:bidi="ar-JO"/>
          <w14:ligatures w14:val="none"/>
        </w:rPr>
        <w:t>يتحدّث الأصحاح الثالث عن قيادة يشوع الواثقة للشعب إلى نهر الأردن حيث يفلق الله الماء (وهذا حدث موازٍ للخروج من مصر).  ويبدو أن الفكرة تتركز حول ترسيخ قيادة يشوع أمام شعب الله (انظر 3: 7).  وعلى الرغم من أن الله وعد بأنه سيعظم يشوع، إلاّ أن يشوع يوصل الفكرة التالية للشعب في 3: 10، "بهذا تعلمون الله حي في وسطكم..." ولم يذكر يشوع للشعب شيئاً عن وعد الله بتعظيمه؛ فلم يكن ذلك ضرورياً؛ وهو لا يكون ضرورياً أبداً عند رجل متواضع.  فدورنا أن نركّز على إعطاء المجد لله، ودوره هو أن يعظّم من يريد.  وعندما نسعى إلى تعظيم أنفسنا، فإن مجازاتنا لا تكون أبداً مفرحة بنفس القدر!</w:t>
      </w:r>
    </w:p>
    <w:p w14:paraId="1CBB1A0B"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0E2D0B7"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64A7E">
        <w:rPr>
          <w:rFonts w:eastAsia="Times New Roman"/>
          <w:kern w:val="0"/>
          <w:rtl/>
          <w:lang w:bidi="ar-JO"/>
          <w14:ligatures w14:val="none"/>
        </w:rPr>
        <w:t>تضمن الجانب الثاني من عبور نهر الأردن وضع حجارة تذكارية (الأصحاح 4) نُصبت من أجل إحياء ذكرى العبور المعجزي.  لم يساعد هذا الأمر بني إسرائيل على تذكّر ما فعله الله من أجلهم فحسب، لكنه سيكون أيضاً وسيلة للشهادة لأبنائهم من أجل إدامة إيمانهم (4: 21)، ولشعوب الأرض الأخرى أيضاً (4: 24).</w:t>
      </w:r>
    </w:p>
    <w:p w14:paraId="286DE994"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BA6983A"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64A7E">
        <w:rPr>
          <w:rFonts w:eastAsia="Times New Roman"/>
          <w:kern w:val="0"/>
          <w:rtl/>
          <w:lang w:bidi="ar-JO"/>
          <w14:ligatures w14:val="none"/>
        </w:rPr>
        <w:t>لا شك أن عبور نهر الأردن كان معجزة.  تخبرنا يشوع 4: 19 أن هذا تم في "الشهر الأول"، أي في آذار-نيسان.  فكان هذا في الربيع عندما وصل منسوب المياه إلى ذروته.  وقد كانت هنالك حاجة حقيقية إلى معجزة لعبور النهر في ذلك الوقت من السنة.  وقد شق الله بالفعل مياه نهر الأردن لكي يعبروا.  لكن لنلاحظ أنه لم يدبّر لهم وسيلة للرجوع.  فالله مستعد دائماً أن يقودنا إلى الأمام   وأن يدبّر حلاًّ لكل عائق نواجهه.  يوضح د. دون كامبل:</w:t>
      </w:r>
    </w:p>
    <w:p w14:paraId="612AAB28"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264A7E">
        <w:rPr>
          <w:rFonts w:eastAsia="Times New Roman"/>
          <w:kern w:val="0"/>
          <w:rtl/>
          <w:lang w:bidi="ar-JO"/>
          <w14:ligatures w14:val="none"/>
        </w:rPr>
        <w:t xml:space="preserve">يوجد معنى رمزي لعبور نهر الأردن للمؤمنين بالمسيح اليوم، ألا وهو العبور من مستوى إلى مستوى آخر من الحياة المسيحية.  إنه صورة للدخول في حرب روحية للحصول على ما وعد به الله.  ويجب أن </w:t>
      </w:r>
      <w:r w:rsidRPr="00264A7E">
        <w:rPr>
          <w:rFonts w:eastAsia="Times New Roman"/>
          <w:kern w:val="0"/>
          <w:rtl/>
          <w:lang w:bidi="ar-JO"/>
          <w14:ligatures w14:val="none"/>
        </w:rPr>
        <w:lastRenderedPageBreak/>
        <w:t>يعني أيضاً نهاية الحياة التي عاشها المؤمن حسب مبدأ الجهد البشري وبداية لحياة يعيشها وفق مبدأي الإيمان والطاعة.</w:t>
      </w:r>
      <w:r w:rsidRPr="00264A7E">
        <w:rPr>
          <w:rFonts w:eastAsia="Times New Roman"/>
          <w:kern w:val="0"/>
          <w:vertAlign w:val="superscript"/>
          <w:rtl/>
          <w:lang w:bidi="ar-JO"/>
          <w14:ligatures w14:val="none"/>
        </w:rPr>
        <w:footnoteReference w:customMarkFollows="1" w:id="149"/>
        <w:t>8</w:t>
      </w:r>
    </w:p>
    <w:p w14:paraId="3CF4FF50" w14:textId="77777777" w:rsidR="006A7C83" w:rsidRPr="00264A7E"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64A7E">
        <w:rPr>
          <w:rFonts w:eastAsia="Times New Roman"/>
          <w:kern w:val="0"/>
          <w:rtl/>
          <w:lang w:bidi="ar-JO"/>
          <w14:ligatures w14:val="none"/>
        </w:rPr>
        <w:t>4.</w:t>
      </w:r>
      <w:r w:rsidRPr="00264A7E">
        <w:rPr>
          <w:rFonts w:eastAsia="Times New Roman"/>
          <w:kern w:val="0"/>
          <w:rtl/>
          <w:lang w:bidi="ar-JO"/>
          <w14:ligatures w14:val="none"/>
        </w:rPr>
        <w:tab/>
        <w:t>تحضيرات روحية أخيرة (5: 2-12)</w:t>
      </w:r>
    </w:p>
    <w:p w14:paraId="1DF37B7A"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64A7E">
        <w:rPr>
          <w:rFonts w:eastAsia="Times New Roman"/>
          <w:kern w:val="0"/>
          <w:rtl/>
          <w:lang w:bidi="ar-JO"/>
          <w14:ligatures w14:val="none"/>
        </w:rPr>
        <w:t>مع عبور نهر الأردن، كان بنو إسرائيل على الأرجح متلهّفين على بدء الفتح فوراً.  لكن لم تكن هذه هي خطة الله.  فهو ليس في عجلة من أمره أبداً، على الرغم من أن أبناءه المؤمنين هم كذلك أحياناً.  لم تكن إسرائيل، من وجهة نظر الله مستعدة للقتال بعد.  فكان الإعداد الروحي هاماً جدّاً، أكثر بكثير من كل الجوانب المادية؛ إذ يجب أن يسبق التكريسُ الفتح!</w:t>
      </w:r>
    </w:p>
    <w:p w14:paraId="20D4C1E0"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D1E7DF4"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64A7E">
        <w:rPr>
          <w:rFonts w:eastAsia="Times New Roman"/>
          <w:kern w:val="0"/>
          <w:rtl/>
          <w:lang w:bidi="ar-JO"/>
          <w14:ligatures w14:val="none"/>
        </w:rPr>
        <w:t>ساعدت أحداث هذا الفصل الشعب (بمن فيهم يشوع) على تركيز إيمانهم على يهوه.  وكان بنو إسرائيل قد تركوا ممارسة الختان أثناء سنوات البريّة.  لكن كان على الشعب الآن أن يشهدوا لإيمانهم للعهد مع يهوه بممارسة الختان.  وفضلاً عن ذلك، كانت هنالك معانٍ روحية ذكّرهم بها طقس الختان.  كان عليهم، بصفتهم حملة العهد، أن يحيوا حياة قداسة وخضوع للرب (تثنية 10: 16) يقول ميريل:</w:t>
      </w:r>
    </w:p>
    <w:p w14:paraId="35D2A95F"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264A7E">
        <w:rPr>
          <w:rFonts w:eastAsia="Times New Roman"/>
          <w:kern w:val="0"/>
          <w:rtl/>
          <w:lang w:bidi="ar-JO"/>
          <w14:ligatures w14:val="none"/>
        </w:rPr>
        <w:t>صرّحت كل هذه الأمور- الختان، الفصح، وظهور الله – بشكل مؤكِّد أن إسرائيل الفتح هي نفسها إسرائيل الخروج.  فالله الذي سبق أن أنقذ شعبه من مصر سينقذهم الآن في كنعان.</w:t>
      </w:r>
      <w:r w:rsidRPr="00264A7E">
        <w:rPr>
          <w:rFonts w:eastAsia="Times New Roman"/>
          <w:kern w:val="0"/>
          <w:vertAlign w:val="superscript"/>
          <w:rtl/>
          <w:lang w:bidi="ar-JO"/>
          <w14:ligatures w14:val="none"/>
        </w:rPr>
        <w:footnoteReference w:customMarkFollows="1" w:id="150"/>
        <w:t>9</w:t>
      </w:r>
    </w:p>
    <w:p w14:paraId="6DB87009"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 w:val="12"/>
          <w:szCs w:val="14"/>
          <w:rtl/>
          <w:lang w:bidi="ar-JO"/>
          <w14:ligatures w14:val="none"/>
        </w:rPr>
      </w:pPr>
    </w:p>
    <w:p w14:paraId="57AEF0E5" w14:textId="77777777" w:rsidR="006A7C83" w:rsidRPr="00C7130A" w:rsidRDefault="006A7C83" w:rsidP="000558B7">
      <w:pPr>
        <w:pStyle w:val="Heading3"/>
        <w:rPr>
          <w:rtl/>
          <w:lang w:bidi="ar-JO"/>
        </w:rPr>
      </w:pPr>
      <w:bookmarkStart w:id="356" w:name="_Toc193031109"/>
      <w:r w:rsidRPr="00C7130A">
        <w:rPr>
          <w:rtl/>
          <w:lang w:bidi="ar-JO"/>
        </w:rPr>
        <w:t>9.</w:t>
      </w:r>
      <w:r w:rsidRPr="00C7130A">
        <w:rPr>
          <w:rtl/>
          <w:lang w:bidi="ar-JO"/>
        </w:rPr>
        <w:tab/>
        <w:t>الحملات الحربية (يشوع 5: 13-12: 24)</w:t>
      </w:r>
      <w:bookmarkEnd w:id="356"/>
    </w:p>
    <w:p w14:paraId="6D5C631F"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الفكرة الرئيسية في هذه الأصحاحات هي النجاح.  ويُقطع مشهد الفتح مرّتين بشكل كبير: (1) حيث تتعلم إسرائيل من عصيانها في عاي، و(2) حيث يُسمح للعبرانيين بأن يؤخذوا بخديعة الجبعونيين نتيجة لإهمالهم مشورة يهوه.  تنقسم عمليات الفتح على هذا الجانب من نهر الأردن إلى ثلاث حملات كبيرة: الحملة الوسطى، والحملة الجنوبية والحملة الشمالية.</w:t>
      </w:r>
      <w:r w:rsidRPr="00264A7E">
        <w:rPr>
          <w:rFonts w:eastAsia="Times New Roman"/>
          <w:kern w:val="0"/>
          <w:vertAlign w:val="superscript"/>
          <w:rtl/>
          <w:lang w:bidi="ar-JO"/>
          <w14:ligatures w14:val="none"/>
        </w:rPr>
        <w:footnoteReference w:customMarkFollows="1" w:id="151"/>
        <w:t>10</w:t>
      </w:r>
    </w:p>
    <w:p w14:paraId="0C53859D"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B399A7E" w14:textId="77777777" w:rsidR="006A7C83" w:rsidRPr="00264A7E" w:rsidRDefault="006A7C83" w:rsidP="00C7130A">
      <w:pPr>
        <w:tabs>
          <w:tab w:val="left" w:pos="454"/>
        </w:tabs>
        <w:spacing w:after="60"/>
        <w:ind w:left="550" w:hanging="550"/>
        <w:jc w:val="both"/>
        <w:rPr>
          <w:rFonts w:eastAsia="Times New Roman"/>
          <w:b/>
          <w:kern w:val="0"/>
          <w:rtl/>
          <w14:ligatures w14:val="none"/>
        </w:rPr>
      </w:pPr>
      <w:r w:rsidRPr="00264A7E">
        <w:rPr>
          <w:rFonts w:eastAsia="Times New Roman"/>
          <w:b/>
          <w:kern w:val="0"/>
          <w:rtl/>
          <w14:ligatures w14:val="none"/>
        </w:rPr>
        <w:t>أ.</w:t>
      </w:r>
      <w:r w:rsidRPr="00264A7E">
        <w:rPr>
          <w:rFonts w:eastAsia="Times New Roman"/>
          <w:b/>
          <w:kern w:val="0"/>
          <w:rtl/>
          <w14:ligatures w14:val="none"/>
        </w:rPr>
        <w:tab/>
        <w:t>لقاء رئيس جند الرب (يشوع 5: 13-15)</w:t>
      </w:r>
    </w:p>
    <w:p w14:paraId="6BE8D865"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b/>
          <w:kern w:val="0"/>
          <w:rtl/>
          <w:lang w:bidi="ar-JO"/>
          <w14:ligatures w14:val="none"/>
        </w:rPr>
      </w:pPr>
      <w:r w:rsidRPr="00264A7E">
        <w:rPr>
          <w:rFonts w:eastAsia="Times New Roman"/>
          <w:kern w:val="0"/>
          <w:rtl/>
          <w:lang w:bidi="ar-JO"/>
          <w14:ligatures w14:val="none"/>
        </w:rPr>
        <w:t>عندما</w:t>
      </w:r>
      <w:r w:rsidRPr="00264A7E">
        <w:rPr>
          <w:rFonts w:eastAsia="Times New Roman"/>
          <w:b/>
          <w:kern w:val="0"/>
          <w:rtl/>
          <w:lang w:bidi="ar-JO"/>
          <w14:ligatures w14:val="none"/>
        </w:rPr>
        <w:t xml:space="preserve"> رأى يشوع رئيس جند الرب، ذُكِّر أيضاً بضرورة تركيز إيمانه على يهوه.  (فلن تكون الثقة بالنفس أو بوسائل الحرب البشرية كافية لمواجهة الحرب القادمة).  ولا نستطيع نحن أيضاً أن نخدم الله دون أن ننظر إليه على أنه قدوس </w:t>
      </w:r>
      <w:r w:rsidRPr="00264A7E">
        <w:rPr>
          <w:rFonts w:eastAsia="Times New Roman"/>
          <w:b/>
          <w:kern w:val="0"/>
          <w:rtl/>
          <w:lang w:bidi="ar-JO"/>
          <w14:ligatures w14:val="none"/>
        </w:rPr>
        <w:lastRenderedPageBreak/>
        <w:t xml:space="preserve">ومنفصل (نظرة خشوع واحترام).  وإن من شأن إدراكنا لحضوره الإلهي المقدّس معنا لكي يحارب معاركنا أن يحدث فرقاً هائلاً في طريقة مواجهتنا </w:t>
      </w:r>
      <w:r w:rsidRPr="00264A7E">
        <w:rPr>
          <w:rFonts w:eastAsia="Times New Roman"/>
          <w:kern w:val="0"/>
          <w:rtl/>
          <w:lang w:bidi="ar-JO"/>
          <w14:ligatures w14:val="none"/>
        </w:rPr>
        <w:t>للمشاكل</w:t>
      </w:r>
      <w:r w:rsidRPr="00264A7E">
        <w:rPr>
          <w:rFonts w:eastAsia="Times New Roman"/>
          <w:b/>
          <w:kern w:val="0"/>
          <w:rtl/>
          <w:lang w:bidi="ar-JO"/>
          <w14:ligatures w14:val="none"/>
        </w:rPr>
        <w:t>.</w:t>
      </w:r>
    </w:p>
    <w:p w14:paraId="5EC28803"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b/>
          <w:kern w:val="0"/>
          <w:rtl/>
          <w:lang w:bidi="ar-JO"/>
          <w14:ligatures w14:val="none"/>
        </w:rPr>
      </w:pPr>
    </w:p>
    <w:p w14:paraId="67E8B587" w14:textId="77777777" w:rsidR="006A7C83" w:rsidRPr="00264A7E" w:rsidRDefault="006A7C83" w:rsidP="00C7130A">
      <w:pPr>
        <w:tabs>
          <w:tab w:val="left" w:pos="454"/>
        </w:tabs>
        <w:spacing w:after="60"/>
        <w:ind w:left="550" w:hanging="550"/>
        <w:jc w:val="both"/>
        <w:rPr>
          <w:rFonts w:eastAsia="Times New Roman"/>
          <w:b/>
          <w:kern w:val="0"/>
          <w:rtl/>
          <w14:ligatures w14:val="none"/>
        </w:rPr>
      </w:pPr>
      <w:r w:rsidRPr="00264A7E">
        <w:rPr>
          <w:rFonts w:eastAsia="Times New Roman"/>
          <w:b/>
          <w:kern w:val="0"/>
          <w:rtl/>
          <w14:ligatures w14:val="none"/>
        </w:rPr>
        <w:t>ب.</w:t>
      </w:r>
      <w:r w:rsidRPr="00264A7E">
        <w:rPr>
          <w:rFonts w:eastAsia="Times New Roman"/>
          <w:b/>
          <w:kern w:val="0"/>
          <w:rtl/>
          <w14:ligatures w14:val="none"/>
        </w:rPr>
        <w:tab/>
        <w:t>الحملة الوسطى (يشوع 6-9)</w:t>
      </w:r>
    </w:p>
    <w:p w14:paraId="6588DF19"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شملت الحملة الوسطى أريحا (تل السلطان) وعاي (موقعها غير مؤكد).  والمقابلة بين هاتين المدينتين أمر مثير للاهتمام: فقد بدت أريحا مستحيلة الفتح، بينما بدت مهمة فتح عاي سهلة.  ولم يكن في مقدور حتّى أريحا القوية أن تقاوم بني العبرانيين وهم في حالة طاعة الرب والاتكال عليه.  أمّا في تعاملهم مع عاي، فقد كانوا متجرّئين بعض الشيء، معتبرين الأمر مفروغاً منه.  وقد حالت خطية عخان بينهم وبين ما بدا أنه نصر سهل.  فقد قيل للعبرانيين أن يمتنعوا عن المحرَّمات (6: 18).</w:t>
      </w:r>
      <w:r w:rsidRPr="00264A7E">
        <w:rPr>
          <w:rFonts w:eastAsia="Times New Roman"/>
          <w:kern w:val="0"/>
          <w:vertAlign w:val="superscript"/>
          <w:rtl/>
          <w:lang w:bidi="ar-JO"/>
          <w14:ligatures w14:val="none"/>
        </w:rPr>
        <w:footnoteReference w:customMarkFollows="1" w:id="152"/>
        <w:t>11</w:t>
      </w:r>
      <w:r w:rsidRPr="00264A7E">
        <w:rPr>
          <w:rFonts w:eastAsia="Times New Roman"/>
          <w:kern w:val="0"/>
          <w:rtl/>
          <w:lang w:bidi="ar-JO"/>
          <w14:ligatures w14:val="none"/>
        </w:rPr>
        <w:t xml:space="preserve"> لن يتسامح يهوه مع خطية عخان، لأن العصيان لم يكن طريق النصر: "</w:t>
      </w:r>
      <w:r w:rsidRPr="00264A7E">
        <w:rPr>
          <w:rFonts w:eastAsia="Times New Roman"/>
          <w:i/>
          <w:iCs/>
          <w:kern w:val="0"/>
          <w:rtl/>
          <w:lang w:bidi="ar-JO"/>
          <w14:ligatures w14:val="none"/>
        </w:rPr>
        <w:t>فلا تتمكن من الثبوت أمام أعدائك حتى تنزعوا الحرام من وسطكم</w:t>
      </w:r>
      <w:r w:rsidRPr="00264A7E">
        <w:rPr>
          <w:rFonts w:eastAsia="Times New Roman"/>
          <w:kern w:val="0"/>
          <w:rtl/>
          <w:lang w:bidi="ar-JO"/>
          <w14:ligatures w14:val="none"/>
        </w:rPr>
        <w:t>" (7: 13).  فهذه أمور تنتمي إلى العالم يجب أن يتركها أبناء الله وشأنها.  يجب أن يتجنبوا طريق عخان: "رأيتُ... اشتهيتُ...وأخذت" (7: 21).  كان لا بد أن يتعامل الله مع الخطية ويزيلها قبل السماح للشعب بأن يكملوا العمل.  انتصروا على أريحا من خلال الإيمان، لكنهم ذاقوا الهزيمة في عاي من خلال الخطية.  غير أنه يمكن تحول الهزيمة إلى انتصار ورَد بعد التعامل مع الخطية بشكل صحيح.</w:t>
      </w:r>
    </w:p>
    <w:p w14:paraId="4EE3A0DE"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264A7E">
        <w:rPr>
          <w:rFonts w:eastAsia="Times New Roman"/>
          <w:kern w:val="0"/>
          <w:rtl/>
          <w:lang w:bidi="ar-JO"/>
          <w14:ligatures w14:val="none"/>
        </w:rPr>
        <w:t>بعد هزيمة عاي، قاد يشوع الشعب إلى شكيم حيث بنوا مذبحاً ليهوه على جبل عيبال طاعة للتعليمات التي تلقّوها في تثنية 27: 2-8.  وإنه لأمر مثير للاهتمام أن المرء يستطيع أن يلمح كل أرض كنعان تقريباً من جبل عيبال.  فما داموا يعبدون يهوه ويتأملون الشريعة (كلمته)، كان يباركهم برؤية كل ما يمكن أن يكون لهم إذا استمروا في طاعتهم له.  وعلى ما يبدو، فإنهم لم يواجهوا مقاومة كبيرة في شكيم التي سبق أن دُمّرت في منتصف القرن السادس عشر ق م أثناء الغزو المصري لفلسطين ولم تتم إعادة بنائها حتى أوائل القرن الخامس عشر ق م.</w:t>
      </w:r>
      <w:r w:rsidRPr="00264A7E">
        <w:rPr>
          <w:rFonts w:eastAsia="Times New Roman"/>
          <w:kern w:val="0"/>
          <w:vertAlign w:val="superscript"/>
          <w:rtl/>
          <w:lang w:bidi="ar-JO"/>
          <w14:ligatures w14:val="none"/>
        </w:rPr>
        <w:footnoteReference w:customMarkFollows="1" w:id="153"/>
        <w:t>12</w:t>
      </w:r>
    </w:p>
    <w:p w14:paraId="0D9F35E0"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p>
    <w:p w14:paraId="2FE281F5" w14:textId="418871E5"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أمّا المقاطعة الثانية للاقتحام فحصلت مع خديعة الجبعونيين.  وعلى الرغم من أن رجال إسرائيل أُخِذوا على حين غرّة، إلاّ أن خطيتهم واضحة من يشوع 9: 14 :"</w:t>
      </w:r>
      <w:r w:rsidRPr="00264A7E">
        <w:rPr>
          <w:rFonts w:eastAsia="Times New Roman"/>
          <w:i/>
          <w:iCs/>
          <w:kern w:val="0"/>
          <w:rtl/>
          <w:lang w:bidi="ar-JO"/>
          <w14:ligatures w14:val="none"/>
        </w:rPr>
        <w:t>فأخذ الرجال من زادهم، ومن فم الرب لم يسألوا</w:t>
      </w:r>
      <w:r w:rsidRPr="00264A7E">
        <w:rPr>
          <w:rFonts w:eastAsia="Times New Roman"/>
          <w:kern w:val="0"/>
          <w:rtl/>
          <w:lang w:bidi="ar-JO"/>
          <w14:ligatures w14:val="none"/>
        </w:rPr>
        <w:t>." كانت هذه غلطة فادحة سيُجبَرون على أن يواجهوا نتائجها.</w:t>
      </w:r>
    </w:p>
    <w:p w14:paraId="1D59DE51"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BB28C7D" w14:textId="77777777" w:rsidR="006A7C83" w:rsidRPr="00264A7E" w:rsidRDefault="006A7C83" w:rsidP="00C7130A">
      <w:pPr>
        <w:tabs>
          <w:tab w:val="left" w:pos="454"/>
        </w:tabs>
        <w:spacing w:after="60"/>
        <w:ind w:left="550" w:hanging="550"/>
        <w:jc w:val="both"/>
        <w:rPr>
          <w:rFonts w:eastAsia="Times New Roman"/>
          <w:b/>
          <w:kern w:val="0"/>
          <w:rtl/>
          <w14:ligatures w14:val="none"/>
        </w:rPr>
      </w:pPr>
      <w:r w:rsidRPr="00264A7E">
        <w:rPr>
          <w:rFonts w:eastAsia="Times New Roman"/>
          <w:b/>
          <w:kern w:val="0"/>
          <w:rtl/>
          <w14:ligatures w14:val="none"/>
        </w:rPr>
        <w:lastRenderedPageBreak/>
        <w:t>جـ.</w:t>
      </w:r>
      <w:r w:rsidRPr="00264A7E">
        <w:rPr>
          <w:rFonts w:eastAsia="Times New Roman"/>
          <w:b/>
          <w:kern w:val="0"/>
          <w:rtl/>
          <w14:ligatures w14:val="none"/>
        </w:rPr>
        <w:tab/>
        <w:t>الحملة الجنوبية (يشوع 10)</w:t>
      </w:r>
    </w:p>
    <w:p w14:paraId="2BC460B1"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بدأت الحملة الجنوبية (يشوع 10) في العراء بين مدينتي جبعون وعجلون.  وكان الخصوم هنا هم الملوك الخمسة للمراكز الإدارية الاستراتيجية الواقعة تحت السيادة المصرية: يبوس (أي أورشليم) وحبرون وعجلون ولاخيش ويرموث.</w:t>
      </w:r>
    </w:p>
    <w:p w14:paraId="27BE3281"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6A44E4A" w14:textId="77777777" w:rsidR="006A7C83" w:rsidRPr="00264A7E" w:rsidRDefault="006A7C83" w:rsidP="00C7130A">
      <w:pPr>
        <w:tabs>
          <w:tab w:val="left" w:pos="454"/>
        </w:tabs>
        <w:spacing w:after="60"/>
        <w:ind w:left="550" w:hanging="550"/>
        <w:jc w:val="both"/>
        <w:rPr>
          <w:rFonts w:eastAsia="Times New Roman"/>
          <w:b/>
          <w:kern w:val="0"/>
          <w:rtl/>
          <w14:ligatures w14:val="none"/>
        </w:rPr>
      </w:pPr>
      <w:r w:rsidRPr="00264A7E">
        <w:rPr>
          <w:rFonts w:eastAsia="Times New Roman"/>
          <w:b/>
          <w:kern w:val="0"/>
          <w:rtl/>
          <w14:ligatures w14:val="none"/>
        </w:rPr>
        <w:t>د.</w:t>
      </w:r>
      <w:r w:rsidRPr="00264A7E">
        <w:rPr>
          <w:rFonts w:eastAsia="Times New Roman"/>
          <w:b/>
          <w:kern w:val="0"/>
          <w:rtl/>
          <w14:ligatures w14:val="none"/>
        </w:rPr>
        <w:tab/>
        <w:t>الحملة الشمالية (يشوع 11)</w:t>
      </w:r>
    </w:p>
    <w:p w14:paraId="285C350A"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تركّزت الحملة الشمالية (يشوع 11) في حاصور (</w:t>
      </w:r>
      <w:r w:rsidRPr="00264A7E">
        <w:rPr>
          <w:rFonts w:eastAsia="Times New Roman"/>
          <w:kern w:val="0"/>
          <w:lang w:bidi="ar-JO"/>
          <w14:ligatures w14:val="none"/>
        </w:rPr>
        <w:t xml:space="preserve"> = </w:t>
      </w:r>
      <w:r w:rsidRPr="00264A7E">
        <w:rPr>
          <w:rFonts w:eastAsia="Times New Roman"/>
          <w:bCs/>
          <w:kern w:val="0"/>
          <w:lang w:bidi="ar-JO"/>
          <w14:ligatures w14:val="none"/>
        </w:rPr>
        <w:t xml:space="preserve">Tell </w:t>
      </w:r>
      <w:r w:rsidRPr="00264A7E">
        <w:rPr>
          <w:rFonts w:eastAsia="Times New Roman"/>
          <w:bCs/>
          <w:i/>
          <w:iCs/>
          <w:kern w:val="0"/>
          <w:lang w:bidi="ar-JO"/>
          <w14:ligatures w14:val="none"/>
        </w:rPr>
        <w:t>el-Qedaḥ</w:t>
      </w:r>
      <w:r w:rsidRPr="00264A7E">
        <w:rPr>
          <w:rFonts w:eastAsia="Times New Roman"/>
          <w:kern w:val="0"/>
          <w:lang w:bidi="ar-JO"/>
          <w14:ligatures w14:val="none"/>
        </w:rPr>
        <w:t xml:space="preserve"> </w:t>
      </w:r>
      <w:r w:rsidRPr="00264A7E">
        <w:rPr>
          <w:rFonts w:eastAsia="Times New Roman"/>
          <w:kern w:val="0"/>
          <w:rtl/>
          <w:lang w:bidi="ar-JO"/>
          <w14:ligatures w14:val="none"/>
        </w:rPr>
        <w:t>تل القِداح) إلى الشمال من بحر الجليل.  لم تكن حاصور أكبر مدينة في الشمال فحسب (تغطّي ما يزيد على 110 أكر (يساوي الأكر نحو أربعة آلاف متر مربّع] ويسكنها حوالي 40.000 شخص)، لكنها كانت تحتل أيضاً موقعاً استراتيجياً في ضوء سيطرتها على إحدى الطرق الرئيسية الممتدة من الساحل باتجاه دمشق.  وقد استخدم بنو إسرائيل في هذه الحملات الجلجال (</w:t>
      </w:r>
      <w:r w:rsidRPr="00264A7E">
        <w:rPr>
          <w:rFonts w:eastAsia="Times New Roman"/>
          <w:bCs/>
          <w:kern w:val="0"/>
          <w:lang w:bidi="ar-JO"/>
          <w14:ligatures w14:val="none"/>
        </w:rPr>
        <w:t>Khirbet el-Mefjer</w:t>
      </w:r>
      <w:r w:rsidRPr="00264A7E">
        <w:rPr>
          <w:rFonts w:eastAsia="Times New Roman"/>
          <w:kern w:val="0"/>
          <w:rtl/>
          <w:lang w:bidi="ar-JO"/>
          <w14:ligatures w14:val="none"/>
        </w:rPr>
        <w:t xml:space="preserve"> </w:t>
      </w:r>
      <w:r w:rsidRPr="00264A7E">
        <w:rPr>
          <w:rFonts w:eastAsia="Times New Roman"/>
          <w:kern w:val="0"/>
          <w:lang w:bidi="ar-JO"/>
          <w14:ligatures w14:val="none"/>
        </w:rPr>
        <w:t xml:space="preserve"> =</w:t>
      </w:r>
      <w:r w:rsidRPr="00264A7E">
        <w:rPr>
          <w:rFonts w:eastAsia="Times New Roman"/>
          <w:kern w:val="0"/>
          <w:rtl/>
          <w:lang w:bidi="ar-JO"/>
          <w14:ligatures w14:val="none"/>
        </w:rPr>
        <w:t>خربة المفجر) قاعدة لهم يقيمون فيها بدلاً من التحرّك الدائم.  وبما أن الجلجال واقعة قرب الأردن، فقد شكّل لهم هذا الأمر حماية من هجوم خلفي عليهم من قبل الكنعانيين، ومدّهم بمصدر من المؤن، حيث كانت هذه المنطقة خصيبة.</w:t>
      </w:r>
    </w:p>
    <w:p w14:paraId="746B9766"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 w:val="12"/>
          <w:szCs w:val="14"/>
          <w:rtl/>
          <w:lang w:bidi="ar-JO"/>
          <w14:ligatures w14:val="none"/>
        </w:rPr>
      </w:pPr>
    </w:p>
    <w:p w14:paraId="5E9C0AEE" w14:textId="77777777" w:rsidR="006A7C83" w:rsidRPr="00264A7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64A7E">
        <w:rPr>
          <w:rFonts w:eastAsia="Times New Roman"/>
          <w:kern w:val="0"/>
          <w:rtl/>
          <w:lang w:bidi="ar-JO"/>
          <w14:ligatures w14:val="none"/>
        </w:rPr>
        <w:t xml:space="preserve">إن الآية الرئيسية في الأصحاحات 1-12 هي 11: 23 : "فأخذ يشوع كل الأرض حسب ما كلَّم به الرب موسى.  وأعطاها يشوع ملكاً لإسرائيل حسب فرقهم وأسباطهم.  واستراحت الأرض من الحرب."  لنلاحظ أن الراحة في ذهن الكاتب تتزامن مع نوال الميراث. </w:t>
      </w:r>
    </w:p>
    <w:p w14:paraId="6F31FA30" w14:textId="3429C9EB" w:rsidR="006668C0" w:rsidRPr="00C7130A" w:rsidRDefault="006668C0" w:rsidP="00C7130A">
      <w:pPr>
        <w:tabs>
          <w:tab w:val="left" w:pos="547"/>
          <w:tab w:val="left" w:pos="1094"/>
          <w:tab w:val="left" w:pos="1642"/>
          <w:tab w:val="left" w:pos="2189"/>
          <w:tab w:val="left" w:pos="2736"/>
          <w:tab w:val="left" w:pos="3283"/>
          <w:tab w:val="left" w:pos="3830"/>
          <w:tab w:val="left" w:pos="4378"/>
        </w:tabs>
        <w:spacing w:after="120"/>
        <w:ind w:left="547"/>
        <w:jc w:val="both"/>
        <w:rPr>
          <w:rFonts w:eastAsia="Times New Roman"/>
          <w:bCs/>
          <w:kern w:val="0"/>
          <w:sz w:val="22"/>
          <w:szCs w:val="24"/>
          <w:lang w:bidi="ar-JO"/>
          <w14:ligatures w14:val="none"/>
        </w:rPr>
      </w:pPr>
    </w:p>
    <w:p w14:paraId="4F5C2658" w14:textId="77777777" w:rsidR="006311FA" w:rsidRPr="00C7130A" w:rsidRDefault="006311FA"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p>
    <w:p w14:paraId="1D37D56A" w14:textId="3389E717" w:rsidR="006311FA" w:rsidRPr="00C7130A" w:rsidRDefault="00915244" w:rsidP="000558B7">
      <w:pPr>
        <w:pStyle w:val="Heading2B"/>
      </w:pPr>
      <w:bookmarkStart w:id="357" w:name="_Toc193031110"/>
      <w:r w:rsidRPr="00C7130A">
        <w:rPr>
          <w:rtl/>
        </w:rPr>
        <w:t>الموضوع 3: توزيع الأرض حصصًا (يشوع 13: 1 – 24: 33)</w:t>
      </w:r>
      <w:bookmarkStart w:id="358" w:name="_Hlk178779262"/>
      <w:bookmarkEnd w:id="357"/>
    </w:p>
    <w:p w14:paraId="567097B4" w14:textId="2766BDAE" w:rsidR="00942124" w:rsidRPr="00C7130A" w:rsidRDefault="00942124"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14:ligatures w14:val="none"/>
        </w:rPr>
      </w:pPr>
      <w:bookmarkStart w:id="359" w:name="_Hlk157179795"/>
      <w:r w:rsidRPr="00C7130A">
        <w:rPr>
          <w:rFonts w:eastAsia="Calibri"/>
          <w:b/>
          <w:caps/>
          <w:noProof/>
          <w:color w:val="006699"/>
          <w:kern w:val="0"/>
          <w:sz w:val="21"/>
          <w:szCs w:val="24"/>
          <w14:ligatures w14:val="none"/>
        </w:rPr>
        <w:drawing>
          <wp:inline distT="0" distB="0" distL="0" distR="0" wp14:anchorId="09229AB6" wp14:editId="0F95F87C">
            <wp:extent cx="613692" cy="541464"/>
            <wp:effectExtent l="0" t="0" r="0" b="0"/>
            <wp:docPr id="100526576" name="Picture 100526576"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AE237A" w:rsidRPr="00895403">
        <w:rPr>
          <w:rFonts w:eastAsia="Calibri"/>
          <w:b/>
          <w:caps/>
          <w:color w:val="006699"/>
          <w:kern w:val="0"/>
          <w:u w:val="single"/>
          <w:rtl/>
          <w14:ligatures w14:val="none"/>
        </w:rPr>
        <w:t>القراءة</w:t>
      </w:r>
      <w:r w:rsidR="00AE237A" w:rsidRPr="00C7130A">
        <w:rPr>
          <w:rFonts w:eastAsia="Calibri"/>
          <w:b/>
          <w:caps/>
          <w:color w:val="006699"/>
          <w:kern w:val="0"/>
          <w:sz w:val="21"/>
          <w:szCs w:val="24"/>
          <w:u w:val="single"/>
          <w:rtl/>
          <w14:ligatures w14:val="none"/>
        </w:rPr>
        <w:t>:</w:t>
      </w:r>
    </w:p>
    <w:p w14:paraId="3878B0C7" w14:textId="2925F3EE" w:rsidR="00942124" w:rsidRPr="00C7130A" w:rsidRDefault="00942124" w:rsidP="00C7130A">
      <w:pPr>
        <w:rPr>
          <w:b/>
          <w:bCs/>
        </w:rPr>
      </w:pPr>
      <w:r w:rsidRPr="00C7130A">
        <w:tab/>
      </w:r>
      <w:r w:rsidRPr="00C7130A">
        <w:tab/>
      </w:r>
      <w:r w:rsidR="00AE237A" w:rsidRPr="00C7130A">
        <w:rPr>
          <w:rtl/>
        </w:rPr>
        <w:t>اقرأ يشوع 13: 1 – 24: 33 في كتابك المُقدَّس.</w:t>
      </w:r>
    </w:p>
    <w:p w14:paraId="0BF26677" w14:textId="77777777" w:rsidR="006A7C83" w:rsidRPr="00C7130A" w:rsidRDefault="006A7C83" w:rsidP="000558B7">
      <w:pPr>
        <w:pStyle w:val="Heading3"/>
        <w:rPr>
          <w:rtl/>
          <w:lang w:bidi="ar-JO"/>
        </w:rPr>
      </w:pPr>
      <w:bookmarkStart w:id="360" w:name="_Toc193031111"/>
      <w:bookmarkEnd w:id="358"/>
      <w:bookmarkEnd w:id="359"/>
      <w:r w:rsidRPr="00C7130A">
        <w:rPr>
          <w:rtl/>
          <w:lang w:bidi="ar-JO"/>
        </w:rPr>
        <w:t>1.</w:t>
      </w:r>
      <w:r w:rsidRPr="00C7130A">
        <w:rPr>
          <w:rtl/>
          <w:lang w:bidi="ar-JO"/>
        </w:rPr>
        <w:tab/>
        <w:t>مقدمة</w:t>
      </w:r>
      <w:bookmarkEnd w:id="360"/>
    </w:p>
    <w:p w14:paraId="6D51992D"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في حين تناول معظم السفر موضوع أخذ الأرض الموعودة بحرب مقدّسة، فإن معظم القسم الثاني يتناول توزيع الأرض على الأسباط المختلفة.  ويختتم السفر بتجمّع الأسباط في شكيم من أجل إعطاء صبغة رسمية لعهد مع يهوه يلزمون فيه أنفسهم بخدمة الرب وإطاعة صوته (إصحاح 24).  والفكرة الرئيسية للإصحاحات 13-21 هي اكتساب الميراث.</w:t>
      </w:r>
    </w:p>
    <w:p w14:paraId="6E6E4B28"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18462875" w14:textId="77777777" w:rsidR="006A7C83" w:rsidRPr="00C7130A" w:rsidRDefault="006A7C83" w:rsidP="000558B7">
      <w:pPr>
        <w:pStyle w:val="Heading3"/>
        <w:rPr>
          <w:rtl/>
          <w:lang w:bidi="ar-JO"/>
        </w:rPr>
      </w:pPr>
      <w:bookmarkStart w:id="361" w:name="_Toc193031112"/>
      <w:r w:rsidRPr="00C7130A">
        <w:rPr>
          <w:rtl/>
          <w:lang w:bidi="ar-JO"/>
        </w:rPr>
        <w:lastRenderedPageBreak/>
        <w:t>2.</w:t>
      </w:r>
      <w:r w:rsidRPr="00C7130A">
        <w:rPr>
          <w:rtl/>
          <w:lang w:bidi="ar-JO"/>
        </w:rPr>
        <w:tab/>
        <w:t>امتلاك الأرض</w:t>
      </w:r>
      <w:bookmarkEnd w:id="361"/>
    </w:p>
    <w:p w14:paraId="568ACBC5" w14:textId="77777777" w:rsidR="006A7C83" w:rsidRPr="00895403" w:rsidRDefault="006A7C83" w:rsidP="00C7130A">
      <w:pPr>
        <w:tabs>
          <w:tab w:val="left" w:pos="454"/>
        </w:tabs>
        <w:spacing w:after="60"/>
        <w:ind w:left="550" w:hanging="550"/>
        <w:jc w:val="both"/>
        <w:rPr>
          <w:rFonts w:eastAsia="Times New Roman"/>
          <w:bCs/>
          <w:kern w:val="0"/>
          <w:rtl/>
          <w14:ligatures w14:val="none"/>
        </w:rPr>
      </w:pPr>
      <w:r w:rsidRPr="00895403">
        <w:rPr>
          <w:rFonts w:eastAsia="Times New Roman"/>
          <w:bCs/>
          <w:kern w:val="0"/>
          <w:rtl/>
          <w14:ligatures w14:val="none"/>
        </w:rPr>
        <w:t>أ.</w:t>
      </w:r>
      <w:r w:rsidRPr="00895403">
        <w:rPr>
          <w:rFonts w:eastAsia="Times New Roman"/>
          <w:bCs/>
          <w:kern w:val="0"/>
          <w:rtl/>
          <w14:ligatures w14:val="none"/>
        </w:rPr>
        <w:tab/>
        <w:t>توفيق التصريحات</w:t>
      </w:r>
    </w:p>
    <w:p w14:paraId="25B83868"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من الضروري إعداد بعض التعليقات حول مدى امتلاك إسرائيل للأرض، إذ بقيت هذه المهمة في واقع الأمر غير مكتملة.  وسأقتبس هنا بشكل مطوّل ما يقوله د. والكي في هذا الشأن:</w:t>
      </w:r>
    </w:p>
    <w:p w14:paraId="2758C094"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895403">
        <w:rPr>
          <w:rFonts w:eastAsia="Times New Roman"/>
          <w:kern w:val="0"/>
          <w:rtl/>
          <w:lang w:bidi="ar-JO"/>
          <w14:ligatures w14:val="none"/>
        </w:rPr>
        <w:t>في حين يؤكد السفر أن الوعود المقطوعة للآباء تحققت في فتح يشوع (11: 23؛ انظر 21: 43)، فإن الواقع التاريخي يقول إن الأرض لم تُعطَ إلاّ بشكل جزئي.  وقد لاحظ ي. كوفمان أن العلاقة بين الوعد المتعلق بأبعاد الأرض وبين التحقيق التاريخي يمكن أن ينقسم إلى ثلاث فئات: (1) تمّ فتح قسم من الأرض وتوزيعه؛ (2) وزِّع قسم آخر دون أن يتم فتحه – كل الشريط الساحلي (13: 2-4) كل منطقة العامِق (الوادي) (17: 11 فصاعداً)، وكل نصيب دان تقريباً (19: 47)، وأورشليم وجازر ومدن أخرى (15: 63؛ 16: 10)؛ (3) قسم لم يوزَّع ولم يتم فتحه – من بعل جاد في وادي لبنان إلى مدخل حماة (عدد 34: 7 فصاعداً؛ يشوع 1: 4) (</w:t>
      </w:r>
      <w:r w:rsidRPr="00895403">
        <w:rPr>
          <w:rFonts w:eastAsia="Times New Roman"/>
          <w:i/>
          <w:iCs/>
          <w:kern w:val="0"/>
          <w14:ligatures w14:val="none"/>
        </w:rPr>
        <w:t>Biblical Account</w:t>
      </w:r>
      <w:r w:rsidRPr="00895403">
        <w:rPr>
          <w:rFonts w:eastAsia="Times New Roman"/>
          <w:kern w:val="0"/>
          <w14:ligatures w14:val="none"/>
        </w:rPr>
        <w:t xml:space="preserve"> p.52</w:t>
      </w:r>
      <w:r w:rsidRPr="00895403">
        <w:rPr>
          <w:rFonts w:eastAsia="Times New Roman"/>
          <w:kern w:val="0"/>
          <w:rtl/>
          <w:lang w:bidi="ar-JO"/>
          <w14:ligatures w14:val="none"/>
        </w:rPr>
        <w:t>).</w:t>
      </w:r>
    </w:p>
    <w:p w14:paraId="12E0BC98"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2AFC9FE"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895403">
        <w:rPr>
          <w:rFonts w:eastAsia="Times New Roman"/>
          <w:kern w:val="0"/>
          <w:rtl/>
          <w:lang w:bidi="ar-JO"/>
          <w14:ligatures w14:val="none"/>
        </w:rPr>
        <w:t>يكمن التوفيق بين هذه التصريحات المتناقضة ظاهرياً في فهم صحيح لفهم معنى "فأخذ (</w:t>
      </w:r>
      <w:r w:rsidRPr="00895403">
        <w:rPr>
          <w:rFonts w:eastAsia="Times New Roman"/>
          <w:i/>
          <w:iCs/>
          <w:kern w:val="0"/>
          <w:rtl/>
          <w:lang w:bidi="ar-JO"/>
          <w14:ligatures w14:val="none"/>
        </w:rPr>
        <w:t>لاق</w:t>
      </w:r>
      <w:r w:rsidRPr="00895403">
        <w:rPr>
          <w:rFonts w:eastAsia="Times New Roman"/>
          <w:i/>
          <w:iCs/>
          <w:kern w:val="0"/>
          <w:rtl/>
          <w14:ligatures w14:val="none"/>
        </w:rPr>
        <w:t xml:space="preserve">خ </w:t>
      </w:r>
      <w:r w:rsidRPr="00895403">
        <w:rPr>
          <w:rFonts w:eastAsia="Times New Roman"/>
          <w:i/>
          <w:iCs/>
          <w:kern w:val="0"/>
          <w:lang w:bidi="ar-JO"/>
          <w14:ligatures w14:val="none"/>
        </w:rPr>
        <w:t>lāqaḥ</w:t>
      </w:r>
      <w:r w:rsidRPr="00895403">
        <w:rPr>
          <w:rFonts w:eastAsia="Times New Roman"/>
          <w:kern w:val="0"/>
          <w:rtl/>
          <w:lang w:bidi="ar-JO"/>
          <w14:ligatures w14:val="none"/>
        </w:rPr>
        <w:t>) يشوع كل الأرض".  لقد فهم الكاتب على الأرجح أن أخْذ الأرض يعني كسب السيطرة عليها دون إبادة المعارضة...</w:t>
      </w:r>
    </w:p>
    <w:p w14:paraId="74AAF5FF"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5DAC2841"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895403">
        <w:rPr>
          <w:rFonts w:eastAsia="Times New Roman"/>
          <w:kern w:val="0"/>
          <w:rtl/>
          <w:lang w:bidi="ar-JO"/>
          <w14:ligatures w14:val="none"/>
        </w:rPr>
        <w:t>ويعترف كتاب الحرب (الأصحاحات 10-11) كتاب التوزيع (الأصحاحات 13-21) بأن مهمة طرد الكنعانيين لم تكتمل ... لكن ظهر الكنعانيين قُصم بعد أن مات ملك بعد ملك (الإصحاح 12).  وبصرف النظر عن ثورة الكنعانيين المسجلة في قضاة 4-5 ومقاومة اليبوسيين (2صموئيل 5: 6-10)، فلن يكون الكنعانيون فيما بعد أعداء إسرائيل، بل الفلسطينيون وشعوب أخرى من خارج الأرض (انظر سفر القضاة)"</w:t>
      </w:r>
      <w:r w:rsidRPr="00895403">
        <w:rPr>
          <w:rFonts w:eastAsia="Times New Roman"/>
          <w:kern w:val="0"/>
          <w:rtl/>
          <w14:ligatures w14:val="none"/>
        </w:rPr>
        <w:t>.</w:t>
      </w:r>
      <w:r w:rsidRPr="00895403">
        <w:rPr>
          <w:rFonts w:eastAsia="Times New Roman"/>
          <w:kern w:val="0"/>
          <w:vertAlign w:val="superscript"/>
          <w:rtl/>
          <w:lang w:bidi="ar-JO"/>
          <w14:ligatures w14:val="none"/>
        </w:rPr>
        <w:footnoteReference w:customMarkFollows="1" w:id="154"/>
        <w:t>1</w:t>
      </w:r>
    </w:p>
    <w:p w14:paraId="30911FC1"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4A7BF64B" w14:textId="77777777" w:rsidR="006A7C83" w:rsidRPr="00895403" w:rsidRDefault="006A7C83" w:rsidP="00C7130A">
      <w:pPr>
        <w:tabs>
          <w:tab w:val="left" w:pos="454"/>
        </w:tabs>
        <w:spacing w:after="60"/>
        <w:ind w:left="550" w:hanging="550"/>
        <w:jc w:val="both"/>
        <w:rPr>
          <w:rFonts w:eastAsia="Times New Roman"/>
          <w:bCs/>
          <w:kern w:val="0"/>
          <w:rtl/>
          <w14:ligatures w14:val="none"/>
        </w:rPr>
      </w:pPr>
      <w:r w:rsidRPr="00895403">
        <w:rPr>
          <w:rFonts w:eastAsia="Times New Roman"/>
          <w:bCs/>
          <w:kern w:val="0"/>
          <w:rtl/>
          <w14:ligatures w14:val="none"/>
        </w:rPr>
        <w:t>ب.</w:t>
      </w:r>
      <w:r w:rsidRPr="00895403">
        <w:rPr>
          <w:rFonts w:eastAsia="Times New Roman"/>
          <w:bCs/>
          <w:kern w:val="0"/>
          <w:rtl/>
          <w14:ligatures w14:val="none"/>
        </w:rPr>
        <w:tab/>
        <w:t xml:space="preserve">ذروة السفر </w:t>
      </w:r>
    </w:p>
    <w:p w14:paraId="10A48A85"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 xml:space="preserve">تشكّل يشوع 21: 43-45 ذروة السفر حيث تتحدث عمّا أعطاه يهوه للأمة: </w:t>
      </w:r>
    </w:p>
    <w:p w14:paraId="1362B9AE"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895403">
        <w:rPr>
          <w:rFonts w:eastAsia="Times New Roman"/>
          <w:kern w:val="0"/>
          <w:rtl/>
          <w:lang w:bidi="ar-JO"/>
          <w14:ligatures w14:val="none"/>
        </w:rPr>
        <w:t>(1)</w:t>
      </w:r>
      <w:r w:rsidRPr="00895403">
        <w:rPr>
          <w:rFonts w:eastAsia="Times New Roman"/>
          <w:kern w:val="0"/>
          <w:rtl/>
          <w:lang w:bidi="ar-JO"/>
          <w14:ligatures w14:val="none"/>
        </w:rPr>
        <w:tab/>
        <w:t>"</w:t>
      </w:r>
      <w:r w:rsidRPr="00895403">
        <w:rPr>
          <w:rFonts w:eastAsia="Times New Roman"/>
          <w:i/>
          <w:iCs/>
          <w:kern w:val="0"/>
          <w:rtl/>
          <w:lang w:bidi="ar-JO"/>
          <w14:ligatures w14:val="none"/>
        </w:rPr>
        <w:t xml:space="preserve">جميع الأرض التي أقسم أن يعطيها </w:t>
      </w:r>
      <w:r w:rsidRPr="00895403">
        <w:rPr>
          <w:rFonts w:eastAsia="Times New Roman"/>
          <w:kern w:val="0"/>
          <w:rtl/>
          <w:lang w:bidi="ar-JO"/>
          <w14:ligatures w14:val="none"/>
        </w:rPr>
        <w:t>لآبائهم" -انظر الملاحظات السابقة حول التناقض الظاهري.</w:t>
      </w:r>
    </w:p>
    <w:p w14:paraId="4D7A05E0" w14:textId="77A39FDB"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895403">
        <w:rPr>
          <w:rFonts w:eastAsia="Times New Roman"/>
          <w:kern w:val="0"/>
          <w:rtl/>
          <w:lang w:bidi="ar-JO"/>
          <w14:ligatures w14:val="none"/>
        </w:rPr>
        <w:t>(2)</w:t>
      </w:r>
      <w:r w:rsidRPr="00895403">
        <w:rPr>
          <w:rFonts w:eastAsia="Times New Roman"/>
          <w:kern w:val="0"/>
          <w:rtl/>
          <w:lang w:bidi="ar-JO"/>
          <w14:ligatures w14:val="none"/>
        </w:rPr>
        <w:tab/>
        <w:t xml:space="preserve">" </w:t>
      </w:r>
      <w:r w:rsidRPr="00895403">
        <w:rPr>
          <w:rFonts w:eastAsia="Times New Roman"/>
          <w:i/>
          <w:iCs/>
          <w:kern w:val="0"/>
          <w:rtl/>
          <w:lang w:bidi="ar-JO"/>
          <w14:ligatures w14:val="none"/>
        </w:rPr>
        <w:t xml:space="preserve">أراحهم الرب </w:t>
      </w:r>
      <w:r w:rsidR="009E514E" w:rsidRPr="00895403">
        <w:rPr>
          <w:rFonts w:eastAsia="Times New Roman" w:hint="cs"/>
          <w:i/>
          <w:iCs/>
          <w:kern w:val="0"/>
          <w:rtl/>
          <w:lang w:bidi="ar-JO"/>
          <w14:ligatures w14:val="none"/>
        </w:rPr>
        <w:t xml:space="preserve">حواليهم </w:t>
      </w:r>
      <w:r w:rsidR="009E514E" w:rsidRPr="00895403">
        <w:rPr>
          <w:rFonts w:eastAsia="Times New Roman" w:hint="cs"/>
          <w:kern w:val="0"/>
          <w:rtl/>
          <w:lang w:bidi="ar-JO"/>
          <w14:ligatures w14:val="none"/>
        </w:rPr>
        <w:t>(</w:t>
      </w:r>
      <w:r w:rsidRPr="00895403">
        <w:rPr>
          <w:rFonts w:eastAsia="Times New Roman"/>
          <w:kern w:val="0"/>
          <w:rtl/>
          <w:lang w:bidi="ar-JO"/>
          <w14:ligatures w14:val="none"/>
        </w:rPr>
        <w:t xml:space="preserve">من كل جهة) ... </w:t>
      </w:r>
      <w:r w:rsidRPr="00895403">
        <w:rPr>
          <w:rFonts w:eastAsia="Times New Roman"/>
          <w:kern w:val="0"/>
          <w:u w:val="single"/>
          <w:rtl/>
          <w:lang w:bidi="ar-JO"/>
          <w14:ligatures w14:val="none"/>
        </w:rPr>
        <w:t>من جميع أعدائهم</w:t>
      </w:r>
      <w:r w:rsidRPr="00895403">
        <w:rPr>
          <w:rFonts w:eastAsia="Times New Roman"/>
          <w:kern w:val="0"/>
          <w:rtl/>
          <w:lang w:bidi="ar-JO"/>
          <w14:ligatures w14:val="none"/>
        </w:rPr>
        <w:t>."  لقد قصمت إسرائيل ظهر كنعان من ناحية عملية.  إذ قتلوا 31 من ملوكها (يشوع 21).</w:t>
      </w:r>
    </w:p>
    <w:p w14:paraId="5D404F05"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895403">
        <w:rPr>
          <w:rFonts w:eastAsia="Times New Roman"/>
          <w:kern w:val="0"/>
          <w:rtl/>
          <w:lang w:bidi="ar-JO"/>
          <w14:ligatures w14:val="none"/>
        </w:rPr>
        <w:lastRenderedPageBreak/>
        <w:t>(3)</w:t>
      </w:r>
      <w:r w:rsidRPr="00895403">
        <w:rPr>
          <w:rFonts w:eastAsia="Times New Roman"/>
          <w:kern w:val="0"/>
          <w:rtl/>
          <w:lang w:bidi="ar-JO"/>
          <w14:ligatures w14:val="none"/>
        </w:rPr>
        <w:tab/>
        <w:t>"</w:t>
      </w:r>
      <w:r w:rsidRPr="00895403">
        <w:rPr>
          <w:rFonts w:eastAsia="Times New Roman"/>
          <w:i/>
          <w:iCs/>
          <w:kern w:val="0"/>
          <w:rtl/>
          <w:lang w:bidi="ar-JO"/>
          <w14:ligatures w14:val="none"/>
        </w:rPr>
        <w:t>لم تسقط كلمة من جميع الكلام الصالح الذي كلّم به الرب بيت إسرائيل.  بل الكل صار</w:t>
      </w:r>
      <w:r w:rsidRPr="00895403">
        <w:rPr>
          <w:rFonts w:eastAsia="Times New Roman"/>
          <w:kern w:val="0"/>
          <w:rtl/>
          <w:lang w:bidi="ar-JO"/>
          <w14:ligatures w14:val="none"/>
        </w:rPr>
        <w:t>."</w:t>
      </w:r>
    </w:p>
    <w:p w14:paraId="07245B32"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8CB419E"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ليست الفكرة هنا أن الله استطاع أخيراً أن يحقق وعوده؛ بل إن إسرائيل هي التي أطاعت أخيراً الرب، مما سمح له بأن يباركهم بالوعود.  متى يفشل الوعد؟ يسقط الوعد عندما لا نؤمن به ونعمل على أساسه، ولا يحفظ الله الدور الذي عليه (وهو أمر مستحيل).</w:t>
      </w:r>
    </w:p>
    <w:p w14:paraId="48A10392"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412C237" w14:textId="77777777" w:rsidR="006A7C83" w:rsidRPr="00895403" w:rsidRDefault="006A7C83" w:rsidP="00C7130A">
      <w:pPr>
        <w:tabs>
          <w:tab w:val="left" w:pos="454"/>
        </w:tabs>
        <w:spacing w:after="60"/>
        <w:ind w:left="550" w:hanging="550"/>
        <w:jc w:val="both"/>
        <w:rPr>
          <w:rFonts w:eastAsia="Times New Roman"/>
          <w:bCs/>
          <w:kern w:val="0"/>
          <w:rtl/>
          <w14:ligatures w14:val="none"/>
        </w:rPr>
      </w:pPr>
      <w:r w:rsidRPr="00895403">
        <w:rPr>
          <w:rFonts w:eastAsia="Times New Roman"/>
          <w:bCs/>
          <w:kern w:val="0"/>
          <w:rtl/>
          <w14:ligatures w14:val="none"/>
        </w:rPr>
        <w:t>جـ.</w:t>
      </w:r>
      <w:r w:rsidRPr="00895403">
        <w:rPr>
          <w:rFonts w:eastAsia="Times New Roman"/>
          <w:bCs/>
          <w:kern w:val="0"/>
          <w:rtl/>
          <w14:ligatures w14:val="none"/>
        </w:rPr>
        <w:tab/>
        <w:t>الحدود في الأرض الممتلكة</w:t>
      </w:r>
    </w:p>
    <w:p w14:paraId="3EB1B171" w14:textId="300BB173"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من الواضح أن الأرض التي قصد الله أن يعطيها لإسرائيل لم تُمتلك</w:t>
      </w:r>
      <w:r w:rsidRPr="00895403">
        <w:rPr>
          <w:rFonts w:eastAsia="Times New Roman"/>
          <w:kern w:val="0"/>
          <w14:ligatures w14:val="none"/>
        </w:rPr>
        <w:t xml:space="preserve"> </w:t>
      </w:r>
      <w:r w:rsidRPr="00895403">
        <w:rPr>
          <w:rFonts w:eastAsia="Times New Roman"/>
          <w:kern w:val="0"/>
          <w:rtl/>
          <w:lang w:bidi="ar-JO"/>
          <w14:ligatures w14:val="none"/>
        </w:rPr>
        <w:t>كاملةً، أمّا القسم الذي تم امتلاكه، فلم يُمتلك بسرعة.  قاموا أولاً بالهيمنة على الأرض؛ ثم كان عليهم أن ينفّذوا خطّة احتلال الأرض بشكل تدرجي.  غير أن هذا كان خطّة الله منذ البداية: "</w:t>
      </w:r>
      <w:r w:rsidRPr="00895403">
        <w:rPr>
          <w:rFonts w:eastAsia="Times New Roman"/>
          <w:i/>
          <w:iCs/>
          <w:kern w:val="0"/>
          <w:rtl/>
          <w:lang w:bidi="ar-JO"/>
          <w14:ligatures w14:val="none"/>
        </w:rPr>
        <w:t>ولكن الرب إلهك يطرد هؤلاء الشعوب من أمامك قليلاً قليلاً.  لا تستطيع أن تُفنيهم سريعاً، لئلا تكثر عليك وحوش البرّية</w:t>
      </w:r>
      <w:r w:rsidRPr="00895403">
        <w:rPr>
          <w:rFonts w:eastAsia="Times New Roman"/>
          <w:kern w:val="0"/>
          <w:rtl/>
          <w:lang w:bidi="ar-JO"/>
          <w14:ligatures w14:val="none"/>
        </w:rPr>
        <w:t>" (تثنية 7: 22؛ انظر 7: 1-5).  كل ما كانوا يعرفونه هو أن ينفّذوا خطّة القضاء على العدو، وأن الله سيسلم أعداءهم إليهم.  أمّا مسألة "التوقيت" فتبقى غامضة، مجبرةً إياهم على الاستمرار في الاعتماد على يهوه.  وهكذا لم تكن محدودية الأرض التي امتلكوها راجعة إلى عدم إيمانهم (يشوع 15: 63؛ 6: 10؛ 17: 12-13)، بل كانت قصد يهوه.  فهو يريدهم أن يمتلكوا كل صكوك ملكية الأرض، لكن ليس قبل أن يكونوا مستعدّين لامتلاكها.  وهذا هو المبدأ: يعطينا الله بقدر ما نحن مستعدون لأخذه!</w:t>
      </w:r>
    </w:p>
    <w:p w14:paraId="55A8A29E"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1735A45"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شرح الله في يشوع 13: 1-7 عقيدة امتلاك الأرض المتبقية.  وقد تحكم عاملان في هذه المحدودية:</w:t>
      </w:r>
    </w:p>
    <w:p w14:paraId="015ADEDD"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895403">
        <w:rPr>
          <w:rFonts w:eastAsia="Times New Roman"/>
          <w:kern w:val="0"/>
          <w:rtl/>
          <w:lang w:bidi="ar-JO"/>
          <w14:ligatures w14:val="none"/>
        </w:rPr>
        <w:t>(1)</w:t>
      </w:r>
      <w:r w:rsidRPr="00895403">
        <w:rPr>
          <w:rFonts w:eastAsia="Times New Roman"/>
          <w:kern w:val="0"/>
          <w:rtl/>
          <w:lang w:bidi="ar-JO"/>
          <w14:ligatures w14:val="none"/>
        </w:rPr>
        <w:tab/>
        <w:t>كانت المحدودية وفق حاجاتهم الراهنة.</w:t>
      </w:r>
    </w:p>
    <w:p w14:paraId="162476F1"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895403">
        <w:rPr>
          <w:rFonts w:eastAsia="Times New Roman"/>
          <w:kern w:val="0"/>
          <w:rtl/>
          <w:lang w:bidi="ar-JO"/>
          <w14:ligatures w14:val="none"/>
        </w:rPr>
        <w:t>(2)</w:t>
      </w:r>
      <w:r w:rsidRPr="00895403">
        <w:rPr>
          <w:rFonts w:eastAsia="Times New Roman"/>
          <w:kern w:val="0"/>
          <w:rtl/>
          <w:lang w:bidi="ar-JO"/>
          <w14:ligatures w14:val="none"/>
        </w:rPr>
        <w:tab/>
        <w:t xml:space="preserve">قدّم يهوه </w:t>
      </w:r>
      <w:r w:rsidRPr="00895403">
        <w:rPr>
          <w:rFonts w:eastAsia="Times New Roman"/>
          <w:kern w:val="0"/>
          <w:u w:val="single"/>
          <w:rtl/>
          <w:lang w:bidi="ar-JO"/>
          <w14:ligatures w14:val="none"/>
        </w:rPr>
        <w:t>الوعد</w:t>
      </w:r>
      <w:r w:rsidRPr="00895403">
        <w:rPr>
          <w:rFonts w:eastAsia="Times New Roman"/>
          <w:kern w:val="0"/>
          <w:rtl/>
          <w:lang w:bidi="ar-JO"/>
          <w14:ligatures w14:val="none"/>
        </w:rPr>
        <w:t xml:space="preserve"> بأنه سيقوم بنفسه بطرد الأعداء المتبقّين (يشوع 13: 6).</w:t>
      </w:r>
    </w:p>
    <w:p w14:paraId="0FF3A6F0"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يجب أخذ طبيعة العهد في الاعتبار.  فمتى يتحقق وعد ما؟ من أجل شرح توضيحي، لندرس الوعد التالي: "أنا أعد بأن أدفع كل رسوم دراستك في كلية اللاهوت!" عندما يأتي الفصل التالي، تأتي إلي فأدفع لك رسوم ذلك الفصل.  فهل تحقق الوعد؟ نعم، لكن يظل هنالك توقُّع مستقبلي... إذ لم يُستنفذ مدى الوعد.  وينطبق وعد الله لإسرائيل بالأرض بطريقة مماثلة: لقد كان مدى الوعد كبيراً بما يكفي لإعطائهم رجاء في امتلاك مستقبلي.</w:t>
      </w:r>
    </w:p>
    <w:p w14:paraId="11580AB0"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تُخصَّص لكل سبط مساحة من الأرض كميراث له، لكن يتوجب عليهم أن يقوموا باحتلال الأرض.  ولا تصبح الأرض المتبقية جزءاً من ميراث كل سبط إلاّ بمدى استعداده.</w:t>
      </w:r>
      <w:r w:rsidRPr="00895403">
        <w:rPr>
          <w:rFonts w:eastAsia="Times New Roman"/>
          <w:kern w:val="0"/>
          <w:vertAlign w:val="superscript"/>
          <w:rtl/>
          <w:lang w:bidi="ar-JO"/>
          <w14:ligatures w14:val="none"/>
        </w:rPr>
        <w:footnoteReference w:customMarkFollows="1" w:id="155"/>
        <w:t>2</w:t>
      </w:r>
    </w:p>
    <w:p w14:paraId="799EB453"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Cs w:val="26"/>
          <w:rtl/>
          <w14:ligatures w14:val="none"/>
        </w:rPr>
      </w:pPr>
    </w:p>
    <w:p w14:paraId="5878C70E" w14:textId="77777777" w:rsidR="006A7C83" w:rsidRPr="00C7130A" w:rsidRDefault="006A7C83" w:rsidP="000558B7">
      <w:pPr>
        <w:pStyle w:val="Heading3"/>
        <w:rPr>
          <w:rtl/>
          <w:lang w:bidi="ar-JO"/>
        </w:rPr>
      </w:pPr>
      <w:bookmarkStart w:id="362" w:name="_Toc193031113"/>
      <w:r w:rsidRPr="00C7130A">
        <w:rPr>
          <w:rtl/>
          <w:lang w:bidi="ar-JO"/>
        </w:rPr>
        <w:t>3.</w:t>
      </w:r>
      <w:r w:rsidRPr="00C7130A">
        <w:rPr>
          <w:rtl/>
          <w:lang w:bidi="ar-JO"/>
        </w:rPr>
        <w:tab/>
        <w:t>العهد في شكيم</w:t>
      </w:r>
      <w:bookmarkEnd w:id="362"/>
    </w:p>
    <w:p w14:paraId="2C793FBA"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أثناء مرحلة فتح أرض كنعان، استخدم بنو إسرائيل الجلجال (قرب نهر الأردن) كمخيم – قاعدة لهم.  وعلى ما يبدو، كان فتح كنعان (من زمن عبورهم نهر الأردن إلى زمن توزيع الأرض) حوالي ست سنوات ونصف (بناء على عمر كالب؛ يشوع 4: 7، 10).  وحالما بدأ الأسباط بفتح الأرض، وضع بنو إسرائيل خيمة الاجتماع والمذبح في شيلوه، على بعد 21 ميلاً إلى الشمال من أورشليم في منطقة أفرايم الجبلية.  واستمرّت شيلوه تلعب وظيفة المركز الديني على مدى فترة القضاة وحتى زمن صموئيل (1صموئيل 1: 3).</w:t>
      </w:r>
    </w:p>
    <w:p w14:paraId="428E7BAA"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وقبل وقت قصير من موت يشوع، دعا كل أسباط إسرائيل إلى الاجتماع مرّة أخرى في شكيم (بين جبلي عيبال وجرزيم).  وكان الهدف من ذلك هو إعادة تكريس العهد، أو إعادة التوكيد على سلطة العهد بين يهوه والأمة.</w:t>
      </w:r>
      <w:r w:rsidRPr="00895403">
        <w:rPr>
          <w:rFonts w:eastAsia="Times New Roman"/>
          <w:kern w:val="0"/>
          <w:vertAlign w:val="superscript"/>
          <w:rtl/>
          <w:lang w:bidi="ar-JO"/>
          <w14:ligatures w14:val="none"/>
        </w:rPr>
        <w:footnoteReference w:customMarkFollows="1" w:id="156"/>
        <w:t>3</w:t>
      </w:r>
      <w:r w:rsidRPr="00895403">
        <w:rPr>
          <w:rFonts w:eastAsia="Times New Roman"/>
          <w:kern w:val="0"/>
          <w:rtl/>
          <w:lang w:bidi="ar-JO"/>
          <w14:ligatures w14:val="none"/>
        </w:rPr>
        <w:t xml:space="preserve"> وقد أكّد هذا على حقيقة أن العهد لم يكن ملائماً للحصول على الأرض فحسب، لكنه كان ملائماً أيضاً للمحافظة على الأرض.  فكان عليهم أن يتّخذوا قراراً بأن يطيعوا يهوه على مدى أجيالهم.  وكانت شكيم هي الموقع الملائم لكي تقوم فيه الأمة بالتوكيد على هذا القرار.  يقول إيرفنغ جنسن:</w:t>
      </w:r>
    </w:p>
    <w:p w14:paraId="6F2B1254"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895403">
        <w:rPr>
          <w:rFonts w:eastAsia="Times New Roman"/>
          <w:kern w:val="0"/>
          <w:rtl/>
          <w:lang w:bidi="ar-JO"/>
          <w14:ligatures w14:val="none"/>
        </w:rPr>
        <w:t>هنا وعد الله أولاً إبراهيم بالأرض (تكوين 12: 6-7)؛ وهنا بنى يعقوب مذبحاً (تكوين 33: 20)؛ وهنا بنى يشوع مذبحاً وجدَّد علاقة عهد إسرائيل مع الله (يشوع 8: 30-35).  وقد ناشد يشوع إسرائيل أن تضع مصيرها بين يدي يهوه على أساس العهد.</w:t>
      </w:r>
      <w:r w:rsidRPr="00895403">
        <w:rPr>
          <w:rFonts w:eastAsia="Times New Roman"/>
          <w:kern w:val="0"/>
          <w:vertAlign w:val="superscript"/>
          <w:rtl/>
          <w:lang w:bidi="ar-JO"/>
          <w14:ligatures w14:val="none"/>
        </w:rPr>
        <w:footnoteReference w:customMarkFollows="1" w:id="157"/>
        <w:t>4</w:t>
      </w:r>
    </w:p>
    <w:p w14:paraId="626B1E18" w14:textId="236AFD4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895403">
        <w:rPr>
          <w:rFonts w:eastAsia="Times New Roman"/>
          <w:kern w:val="0"/>
          <w:rtl/>
          <w:lang w:bidi="ar-JO"/>
          <w14:ligatures w14:val="none"/>
        </w:rPr>
        <w:t>تنقسم رسالة يشوع إلى قسمين رئيسيين: (1) مراجعة لتاريخ إسرائيل السابق، و(2) تشجيع لهم على اتخاذ قرار في ما يتعلق بمستقبلهم.  تركِّز مراجعة تاريخ إسرائيل على وفاء يهوه أكثر مما تركّز على تمرّد إسرائيل.  والهدف واضح: كان يهوه وفياً لهم، لكن هل سيكونون أوفياء ليهوه؟ لا يجب عليهم أن يستخفّوا بالتحدي (24: 14 فصاعداً)، إذ كان الخيار واضحاً: "</w:t>
      </w:r>
      <w:r w:rsidRPr="00895403">
        <w:rPr>
          <w:rFonts w:eastAsia="Times New Roman"/>
          <w:i/>
          <w:iCs/>
          <w:kern w:val="0"/>
          <w:rtl/>
          <w:lang w:bidi="ar-JO"/>
          <w14:ligatures w14:val="none"/>
        </w:rPr>
        <w:t xml:space="preserve">اختاروا لأنفسكم </w:t>
      </w:r>
      <w:r w:rsidR="009E514E" w:rsidRPr="00895403">
        <w:rPr>
          <w:rFonts w:eastAsia="Times New Roman" w:hint="cs"/>
          <w:i/>
          <w:iCs/>
          <w:kern w:val="0"/>
          <w:rtl/>
          <w:lang w:bidi="ar-JO"/>
          <w14:ligatures w14:val="none"/>
        </w:rPr>
        <w:t>اليوم من</w:t>
      </w:r>
      <w:r w:rsidRPr="00895403">
        <w:rPr>
          <w:rFonts w:eastAsia="Times New Roman"/>
          <w:i/>
          <w:iCs/>
          <w:kern w:val="0"/>
          <w:rtl/>
          <w:lang w:bidi="ar-JO"/>
          <w14:ligatures w14:val="none"/>
        </w:rPr>
        <w:t xml:space="preserve"> تعبدون</w:t>
      </w:r>
      <w:r w:rsidRPr="00895403">
        <w:rPr>
          <w:rFonts w:eastAsia="Times New Roman"/>
          <w:kern w:val="0"/>
          <w:rtl/>
          <w:lang w:bidi="ar-JO"/>
          <w14:ligatures w14:val="none"/>
        </w:rPr>
        <w:t>" ... فإمّا يهوه وإمّا الآلهة الأخرى.  وقد قدّم يشوع نفسه، بصفته قائداً أميناً، كمثال للشعب (الآية 15).  وعندما استجابت الأمة بشكل إيجابي، حثّهم يشوع على أن يتأكّدوا من أن قرارهم أصيل ومروّى فيه ومخْلِصاً (الآيتان 19-20).  أصرَّ الشعب على أنهم مخلِصون، "</w:t>
      </w:r>
      <w:r w:rsidRPr="00895403">
        <w:rPr>
          <w:rFonts w:eastAsia="Times New Roman"/>
          <w:i/>
          <w:iCs/>
          <w:kern w:val="0"/>
          <w:rtl/>
          <w:lang w:bidi="ar-JO"/>
          <w14:ligatures w14:val="none"/>
        </w:rPr>
        <w:t>لا. بل الرب نعبد</w:t>
      </w:r>
      <w:r w:rsidRPr="00895403">
        <w:rPr>
          <w:rFonts w:eastAsia="Times New Roman"/>
          <w:kern w:val="0"/>
          <w:rtl/>
          <w:lang w:bidi="ar-JO"/>
          <w14:ligatures w14:val="none"/>
        </w:rPr>
        <w:t>؟" وخُتم القرار بعهد (الآية 25).  وهذا مشهد هام، لأنه يشكّل تحذيراً وتمهيداً للأحداث المدونة في سفر القضاة.  ومع اختتام سفر يشوع، نرى الشعب مصرّين على أن يخدموا ويطيعوا يهوه؛ لكن مع مجيء فترة القضاة، نرى الأمة تفشل في تكريسها هذا!</w:t>
      </w:r>
    </w:p>
    <w:p w14:paraId="426E690B"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KW"/>
          <w14:ligatures w14:val="none"/>
        </w:rPr>
      </w:pPr>
    </w:p>
    <w:p w14:paraId="20C09B2C" w14:textId="77777777" w:rsidR="006A7C83" w:rsidRPr="00C7130A" w:rsidRDefault="006A7C83" w:rsidP="000558B7">
      <w:pPr>
        <w:pStyle w:val="Heading3"/>
        <w:rPr>
          <w:rtl/>
          <w:lang w:bidi="ar-JO"/>
        </w:rPr>
      </w:pPr>
      <w:bookmarkStart w:id="363" w:name="_Toc193031114"/>
      <w:r w:rsidRPr="00C7130A">
        <w:rPr>
          <w:rtl/>
          <w:lang w:bidi="ar-JO"/>
        </w:rPr>
        <w:t>4.</w:t>
      </w:r>
      <w:r w:rsidRPr="00C7130A">
        <w:rPr>
          <w:rtl/>
          <w:lang w:bidi="ar-JO"/>
        </w:rPr>
        <w:tab/>
        <w:t>الدلالة الروحية للفتح</w:t>
      </w:r>
      <w:bookmarkEnd w:id="363"/>
    </w:p>
    <w:p w14:paraId="180DA81A"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lastRenderedPageBreak/>
        <w:t>حاول رعاة كثيرون أن يميطوا اللثام عن الأهمية الروحية لسفر يشوع لمؤمني العهد الجديد.  فما علاقتنا نحن بفتح الأرض وتقسيمها إلى حصص؟ أعتقد أنه يتوجب علينا أن ندرك أن الدور الأساسي للسفر يكمن في تقرير أمانة يهوه ووفائه في تنفيذ وعود البرنامج الإلهي المرسّخة في العهد الإبراهيمي.</w:t>
      </w:r>
    </w:p>
    <w:p w14:paraId="5EF69B00"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5A539A0"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غير أنه يبدو أن هنالك استخداماً مشروعاً للأفكار الموجودة في سفري العدد ويشوع في تشكيل لاهوت العهد الجديد.  فمثلاً تبنى على هذين السفرين مادّة عبرانيين 3: 1-4: 16 وموضوع "الراحة".</w:t>
      </w:r>
    </w:p>
    <w:p w14:paraId="1EA074D0"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CAE0032" w14:textId="2A863662"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وأنا أعتقد أن كثيراً من التشويش قد اختلط بالصورة في تفكيرنا.  وتمثّل الآراء التالية طرقاً مختلفة لفهم تطبيق هذه المادة:</w:t>
      </w:r>
    </w:p>
    <w:p w14:paraId="0A4A2D39"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895403">
        <w:rPr>
          <w:rFonts w:eastAsia="Times New Roman"/>
          <w:kern w:val="0"/>
          <w:rtl/>
          <w:lang w:bidi="ar-JO"/>
          <w14:ligatures w14:val="none"/>
        </w:rPr>
        <w:t>(1)</w:t>
      </w:r>
      <w:r w:rsidRPr="00895403">
        <w:rPr>
          <w:rFonts w:eastAsia="Times New Roman"/>
          <w:kern w:val="0"/>
          <w:rtl/>
          <w:lang w:bidi="ar-JO"/>
          <w14:ligatures w14:val="none"/>
        </w:rPr>
        <w:tab/>
        <w:t>يصوّر قدر كبير من الترانيم المسيحية والأدب التأمّلي العِبادي أرض كنعان نموذجاً لمجدنا السماوي.  لاحظ الأبيات التالية من إحدى الترانيم:</w:t>
      </w:r>
    </w:p>
    <w:p w14:paraId="5AB599E1"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895403">
        <w:rPr>
          <w:rFonts w:eastAsia="Times New Roman"/>
          <w:kern w:val="0"/>
          <w:rtl/>
          <w:lang w:bidi="ar-JO"/>
          <w14:ligatures w14:val="none"/>
        </w:rPr>
        <w:t>عندما أطأ ضفّة نهر الأردن،</w:t>
      </w:r>
    </w:p>
    <w:p w14:paraId="03DD3318"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895403">
        <w:rPr>
          <w:rFonts w:eastAsia="Times New Roman"/>
          <w:kern w:val="0"/>
          <w:rtl/>
          <w:lang w:bidi="ar-JO"/>
          <w14:ligatures w14:val="none"/>
        </w:rPr>
        <w:t>تتراجع مخاوفي القلِقة؛</w:t>
      </w:r>
    </w:p>
    <w:p w14:paraId="57FDD7D7"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895403">
        <w:rPr>
          <w:rFonts w:eastAsia="Times New Roman"/>
          <w:kern w:val="0"/>
          <w:rtl/>
          <w:lang w:bidi="ar-JO"/>
          <w14:ligatures w14:val="none"/>
        </w:rPr>
        <w:t>يموت الموت، ويدمَّر الجحيم،</w:t>
      </w:r>
    </w:p>
    <w:p w14:paraId="404E2ED1"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2155"/>
        <w:jc w:val="both"/>
        <w:rPr>
          <w:rFonts w:eastAsia="Times New Roman"/>
          <w:kern w:val="0"/>
          <w:rtl/>
          <w:lang w:bidi="ar-JO"/>
          <w14:ligatures w14:val="none"/>
        </w:rPr>
      </w:pPr>
      <w:r w:rsidRPr="00895403">
        <w:rPr>
          <w:rFonts w:eastAsia="Times New Roman"/>
          <w:kern w:val="0"/>
          <w:rtl/>
          <w:lang w:bidi="ar-JO"/>
          <w14:ligatures w14:val="none"/>
        </w:rPr>
        <w:t>وأهبط سالماً على جانب كنعان.</w:t>
      </w:r>
    </w:p>
    <w:p w14:paraId="1266EE5B"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14:ligatures w14:val="none"/>
        </w:rPr>
      </w:pPr>
      <w:r w:rsidRPr="00895403">
        <w:rPr>
          <w:rFonts w:eastAsia="Times New Roman"/>
          <w:kern w:val="0"/>
          <w:rtl/>
          <w:lang w:bidi="ar-JO"/>
          <w14:ligatures w14:val="none"/>
        </w:rPr>
        <w:t>2)</w:t>
      </w:r>
      <w:r w:rsidRPr="00895403">
        <w:rPr>
          <w:rFonts w:eastAsia="Times New Roman"/>
          <w:kern w:val="0"/>
          <w:rtl/>
          <w:lang w:bidi="ar-JO"/>
          <w14:ligatures w14:val="none"/>
        </w:rPr>
        <w:tab/>
        <w:t>يرى آخرون في فتح كنعان ("</w:t>
      </w:r>
      <w:r w:rsidRPr="00895403">
        <w:rPr>
          <w:rFonts w:eastAsia="Times New Roman"/>
          <w:i/>
          <w:iCs/>
          <w:kern w:val="0"/>
          <w:rtl/>
          <w:lang w:bidi="ar-JO"/>
          <w14:ligatures w14:val="none"/>
        </w:rPr>
        <w:t>كل موضع تدوسه بطون أقدامكم لكم أعطيه</w:t>
      </w:r>
      <w:r w:rsidRPr="00895403">
        <w:rPr>
          <w:rFonts w:eastAsia="Times New Roman"/>
          <w:kern w:val="0"/>
          <w:rtl/>
          <w:lang w:bidi="ar-JO"/>
          <w14:ligatures w14:val="none"/>
        </w:rPr>
        <w:t>" يشوع 1: 3) صورة لتحقيق الكنيسة للمأمورية العظمى وأخذ كل الأرض.</w:t>
      </w:r>
      <w:r w:rsidRPr="00895403">
        <w:rPr>
          <w:rFonts w:eastAsia="Times New Roman"/>
          <w:kern w:val="0"/>
          <w:vertAlign w:val="superscript"/>
          <w:rtl/>
          <w:lang w:bidi="ar-JO"/>
          <w14:ligatures w14:val="none"/>
        </w:rPr>
        <w:footnoteReference w:customMarkFollows="1" w:id="158"/>
        <w:t>5</w:t>
      </w:r>
    </w:p>
    <w:p w14:paraId="11D2D827"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895403">
        <w:rPr>
          <w:rFonts w:eastAsia="Times New Roman"/>
          <w:kern w:val="0"/>
          <w:rtl/>
          <w:lang w:bidi="ar-JO"/>
          <w14:ligatures w14:val="none"/>
        </w:rPr>
        <w:t>3)</w:t>
      </w:r>
      <w:r w:rsidRPr="00895403">
        <w:rPr>
          <w:rFonts w:eastAsia="Times New Roman"/>
          <w:kern w:val="0"/>
          <w:rtl/>
          <w:lang w:bidi="ar-JO"/>
          <w14:ligatures w14:val="none"/>
        </w:rPr>
        <w:tab/>
        <w:t>ونرى، مرّة أخرى، أولئك الذين يحاولون أن يدمجوا مادة عبرانيين 3-4 ليروا في يشوع صورة للمؤمن الذي يدخل حياة راحة الإيمان.  وهم يقولون إن بني إسرائيل تحت قيادة يشوع يصوّرون المؤمنين الذين دخلوا "الحياة المنتصرة" و"المرتاحين" من أعمالهم وهمومهم، مكتشفين سر "ترك الرب يعمل عنهم".</w:t>
      </w:r>
    </w:p>
    <w:p w14:paraId="60BB0165"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895403">
        <w:rPr>
          <w:rFonts w:eastAsia="Times New Roman"/>
          <w:kern w:val="0"/>
          <w:rtl/>
          <w:lang w:bidi="ar-JO"/>
          <w14:ligatures w14:val="none"/>
        </w:rPr>
        <w:t>4)</w:t>
      </w:r>
      <w:r w:rsidRPr="00895403">
        <w:rPr>
          <w:rFonts w:eastAsia="Times New Roman"/>
          <w:kern w:val="0"/>
          <w:rtl/>
          <w:lang w:bidi="ar-JO"/>
          <w14:ligatures w14:val="none"/>
        </w:rPr>
        <w:tab/>
        <w:t>ويوجد رأي متفرع من الرأي السابق يقول إن البرية وكنعان تصوّران المقابلة بين المؤمن الذي هو خارج نطاق الشركة مع الله والمؤمن الذي يحيا حياة عبادة لله، أو المقابلة بين المؤمن الجسدي والمؤمن الممتلئ بالروح.</w:t>
      </w:r>
    </w:p>
    <w:p w14:paraId="0131667F"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F35D1B4" w14:textId="79E11F6C"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lastRenderedPageBreak/>
        <w:t xml:space="preserve">يجب علينا مقاومة هذا النوع من التفسير المجازي! فمثل هذه الرموز الروحية يظلم المعطيات المتوفرة لنا من الرسالة إلى العبرانيين وتوكيدها على الاحتمال والتأديب والأمانة والميراث والتوقّعات الأخروية.  وعلى الرغم من أن تناولاً شاملاً لتفسير عبرانيين 3-4 أمر يتجاوز مدى هذا الدرس، إلاّ أنه يتوجّب إبداء بعض الملاحظات.  يُظهر الكاتب اهتماماً </w:t>
      </w:r>
      <w:r w:rsidRPr="00895403">
        <w:rPr>
          <w:rFonts w:eastAsia="Times New Roman"/>
          <w:kern w:val="0"/>
          <w:u w:val="single"/>
          <w:rtl/>
          <w:lang w:bidi="ar-JO"/>
          <w14:ligatures w14:val="none"/>
        </w:rPr>
        <w:t>بشعب الله</w:t>
      </w:r>
      <w:r w:rsidRPr="00895403">
        <w:rPr>
          <w:rFonts w:eastAsia="Times New Roman"/>
          <w:kern w:val="0"/>
          <w:rtl/>
          <w:lang w:bidi="ar-JO"/>
          <w14:ligatures w14:val="none"/>
        </w:rPr>
        <w:t xml:space="preserve"> القدماء، الذين قسّى بعضهم قلوبهم وابتعدوا عن الرب في عدم إيمان (أي جيل البرية).  ويبدو أن الفكرة كلّها تؤكد على حقيقة أنهم فوّتوا </w:t>
      </w:r>
      <w:r w:rsidRPr="00895403">
        <w:rPr>
          <w:rFonts w:eastAsia="Times New Roman"/>
          <w:kern w:val="0"/>
          <w:u w:val="single"/>
          <w:rtl/>
          <w:lang w:bidi="ar-JO"/>
          <w14:ligatures w14:val="none"/>
        </w:rPr>
        <w:t>الميراث</w:t>
      </w:r>
      <w:r w:rsidRPr="00895403">
        <w:rPr>
          <w:rFonts w:eastAsia="Times New Roman"/>
          <w:kern w:val="0"/>
          <w:rtl/>
          <w:lang w:bidi="ar-JO"/>
          <w14:ligatures w14:val="none"/>
        </w:rPr>
        <w:t xml:space="preserve"> الذي كان في مقدورهم أن يحصلوا عليه (لا على حقيقة أنهم فقدوا الخلاص).  يوجد وعد براحة يمكن دخولها (عبرانيين 4: 1)، والإيمان هو طريق الدخول (4: 3).  لكن "الراحة" ليست الخلاص، حيث يتابع الكاتب حجّته فيقول: "</w:t>
      </w:r>
      <w:r w:rsidRPr="00895403">
        <w:rPr>
          <w:rFonts w:eastAsia="Times New Roman"/>
          <w:i/>
          <w:iCs/>
          <w:kern w:val="0"/>
          <w:rtl/>
          <w:lang w:bidi="ar-JO"/>
          <w14:ligatures w14:val="none"/>
        </w:rPr>
        <w:t>إذاً بقيت راحة (راحة سبت) لشعب الله.</w:t>
      </w:r>
      <w:r w:rsidRPr="00895403">
        <w:rPr>
          <w:rFonts w:eastAsia="Times New Roman"/>
          <w:kern w:val="0"/>
          <w:rtl/>
          <w:lang w:bidi="ar-JO"/>
          <w14:ligatures w14:val="none"/>
        </w:rPr>
        <w:t>"  ومن الواضح أن الأعمال التي تتحدث عنها عبرانيين 4: 10 ليست "أعمالاً سيئة " أو "أعمال الجسد" (أي الجهود الذاتية)، لأنها تشبّه بأعمال الله، ومن المؤكد أن أعمال الله ليست شرّيرة أو جسدية.  ويتطلّع توقّفنا من أعمال (4: 10) إلى الوقت الذي سندخُل فيه "راحتنا" ولا نضطر فيما بعد إلى العمل.  وفي هذه الأثناء، يجب أن نجتهد في الدخول إلى تلك "الراحة"، أي يجب أن نعمل الآن لكي نستريح لاحقاً.  فهنالك الأعمال الصالحة التي يجب أن يعملها المؤمن في هذه الحياة (انظر أفسس 2: 10؛ كولوسي 1: 29؛ تيطس 3: 8).  ويجب علينا، انسجاماً مع لاهوت الرسالة إلى العبرانيين، أن نحتمل ونصبر مع المسيح، وأن نبقى أوفياء له، وأن ننشغل بأعمال الخدمة والعبادة الصالحة! هذه هي الرسالة، ونحن نراها ملخَّصة في 10: 36: "</w:t>
      </w:r>
      <w:r w:rsidRPr="00895403">
        <w:rPr>
          <w:rFonts w:eastAsia="Times New Roman"/>
          <w:i/>
          <w:iCs/>
          <w:kern w:val="0"/>
          <w:rtl/>
          <w:lang w:bidi="ar-JO"/>
          <w14:ligatures w14:val="none"/>
        </w:rPr>
        <w:t>لأنكم تحتاجون إلى الصبر، حتى إذا صنعتم مشيئة الله تنالون الموعد</w:t>
      </w:r>
      <w:r w:rsidRPr="00895403">
        <w:rPr>
          <w:rFonts w:eastAsia="Times New Roman"/>
          <w:kern w:val="0"/>
          <w:rtl/>
          <w:lang w:bidi="ar-JO"/>
          <w14:ligatures w14:val="none"/>
        </w:rPr>
        <w:t>." يجب أن نصنع مشيئة الله (أعمالنا الصالحة)، وإلاّ ربما لا نحصل على ما وُعدنا به.  يمكن أن يجعلنا العصيان نفشل في الدخول إلى "الراحة" التي نرث فيها المواعيد (4: 6)!</w:t>
      </w:r>
    </w:p>
    <w:p w14:paraId="2EBACFBE"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كل هذا مرتبط بمفهوم الميراث المتاح لنا في "خلاصنا الأُخروي" (انظر عبرانيين 1: 14).  عندما أنظر إلى كيفية تطوّر مفهوم "الراحة" في الكتاب المقدّس، فإني أعتبر أنه يتطلع إلى تلك الفترة التي سيؤسس فيها المسيّا يسوع حُكم مملكته على الأرض لدى عودته.  ويعتمد ميراثنا ومستقبلنا في ذلك الحكم على ما نفعله في هذه الحياة.  وإن الأفكار التي تتضمن هذا التوقع موجودة في رواية سفر يشوع.  إذ يتطلع السفر بشكل أساسي إلى الحصول على الميراث! لكن الميراث ليس مضموناً.  فلا يمكن أن يتم الحصول عليه إلاّ بالإيمان وطاعة الرب (بالمقابلة مع جيل البريّة الذي تمرّد في عدم إيمان).  إن طاعة الكلمة أمر جوهري (يشوع 1: 7-8)؛ والميراث أمر جوهري أيضاً... يجب أن ننهي عملنا... ، نُكمل مهمّتنا... لا أن نتراجع.  وفضلاً عن ذلك، يجب علينا أن نكون مستعدّين لمواجهة مقاومة الأعداء.  لكن أعداءنا مختلفون عن أعداء يشوع حيث أن أعداءنا روحيون ("ليست مصارعتنا مع لحم ودم"، أفسس 6: 10 فصاعداً).  ليست كنعان "حياة منتصرة" حيث لا يوجد قلق أو هم؛ بل هي أرض معركة! غير أني لا أقترح هنا أن نحارب بطاقة الجسد.  لقد حارب بنو إسرائيل، لكن الله هو الذي حارب عنهم (يشوع 23: 3).  ويُقدِّم لنا الرسول بولس نفسه مثلاً (كولوسي 1: 29).  وأنا أربط سفر يشوع بالمؤمنين بالمسيح بالطريقة التالية:</w:t>
      </w:r>
    </w:p>
    <w:p w14:paraId="4FC079CC"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895403">
        <w:rPr>
          <w:rFonts w:eastAsia="Times New Roman"/>
          <w:kern w:val="0"/>
          <w:rtl/>
          <w:lang w:bidi="ar-JO"/>
          <w14:ligatures w14:val="none"/>
        </w:rPr>
        <w:t>يصوّر سفر يشوع انشغالنا وحربنا التي لا هوادة فيها مع الأعداء الروحيين في الحياة الحاضرة ونحن نتبع المسيح، يشوعنا، مطيعين كلمته وخادمين إيّاه بأمانة لكي نحصل على ميراثنا الأبدي عندما يأتي الرب بـ "عصر الراحة" الحقيقي.</w:t>
      </w:r>
    </w:p>
    <w:p w14:paraId="260D75C8" w14:textId="77777777" w:rsidR="006A7C83" w:rsidRPr="00895403"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895403">
        <w:rPr>
          <w:rFonts w:eastAsia="Times New Roman"/>
          <w:kern w:val="0"/>
          <w:rtl/>
          <w:lang w:bidi="ar-JO"/>
          <w14:ligatures w14:val="none"/>
        </w:rPr>
        <w:t>نرى هذا التحدي في الأمر المعطى للأسباط (22: 5)، وكالب مثال عظيم يجدر بنا أن نقتدي به. (14: 9).</w:t>
      </w:r>
    </w:p>
    <w:p w14:paraId="6D6C37FF"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14:ligatures w14:val="none"/>
        </w:rPr>
      </w:pPr>
    </w:p>
    <w:p w14:paraId="6BAD1045" w14:textId="77777777" w:rsidR="006A7C83" w:rsidRPr="00C7130A" w:rsidRDefault="006A7C83" w:rsidP="00C7130A">
      <w:pPr>
        <w:jc w:val="center"/>
        <w:rPr>
          <w:rFonts w:eastAsia="Times New Roman"/>
          <w:color w:val="A50021"/>
          <w:kern w:val="0"/>
          <w:szCs w:val="32"/>
          <w:rtl/>
          <w:lang w:bidi="ar-JO"/>
          <w14:ligatures w14:val="none"/>
        </w:rPr>
      </w:pPr>
    </w:p>
    <w:p w14:paraId="695610CA" w14:textId="77777777" w:rsidR="006A7C83" w:rsidRPr="00C7130A" w:rsidRDefault="006A7C83" w:rsidP="00C7130A">
      <w:pPr>
        <w:jc w:val="center"/>
        <w:rPr>
          <w:rFonts w:eastAsia="Times New Roman"/>
          <w:color w:val="A50021"/>
          <w:kern w:val="0"/>
          <w:szCs w:val="32"/>
          <w:rtl/>
          <w:lang w:bidi="ar-JO"/>
          <w14:ligatures w14:val="none"/>
        </w:rPr>
      </w:pPr>
    </w:p>
    <w:p w14:paraId="25CEFA9D" w14:textId="77777777" w:rsidR="006A7C83" w:rsidRPr="00C7130A" w:rsidRDefault="006A7C83" w:rsidP="00C7130A">
      <w:pPr>
        <w:jc w:val="center"/>
        <w:rPr>
          <w:rFonts w:eastAsia="Times New Roman"/>
          <w:color w:val="A50021"/>
          <w:kern w:val="0"/>
          <w:szCs w:val="32"/>
          <w:rtl/>
          <w:lang w:bidi="ar-JO"/>
          <w14:ligatures w14:val="none"/>
        </w:rPr>
      </w:pPr>
    </w:p>
    <w:p w14:paraId="25B6EC45" w14:textId="77777777" w:rsidR="005B452F" w:rsidRPr="00C7130A" w:rsidRDefault="005B452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p>
    <w:p w14:paraId="4C9BAF5F" w14:textId="77777777" w:rsidR="00736F8C" w:rsidRPr="00C7130A" w:rsidRDefault="00736F8C" w:rsidP="00C7130A">
      <w:pPr>
        <w:rPr>
          <w:b/>
          <w:bCs/>
          <w:kern w:val="0"/>
          <w:sz w:val="40"/>
          <w:szCs w:val="40"/>
          <w:rtl/>
        </w:rPr>
      </w:pPr>
      <w:bookmarkStart w:id="364" w:name="_Hlk178779285"/>
      <w:r w:rsidRPr="00C7130A">
        <w:rPr>
          <w:rtl/>
        </w:rPr>
        <w:br w:type="page"/>
      </w:r>
    </w:p>
    <w:p w14:paraId="6F60BC22" w14:textId="18988756" w:rsidR="00311C51" w:rsidRPr="00C7130A" w:rsidRDefault="00915244" w:rsidP="00E80A44">
      <w:pPr>
        <w:pStyle w:val="Heading2"/>
        <w:rPr>
          <w:rFonts w:eastAsia="Calibri"/>
        </w:rPr>
      </w:pPr>
      <w:bookmarkStart w:id="365" w:name="_Toc193031115"/>
      <w:r w:rsidRPr="00C7130A">
        <w:rPr>
          <w:rtl/>
        </w:rPr>
        <w:lastRenderedPageBreak/>
        <w:t xml:space="preserve">الدرس 11: ضلال إسرائيل في فترة القضاة </w:t>
      </w:r>
      <w:bookmarkEnd w:id="365"/>
    </w:p>
    <w:p w14:paraId="01E0EEDD" w14:textId="2B643C78" w:rsidR="000558B7" w:rsidRPr="000558B7" w:rsidRDefault="000558B7" w:rsidP="000558B7">
      <w:pPr>
        <w:jc w:val="center"/>
        <w:rPr>
          <w:b/>
          <w:bCs/>
          <w:sz w:val="52"/>
          <w:szCs w:val="52"/>
          <w:rtl/>
        </w:rPr>
      </w:pPr>
      <w:bookmarkStart w:id="366" w:name="_Toc193031116"/>
      <w:r w:rsidRPr="000558B7">
        <w:rPr>
          <w:b/>
          <w:bCs/>
          <w:sz w:val="52"/>
          <w:szCs w:val="52"/>
          <w:rtl/>
        </w:rPr>
        <w:t>(قضاة 1-21)</w:t>
      </w:r>
    </w:p>
    <w:p w14:paraId="5FC992AA" w14:textId="75B37D75" w:rsidR="008B149F" w:rsidRPr="000558B7" w:rsidRDefault="006904BD" w:rsidP="000558B7">
      <w:pPr>
        <w:pStyle w:val="Heading3"/>
      </w:pPr>
      <w:r w:rsidRPr="000558B7">
        <w:rPr>
          <w:rtl/>
        </w:rPr>
        <w:t>مُقدِّمة الدرس</w:t>
      </w:r>
      <w:bookmarkEnd w:id="366"/>
    </w:p>
    <w:p w14:paraId="530C5BB9" w14:textId="4CC400FF" w:rsidR="008B149F" w:rsidRDefault="006904BD"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lang w:bidi="ar-JO"/>
          <w14:ligatures w14:val="none"/>
        </w:rPr>
      </w:pPr>
      <w:r w:rsidRPr="00507405">
        <w:rPr>
          <w:rFonts w:eastAsia="Calibri"/>
          <w:kern w:val="0"/>
          <w:rtl/>
          <w14:ligatures w14:val="none"/>
        </w:rPr>
        <w:t xml:space="preserve">أبلى الجيل الذي دخل الأرض وهزم الكنعانيّين بقيادة يشوع بلاءً حسنًا. </w:t>
      </w:r>
      <w:r w:rsidR="00736F8C" w:rsidRPr="00507405">
        <w:rPr>
          <w:rFonts w:eastAsia="Calibri"/>
          <w:kern w:val="0"/>
          <w:rtl/>
          <w14:ligatures w14:val="none"/>
        </w:rPr>
        <w:t>ف</w:t>
      </w:r>
      <w:r w:rsidRPr="00507405">
        <w:rPr>
          <w:rFonts w:eastAsia="Calibri"/>
          <w:kern w:val="0"/>
          <w:rtl/>
          <w14:ligatures w14:val="none"/>
        </w:rPr>
        <w:t>قد عبدوا الرب</w:t>
      </w:r>
      <w:r w:rsidR="00736F8C" w:rsidRPr="00507405">
        <w:rPr>
          <w:rFonts w:eastAsia="Calibri"/>
          <w:kern w:val="0"/>
          <w:rtl/>
          <w14:ligatures w14:val="none"/>
        </w:rPr>
        <w:t>ّ</w:t>
      </w:r>
      <w:r w:rsidRPr="00507405">
        <w:rPr>
          <w:rFonts w:eastAsia="Calibri"/>
          <w:kern w:val="0"/>
          <w:rtl/>
          <w14:ligatures w14:val="none"/>
        </w:rPr>
        <w:t xml:space="preserve"> وخدموه وكانوا أمناء بصورة </w:t>
      </w:r>
      <w:r w:rsidR="00736F8C" w:rsidRPr="00507405">
        <w:rPr>
          <w:rFonts w:eastAsia="Calibri"/>
          <w:kern w:val="0"/>
          <w:rtl/>
          <w14:ligatures w14:val="none"/>
        </w:rPr>
        <w:t>أ</w:t>
      </w:r>
      <w:r w:rsidRPr="00507405">
        <w:rPr>
          <w:rFonts w:eastAsia="Calibri"/>
          <w:kern w:val="0"/>
          <w:rtl/>
          <w14:ligatures w14:val="none"/>
        </w:rPr>
        <w:t>ساسيّة للعهد الموسوي. الحال في سفر القضاة على النقيض من ذلك، كما يُرى مم</w:t>
      </w:r>
      <w:r w:rsidR="00736F8C" w:rsidRPr="00507405">
        <w:rPr>
          <w:rFonts w:eastAsia="Calibri"/>
          <w:kern w:val="0"/>
          <w:rtl/>
          <w14:ligatures w14:val="none"/>
        </w:rPr>
        <w:t>ّ</w:t>
      </w:r>
      <w:r w:rsidRPr="00507405">
        <w:rPr>
          <w:rFonts w:eastAsia="Calibri"/>
          <w:kern w:val="0"/>
          <w:rtl/>
          <w14:ligatures w14:val="none"/>
        </w:rPr>
        <w:t xml:space="preserve">ا يسجِّله لنا عمّا فعلته الأجيال التالية. امتدّت هذه الفترة ما بين العامين 1360 و1060 ق.م. تقريبًا. [تُوِّج شاول ملكًا أوَّل عام 1051 ق.م.] </w:t>
      </w:r>
      <w:r w:rsidR="009E5AB3" w:rsidRPr="00507405">
        <w:rPr>
          <w:rFonts w:eastAsia="Calibri"/>
          <w:kern w:val="0"/>
          <w:rtl/>
          <w:lang w:bidi="ar-JO"/>
          <w14:ligatures w14:val="none"/>
        </w:rPr>
        <w:t>هذا هو الوقت الذي كان شعب إسرائيل يُدار بوصفه "ثيوقراطيّة"، أي تحتَ حكمٍ مباشر من الله، من دون وجود ملكٍ بشري</w:t>
      </w:r>
      <w:r w:rsidR="00736F8C" w:rsidRPr="00507405">
        <w:rPr>
          <w:rFonts w:eastAsia="Calibri"/>
          <w:kern w:val="0"/>
          <w:rtl/>
          <w:lang w:bidi="ar-JO"/>
          <w14:ligatures w14:val="none"/>
        </w:rPr>
        <w:t>ّ</w:t>
      </w:r>
      <w:r w:rsidR="009E5AB3" w:rsidRPr="00507405">
        <w:rPr>
          <w:rFonts w:eastAsia="Calibri"/>
          <w:kern w:val="0"/>
          <w:rtl/>
          <w:lang w:bidi="ar-JO"/>
          <w14:ligatures w14:val="none"/>
        </w:rPr>
        <w:t>. وباختصار، كانت فترة</w:t>
      </w:r>
      <w:r w:rsidR="00736F8C" w:rsidRPr="00507405">
        <w:rPr>
          <w:rFonts w:eastAsia="Calibri"/>
          <w:kern w:val="0"/>
          <w:rtl/>
          <w:lang w:bidi="ar-JO"/>
          <w14:ligatures w14:val="none"/>
        </w:rPr>
        <w:t>َ</w:t>
      </w:r>
      <w:r w:rsidR="009E5AB3" w:rsidRPr="00507405">
        <w:rPr>
          <w:rFonts w:eastAsia="Calibri"/>
          <w:kern w:val="0"/>
          <w:rtl/>
          <w:lang w:bidi="ar-JO"/>
          <w14:ligatures w14:val="none"/>
        </w:rPr>
        <w:t xml:space="preserve"> فشل</w:t>
      </w:r>
      <w:r w:rsidR="00736F8C" w:rsidRPr="00507405">
        <w:rPr>
          <w:rFonts w:eastAsia="Calibri"/>
          <w:kern w:val="0"/>
          <w:rtl/>
          <w:lang w:bidi="ar-JO"/>
          <w14:ligatures w14:val="none"/>
        </w:rPr>
        <w:t>ٍ</w:t>
      </w:r>
      <w:r w:rsidR="009E5AB3" w:rsidRPr="00507405">
        <w:rPr>
          <w:rFonts w:eastAsia="Calibri"/>
          <w:kern w:val="0"/>
          <w:rtl/>
          <w:lang w:bidi="ar-JO"/>
          <w14:ligatures w14:val="none"/>
        </w:rPr>
        <w:t xml:space="preserve"> ذريع</w:t>
      </w:r>
      <w:r w:rsidR="009E5AB3" w:rsidRPr="00507405">
        <w:rPr>
          <w:rFonts w:eastAsia="Calibri"/>
          <w:kern w:val="0"/>
          <w:lang w:bidi="ar-JO"/>
          <w14:ligatures w14:val="none"/>
        </w:rPr>
        <w:t xml:space="preserve"> </w:t>
      </w:r>
      <w:r w:rsidR="009E5AB3" w:rsidRPr="00507405">
        <w:rPr>
          <w:rFonts w:eastAsia="Calibri"/>
          <w:kern w:val="0"/>
          <w:rtl/>
          <w:lang w:bidi="ar-JO"/>
          <w14:ligatures w14:val="none"/>
        </w:rPr>
        <w:t>وحزين. فقد تكرّر ابتعاد الأمة عن الربّ وشريعته لصالح اعتناق عبادةٍ وثنيّة صريحة. بعد مُقدَّمةٍ أوّليّة توض</w:t>
      </w:r>
      <w:r w:rsidR="00736F8C" w:rsidRPr="00507405">
        <w:rPr>
          <w:rFonts w:eastAsia="Calibri"/>
          <w:kern w:val="0"/>
          <w:rtl/>
          <w:lang w:bidi="ar-JO"/>
          <w14:ligatures w14:val="none"/>
        </w:rPr>
        <w:t>ِّ</w:t>
      </w:r>
      <w:r w:rsidR="009E5AB3" w:rsidRPr="00507405">
        <w:rPr>
          <w:rFonts w:eastAsia="Calibri"/>
          <w:kern w:val="0"/>
          <w:rtl/>
          <w:lang w:bidi="ar-JO"/>
          <w14:ligatures w14:val="none"/>
        </w:rPr>
        <w:t>ح سبب ترك الرب</w:t>
      </w:r>
      <w:r w:rsidR="00736F8C" w:rsidRPr="00507405">
        <w:rPr>
          <w:rFonts w:eastAsia="Calibri"/>
          <w:kern w:val="0"/>
          <w:rtl/>
          <w:lang w:bidi="ar-JO"/>
          <w14:ligatures w14:val="none"/>
        </w:rPr>
        <w:t>ّ</w:t>
      </w:r>
      <w:r w:rsidR="009E5AB3" w:rsidRPr="00507405">
        <w:rPr>
          <w:rFonts w:eastAsia="Calibri"/>
          <w:kern w:val="0"/>
          <w:rtl/>
          <w:lang w:bidi="ar-JO"/>
          <w14:ligatures w14:val="none"/>
        </w:rPr>
        <w:t xml:space="preserve"> لجيوبٍ من الكنعانيّين في الأرض (لامتحان شعب إسرائيل)، يروي كاتب سفر القضاة سلسلة</w:t>
      </w:r>
      <w:r w:rsidR="00736F8C" w:rsidRPr="00507405">
        <w:rPr>
          <w:rFonts w:eastAsia="Calibri"/>
          <w:kern w:val="0"/>
          <w:rtl/>
          <w:lang w:bidi="ar-JO"/>
          <w14:ligatures w14:val="none"/>
        </w:rPr>
        <w:t>ً</w:t>
      </w:r>
      <w:r w:rsidR="009E5AB3" w:rsidRPr="00507405">
        <w:rPr>
          <w:rFonts w:eastAsia="Calibri"/>
          <w:kern w:val="0"/>
          <w:rtl/>
          <w:lang w:bidi="ar-JO"/>
          <w14:ligatures w14:val="none"/>
        </w:rPr>
        <w:t xml:space="preserve"> من سبع دوائر أدَّب الرب</w:t>
      </w:r>
      <w:r w:rsidR="00736F8C" w:rsidRPr="00507405">
        <w:rPr>
          <w:rFonts w:eastAsia="Calibri"/>
          <w:kern w:val="0"/>
          <w:rtl/>
          <w:lang w:bidi="ar-JO"/>
          <w14:ligatures w14:val="none"/>
        </w:rPr>
        <w:t>ّ</w:t>
      </w:r>
      <w:r w:rsidR="009E5AB3" w:rsidRPr="00507405">
        <w:rPr>
          <w:rFonts w:eastAsia="Calibri"/>
          <w:kern w:val="0"/>
          <w:rtl/>
          <w:lang w:bidi="ar-JO"/>
          <w14:ligatures w14:val="none"/>
        </w:rPr>
        <w:t xml:space="preserve"> فيها الشعبَ. يتّخذ التأديب شكل</w:t>
      </w:r>
      <w:r w:rsidR="00736F8C" w:rsidRPr="00507405">
        <w:rPr>
          <w:rFonts w:eastAsia="Calibri"/>
          <w:kern w:val="0"/>
          <w:rtl/>
          <w:lang w:bidi="ar-JO"/>
          <w14:ligatures w14:val="none"/>
        </w:rPr>
        <w:t>َ</w:t>
      </w:r>
      <w:r w:rsidR="009E5AB3" w:rsidRPr="00507405">
        <w:rPr>
          <w:rFonts w:eastAsia="Calibri"/>
          <w:kern w:val="0"/>
          <w:rtl/>
          <w:lang w:bidi="ar-JO"/>
          <w14:ligatures w14:val="none"/>
        </w:rPr>
        <w:t xml:space="preserve"> غزوٍ أجنبيّ</w:t>
      </w:r>
      <w:r w:rsidR="00736F8C" w:rsidRPr="00507405">
        <w:rPr>
          <w:rFonts w:eastAsia="Calibri"/>
          <w:kern w:val="0"/>
          <w:rtl/>
          <w:lang w:bidi="ar-JO"/>
          <w14:ligatures w14:val="none"/>
        </w:rPr>
        <w:t>ٍ</w:t>
      </w:r>
      <w:r w:rsidR="009E5AB3" w:rsidRPr="00507405">
        <w:rPr>
          <w:rFonts w:eastAsia="Calibri"/>
          <w:kern w:val="0"/>
          <w:rtl/>
          <w:lang w:bidi="ar-JO"/>
          <w14:ligatures w14:val="none"/>
        </w:rPr>
        <w:t xml:space="preserve"> مُخرِب يدفع شعب إسرائيل إلى التوبة، </w:t>
      </w:r>
      <w:r w:rsidR="00736F8C" w:rsidRPr="00507405">
        <w:rPr>
          <w:rFonts w:eastAsia="Calibri"/>
          <w:kern w:val="0"/>
          <w:rtl/>
          <w:lang w:bidi="ar-JO"/>
          <w14:ligatures w14:val="none"/>
        </w:rPr>
        <w:t xml:space="preserve">ثم </w:t>
      </w:r>
      <w:r w:rsidR="009E5AB3" w:rsidRPr="00507405">
        <w:rPr>
          <w:rFonts w:eastAsia="Calibri"/>
          <w:kern w:val="0"/>
          <w:rtl/>
          <w:lang w:bidi="ar-JO"/>
          <w14:ligatures w14:val="none"/>
        </w:rPr>
        <w:t>يقيم الرب</w:t>
      </w:r>
      <w:r w:rsidR="00736F8C" w:rsidRPr="00507405">
        <w:rPr>
          <w:rFonts w:eastAsia="Calibri"/>
          <w:kern w:val="0"/>
          <w:rtl/>
          <w:lang w:bidi="ar-JO"/>
          <w14:ligatures w14:val="none"/>
        </w:rPr>
        <w:t>ّ</w:t>
      </w:r>
      <w:r w:rsidR="009E5AB3" w:rsidRPr="00507405">
        <w:rPr>
          <w:rFonts w:eastAsia="Calibri"/>
          <w:kern w:val="0"/>
          <w:rtl/>
          <w:lang w:bidi="ar-JO"/>
          <w14:ligatures w14:val="none"/>
        </w:rPr>
        <w:t xml:space="preserve"> بعد ذلك "قاضيًا" (قائدًا كاريزماتيًّا) ليخلِّصهم. وتدوِّن لنا الفصول الأخيرة من السفر (الأصحاحات 17-21) حدثين في تاريخ الأمة يكشِفان عن مقدار ما وصلت إليه الأمة في عدم أمانتها وشرّها المُطلَق. </w:t>
      </w:r>
    </w:p>
    <w:p w14:paraId="12020FAE" w14:textId="77777777" w:rsidR="000558B7" w:rsidRPr="00507405" w:rsidRDefault="000558B7"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lang w:bidi="ar-JO"/>
          <w14:ligatures w14:val="none"/>
        </w:rPr>
      </w:pPr>
    </w:p>
    <w:p w14:paraId="1C27AB7D" w14:textId="2F64DD23" w:rsidR="008B149F" w:rsidRPr="00C7130A" w:rsidRDefault="009E5AB3" w:rsidP="000558B7">
      <w:pPr>
        <w:pStyle w:val="Heading3"/>
      </w:pPr>
      <w:bookmarkStart w:id="367" w:name="_Toc193031117"/>
      <w:r w:rsidRPr="00C7130A">
        <w:rPr>
          <w:rtl/>
        </w:rPr>
        <w:t>مُخطّط الدرس</w:t>
      </w:r>
      <w:bookmarkEnd w:id="367"/>
    </w:p>
    <w:p w14:paraId="36AB6BF9" w14:textId="77777777" w:rsidR="007A5D4C" w:rsidRPr="00507405" w:rsidRDefault="007A5D4C"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bookmarkStart w:id="368" w:name="_Hlk190845432"/>
      <w:r w:rsidRPr="00507405">
        <w:rPr>
          <w:rFonts w:eastAsia="Calibri"/>
          <w:kern w:val="0"/>
          <w:rtl/>
          <w14:ligatures w14:val="none"/>
        </w:rPr>
        <w:t xml:space="preserve">الموضوع 1: </w:t>
      </w:r>
      <w:r w:rsidRPr="00507405">
        <w:rPr>
          <w:rFonts w:eastAsia="Calibri"/>
          <w:kern w:val="0"/>
          <w:rtl/>
          <w14:ligatures w14:val="none"/>
        </w:rPr>
        <w:tab/>
        <w:t xml:space="preserve">تقييم لنظرية التاريخ التثنوي </w:t>
      </w:r>
    </w:p>
    <w:p w14:paraId="50E9F035" w14:textId="77777777" w:rsidR="007A5D4C" w:rsidRPr="00507405" w:rsidRDefault="007A5D4C"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507405">
        <w:rPr>
          <w:rFonts w:eastAsia="Calibri"/>
          <w:kern w:val="0"/>
          <w:rtl/>
          <w14:ligatures w14:val="none"/>
        </w:rPr>
        <w:t xml:space="preserve">الموضوع 2: </w:t>
      </w:r>
      <w:r w:rsidRPr="00507405">
        <w:rPr>
          <w:rFonts w:eastAsia="Calibri"/>
          <w:kern w:val="0"/>
          <w:rtl/>
          <w14:ligatures w14:val="none"/>
        </w:rPr>
        <w:tab/>
        <w:t xml:space="preserve">نظرة عامّة إلى سفر القضاة </w:t>
      </w:r>
    </w:p>
    <w:p w14:paraId="03685F21" w14:textId="77777777" w:rsidR="007A5D4C" w:rsidRPr="00507405" w:rsidRDefault="007A5D4C"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507405">
        <w:rPr>
          <w:rFonts w:eastAsia="Calibri"/>
          <w:kern w:val="0"/>
          <w:rtl/>
          <w14:ligatures w14:val="none"/>
        </w:rPr>
        <w:t xml:space="preserve">الموضوع 3: </w:t>
      </w:r>
      <w:r w:rsidRPr="00507405">
        <w:rPr>
          <w:rFonts w:eastAsia="Calibri"/>
          <w:kern w:val="0"/>
          <w:rtl/>
          <w14:ligatures w14:val="none"/>
        </w:rPr>
        <w:tab/>
        <w:t xml:space="preserve">مُقدِّمة إلى سفر القضاة (قضاة 1: 1 – 3: 31) </w:t>
      </w:r>
    </w:p>
    <w:p w14:paraId="38EAA7BD" w14:textId="36040B21" w:rsidR="008B149F" w:rsidRPr="00C7130A" w:rsidRDefault="007A5D4C"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b/>
          <w:bCs/>
          <w:szCs w:val="24"/>
        </w:rPr>
      </w:pPr>
      <w:r w:rsidRPr="00507405">
        <w:rPr>
          <w:rFonts w:eastAsia="Calibri"/>
          <w:kern w:val="0"/>
          <w:rtl/>
          <w14:ligatures w14:val="none"/>
        </w:rPr>
        <w:t xml:space="preserve">الموضوع 4: </w:t>
      </w:r>
      <w:r w:rsidRPr="00507405">
        <w:rPr>
          <w:rFonts w:eastAsia="Calibri"/>
          <w:kern w:val="0"/>
          <w:rtl/>
          <w14:ligatures w14:val="none"/>
        </w:rPr>
        <w:tab/>
        <w:t xml:space="preserve">قصّة جدعون بوصفها النقطة المركزيّة في سفر القضاة (قضاة 3: 7 – 16: 31) </w:t>
      </w:r>
      <w:r w:rsidR="008B149F" w:rsidRPr="00507405">
        <w:rPr>
          <w:rFonts w:eastAsia="Calibri"/>
          <w:kern w:val="0"/>
          <w14:ligatures w14:val="none"/>
        </w:rPr>
        <w:br/>
      </w:r>
    </w:p>
    <w:p w14:paraId="1D31C286" w14:textId="79E4C4D1" w:rsidR="008B149F" w:rsidRPr="00C7130A" w:rsidRDefault="007A5D4C" w:rsidP="000558B7">
      <w:pPr>
        <w:pStyle w:val="Heading3"/>
      </w:pPr>
      <w:bookmarkStart w:id="369" w:name="_Toc193031118"/>
      <w:bookmarkEnd w:id="368"/>
      <w:r w:rsidRPr="00C7130A">
        <w:rPr>
          <w:rtl/>
        </w:rPr>
        <w:t>أهداف الدرس</w:t>
      </w:r>
      <w:bookmarkEnd w:id="369"/>
    </w:p>
    <w:p w14:paraId="19003F63" w14:textId="64072551" w:rsidR="008B149F" w:rsidRPr="00507405" w:rsidRDefault="007A5D4C" w:rsidP="00C7130A">
      <w:pPr>
        <w:spacing w:after="80"/>
        <w:rPr>
          <w:rFonts w:eastAsia="Calibri"/>
          <w:kern w:val="0"/>
          <w14:ligatures w14:val="none"/>
        </w:rPr>
      </w:pPr>
      <w:r w:rsidRPr="00507405">
        <w:rPr>
          <w:rFonts w:eastAsia="Calibri"/>
          <w:kern w:val="0"/>
          <w:rtl/>
          <w14:ligatures w14:val="none"/>
        </w:rPr>
        <w:t xml:space="preserve">بانتهائك من دراسة هذا الدرس ستكون قادرًا على ما يلي: </w:t>
      </w:r>
    </w:p>
    <w:p w14:paraId="23E4A7F8" w14:textId="4A7F0FF5" w:rsidR="0098171B" w:rsidRPr="00507405" w:rsidRDefault="007A5D4C">
      <w:pPr>
        <w:pStyle w:val="ListParagraph"/>
        <w:numPr>
          <w:ilvl w:val="0"/>
          <w:numId w:val="30"/>
        </w:numPr>
        <w:tabs>
          <w:tab w:val="left" w:pos="0"/>
          <w:tab w:val="left" w:pos="540"/>
          <w:tab w:val="left" w:pos="1080"/>
          <w:tab w:val="left" w:pos="1620"/>
          <w:tab w:val="left" w:pos="2160"/>
          <w:tab w:val="left" w:pos="2700"/>
          <w:tab w:val="left" w:pos="3240"/>
          <w:tab w:val="left" w:pos="3780"/>
          <w:tab w:val="left" w:pos="4320"/>
          <w:tab w:val="left" w:pos="4860"/>
        </w:tabs>
        <w:spacing w:after="200"/>
      </w:pPr>
      <w:r w:rsidRPr="009E514E">
        <w:rPr>
          <w:rFonts w:eastAsia="Calibri"/>
          <w:kern w:val="0"/>
          <w:rtl/>
          <w14:ligatures w14:val="none"/>
        </w:rPr>
        <w:t>أن تشرح ما يُقصَد بـ"المؤرِّخ التثنوي،" وأن تكون</w:t>
      </w:r>
      <w:r w:rsidR="00736F8C" w:rsidRPr="009E514E">
        <w:rPr>
          <w:rFonts w:eastAsia="Calibri"/>
          <w:kern w:val="0"/>
          <w:rtl/>
          <w14:ligatures w14:val="none"/>
        </w:rPr>
        <w:t xml:space="preserve"> قادرًا</w:t>
      </w:r>
      <w:r w:rsidRPr="009E514E">
        <w:rPr>
          <w:rFonts w:eastAsia="Calibri"/>
          <w:kern w:val="0"/>
          <w:rtl/>
          <w14:ligatures w14:val="none"/>
        </w:rPr>
        <w:t xml:space="preserve"> على </w:t>
      </w:r>
      <w:r w:rsidR="00736F8C" w:rsidRPr="009E514E">
        <w:rPr>
          <w:rFonts w:eastAsia="Calibri"/>
          <w:kern w:val="0"/>
          <w:rtl/>
          <w14:ligatures w14:val="none"/>
        </w:rPr>
        <w:t>شرح</w:t>
      </w:r>
      <w:r w:rsidRPr="009E514E">
        <w:rPr>
          <w:rFonts w:eastAsia="Calibri"/>
          <w:kern w:val="0"/>
          <w:rtl/>
          <w14:ligatures w14:val="none"/>
        </w:rPr>
        <w:t xml:space="preserve"> هجوم هذه النظريّة على صحّة الكتاب المُقدَّس، وأن تقدِّم إجاباتٍ عديدة لدحض هذه النظري</w:t>
      </w:r>
      <w:r w:rsidR="00736F8C" w:rsidRPr="009E514E">
        <w:rPr>
          <w:rFonts w:eastAsia="Calibri"/>
          <w:kern w:val="0"/>
          <w:rtl/>
          <w14:ligatures w14:val="none"/>
        </w:rPr>
        <w:t>ّ</w:t>
      </w:r>
      <w:r w:rsidRPr="009E514E">
        <w:rPr>
          <w:rFonts w:eastAsia="Calibri"/>
          <w:kern w:val="0"/>
          <w:rtl/>
          <w14:ligatures w14:val="none"/>
        </w:rPr>
        <w:t xml:space="preserve">ة. </w:t>
      </w:r>
    </w:p>
    <w:p w14:paraId="34337343" w14:textId="07941395" w:rsidR="007A5D4C" w:rsidRPr="00507405" w:rsidRDefault="007A5D4C">
      <w:pPr>
        <w:pStyle w:val="ListParagraph"/>
        <w:numPr>
          <w:ilvl w:val="0"/>
          <w:numId w:val="30"/>
        </w:numPr>
        <w:tabs>
          <w:tab w:val="left" w:pos="0"/>
          <w:tab w:val="left" w:pos="540"/>
          <w:tab w:val="left" w:pos="1080"/>
          <w:tab w:val="left" w:pos="1620"/>
          <w:tab w:val="left" w:pos="2160"/>
          <w:tab w:val="left" w:pos="2700"/>
          <w:tab w:val="left" w:pos="3240"/>
          <w:tab w:val="left" w:pos="3780"/>
          <w:tab w:val="left" w:pos="4320"/>
          <w:tab w:val="left" w:pos="4860"/>
        </w:tabs>
        <w:spacing w:after="200"/>
      </w:pPr>
      <w:r w:rsidRPr="009E514E">
        <w:rPr>
          <w:rFonts w:eastAsia="Calibri"/>
          <w:kern w:val="0"/>
          <w:rtl/>
          <w14:ligatures w14:val="none"/>
        </w:rPr>
        <w:t>أن تصف التصميم الأدبي العام لسفر القضاة، الذي يُعلِن الفساد التدريجي للأم</w:t>
      </w:r>
      <w:r w:rsidR="00736F8C" w:rsidRPr="009E514E">
        <w:rPr>
          <w:rFonts w:eastAsia="Calibri"/>
          <w:kern w:val="0"/>
          <w:rtl/>
          <w14:ligatures w14:val="none"/>
        </w:rPr>
        <w:t>ّ</w:t>
      </w:r>
      <w:r w:rsidRPr="009E514E">
        <w:rPr>
          <w:rFonts w:eastAsia="Calibri"/>
          <w:kern w:val="0"/>
          <w:rtl/>
          <w14:ligatures w14:val="none"/>
        </w:rPr>
        <w:t xml:space="preserve">ة في عدم حفظها الشريعة. </w:t>
      </w:r>
    </w:p>
    <w:p w14:paraId="5E26E054" w14:textId="45E98A6A" w:rsidR="007A5D4C" w:rsidRPr="00507405" w:rsidRDefault="007A5D4C">
      <w:pPr>
        <w:pStyle w:val="ListParagraph"/>
        <w:numPr>
          <w:ilvl w:val="0"/>
          <w:numId w:val="30"/>
        </w:numPr>
        <w:tabs>
          <w:tab w:val="left" w:pos="0"/>
          <w:tab w:val="left" w:pos="540"/>
          <w:tab w:val="left" w:pos="1080"/>
          <w:tab w:val="left" w:pos="1620"/>
          <w:tab w:val="left" w:pos="2160"/>
          <w:tab w:val="left" w:pos="2700"/>
          <w:tab w:val="left" w:pos="3240"/>
          <w:tab w:val="left" w:pos="3780"/>
          <w:tab w:val="left" w:pos="4320"/>
          <w:tab w:val="left" w:pos="4860"/>
        </w:tabs>
        <w:spacing w:after="200"/>
      </w:pPr>
      <w:r w:rsidRPr="009E514E">
        <w:rPr>
          <w:rFonts w:eastAsia="Calibri"/>
          <w:kern w:val="0"/>
          <w:rtl/>
          <w14:ligatures w14:val="none"/>
        </w:rPr>
        <w:lastRenderedPageBreak/>
        <w:t xml:space="preserve">أن تبيّن أهمّيّة جدعون بوصفه "قاضيًا" في تطوُّر حبكة السفر بصورة عامّة. </w:t>
      </w:r>
    </w:p>
    <w:p w14:paraId="2B6FE0D2" w14:textId="1EB3D967" w:rsidR="007A5D4C" w:rsidRPr="00507405" w:rsidRDefault="007A5D4C">
      <w:pPr>
        <w:pStyle w:val="ListParagraph"/>
        <w:numPr>
          <w:ilvl w:val="0"/>
          <w:numId w:val="30"/>
        </w:numPr>
        <w:tabs>
          <w:tab w:val="left" w:pos="0"/>
          <w:tab w:val="left" w:pos="540"/>
          <w:tab w:val="left" w:pos="1080"/>
          <w:tab w:val="left" w:pos="1620"/>
          <w:tab w:val="left" w:pos="2160"/>
          <w:tab w:val="left" w:pos="2700"/>
          <w:tab w:val="left" w:pos="3240"/>
          <w:tab w:val="left" w:pos="3780"/>
          <w:tab w:val="left" w:pos="4320"/>
          <w:tab w:val="left" w:pos="4860"/>
        </w:tabs>
        <w:spacing w:after="200"/>
      </w:pPr>
      <w:r w:rsidRPr="009E514E">
        <w:rPr>
          <w:rFonts w:eastAsia="Calibri"/>
          <w:kern w:val="0"/>
          <w:rtl/>
          <w14:ligatures w14:val="none"/>
        </w:rPr>
        <w:t>أن تشرح الدور الذي لعبت</w:t>
      </w:r>
      <w:r w:rsidR="00736F8C" w:rsidRPr="009E514E">
        <w:rPr>
          <w:rFonts w:eastAsia="Calibri"/>
          <w:kern w:val="0"/>
          <w:rtl/>
          <w14:ligatures w14:val="none"/>
        </w:rPr>
        <w:t>ْ</w:t>
      </w:r>
      <w:r w:rsidRPr="009E514E">
        <w:rPr>
          <w:rFonts w:eastAsia="Calibri"/>
          <w:kern w:val="0"/>
          <w:rtl/>
          <w14:ligatures w14:val="none"/>
        </w:rPr>
        <w:t>ه</w:t>
      </w:r>
      <w:r w:rsidR="00736F8C" w:rsidRPr="009E514E">
        <w:rPr>
          <w:rFonts w:eastAsia="Calibri"/>
          <w:kern w:val="0"/>
          <w:rtl/>
          <w14:ligatures w14:val="none"/>
        </w:rPr>
        <w:t>ُ</w:t>
      </w:r>
      <w:r w:rsidRPr="009E514E">
        <w:rPr>
          <w:rFonts w:eastAsia="Calibri"/>
          <w:kern w:val="0"/>
          <w:rtl/>
          <w14:ligatures w14:val="none"/>
        </w:rPr>
        <w:t xml:space="preserve"> فترة</w:t>
      </w:r>
      <w:r w:rsidR="00736F8C" w:rsidRPr="009E514E">
        <w:rPr>
          <w:rFonts w:eastAsia="Calibri"/>
          <w:kern w:val="0"/>
          <w:rtl/>
          <w14:ligatures w14:val="none"/>
        </w:rPr>
        <w:t>ُ</w:t>
      </w:r>
      <w:r w:rsidRPr="009E514E">
        <w:rPr>
          <w:rFonts w:eastAsia="Calibri"/>
          <w:kern w:val="0"/>
          <w:rtl/>
          <w14:ligatures w14:val="none"/>
        </w:rPr>
        <w:t xml:space="preserve"> القضاة في انتقال الأمة من الثيوقراطيّة إلى الملكيّة. </w:t>
      </w:r>
    </w:p>
    <w:p w14:paraId="5B8AB853" w14:textId="506B963A" w:rsidR="008B149F" w:rsidRPr="00C7130A" w:rsidRDefault="008B149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ind w:left="360"/>
        <w:contextualSpacing/>
        <w:rPr>
          <w:rFonts w:eastAsia="Calibri"/>
          <w:kern w:val="0"/>
          <w:szCs w:val="24"/>
          <w14:ligatures w14:val="none"/>
        </w:rPr>
      </w:pPr>
    </w:p>
    <w:p w14:paraId="73CE2EE0" w14:textId="77777777" w:rsidR="008B149F" w:rsidRPr="00C7130A" w:rsidRDefault="008B149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ind w:left="720"/>
        <w:contextualSpacing/>
        <w:rPr>
          <w:rFonts w:eastAsia="Calibri"/>
          <w:kern w:val="0"/>
          <w:szCs w:val="24"/>
          <w14:ligatures w14:val="none"/>
        </w:rPr>
      </w:pPr>
      <w:r w:rsidRPr="00C7130A">
        <w:rPr>
          <w:rFonts w:eastAsia="Calibri"/>
          <w:kern w:val="0"/>
          <w:szCs w:val="24"/>
          <w14:ligatures w14:val="none"/>
        </w:rPr>
        <w:br w:type="page"/>
      </w:r>
    </w:p>
    <w:p w14:paraId="4F10328F" w14:textId="68FA0D7F" w:rsidR="007518AA" w:rsidRPr="00C7130A" w:rsidRDefault="007518AA" w:rsidP="000558B7">
      <w:pPr>
        <w:pStyle w:val="Heading2B"/>
        <w:rPr>
          <w:rtl/>
        </w:rPr>
      </w:pPr>
      <w:bookmarkStart w:id="370" w:name="_Toc193031119"/>
      <w:bookmarkEnd w:id="364"/>
      <w:r w:rsidRPr="00C7130A">
        <w:rPr>
          <w:rtl/>
        </w:rPr>
        <w:lastRenderedPageBreak/>
        <w:t>الموضوع 1: تقييم لنظرية التاريخ التثنوي</w:t>
      </w:r>
      <w:bookmarkEnd w:id="370"/>
      <w:r w:rsidRPr="00C7130A">
        <w:rPr>
          <w:rtl/>
        </w:rPr>
        <w:t xml:space="preserve"> </w:t>
      </w:r>
    </w:p>
    <w:p w14:paraId="78D1994D" w14:textId="77777777" w:rsidR="006A7C83" w:rsidRPr="00C7130A" w:rsidRDefault="006A7C83" w:rsidP="000558B7">
      <w:pPr>
        <w:pStyle w:val="Heading3"/>
        <w:rPr>
          <w:rtl/>
          <w:lang w:bidi="ar-JO"/>
        </w:rPr>
      </w:pPr>
      <w:bookmarkStart w:id="371" w:name="_Toc193031120"/>
      <w:r w:rsidRPr="00C7130A">
        <w:rPr>
          <w:rtl/>
          <w:lang w:bidi="ar-JO"/>
        </w:rPr>
        <w:t>1.</w:t>
      </w:r>
      <w:r w:rsidRPr="00C7130A">
        <w:rPr>
          <w:rtl/>
          <w:lang w:bidi="ar-JO"/>
        </w:rPr>
        <w:tab/>
        <w:t>مقدمة</w:t>
      </w:r>
      <w:bookmarkEnd w:id="371"/>
    </w:p>
    <w:p w14:paraId="1BF31E6E" w14:textId="5BE4C143" w:rsidR="006A7C83" w:rsidRPr="00C7130A" w:rsidRDefault="006A7C83" w:rsidP="00507405">
      <w:pPr>
        <w:rPr>
          <w:rtl/>
        </w:rPr>
      </w:pPr>
      <w:r w:rsidRPr="00C7130A">
        <w:rPr>
          <w:rtl/>
          <w:lang w:bidi="ar-JO"/>
        </w:rPr>
        <w:t xml:space="preserve">ينقسم الكتاب المقدّس العبري إلى ثلاثة أقسام رئيسية: الشريعة، والأنبياء، والكتابات.  وينقسم "الأنبياء" إلى قسمين: الأنبياء السابقين والأنبياء اللاحقين.  ويشمل الأنبياء السابقون أسفار يشوع، وقضاة، وصموئيل الأول والثاني، وملوك </w:t>
      </w:r>
      <w:r w:rsidRPr="00C7130A">
        <w:rPr>
          <w:rtl/>
        </w:rPr>
        <w:t xml:space="preserve">الأول والثاني </w:t>
      </w:r>
      <w:r w:rsidRPr="00C7130A">
        <w:rPr>
          <w:rtl/>
          <w:lang w:bidi="ar-JO"/>
        </w:rPr>
        <w:t xml:space="preserve">(على الرغم من أن سفري صموئيل كانا في الأصل سفراً واحداً في الكتاب المقدّس العبري، كما هو الحال في سفري </w:t>
      </w:r>
      <w:r w:rsidRPr="00C7130A">
        <w:rPr>
          <w:rtl/>
        </w:rPr>
        <w:t>ال</w:t>
      </w:r>
      <w:r w:rsidRPr="00C7130A">
        <w:rPr>
          <w:rtl/>
          <w:lang w:bidi="ar-JO"/>
        </w:rPr>
        <w:t>ملوك).</w:t>
      </w:r>
    </w:p>
    <w:p w14:paraId="58E31463"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14:ligatures w14:val="none"/>
        </w:rPr>
      </w:pPr>
    </w:p>
    <w:p w14:paraId="1A91FD2C" w14:textId="77777777" w:rsidR="006A7C83" w:rsidRPr="00C7130A" w:rsidRDefault="006A7C83" w:rsidP="00C7130A">
      <w:pPr>
        <w:rPr>
          <w:rFonts w:eastAsia="Times New Roman"/>
          <w:kern w:val="0"/>
          <w:szCs w:val="18"/>
          <w:rtl/>
          <w14:ligatures w14:val="none"/>
        </w:rPr>
      </w:pPr>
    </w:p>
    <w:p w14:paraId="6DAA4757" w14:textId="77777777" w:rsidR="006A7C83" w:rsidRPr="00C7130A" w:rsidRDefault="006A7C83" w:rsidP="00C7130A">
      <w:pPr>
        <w:jc w:val="center"/>
        <w:rPr>
          <w:rFonts w:eastAsia="Times New Roman"/>
          <w:kern w:val="0"/>
          <w:szCs w:val="18"/>
          <w:rtl/>
          <w14:ligatures w14:val="none"/>
        </w:rPr>
      </w:pPr>
      <w:r w:rsidRPr="00C7130A">
        <w:rPr>
          <w:rFonts w:eastAsia="Times New Roman"/>
          <w:kern w:val="0"/>
          <w14:ligatures w14:val="none"/>
        </w:rPr>
        <w:object w:dxaOrig="3960" w:dyaOrig="1800" w14:anchorId="669F67F6">
          <v:shape id="_x0000_i1040" type="#_x0000_t75" style="width:396.6pt;height:180pt" o:ole="">
            <v:imagedata r:id="rId79" o:title=""/>
          </v:shape>
          <o:OLEObject Type="Embed" ProgID="PowerPoint.Show.8" ShapeID="_x0000_i1040" DrawAspect="Content" ObjectID="_1803892155" r:id="rId80"/>
        </w:object>
      </w:r>
    </w:p>
    <w:p w14:paraId="387FC3F3" w14:textId="77777777" w:rsidR="006A7C83" w:rsidRPr="00C7130A" w:rsidRDefault="006A7C83" w:rsidP="00C7130A">
      <w:pPr>
        <w:rPr>
          <w:rFonts w:eastAsia="Times New Roman"/>
          <w:kern w:val="0"/>
          <w:szCs w:val="18"/>
          <w:rtl/>
          <w:lang w:bidi="ar-JO"/>
          <w14:ligatures w14:val="none"/>
        </w:rPr>
      </w:pPr>
    </w:p>
    <w:p w14:paraId="188D181F" w14:textId="77777777" w:rsidR="006A7C83" w:rsidRPr="00C7130A" w:rsidRDefault="006A7C83" w:rsidP="00C7130A">
      <w:pPr>
        <w:rPr>
          <w:rFonts w:eastAsia="Times New Roman"/>
          <w:kern w:val="0"/>
          <w:szCs w:val="18"/>
          <w:rtl/>
          <w14:ligatures w14:val="none"/>
        </w:rPr>
      </w:pPr>
    </w:p>
    <w:p w14:paraId="77E324BD"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507405">
        <w:rPr>
          <w:rFonts w:eastAsia="Times New Roman"/>
          <w:kern w:val="0"/>
          <w:rtl/>
          <w:lang w:bidi="ar-JO"/>
          <w14:ligatures w14:val="none"/>
        </w:rPr>
        <w:t xml:space="preserve">على الرغم من أن هذه الأسفار الستّة تدعى "الأنبياء"، فإننا غالباً ما نفكّر فيها باعتبارها </w:t>
      </w:r>
      <w:r w:rsidRPr="00507405">
        <w:rPr>
          <w:rFonts w:eastAsia="Times New Roman"/>
          <w:kern w:val="0"/>
          <w:u w:val="single"/>
          <w:rtl/>
          <w:lang w:bidi="ar-JO"/>
          <w14:ligatures w14:val="none"/>
        </w:rPr>
        <w:t>أسفاراً تاريخية</w:t>
      </w:r>
      <w:r w:rsidRPr="00507405">
        <w:rPr>
          <w:rFonts w:eastAsia="Times New Roman"/>
          <w:kern w:val="0"/>
          <w:rtl/>
          <w:lang w:bidi="ar-JO"/>
          <w14:ligatures w14:val="none"/>
        </w:rPr>
        <w:t>.  غير أن الاسم "الأنبياء" يذكّرنا بأنها كانت لاهوتية في طبيعتها أكثر منها تحليلية.  وفي حقيقة الأمر، لاحظ باحثو العهد القديم أن هذه الأسفار الستّة، مع سفر التثنية، تعكس نظرة ثابتة موحَّدة لتاريخ إسرائيل.  وعلى الرغم من أنها كُتبت على يد عدّة كتّاب، إلاّ أنها تبدو في الظاهر رواية تاريخية كتبها كاتب واحد.  أي أن مواضيع كثيرة تطرح في سفر التثنية تُطوَّر وتُوسَّع عبر المادة الموجودة في يشوع وحتى سفر الملوك.  ويشمل هذا من بين أمور كثيرة اللعنات التدرّجية على إسرائيل بسبب عدم وفائها للعهد الذي يؤدي إلى غزو أجنبي ونفي من أرض الموعد.</w:t>
      </w:r>
    </w:p>
    <w:p w14:paraId="600571CD"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4BEBAB26"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 xml:space="preserve">يمكن أن يقال إن أسفار يشوع – ملوك تعكس جانباً تحقيقياً لسفر التثنية.  ويصف سفر التثنية مستقبل إسرائيل في الأرض بشكل دقيق جدّاً (يظهر بعد ذلك في أسفار يشوع – ملوك) حتى أن الباحثين استنتجوا أن سفر التثنية ليس نبوياً (كُتب قبل دخول الأرض الموعودة)، بل إن كل مادة تثنية – ملوك سجل لما سبق أن حدث. </w:t>
      </w:r>
    </w:p>
    <w:p w14:paraId="2B11BD4D"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507405">
        <w:rPr>
          <w:rFonts w:eastAsia="Times New Roman"/>
          <w:kern w:val="0"/>
          <w:rtl/>
          <w:lang w:bidi="ar-JO"/>
          <w14:ligatures w14:val="none"/>
        </w:rPr>
        <w:lastRenderedPageBreak/>
        <w:t>أمّا الباحثون المحافظون فيتبنّون فكرة أن موسى هو كاتب سفر الشريعة من خلال الوحي الإلهي (تثنية 1: 1، 5؛ 31: 9، 24-26؛ 32: 44)، وأن يشوع – ملوك سجل أمين لتطبيق هذه التوقّعات.  غير أن الباحثين الانتقاديين يتبنّون فكرة أن كل هذه المادة كُتبت (أو أُعيدت كتابتها) قبل وقت قصير من السبي البابلي أو أثناءه على يد محرِّرين.</w:t>
      </w:r>
      <w:r w:rsidRPr="00507405">
        <w:rPr>
          <w:rFonts w:eastAsia="Times New Roman"/>
          <w:kern w:val="0"/>
          <w:vertAlign w:val="superscript"/>
          <w:rtl/>
          <w:lang w:bidi="ar-JO"/>
          <w14:ligatures w14:val="none"/>
        </w:rPr>
        <w:footnoteReference w:customMarkFollows="1" w:id="159"/>
        <w:t>1</w:t>
      </w:r>
      <w:r w:rsidRPr="00507405">
        <w:rPr>
          <w:rFonts w:eastAsia="Times New Roman"/>
          <w:kern w:val="0"/>
          <w:rtl/>
          <w:lang w:bidi="ar-JO"/>
          <w14:ligatures w14:val="none"/>
        </w:rPr>
        <w:t xml:space="preserve"> وهم يشيرون بشكل عام إلى هذا المحرِّر المفترض باسم "المؤرّخ التثنوي" (</w:t>
      </w:r>
      <w:r w:rsidRPr="00507405">
        <w:rPr>
          <w:rFonts w:eastAsia="Times New Roman"/>
          <w:kern w:val="0"/>
          <w14:ligatures w14:val="none"/>
        </w:rPr>
        <w:t>Deuteronomic Historian</w:t>
      </w:r>
      <w:r w:rsidRPr="00507405">
        <w:rPr>
          <w:rFonts w:eastAsia="Times New Roman"/>
          <w:kern w:val="0"/>
          <w:rtl/>
          <w:lang w:bidi="ar-JO"/>
          <w14:ligatures w14:val="none"/>
        </w:rPr>
        <w:t>).  وقد شاعت هذه النظرية كثيراً في الأبحاث الحالية بحيث يتوجّب على الدارس الإنجيلي للكتاب المقدّس (الذي يؤمن بوحي الكتاب المقدّس وعصمته) أن يدرك وجود هذا المنحى والافتراضات المسبقة الخطرة التي يرتكز عليها.  "فالنظرية التثنوية" لا تنكر كتابة موسى للسفر فحسب، لكنها مبنية أيضاً على نهج معارض للطبيعة الخارقة لكتابة الأسفار (أي أنها تنكر أن الله يمكن أن ينبئ بمستقبل إسرائيل وعدم وفائها للعهد، وأن يخبر به سلفاً).</w:t>
      </w:r>
    </w:p>
    <w:p w14:paraId="62980D69"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14:ligatures w14:val="none"/>
        </w:rPr>
      </w:pPr>
    </w:p>
    <w:p w14:paraId="7E475832" w14:textId="77777777" w:rsidR="006A7C83" w:rsidRPr="00C7130A" w:rsidRDefault="006A7C83" w:rsidP="000558B7">
      <w:pPr>
        <w:pStyle w:val="Heading3"/>
        <w:rPr>
          <w:rtl/>
        </w:rPr>
      </w:pPr>
      <w:bookmarkStart w:id="372" w:name="_Toc193031121"/>
      <w:r w:rsidRPr="00C7130A">
        <w:rPr>
          <w:rtl/>
          <w:lang w:bidi="ar-JO"/>
        </w:rPr>
        <w:t>2.</w:t>
      </w:r>
      <w:r w:rsidRPr="00C7130A">
        <w:rPr>
          <w:rtl/>
          <w:lang w:bidi="ar-JO"/>
        </w:rPr>
        <w:tab/>
        <w:t>العلاقة مع تحليل مصادر العهد القديم</w:t>
      </w:r>
      <w:bookmarkEnd w:id="372"/>
    </w:p>
    <w:p w14:paraId="120F7B51"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507405">
        <w:rPr>
          <w:rFonts w:eastAsia="Times New Roman"/>
          <w:kern w:val="0"/>
          <w:rtl/>
          <w:lang w:bidi="ar-JO"/>
          <w14:ligatures w14:val="none"/>
        </w:rPr>
        <w:t>نسب شارحو الفرضية الوثيقية (انظر الملاحظات حول "تحليل مصادر العهد القديم") سفر التثنية إلى تاريخ متأخر، عادةً إلى عهد يوشيا (حكم 640-609ق م).  وغالباً ما يرتبط هذا باكتشاف "الشريعة" في زمن يوشيّا.  إذ حدث أثناء عملية إصلاح للهيكل أمر بها يوشيّا أن عُثر على نسخة من "الشريعة".  تقول لنا 2 ملوك 22: 8: "</w:t>
      </w:r>
      <w:r w:rsidRPr="00507405">
        <w:rPr>
          <w:rFonts w:eastAsia="Times New Roman"/>
          <w:i/>
          <w:iCs/>
          <w:kern w:val="0"/>
          <w:rtl/>
          <w:lang w:bidi="ar-JO"/>
          <w14:ligatures w14:val="none"/>
        </w:rPr>
        <w:t>فقال حَلْقِيّا الكاهن العظيم لشافان الكاتب: ’قد وجدتُ سفر الشريعة في بيت الرب‘</w:t>
      </w:r>
      <w:r w:rsidRPr="00507405">
        <w:rPr>
          <w:rFonts w:eastAsia="Times New Roman"/>
          <w:kern w:val="0"/>
          <w:rtl/>
          <w:lang w:bidi="ar-JO"/>
          <w14:ligatures w14:val="none"/>
        </w:rPr>
        <w:t>".  وتتابع الآية العاشرة: "</w:t>
      </w:r>
      <w:r w:rsidRPr="00507405">
        <w:rPr>
          <w:rFonts w:eastAsia="Times New Roman"/>
          <w:i/>
          <w:iCs/>
          <w:kern w:val="0"/>
          <w:rtl/>
          <w:lang w:bidi="ar-JO"/>
          <w14:ligatures w14:val="none"/>
        </w:rPr>
        <w:t>وأخبر شافان الكاتب الملك قائلاً: ’قد أعطاني الكاتب حلْقيّا سفراً.‘  وقرأه شافان أمام الملك.</w:t>
      </w:r>
      <w:r w:rsidRPr="00507405">
        <w:rPr>
          <w:rFonts w:eastAsia="Times New Roman"/>
          <w:kern w:val="0"/>
          <w:rtl/>
          <w:lang w:bidi="ar-JO"/>
          <w14:ligatures w14:val="none"/>
        </w:rPr>
        <w:t>"  وقد أدّى هذا الاكتشاف إلى تسريع جهود الإصلاح التي سبق أن بدأها الملك.</w:t>
      </w:r>
    </w:p>
    <w:p w14:paraId="76FA7D5B"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02A80F56" w14:textId="74A8058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يقول الباحثون النقديون إن السفر الذي وجد في زمن يوشيا كان سفر التثنية (على الرغم من أنهم ينكرون أن موسى هو الذي كتبه أو حتى أنه كُتب في وقتٍ مبكرٍ من تاريخ إسرائيل).</w:t>
      </w:r>
      <w:r w:rsidRPr="00507405">
        <w:rPr>
          <w:rFonts w:eastAsia="Times New Roman"/>
          <w:kern w:val="0"/>
          <w:vertAlign w:val="superscript"/>
          <w:rtl/>
          <w:lang w:bidi="ar-JO"/>
          <w14:ligatures w14:val="none"/>
        </w:rPr>
        <w:footnoteReference w:customMarkFollows="1" w:id="160"/>
        <w:t>2</w:t>
      </w:r>
      <w:r w:rsidRPr="00507405">
        <w:rPr>
          <w:rFonts w:eastAsia="Times New Roman"/>
          <w:kern w:val="0"/>
          <w:rtl/>
          <w:lang w:bidi="ar-JO"/>
          <w14:ligatures w14:val="none"/>
        </w:rPr>
        <w:t xml:space="preserve"> فعلى سبيل المثال كان ولهاوسن:</w:t>
      </w:r>
    </w:p>
    <w:p w14:paraId="046112B7"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07405">
        <w:rPr>
          <w:rFonts w:eastAsia="Times New Roman"/>
          <w:kern w:val="0"/>
          <w:rtl/>
          <w:lang w:bidi="ar-JO"/>
          <w14:ligatures w14:val="none"/>
        </w:rPr>
        <w:t>مقتنعاً أن إصلاحات يوشيا أطلقها قادة دينيون معاصرون قاموا بتأليف "سفر الشريعة" ودفنه في الهيكل من أجل تعزيز إصلاحاتهم.  ويُفترض أن السفر "اكتُشفَ".  وبما أنه انتُحل للسفر تاريخ من زمن موسى، فقد أعطى تأييداً قويّاً للإصلاحات.</w:t>
      </w:r>
      <w:r w:rsidRPr="00507405">
        <w:rPr>
          <w:rFonts w:eastAsia="Times New Roman"/>
          <w:kern w:val="0"/>
          <w:vertAlign w:val="superscript"/>
          <w:rtl/>
          <w:lang w:bidi="ar-JO"/>
          <w14:ligatures w14:val="none"/>
        </w:rPr>
        <w:footnoteReference w:customMarkFollows="1" w:id="161"/>
        <w:t>3</w:t>
      </w:r>
    </w:p>
    <w:p w14:paraId="1B179A00"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737BC037"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lastRenderedPageBreak/>
        <w:t>حسب هذه النظرية، كُتب سفر التثنية في زمن يوشيا، لكنه جُعل يبدو وكأن موسى هو كاتبه من أجل إعطائه سلطة.</w:t>
      </w:r>
      <w:r w:rsidRPr="00507405">
        <w:rPr>
          <w:rFonts w:eastAsia="Times New Roman"/>
          <w:kern w:val="0"/>
          <w:vertAlign w:val="superscript"/>
          <w:rtl/>
          <w:lang w:bidi="ar-JO"/>
          <w14:ligatures w14:val="none"/>
        </w:rPr>
        <w:footnoteReference w:customMarkFollows="1" w:id="162"/>
        <w:t>4</w:t>
      </w:r>
      <w:r w:rsidRPr="00507405">
        <w:rPr>
          <w:rFonts w:eastAsia="Times New Roman"/>
          <w:kern w:val="0"/>
          <w:rtl/>
          <w:lang w:bidi="ar-JO"/>
          <w14:ligatures w14:val="none"/>
        </w:rPr>
        <w:t xml:space="preserve"> وهكذا فإن سفر التثنية والكتابات التاريخية المرتبطة به هي في واقع الأمر نتاج أدبي تم تأليفه من أجل تعزيز حركة الإصلاح في زمن يوشيّا.  وتفترض هذه النظرية أن كتابة هذا السفر مدفوعة بأسباب سياسية ولاهوتية، ألا وهي إعطاء مزيد من السلطة والتأييد للكهنة ولمركزية العبادة الدينية في أورشليم.  يقول آندرسون، ممثل هذا الرأي:</w:t>
      </w:r>
    </w:p>
    <w:p w14:paraId="6D89E0D9"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07405">
        <w:rPr>
          <w:rFonts w:eastAsia="Times New Roman"/>
          <w:kern w:val="0"/>
          <w:rtl/>
          <w:lang w:bidi="ar-JO"/>
          <w14:ligatures w14:val="none"/>
        </w:rPr>
        <w:t>على الرغم من أن كاتب هذا السفر مجهول الهوية، كما هو الحال مع معظم كتابات العهد القديم، فإن نسبته للخطاب لموسى ليست خرافة أدبية كاملة.  فسفر التثنية في جوهره إحياء للتعليم الموسوي كما فُهم في القرن السابع ق م.  ومن المؤكد أنه لم يحتوِ على الكلمات الفعلية الحرفية التي نطق بها موسى؛ لكن الجو هو جو الإيمان الموسوي، على الرغم من أنه مشحون بالأفكار الدينية والأخلاقية للحركة النبوية.  والتوراة التثنوية، مثلها في ذلك مثل الأنبياء أنفسهم، لا تدّعي أنها تقود إسرائيل إلى الأمام إلى مرتفعات جديدة من التطور الديني، لكنها تذكّر الشعب بالإيمان الأصلي للفترة الموسوية.  فهذا برنامج إصلاح، لا ابتداع.  ومن هنا كان أمراً لائقاً أن ينسب الخطاب إلى موسى.</w:t>
      </w:r>
      <w:r w:rsidRPr="00507405">
        <w:rPr>
          <w:rFonts w:eastAsia="Times New Roman"/>
          <w:kern w:val="0"/>
          <w:vertAlign w:val="superscript"/>
          <w:rtl/>
          <w:lang w:bidi="ar-JO"/>
          <w14:ligatures w14:val="none"/>
        </w:rPr>
        <w:footnoteReference w:customMarkFollows="1" w:id="163"/>
        <w:t>5</w:t>
      </w:r>
      <w:r w:rsidRPr="00507405">
        <w:rPr>
          <w:rFonts w:eastAsia="Times New Roman"/>
          <w:kern w:val="0"/>
          <w:rtl/>
          <w:lang w:bidi="ar-JO"/>
          <w14:ligatures w14:val="none"/>
        </w:rPr>
        <w:t xml:space="preserve"> </w:t>
      </w:r>
    </w:p>
    <w:p w14:paraId="5D83C56A"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23395298"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بعد أن صار سفر التثنية منفصلاً عن الأسفار الخمسة، بدأ الباحثون يلاحظون أوجه الشبه بينه وبين يشوع – الملوك، وبدأوا يتكلّمون عن "التاريخ التثنوي".  وربما يجدر بنا أن نطلق تسميتين مختلفتين هنا: "التاريخ التثنوي" (</w:t>
      </w:r>
      <w:r w:rsidRPr="00507405">
        <w:rPr>
          <w:rFonts w:eastAsia="Times New Roman"/>
          <w:kern w:val="0"/>
          <w14:ligatures w14:val="none"/>
        </w:rPr>
        <w:t>Deuteronomic</w:t>
      </w:r>
      <w:r w:rsidRPr="00507405">
        <w:rPr>
          <w:rFonts w:eastAsia="Times New Roman"/>
          <w:kern w:val="0"/>
          <w:rtl/>
          <w:lang w:bidi="ar-JO"/>
          <w14:ligatures w14:val="none"/>
        </w:rPr>
        <w:t>) و"التاريخ التثنوي التأثُّر"            (</w:t>
      </w:r>
      <w:r w:rsidRPr="00507405">
        <w:rPr>
          <w:rFonts w:eastAsia="Times New Roman"/>
          <w:kern w:val="0"/>
          <w14:ligatures w14:val="none"/>
        </w:rPr>
        <w:t>Deuteronomistic</w:t>
      </w:r>
      <w:r w:rsidRPr="00507405">
        <w:rPr>
          <w:rFonts w:eastAsia="Times New Roman"/>
          <w:kern w:val="0"/>
          <w:rtl/>
          <w:lang w:bidi="ar-JO"/>
          <w14:ligatures w14:val="none"/>
        </w:rPr>
        <w:t>).</w:t>
      </w:r>
      <w:r w:rsidRPr="00507405">
        <w:rPr>
          <w:rFonts w:eastAsia="Times New Roman"/>
          <w:kern w:val="0"/>
          <w:vertAlign w:val="superscript"/>
          <w:rtl/>
          <w:lang w:bidi="ar-JO"/>
          <w14:ligatures w14:val="none"/>
        </w:rPr>
        <w:footnoteReference w:customMarkFollows="1" w:id="164"/>
        <w:t>6</w:t>
      </w:r>
    </w:p>
    <w:p w14:paraId="692257F3"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6594F119"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تثنوي- تشير هذه الصفة إلى المادة الموجودة في قلب سفر التثنية (تثنية 5-28).</w:t>
      </w:r>
    </w:p>
    <w:p w14:paraId="1DF23489"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507405">
        <w:rPr>
          <w:rFonts w:eastAsia="Times New Roman"/>
          <w:kern w:val="0"/>
          <w:rtl/>
          <w:lang w:bidi="ar-JO"/>
          <w14:ligatures w14:val="none"/>
        </w:rPr>
        <w:t>تثنوي التأثُّر- تشير إلى الكتابات التي يُفترض أنها تأثرت بالتوراة التثنوية، والتي تشكّل التاريخ التثنوي التأثُّر الممتد من سفر يشوع إلى ملوك الثاني.</w:t>
      </w:r>
    </w:p>
    <w:p w14:paraId="604B4552"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2AF5765"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507405">
        <w:rPr>
          <w:rFonts w:eastAsia="Times New Roman"/>
          <w:kern w:val="0"/>
          <w:rtl/>
          <w:lang w:bidi="ar-JO"/>
          <w14:ligatures w14:val="none"/>
        </w:rPr>
        <w:lastRenderedPageBreak/>
        <w:t>ركّز الباحثون الانتقاديون حتى الجزء الأول من القرن العشرين على مهمة محاولة تحليل المصادر المختلفة خلف النص (كما فعلوا مع بقية الأسفار الخمسة).</w:t>
      </w:r>
      <w:r w:rsidRPr="00507405">
        <w:rPr>
          <w:rFonts w:eastAsia="Times New Roman"/>
          <w:kern w:val="0"/>
          <w:vertAlign w:val="superscript"/>
          <w:rtl/>
          <w:lang w:bidi="ar-JO"/>
          <w14:ligatures w14:val="none"/>
        </w:rPr>
        <w:footnoteReference w:customMarkFollows="1" w:id="165"/>
        <w:t>7</w:t>
      </w:r>
      <w:r w:rsidRPr="00507405">
        <w:rPr>
          <w:rFonts w:eastAsia="Times New Roman"/>
          <w:kern w:val="0"/>
          <w:rtl/>
          <w:lang w:bidi="ar-JO"/>
          <w14:ligatures w14:val="none"/>
        </w:rPr>
        <w:t xml:space="preserve"> غير أن الدراسات النقدية شهدت نقلة في التركيز في ما يتعلق بسفر التثنية والأسفار التاريخية.  وبدون التخلّي عن فكرة المصادر، بدأ الباحثون الانتقاديون ينظرون إلى هذه المادة من منظور مختلف، أي كوحدات أدبية مستقلّة نسجها معاً محرر أو عدّة محررين كانت في أذهانهم أجندة (خطة) لاهوتية مقررة سلفاً.  ففي عام 1943 دافع الباحث الألماني مارتن نوث عن هذه النظرية بشكل مفصّل.</w:t>
      </w:r>
      <w:r w:rsidRPr="00507405">
        <w:rPr>
          <w:rFonts w:eastAsia="Times New Roman"/>
          <w:kern w:val="0"/>
          <w:vertAlign w:val="superscript"/>
          <w:rtl/>
          <w:lang w:bidi="ar-JO"/>
          <w14:ligatures w14:val="none"/>
        </w:rPr>
        <w:footnoteReference w:customMarkFollows="1" w:id="166"/>
        <w:t>8</w:t>
      </w:r>
      <w:r w:rsidRPr="00507405">
        <w:rPr>
          <w:rFonts w:eastAsia="Times New Roman"/>
          <w:kern w:val="0"/>
          <w:rtl/>
          <w:lang w:bidi="ar-JO"/>
          <w14:ligatures w14:val="none"/>
        </w:rPr>
        <w:t xml:space="preserve"> وقال إن تثنية – ملوك كُتبت كعمل موحَّد أثناء فترة السبي، وسمّاها "التاريخ التثنوي التأثُّر".  وقد رأى نوث أن هدف تلك المادة هو أن تبين كيف ظهر لاهوت التثنية في تاريخ إسرائيل، وعلى نحو خاص كيف لعبت هذه المادة دور بيان دفاعٍ عن الله كُتب ليقدّم عرضاً لأسباب لاهوتية لسقوط محرِّر المملكة الشمالية وأورشليم ويهوذا. </w:t>
      </w:r>
    </w:p>
    <w:p w14:paraId="5BB89A27"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53FEA98D"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وليس مفاجئاً أن تكون هنالك نظريات متنوعة حول زمن كتابة التاريخ التثنوي التأثر وكيفية ذلك، وما إذا كان هنالك منقّح واحد أو عدّة محرِّرين.  غير أنه تمَّ التخلّي عن رأي نوث في أن مؤرّخاً واحداً هو الذي كتب كل هذا العمل الأدبي.  لكن يوجد اتفاق عام بين الباحثين النقديين أن دستور سفر التثنية (خاصة توكيده على مقدس مركزي) كان أساس إصلاحات يوشيا.  ويشرح هيتر سبب هذه الإصلاحات:</w:t>
      </w:r>
    </w:p>
    <w:p w14:paraId="6BBB68D3"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07405">
        <w:rPr>
          <w:rFonts w:eastAsia="Times New Roman"/>
          <w:kern w:val="0"/>
          <w:rtl/>
          <w:lang w:bidi="ar-JO"/>
          <w14:ligatures w14:val="none"/>
        </w:rPr>
        <w:t>بما أنه يبدو أن سفر التثنية (خاصةً الأصحاحات 12، 14، 16) يحدد كل العبادة في مكان واحد، وبما أن الممارسة الفعلية منذ زمن القضاة إلى يوشيا كانت موزعة في أماكن عدّة، فلا بدّ أن سفر التثنية كُتب في زمن يوشيا من أجل المصادقة على تقليد جديد وإعطاء سلطة لإصلاحات يوشيا.</w:t>
      </w:r>
      <w:r w:rsidRPr="00507405">
        <w:rPr>
          <w:rFonts w:eastAsia="Times New Roman"/>
          <w:kern w:val="0"/>
          <w:vertAlign w:val="superscript"/>
          <w:rtl/>
          <w:lang w:bidi="ar-JO"/>
          <w14:ligatures w14:val="none"/>
        </w:rPr>
        <w:t xml:space="preserve"> </w:t>
      </w:r>
      <w:r w:rsidRPr="00507405">
        <w:rPr>
          <w:rFonts w:eastAsia="Times New Roman"/>
          <w:kern w:val="0"/>
          <w:vertAlign w:val="superscript"/>
          <w:rtl/>
          <w:lang w:bidi="ar-JO"/>
          <w14:ligatures w14:val="none"/>
        </w:rPr>
        <w:footnoteReference w:customMarkFollows="1" w:id="167"/>
        <w:t>9</w:t>
      </w:r>
    </w:p>
    <w:p w14:paraId="0FB1685B"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3FD2EB9"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ومن هنا يتحدثون عن الإصلاحات التثنوية.  ثم يقولون بناء على ذلك إن مؤرخين (كانوا مقتنعين بالأسباب اللاهوتية للإصلاح التثنوي بشكل جاد) ألّفوا تاريخاً لإسرائيل تثنوي التأثر "شاملاً من زمن موسى إلى سقوط الأمّة الأخير (أي تثنية – ملوك).</w:t>
      </w:r>
      <w:r w:rsidRPr="00507405">
        <w:rPr>
          <w:rFonts w:eastAsia="Times New Roman"/>
          <w:kern w:val="0"/>
          <w:vertAlign w:val="superscript"/>
          <w:rtl/>
          <w:lang w:bidi="ar-JO"/>
          <w14:ligatures w14:val="none"/>
        </w:rPr>
        <w:t xml:space="preserve"> </w:t>
      </w:r>
      <w:r w:rsidRPr="00507405">
        <w:rPr>
          <w:rFonts w:eastAsia="Times New Roman"/>
          <w:kern w:val="0"/>
          <w:vertAlign w:val="superscript"/>
          <w:rtl/>
          <w:lang w:bidi="ar-JO"/>
          <w14:ligatures w14:val="none"/>
        </w:rPr>
        <w:footnoteReference w:customMarkFollows="1" w:id="168"/>
        <w:t>10</w:t>
      </w:r>
      <w:r w:rsidRPr="00507405">
        <w:rPr>
          <w:rFonts w:eastAsia="Times New Roman"/>
          <w:kern w:val="0"/>
          <w:rtl/>
          <w:lang w:bidi="ar-JO"/>
          <w14:ligatures w14:val="none"/>
        </w:rPr>
        <w:t xml:space="preserve"> وهم يقولون بشكل عام إن التحرير الأخير تم في حوالي 550ق م.</w:t>
      </w:r>
    </w:p>
    <w:p w14:paraId="42F62382"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وفي هذه الطبعة النهائية، تم توسيع "</w:t>
      </w:r>
      <w:r w:rsidRPr="00507405">
        <w:rPr>
          <w:rFonts w:eastAsia="Times New Roman"/>
          <w:i/>
          <w:iCs/>
          <w:kern w:val="0"/>
          <w:rtl/>
          <w:lang w:bidi="ar-JO"/>
          <w14:ligatures w14:val="none"/>
        </w:rPr>
        <w:t>التاريخ التثنوي التأثُّر</w:t>
      </w:r>
      <w:r w:rsidRPr="00507405">
        <w:rPr>
          <w:rFonts w:eastAsia="Times New Roman"/>
          <w:kern w:val="0"/>
          <w:rtl/>
          <w:lang w:bidi="ar-JO"/>
          <w14:ligatures w14:val="none"/>
        </w:rPr>
        <w:t>" وتحديثه ليشمل الدمار والترحيل، على الرغم من أنه ينتهي بنغمة ذات رجاء بملاحظة إطلاق سراح الملك الداودي يهوياكين من سجنه في بابل.  ويُعزى زوال ملك يهوذا بشكل رئيسي إلى حكم الملك منسّى الشرير من النصف الأول للقرن السابع ق م.  وفيما يلي نظرية آندرسون (ص 435):</w:t>
      </w:r>
    </w:p>
    <w:p w14:paraId="77BD03D2"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29488813"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bookmarkStart w:id="373" w:name="_MON_1166691499"/>
    <w:bookmarkEnd w:id="373"/>
    <w:p w14:paraId="5E99133F" w14:textId="77777777" w:rsidR="006A7C83" w:rsidRPr="00C7130A" w:rsidRDefault="006A7C83" w:rsidP="00C7130A">
      <w:pPr>
        <w:rPr>
          <w:rFonts w:eastAsia="Times New Roman"/>
          <w:kern w:val="0"/>
          <w:sz w:val="28"/>
          <w:szCs w:val="28"/>
          <w:rtl/>
          <w14:ligatures w14:val="none"/>
        </w:rPr>
      </w:pPr>
      <w:r w:rsidRPr="00C7130A">
        <w:rPr>
          <w:rFonts w:eastAsia="Times New Roman"/>
          <w:kern w:val="0"/>
          <w:szCs w:val="18"/>
          <w:rtl/>
          <w:lang w:bidi="ar-JO"/>
          <w14:ligatures w14:val="none"/>
        </w:rPr>
        <w:object w:dxaOrig="4800" w:dyaOrig="4800" w14:anchorId="0C64244F">
          <v:shape id="_x0000_i1041" type="#_x0000_t75" style="width:462pt;height:354pt" o:ole="">
            <v:imagedata r:id="rId81" o:title=""/>
          </v:shape>
          <o:OLEObject Type="Embed" ProgID="PowerPoint.Show.8" ShapeID="_x0000_i1041" DrawAspect="Content" ObjectID="_1803892156" r:id="rId82"/>
        </w:object>
      </w:r>
    </w:p>
    <w:p w14:paraId="318449A1"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3B0974FD" w14:textId="77777777" w:rsidR="006A7C83" w:rsidRPr="00C7130A" w:rsidRDefault="006A7C83" w:rsidP="00507405">
      <w:pPr>
        <w:rPr>
          <w:rtl/>
          <w:lang w:bidi="ar-JO"/>
        </w:rPr>
      </w:pPr>
      <w:r w:rsidRPr="00C7130A">
        <w:rPr>
          <w:rtl/>
          <w:lang w:bidi="ar-JO"/>
        </w:rPr>
        <w:t>تمثل الخطوط المنقّطة في الجدول السابق التقليد الشفوي، بينما تمثّل الخطوط المتّصلة انتقال التقليد بشكلٍ مكتوبٍ.  لنلاحظ أن كل التقاليد تشكّل تطورات متوازية من الفترة القديمة، على الرغم من أن كل واحد منها كان موضوعاً لتطور خاص في الدائرة الذي حفظته.  وقد كانت هذه التقاليد، مثلها في ذلك مثل عدة جداول تصب في نهر واحد، مرتبطة وموحّدة معاً في تقليد كهنوتي، مشكِّلة بذلك الأسفار الخمسة.</w:t>
      </w:r>
    </w:p>
    <w:p w14:paraId="44E6DE92"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14:ligatures w14:val="none"/>
        </w:rPr>
      </w:pPr>
    </w:p>
    <w:p w14:paraId="67F57256" w14:textId="77777777" w:rsidR="006A7C83" w:rsidRPr="00C7130A" w:rsidRDefault="006A7C83" w:rsidP="000558B7">
      <w:pPr>
        <w:pStyle w:val="Heading3"/>
        <w:rPr>
          <w:rtl/>
          <w:lang w:bidi="ar-JO"/>
        </w:rPr>
      </w:pPr>
      <w:bookmarkStart w:id="374" w:name="_Toc193031122"/>
      <w:r w:rsidRPr="00C7130A">
        <w:rPr>
          <w:rtl/>
          <w:lang w:bidi="ar-JO"/>
        </w:rPr>
        <w:t>3</w:t>
      </w:r>
      <w:r w:rsidRPr="00C7130A">
        <w:rPr>
          <w:szCs w:val="24"/>
          <w:rtl/>
          <w:lang w:bidi="ar-JO"/>
        </w:rPr>
        <w:t>.</w:t>
      </w:r>
      <w:r w:rsidRPr="00C7130A">
        <w:rPr>
          <w:rtl/>
          <w:lang w:bidi="ar-JO"/>
        </w:rPr>
        <w:tab/>
        <w:t>سمات نظرية "التاريخ التثنوي التأثُّر"</w:t>
      </w:r>
      <w:bookmarkEnd w:id="374"/>
    </w:p>
    <w:p w14:paraId="4E302B47"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إن أكثر سمات هذه الأسفار شيوعاً هي النظرة النبوية للتاريخ التي يرتبط فيها السبب والمسبَّب ببركات العهد ولعناته.  يقدّم والتون هنا ملخَّصاً مفيداً:</w:t>
      </w:r>
    </w:p>
    <w:p w14:paraId="28F91B0F"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507405">
        <w:rPr>
          <w:rFonts w:eastAsia="Times New Roman"/>
          <w:kern w:val="0"/>
          <w:rtl/>
          <w:lang w:bidi="ar-JO"/>
          <w14:ligatures w14:val="none"/>
        </w:rPr>
        <w:lastRenderedPageBreak/>
        <w:t>يشترك التاريخ التثنوي التأثُّر مع سفر التثنية في منظور واحد للتاريخ واللاهوت إذ يُنظر إلى تاريخ إسرائيل من حيث ولائها للعهد.  فطاعة الشريعة والإيمان بالرب يجلبان البركات وازدهار العهد (تثنية 28)، بينما يجلب العصيان والارتداد اللعنات المذكورة هنالك.  ومن بين أوجه الشبه في الأسلوب الاعتماد على صيغ وتعابير معيّنة (مثل "عمل بنو إسرائيل الشر في عيني الرب" في سفر القضاة؛ و"ساروا في طرق يربعام" بصفتها التهمة المشتركة لملوك الشمال في سفر الملوك) والاستخدام البلاغي للخطابة من أجل تلخيص نقاط اتصالٍ هامة (انظر تثنية 4؛ يشوع 23؛ قضاة 2: 11-23؛ 1صموئيل 2؛ 2صموئيل 7؛ 1ملوك 8؛                     2ملوك 17: 7-23).</w:t>
      </w:r>
      <w:r w:rsidRPr="00507405">
        <w:rPr>
          <w:rFonts w:eastAsia="Times New Roman"/>
          <w:kern w:val="0"/>
          <w:vertAlign w:val="superscript"/>
          <w:rtl/>
          <w:lang w:bidi="ar-JO"/>
          <w14:ligatures w14:val="none"/>
        </w:rPr>
        <w:footnoteReference w:customMarkFollows="1" w:id="169"/>
        <w:t>11</w:t>
      </w:r>
    </w:p>
    <w:p w14:paraId="778FE73C"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p>
    <w:p w14:paraId="66A6F25D"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وبالإضافة إلى عقيدة عدم وفاء إسرائيل للعهد، توجد مواضيع أخرى في سفر التثنية لها أهميتها في هذه النظرية وتشمل:</w:t>
      </w:r>
    </w:p>
    <w:p w14:paraId="2DACC682"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07405">
        <w:rPr>
          <w:rFonts w:eastAsia="Times New Roman"/>
          <w:kern w:val="0"/>
          <w:rtl/>
          <w:lang w:bidi="ar-JO"/>
          <w14:ligatures w14:val="none"/>
        </w:rPr>
        <w:t>1)</w:t>
      </w:r>
      <w:r w:rsidRPr="00507405">
        <w:rPr>
          <w:rFonts w:eastAsia="Times New Roman"/>
          <w:kern w:val="0"/>
          <w:rtl/>
          <w:lang w:bidi="ar-JO"/>
          <w14:ligatures w14:val="none"/>
        </w:rPr>
        <w:tab/>
        <w:t>مركزية نظام العبادة (تثنية 12: 5، 10-11؛ انظر 16: 16-17)</w:t>
      </w:r>
    </w:p>
    <w:p w14:paraId="58483235"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07405">
        <w:rPr>
          <w:rFonts w:eastAsia="Times New Roman"/>
          <w:kern w:val="0"/>
          <w:rtl/>
          <w:lang w:bidi="ar-JO"/>
          <w14:ligatures w14:val="none"/>
        </w:rPr>
        <w:t>2)</w:t>
      </w:r>
      <w:r w:rsidRPr="00507405">
        <w:rPr>
          <w:rFonts w:eastAsia="Times New Roman"/>
          <w:kern w:val="0"/>
          <w:rtl/>
          <w:lang w:bidi="ar-JO"/>
          <w14:ligatures w14:val="none"/>
        </w:rPr>
        <w:tab/>
        <w:t>تعيين ملك من الله (تثنية 17: 14-15)</w:t>
      </w:r>
    </w:p>
    <w:p w14:paraId="64BAF1F2"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07405">
        <w:rPr>
          <w:rFonts w:eastAsia="Times New Roman"/>
          <w:kern w:val="0"/>
          <w:rtl/>
          <w:lang w:bidi="ar-JO"/>
          <w14:ligatures w14:val="none"/>
        </w:rPr>
        <w:t>3)</w:t>
      </w:r>
      <w:r w:rsidRPr="00507405">
        <w:rPr>
          <w:rFonts w:eastAsia="Times New Roman"/>
          <w:kern w:val="0"/>
          <w:rtl/>
          <w:lang w:bidi="ar-JO"/>
          <w14:ligatures w14:val="none"/>
        </w:rPr>
        <w:tab/>
        <w:t>إزالة الأنبياء الكذبة (تثنية 13: 3، 5؛ انظر تثنية 18)</w:t>
      </w:r>
    </w:p>
    <w:p w14:paraId="72E0B0D2"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07405">
        <w:rPr>
          <w:rFonts w:eastAsia="Times New Roman"/>
          <w:kern w:val="0"/>
          <w:rtl/>
          <w:lang w:bidi="ar-JO"/>
          <w14:ligatures w14:val="none"/>
        </w:rPr>
        <w:t>4)</w:t>
      </w:r>
      <w:r w:rsidRPr="00507405">
        <w:rPr>
          <w:rFonts w:eastAsia="Times New Roman"/>
          <w:kern w:val="0"/>
          <w:rtl/>
          <w:lang w:bidi="ar-JO"/>
          <w14:ligatures w14:val="none"/>
        </w:rPr>
        <w:tab/>
        <w:t>رفع الكهنة اللاويين (تثنية 18: 1-2)</w:t>
      </w:r>
    </w:p>
    <w:p w14:paraId="30EC5550"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07405">
        <w:rPr>
          <w:rFonts w:eastAsia="Times New Roman"/>
          <w:kern w:val="0"/>
          <w:rtl/>
          <w:lang w:bidi="ar-JO"/>
          <w14:ligatures w14:val="none"/>
        </w:rPr>
        <w:t>5)</w:t>
      </w:r>
      <w:r w:rsidRPr="00507405">
        <w:rPr>
          <w:rFonts w:eastAsia="Times New Roman"/>
          <w:kern w:val="0"/>
          <w:rtl/>
          <w:lang w:bidi="ar-JO"/>
          <w14:ligatures w14:val="none"/>
        </w:rPr>
        <w:tab/>
        <w:t>الإنباء بأنبياء يتكلمون عن الله (تثنية 18: 15، 18-19)</w:t>
      </w:r>
    </w:p>
    <w:p w14:paraId="75919CA0"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E3299A9" w14:textId="225E40B3"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 xml:space="preserve">إن ميل التاريخ التثنوي التأثُّر ضمن ملوك الأول والثاني هو تقويم كل ملك من حيث وفائه للعهد.  ويجري تقويم الملوك الشماليون بمقارنتهم </w:t>
      </w:r>
      <w:r w:rsidR="00507405" w:rsidRPr="00507405">
        <w:rPr>
          <w:rFonts w:eastAsia="Times New Roman" w:hint="cs"/>
          <w:kern w:val="0"/>
          <w:rtl/>
          <w:lang w:bidi="ar-JO"/>
          <w14:ligatures w14:val="none"/>
        </w:rPr>
        <w:t>ب</w:t>
      </w:r>
      <w:r w:rsidR="00507405" w:rsidRPr="00507405">
        <w:rPr>
          <w:rFonts w:eastAsia="Times New Roman" w:hint="cs"/>
          <w:kern w:val="0"/>
          <w:u w:val="single"/>
          <w:rtl/>
          <w:lang w:bidi="ar-JO"/>
          <w14:ligatures w14:val="none"/>
        </w:rPr>
        <w:t>يربعام</w:t>
      </w:r>
      <w:r w:rsidR="00507405" w:rsidRPr="00507405">
        <w:rPr>
          <w:rFonts w:eastAsia="Times New Roman" w:hint="cs"/>
          <w:kern w:val="0"/>
          <w:rtl/>
          <w:lang w:bidi="ar-JO"/>
          <w14:ligatures w14:val="none"/>
        </w:rPr>
        <w:t xml:space="preserve"> (</w:t>
      </w:r>
      <w:r w:rsidRPr="00507405">
        <w:rPr>
          <w:rFonts w:eastAsia="Times New Roman"/>
          <w:kern w:val="0"/>
          <w:rtl/>
          <w:lang w:bidi="ar-JO"/>
          <w14:ligatures w14:val="none"/>
        </w:rPr>
        <w:t xml:space="preserve">أول ملك شمالي).  أمّا بالنسبة للملوك الجنوبيين، فيجري تقويمهم بمقارنتهم </w:t>
      </w:r>
      <w:r w:rsidRPr="00507405">
        <w:rPr>
          <w:rFonts w:eastAsia="Times New Roman"/>
          <w:kern w:val="0"/>
          <w:u w:val="single"/>
          <w:rtl/>
          <w:lang w:bidi="ar-JO"/>
          <w14:ligatures w14:val="none"/>
        </w:rPr>
        <w:t xml:space="preserve">بداود </w:t>
      </w:r>
      <w:r w:rsidRPr="00507405">
        <w:rPr>
          <w:rFonts w:eastAsia="Times New Roman"/>
          <w:kern w:val="0"/>
          <w:rtl/>
          <w:lang w:bidi="ar-JO"/>
          <w14:ligatures w14:val="none"/>
        </w:rPr>
        <w:t>(الذي قطع الله معه العهد الداودي).  وعند كل نقطة يحاول الكاتب / المحرر أن يرسم خريطة مسار إسرائيل مستقبلاً.  يقول والتون:</w:t>
      </w:r>
    </w:p>
    <w:p w14:paraId="263DEC32"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07405">
        <w:rPr>
          <w:rFonts w:eastAsia="Times New Roman"/>
          <w:kern w:val="0"/>
          <w:rtl/>
          <w:lang w:bidi="ar-JO"/>
          <w14:ligatures w14:val="none"/>
        </w:rPr>
        <w:t>يعتقد أن طبعة السبي المزعومة أكثر اهتماماً بتطوير موضوع الخطية والعقاب.  وسعياً لجواب عن السؤال الذي وجَّهه المسبيّون "أين أخطأنا؟" فإنه يقال لهم إن الأمور سارت سيراً خاطئاً منذ البداية، وقد استمر هذا النمط عبر التاريخ الطويل للحكم الملكي.</w:t>
      </w:r>
    </w:p>
    <w:p w14:paraId="309B011F"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07405">
        <w:rPr>
          <w:rFonts w:eastAsia="Times New Roman"/>
          <w:kern w:val="0"/>
          <w:rtl/>
          <w:lang w:bidi="ar-JO"/>
          <w14:ligatures w14:val="none"/>
        </w:rPr>
        <w:t>وقد أكَّد الوجود الدائم للكلمة النبوية للملوك أثناء هذه الفترة أن الرب أعطى تنبيهات وإنذارات كافية، وأنهُ أتيحت لهم فرصة كافية للاستجابة.  وتم إثبات صبر الله وأمانته للعهد بشكل كامل.  يمكننا أن نرى إذاً أن رسالة هذه الأسفار ارتبط بشكل وثيق بالعهد."</w:t>
      </w:r>
      <w:r w:rsidRPr="00507405">
        <w:rPr>
          <w:rFonts w:eastAsia="Times New Roman"/>
          <w:kern w:val="0"/>
          <w:vertAlign w:val="superscript"/>
          <w:rtl/>
          <w:lang w:bidi="ar-JO"/>
          <w14:ligatures w14:val="none"/>
        </w:rPr>
        <w:t xml:space="preserve"> </w:t>
      </w:r>
      <w:r w:rsidRPr="00507405">
        <w:rPr>
          <w:rFonts w:eastAsia="Times New Roman"/>
          <w:kern w:val="0"/>
          <w:vertAlign w:val="superscript"/>
          <w:rtl/>
          <w:lang w:bidi="ar-JO"/>
          <w14:ligatures w14:val="none"/>
        </w:rPr>
        <w:footnoteReference w:customMarkFollows="1" w:id="170"/>
        <w:t>12</w:t>
      </w:r>
    </w:p>
    <w:p w14:paraId="4586DCA0"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Cs w:val="26"/>
          <w:rtl/>
          <w14:ligatures w14:val="none"/>
        </w:rPr>
      </w:pPr>
    </w:p>
    <w:p w14:paraId="61CAC236" w14:textId="77777777" w:rsidR="006A7C83" w:rsidRPr="00C7130A" w:rsidRDefault="006A7C83" w:rsidP="000558B7">
      <w:pPr>
        <w:pStyle w:val="Heading3"/>
        <w:rPr>
          <w:rtl/>
          <w:lang w:bidi="ar-JO"/>
        </w:rPr>
      </w:pPr>
      <w:bookmarkStart w:id="375" w:name="_Toc193031123"/>
      <w:r w:rsidRPr="00C7130A">
        <w:rPr>
          <w:rtl/>
          <w:lang w:bidi="ar-JO"/>
        </w:rPr>
        <w:t>4.</w:t>
      </w:r>
      <w:r w:rsidRPr="00C7130A">
        <w:rPr>
          <w:rtl/>
          <w:lang w:bidi="ar-JO"/>
        </w:rPr>
        <w:tab/>
        <w:t>تقويم</w:t>
      </w:r>
      <w:bookmarkEnd w:id="375"/>
    </w:p>
    <w:p w14:paraId="3A897486"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توجد صلة حيوية بين سفر التثنية والرواية التاريخية ليشوع-ملوك، وقد حاول الباحثون الانتقاديون بطرق ما بنظرية "المؤرّخ التثنوي التأثُّر" أن يروا هذا الأمر بوضوح أكبر.  وينطبق هذا بشكل خاص على تطبيقات تثنية 28-29، التي تُعلَن فيها لعنات استجابةً لعدم الوفاء للعهد.  وإن ذروة اللعنات التي يمكن أن تصيب الأمة هي السبي من الأرض.</w:t>
      </w:r>
    </w:p>
    <w:p w14:paraId="46480987"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4A25982"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507405">
        <w:rPr>
          <w:rFonts w:eastAsia="Times New Roman"/>
          <w:kern w:val="0"/>
          <w:rtl/>
          <w:lang w:bidi="ar-JO"/>
          <w14:ligatures w14:val="none"/>
        </w:rPr>
        <w:t xml:space="preserve">لا شك أن كاتب سفر التثنية يكتب عن ذهاب الأمة إلى </w:t>
      </w:r>
      <w:r w:rsidRPr="00507405">
        <w:rPr>
          <w:rFonts w:eastAsia="Times New Roman"/>
          <w:kern w:val="0"/>
          <w:u w:val="single"/>
          <w:rtl/>
          <w:lang w:bidi="ar-JO"/>
          <w14:ligatures w14:val="none"/>
        </w:rPr>
        <w:t>السبي</w:t>
      </w:r>
      <w:r w:rsidRPr="00507405">
        <w:rPr>
          <w:rFonts w:eastAsia="Times New Roman"/>
          <w:kern w:val="0"/>
          <w:rtl/>
          <w:lang w:bidi="ar-JO"/>
          <w14:ligatures w14:val="none"/>
        </w:rPr>
        <w:t>، لكن كيف كان له أن يعرف ذلك؟ يجيب الباحثون الانتقاديون بأن شخصاً يعيش في زمن السبي هو فقط القادر على معرفة أن هذا هو مصير الأمة، وبالتالي أن يكتب عنه.  غير أن الباحثين الإنجيليين المُحافظين يؤمنون بأن الكتاب المقدّس هو كلمة الله الموحى بها.  ولهذا كان في مقدور الله (الذي يستطيع أن يرى مستقبل الأمة) ن يكتب من خلال موسى في عام 1406ق م أن الأمة ستذهب إلى السبي في نهاية المطاف.  ومن هنا فقد سبق أن أُخبر عن هذا الأمر بشكل نبوي! غير أن الباحثين الانتقاديين ينكرون ذلك، ويؤكّدون أن هذه المادة (بما فيها سفر التثنية) كُتبت بعد حدوثها، في التحرير النهائي على الأقل.  ويجب علينا أن نجري عملية تقويم حذرة لهذه النظرية.</w:t>
      </w:r>
    </w:p>
    <w:p w14:paraId="7350A56B"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7E6E7DD" w14:textId="71D71867" w:rsidR="006A7C83" w:rsidRPr="00507405"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07405">
        <w:rPr>
          <w:rFonts w:eastAsia="Times New Roman"/>
          <w:kern w:val="0"/>
          <w:rtl/>
          <w:lang w:bidi="ar-JO"/>
          <w14:ligatures w14:val="none"/>
        </w:rPr>
        <w:t>1.</w:t>
      </w:r>
      <w:r w:rsidRPr="00507405">
        <w:rPr>
          <w:rFonts w:eastAsia="Times New Roman"/>
          <w:kern w:val="0"/>
          <w:rtl/>
          <w:lang w:bidi="ar-JO"/>
          <w14:ligatures w14:val="none"/>
        </w:rPr>
        <w:tab/>
        <w:t xml:space="preserve">تعاني نظرية </w:t>
      </w:r>
      <w:r w:rsidRPr="00507405">
        <w:rPr>
          <w:rFonts w:eastAsia="Times New Roman"/>
          <w:i/>
          <w:iCs/>
          <w:kern w:val="0"/>
          <w:rtl/>
          <w:lang w:bidi="ar-JO"/>
          <w14:ligatures w14:val="none"/>
        </w:rPr>
        <w:t xml:space="preserve">المؤرّخ التثنوي التأثُّر </w:t>
      </w:r>
      <w:r w:rsidRPr="00507405">
        <w:rPr>
          <w:rFonts w:eastAsia="Times New Roman"/>
          <w:kern w:val="0"/>
          <w:rtl/>
          <w:lang w:bidi="ar-JO"/>
          <w14:ligatures w14:val="none"/>
        </w:rPr>
        <w:t>من مشكلة الافتراض المسبق الأولي، فهي تتناول الكتاب المقدّس من وجهة نظر نابعة من الفلسفة الإنسانية، التي تنكر مشروعية النبوءة الخارقة للطبيعة.  وهي تفترض أن الله (الذي لا يحدّه النظام الطبيعي لهذا الكون) لم يكشف بشكل خارق جوانب عن المستقبل لكتّاب الكتاب المقدّس من البشر.  ومن هنا فإن هذه النظرية معادية للعنصر الخارق في كتابة الأسفار.</w:t>
      </w:r>
    </w:p>
    <w:p w14:paraId="7059FBFF" w14:textId="77777777" w:rsidR="006A7C83" w:rsidRPr="00507405"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p>
    <w:p w14:paraId="4725696F" w14:textId="77777777" w:rsidR="006A7C83" w:rsidRPr="00507405"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07405">
        <w:rPr>
          <w:rFonts w:eastAsia="Times New Roman"/>
          <w:kern w:val="0"/>
          <w:rtl/>
          <w:lang w:bidi="ar-JO"/>
          <w14:ligatures w14:val="none"/>
        </w:rPr>
        <w:t>2.</w:t>
      </w:r>
      <w:r w:rsidRPr="00507405">
        <w:rPr>
          <w:rFonts w:eastAsia="Times New Roman"/>
          <w:kern w:val="0"/>
          <w:rtl/>
          <w:lang w:bidi="ar-JO"/>
          <w14:ligatures w14:val="none"/>
        </w:rPr>
        <w:tab/>
        <w:t>تنكر هذه النظرية أن موسى هو كاتب سفر التثنية، على الرغم من التصريحات المباشرة التي تنسبه إلى موسى (تثنية 1: 1، 5؛ 31، 9، 24-26؛ 32: 44).</w:t>
      </w:r>
    </w:p>
    <w:p w14:paraId="014AB4A6" w14:textId="77777777" w:rsidR="006A7C83" w:rsidRPr="00507405"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p>
    <w:p w14:paraId="2A00F84E" w14:textId="77777777" w:rsidR="006A7C83" w:rsidRPr="00507405"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07405">
        <w:rPr>
          <w:rFonts w:eastAsia="Times New Roman"/>
          <w:kern w:val="0"/>
          <w:rtl/>
          <w:lang w:bidi="ar-JO"/>
          <w14:ligatures w14:val="none"/>
        </w:rPr>
        <w:t>3.</w:t>
      </w:r>
      <w:r w:rsidRPr="00507405">
        <w:rPr>
          <w:rFonts w:eastAsia="Times New Roman"/>
          <w:kern w:val="0"/>
          <w:rtl/>
          <w:lang w:bidi="ar-JO"/>
          <w14:ligatures w14:val="none"/>
        </w:rPr>
        <w:tab/>
        <w:t>تُغفل هذه النظرية النظر إلى الأدلة الجوهرية على أن سفر التثنية مشابه من حيث سماته بصيغ المعاهدات الحثّية في الألفية الثانية قبل الميلاد، وهي ملاحظة تجعل من غير المحتمل جداً أن سفر التثنية تطوّر من خلال التحرير في القرون 6-8ق م.</w:t>
      </w:r>
      <w:r w:rsidRPr="00507405">
        <w:rPr>
          <w:rFonts w:eastAsia="Times New Roman"/>
          <w:kern w:val="0"/>
          <w:vertAlign w:val="superscript"/>
          <w:rtl/>
          <w:lang w:bidi="ar-JO"/>
          <w14:ligatures w14:val="none"/>
        </w:rPr>
        <w:footnoteReference w:customMarkFollows="1" w:id="171"/>
        <w:t>13</w:t>
      </w:r>
    </w:p>
    <w:p w14:paraId="0242A46E" w14:textId="77777777" w:rsidR="006A7C83" w:rsidRPr="00507405"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lang w:bidi="ar-JO"/>
          <w14:ligatures w14:val="none"/>
        </w:rPr>
      </w:pPr>
    </w:p>
    <w:p w14:paraId="51AAB1A4" w14:textId="77777777" w:rsidR="006A7C83" w:rsidRPr="00507405"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07405">
        <w:rPr>
          <w:rFonts w:eastAsia="Times New Roman"/>
          <w:kern w:val="0"/>
          <w:rtl/>
          <w:lang w:bidi="ar-JO"/>
          <w14:ligatures w14:val="none"/>
        </w:rPr>
        <w:t>4.</w:t>
      </w:r>
      <w:r w:rsidRPr="00507405">
        <w:rPr>
          <w:rFonts w:eastAsia="Times New Roman"/>
          <w:kern w:val="0"/>
          <w:rtl/>
          <w:lang w:bidi="ar-JO"/>
          <w14:ligatures w14:val="none"/>
        </w:rPr>
        <w:tab/>
        <w:t>تؤدي هذه النظرية إلى التشكيك في اللاهوت الذي يحتويه سفر التثنية.  يقول آندرسون مثلاً:</w:t>
      </w:r>
    </w:p>
    <w:p w14:paraId="1C6DC014"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507405">
        <w:rPr>
          <w:rFonts w:eastAsia="Times New Roman"/>
          <w:kern w:val="0"/>
          <w:rtl/>
          <w:lang w:bidi="ar-JO"/>
          <w14:ligatures w14:val="none"/>
        </w:rPr>
        <w:t>إن إحدى أكبر عيوب لاهوت المادة التثنوية التأثّر هو أنها بالغت في تبسيط طرق الله في التاريخ.  فالعقيدة المتضمنة في هذه الأسفار عن العدالة الإلهية تجعل الأمور واضحة ومحددة أكثر مما يجب: أطيعوا وستسير كل الأمور سيراً حسناً؛ اعصوا، وستأتي المشقّات.  وربما فهمت النسخة الأصلية من سفر التثنية هذه الحقيقة على نحو أعمق، لكن حين عالجها الكاتب الذي ترك لنا المادّة التثنوية التأثر، فإنها صارت تبدو، بشكل يدعو إلى الشك، مثل "فلسفة النجاح" التي صارت حتى في يومنا هذا أساساً لكثير من التديّن الشائع.</w:t>
      </w:r>
      <w:r w:rsidRPr="00507405">
        <w:rPr>
          <w:rFonts w:eastAsia="Times New Roman"/>
          <w:kern w:val="0"/>
          <w:vertAlign w:val="superscript"/>
          <w:rtl/>
          <w:lang w:bidi="ar-JO"/>
          <w14:ligatures w14:val="none"/>
        </w:rPr>
        <w:footnoteReference w:customMarkFollows="1" w:id="172"/>
        <w:t>14</w:t>
      </w:r>
    </w:p>
    <w:p w14:paraId="396E89BF"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507405">
        <w:rPr>
          <w:rFonts w:eastAsia="Times New Roman"/>
          <w:kern w:val="0"/>
          <w:rtl/>
          <w:lang w:bidi="ar-JO"/>
          <w14:ligatures w14:val="none"/>
        </w:rPr>
        <w:t>لكن من هو الإنسان لكي يشكك في كلمة الله ولاهوتها؟</w:t>
      </w:r>
    </w:p>
    <w:p w14:paraId="60A72CFE" w14:textId="77777777" w:rsidR="006A7C83" w:rsidRPr="00507405"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875E67E" w14:textId="7AF3A59F" w:rsidR="006A7C83" w:rsidRPr="00507405"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07405">
        <w:rPr>
          <w:rFonts w:eastAsia="Times New Roman"/>
          <w:kern w:val="0"/>
          <w:rtl/>
          <w:lang w:bidi="ar-JO"/>
          <w14:ligatures w14:val="none"/>
        </w:rPr>
        <w:t>5.</w:t>
      </w:r>
      <w:r w:rsidRPr="00507405">
        <w:rPr>
          <w:rFonts w:eastAsia="Times New Roman"/>
          <w:kern w:val="0"/>
          <w:rtl/>
          <w:lang w:bidi="ar-JO"/>
          <w14:ligatures w14:val="none"/>
        </w:rPr>
        <w:tab/>
        <w:t>يدَّعي معتنقو هذه النظرية أنه حتى سفر القضاة تعرّض للتحرير النهائي في فترة السبي، لكن هذا أمر مستبعد في ضوء الأدلة الداخلية للسفر.  فعلى سبيل المثال، نقرأ في قضاة 1: 21 "فسكن اليبوسيون مع بني بنيامين في أورشليم إلى هذا اليوم."  ولا بدّ أن يعكس هذا زمناً سابقاً لغزو داود لأورشليم (حوالي 1004ق م).  انظر 2صموئيل 5: 6-7.  وتوحي أيضاً الإشارة إلى الكنعانيين في جازر إلى تاريخ سابق للزمن الذي أعطى فيه المصريون تلك المدينة إلى زوجة سليمان المصرية كهدية زواج (انظر 1ملوك 9: 16).</w:t>
      </w:r>
    </w:p>
    <w:p w14:paraId="3DE228E4" w14:textId="77777777" w:rsidR="006A7C83" w:rsidRPr="00507405"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p>
    <w:p w14:paraId="28479403" w14:textId="77777777" w:rsidR="006A7C83" w:rsidRPr="00507405"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507405">
        <w:rPr>
          <w:rFonts w:eastAsia="Times New Roman"/>
          <w:kern w:val="0"/>
          <w:rtl/>
          <w:lang w:bidi="ar-JO"/>
          <w14:ligatures w14:val="none"/>
        </w:rPr>
        <w:t>6.</w:t>
      </w:r>
      <w:r w:rsidRPr="00507405">
        <w:rPr>
          <w:rFonts w:eastAsia="Times New Roman"/>
          <w:kern w:val="0"/>
          <w:rtl/>
          <w:lang w:bidi="ar-JO"/>
          <w14:ligatures w14:val="none"/>
        </w:rPr>
        <w:tab/>
        <w:t xml:space="preserve">حسب نظرية </w:t>
      </w:r>
      <w:r w:rsidRPr="00507405">
        <w:rPr>
          <w:rFonts w:eastAsia="Times New Roman"/>
          <w:i/>
          <w:iCs/>
          <w:kern w:val="0"/>
          <w:rtl/>
          <w:lang w:bidi="ar-JO"/>
          <w14:ligatures w14:val="none"/>
        </w:rPr>
        <w:t>المؤرخ التثنوي التأثّر</w:t>
      </w:r>
      <w:r w:rsidRPr="00507405">
        <w:rPr>
          <w:rFonts w:eastAsia="Times New Roman"/>
          <w:kern w:val="0"/>
          <w:rtl/>
          <w:lang w:bidi="ar-JO"/>
          <w14:ligatures w14:val="none"/>
        </w:rPr>
        <w:t>، كان الإصلاح التثنوي التأثّر الذي حصل في زمن يوشيا وبعده مرتبطاً جداً بمركزية العبادة الدينية في أورشليم.  ولهذا فإننا نتوقع أن يحافظ على هذه النظرة عبر أسفار يشوع – ملوك.  غير أنه لا يوجد في سفر القضاة أي تلميح إلى استنكار وجود المذابح المحلّية، على الرغم من وجود مجال كبير لذلك.  ويوضح سيجال أن سفر التثنية لا يصرّ على أن العبادة يمكن أن تقام في مكان واحد فقط، لكنه يصر على أن المكان يجب أن يكون قد أجازه الله كمكان مقدس لعبادة يهوه.</w:t>
      </w:r>
      <w:r w:rsidRPr="00507405">
        <w:rPr>
          <w:rFonts w:eastAsia="Times New Roman"/>
          <w:kern w:val="0"/>
          <w:vertAlign w:val="superscript"/>
          <w:rtl/>
          <w:lang w:bidi="ar-JO"/>
          <w14:ligatures w14:val="none"/>
        </w:rPr>
        <w:footnoteReference w:customMarkFollows="1" w:id="173"/>
        <w:t>15</w:t>
      </w:r>
    </w:p>
    <w:p w14:paraId="4A65C76C" w14:textId="77777777" w:rsidR="006A7C83" w:rsidRPr="00C7130A"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szCs w:val="26"/>
          <w:rtl/>
          <w14:ligatures w14:val="none"/>
        </w:rPr>
      </w:pPr>
    </w:p>
    <w:p w14:paraId="3DA046D0" w14:textId="77777777" w:rsidR="006A7C83" w:rsidRPr="00C7130A" w:rsidRDefault="006A7C83" w:rsidP="000558B7">
      <w:pPr>
        <w:pStyle w:val="Heading3"/>
        <w:rPr>
          <w:rtl/>
          <w:lang w:bidi="ar-JO"/>
        </w:rPr>
      </w:pPr>
      <w:bookmarkStart w:id="376" w:name="_Toc193031124"/>
      <w:r w:rsidRPr="00C7130A">
        <w:rPr>
          <w:rtl/>
          <w:lang w:bidi="ar-JO"/>
        </w:rPr>
        <w:t>5.</w:t>
      </w:r>
      <w:r w:rsidRPr="00C7130A">
        <w:rPr>
          <w:rtl/>
          <w:lang w:bidi="ar-JO"/>
        </w:rPr>
        <w:tab/>
        <w:t>خلاصة</w:t>
      </w:r>
      <w:bookmarkEnd w:id="376"/>
      <w:r w:rsidRPr="00C7130A">
        <w:rPr>
          <w:rtl/>
          <w:lang w:bidi="ar-JO"/>
        </w:rPr>
        <w:t xml:space="preserve"> </w:t>
      </w:r>
    </w:p>
    <w:p w14:paraId="48C96577" w14:textId="77777777" w:rsidR="006A7C83" w:rsidRPr="00C7130A" w:rsidRDefault="006A7C83" w:rsidP="00507405">
      <w:pPr>
        <w:rPr>
          <w:rtl/>
          <w:lang w:bidi="ar-JO"/>
        </w:rPr>
      </w:pPr>
      <w:r w:rsidRPr="00C7130A">
        <w:rPr>
          <w:rtl/>
          <w:lang w:bidi="ar-JO"/>
        </w:rPr>
        <w:lastRenderedPageBreak/>
        <w:t xml:space="preserve">إن نظرية </w:t>
      </w:r>
      <w:r w:rsidRPr="00C7130A">
        <w:rPr>
          <w:i/>
          <w:iCs/>
          <w:rtl/>
          <w:lang w:bidi="ar-JO"/>
        </w:rPr>
        <w:t xml:space="preserve">المؤرّخ التثنوي التأثر </w:t>
      </w:r>
      <w:r w:rsidRPr="00C7130A">
        <w:rPr>
          <w:rtl/>
          <w:lang w:bidi="ar-JO"/>
        </w:rPr>
        <w:t>نظريّة يروّج لها أشخاص لا يؤمنون بأن الكتاب المقدّس هو كلمة الله الموحى بها.  وهي تنكر التنبؤ بأحداث مستقبلية، وهي لهذا تسلب الله مجده.  يقدّم لنا الكتاب المقدّس حقيقة أن الله يعرف المستقبل، وأنه كان قادراً على أن يكشفه مقدَّماً للكُتّاب البشريين للأسفار المقدّسة (بما في ذلك سبي الأمة قبل مئات السنوات من حدوثه).  يجب أن يكون المرء على إطلاع على هذا التعليم حيث إن كثيراً من الأبحاث المتعلقة بالعهد القديم تفترض هذه النظرية.  ويجب أن يحذر المرء من التصديق الساذج لهذه النظرية الزائفة.</w:t>
      </w:r>
    </w:p>
    <w:p w14:paraId="71466024"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14:ligatures w14:val="none"/>
        </w:rPr>
      </w:pPr>
    </w:p>
    <w:p w14:paraId="33E34415" w14:textId="77777777" w:rsidR="006A7C83" w:rsidRPr="00C7130A" w:rsidRDefault="006A7C83" w:rsidP="00C7130A">
      <w:pPr>
        <w:jc w:val="center"/>
        <w:rPr>
          <w:rFonts w:eastAsia="Times New Roman"/>
          <w:color w:val="A50021"/>
          <w:kern w:val="0"/>
          <w:szCs w:val="32"/>
          <w:rtl/>
          <w:lang w:bidi="ar-JO"/>
          <w14:ligatures w14:val="none"/>
        </w:rPr>
      </w:pPr>
    </w:p>
    <w:p w14:paraId="30B7AEF9" w14:textId="77777777" w:rsidR="006A7C83" w:rsidRPr="00C7130A" w:rsidRDefault="006A7C83" w:rsidP="00C7130A">
      <w:pPr>
        <w:jc w:val="center"/>
        <w:rPr>
          <w:rFonts w:eastAsia="Times New Roman"/>
          <w:color w:val="A50021"/>
          <w:kern w:val="0"/>
          <w:szCs w:val="32"/>
          <w:rtl/>
          <w:lang w:bidi="ar-JO"/>
          <w14:ligatures w14:val="none"/>
        </w:rPr>
      </w:pPr>
    </w:p>
    <w:p w14:paraId="11C05C07" w14:textId="77777777" w:rsidR="006A7C83" w:rsidRPr="00C7130A" w:rsidRDefault="006A7C83" w:rsidP="00C7130A">
      <w:pPr>
        <w:jc w:val="center"/>
        <w:rPr>
          <w:rFonts w:eastAsia="Times New Roman"/>
          <w:color w:val="A50021"/>
          <w:kern w:val="0"/>
          <w:szCs w:val="32"/>
          <w:rtl/>
          <w:lang w:bidi="ar-JO"/>
          <w14:ligatures w14:val="none"/>
        </w:rPr>
      </w:pPr>
    </w:p>
    <w:p w14:paraId="1B973CA8" w14:textId="77777777" w:rsidR="006A7C83" w:rsidRPr="00C7130A" w:rsidRDefault="006A7C83" w:rsidP="00C7130A">
      <w:pPr>
        <w:jc w:val="center"/>
        <w:rPr>
          <w:rFonts w:eastAsia="Times New Roman"/>
          <w:color w:val="A50021"/>
          <w:kern w:val="0"/>
          <w:szCs w:val="32"/>
          <w:rtl/>
          <w:lang w:bidi="ar-JO"/>
          <w14:ligatures w14:val="none"/>
        </w:rPr>
      </w:pPr>
    </w:p>
    <w:p w14:paraId="13FEB0C8" w14:textId="77777777" w:rsidR="006A7C83" w:rsidRPr="00C7130A" w:rsidRDefault="006A7C83" w:rsidP="00C7130A">
      <w:pPr>
        <w:jc w:val="center"/>
        <w:rPr>
          <w:rFonts w:eastAsia="Times New Roman"/>
          <w:color w:val="A50021"/>
          <w:kern w:val="0"/>
          <w:szCs w:val="32"/>
          <w:rtl/>
          <w:lang w:bidi="ar-JO"/>
          <w14:ligatures w14:val="none"/>
        </w:rPr>
      </w:pPr>
    </w:p>
    <w:p w14:paraId="537B6BD3" w14:textId="77777777" w:rsidR="00F57108" w:rsidRPr="00C7130A" w:rsidRDefault="00F57108" w:rsidP="00C7130A">
      <w:pPr>
        <w:tabs>
          <w:tab w:val="left" w:pos="547"/>
          <w:tab w:val="left" w:pos="1094"/>
          <w:tab w:val="left" w:pos="1642"/>
          <w:tab w:val="left" w:pos="2189"/>
          <w:tab w:val="left" w:pos="2736"/>
          <w:tab w:val="left" w:pos="3283"/>
          <w:tab w:val="left" w:pos="3830"/>
          <w:tab w:val="left" w:pos="4378"/>
        </w:tabs>
        <w:spacing w:after="120"/>
        <w:jc w:val="both"/>
        <w:rPr>
          <w:rFonts w:eastAsia="Times New Roman"/>
          <w:bCs/>
          <w:kern w:val="0"/>
          <w:sz w:val="22"/>
          <w:szCs w:val="24"/>
          <w:lang w:bidi="ar-JO"/>
          <w14:ligatures w14:val="none"/>
        </w:rPr>
      </w:pPr>
    </w:p>
    <w:p w14:paraId="73DF2C07" w14:textId="77777777" w:rsidR="006E476E" w:rsidRPr="00C7130A" w:rsidRDefault="006E476E" w:rsidP="000558B7">
      <w:pPr>
        <w:pStyle w:val="Heading3"/>
      </w:pPr>
      <w:r w:rsidRPr="00C7130A">
        <w:br w:type="page"/>
      </w:r>
    </w:p>
    <w:p w14:paraId="4419AA19" w14:textId="4D5ED996" w:rsidR="007518AA" w:rsidRPr="00C7130A" w:rsidRDefault="007518AA" w:rsidP="000558B7">
      <w:pPr>
        <w:pStyle w:val="Heading2B"/>
        <w:rPr>
          <w:rtl/>
        </w:rPr>
      </w:pPr>
      <w:bookmarkStart w:id="377" w:name="_Toc193031125"/>
      <w:r w:rsidRPr="00C7130A">
        <w:rPr>
          <w:rtl/>
        </w:rPr>
        <w:lastRenderedPageBreak/>
        <w:t>الموضوع 2: نظرة عامّة إلى سفر القضاة</w:t>
      </w:r>
      <w:bookmarkEnd w:id="377"/>
      <w:r w:rsidRPr="00C7130A">
        <w:rPr>
          <w:rtl/>
        </w:rPr>
        <w:t xml:space="preserve"> </w:t>
      </w:r>
    </w:p>
    <w:p w14:paraId="172314BD" w14:textId="77777777" w:rsidR="006E476E" w:rsidRPr="00C7130A" w:rsidRDefault="006E476E" w:rsidP="00C7130A">
      <w:pPr>
        <w:pStyle w:val="Heading4RED"/>
        <w:rPr>
          <w:rFonts w:cs="Arabic Typesetting"/>
        </w:rPr>
      </w:pPr>
    </w:p>
    <w:p w14:paraId="5C728159" w14:textId="090E7051" w:rsidR="006311FA" w:rsidRPr="00723EA4" w:rsidRDefault="007518AA" w:rsidP="000558B7">
      <w:pPr>
        <w:pStyle w:val="Heading3"/>
      </w:pPr>
      <w:bookmarkStart w:id="378" w:name="_Toc193031126"/>
      <w:r w:rsidRPr="00723EA4">
        <w:rPr>
          <w:rtl/>
        </w:rPr>
        <w:t>لوحة سفر القضاة</w:t>
      </w:r>
      <w:bookmarkStart w:id="379" w:name="_Hlk178779307"/>
      <w:bookmarkEnd w:id="378"/>
    </w:p>
    <w:bookmarkEnd w:id="379"/>
    <w:p w14:paraId="0F25B01E" w14:textId="77777777" w:rsidR="006E476E" w:rsidRPr="00C7130A" w:rsidRDefault="006E476E" w:rsidP="00C7130A">
      <w:pPr>
        <w:pStyle w:val="Heading4RED"/>
        <w:rPr>
          <w:rFonts w:cs="Arabic Typesetting"/>
        </w:rPr>
      </w:pPr>
    </w:p>
    <w:p w14:paraId="2FD91D95" w14:textId="3D45AF5C" w:rsidR="006311FA" w:rsidRPr="00C7130A" w:rsidRDefault="006A7C83"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noProof/>
          <w:kern w:val="0"/>
          <w:szCs w:val="24"/>
          <w14:ligatures w14:val="none"/>
        </w:rPr>
        <w:drawing>
          <wp:inline distT="0" distB="0" distL="0" distR="0" wp14:anchorId="14808AD4" wp14:editId="12901A17">
            <wp:extent cx="5935980" cy="4297680"/>
            <wp:effectExtent l="0" t="0" r="0" b="0"/>
            <wp:docPr id="16031253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5980" cy="4297680"/>
                    </a:xfrm>
                    <a:prstGeom prst="rect">
                      <a:avLst/>
                    </a:prstGeom>
                    <a:noFill/>
                    <a:ln>
                      <a:noFill/>
                    </a:ln>
                  </pic:spPr>
                </pic:pic>
              </a:graphicData>
            </a:graphic>
          </wp:inline>
        </w:drawing>
      </w:r>
    </w:p>
    <w:p w14:paraId="56848D02" w14:textId="77777777" w:rsidR="00AF5AC6" w:rsidRPr="00C7130A" w:rsidRDefault="00AF5AC6" w:rsidP="00C7130A">
      <w:pPr>
        <w:pStyle w:val="Heading4RED"/>
        <w:rPr>
          <w:rFonts w:cs="Arabic Typesetting"/>
        </w:rPr>
      </w:pPr>
      <w:r w:rsidRPr="00C7130A">
        <w:rPr>
          <w:rFonts w:cs="Arabic Typesetting"/>
        </w:rPr>
        <w:br w:type="page"/>
      </w:r>
    </w:p>
    <w:p w14:paraId="0E38510E" w14:textId="039C41E4" w:rsidR="00CF5CE5" w:rsidRPr="00723EA4" w:rsidRDefault="007518AA" w:rsidP="000558B7">
      <w:pPr>
        <w:pStyle w:val="Heading3"/>
      </w:pPr>
      <w:bookmarkStart w:id="380" w:name="_Toc193031127"/>
      <w:r w:rsidRPr="00723EA4">
        <w:rPr>
          <w:rtl/>
        </w:rPr>
        <w:lastRenderedPageBreak/>
        <w:t xml:space="preserve">التقابل بين </w:t>
      </w:r>
      <w:r w:rsidR="00CF5CE5" w:rsidRPr="00723EA4">
        <w:rPr>
          <w:rtl/>
        </w:rPr>
        <w:t>مقد</w:t>
      </w:r>
      <w:r w:rsidRPr="00723EA4">
        <w:rPr>
          <w:rtl/>
        </w:rPr>
        <w:t>ِّمة</w:t>
      </w:r>
      <w:r w:rsidR="00CF5CE5" w:rsidRPr="00723EA4">
        <w:rPr>
          <w:rtl/>
        </w:rPr>
        <w:t xml:space="preserve"> </w:t>
      </w:r>
      <w:r w:rsidRPr="00723EA4">
        <w:rPr>
          <w:rtl/>
        </w:rPr>
        <w:t xml:space="preserve">سفر </w:t>
      </w:r>
      <w:r w:rsidR="00CF5CE5" w:rsidRPr="00723EA4">
        <w:rPr>
          <w:rtl/>
        </w:rPr>
        <w:t>القضاة وخاتم</w:t>
      </w:r>
      <w:r w:rsidRPr="00723EA4">
        <w:rPr>
          <w:rtl/>
        </w:rPr>
        <w:t>ته</w:t>
      </w:r>
      <w:bookmarkEnd w:id="380"/>
    </w:p>
    <w:p w14:paraId="6CDCC2B2" w14:textId="078190DD" w:rsidR="00F57108" w:rsidRPr="00C7130A" w:rsidRDefault="00F57108" w:rsidP="00C7130A">
      <w:pPr>
        <w:pStyle w:val="Heading4RED"/>
        <w:rPr>
          <w:rFonts w:cs="Arabic Typesetting"/>
        </w:rPr>
      </w:pPr>
    </w:p>
    <w:p w14:paraId="40FD7159" w14:textId="765FF31C" w:rsidR="00AF5AC6" w:rsidRPr="00C7130A" w:rsidRDefault="004A2D91" w:rsidP="00C7130A">
      <w:pPr>
        <w:jc w:val="center"/>
      </w:pPr>
      <w:r w:rsidRPr="00C7130A">
        <w:rPr>
          <w:noProof/>
        </w:rPr>
        <w:drawing>
          <wp:inline distT="0" distB="0" distL="0" distR="0" wp14:anchorId="59FE7627" wp14:editId="1AAE9BFB">
            <wp:extent cx="5943600" cy="2698750"/>
            <wp:effectExtent l="0" t="0" r="0" b="0"/>
            <wp:docPr id="893795159" name="Picture 1"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5159" name="Picture 1" descr="A close-up of a white background&#10;&#10;Description automatically generated"/>
                    <pic:cNvPicPr/>
                  </pic:nvPicPr>
                  <pic:blipFill>
                    <a:blip r:embed="rId84"/>
                    <a:stretch>
                      <a:fillRect/>
                    </a:stretch>
                  </pic:blipFill>
                  <pic:spPr>
                    <a:xfrm>
                      <a:off x="0" y="0"/>
                      <a:ext cx="5943600" cy="2698750"/>
                    </a:xfrm>
                    <a:prstGeom prst="rect">
                      <a:avLst/>
                    </a:prstGeom>
                  </pic:spPr>
                </pic:pic>
              </a:graphicData>
            </a:graphic>
          </wp:inline>
        </w:drawing>
      </w:r>
    </w:p>
    <w:p w14:paraId="7843807D" w14:textId="77777777" w:rsidR="004A2D91" w:rsidRPr="00C7130A" w:rsidRDefault="004A2D91" w:rsidP="000558B7">
      <w:pPr>
        <w:pStyle w:val="Heading3"/>
      </w:pPr>
    </w:p>
    <w:p w14:paraId="3750A656" w14:textId="48E030CC" w:rsidR="006311FA" w:rsidRPr="00C7130A" w:rsidRDefault="00F15553" w:rsidP="000558B7">
      <w:pPr>
        <w:pStyle w:val="Heading2B"/>
      </w:pPr>
      <w:bookmarkStart w:id="381" w:name="_Toc193031128"/>
      <w:bookmarkStart w:id="382" w:name="_Hlk156574170"/>
      <w:bookmarkStart w:id="383" w:name="_Hlk178779321"/>
      <w:r w:rsidRPr="00C7130A">
        <w:rPr>
          <w:rtl/>
        </w:rPr>
        <w:t>الموضوع 3: مُقدِّمة إلى سفر القضاة (قضاة 1: 1 – 3: 31)</w:t>
      </w:r>
      <w:bookmarkEnd w:id="381"/>
      <w:r w:rsidRPr="00C7130A">
        <w:rPr>
          <w:rtl/>
        </w:rPr>
        <w:t xml:space="preserve"> </w:t>
      </w:r>
    </w:p>
    <w:p w14:paraId="2AA12B1E" w14:textId="3B1722A7" w:rsidR="00942124" w:rsidRPr="00C7130A" w:rsidRDefault="00942124"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14:ligatures w14:val="none"/>
        </w:rPr>
      </w:pPr>
      <w:bookmarkStart w:id="384" w:name="_Hlk157180022"/>
      <w:bookmarkEnd w:id="382"/>
      <w:r w:rsidRPr="00C7130A">
        <w:rPr>
          <w:rFonts w:eastAsia="Calibri"/>
          <w:b/>
          <w:caps/>
          <w:noProof/>
          <w:color w:val="006699"/>
          <w:kern w:val="0"/>
          <w:sz w:val="21"/>
          <w:szCs w:val="24"/>
          <w14:ligatures w14:val="none"/>
        </w:rPr>
        <w:drawing>
          <wp:inline distT="0" distB="0" distL="0" distR="0" wp14:anchorId="0E2BDB32" wp14:editId="4384D5C5">
            <wp:extent cx="613692" cy="541464"/>
            <wp:effectExtent l="0" t="0" r="0" b="0"/>
            <wp:docPr id="1371037692" name="Picture 137103769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0410CD" w:rsidRPr="00723EA4">
        <w:rPr>
          <w:rFonts w:eastAsia="Calibri"/>
          <w:bCs/>
          <w:caps/>
          <w:color w:val="006699"/>
          <w:kern w:val="0"/>
          <w:u w:val="single"/>
          <w:rtl/>
          <w14:ligatures w14:val="none"/>
        </w:rPr>
        <w:t>القراءة</w:t>
      </w:r>
      <w:r w:rsidR="000410CD" w:rsidRPr="00C7130A">
        <w:rPr>
          <w:rFonts w:eastAsia="Calibri"/>
          <w:bCs/>
          <w:caps/>
          <w:color w:val="006699"/>
          <w:kern w:val="0"/>
          <w:sz w:val="21"/>
          <w:szCs w:val="24"/>
          <w:u w:val="single"/>
          <w:rtl/>
          <w14:ligatures w14:val="none"/>
        </w:rPr>
        <w:t>:</w:t>
      </w:r>
    </w:p>
    <w:p w14:paraId="03FFFA24" w14:textId="40BF9305" w:rsidR="00942124" w:rsidRPr="00C7130A" w:rsidRDefault="00942124" w:rsidP="00C7130A">
      <w:pPr>
        <w:rPr>
          <w:b/>
          <w:bCs/>
        </w:rPr>
      </w:pPr>
      <w:r w:rsidRPr="00C7130A">
        <w:tab/>
      </w:r>
      <w:r w:rsidRPr="00C7130A">
        <w:tab/>
      </w:r>
      <w:r w:rsidR="000410CD" w:rsidRPr="00C7130A">
        <w:rPr>
          <w:rtl/>
        </w:rPr>
        <w:t xml:space="preserve">اقرأ قضاة 1: 1 – 3: 6، وقضاة 17: 1 – 21: 25 في كتابك المُقدَّس. </w:t>
      </w:r>
    </w:p>
    <w:p w14:paraId="546643D4" w14:textId="77777777" w:rsidR="006A7C83" w:rsidRPr="00C7130A" w:rsidRDefault="006A7C83" w:rsidP="000558B7">
      <w:pPr>
        <w:pStyle w:val="Heading3"/>
        <w:rPr>
          <w:rtl/>
          <w:lang w:bidi="ar-JO"/>
        </w:rPr>
      </w:pPr>
      <w:bookmarkStart w:id="385" w:name="_Toc193031129"/>
      <w:bookmarkEnd w:id="383"/>
      <w:bookmarkEnd w:id="384"/>
      <w:r w:rsidRPr="00C7130A">
        <w:rPr>
          <w:rtl/>
          <w:lang w:bidi="ar-JO"/>
        </w:rPr>
        <w:t>1.</w:t>
      </w:r>
      <w:r w:rsidRPr="00C7130A">
        <w:rPr>
          <w:rtl/>
          <w:lang w:bidi="ar-JO"/>
        </w:rPr>
        <w:tab/>
        <w:t>مقدمة</w:t>
      </w:r>
      <w:bookmarkEnd w:id="385"/>
    </w:p>
    <w:p w14:paraId="7245000B" w14:textId="77777777" w:rsidR="006A7C83" w:rsidRPr="00C7130A" w:rsidRDefault="006A7C83" w:rsidP="00723EA4">
      <w:pPr>
        <w:rPr>
          <w:rtl/>
          <w:lang w:bidi="ar-JO"/>
        </w:rPr>
      </w:pPr>
      <w:r w:rsidRPr="00C7130A">
        <w:rPr>
          <w:rtl/>
          <w:lang w:bidi="ar-JO"/>
        </w:rPr>
        <w:t>يعكس سفر القضاة تلك الفترة من تاريخ إسرائيل التي استخدم فيه الله "قضاة" لكي يكونوا قادة للأمة في لحظة حاسمة.  قبل زمن الملوك لم يكن القضاة حكّاماً سياسيين (بالمعنى الحرفي للكلمة)، أو مرشدين أخلاقيين.  وهم يختلفون عن الملوك الذين جاءوا بعدهم في أنه لم يكن في مقدورهم فرض ضرائب على الشعب أو الاحتفاظ بجيش قائم جاهز.  وفضلاً عن ذلك، لم يكن في مقدورهم توريث سلطتهم إلى أولادهم وأحفادهم.</w:t>
      </w:r>
      <w:r w:rsidRPr="00C7130A">
        <w:rPr>
          <w:sz w:val="30"/>
          <w:szCs w:val="28"/>
          <w:vertAlign w:val="superscript"/>
          <w:rtl/>
          <w:lang w:bidi="ar-JO"/>
        </w:rPr>
        <w:footnoteReference w:customMarkFollows="1" w:id="174"/>
        <w:t>1</w:t>
      </w:r>
      <w:r w:rsidRPr="00C7130A">
        <w:rPr>
          <w:rtl/>
          <w:lang w:bidi="ar-JO"/>
        </w:rPr>
        <w:t xml:space="preserve"> ولم يكن الغرض الرئيسي من وجودهم حتى تسوية الخلافات المدنية، على الرغم من أنهم ربما قاموا بهذه المهمة أحياناً.  بل كان هؤلاء رجالاً (وحتى نساء!) أقامهم الله في أوقات فريدة من أجل إنقاذ لبعض الأسباط أو كلّهم.  ويجب أن يكون هنالك أمر واضح لنا: </w:t>
      </w:r>
      <w:r w:rsidRPr="00C7130A">
        <w:rPr>
          <w:u w:val="single"/>
          <w:rtl/>
          <w:lang w:bidi="ar-JO"/>
        </w:rPr>
        <w:t>لم</w:t>
      </w:r>
      <w:r w:rsidRPr="00C7130A">
        <w:rPr>
          <w:rtl/>
          <w:lang w:bidi="ar-JO"/>
        </w:rPr>
        <w:t xml:space="preserve"> يكن دورهم مرتبطاً بمؤهلهم الأخلاقي </w:t>
      </w:r>
      <w:r w:rsidRPr="00C7130A">
        <w:rPr>
          <w:rtl/>
          <w:lang w:bidi="ar-JO"/>
        </w:rPr>
        <w:lastRenderedPageBreak/>
        <w:t xml:space="preserve">أو الروحي، بل كانوا مجرّد أداة يستخدمها الله في سيادته في إشرافه على الأمّة.  ولا يمكننا حتى التأكد أنه كان هنالك استمرار "للقضاة" في الأمة، إذ كان الله يقيمهم في أوقات تعرّضت فيها الأمة لاضطهاد الأعداء الغرباء. </w:t>
      </w:r>
    </w:p>
    <w:p w14:paraId="5C1F92A4"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r w:rsidRPr="00C7130A">
        <w:rPr>
          <w:rFonts w:eastAsia="Times New Roman"/>
          <w:kern w:val="0"/>
          <w:szCs w:val="26"/>
          <w:rtl/>
          <w:lang w:bidi="ar-JO"/>
          <w14:ligatures w14:val="none"/>
        </w:rPr>
        <w:t xml:space="preserve"> </w:t>
      </w:r>
    </w:p>
    <w:p w14:paraId="4249861A"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تتجاوز فترة القضاة سفر القضاة نفسه.  إذ يوصف صموئيل بأنه "قاضٍ" للأمة (1صموئيل 7: 15).  وعلى الرغم من أن صموئيل حاول أن يعيّن أبناءه قضاة (1صموئيل 8: 1)، فإنه كان من ناحية عملية آخر القضاة، حيث إن ابنيه كانا فاسدين، ولهذا رفضهما شيوخ الأمّة.  وتقع أحداث سفر راعوث أيضاً في فترة القضاة.  وتشهد شواهد كتابية أخرى على أن هذه كانت فترة متميّزة في تاريخ إسرائيل (انظر قضاة 2: 16-19؛ راعوث 1: 1؛ 2صموئيل 7: 11؛ 1أخبار 7: 10؛ 2ملوك 23: 22).</w:t>
      </w:r>
    </w:p>
    <w:p w14:paraId="19AA7C33"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C6B6175"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723EA4">
        <w:rPr>
          <w:rFonts w:eastAsia="Times New Roman"/>
          <w:kern w:val="0"/>
          <w:rtl/>
          <w:lang w:bidi="ar-JO"/>
          <w14:ligatures w14:val="none"/>
        </w:rPr>
        <w:t xml:space="preserve">ربما عند قراءة سفر القضاة أول مرة تكون هناك تجربة أن يُرى السفر كمجموعة من القصص أو سرد لتاريخ الأمّة أثناء تلك الفترة.  لكن كلتا هاتين النظريتين خاطئة.  فالسفر أبعد ما يكون عن قصص فردية لا يربط بينها رابط قوي، فهي روايات مكتوبة بكل حرص، ومعتمدة إحداها على الأخرى، ومرتبطة بها ارتباطاً وثيقاً.  وفضلاً عن ذلك، فإن السفر ليس مجرّد تدوين تاريخي لتلك الفترة، لكنه </w:t>
      </w:r>
      <w:r w:rsidRPr="00723EA4">
        <w:rPr>
          <w:rFonts w:eastAsia="Times New Roman"/>
          <w:i/>
          <w:iCs/>
          <w:kern w:val="0"/>
          <w:rtl/>
          <w:lang w:bidi="ar-JO"/>
          <w14:ligatures w14:val="none"/>
        </w:rPr>
        <w:t xml:space="preserve">تاريخ لاهوتي </w:t>
      </w:r>
      <w:r w:rsidRPr="00723EA4">
        <w:rPr>
          <w:rFonts w:eastAsia="Times New Roman"/>
          <w:kern w:val="0"/>
          <w:rtl/>
          <w:lang w:bidi="ar-JO"/>
          <w14:ligatures w14:val="none"/>
        </w:rPr>
        <w:t>للفترة مبني على روايات اختيرت بكل عناية.  وهذه الروايات مجمَّعة لكي تطرح فكرة لاهوتية جديرة بالاعتبار.  وسأتحدث عن هذا الأمر في مقالتي حول رواية جدعون.</w:t>
      </w:r>
    </w:p>
    <w:p w14:paraId="7E86906E" w14:textId="77777777" w:rsidR="006A7C83" w:rsidRPr="00C7130A" w:rsidRDefault="006A7C83" w:rsidP="000558B7">
      <w:pPr>
        <w:pStyle w:val="Heading3"/>
        <w:rPr>
          <w:rtl/>
          <w:lang w:bidi="ar-JO"/>
        </w:rPr>
      </w:pPr>
      <w:bookmarkStart w:id="386" w:name="_Toc193031130"/>
      <w:r w:rsidRPr="00C7130A">
        <w:rPr>
          <w:rtl/>
          <w:lang w:bidi="ar-JO"/>
        </w:rPr>
        <w:t>2.</w:t>
      </w:r>
      <w:r w:rsidRPr="00C7130A">
        <w:rPr>
          <w:rtl/>
          <w:lang w:bidi="ar-JO"/>
        </w:rPr>
        <w:tab/>
        <w:t>الإطار التاريخي والترتيب الزمني</w:t>
      </w:r>
      <w:bookmarkEnd w:id="386"/>
    </w:p>
    <w:p w14:paraId="0B5FBE61"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يعتمد تاريخ سفر القضاة على الخلاصة التي يتوصل إليها المرء حول تاريخ الخروج.  يُرجع بعض الباحثين الخروج إلى فترة متأخرة (حوالي 1270ق م)، ويرون بذلك مدة قصيراً لفترة القضاة، في حين يفضّل آخرون تاريخاً مبكراً (1446ق م).</w:t>
      </w:r>
      <w:r w:rsidRPr="00723EA4">
        <w:rPr>
          <w:rFonts w:eastAsia="Times New Roman"/>
          <w:kern w:val="0"/>
          <w:vertAlign w:val="superscript"/>
          <w:rtl/>
          <w:lang w:bidi="ar-JO"/>
          <w14:ligatures w14:val="none"/>
        </w:rPr>
        <w:footnoteReference w:customMarkFollows="1" w:id="175"/>
        <w:t>2</w:t>
      </w:r>
      <w:r w:rsidRPr="00723EA4">
        <w:rPr>
          <w:rFonts w:eastAsia="Times New Roman"/>
          <w:kern w:val="0"/>
          <w:rtl/>
          <w:lang w:bidi="ar-JO"/>
          <w14:ligatures w14:val="none"/>
        </w:rPr>
        <w:t xml:space="preserve"> وفي ضوء دراستي الشخصية (متّفقاً مع معظم الباحثين المحافظين)، فإني أُرجع سفر الخروج إلى 1446ق م.</w:t>
      </w:r>
      <w:r w:rsidRPr="00723EA4">
        <w:rPr>
          <w:rFonts w:eastAsia="Times New Roman"/>
          <w:kern w:val="0"/>
          <w:vertAlign w:val="superscript"/>
          <w:rtl/>
          <w:lang w:bidi="ar-JO"/>
          <w14:ligatures w14:val="none"/>
        </w:rPr>
        <w:footnoteReference w:customMarkFollows="1" w:id="176"/>
        <w:t>3</w:t>
      </w:r>
      <w:r w:rsidRPr="00723EA4">
        <w:rPr>
          <w:rFonts w:eastAsia="Times New Roman"/>
          <w:kern w:val="0"/>
          <w:rtl/>
          <w:lang w:bidi="ar-JO"/>
          <w14:ligatures w14:val="none"/>
        </w:rPr>
        <w:t xml:space="preserve"> ويعتمد هذا الرأي على فهم حرفي لـ 1ملوك 6: 1.  وإذا كان تاريخ 1446 صحيحاً، يكون فتح الأرض قد حدث بين 1406-1399ق م.</w:t>
      </w:r>
      <w:r w:rsidRPr="00723EA4">
        <w:rPr>
          <w:rFonts w:eastAsia="Times New Roman"/>
          <w:kern w:val="0"/>
          <w:vertAlign w:val="superscript"/>
          <w:rtl/>
          <w:lang w:bidi="ar-JO"/>
          <w14:ligatures w14:val="none"/>
        </w:rPr>
        <w:footnoteReference w:customMarkFollows="1" w:id="177"/>
        <w:t>4</w:t>
      </w:r>
      <w:r w:rsidRPr="00723EA4">
        <w:rPr>
          <w:rFonts w:eastAsia="Times New Roman"/>
          <w:kern w:val="0"/>
          <w:rtl/>
          <w:lang w:bidi="ar-JO"/>
          <w14:ligatures w14:val="none"/>
        </w:rPr>
        <w:t xml:space="preserve"> وإذا سمحنا بوقت لزوال "جيل يشوع"، فإنه يمكننا أن نًرجع السفر إلى بداية ارتداد إسرائيل وعبادتها للبعل في 1350ق م.</w:t>
      </w:r>
      <w:r w:rsidRPr="00723EA4">
        <w:rPr>
          <w:rFonts w:eastAsia="Times New Roman"/>
          <w:kern w:val="0"/>
          <w:vertAlign w:val="superscript"/>
          <w:rtl/>
          <w:lang w:bidi="ar-JO"/>
          <w14:ligatures w14:val="none"/>
        </w:rPr>
        <w:footnoteReference w:customMarkFollows="1" w:id="178"/>
        <w:t>5</w:t>
      </w:r>
    </w:p>
    <w:p w14:paraId="731750CC"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60839FD6"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lastRenderedPageBreak/>
        <w:t>يقدّم سفر القضاة إشارات ترتيبية زمنية هامة أخرى.  غير أن هنالك عاملاً رئيسياً يتمثل في ذكر قضاة 11: 26 أن احتلال إسرائيل لمنطقة عبر الأردن دام مدة 300 سنة.  فإذا حدث الفتح الأولي لمنطقة عبر الأردن في عام 1406ق م، فإن من شأن هذا أن يجعل يفتاح يشير إلى سنة 1106ق م في حديثه عن السنوات الثلاث مئة.  ونحن نعرف أيضاً أن اضطهاد العمونيين كان قد استمر مدة 18 سنة قبل سنة 1106 (انظر قضاة 10: 8).  ومن هنا فقد بدأ الاضطهاد العمّوني في عام 1124 ف م، واستمر حتى 1106 م.</w:t>
      </w:r>
    </w:p>
    <w:p w14:paraId="3497CD27"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EA62709" w14:textId="2B82AA35"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إذ كانت قضاة 10: 7-8 توحي بأن اضطهاد العمونيين والفلسطينيين بدأ في نفس الوقت (كما يقول ميريل)، يكون الاضطهاد الفلسطيني قد بدأ أيضاً في عام 1124ق م.  وتقول قضاة 13: 1 إن هذا الاضطهاد استمر 40 عاماً.  ومن هنا يؤرّخ الاضطهاد الفلسطيني ما بين 1124-1084ق م.  ونحن نعلم أن شمشون "قضى" لإسرائيل مدة 20 سنة ضمن هذه الفترة (قضاة 15: 20؛ في الجزء الأخير منها على ما يُفترض).</w:t>
      </w:r>
      <w:r w:rsidRPr="00723EA4">
        <w:rPr>
          <w:rFonts w:eastAsia="Times New Roman"/>
          <w:kern w:val="0"/>
          <w:vertAlign w:val="superscript"/>
          <w:rtl/>
          <w:lang w:bidi="ar-JO"/>
          <w14:ligatures w14:val="none"/>
        </w:rPr>
        <w:footnoteReference w:customMarkFollows="1" w:id="179"/>
        <w:t>6</w:t>
      </w:r>
      <w:r w:rsidRPr="00723EA4">
        <w:rPr>
          <w:rFonts w:eastAsia="Times New Roman"/>
          <w:kern w:val="0"/>
          <w:rtl/>
          <w:lang w:bidi="ar-JO"/>
          <w14:ligatures w14:val="none"/>
        </w:rPr>
        <w:t xml:space="preserve"> ومعنى هذا أيضاً أن عام 1084ق م كان تاريخ معركة المصفاة التي قاد فيها صموئيل الأمة إلى النصر على الفلسطينيين               (1صموئيل 7: 11-14).</w:t>
      </w:r>
    </w:p>
    <w:p w14:paraId="07346442"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723EA4">
        <w:rPr>
          <w:rFonts w:eastAsia="Times New Roman"/>
          <w:kern w:val="0"/>
          <w:rtl/>
          <w:lang w:bidi="ar-JO"/>
          <w14:ligatures w14:val="none"/>
        </w:rPr>
        <w:t>ويمكننا لاعتبارات ترتيبية زمنية أُخرى، أن نرجع تقسيم المملكة إلى سنة 931ق م.  وقد حكم كل من شاول وداود وسليمان 40 سنة.  ومن هنا، إذا أضفنا 120 سنة إلى عام 931، يكون لدينا عام 1051ق م تاريخاً لتتويج شاول بصفته الملك الأول.  ومن هنا تمتد فترة القضاة بشكل تقريبي من 1360-1051ق م، أي فترة تقارب 310 سنوات.</w:t>
      </w:r>
      <w:r w:rsidRPr="00723EA4">
        <w:rPr>
          <w:rFonts w:eastAsia="Times New Roman"/>
          <w:kern w:val="0"/>
          <w:vertAlign w:val="superscript"/>
          <w:rtl/>
          <w:lang w:bidi="ar-JO"/>
          <w14:ligatures w14:val="none"/>
        </w:rPr>
        <w:footnoteReference w:customMarkFollows="1" w:id="180"/>
        <w:t>7</w:t>
      </w:r>
    </w:p>
    <w:p w14:paraId="7FF6DF3C"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KW"/>
          <w14:ligatures w14:val="none"/>
        </w:rPr>
      </w:pPr>
    </w:p>
    <w:p w14:paraId="3CDF07E5" w14:textId="77777777" w:rsidR="006A7C83" w:rsidRPr="00C7130A" w:rsidRDefault="006A7C83" w:rsidP="000558B7">
      <w:pPr>
        <w:pStyle w:val="Heading3"/>
        <w:rPr>
          <w:rtl/>
          <w:lang w:bidi="ar-JO"/>
        </w:rPr>
      </w:pPr>
      <w:bookmarkStart w:id="387" w:name="_Toc193031131"/>
      <w:r w:rsidRPr="00C7130A">
        <w:rPr>
          <w:rtl/>
          <w:lang w:bidi="ar-JO"/>
        </w:rPr>
        <w:t>3</w:t>
      </w:r>
      <w:r w:rsidRPr="00C7130A">
        <w:t xml:space="preserve"> </w:t>
      </w:r>
      <w:r w:rsidRPr="00C7130A">
        <w:rPr>
          <w:rtl/>
          <w:lang w:bidi="ar-JO"/>
        </w:rPr>
        <w:t>.</w:t>
      </w:r>
      <w:r w:rsidRPr="00C7130A">
        <w:rPr>
          <w:rtl/>
          <w:lang w:bidi="ar-JO"/>
        </w:rPr>
        <w:tab/>
        <w:t>الأصحاحات الافتتاحية</w:t>
      </w:r>
      <w:bookmarkEnd w:id="387"/>
      <w:r w:rsidRPr="00C7130A">
        <w:rPr>
          <w:rtl/>
          <w:lang w:bidi="ar-JO"/>
        </w:rPr>
        <w:t xml:space="preserve"> </w:t>
      </w:r>
    </w:p>
    <w:p w14:paraId="533EA2D9" w14:textId="7A28387A"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 xml:space="preserve">برز جدل كثير من الأصحاحات الأولى لهذا السفر.  إذ يوجد تكرار محيّر لخبر موت يشوع في قضاة 1: 1و2: 8، يتبع </w:t>
      </w:r>
      <w:r w:rsidR="00BD3343" w:rsidRPr="00723EA4">
        <w:rPr>
          <w:rFonts w:eastAsia="Times New Roman" w:hint="cs"/>
          <w:kern w:val="0"/>
          <w:rtl/>
          <w:lang w:bidi="ar-JO"/>
          <w14:ligatures w14:val="none"/>
        </w:rPr>
        <w:t>كل خبر</w:t>
      </w:r>
      <w:r w:rsidRPr="00723EA4">
        <w:rPr>
          <w:rFonts w:eastAsia="Times New Roman"/>
          <w:kern w:val="0"/>
          <w:rtl/>
          <w:lang w:bidi="ar-JO"/>
          <w14:ligatures w14:val="none"/>
        </w:rPr>
        <w:t xml:space="preserve"> منهما روايات عن فتحٍ وارتداد.  ولقد كان المنهج النقدي المعتاد هو اقتباس هاتين الآيتين كدليل على تقليدين متناقضين لم يتم تنقيحهما بطريقة ناجحة.  وردّاً على ذلك، أقول إن استنتاجهم هذا ينبع من عدم فهمهم لنيّة الكاتب من كتابة السفر.  فمع أن السفر قد يحتوي على إشارتين إلى موت يشوع، فإنه ليس من الضروري إن يؤدي هذا إلى الاستنتاج أنه تم تنقيح روايتين متعارضتين.  إذ يوجد حل أفضل هو إدراك وجود مقدّمة مزدوجة متوافقة مع خاتمة السفر المزدوجة.  وتخدم كل مقدّمة منها غرضاً مختلفاً. </w:t>
      </w:r>
    </w:p>
    <w:p w14:paraId="24FA43B0"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0037D26"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lastRenderedPageBreak/>
        <w:t xml:space="preserve">نجد المقدمة الأولى في قضاة 1: 1-2: 5.  كان سفر يشوع قد انتهى مع بقاء قسم كبير من الأرض دون أن يمتلكه بنو إسرائيل، وبقاء قسم كبير من السكان دون طرد.  ونجد في 1: 1-7 عمليات تطهير لجيوب المقاومة الكنعانية قام بها سبطا يهوذا وشمعون (اللذان سيشكّلان في نهاية الأمر المملكة الجنوبية).  وتؤدي هذه العملية إلى أَسْر أدوني بازق الذي يُساق إلى أورشليم.  ومن هنا يعطي القسم التالي (1: 8-15) رواية سابقة لغزو أورشليم (تحتاج إلى شرح)، ثمّ يوضح الاستيلاء على المنطقة الجبلية الذي يصل ذروته في تخصيص حبرون ودَبِير لكالب.  غير أن من الضروري أن ندرك أن 1: 8-15 </w:t>
      </w:r>
      <w:r w:rsidRPr="00723EA4">
        <w:rPr>
          <w:rFonts w:eastAsia="Times New Roman"/>
          <w:i/>
          <w:iCs/>
          <w:kern w:val="0"/>
          <w:rtl/>
          <w:lang w:bidi="ar-JO"/>
          <w14:ligatures w14:val="none"/>
        </w:rPr>
        <w:t xml:space="preserve">ارتجاع فنّي </w:t>
      </w:r>
      <w:r w:rsidRPr="00723EA4">
        <w:rPr>
          <w:rFonts w:eastAsia="Times New Roman"/>
          <w:kern w:val="0"/>
          <w:rtl/>
          <w:lang w:bidi="ar-JO"/>
          <w14:ligatures w14:val="none"/>
        </w:rPr>
        <w:t>(فلاشباك) يعكس أحداثاً قبل موت يشوع! ثم تستمر الرواية في 1: 16، مبيّنة الفتوحات المستمرّة ليهوذا وشمعون (مع ذكر لبنيامين) في 1: 16-21.</w:t>
      </w:r>
    </w:p>
    <w:p w14:paraId="10E4D5DA"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5ECC4C4"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 xml:space="preserve">وتبيّن قضاة 1: 22-36 باختصار محاولات الغزو لما سيصبح </w:t>
      </w:r>
      <w:r w:rsidRPr="00723EA4">
        <w:rPr>
          <w:rFonts w:eastAsia="Times New Roman"/>
          <w:i/>
          <w:iCs/>
          <w:kern w:val="0"/>
          <w:rtl/>
          <w:lang w:bidi="ar-JO"/>
          <w14:ligatures w14:val="none"/>
        </w:rPr>
        <w:t>الأسباط الشماليين</w:t>
      </w:r>
      <w:r w:rsidRPr="00723EA4">
        <w:rPr>
          <w:rFonts w:eastAsia="Times New Roman"/>
          <w:kern w:val="0"/>
          <w:rtl/>
          <w:lang w:bidi="ar-JO"/>
          <w14:ligatures w14:val="none"/>
        </w:rPr>
        <w:t>، وكانت في معظمها غير ناجحة.  والملاحظة الهامة حول هذا القسم كلّه هي ما يلي: لماذا لا ينجح بنو إسرائيل إلاّ بشكل جزئي في محاولات الفتح؟ قد يكون من قبيل الاستنتاج المتعجّل القول إن سكان الأرض تفوّقوا عليهم وكأنهم من طبقة أعلى، فنحن نقرأ في قضاة 1: 19، "</w:t>
      </w:r>
      <w:r w:rsidRPr="00723EA4">
        <w:rPr>
          <w:rFonts w:eastAsia="Times New Roman"/>
          <w:i/>
          <w:iCs/>
          <w:kern w:val="0"/>
          <w:rtl/>
          <w:lang w:bidi="ar-JO"/>
          <w14:ligatures w14:val="none"/>
        </w:rPr>
        <w:t>وكان الرب مع يهوذا، فملك الجبل، ولكن لم يطرد سكان الوادي لأن لهم مركبات من حديد.</w:t>
      </w:r>
      <w:r w:rsidRPr="00723EA4">
        <w:rPr>
          <w:rFonts w:eastAsia="Times New Roman"/>
          <w:kern w:val="0"/>
          <w:rtl/>
          <w:lang w:bidi="ar-JO"/>
          <w14:ligatures w14:val="none"/>
        </w:rPr>
        <w:t xml:space="preserve">"  لاشك أن تلك كانت عقبة كبيرة، لكن ما هذه إلاّ نظرة من المنظور البشري. </w:t>
      </w:r>
    </w:p>
    <w:p w14:paraId="5745725C"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فلا شك أن المركبات الحديدية كانت ميّزة للعدو، لكن الحالات العديدة للتدخل الإلهي من قبل يهوه يجب أن تدفعنا إلى النظر بعمق أكبر.  وفي حقيقة الأمر، لسنا مضطرين إلى البحث بعيداً، لأن المشاهد الأخيرة في "المقدمة الأولى" تقدّم لنا الحل الحقيقي (من المنظور الإلهي).  ففي المشهد الأخير (قضاة 2: 1-5) يُجمع الشعب في بوكيم ويوبّخون على عدم تطهير الأرض من عبادة الأوثان.</w:t>
      </w:r>
    </w:p>
    <w:p w14:paraId="1E41277D" w14:textId="19147BC5"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23EA4">
        <w:rPr>
          <w:rFonts w:eastAsia="Times New Roman"/>
          <w:kern w:val="0"/>
          <w:rtl/>
          <w:lang w:bidi="ar-JO"/>
          <w14:ligatures w14:val="none"/>
        </w:rPr>
        <w:t>... وقلتُ: لا أنكثُ عهدي معكم إلى الأبد.  وأنتم فلا تقطعوا عهداً مع سكّان هذه الأرض.  اهدموا مذابحهم.  ولم تسمعوا لصوتي.  فماذا عملتم؟ فقلتُ أيضاً: لا أطردُهم من أمامكم، بل يكونون لكم مضايقين، وتكون آلهتهم لكم شركاً (قضاة 2: 1-3).</w:t>
      </w:r>
    </w:p>
    <w:p w14:paraId="4494A7BF"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5F43337"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ومن هنا يصبح الغرض من المقدّمة الأولى واضحاً: فهي تشرح سبب النجاح الجزئي فقط للاحتلال بعد الفتح.</w:t>
      </w:r>
    </w:p>
    <w:p w14:paraId="545D7CE0" w14:textId="7460DBBE"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والآن، وبعد أن ذكر السفر</w:t>
      </w:r>
      <w:r w:rsidR="000410CD" w:rsidRPr="00723EA4">
        <w:rPr>
          <w:rFonts w:eastAsia="Times New Roman"/>
          <w:kern w:val="0"/>
          <w:rtl/>
          <w:lang w:bidi="ar-JO"/>
          <w14:ligatures w14:val="none"/>
        </w:rPr>
        <w:t xml:space="preserve"> </w:t>
      </w:r>
      <w:r w:rsidRPr="00723EA4">
        <w:rPr>
          <w:rFonts w:eastAsia="Times New Roman"/>
          <w:kern w:val="0"/>
          <w:rtl/>
          <w:lang w:bidi="ar-JO"/>
          <w14:ligatures w14:val="none"/>
        </w:rPr>
        <w:t>سبب عدم نجاح الاحتلال بعد الغزو إلاّ بشكل جزئي،  فإنه يقدِّم "مقدّمة ثانية" في قضاة 2: 6-3: 6.  وبما أنَّ لهذا القسم غرضاً مختلفاً بعض الشيء، فسيرجع الكاتب مرّة أخرى إلى يشوع.  ومن هنا نقرأ في 2: 6: "</w:t>
      </w:r>
      <w:r w:rsidRPr="00723EA4">
        <w:rPr>
          <w:rFonts w:eastAsia="Times New Roman"/>
          <w:i/>
          <w:iCs/>
          <w:kern w:val="0"/>
          <w:u w:val="single"/>
          <w:rtl/>
          <w:lang w:bidi="ar-JO"/>
          <w14:ligatures w14:val="none"/>
        </w:rPr>
        <w:t>وصرف</w:t>
      </w:r>
      <w:r w:rsidRPr="00723EA4">
        <w:rPr>
          <w:rFonts w:eastAsia="Times New Roman"/>
          <w:i/>
          <w:iCs/>
          <w:kern w:val="0"/>
          <w:rtl/>
          <w:lang w:bidi="ar-JO"/>
          <w14:ligatures w14:val="none"/>
        </w:rPr>
        <w:t xml:space="preserve"> يشوع </w:t>
      </w:r>
      <w:r w:rsidRPr="00723EA4">
        <w:rPr>
          <w:rFonts w:eastAsia="Times New Roman"/>
          <w:i/>
          <w:iCs/>
          <w:kern w:val="0"/>
          <w:u w:val="single"/>
          <w:rtl/>
          <w:lang w:bidi="ar-JO"/>
          <w14:ligatures w14:val="none"/>
        </w:rPr>
        <w:t>الشعب</w:t>
      </w:r>
      <w:r w:rsidRPr="00723EA4">
        <w:rPr>
          <w:rFonts w:eastAsia="Times New Roman"/>
          <w:i/>
          <w:iCs/>
          <w:kern w:val="0"/>
          <w:rtl/>
          <w:lang w:bidi="ar-JO"/>
          <w14:ligatures w14:val="none"/>
        </w:rPr>
        <w:t xml:space="preserve">، فذهب بنو إسرائيل </w:t>
      </w:r>
      <w:r w:rsidRPr="00723EA4">
        <w:rPr>
          <w:rFonts w:eastAsia="Times New Roman"/>
          <w:i/>
          <w:iCs/>
          <w:kern w:val="0"/>
          <w:u w:val="single"/>
          <w:rtl/>
          <w:lang w:bidi="ar-JO"/>
          <w14:ligatures w14:val="none"/>
        </w:rPr>
        <w:t>كل واحد إلى مُلكه</w:t>
      </w:r>
      <w:r w:rsidRPr="00723EA4">
        <w:rPr>
          <w:rFonts w:eastAsia="Times New Roman"/>
          <w:i/>
          <w:iCs/>
          <w:kern w:val="0"/>
          <w:rtl/>
          <w:lang w:bidi="ar-JO"/>
          <w14:ligatures w14:val="none"/>
        </w:rPr>
        <w:t xml:space="preserve"> من اجل امتلاك الأرض.</w:t>
      </w:r>
      <w:r w:rsidRPr="00723EA4">
        <w:rPr>
          <w:rFonts w:eastAsia="Times New Roman"/>
          <w:kern w:val="0"/>
          <w:rtl/>
          <w:lang w:bidi="ar-JO"/>
          <w14:ligatures w14:val="none"/>
        </w:rPr>
        <w:t>"  يذكرنا هذا التصريح بقوّة بيشوع 24: 28: "</w:t>
      </w:r>
      <w:r w:rsidRPr="00723EA4">
        <w:rPr>
          <w:rFonts w:eastAsia="Times New Roman"/>
          <w:i/>
          <w:iCs/>
          <w:kern w:val="0"/>
          <w:rtl/>
          <w:lang w:bidi="ar-JO"/>
          <w14:ligatures w14:val="none"/>
        </w:rPr>
        <w:t xml:space="preserve">ثم صرف يشوع الشعب كل واحد إلى مُلكه </w:t>
      </w:r>
      <w:r w:rsidRPr="00723EA4">
        <w:rPr>
          <w:rFonts w:eastAsia="Times New Roman"/>
          <w:kern w:val="0"/>
          <w:rtl/>
          <w:lang w:bidi="ar-JO"/>
          <w14:ligatures w14:val="none"/>
        </w:rPr>
        <w:t>(ميراثه)."  وهكذا فإن القصد من قضاة 2: 6 فصاعداً هو أن يعيدنا إلى تجديد العهد في شكيم والمسجل في يشوع 24.  كان هذا الحدث نقطة هامة في تاريخ الأمة، ووقتاً لتوكيد ولائهم ليهوه.  ومن هنا نقرأ في يشوع 24: 31: "</w:t>
      </w:r>
      <w:r w:rsidRPr="00723EA4">
        <w:rPr>
          <w:rFonts w:eastAsia="Times New Roman"/>
          <w:i/>
          <w:iCs/>
          <w:kern w:val="0"/>
          <w:rtl/>
          <w:lang w:bidi="ar-JO"/>
          <w14:ligatures w14:val="none"/>
        </w:rPr>
        <w:t>وعبَدَ إسرائيل الرب كل أيّام يشوع، وكل أيّام الشيوخ الذين طالت أيّامهم بعد يشوع والذين عرفوا كل عمل الرب الذي عمله لإسرائيل.</w:t>
      </w:r>
      <w:r w:rsidRPr="00723EA4">
        <w:rPr>
          <w:rFonts w:eastAsia="Times New Roman"/>
          <w:kern w:val="0"/>
          <w:rtl/>
          <w:lang w:bidi="ar-JO"/>
          <w14:ligatures w14:val="none"/>
        </w:rPr>
        <w:t xml:space="preserve">" يريد كاتب سفر القضاة أن </w:t>
      </w:r>
      <w:r w:rsidRPr="00723EA4">
        <w:rPr>
          <w:rFonts w:eastAsia="Times New Roman"/>
          <w:kern w:val="0"/>
          <w:rtl/>
          <w:lang w:bidi="ar-JO"/>
          <w14:ligatures w14:val="none"/>
        </w:rPr>
        <w:lastRenderedPageBreak/>
        <w:t>يذكّرنا بأن توكيد هذا الولاء قد تم مؤخّراً في شكيم، لأنه يوجد تباعُد مُتزايد عنه بعد زمن يشوع: "</w:t>
      </w:r>
      <w:r w:rsidRPr="00723EA4">
        <w:rPr>
          <w:rFonts w:eastAsia="Times New Roman"/>
          <w:i/>
          <w:iCs/>
          <w:kern w:val="0"/>
          <w:rtl/>
          <w:lang w:bidi="ar-JO"/>
          <w14:ligatures w14:val="none"/>
        </w:rPr>
        <w:t>وكل ذلك الجيل أيضاً انضم إلى آبائه، وقام بعدهم جيل آخر لم يعرف الرب، ولا العمل الذي عمل لإسرائيل</w:t>
      </w:r>
      <w:r w:rsidRPr="00723EA4">
        <w:rPr>
          <w:rFonts w:eastAsia="Times New Roman"/>
          <w:kern w:val="0"/>
          <w:rtl/>
          <w:lang w:bidi="ar-JO"/>
          <w14:ligatures w14:val="none"/>
        </w:rPr>
        <w:t xml:space="preserve">"  (قضاة 2: 10).  وبالمناسبة، هذا يفسّر سبب قيام الرب </w:t>
      </w:r>
      <w:r w:rsidR="000410CD" w:rsidRPr="00723EA4">
        <w:rPr>
          <w:rFonts w:eastAsia="Times New Roman"/>
          <w:kern w:val="0"/>
          <w:rtl/>
          <w:lang w:bidi="ar-JO"/>
          <w14:ligatures w14:val="none"/>
        </w:rPr>
        <w:t>بالتشديد</w:t>
      </w:r>
      <w:r w:rsidRPr="00723EA4">
        <w:rPr>
          <w:rFonts w:eastAsia="Times New Roman"/>
          <w:kern w:val="0"/>
          <w:rtl/>
          <w:lang w:bidi="ar-JO"/>
          <w14:ligatures w14:val="none"/>
        </w:rPr>
        <w:t xml:space="preserve"> كثيراً على الإرشاد ونقل الإيمان من الأب إلى الابن (انظر خروج 13 وتثنية 6).</w:t>
      </w:r>
    </w:p>
    <w:p w14:paraId="218C8A8C"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7ABE94A"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بعد أن بيّن الكاتب نقص الجيل التالي، لن يلجأ في بقية القسم (2: 11-3: 6) إلى تفصيل الانتصارات والهزائم (كما رأينا في المقدّمة الأولى).  لكنه يضع المبادئ التي سيتعامل الرب بموجبها مع شعبه الذين رفضوا أن يتخلّصوا من عبادة الأوثان.  عصى بنو إسرائيل وذلك بتسامحهم مع المذابح الكنعانية الوثنية (الإبقاء عليها) وبقطع عهود مع سكّان الأرض.  وهكذا استجاب الله بأن جعل من المستحيل على بني إسرائيل أن يطردوا الكنعانيين. ومع أن الله كان في الأصل يريد إبادة الكنعانيين تماماً، إلاّ أنه عدل عن مشيئته هذه بسبب عصيان الشعب.  وبدلاً من إبادة الكنعانيين، فإنه سيجعلهم يبقون، وسيستخدمهم لتأديب شعبه.  يُعِد هذا الأمر المسرح للسفر كلّه: سيتأثر بنو إسرائيل بالكنعانيين المتبقّين، وسينسون يهوه، وسينجرفون في الارتداد.  وعلى الرغم من "البدايات الجديدة" العديدة، إلاّ أن نفس الشيء سيحدث مرّة تلو الأخرى.</w:t>
      </w:r>
    </w:p>
    <w:p w14:paraId="092179DA"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وستقع أثناء هذه الفترة أحداث يقوم فيها غزاة أجنبيّون بغزو الأرض، وسيقيم الله "قضاة" لكي يواجهوا هذه التهديدات.  وسيسجل لنا معظم السفر (3: 7-15: 20) سلسلة من الغزوات وإقامة قضاة.  لكن "المقدمة الثانية" ستتوسع في الحديث عن هذه المبادئ التي ستعمل أثناء هذه الفترة.  وتكشف الآيات 2: 11-19 النمط العام الذي سيحدث مرة بعد مرة عبر هذه المشاهد:</w:t>
      </w:r>
    </w:p>
    <w:p w14:paraId="644C5BFC"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23EA4">
        <w:rPr>
          <w:rFonts w:eastAsia="Times New Roman"/>
          <w:kern w:val="0"/>
          <w:rtl/>
          <w:lang w:bidi="ar-JO"/>
          <w14:ligatures w14:val="none"/>
        </w:rPr>
        <w:t>1)</w:t>
      </w:r>
      <w:r w:rsidRPr="00723EA4">
        <w:rPr>
          <w:rFonts w:eastAsia="Times New Roman"/>
          <w:kern w:val="0"/>
          <w:rtl/>
          <w:lang w:bidi="ar-JO"/>
          <w14:ligatures w14:val="none"/>
        </w:rPr>
        <w:tab/>
        <w:t>تفعل الأمة الشر وتترك يهوه،</w:t>
      </w:r>
    </w:p>
    <w:p w14:paraId="6071D0CD"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23EA4">
        <w:rPr>
          <w:rFonts w:eastAsia="Times New Roman"/>
          <w:kern w:val="0"/>
          <w:rtl/>
          <w:lang w:bidi="ar-JO"/>
          <w14:ligatures w14:val="none"/>
        </w:rPr>
        <w:t>2)</w:t>
      </w:r>
      <w:r w:rsidRPr="00723EA4">
        <w:rPr>
          <w:rFonts w:eastAsia="Times New Roman"/>
          <w:kern w:val="0"/>
          <w:rtl/>
          <w:lang w:bidi="ar-JO"/>
          <w14:ligatures w14:val="none"/>
        </w:rPr>
        <w:tab/>
        <w:t>يرسل يهوه "ناهِبين" لكي يغزوا الأرض ويخرّبوها؛</w:t>
      </w:r>
    </w:p>
    <w:p w14:paraId="096424CA"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23EA4">
        <w:rPr>
          <w:rFonts w:eastAsia="Times New Roman"/>
          <w:kern w:val="0"/>
          <w:rtl/>
          <w:lang w:bidi="ar-JO"/>
          <w14:ligatures w14:val="none"/>
        </w:rPr>
        <w:t>3)</w:t>
      </w:r>
      <w:r w:rsidRPr="00723EA4">
        <w:rPr>
          <w:rFonts w:eastAsia="Times New Roman"/>
          <w:kern w:val="0"/>
          <w:rtl/>
          <w:lang w:bidi="ar-JO"/>
          <w14:ligatures w14:val="none"/>
        </w:rPr>
        <w:tab/>
        <w:t>يصل الشعب إلى مرحلة يأس ويصرخون طالبين الإنقاذ،</w:t>
      </w:r>
    </w:p>
    <w:p w14:paraId="61E40477"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23EA4">
        <w:rPr>
          <w:rFonts w:eastAsia="Times New Roman"/>
          <w:kern w:val="0"/>
          <w:rtl/>
          <w:lang w:bidi="ar-JO"/>
          <w14:ligatures w14:val="none"/>
        </w:rPr>
        <w:t>4)</w:t>
      </w:r>
      <w:r w:rsidRPr="00723EA4">
        <w:rPr>
          <w:rFonts w:eastAsia="Times New Roman"/>
          <w:kern w:val="0"/>
          <w:rtl/>
          <w:lang w:bidi="ar-JO"/>
          <w14:ligatures w14:val="none"/>
        </w:rPr>
        <w:tab/>
        <w:t>يتحنن يهوه ويقيم قاضياً لتخليص الأمة (يحافظ هذا القاضي أحياناً على عدالة الحكم مدة حياته)؛</w:t>
      </w:r>
    </w:p>
    <w:p w14:paraId="038C3415"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723EA4">
        <w:rPr>
          <w:rFonts w:eastAsia="Times New Roman"/>
          <w:kern w:val="0"/>
          <w:rtl/>
          <w:lang w:bidi="ar-JO"/>
          <w14:ligatures w14:val="none"/>
        </w:rPr>
        <w:t>5)</w:t>
      </w:r>
      <w:r w:rsidRPr="00723EA4">
        <w:rPr>
          <w:rFonts w:eastAsia="Times New Roman"/>
          <w:kern w:val="0"/>
          <w:rtl/>
          <w:lang w:bidi="ar-JO"/>
          <w14:ligatures w14:val="none"/>
        </w:rPr>
        <w:tab/>
        <w:t>ستعود الأمة إلى الارتداد وستتصرف بشكل فاسد أكثر من ذي قبل.</w:t>
      </w:r>
    </w:p>
    <w:p w14:paraId="34B6BDDB"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 xml:space="preserve">يمكننا القول في ضوء هذا النمط إن القسم الأوسط من السفر </w:t>
      </w:r>
      <w:r w:rsidRPr="00723EA4">
        <w:rPr>
          <w:rFonts w:eastAsia="Times New Roman"/>
          <w:i/>
          <w:iCs/>
          <w:kern w:val="0"/>
          <w:rtl/>
          <w:lang w:bidi="ar-JO"/>
          <w14:ligatures w14:val="none"/>
        </w:rPr>
        <w:t>دائري</w:t>
      </w:r>
      <w:r w:rsidRPr="00723EA4">
        <w:rPr>
          <w:rFonts w:eastAsia="Times New Roman"/>
          <w:kern w:val="0"/>
          <w:rtl/>
          <w:lang w:bidi="ar-JO"/>
          <w14:ligatures w14:val="none"/>
        </w:rPr>
        <w:t xml:space="preserve">، لأن هذا النمط يتكرر مرّة بعد أخرى.  ويبدو أن هذا يخدم غرضاً، ألا وهو تبيان أن الأمة لا تتعلّم أبداً... فهم يستمرّون في فشلهم ولا يصبحون مع الزمن إلا أكثر إصراراً على عصيانهم.  لكن علينا أن نكون حذرين في استخدمنا كلمة "دائري" أو "دورة"، إذْ لسنا أمام مجرّد تكرار للدورة بنفس الطريقة كل مرّة.  فهنالك انحطاط مع تقدّم الزمن، ويوجد </w:t>
      </w:r>
      <w:r w:rsidRPr="00723EA4">
        <w:rPr>
          <w:rFonts w:eastAsia="Times New Roman"/>
          <w:i/>
          <w:iCs/>
          <w:kern w:val="0"/>
          <w:rtl/>
          <w:lang w:bidi="ar-JO"/>
          <w14:ligatures w14:val="none"/>
        </w:rPr>
        <w:t>قدْر متناسب من القسوة</w:t>
      </w:r>
      <w:r w:rsidRPr="00723EA4">
        <w:rPr>
          <w:rFonts w:eastAsia="Times New Roman"/>
          <w:kern w:val="0"/>
          <w:rtl/>
          <w:lang w:bidi="ar-JO"/>
          <w14:ligatures w14:val="none"/>
        </w:rPr>
        <w:t xml:space="preserve"> في طريقة تعامل الله مع كل دورة.  نقرأ في قضاة 2: 19:</w:t>
      </w:r>
    </w:p>
    <w:p w14:paraId="619E452F"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23EA4">
        <w:rPr>
          <w:rFonts w:eastAsia="Times New Roman"/>
          <w:kern w:val="0"/>
          <w:rtl/>
          <w:lang w:bidi="ar-JO"/>
          <w14:ligatures w14:val="none"/>
        </w:rPr>
        <w:t>وعند موت القاضي كانوا يرجعون ويفسدون أكثر من آبائهم، بالذهاب وراء أخرى ليعبدوها ويسجدوا لها.  لم يكفّوا عن أفعالهم وطريقهم القاسية.</w:t>
      </w:r>
    </w:p>
    <w:p w14:paraId="0FD118FC"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lastRenderedPageBreak/>
        <w:t xml:space="preserve">من هنا فإن </w:t>
      </w:r>
      <w:r w:rsidRPr="00723EA4">
        <w:rPr>
          <w:rFonts w:eastAsia="Times New Roman"/>
          <w:i/>
          <w:iCs/>
          <w:kern w:val="0"/>
          <w:rtl/>
          <w:lang w:bidi="ar-JO"/>
          <w14:ligatures w14:val="none"/>
        </w:rPr>
        <w:t>للمقدمة الثانية</w:t>
      </w:r>
      <w:r w:rsidRPr="00723EA4">
        <w:rPr>
          <w:rFonts w:eastAsia="Times New Roman"/>
          <w:kern w:val="0"/>
          <w:rtl/>
          <w:lang w:bidi="ar-JO"/>
          <w14:ligatures w14:val="none"/>
        </w:rPr>
        <w:t xml:space="preserve"> غرضاً متميّزاً بالمقارنة مع المقدّمة الأولى: ستوضح هذه المقدّمة النمط الذي سيتعامل الله بموجبه مع الأمّة مستقبلاً.</w:t>
      </w:r>
    </w:p>
    <w:p w14:paraId="63B82727" w14:textId="6F3434C6"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 xml:space="preserve">وتُعطى أسباب أخرى لعدم استطاعة إسرائيل طرد أعدائها: (1) بقي الأعداء في الأرض لكي يكونوا امتحاناً لولاء إسرائيل (قضاة 2: 21-23؛ 3: 4)؛ (2) بقي الأعداء كأدوات تأديب للأمة بيد يهوه (2: 14-15).  </w:t>
      </w:r>
    </w:p>
    <w:p w14:paraId="2AC2F86F"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723EA4">
        <w:rPr>
          <w:rFonts w:eastAsia="Times New Roman"/>
          <w:kern w:val="0"/>
          <w:rtl/>
          <w:lang w:bidi="ar-JO"/>
          <w14:ligatures w14:val="none"/>
        </w:rPr>
        <w:t>نخلُص إذاً إلى أن سفر القضاة ليس رواية أو طبعة سيّئة التنقيح، مبنية على روايتين تاريخيتين متناقضتين، تتضمن إعلانين لخبر موت يشوع.  بل توجد لدينا مقدّمتان متميّزتان لكل واحدة منهما غرضها الخاص:</w:t>
      </w:r>
    </w:p>
    <w:p w14:paraId="14C17811"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723EA4">
        <w:rPr>
          <w:rFonts w:eastAsia="Times New Roman"/>
          <w:kern w:val="0"/>
          <w:rtl/>
          <w:lang w:bidi="ar-JO"/>
          <w14:ligatures w14:val="none"/>
        </w:rPr>
        <w:t>المقدّمة الأولى (1: 1-2: 5) – تشرح سبب نجاح الاحتلال التالي للفتح بشكل جزئي فقط (رفض الشعب أن يطهّروا الأرض من عبادة الأوثان).</w:t>
      </w:r>
    </w:p>
    <w:p w14:paraId="5D27F16D" w14:textId="77777777" w:rsidR="006A7C83"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23EA4">
        <w:rPr>
          <w:rFonts w:eastAsia="Times New Roman"/>
          <w:kern w:val="0"/>
          <w:rtl/>
          <w:lang w:bidi="ar-JO"/>
          <w14:ligatures w14:val="none"/>
        </w:rPr>
        <w:t>المقدّمة الثانية (2: 6-3: 6) تشرح كيف سيتعامل الرب مع الأمّة مستقبلاً (باستخدام قوّة أجنبية من أجل امتحان ولائهم ومن أجل تأديبهم)</w:t>
      </w:r>
    </w:p>
    <w:p w14:paraId="5D8C7EA9" w14:textId="77777777" w:rsidR="003074EA" w:rsidRPr="00723EA4" w:rsidRDefault="003074EA"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6065C6DA" w14:textId="77777777" w:rsidR="006A7C83" w:rsidRPr="00C7130A" w:rsidRDefault="006A7C83" w:rsidP="000558B7">
      <w:pPr>
        <w:pStyle w:val="Heading3"/>
        <w:rPr>
          <w:rtl/>
          <w:lang w:bidi="ar-JO"/>
        </w:rPr>
      </w:pPr>
      <w:bookmarkStart w:id="388" w:name="_Toc193031132"/>
      <w:r w:rsidRPr="00C7130A">
        <w:rPr>
          <w:rtl/>
          <w:lang w:bidi="ar-JO"/>
        </w:rPr>
        <w:t>4.</w:t>
      </w:r>
      <w:r w:rsidRPr="00C7130A">
        <w:rPr>
          <w:rtl/>
          <w:lang w:bidi="ar-JO"/>
        </w:rPr>
        <w:tab/>
        <w:t>المنظور الواسع</w:t>
      </w:r>
      <w:bookmarkEnd w:id="388"/>
    </w:p>
    <w:p w14:paraId="3B8A7462"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 xml:space="preserve">ليس سفر القضاة، كما سبق أن ذكرت، مجرّد رواية لتاريخ إسرائيل في هذه الفترة.  ويتضح هذا من ملاحظة الإطار الكتابي للسفر: </w:t>
      </w:r>
    </w:p>
    <w:p w14:paraId="499FAF9D"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0E20F5FA"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2189266E" w14:textId="77777777" w:rsidR="006A7C83" w:rsidRPr="00C7130A" w:rsidRDefault="006A7C83" w:rsidP="00C7130A">
      <w:pPr>
        <w:rPr>
          <w:rFonts w:eastAsia="Times New Roman"/>
          <w:kern w:val="0"/>
          <w:szCs w:val="18"/>
          <w:rtl/>
          <w14:ligatures w14:val="none"/>
        </w:rPr>
      </w:pPr>
    </w:p>
    <w:p w14:paraId="2593FCB0" w14:textId="77777777" w:rsidR="006A7C83" w:rsidRPr="00C7130A" w:rsidRDefault="006A7C83" w:rsidP="00C7130A">
      <w:pPr>
        <w:jc w:val="center"/>
        <w:rPr>
          <w:rFonts w:eastAsia="Times New Roman"/>
          <w:kern w:val="0"/>
          <w:szCs w:val="18"/>
          <w:rtl/>
          <w14:ligatures w14:val="none"/>
        </w:rPr>
      </w:pPr>
      <w:r w:rsidRPr="00C7130A">
        <w:rPr>
          <w:rFonts w:eastAsia="Times New Roman"/>
          <w:kern w:val="0"/>
          <w:szCs w:val="18"/>
          <w14:ligatures w14:val="none"/>
        </w:rPr>
        <w:object w:dxaOrig="3600" w:dyaOrig="1260" w14:anchorId="68926CD6">
          <v:shape id="_x0000_i1042" type="#_x0000_t75" style="width:396.6pt;height:138pt" o:ole="">
            <v:imagedata r:id="rId85" o:title=""/>
          </v:shape>
          <o:OLEObject Type="Embed" ProgID="PowerPoint.Show.8" ShapeID="_x0000_i1042" DrawAspect="Content" ObjectID="_1803892157" r:id="rId86"/>
        </w:object>
      </w:r>
    </w:p>
    <w:p w14:paraId="3951C4A7" w14:textId="77777777" w:rsidR="006A7C83" w:rsidRPr="00C7130A" w:rsidRDefault="006A7C83" w:rsidP="00C7130A">
      <w:pPr>
        <w:rPr>
          <w:rFonts w:eastAsia="Times New Roman"/>
          <w:kern w:val="0"/>
          <w:szCs w:val="18"/>
          <w:rtl/>
          <w:lang w:bidi="ar-KW"/>
          <w14:ligatures w14:val="none"/>
        </w:rPr>
      </w:pPr>
    </w:p>
    <w:p w14:paraId="10F216E8" w14:textId="77777777" w:rsidR="006A7C83" w:rsidRPr="00C7130A" w:rsidRDefault="006A7C83" w:rsidP="00C7130A">
      <w:pPr>
        <w:rPr>
          <w:rFonts w:eastAsia="Times New Roman"/>
          <w:kern w:val="0"/>
          <w:szCs w:val="18"/>
          <w:rtl/>
          <w:lang w:bidi="ar-KW"/>
          <w14:ligatures w14:val="none"/>
        </w:rPr>
      </w:pPr>
    </w:p>
    <w:p w14:paraId="32658CC3" w14:textId="77777777" w:rsidR="006A7C83" w:rsidRPr="00C7130A" w:rsidRDefault="006A7C83" w:rsidP="00C7130A">
      <w:pPr>
        <w:rPr>
          <w:rFonts w:eastAsia="Times New Roman"/>
          <w:kern w:val="0"/>
          <w:szCs w:val="18"/>
          <w:rtl/>
          <w:lang w:bidi="ar-KW"/>
          <w14:ligatures w14:val="none"/>
        </w:rPr>
      </w:pPr>
    </w:p>
    <w:p w14:paraId="7CD5DD71" w14:textId="08988D64"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 xml:space="preserve">عندما نلاحظ سفر القضاة من منظور أوسع، فإننا مجبرون على أن نسأل: ما الخطأ الذي حدث؟ هل كان الرب عاجزاً عن تأمين حماية لشعبه؟ من الواضح أن العيب لم يكن في الرب.  لقد قصد لسفر القضاة أن يشكّل جسراً من سفر </w:t>
      </w:r>
      <w:r w:rsidRPr="00723EA4">
        <w:rPr>
          <w:rFonts w:eastAsia="Times New Roman"/>
          <w:kern w:val="0"/>
          <w:rtl/>
          <w:lang w:bidi="ar-JO"/>
          <w14:ligatures w14:val="none"/>
        </w:rPr>
        <w:lastRenderedPageBreak/>
        <w:t xml:space="preserve">التثنية إلى تتويج ملك في 1صموئيل.  قدّم لنا سفر التثنية المبادئ التي سيتعامل الرب بموجبها مع أمّة العهد التي هي </w:t>
      </w:r>
      <w:r w:rsidRPr="00723EA4">
        <w:rPr>
          <w:rFonts w:eastAsia="Times New Roman"/>
          <w:i/>
          <w:iCs/>
          <w:kern w:val="0"/>
          <w:rtl/>
          <w:lang w:bidi="ar-JO"/>
          <w14:ligatures w14:val="none"/>
        </w:rPr>
        <w:t xml:space="preserve">تحت الشريعة </w:t>
      </w:r>
      <w:r w:rsidR="00BD3343" w:rsidRPr="00723EA4">
        <w:rPr>
          <w:rFonts w:eastAsia="Times New Roman" w:hint="cs"/>
          <w:i/>
          <w:iCs/>
          <w:kern w:val="0"/>
          <w:rtl/>
          <w:lang w:bidi="ar-JO"/>
          <w14:ligatures w14:val="none"/>
        </w:rPr>
        <w:t xml:space="preserve">الموسوية </w:t>
      </w:r>
      <w:r w:rsidR="00BD3343" w:rsidRPr="00723EA4">
        <w:rPr>
          <w:rFonts w:eastAsia="Times New Roman" w:hint="cs"/>
          <w:kern w:val="0"/>
          <w:rtl/>
          <w:lang w:bidi="ar-JO"/>
          <w14:ligatures w14:val="none"/>
        </w:rPr>
        <w:t>(</w:t>
      </w:r>
      <w:r w:rsidRPr="00723EA4">
        <w:rPr>
          <w:rFonts w:eastAsia="Times New Roman"/>
          <w:kern w:val="0"/>
          <w:rtl/>
          <w:lang w:bidi="ar-JO"/>
          <w14:ligatures w14:val="none"/>
        </w:rPr>
        <w:t>انظر تثنية 28-30)، فهو سيباركهم عندما يطيعون، وسيلعنهم (يؤدّبهم) عندما يعصون.  وسيكون استخدامه للقوة الأجنبية التي تغزو الأرض جزءاً من تأديبه.  ويقدّم سفر القضاة الدليل على فشل إسرائيل في أن ترتفع إلى مستوى بنود العهد لمدة 300 سنة.  فالأمور لا تتحسن؛ بل تسوء.</w:t>
      </w:r>
    </w:p>
    <w:p w14:paraId="339D38A1"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19246A4" w14:textId="20E371BB"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 xml:space="preserve">وفشلهم أمر لا عذر له مطلقاً، خاصة في ضوء طقس شكيم الاحتفالي في ختام سفر </w:t>
      </w:r>
      <w:r w:rsidR="00BD3343" w:rsidRPr="00723EA4">
        <w:rPr>
          <w:rFonts w:eastAsia="Times New Roman" w:hint="cs"/>
          <w:kern w:val="0"/>
          <w:rtl/>
          <w:lang w:bidi="ar-JO"/>
          <w14:ligatures w14:val="none"/>
        </w:rPr>
        <w:t>يشوع؛ إذ</w:t>
      </w:r>
      <w:r w:rsidRPr="00723EA4">
        <w:rPr>
          <w:rFonts w:eastAsia="Times New Roman"/>
          <w:kern w:val="0"/>
          <w:rtl/>
          <w:lang w:bidi="ar-JO"/>
          <w14:ligatures w14:val="none"/>
        </w:rPr>
        <w:t xml:space="preserve"> كان الشعب قد أعلنوا: "نعبد الرب لأنه هو إلهنا." (يشوع 24: 18).  وقد نبّههم يشوع حتى في ذلك الحين:</w:t>
      </w:r>
    </w:p>
    <w:p w14:paraId="53ACC65D"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723EA4">
        <w:rPr>
          <w:rFonts w:eastAsia="Times New Roman"/>
          <w:kern w:val="0"/>
          <w:rtl/>
          <w:lang w:bidi="ar-JO"/>
          <w14:ligatures w14:val="none"/>
        </w:rPr>
        <w:t>إله غيور هو؛ لا يغفر ذنوبكم وخطاياكم.  وإذا تركتم الرب وعبدتم آلهة غريبة، يرجع فيسيء إليكم بعد أن أحسن إليكم.           (يشوع 24: 19-20)</w:t>
      </w:r>
    </w:p>
    <w:p w14:paraId="2642ADE3"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0656E35"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كان تحذير يشوع نبوياً بالفعل، لأن الشعب فشلوا بشكل ذريع على مدى فترة القضاة.  وعند وصولنا إلى نهاية السفر، ندرك أن هنالك حاجة إلى تغيير جذري، وأن التغيير سيكون بداية إدخال "الحكم الملكي".  وعلى الرغم من أن إسرائيل ستطلب "ملِكاً" (1صموئيل 8)، وهو طلب مبني على دوافع غير نقية، فإنَّ القصد من سفر القضاة هو أن يمهّد الطريق لمجيء الملوك.  ومن هنا نسمع التعليقات المتكررة في خاتمة الكتاب: "</w:t>
      </w:r>
      <w:r w:rsidRPr="00723EA4">
        <w:rPr>
          <w:rFonts w:eastAsia="Times New Roman"/>
          <w:i/>
          <w:iCs/>
          <w:kern w:val="0"/>
          <w:rtl/>
          <w:lang w:bidi="ar-JO"/>
          <w14:ligatures w14:val="none"/>
        </w:rPr>
        <w:t>وفي تلك الأيام لم يكن ملك في إسرائيل.</w:t>
      </w:r>
      <w:r w:rsidRPr="00723EA4">
        <w:rPr>
          <w:rFonts w:eastAsia="Times New Roman"/>
          <w:kern w:val="0"/>
          <w:rtl/>
          <w:lang w:bidi="ar-JO"/>
          <w14:ligatures w14:val="none"/>
        </w:rPr>
        <w:t xml:space="preserve">" (17: 6؛ 18: 1؛ 19: 1؛ 21؛ 25).  يهدف سفر القضاة إلى أن يكون شاهداً على فشل إسرائيل في أن ترتفع إلى مستوى بنود العهد التي كان يمكن لله أن يباركهم بموجبها تحت الحكم الثيوقراطي (الديني / الإلهي)، ومن هنا فإنه يعدّ المسرح لمحاولة إقامة حكم ملكي.  </w:t>
      </w:r>
    </w:p>
    <w:p w14:paraId="6E41A8E3"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7F91129" w14:textId="77777777" w:rsidR="006A7C83" w:rsidRPr="00723EA4"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723EA4">
        <w:rPr>
          <w:rFonts w:eastAsia="Times New Roman"/>
          <w:kern w:val="0"/>
          <w:rtl/>
          <w:lang w:bidi="ar-JO"/>
          <w14:ligatures w14:val="none"/>
        </w:rPr>
        <w:t xml:space="preserve">ولسوء الحظ، فإنه لا يمكن لملك بشري (هو نفسه خاطئ) أن يكون العلاج لمشكلة الشعب الحقيقية.  فحاجتهم الحقيقية هي إلى "قلب جديد" (وهو ما سيقدّمه </w:t>
      </w:r>
      <w:r w:rsidRPr="00723EA4">
        <w:rPr>
          <w:rFonts w:eastAsia="Times New Roman"/>
          <w:i/>
          <w:iCs/>
          <w:kern w:val="0"/>
          <w:rtl/>
          <w:lang w:bidi="ar-JO"/>
          <w14:ligatures w14:val="none"/>
        </w:rPr>
        <w:t>العهد الجديد</w:t>
      </w:r>
      <w:r w:rsidRPr="00723EA4">
        <w:rPr>
          <w:rFonts w:eastAsia="Times New Roman"/>
          <w:kern w:val="0"/>
          <w:rtl/>
          <w:lang w:bidi="ar-JO"/>
          <w14:ligatures w14:val="none"/>
        </w:rPr>
        <w:t xml:space="preserve">).  لكن الله سيأتي في خطّته الرائعة بـ "ملك مثالي" (انظر 2 صموئيل 7) سيعطي الشعب قلباً جديداً عن طريق عهد جديد.  ومن هنا كان من المحتّم أن تتجه </w:t>
      </w:r>
      <w:r w:rsidRPr="00723EA4">
        <w:rPr>
          <w:rFonts w:eastAsia="Times New Roman"/>
          <w:i/>
          <w:iCs/>
          <w:kern w:val="0"/>
          <w:rtl/>
          <w:lang w:bidi="ar-JO"/>
          <w14:ligatures w14:val="none"/>
        </w:rPr>
        <w:t>القصّة</w:t>
      </w:r>
      <w:r w:rsidRPr="00723EA4">
        <w:rPr>
          <w:rFonts w:eastAsia="Times New Roman"/>
          <w:kern w:val="0"/>
          <w:rtl/>
          <w:lang w:bidi="ar-JO"/>
          <w14:ligatures w14:val="none"/>
        </w:rPr>
        <w:t xml:space="preserve"> في اتجاه إيجاد ملك، لأنه سيكون في نهاية الأمر الوسيلة التي سينجز الله من خلالها مقاصده لأمة إسرائيل ويحقق وعده باستخدام إسرائيل لمباركة جميع قبائل الأرض (تكوين 12: 1-3).  ولأن بني إسرائيل يفشلون تحت حكم القضاة، فإنهم يتوجّهون بطلب ملك، لكي يكون لهم في يوم ما الملك النهائي الأسمى... الرب يسوع المسيح.</w:t>
      </w:r>
    </w:p>
    <w:p w14:paraId="5914461B"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sz w:val="18"/>
          <w:szCs w:val="20"/>
          <w14:ligatures w14:val="none"/>
        </w:rPr>
      </w:pPr>
    </w:p>
    <w:p w14:paraId="79D26F71" w14:textId="77777777" w:rsidR="006A7C83" w:rsidRPr="00C7130A" w:rsidRDefault="006A7C83" w:rsidP="00C7130A">
      <w:pPr>
        <w:jc w:val="center"/>
        <w:rPr>
          <w:rFonts w:eastAsia="Times New Roman"/>
          <w:color w:val="A50021"/>
          <w:kern w:val="0"/>
          <w:szCs w:val="32"/>
          <w:rtl/>
          <w:lang w:bidi="ar-JO"/>
          <w14:ligatures w14:val="none"/>
        </w:rPr>
      </w:pPr>
    </w:p>
    <w:p w14:paraId="20B0E801" w14:textId="77777777" w:rsidR="00723EA4" w:rsidRDefault="000410CD" w:rsidP="000558B7">
      <w:pPr>
        <w:pStyle w:val="Heading2B"/>
      </w:pPr>
      <w:bookmarkStart w:id="389" w:name="_Toc193031133"/>
      <w:r w:rsidRPr="00C7130A">
        <w:rPr>
          <w:rtl/>
        </w:rPr>
        <w:t>الموضوع 4: قصّة جدعون بوصفها النقطة المركزيّة في سفر القضاة (قضاة 3: 7 – 16: 31)</w:t>
      </w:r>
      <w:bookmarkStart w:id="390" w:name="_Hlk178779340"/>
      <w:bookmarkEnd w:id="389"/>
    </w:p>
    <w:p w14:paraId="3D5F609B" w14:textId="583C69BA" w:rsidR="00942124" w:rsidRPr="00C7130A" w:rsidRDefault="00942124"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14:ligatures w14:val="none"/>
        </w:rPr>
      </w:pPr>
      <w:r w:rsidRPr="00C7130A">
        <w:rPr>
          <w:rFonts w:eastAsia="Calibri"/>
          <w:b/>
          <w:caps/>
          <w:noProof/>
          <w:color w:val="006699"/>
          <w:kern w:val="0"/>
          <w:sz w:val="21"/>
          <w:szCs w:val="24"/>
          <w14:ligatures w14:val="none"/>
        </w:rPr>
        <w:lastRenderedPageBreak/>
        <w:drawing>
          <wp:inline distT="0" distB="0" distL="0" distR="0" wp14:anchorId="0D0D5A4A" wp14:editId="544D7D8E">
            <wp:extent cx="613692" cy="541464"/>
            <wp:effectExtent l="0" t="0" r="0" b="0"/>
            <wp:docPr id="568136169" name="Picture 568136169"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0410CD" w:rsidRPr="00D97CEB">
        <w:rPr>
          <w:rFonts w:eastAsia="Calibri"/>
          <w:bCs/>
          <w:caps/>
          <w:color w:val="006699"/>
          <w:kern w:val="0"/>
          <w:u w:val="single"/>
          <w:rtl/>
          <w14:ligatures w14:val="none"/>
        </w:rPr>
        <w:t>القراءة</w:t>
      </w:r>
      <w:r w:rsidR="000410CD" w:rsidRPr="00C7130A">
        <w:rPr>
          <w:rFonts w:eastAsia="Calibri"/>
          <w:bCs/>
          <w:caps/>
          <w:color w:val="006699"/>
          <w:kern w:val="0"/>
          <w:sz w:val="21"/>
          <w:szCs w:val="24"/>
          <w:u w:val="single"/>
          <w:rtl/>
          <w14:ligatures w14:val="none"/>
        </w:rPr>
        <w:t>:</w:t>
      </w:r>
    </w:p>
    <w:p w14:paraId="0F09FBCB" w14:textId="14C27FD0" w:rsidR="00942124" w:rsidRPr="00C7130A" w:rsidRDefault="00942124" w:rsidP="00C7130A">
      <w:pPr>
        <w:rPr>
          <w:b/>
          <w:bCs/>
        </w:rPr>
      </w:pPr>
      <w:r w:rsidRPr="00C7130A">
        <w:tab/>
      </w:r>
      <w:r w:rsidRPr="00C7130A">
        <w:tab/>
      </w:r>
      <w:r w:rsidR="000410CD" w:rsidRPr="00C7130A">
        <w:rPr>
          <w:rtl/>
        </w:rPr>
        <w:t xml:space="preserve">اقرأ قضاة 3: 7 – 16: 31 في كتابك المُقدَّس. </w:t>
      </w:r>
    </w:p>
    <w:bookmarkEnd w:id="390"/>
    <w:p w14:paraId="6F93ECDD" w14:textId="77777777" w:rsidR="001426DA" w:rsidRPr="00C7130A" w:rsidRDefault="001426DA" w:rsidP="00C7130A">
      <w:pPr>
        <w:tabs>
          <w:tab w:val="left" w:pos="0"/>
          <w:tab w:val="left" w:pos="540"/>
          <w:tab w:val="left" w:pos="1080"/>
          <w:tab w:val="left" w:pos="1620"/>
          <w:tab w:val="left" w:pos="2160"/>
          <w:tab w:val="left" w:pos="2700"/>
          <w:tab w:val="left" w:pos="3240"/>
          <w:tab w:val="left" w:pos="3780"/>
          <w:tab w:val="left" w:pos="4320"/>
          <w:tab w:val="left" w:pos="4860"/>
        </w:tabs>
        <w:spacing w:after="200"/>
        <w:contextualSpacing/>
        <w:rPr>
          <w:rFonts w:eastAsia="Calibri"/>
          <w:kern w:val="0"/>
          <w:szCs w:val="24"/>
          <w14:ligatures w14:val="none"/>
        </w:rPr>
      </w:pPr>
    </w:p>
    <w:p w14:paraId="7A74399D"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lang w:bidi="ar-JO"/>
          <w14:ligatures w14:val="none"/>
        </w:rPr>
      </w:pPr>
    </w:p>
    <w:p w14:paraId="57D339FD" w14:textId="77777777" w:rsidR="006A7C83" w:rsidRPr="00D97CEB"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D97CEB">
        <w:rPr>
          <w:rFonts w:eastAsia="Times New Roman"/>
          <w:kern w:val="0"/>
          <w:rtl/>
          <w:lang w:bidi="ar-JO"/>
          <w14:ligatures w14:val="none"/>
        </w:rPr>
        <w:t xml:space="preserve">ملاحظة: نشرت هذه المقالة تحت نفس العنوان في </w:t>
      </w:r>
      <w:r w:rsidRPr="00D97CEB">
        <w:rPr>
          <w:rFonts w:eastAsia="Times New Roman"/>
          <w:i/>
          <w:iCs/>
          <w:kern w:val="0"/>
          <w14:ligatures w14:val="none"/>
        </w:rPr>
        <w:t>BibSac</w:t>
      </w:r>
      <w:r w:rsidRPr="00D97CEB">
        <w:rPr>
          <w:rFonts w:eastAsia="Times New Roman"/>
          <w:kern w:val="0"/>
          <w:rtl/>
          <w:lang w:bidi="ar-JO"/>
          <w14:ligatures w14:val="none"/>
        </w:rPr>
        <w:t xml:space="preserve"> في عام 1992 [انظر </w:t>
      </w:r>
      <w:r w:rsidRPr="00D97CEB">
        <w:rPr>
          <w:rFonts w:eastAsia="Times New Roman"/>
          <w:kern w:val="0"/>
          <w14:ligatures w14:val="none"/>
        </w:rPr>
        <w:t>J. Paul Tanner, “The Gideon Narrative as the Focal Point of Judges,” Bibliotheca Sacra 149: 594 (Apr-Jun 1992): 146-61].</w:t>
      </w:r>
      <w:r w:rsidRPr="00D97CEB">
        <w:rPr>
          <w:rFonts w:eastAsia="Times New Roman"/>
          <w:kern w:val="0"/>
          <w:rtl/>
          <w14:ligatures w14:val="none"/>
        </w:rPr>
        <w:t xml:space="preserve"> </w:t>
      </w:r>
      <w:r w:rsidRPr="00D97CEB">
        <w:rPr>
          <w:rFonts w:eastAsia="Times New Roman"/>
          <w:kern w:val="0"/>
          <w:rtl/>
          <w:lang w:bidi="ar-JO"/>
          <w14:ligatures w14:val="none"/>
        </w:rPr>
        <w:t>والمادة المقدّمة هنا هي نفس المادة الواردة في المقالة الأصلية، مع بعض التغييرات الطفيفة في التنسيق لكي تتناسب مع أسلوب هذه الملاحظات.</w:t>
      </w:r>
    </w:p>
    <w:p w14:paraId="5D6485C9"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14:ligatures w14:val="none"/>
        </w:rPr>
      </w:pPr>
    </w:p>
    <w:p w14:paraId="746D58EB" w14:textId="77777777" w:rsidR="006A7C83" w:rsidRPr="00C7130A" w:rsidRDefault="006A7C83" w:rsidP="000558B7">
      <w:pPr>
        <w:pStyle w:val="Heading3"/>
        <w:rPr>
          <w:rtl/>
        </w:rPr>
      </w:pPr>
      <w:bookmarkStart w:id="391" w:name="_Toc193031134"/>
      <w:r w:rsidRPr="00C7130A">
        <w:rPr>
          <w:rtl/>
          <w:lang w:bidi="ar-JO"/>
        </w:rPr>
        <w:t>1.</w:t>
      </w:r>
      <w:r w:rsidRPr="00C7130A">
        <w:rPr>
          <w:rtl/>
          <w:lang w:bidi="ar-JO"/>
        </w:rPr>
        <w:tab/>
        <w:t>مقدمة</w:t>
      </w:r>
      <w:bookmarkEnd w:id="391"/>
      <w:r w:rsidRPr="00C7130A">
        <w:rPr>
          <w:rtl/>
          <w:lang w:bidi="ar-JO"/>
        </w:rPr>
        <w:t xml:space="preserve"> </w:t>
      </w:r>
    </w:p>
    <w:p w14:paraId="21F9149A"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2F37CE">
        <w:rPr>
          <w:rFonts w:eastAsia="Times New Roman"/>
          <w:kern w:val="0"/>
          <w:rtl/>
          <w:lang w:bidi="ar-JO"/>
          <w14:ligatures w14:val="none"/>
        </w:rPr>
        <w:t>على الرغم من الاعتراف بفخامة الشعر العبري منذ زمن بعيد، إلاّ أنه لم ُيعطَ اهتمام كافٍ للرواية الأدبية العبرية.  غير أن العقود الثلاثة الأخيرة شهدت نقلة كبيرة في الاهتمام بجانبي بنية الرواية العبرية وأسلوبها.  وقد أثبتت الدراسات أن الروايات السردية العبرية القديمة أُلِّفت بعناية، واستُخدمت فيها تقنيات أدبية متطورة راقية.</w:t>
      </w:r>
      <w:r w:rsidRPr="002F37CE">
        <w:rPr>
          <w:rFonts w:eastAsia="Times New Roman"/>
          <w:kern w:val="0"/>
          <w:vertAlign w:val="superscript"/>
          <w:rtl/>
          <w:lang w:bidi="ar-JO"/>
          <w14:ligatures w14:val="none"/>
        </w:rPr>
        <w:footnoteReference w:customMarkFollows="1" w:id="181"/>
        <w:t>1</w:t>
      </w:r>
      <w:r w:rsidRPr="002F37CE">
        <w:rPr>
          <w:rFonts w:eastAsia="Times New Roman"/>
          <w:kern w:val="0"/>
          <w:rtl/>
          <w:lang w:bidi="ar-JO"/>
          <w14:ligatures w14:val="none"/>
        </w:rPr>
        <w:t xml:space="preserve"> وإن أحد الوجوه المثيرة للاهتمام لهذا الفن الروائي هو ترتيب بنية العمل الأدبي بواسطة استخدام الأنماط النصّية.</w:t>
      </w:r>
      <w:r w:rsidRPr="002F37CE">
        <w:rPr>
          <w:rFonts w:eastAsia="Times New Roman"/>
          <w:kern w:val="0"/>
          <w:vertAlign w:val="superscript"/>
          <w:rtl/>
          <w:lang w:bidi="ar-JO"/>
          <w14:ligatures w14:val="none"/>
        </w:rPr>
        <w:footnoteReference w:customMarkFollows="1" w:id="182"/>
        <w:t>2</w:t>
      </w:r>
    </w:p>
    <w:p w14:paraId="6B981AB4"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p>
    <w:p w14:paraId="45456586"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F37CE">
        <w:rPr>
          <w:rFonts w:eastAsia="Times New Roman"/>
          <w:kern w:val="0"/>
          <w:rtl/>
          <w:lang w:bidi="ar-JO"/>
          <w14:ligatures w14:val="none"/>
        </w:rPr>
        <w:t>تقدّم هذه المقالة دراسة بلاغية للبنية في الرواية العبرية، التي يمكن أن نطلق عليها تسمية "التنميط النصّي" (</w:t>
      </w:r>
      <w:r w:rsidRPr="002F37CE">
        <w:rPr>
          <w:rFonts w:eastAsia="Times New Roman"/>
          <w:kern w:val="0"/>
          <w14:ligatures w14:val="none"/>
        </w:rPr>
        <w:t>Textual Patterning</w:t>
      </w:r>
      <w:r w:rsidRPr="002F37CE">
        <w:rPr>
          <w:rFonts w:eastAsia="Times New Roman"/>
          <w:kern w:val="0"/>
          <w:rtl/>
          <w:lang w:bidi="ar-JO"/>
          <w14:ligatures w14:val="none"/>
        </w:rPr>
        <w:t>)، أي استخدام الأنماط في النص.  ثم سأقوم بتطبيقها على سفر القضاة، خاصة على رواية جدعون في قضاة 6-8، حيث إن هذا القسم يشكّل النقطة المحوريّة للسفر.  وتسعى هذه المقالة أيضاً إلى إيضاح أهمية هذا البحث بالقول إن التنميط النصّي (استخدام الأنماط في النص) في رواية جدعون يسهم في الرسالة اللاهوتية للسفر.</w:t>
      </w:r>
    </w:p>
    <w:p w14:paraId="1254A285" w14:textId="77777777" w:rsidR="006A7C83" w:rsidRPr="00C7130A" w:rsidRDefault="006A7C83" w:rsidP="000558B7">
      <w:pPr>
        <w:pStyle w:val="Heading3"/>
        <w:rPr>
          <w:rtl/>
          <w:lang w:bidi="ar-JO"/>
        </w:rPr>
      </w:pPr>
      <w:bookmarkStart w:id="392" w:name="_Toc193031135"/>
      <w:r w:rsidRPr="00C7130A">
        <w:rPr>
          <w:rtl/>
          <w:lang w:bidi="ar-JO"/>
        </w:rPr>
        <w:t>2.</w:t>
      </w:r>
      <w:r w:rsidRPr="00C7130A">
        <w:rPr>
          <w:rtl/>
          <w:lang w:bidi="ar-JO"/>
        </w:rPr>
        <w:tab/>
        <w:t>التنميط النصّي في الرواية العبرية</w:t>
      </w:r>
      <w:bookmarkEnd w:id="392"/>
      <w:r w:rsidRPr="00C7130A">
        <w:rPr>
          <w:rtl/>
          <w:lang w:bidi="ar-JO"/>
        </w:rPr>
        <w:t xml:space="preserve"> </w:t>
      </w:r>
    </w:p>
    <w:p w14:paraId="53EB7DD0"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 xml:space="preserve">بسبب خلفية المناهج النقدية التقليدية للكتاب المقدس العبري، شهدت العقود الثلاثة الأخيرة بروز الحاجة إلى نهج توفيقي للنص، على خلفية المناهج الانتقادية التقليدية للأسفار العبرية.  فقد أدّى الاهتمام بالشكل القانوني للنص إلى اكتشاف </w:t>
      </w:r>
      <w:r w:rsidRPr="002F37CE">
        <w:rPr>
          <w:rFonts w:eastAsia="Times New Roman"/>
          <w:kern w:val="0"/>
          <w:rtl/>
          <w:lang w:bidi="ar-JO"/>
          <w14:ligatures w14:val="none"/>
        </w:rPr>
        <w:lastRenderedPageBreak/>
        <w:t>حالات متكررة تمّ فيها تشكيل النص العبري وتنميطه من حيث البُنية.  وقد أسفرت نتائج مثل تلك المناهج عن بعض التوازن في الأساليب الانتقادية التاريخية المتطرفة، وبيّنت أيضاً أن التنميط البُنْيَوي للنص يمكن أن يكون مفتاحاً هاماً في فهم التوكيد اللاهوتي للرواية.</w:t>
      </w:r>
    </w:p>
    <w:p w14:paraId="0C4688EE"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8FFC950"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وظّف بعض الباحثين، في نهجهم التوفيقي في تناول الرواية السردية العبرية، الأسلوب المعروف باسم "التركيبية" أو "البنيوية".</w:t>
      </w:r>
      <w:r w:rsidRPr="002F37CE">
        <w:rPr>
          <w:rFonts w:eastAsia="Times New Roman"/>
          <w:kern w:val="0"/>
          <w:vertAlign w:val="superscript"/>
          <w:rtl/>
          <w:lang w:bidi="ar-JO"/>
          <w14:ligatures w14:val="none"/>
        </w:rPr>
        <w:footnoteReference w:customMarkFollows="1" w:id="183"/>
        <w:t>3</w:t>
      </w:r>
      <w:r w:rsidRPr="002F37CE">
        <w:rPr>
          <w:rFonts w:eastAsia="Times New Roman"/>
          <w:kern w:val="0"/>
          <w:rtl/>
          <w:lang w:bidi="ar-JO"/>
          <w14:ligatures w14:val="none"/>
        </w:rPr>
        <w:t xml:space="preserve"> ويجب أن يميَّز هذا النهج الذي برز من ميدان النقد الأدبي الدنيوي عن النهج المتناول هنا، لأن "التركيبية" أو "البنيوية" لا تركّز على الجوانب السطحية الرسمية التي تحدد بنية النص.  وفضلاً عن ذلك، فإنها لا تهدف إلى تفسير النص، مُنقصةً بذلك من فائدته كما عند معظم الباحثين النقديين.  وبشكل عام فإن "التركيبية" أو "البنيوية" تعاني من العبثية الكامنة وراء محاولة فرض أسلوب أدبي غربي محض على نصوص شرقية قديمة بدلاً من استنباط الأساليب المتّبعة بطريقة موضوعية.</w:t>
      </w:r>
    </w:p>
    <w:p w14:paraId="57DAB40A"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C39C363"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غير أن دراسة النقد البلاغي ترتبط بملاحظة التركيب الشكلي الظاهر للنصوص الروائية.  وعلى الرغم من أن النقد البلاغي ليس مقصوراً على هذا الأمر، إلاّ أنه يشمله على الأقل.  وكما يتصوّر جيمس مولنبرغ، الباحث الرائد في هذا المجال من الدراسة، فإن النقد البلاغي مهتم بمسائل أسلوبية كثيرة جدّاً، خاصة السمات الفريدة لأية رواية (وقد اعتبر مولنبرغ أن عدم الالتفات إلى السمات الفريدة عيب من عيوب "النقد الشكلي").</w:t>
      </w:r>
      <w:r w:rsidRPr="002F37CE">
        <w:rPr>
          <w:rFonts w:eastAsia="Times New Roman"/>
          <w:kern w:val="0"/>
          <w:vertAlign w:val="superscript"/>
          <w:rtl/>
          <w:lang w:bidi="ar-JO"/>
          <w14:ligatures w14:val="none"/>
        </w:rPr>
        <w:footnoteReference w:customMarkFollows="1" w:id="184"/>
        <w:t>4</w:t>
      </w:r>
    </w:p>
    <w:p w14:paraId="4F09B269"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يشير النقد البلاغي إلى مجموعة كبيرة من السمات الأدبية، بما فيها تكرار المفردات (وأشباه الجمل والجمل والأفكار)، والتماثل في العبارات الافتتاحية والختامية والتصالب (</w:t>
      </w:r>
      <w:r w:rsidRPr="002F37CE">
        <w:rPr>
          <w:rFonts w:eastAsia="Times New Roman"/>
          <w:kern w:val="0"/>
          <w14:ligatures w14:val="none"/>
        </w:rPr>
        <w:t>Chiasm</w:t>
      </w:r>
      <w:r w:rsidRPr="002F37CE">
        <w:rPr>
          <w:rFonts w:eastAsia="Times New Roman"/>
          <w:kern w:val="0"/>
          <w:rtl/>
          <w:lang w:bidi="ar-JO"/>
          <w14:ligatures w14:val="none"/>
        </w:rPr>
        <w:t>)، والتركيب الأدبي، والمواضع الاستراتيجية للحروف والأدوات (أل التعريف مثلاً)، واستخدام التوازي، والتلاعب بالكلمات، والجِناس، ومن هنا فإن النقد البلاغي نهج توفيقي مختص بأمور الأسلوب والتركيب والنسيج.  إن "التنميط البلاغي" مصطلح يشير إلى استخدام الأنماط "التركيبية" أو "البنيوية"  في النص الكتابي.</w:t>
      </w:r>
    </w:p>
    <w:p w14:paraId="420E5351"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lastRenderedPageBreak/>
        <w:t>لاحظ الباحثون عدداً من الأنواع الشائعة من الأنماط النصّية: التناوب، التركيب الحَلَقي أو الدائري، التماثل في العبارات الافتتاحية والختامية، والتصالُبات، والتوازي، والميل إلى الانكفاء الذاتي، ووحدة المراكز.</w:t>
      </w:r>
      <w:r w:rsidRPr="002F37CE">
        <w:rPr>
          <w:rFonts w:eastAsia="Times New Roman"/>
          <w:kern w:val="0"/>
          <w:vertAlign w:val="superscript"/>
          <w:rtl/>
          <w:lang w:bidi="ar-JO"/>
          <w14:ligatures w14:val="none"/>
        </w:rPr>
        <w:footnoteReference w:customMarkFollows="1" w:id="185"/>
        <w:t>5</w:t>
      </w:r>
      <w:r w:rsidRPr="002F37CE">
        <w:rPr>
          <w:rFonts w:eastAsia="Times New Roman"/>
          <w:kern w:val="0"/>
          <w:rtl/>
          <w:lang w:bidi="ar-JO"/>
          <w14:ligatures w14:val="none"/>
        </w:rPr>
        <w:t xml:space="preserve"> هذه الأنماط هامّة من نواحٍ كثيرة.  أولاً، إنها مفيدة في توكيد روابط الوحدة الأدبية.  ثانياً، يمكن لنمطي الانكفاء الذاتي ووحدة المراكز أن يشير إلى النقاط الهامّة في الوحدة الأدبية أو أن يحدّدا نقطة التحوّل في تطوّر الحبكة.  ويمكن لاستخدام نمط التمثال في العبارات الافتتاحية والختامية لا أن يعطي توكيداً على أمر معيّن فحسب، لكن يمكن أن يكون استخدامه كإطار لوحدة أدبية مفيداً أيضاً في تمييز الأنماط النصّية ضمن الوحدة.</w:t>
      </w:r>
    </w:p>
    <w:p w14:paraId="3A9F16DA"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C170A38" w14:textId="77777777" w:rsidR="003074EA" w:rsidRDefault="006A7C83" w:rsidP="003074E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يمكن أن يكون التنميط النصّي بسيطاً أو معقّداً.  فعلى سبيل المثال، قد تكون عناصر التوازي تكرارات لفظية (لكلمة أو لشبه جملة أو جملة)، لكنها غالباً ما لا يُتحقق منها إلاّ بتجريد تطوّر الحبكة أو تلخيصها.</w:t>
      </w:r>
      <w:r w:rsidRPr="002F37CE">
        <w:rPr>
          <w:rFonts w:eastAsia="Times New Roman"/>
          <w:kern w:val="0"/>
          <w:vertAlign w:val="superscript"/>
          <w:rtl/>
          <w:lang w:bidi="ar-JO"/>
          <w14:ligatures w14:val="none"/>
        </w:rPr>
        <w:footnoteReference w:customMarkFollows="1" w:id="186"/>
        <w:t>6</w:t>
      </w:r>
      <w:r w:rsidRPr="002F37CE">
        <w:rPr>
          <w:rFonts w:eastAsia="Times New Roman"/>
          <w:kern w:val="0"/>
          <w:rtl/>
          <w:lang w:bidi="ar-KW"/>
          <w14:ligatures w14:val="none"/>
        </w:rPr>
        <w:t xml:space="preserve">  </w:t>
      </w:r>
      <w:r w:rsidRPr="002F37CE">
        <w:rPr>
          <w:rFonts w:eastAsia="Times New Roman"/>
          <w:kern w:val="0"/>
          <w:rtl/>
          <w:lang w:bidi="ar-JO"/>
          <w14:ligatures w14:val="none"/>
        </w:rPr>
        <w:t>غير أنه حتى تلخيصها قد يتضمن تكرارات للكلمة أو شبه جملة أيضاً.  وبالإضافة إلى هذا التنوع في طريقة تشكُّل التوازيات، فإنه يمكن أن ترد في النص تراكيب معقّدة ومتعددة.  وقد يتضمن هذا أنماطاً غير متماثلة حيث يكون هنالك كسر للتماثل بغرض إبراز شيء لتوكيده.</w:t>
      </w:r>
    </w:p>
    <w:p w14:paraId="220E2FD7" w14:textId="38E96010" w:rsidR="006A7C83" w:rsidRPr="002F37CE" w:rsidRDefault="006A7C83" w:rsidP="003074E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وعلى الرغم من الوجود الواضح لحالات من التنميط النصّي (استخدام الأنماط الأدبية) في الأسفار العبرية، إلاّ أن التحدّي يكمن في التعرف إليها في النص.</w:t>
      </w:r>
      <w:r w:rsidRPr="002F37CE">
        <w:rPr>
          <w:rFonts w:eastAsia="Times New Roman"/>
          <w:kern w:val="0"/>
          <w:vertAlign w:val="superscript"/>
          <w:rtl/>
          <w:lang w:bidi="ar-JO"/>
          <w14:ligatures w14:val="none"/>
        </w:rPr>
        <w:footnoteReference w:customMarkFollows="1" w:id="187"/>
        <w:t>7</w:t>
      </w:r>
      <w:r w:rsidRPr="002F37CE">
        <w:rPr>
          <w:rFonts w:eastAsia="Times New Roman"/>
          <w:kern w:val="0"/>
          <w:rtl/>
          <w:lang w:bidi="ar-JO"/>
          <w14:ligatures w14:val="none"/>
        </w:rPr>
        <w:t xml:space="preserve"> وقد يكمن المفتاح الرئيسي لهذا الأمر في طريقة إثبات وجود "حدود" للأنماط النصّية.</w:t>
      </w:r>
      <w:r w:rsidRPr="002F37CE">
        <w:rPr>
          <w:rFonts w:eastAsia="Times New Roman"/>
          <w:kern w:val="0"/>
          <w:vertAlign w:val="superscript"/>
          <w:rtl/>
          <w:lang w:bidi="ar-JO"/>
          <w14:ligatures w14:val="none"/>
        </w:rPr>
        <w:footnoteReference w:customMarkFollows="1" w:id="188"/>
        <w:t>8</w:t>
      </w:r>
      <w:r w:rsidRPr="002F37CE">
        <w:rPr>
          <w:rFonts w:eastAsia="Times New Roman"/>
          <w:kern w:val="0"/>
          <w:rtl/>
          <w:lang w:bidi="ar-JO"/>
          <w14:ligatures w14:val="none"/>
        </w:rPr>
        <w:t xml:space="preserve">  وإنه لأمر جوهري في سياق هذا الأمر أن نفهم الوحدة الأدبية التي تطلق عليها تسمية "المشهد".</w:t>
      </w:r>
      <w:r w:rsidRPr="002F37CE">
        <w:rPr>
          <w:rFonts w:eastAsia="Times New Roman"/>
          <w:kern w:val="0"/>
          <w:vertAlign w:val="superscript"/>
          <w:rtl/>
          <w:lang w:bidi="ar-JO"/>
          <w14:ligatures w14:val="none"/>
        </w:rPr>
        <w:footnoteReference w:customMarkFollows="1" w:id="189"/>
        <w:t>9</w:t>
      </w:r>
    </w:p>
    <w:p w14:paraId="154DFCA3"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يمكن في العادة تحديد المشاهد بواسطة الأساليب الانتقالية المستخدمة بينها.  وقد تتضمن هذه الأساليب الانتقالية عبارات زمن</w:t>
      </w:r>
      <w:r w:rsidRPr="002F37CE">
        <w:rPr>
          <w:rFonts w:eastAsia="Times New Roman"/>
          <w:kern w:val="0"/>
          <w:rtl/>
          <w14:ligatures w14:val="none"/>
        </w:rPr>
        <w:t>ية</w:t>
      </w:r>
      <w:r w:rsidRPr="002F37CE">
        <w:rPr>
          <w:rFonts w:eastAsia="Times New Roman"/>
          <w:kern w:val="0"/>
          <w:rtl/>
          <w:lang w:bidi="ar-JO"/>
          <w14:ligatures w14:val="none"/>
        </w:rPr>
        <w:t xml:space="preserve"> (خاصة مع استخدام </w:t>
      </w:r>
      <w:r w:rsidRPr="002F37CE">
        <w:rPr>
          <w:rFonts w:ascii="Times New Roman" w:eastAsia="Times New Roman" w:hAnsi="Times New Roman" w:cs="Times New Roman" w:hint="cs"/>
          <w:b/>
          <w:kern w:val="0"/>
          <w:rtl/>
          <w:lang w:bidi="he-IL"/>
          <w14:ligatures w14:val="none"/>
        </w:rPr>
        <w:t>ויהי</w:t>
      </w:r>
      <w:r w:rsidRPr="002F37CE">
        <w:rPr>
          <w:rFonts w:eastAsia="Times New Roman"/>
          <w:kern w:val="0"/>
          <w:rtl/>
          <w:lang w:bidi="ar-JO"/>
          <w14:ligatures w14:val="none"/>
        </w:rPr>
        <w:t xml:space="preserve">)، أو عبارات ظرفية، وعبارات </w:t>
      </w:r>
      <w:r w:rsidRPr="002F37CE">
        <w:rPr>
          <w:rFonts w:ascii="Times New Roman" w:eastAsia="Times New Roman" w:hAnsi="Times New Roman" w:cs="Times New Roman" w:hint="cs"/>
          <w:b/>
          <w:kern w:val="0"/>
          <w:rtl/>
          <w:lang w:bidi="he-IL"/>
          <w14:ligatures w14:val="none"/>
        </w:rPr>
        <w:t>הנה</w:t>
      </w:r>
      <w:r w:rsidRPr="002F37CE">
        <w:rPr>
          <w:rFonts w:eastAsia="Times New Roman"/>
          <w:kern w:val="0"/>
          <w:rtl/>
          <w:lang w:bidi="ar-JO"/>
          <w14:ligatures w14:val="none"/>
        </w:rPr>
        <w:t xml:space="preserve"> ، وتكراراً (للكلمات</w:t>
      </w:r>
      <w:r w:rsidRPr="002F37CE">
        <w:rPr>
          <w:rFonts w:eastAsia="Times New Roman"/>
          <w:kern w:val="0"/>
          <w:rtl/>
          <w14:ligatures w14:val="none"/>
        </w:rPr>
        <w:t xml:space="preserve"> المفتاحية</w:t>
      </w:r>
      <w:r w:rsidRPr="002F37CE">
        <w:rPr>
          <w:rFonts w:eastAsia="Times New Roman"/>
          <w:kern w:val="0"/>
          <w:rtl/>
          <w:lang w:bidi="ar-JO"/>
          <w14:ligatures w14:val="none"/>
        </w:rPr>
        <w:t xml:space="preserve"> أو أشباه جمل، أو أفكار هامّة)، أو انتقالاً في المشهد (غالباً ما يكون مصحوباً بأفعال حركة دالة على الانتقال مثل </w:t>
      </w:r>
      <w:r w:rsidRPr="002F37CE">
        <w:rPr>
          <w:rFonts w:ascii="Times New Roman" w:eastAsia="Times New Roman" w:hAnsi="Times New Roman" w:cs="Times New Roman" w:hint="cs"/>
          <w:b/>
          <w:kern w:val="0"/>
          <w:rtl/>
          <w:lang w:bidi="he-IL"/>
          <w14:ligatures w14:val="none"/>
        </w:rPr>
        <w:t>בא</w:t>
      </w:r>
      <w:r w:rsidRPr="002F37CE">
        <w:rPr>
          <w:rFonts w:eastAsia="Times New Roman"/>
          <w:bCs/>
          <w:kern w:val="0"/>
          <w:lang w:bidi="ar-JO"/>
          <w14:ligatures w14:val="none"/>
        </w:rPr>
        <w:t xml:space="preserve">, </w:t>
      </w:r>
      <w:r w:rsidRPr="002F37CE">
        <w:rPr>
          <w:rFonts w:ascii="Times New Roman" w:eastAsia="Times New Roman" w:hAnsi="Times New Roman" w:cs="Times New Roman" w:hint="cs"/>
          <w:kern w:val="0"/>
          <w:rtl/>
          <w:lang w:bidi="he-IL"/>
          <w14:ligatures w14:val="none"/>
        </w:rPr>
        <w:t>הלך</w:t>
      </w:r>
      <w:r w:rsidRPr="002F37CE">
        <w:rPr>
          <w:rFonts w:eastAsia="Times New Roman"/>
          <w:bCs/>
          <w:kern w:val="0"/>
          <w:lang w:bidi="ar-JO"/>
          <w14:ligatures w14:val="none"/>
        </w:rPr>
        <w:t xml:space="preserve">, </w:t>
      </w:r>
      <w:r w:rsidRPr="002F37CE">
        <w:rPr>
          <w:rFonts w:ascii="Times New Roman" w:eastAsia="Times New Roman" w:hAnsi="Times New Roman" w:cs="Times New Roman" w:hint="cs"/>
          <w:b/>
          <w:kern w:val="0"/>
          <w:rtl/>
          <w:lang w:bidi="he-IL"/>
          <w14:ligatures w14:val="none"/>
        </w:rPr>
        <w:t>עלה</w:t>
      </w:r>
      <w:r w:rsidRPr="002F37CE">
        <w:rPr>
          <w:rFonts w:eastAsia="Times New Roman"/>
          <w:bCs/>
          <w:kern w:val="0"/>
          <w:lang w:bidi="ar-JO"/>
          <w14:ligatures w14:val="none"/>
        </w:rPr>
        <w:t xml:space="preserve">, </w:t>
      </w:r>
      <w:r w:rsidRPr="002F37CE">
        <w:rPr>
          <w:rFonts w:ascii="Times New Roman" w:eastAsia="Times New Roman" w:hAnsi="Times New Roman" w:cs="Times New Roman" w:hint="cs"/>
          <w:b/>
          <w:kern w:val="0"/>
          <w:rtl/>
          <w:lang w:bidi="he-IL"/>
          <w14:ligatures w14:val="none"/>
        </w:rPr>
        <w:t>ירד</w:t>
      </w:r>
      <w:r w:rsidRPr="002F37CE">
        <w:rPr>
          <w:rFonts w:eastAsia="Times New Roman"/>
          <w:kern w:val="0"/>
          <w:rtl/>
          <w:lang w:bidi="ar-JO"/>
          <w14:ligatures w14:val="none"/>
        </w:rPr>
        <w:t xml:space="preserve"> و فعل </w:t>
      </w:r>
      <w:r w:rsidRPr="002F37CE">
        <w:rPr>
          <w:rFonts w:ascii="Times New Roman" w:eastAsia="Times New Roman" w:hAnsi="Times New Roman" w:cs="Times New Roman" w:hint="cs"/>
          <w:b/>
          <w:kern w:val="0"/>
          <w:rtl/>
          <w:lang w:bidi="he-IL"/>
          <w14:ligatures w14:val="none"/>
        </w:rPr>
        <w:t>יצא</w:t>
      </w:r>
      <w:r w:rsidRPr="002F37CE">
        <w:rPr>
          <w:rFonts w:eastAsia="Times New Roman"/>
          <w:kern w:val="0"/>
          <w:rtl/>
          <w:lang w:bidi="ar-JO"/>
          <w14:ligatures w14:val="none"/>
        </w:rPr>
        <w:t xml:space="preserve"> أو حتى بفعل دال على الإدراك مثل </w:t>
      </w:r>
      <w:r w:rsidRPr="002F37CE">
        <w:rPr>
          <w:rFonts w:ascii="Times New Roman" w:eastAsia="Times New Roman" w:hAnsi="Times New Roman" w:cs="Times New Roman" w:hint="cs"/>
          <w:b/>
          <w:kern w:val="0"/>
          <w:rtl/>
          <w:lang w:bidi="he-IL"/>
          <w14:ligatures w14:val="none"/>
        </w:rPr>
        <w:t>ראה</w:t>
      </w:r>
      <w:r w:rsidRPr="002F37CE">
        <w:rPr>
          <w:rFonts w:eastAsia="Times New Roman"/>
          <w:kern w:val="0"/>
          <w:rtl/>
          <w:lang w:bidi="ar-JO"/>
          <w14:ligatures w14:val="none"/>
        </w:rPr>
        <w:t xml:space="preserve">).  وإنه لأمر مفهوم أن وجود مثل هذه الأدوات في النص لا يشير بشكل آلي إلى آية تشكّل بداية أو نهاية لمشهد؛ فالفكرة هي أن النقلات من مشهد إلى آخر غالباً ما </w:t>
      </w:r>
      <w:r w:rsidRPr="002F37CE">
        <w:rPr>
          <w:rFonts w:eastAsia="Times New Roman"/>
          <w:kern w:val="0"/>
          <w:rtl/>
          <w:lang w:bidi="ar-JO"/>
          <w14:ligatures w14:val="none"/>
        </w:rPr>
        <w:lastRenderedPageBreak/>
        <w:t>ترِد مرتبطة بهذه العوامل.  وإن من شأن إدراك وجودها في النص أن يساعد المفسّر على تطوير حساسية للانتقال من مشهد إلى آخر.  وإن القدرة على تمييز هذه المشاهد أمر أساسي في تمييز الأنماط النصيّة المختلفة.</w:t>
      </w:r>
    </w:p>
    <w:p w14:paraId="6BE1AF29"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C09AFB4"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 xml:space="preserve">شهدت الدراسات السابقة التي أبرزت الأنماط النصّية على حقيقة وجود </w:t>
      </w:r>
      <w:r w:rsidRPr="002F37CE">
        <w:rPr>
          <w:rFonts w:eastAsia="Times New Roman"/>
          <w:i/>
          <w:iCs/>
          <w:kern w:val="0"/>
          <w:rtl/>
          <w:lang w:bidi="ar-JO"/>
          <w14:ligatures w14:val="none"/>
        </w:rPr>
        <w:t>سمات مشتركة</w:t>
      </w:r>
      <w:r w:rsidRPr="002F37CE">
        <w:rPr>
          <w:rFonts w:eastAsia="Times New Roman"/>
          <w:kern w:val="0"/>
          <w:rtl/>
          <w:lang w:bidi="ar-JO"/>
          <w14:ligatures w14:val="none"/>
        </w:rPr>
        <w:t xml:space="preserve"> في الغالب بين الأنماط النصّية المختلفة (أي أنماط موجودة في روايات سردية مختلفة).  ومن هنا فإن هنالك أنماطاً شاملة، وإن من شأن هذا الواقع أن يمكننا من صياغة أسلوب للبحث عنها ودراستها.  وأنا أقترح الخطوات التالية للوصول إلى ذلك:</w:t>
      </w:r>
    </w:p>
    <w:p w14:paraId="2AA67751"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F37CE">
        <w:rPr>
          <w:rFonts w:eastAsia="Times New Roman"/>
          <w:kern w:val="0"/>
          <w:rtl/>
          <w:lang w:bidi="ar-JO"/>
          <w14:ligatures w14:val="none"/>
        </w:rPr>
        <w:t>1.</w:t>
      </w:r>
      <w:r w:rsidRPr="002F37CE">
        <w:rPr>
          <w:rFonts w:eastAsia="Times New Roman"/>
          <w:kern w:val="0"/>
          <w:rtl/>
          <w:lang w:bidi="ar-JO"/>
          <w14:ligatures w14:val="none"/>
        </w:rPr>
        <w:tab/>
        <w:t>تعرّف إلى الملامح التركيبية الكلية للسفر أو الوحدة الرئيسية التي يوجد فيها النص السردي.</w:t>
      </w:r>
    </w:p>
    <w:p w14:paraId="4F3C199E"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F37CE">
        <w:rPr>
          <w:rFonts w:eastAsia="Times New Roman"/>
          <w:kern w:val="0"/>
          <w:rtl/>
          <w:lang w:bidi="ar-JO"/>
          <w14:ligatures w14:val="none"/>
        </w:rPr>
        <w:t>2.</w:t>
      </w:r>
      <w:r w:rsidRPr="002F37CE">
        <w:rPr>
          <w:rFonts w:eastAsia="Times New Roman"/>
          <w:kern w:val="0"/>
          <w:rtl/>
          <w:lang w:bidi="ar-JO"/>
          <w14:ligatures w14:val="none"/>
        </w:rPr>
        <w:tab/>
        <w:t xml:space="preserve">قرر حدود المشهد/المشاهد.  يجب أن تحدد الأساليب الانتقالية (إشارات محتملة لحدود المشهد) وتقويمها.  وإن وجود التشابه في بداية النص وخاتمته أمر ذو أهمية خاصة هنا.  </w:t>
      </w:r>
    </w:p>
    <w:p w14:paraId="4FAFAF45"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F37CE">
        <w:rPr>
          <w:rFonts w:eastAsia="Times New Roman"/>
          <w:kern w:val="0"/>
          <w:rtl/>
          <w:lang w:bidi="ar-JO"/>
          <w14:ligatures w14:val="none"/>
        </w:rPr>
        <w:t>3.</w:t>
      </w:r>
      <w:r w:rsidRPr="002F37CE">
        <w:rPr>
          <w:rFonts w:eastAsia="Times New Roman"/>
          <w:kern w:val="0"/>
          <w:rtl/>
          <w:lang w:bidi="ar-JO"/>
          <w14:ligatures w14:val="none"/>
        </w:rPr>
        <w:tab/>
        <w:t xml:space="preserve">ابحث عن التنميط النصّي </w:t>
      </w:r>
      <w:r w:rsidRPr="002F37CE">
        <w:rPr>
          <w:rFonts w:eastAsia="Times New Roman"/>
          <w:i/>
          <w:iCs/>
          <w:kern w:val="0"/>
          <w:rtl/>
          <w:lang w:bidi="ar-JO"/>
          <w14:ligatures w14:val="none"/>
        </w:rPr>
        <w:t>ضمن</w:t>
      </w:r>
      <w:r w:rsidRPr="002F37CE">
        <w:rPr>
          <w:rFonts w:eastAsia="Times New Roman"/>
          <w:kern w:val="0"/>
          <w:rtl/>
          <w:lang w:bidi="ar-JO"/>
          <w14:ligatures w14:val="none"/>
        </w:rPr>
        <w:t xml:space="preserve"> المشهد الواحد (على أصغر مستوى).  وإن وجود التوازي بين التعابير أو أشباه الجمل أو الأفكار ذو أهمّية خاصة هنا.</w:t>
      </w:r>
    </w:p>
    <w:p w14:paraId="21E3C0FC"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F37CE">
        <w:rPr>
          <w:rFonts w:eastAsia="Times New Roman"/>
          <w:kern w:val="0"/>
          <w:rtl/>
          <w:lang w:bidi="ar-JO"/>
          <w14:ligatures w14:val="none"/>
        </w:rPr>
        <w:t>4.</w:t>
      </w:r>
      <w:r w:rsidRPr="002F37CE">
        <w:rPr>
          <w:rFonts w:eastAsia="Times New Roman"/>
          <w:kern w:val="0"/>
          <w:rtl/>
          <w:lang w:bidi="ar-JO"/>
          <w14:ligatures w14:val="none"/>
        </w:rPr>
        <w:tab/>
        <w:t>ابحث عن خطوط التوازي والصلات بين المشاهد لترى إن كان هنالك نمط على أكبر مستوى.</w:t>
      </w:r>
    </w:p>
    <w:p w14:paraId="396F51FF"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F37CE">
        <w:rPr>
          <w:rFonts w:eastAsia="Times New Roman"/>
          <w:kern w:val="0"/>
          <w:rtl/>
          <w:lang w:bidi="ar-JO"/>
          <w14:ligatures w14:val="none"/>
        </w:rPr>
        <w:t>5.</w:t>
      </w:r>
      <w:r w:rsidRPr="002F37CE">
        <w:rPr>
          <w:rFonts w:eastAsia="Times New Roman"/>
          <w:kern w:val="0"/>
          <w:rtl/>
          <w:lang w:bidi="ar-JO"/>
          <w14:ligatures w14:val="none"/>
        </w:rPr>
        <w:tab/>
        <w:t>تفحَّص الأنماط لمعرفة دلالتها وأهميتها.  فسواء كان التنميط النصي موجوداً على المستوى الكبير أم المستوى الصغير، يجب أن تقوّم المعطيات بعناية لكي تفهم كيف ولماذا استخدم الكاتب الأنماط.</w:t>
      </w:r>
    </w:p>
    <w:p w14:paraId="7EA9844A"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szCs w:val="26"/>
          <w:rtl/>
          <w:lang w:bidi="ar-JO"/>
          <w14:ligatures w14:val="none"/>
        </w:rPr>
      </w:pPr>
    </w:p>
    <w:p w14:paraId="48451739" w14:textId="77777777" w:rsidR="006A7C83" w:rsidRPr="00C7130A" w:rsidRDefault="006A7C83" w:rsidP="000558B7">
      <w:pPr>
        <w:pStyle w:val="Heading3"/>
        <w:rPr>
          <w:rtl/>
          <w:lang w:bidi="ar-JO"/>
        </w:rPr>
      </w:pPr>
      <w:bookmarkStart w:id="393" w:name="_Toc193031136"/>
      <w:r w:rsidRPr="00C7130A">
        <w:rPr>
          <w:rtl/>
          <w:lang w:bidi="ar-JO"/>
        </w:rPr>
        <w:t>3.</w:t>
      </w:r>
      <w:r w:rsidRPr="00C7130A">
        <w:rPr>
          <w:rtl/>
          <w:lang w:bidi="ar-JO"/>
        </w:rPr>
        <w:tab/>
        <w:t>البنية الكلية لسفر القضاة</w:t>
      </w:r>
      <w:bookmarkEnd w:id="393"/>
    </w:p>
    <w:p w14:paraId="1D98C7CA"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يمكن النظر إلى سفر القضاة على أنه يحمل مقدّمة من جزئين (1: 1-2: 5 و2: 6-3: 6) وخاتمة من جزئين (7: 1-18: 31 و19: 1-21: 25).  وتربط أفكار متوازية المقدّمة الأولى (1: 1-2: 5) بالخاتمة الثانية (19: 1-21: 25)، وبنفس الطريقة ترتبط المقدّمة الثانية (2: 6-3: 6) مع الخاتمة الأولى (17: 1-18: 31).</w:t>
      </w:r>
    </w:p>
    <w:p w14:paraId="0935614F"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ويشهد الجزء الرئيسي الأكبر من السفر (3: 7-16: 31) على وجود تركيب بنيوي، عن طريق استخدام متكرر للكلمات وأشباه الجمل أُعطيت اسم "صيغ نمطية".  وأشهرها هي: "وفعل بنو إسرائيل الشر في عيني الرب"، التي تترأس كل رواية تقريباً ضمن الجزء الرئيسي من الكتاب.  توحي هذه الصيغ النمطية بأن الراوي نسج الأحداث المروية معاً بمهارة بغرض تقديم مسألة لاهوتية.</w:t>
      </w:r>
    </w:p>
    <w:p w14:paraId="5FE2CDC4"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F37CE">
        <w:rPr>
          <w:rFonts w:eastAsia="Times New Roman"/>
          <w:kern w:val="0"/>
          <w:rtl/>
          <w:lang w:bidi="ar-JO"/>
          <w14:ligatures w14:val="none"/>
        </w:rPr>
        <w:lastRenderedPageBreak/>
        <w:t>يمكن ملاحظة سبع مجموعات سردية رئيسية ضمن الجزء الرئيسي الكبير للسفر.  وتوجد أيضاً سمات توازي معيّنة بين هذه الروايات بحيث يعكس السفر كلّه نمطاً متناسقاً صيغ بكل عناية.</w:t>
      </w:r>
      <w:r w:rsidRPr="002F37CE">
        <w:rPr>
          <w:rFonts w:eastAsia="Times New Roman"/>
          <w:kern w:val="0"/>
          <w:vertAlign w:val="superscript"/>
          <w:rtl/>
          <w:lang w:bidi="ar-JO"/>
          <w14:ligatures w14:val="none"/>
        </w:rPr>
        <w:footnoteReference w:customMarkFollows="1" w:id="190"/>
        <w:t>10</w:t>
      </w:r>
      <w:r w:rsidRPr="002F37CE">
        <w:rPr>
          <w:rFonts w:eastAsia="Times New Roman"/>
          <w:kern w:val="0"/>
          <w:rtl/>
          <w:lang w:bidi="ar-JO"/>
          <w14:ligatures w14:val="none"/>
        </w:rPr>
        <w:t xml:space="preserve"> وفضلاً عن ذلك فإن النقطة المركزية لهذا النمط هي رواية جدعون في 6: 1-8: 32</w:t>
      </w:r>
      <w:r w:rsidRPr="002F37CE">
        <w:rPr>
          <w:rFonts w:eastAsia="Times New Roman"/>
          <w:kern w:val="0"/>
          <w14:ligatures w14:val="none"/>
        </w:rPr>
        <w:t xml:space="preserve"> </w:t>
      </w:r>
      <w:r w:rsidRPr="002F37CE">
        <w:rPr>
          <w:rFonts w:eastAsia="Times New Roman"/>
          <w:kern w:val="0"/>
          <w:rtl/>
          <w:lang w:bidi="ar-JO"/>
          <w14:ligatures w14:val="none"/>
        </w:rPr>
        <w:t>.</w:t>
      </w:r>
      <w:r w:rsidRPr="002F37CE">
        <w:rPr>
          <w:rFonts w:eastAsia="Times New Roman"/>
          <w:kern w:val="0"/>
          <w:vertAlign w:val="superscript"/>
          <w:rtl/>
          <w:lang w:bidi="ar-JO"/>
          <w14:ligatures w14:val="none"/>
        </w:rPr>
        <w:footnoteReference w:customMarkFollows="1" w:id="191"/>
        <w:t>11</w:t>
      </w:r>
    </w:p>
    <w:p w14:paraId="1AFCCFA4" w14:textId="77777777" w:rsidR="006A7C83" w:rsidRPr="002F37CE" w:rsidRDefault="006A7C83" w:rsidP="00C7130A">
      <w:pPr>
        <w:rPr>
          <w:rFonts w:eastAsia="Times New Roman"/>
          <w:kern w:val="0"/>
          <w:rtl/>
          <w:lang w:bidi="ar-JO"/>
          <w14:ligatures w14:val="none"/>
        </w:rPr>
      </w:pPr>
    </w:p>
    <w:p w14:paraId="6FB68E95" w14:textId="0FFFA016" w:rsidR="006A7C83" w:rsidRPr="002F37CE"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47"/>
        <w:jc w:val="both"/>
        <w:rPr>
          <w:rFonts w:eastAsia="Times New Roman"/>
          <w:kern w:val="0"/>
          <w:rtl/>
          <w:lang w:bidi="ar-JO"/>
          <w14:ligatures w14:val="none"/>
        </w:rPr>
      </w:pPr>
      <w:r w:rsidRPr="002F37CE">
        <w:rPr>
          <w:rFonts w:eastAsia="Times New Roman"/>
          <w:kern w:val="0"/>
          <w:rtl/>
          <w:lang w:bidi="ar-JO"/>
          <w14:ligatures w14:val="none"/>
        </w:rPr>
        <w:t>أ.</w:t>
      </w:r>
      <w:r w:rsidRPr="002F37CE">
        <w:rPr>
          <w:rFonts w:eastAsia="Times New Roman"/>
          <w:kern w:val="0"/>
          <w:rtl/>
          <w:lang w:bidi="ar-JO"/>
          <w14:ligatures w14:val="none"/>
        </w:rPr>
        <w:tab/>
      </w:r>
      <w:r w:rsidR="00BD3343" w:rsidRPr="002F37CE">
        <w:rPr>
          <w:rFonts w:eastAsia="Times New Roman" w:hint="cs"/>
          <w:kern w:val="0"/>
          <w:rtl/>
          <w:lang w:bidi="ar-JO"/>
          <w14:ligatures w14:val="none"/>
        </w:rPr>
        <w:t>مقدمة، الجزء</w:t>
      </w:r>
      <w:r w:rsidRPr="002F37CE">
        <w:rPr>
          <w:rFonts w:eastAsia="Times New Roman"/>
          <w:kern w:val="0"/>
          <w:rtl/>
          <w:lang w:bidi="ar-JO"/>
          <w14:ligatures w14:val="none"/>
        </w:rPr>
        <w:t xml:space="preserve"> الأول (1: 1-2: 25)</w:t>
      </w:r>
    </w:p>
    <w:p w14:paraId="4988D952"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571" w:hanging="547"/>
        <w:jc w:val="both"/>
        <w:rPr>
          <w:rFonts w:eastAsia="Times New Roman"/>
          <w:kern w:val="0"/>
          <w:rtl/>
          <w:lang w:bidi="ar-JO"/>
          <w14:ligatures w14:val="none"/>
        </w:rPr>
      </w:pPr>
      <w:r w:rsidRPr="002F37CE">
        <w:rPr>
          <w:rFonts w:eastAsia="Times New Roman"/>
          <w:kern w:val="0"/>
          <w:rtl/>
          <w14:ligatures w14:val="none"/>
        </w:rPr>
        <w:t>ب.</w:t>
      </w:r>
      <w:r w:rsidRPr="002F37CE">
        <w:rPr>
          <w:rFonts w:eastAsia="Times New Roman"/>
          <w:kern w:val="0"/>
          <w:rtl/>
          <w14:ligatures w14:val="none"/>
        </w:rPr>
        <w:tab/>
      </w:r>
      <w:r w:rsidRPr="002F37CE">
        <w:rPr>
          <w:rFonts w:eastAsia="Times New Roman"/>
          <w:kern w:val="0"/>
          <w:rtl/>
          <w:lang w:bidi="ar-JO"/>
          <w14:ligatures w14:val="none"/>
        </w:rPr>
        <w:t>مقدمة، الجزء الثاني (2: 6-3: 6)</w:t>
      </w:r>
    </w:p>
    <w:p w14:paraId="22060DE9"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2138" w:hanging="547"/>
        <w:jc w:val="both"/>
        <w:rPr>
          <w:rFonts w:eastAsia="Times New Roman"/>
          <w:kern w:val="0"/>
          <w:rtl/>
          <w:lang w:bidi="ar-JO"/>
          <w14:ligatures w14:val="none"/>
        </w:rPr>
      </w:pPr>
      <w:r w:rsidRPr="002F37CE">
        <w:rPr>
          <w:rFonts w:eastAsia="Times New Roman"/>
          <w:kern w:val="0"/>
          <w:rtl/>
          <w:lang w:bidi="ar-JO"/>
          <w14:ligatures w14:val="none"/>
        </w:rPr>
        <w:t>جـ.</w:t>
      </w:r>
      <w:r w:rsidRPr="002F37CE">
        <w:rPr>
          <w:rFonts w:eastAsia="Times New Roman"/>
          <w:kern w:val="0"/>
          <w:rtl/>
          <w:lang w:bidi="ar-JO"/>
          <w14:ligatures w14:val="none"/>
        </w:rPr>
        <w:tab/>
        <w:t>رواية عثنيئيل (3: 7-11)</w:t>
      </w:r>
    </w:p>
    <w:p w14:paraId="5D50656E" w14:textId="5CAD33EC"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2705" w:hanging="547"/>
        <w:jc w:val="both"/>
        <w:rPr>
          <w:rFonts w:eastAsia="Times New Roman"/>
          <w:kern w:val="0"/>
          <w:rtl/>
          <w:lang w:bidi="ar-JO"/>
          <w14:ligatures w14:val="none"/>
        </w:rPr>
      </w:pPr>
      <w:r w:rsidRPr="002F37CE">
        <w:rPr>
          <w:rFonts w:eastAsia="Times New Roman"/>
          <w:kern w:val="0"/>
          <w:rtl/>
          <w:lang w:bidi="ar-JO"/>
          <w14:ligatures w14:val="none"/>
        </w:rPr>
        <w:t>د.</w:t>
      </w:r>
      <w:r w:rsidRPr="002F37CE">
        <w:rPr>
          <w:rFonts w:eastAsia="Times New Roman"/>
          <w:kern w:val="0"/>
          <w:rtl/>
          <w:lang w:bidi="ar-JO"/>
          <w14:ligatures w14:val="none"/>
        </w:rPr>
        <w:tab/>
        <w:t>رواية إهود</w:t>
      </w:r>
      <w:r w:rsidR="00BD3343">
        <w:rPr>
          <w:rFonts w:eastAsia="Times New Roman" w:hint="cs"/>
          <w:kern w:val="0"/>
          <w:rtl/>
          <w:lang w:bidi="ar-JO"/>
          <w14:ligatures w14:val="none"/>
        </w:rPr>
        <w:t xml:space="preserve"> </w:t>
      </w:r>
      <w:r w:rsidRPr="002F37CE">
        <w:rPr>
          <w:rFonts w:eastAsia="Times New Roman"/>
          <w:kern w:val="0"/>
          <w:rtl/>
          <w:lang w:bidi="ar-JO"/>
          <w14:ligatures w14:val="none"/>
        </w:rPr>
        <w:t>(3: 12-31)</w:t>
      </w:r>
    </w:p>
    <w:p w14:paraId="7050193B"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3272" w:hanging="547"/>
        <w:jc w:val="both"/>
        <w:rPr>
          <w:rFonts w:eastAsia="Times New Roman"/>
          <w:kern w:val="0"/>
          <w:rtl/>
          <w:lang w:bidi="ar-JO"/>
          <w14:ligatures w14:val="none"/>
        </w:rPr>
      </w:pPr>
      <w:r w:rsidRPr="002F37CE">
        <w:rPr>
          <w:rFonts w:eastAsia="Times New Roman"/>
          <w:kern w:val="0"/>
          <w:rtl/>
          <w:lang w:bidi="ar-JO"/>
          <w14:ligatures w14:val="none"/>
        </w:rPr>
        <w:t>هـ.</w:t>
      </w:r>
      <w:r w:rsidRPr="002F37CE">
        <w:rPr>
          <w:rFonts w:eastAsia="Times New Roman"/>
          <w:kern w:val="0"/>
          <w:rtl/>
          <w:lang w:bidi="ar-JO"/>
          <w14:ligatures w14:val="none"/>
        </w:rPr>
        <w:tab/>
        <w:t>رواية دبّورة وباراق (4: 1-5: 31)</w:t>
      </w:r>
    </w:p>
    <w:p w14:paraId="4BE4D854"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3839" w:hanging="547"/>
        <w:jc w:val="both"/>
        <w:rPr>
          <w:rFonts w:eastAsia="Times New Roman"/>
          <w:kern w:val="0"/>
          <w:rtl/>
          <w:lang w:bidi="ar-JO"/>
          <w14:ligatures w14:val="none"/>
        </w:rPr>
      </w:pPr>
      <w:r w:rsidRPr="002F37CE">
        <w:rPr>
          <w:rFonts w:eastAsia="Times New Roman"/>
          <w:kern w:val="0"/>
          <w:rtl/>
          <w:lang w:bidi="ar-JO"/>
          <w14:ligatures w14:val="none"/>
        </w:rPr>
        <w:tab/>
        <w:t>و.</w:t>
      </w:r>
      <w:r w:rsidRPr="002F37CE">
        <w:rPr>
          <w:rFonts w:eastAsia="Times New Roman"/>
          <w:kern w:val="0"/>
          <w:rtl/>
          <w:lang w:bidi="ar-JO"/>
          <w14:ligatures w14:val="none"/>
        </w:rPr>
        <w:tab/>
        <w:t>رواية جدعون (رواية جدعون)</w:t>
      </w:r>
    </w:p>
    <w:p w14:paraId="254BFDF0"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3272" w:hanging="547"/>
        <w:jc w:val="both"/>
        <w:rPr>
          <w:rFonts w:eastAsia="Times New Roman"/>
          <w:kern w:val="0"/>
          <w:rtl/>
          <w:lang w:bidi="ar-JO"/>
          <w14:ligatures w14:val="none"/>
        </w:rPr>
      </w:pPr>
      <w:r w:rsidRPr="002F37CE">
        <w:rPr>
          <w:rFonts w:eastAsia="Times New Roman"/>
          <w:kern w:val="0"/>
          <w:rtl/>
          <w:lang w:bidi="ar-JO"/>
          <w14:ligatures w14:val="none"/>
        </w:rPr>
        <w:t>هـ َ.</w:t>
      </w:r>
      <w:r w:rsidRPr="002F37CE">
        <w:rPr>
          <w:rFonts w:eastAsia="Times New Roman"/>
          <w:kern w:val="0"/>
          <w:rtl/>
          <w:lang w:bidi="ar-JO"/>
          <w14:ligatures w14:val="none"/>
        </w:rPr>
        <w:tab/>
        <w:t>رواية أبيمالك (8: 33-10: 5)</w:t>
      </w:r>
    </w:p>
    <w:p w14:paraId="6F59977B"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2705" w:hanging="547"/>
        <w:jc w:val="both"/>
        <w:rPr>
          <w:rFonts w:eastAsia="Times New Roman"/>
          <w:kern w:val="0"/>
          <w:rtl/>
          <w:lang w:bidi="ar-JO"/>
          <w14:ligatures w14:val="none"/>
        </w:rPr>
      </w:pPr>
      <w:r w:rsidRPr="002F37CE">
        <w:rPr>
          <w:rFonts w:eastAsia="Times New Roman"/>
          <w:kern w:val="0"/>
          <w:rtl/>
          <w:lang w:bidi="ar-JO"/>
          <w14:ligatures w14:val="none"/>
        </w:rPr>
        <w:t>دَ.</w:t>
      </w:r>
      <w:r w:rsidRPr="002F37CE">
        <w:rPr>
          <w:rFonts w:eastAsia="Times New Roman"/>
          <w:kern w:val="0"/>
          <w:rtl/>
          <w:lang w:bidi="ar-JO"/>
          <w14:ligatures w14:val="none"/>
        </w:rPr>
        <w:tab/>
        <w:t>رواية يفتاح (10: 6- 12: 15)</w:t>
      </w:r>
    </w:p>
    <w:p w14:paraId="5B154BD5"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2138" w:hanging="547"/>
        <w:jc w:val="both"/>
        <w:rPr>
          <w:rFonts w:eastAsia="Times New Roman"/>
          <w:kern w:val="0"/>
          <w:rtl/>
          <w:lang w:bidi="ar-JO"/>
          <w14:ligatures w14:val="none"/>
        </w:rPr>
      </w:pPr>
      <w:r w:rsidRPr="002F37CE">
        <w:rPr>
          <w:rFonts w:eastAsia="Times New Roman"/>
          <w:kern w:val="0"/>
          <w:rtl/>
          <w:lang w:bidi="ar-JO"/>
          <w14:ligatures w14:val="none"/>
        </w:rPr>
        <w:t>جـَ.</w:t>
      </w:r>
      <w:r w:rsidRPr="002F37CE">
        <w:rPr>
          <w:rFonts w:eastAsia="Times New Roman"/>
          <w:kern w:val="0"/>
          <w:rtl/>
          <w:lang w:bidi="ar-JO"/>
          <w14:ligatures w14:val="none"/>
        </w:rPr>
        <w:tab/>
        <w:t>رواية شمسون (13: 1-16: 31)</w:t>
      </w:r>
    </w:p>
    <w:p w14:paraId="5B0B17D9"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571" w:hanging="547"/>
        <w:jc w:val="both"/>
        <w:rPr>
          <w:rFonts w:eastAsia="Times New Roman"/>
          <w:kern w:val="0"/>
          <w:rtl/>
          <w:lang w:bidi="ar-JO"/>
          <w14:ligatures w14:val="none"/>
        </w:rPr>
      </w:pPr>
      <w:r w:rsidRPr="002F37CE">
        <w:rPr>
          <w:rFonts w:eastAsia="Times New Roman"/>
          <w:kern w:val="0"/>
          <w:rtl/>
          <w:lang w:bidi="ar-JO"/>
          <w14:ligatures w14:val="none"/>
        </w:rPr>
        <w:t>بَ.</w:t>
      </w:r>
      <w:r w:rsidRPr="002F37CE">
        <w:rPr>
          <w:rFonts w:eastAsia="Times New Roman"/>
          <w:kern w:val="0"/>
          <w:rtl/>
          <w:lang w:bidi="ar-JO"/>
          <w14:ligatures w14:val="none"/>
        </w:rPr>
        <w:tab/>
        <w:t>خاتمة، الجزء الأول (17: 1-18: 31)</w:t>
      </w:r>
    </w:p>
    <w:p w14:paraId="539EC822" w14:textId="77777777" w:rsidR="006A7C83" w:rsidRPr="002F37CE"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47"/>
        <w:jc w:val="both"/>
        <w:rPr>
          <w:rFonts w:eastAsia="Times New Roman"/>
          <w:kern w:val="0"/>
          <w14:ligatures w14:val="none"/>
        </w:rPr>
      </w:pPr>
      <w:r w:rsidRPr="002F37CE">
        <w:rPr>
          <w:rFonts w:eastAsia="Times New Roman"/>
          <w:kern w:val="0"/>
          <w:rtl/>
          <w:lang w:bidi="ar-JO"/>
          <w14:ligatures w14:val="none"/>
        </w:rPr>
        <w:t>أَ.</w:t>
      </w:r>
      <w:r w:rsidRPr="002F37CE">
        <w:rPr>
          <w:rFonts w:eastAsia="Times New Roman"/>
          <w:kern w:val="0"/>
          <w:rtl/>
          <w:lang w:bidi="ar-JO"/>
          <w14:ligatures w14:val="none"/>
        </w:rPr>
        <w:tab/>
        <w:t>خاتمة، الجزء الثاني (19: 1-21: 25)</w:t>
      </w:r>
    </w:p>
    <w:p w14:paraId="0D709433"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2F225D2"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F37CE">
        <w:rPr>
          <w:rFonts w:eastAsia="Times New Roman"/>
          <w:kern w:val="0"/>
          <w:rtl/>
          <w:lang w:bidi="ar-JO"/>
          <w14:ligatures w14:val="none"/>
        </w:rPr>
        <w:t>يوحي هذا الترتيب بأن رواية جدعون أسهمت بشكل فريد في التطور اللاهوتي للسفر.  فمع انتقال الأمة من دورة تأديب إلى أخرى، كان هنالك انحطاط مستمر، وكانت توجد أيضاً نقلة في "نوعية" القضاة أنفسهم مع تقدّم السفر.  ويبدو أن رواية جدعون تشكّل نقطة تحوّل ملحوظة.</w:t>
      </w:r>
    </w:p>
    <w:p w14:paraId="0EA1B319"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14:ligatures w14:val="none"/>
        </w:rPr>
      </w:pPr>
    </w:p>
    <w:p w14:paraId="6C607655" w14:textId="77777777" w:rsidR="006A7C83" w:rsidRPr="00C7130A" w:rsidRDefault="006A7C83" w:rsidP="000558B7">
      <w:pPr>
        <w:pStyle w:val="Heading3"/>
        <w:rPr>
          <w:rtl/>
          <w:lang w:bidi="ar-JO"/>
        </w:rPr>
      </w:pPr>
      <w:bookmarkStart w:id="394" w:name="_Toc193031137"/>
      <w:r w:rsidRPr="00C7130A">
        <w:rPr>
          <w:rtl/>
          <w:lang w:bidi="ar-JO"/>
        </w:rPr>
        <w:lastRenderedPageBreak/>
        <w:t>4.</w:t>
      </w:r>
      <w:r w:rsidRPr="00C7130A">
        <w:rPr>
          <w:rtl/>
          <w:lang w:bidi="ar-JO"/>
        </w:rPr>
        <w:tab/>
        <w:t>بُنية رواية جدعون</w:t>
      </w:r>
      <w:bookmarkEnd w:id="394"/>
      <w:r w:rsidRPr="00C7130A">
        <w:rPr>
          <w:rtl/>
          <w:lang w:bidi="ar-JO"/>
        </w:rPr>
        <w:t xml:space="preserve"> </w:t>
      </w:r>
    </w:p>
    <w:p w14:paraId="4BA89A2F"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F37CE">
        <w:rPr>
          <w:rFonts w:eastAsia="Times New Roman"/>
          <w:kern w:val="0"/>
          <w:rtl/>
          <w:lang w:bidi="ar-JO"/>
          <w14:ligatures w14:val="none"/>
        </w:rPr>
        <w:t>تكشف دراسة رواية جدعون وجود عشرين مشهداً.  وهي مشاهد لا تقدّم دلائل هامّة على تنميط نصّي متداخل المشاهد.  لكن توجد أدلّة كافية على وجود تنميط نصّي متداخل المشاهد، أي تنميط مبني على العلاقات بين المشاهد.</w:t>
      </w:r>
      <w:r w:rsidRPr="002F37CE">
        <w:rPr>
          <w:rFonts w:eastAsia="Times New Roman"/>
          <w:kern w:val="0"/>
          <w:vertAlign w:val="superscript"/>
          <w:rtl/>
          <w:lang w:bidi="ar-JO"/>
          <w14:ligatures w14:val="none"/>
        </w:rPr>
        <w:footnoteReference w:customMarkFollows="1" w:id="192"/>
        <w:t>12</w:t>
      </w:r>
      <w:r w:rsidRPr="002F37CE">
        <w:rPr>
          <w:rFonts w:eastAsia="Times New Roman"/>
          <w:kern w:val="0"/>
          <w:rtl/>
          <w:lang w:bidi="ar-JO"/>
          <w14:ligatures w14:val="none"/>
        </w:rPr>
        <w:t xml:space="preserve"> وتميل المشاهد إلى التجمّع في مجموعات يشترك فيها مشهدان أو ثلاثة في رباط على أساس وجود فكرة مشتركة، أو عبارة مكررة، أو تشابه في البداية والنهاية، أو سمة أخرى متصلة بقواعد اللغة أو بناء الجملة تفصلها عن مشاهد أخرى.  ونحن نجد أسلوب ربط المشاهد في كل الرواية، وينتج عن ذلك ثماني مجموعات من المشاهد.  وفضلاً عن ذلك، عندما تُدرس هذه المجموعات من منظور أكثر اتساعاً عمّا سبق، يمكن اكتشاف تزاوج بين مجموعات المشاهد.  ونتيجة لذلك نجد نمطاً تبادلياً أو تناوبياً من نوع أ ب أ َ ب َ للمشاهد الأربعة في 6: 11-32.  أمّا بالنسبة للمشاهد الستة في 6: 33-7: 18، فنجد نمطاً موحّد المراكز من نوع أ ب جـ جـ َ ب َ  أ َ.  وأمّا بالنسبة للمشاهد الستة في 7: 19-8: 21، فإننا نلاحظ أن هنالك نمطاً تبادلياً أو تناوبياً من نوع أ ب جـ أ َ ب َ جـ َ.</w:t>
      </w:r>
    </w:p>
    <w:p w14:paraId="1E2FC7EE"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2A15BA8C"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2F37CE">
        <w:rPr>
          <w:rFonts w:eastAsia="Times New Roman"/>
          <w:kern w:val="0"/>
          <w:rtl/>
          <w:lang w:bidi="ar-JO"/>
          <w14:ligatures w14:val="none"/>
        </w:rPr>
        <w:t>إن النتيجة هي تقسيم كلّي لرواية جدعون إلى خمسة أقسام رئيسية.  وفضلاً عن ذلك، وعلى الرغم من أن هذه الأقسام تُوصِّل إليها على أساس التنميط النصّي، فإنها تنسجم تماماً مع مضامين الرواية.  يقدّم لنا القسم الأول (6: 1-10) المقدّمة والإطار العام قبل ظهور جدعون لأول مرّة، ويعطينا القسم الثاني (6: 11-32) تفويض جدعون بأن يكون منقذاً لإسرائيل؛ ويقدّم القسم الثالث (6: 33-7: 8) الاستعداد للمعركة؛ ويروي لنا القسم الرابع (7: 19-8: 21) هزيمة الجيش المدياني؛ ويسجّل القسم الخامس (8: 22-32) نهاية حياة جدعون بعد النصر على مديان.  غير أن هنالك خطوط توازٍ في الأفكار بين القسمين الأول والخامس، وبين القسمين الثاني والرابع، معطية بهذا الرواية كلها نمطاً متناسقاً متماثلاً.</w:t>
      </w:r>
      <w:r w:rsidRPr="002F37CE">
        <w:rPr>
          <w:rFonts w:eastAsia="Times New Roman"/>
          <w:kern w:val="0"/>
          <w:vertAlign w:val="superscript"/>
          <w:rtl/>
          <w:lang w:bidi="ar-JO"/>
          <w14:ligatures w14:val="none"/>
        </w:rPr>
        <w:footnoteReference w:customMarkFollows="1" w:id="193"/>
        <w:t>13</w:t>
      </w:r>
    </w:p>
    <w:p w14:paraId="1EA25278"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p>
    <w:p w14:paraId="5442959E"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F37CE">
        <w:rPr>
          <w:rFonts w:eastAsia="Times New Roman"/>
          <w:kern w:val="0"/>
          <w:rtl/>
          <w:lang w:bidi="ar-JO"/>
          <w14:ligatures w14:val="none"/>
        </w:rPr>
        <w:t>أ</w:t>
      </w:r>
      <w:r w:rsidRPr="002F37CE">
        <w:rPr>
          <w:rFonts w:eastAsia="Times New Roman"/>
          <w:kern w:val="0"/>
          <w:rtl/>
          <w:lang w:bidi="ar-JO"/>
          <w14:ligatures w14:val="none"/>
        </w:rPr>
        <w:tab/>
      </w:r>
      <w:r w:rsidRPr="002F37CE">
        <w:rPr>
          <w:rFonts w:eastAsia="Times New Roman"/>
          <w:kern w:val="0"/>
          <w:rtl/>
          <w:lang w:bidi="ar-JO"/>
          <w14:ligatures w14:val="none"/>
        </w:rPr>
        <w:tab/>
        <w:t>6: 1-10</w:t>
      </w:r>
    </w:p>
    <w:p w14:paraId="1972A7F1"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2F37CE">
        <w:rPr>
          <w:rFonts w:eastAsia="Times New Roman"/>
          <w:kern w:val="0"/>
          <w:rtl/>
          <w:lang w:bidi="ar-JO"/>
          <w14:ligatures w14:val="none"/>
        </w:rPr>
        <w:tab/>
        <w:t>ب</w:t>
      </w:r>
      <w:r w:rsidRPr="002F37CE">
        <w:rPr>
          <w:rFonts w:eastAsia="Times New Roman"/>
          <w:kern w:val="0"/>
          <w:rtl/>
          <w:lang w:bidi="ar-JO"/>
          <w14:ligatures w14:val="none"/>
        </w:rPr>
        <w:tab/>
        <w:t>6: 11-32</w:t>
      </w:r>
    </w:p>
    <w:p w14:paraId="5EA17E59"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2705" w:hanging="550"/>
        <w:jc w:val="both"/>
        <w:rPr>
          <w:rFonts w:eastAsia="Times New Roman"/>
          <w:kern w:val="0"/>
          <w:rtl/>
          <w:lang w:bidi="ar-JO"/>
          <w14:ligatures w14:val="none"/>
        </w:rPr>
      </w:pPr>
      <w:r w:rsidRPr="002F37CE">
        <w:rPr>
          <w:rFonts w:eastAsia="Times New Roman"/>
          <w:kern w:val="0"/>
          <w:rtl/>
          <w:lang w:bidi="ar-JO"/>
          <w14:ligatures w14:val="none"/>
        </w:rPr>
        <w:tab/>
      </w:r>
      <w:r w:rsidRPr="002F37CE">
        <w:rPr>
          <w:rFonts w:eastAsia="Times New Roman"/>
          <w:kern w:val="0"/>
          <w:rtl/>
          <w:lang w:bidi="ar-JO"/>
          <w14:ligatures w14:val="none"/>
        </w:rPr>
        <w:tab/>
        <w:t>جـ</w:t>
      </w:r>
      <w:r w:rsidRPr="002F37CE">
        <w:rPr>
          <w:rFonts w:eastAsia="Times New Roman"/>
          <w:kern w:val="0"/>
          <w:rtl/>
          <w:lang w:bidi="ar-JO"/>
          <w14:ligatures w14:val="none"/>
        </w:rPr>
        <w:tab/>
        <w:t>6: 33-7: 18</w:t>
      </w:r>
    </w:p>
    <w:p w14:paraId="74790634"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2F37CE">
        <w:rPr>
          <w:rFonts w:eastAsia="Times New Roman"/>
          <w:kern w:val="0"/>
          <w:rtl/>
          <w:lang w:bidi="ar-JO"/>
          <w14:ligatures w14:val="none"/>
        </w:rPr>
        <w:tab/>
        <w:t>ب َ</w:t>
      </w:r>
      <w:r w:rsidRPr="002F37CE">
        <w:rPr>
          <w:rFonts w:eastAsia="Times New Roman"/>
          <w:kern w:val="0"/>
          <w:rtl/>
          <w:lang w:bidi="ar-JO"/>
          <w14:ligatures w14:val="none"/>
        </w:rPr>
        <w:tab/>
        <w:t>7: 19-8: 21</w:t>
      </w:r>
    </w:p>
    <w:p w14:paraId="61EFEBFB"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F37CE">
        <w:rPr>
          <w:rFonts w:eastAsia="Times New Roman"/>
          <w:kern w:val="0"/>
          <w:rtl/>
          <w:lang w:bidi="ar-JO"/>
          <w14:ligatures w14:val="none"/>
        </w:rPr>
        <w:t>أ َ</w:t>
      </w:r>
      <w:r w:rsidRPr="002F37CE">
        <w:rPr>
          <w:rFonts w:eastAsia="Times New Roman"/>
          <w:kern w:val="0"/>
          <w:rtl/>
          <w:lang w:bidi="ar-JO"/>
          <w14:ligatures w14:val="none"/>
        </w:rPr>
        <w:tab/>
        <w:t>8: 22-32</w:t>
      </w:r>
    </w:p>
    <w:p w14:paraId="4C3CD606" w14:textId="77777777" w:rsidR="006A7C83" w:rsidRPr="002F37CE" w:rsidRDefault="006A7C83" w:rsidP="00C7130A">
      <w:pPr>
        <w:rPr>
          <w:rFonts w:eastAsia="Times New Roman"/>
          <w:kern w:val="0"/>
          <w:rtl/>
          <w14:ligatures w14:val="none"/>
        </w:rPr>
      </w:pPr>
    </w:p>
    <w:p w14:paraId="54EB75DA" w14:textId="0AD7553F"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توجد صلات من حيث الأفكار والمضامين بين القسمين أ و</w:t>
      </w:r>
      <w:r w:rsidR="00915244" w:rsidRPr="002F37CE">
        <w:rPr>
          <w:rFonts w:eastAsia="Times New Roman"/>
          <w:kern w:val="0"/>
          <w:rtl/>
          <w:lang w:bidi="ar-JO"/>
          <w14:ligatures w14:val="none"/>
        </w:rPr>
        <w:t xml:space="preserve"> </w:t>
      </w:r>
      <w:r w:rsidRPr="002F37CE">
        <w:rPr>
          <w:rFonts w:eastAsia="Times New Roman"/>
          <w:kern w:val="0"/>
          <w:rtl/>
          <w:lang w:bidi="ar-JO"/>
          <w14:ligatures w14:val="none"/>
        </w:rPr>
        <w:t xml:space="preserve">أ َ، ويتّبع كلاهما نمط أ ب.  وتوجد صلات من حيث الأفكار والمضامين بين ب و بَ، ويتبع كلاهما نمطاً تناوبياً.  أمّا القسم المتبقّي جـ فله تركيب فريد خاص به يتضمن ترتيباً موحّد المراكز.  وهكذا يقوم النمط البنيوي الكلي لرواية جدعون بإبراز القسم الأوسط 6: 33-7: 18 والتركيز عليه. </w:t>
      </w:r>
    </w:p>
    <w:p w14:paraId="68150595" w14:textId="77777777" w:rsidR="006A7C83" w:rsidRPr="00C7130A" w:rsidRDefault="006A7C83" w:rsidP="00C7130A">
      <w:pPr>
        <w:rPr>
          <w:rFonts w:eastAsia="Times New Roman"/>
          <w:kern w:val="0"/>
          <w:szCs w:val="18"/>
          <w:rtl/>
          <w:lang w:bidi="ar-KW"/>
          <w14:ligatures w14:val="none"/>
        </w:rPr>
      </w:pPr>
    </w:p>
    <w:p w14:paraId="098419B9" w14:textId="77777777" w:rsidR="006A7C83" w:rsidRPr="00C7130A" w:rsidRDefault="006A7C83" w:rsidP="00C7130A">
      <w:pPr>
        <w:rPr>
          <w:rFonts w:eastAsia="Times New Roman"/>
          <w:kern w:val="0"/>
          <w:szCs w:val="18"/>
          <w:rtl/>
          <w14:ligatures w14:val="none"/>
        </w:rPr>
      </w:pPr>
    </w:p>
    <w:p w14:paraId="2BDB7399" w14:textId="77777777" w:rsidR="006A7C83" w:rsidRPr="00C7130A" w:rsidRDefault="006A7C83" w:rsidP="000558B7">
      <w:pPr>
        <w:pStyle w:val="Heading3"/>
        <w:rPr>
          <w:rtl/>
          <w:lang w:bidi="ar-JO"/>
        </w:rPr>
      </w:pPr>
      <w:bookmarkStart w:id="395" w:name="_Toc193031138"/>
      <w:r w:rsidRPr="00C7130A">
        <w:rPr>
          <w:rtl/>
          <w:lang w:bidi="ar-JO"/>
        </w:rPr>
        <w:t>5.</w:t>
      </w:r>
      <w:r w:rsidRPr="00C7130A">
        <w:rPr>
          <w:rtl/>
          <w:lang w:bidi="ar-JO"/>
        </w:rPr>
        <w:tab/>
        <w:t>تضمينات النمط البنيوي لسفر القضاة</w:t>
      </w:r>
      <w:bookmarkEnd w:id="395"/>
      <w:r w:rsidRPr="00C7130A">
        <w:rPr>
          <w:rtl/>
          <w:lang w:bidi="ar-JO"/>
        </w:rPr>
        <w:t xml:space="preserve"> </w:t>
      </w:r>
    </w:p>
    <w:p w14:paraId="1CEE8090" w14:textId="77777777" w:rsidR="006A7C83" w:rsidRPr="002F37CE" w:rsidRDefault="006A7C83" w:rsidP="00C7130A">
      <w:pPr>
        <w:tabs>
          <w:tab w:val="left" w:pos="454"/>
        </w:tabs>
        <w:spacing w:after="60"/>
        <w:ind w:left="550" w:hanging="550"/>
        <w:jc w:val="both"/>
        <w:rPr>
          <w:rFonts w:eastAsia="Times New Roman"/>
          <w:bCs/>
          <w:kern w:val="0"/>
          <w:rtl/>
          <w14:ligatures w14:val="none"/>
        </w:rPr>
      </w:pPr>
      <w:r w:rsidRPr="002F37CE">
        <w:rPr>
          <w:rFonts w:eastAsia="Times New Roman"/>
          <w:bCs/>
          <w:kern w:val="0"/>
          <w:rtl/>
          <w14:ligatures w14:val="none"/>
        </w:rPr>
        <w:t>أ.</w:t>
      </w:r>
      <w:r w:rsidRPr="002F37CE">
        <w:rPr>
          <w:rFonts w:eastAsia="Times New Roman"/>
          <w:bCs/>
          <w:kern w:val="0"/>
          <w:rtl/>
          <w14:ligatures w14:val="none"/>
        </w:rPr>
        <w:tab/>
        <w:t>مبدأ التناسق المنظِّم</w:t>
      </w:r>
    </w:p>
    <w:p w14:paraId="04C6CED6"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تقودنا دراسة سفر القضاة من خلال النهج التركيـبـي أو البنيوي للتنميط النصّي إلى ملاحظتين: الملاحظة الأولى هي أن سفر القضاة ككل مبني على نمط قلب (عكس) متناسق تحتل فيه رواية جدعون في الأصحاحات 6-8 النقطة المركزية؛ والملاحظة الثانية هي أن رواية جدعون هي نفسها مركَّبة أيضاً على أساس نمط قلب (عكس) متناسق، ونقطتها المركزية هي 6: 33-7: 18.  وإنه لأمر ذو دلالة أن نفس أسلوب البناء أو التركيب الذي يميّز السفر ككل يميّز رواية جدعون نفسها.  وتشكّل الارتباطات بين الأقسام المبنية على خطوط توازٍ في الأفكار والمضامين المبدأ المنظِّم للترتيب المتناسق.  ويمكن تصوير الأنماط التي تشكّل أساس هاتين الملاحظتين كما يلي:</w:t>
      </w:r>
    </w:p>
    <w:p w14:paraId="59F995E6"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bookmarkStart w:id="396" w:name="_MON_1166854519"/>
    <w:bookmarkEnd w:id="396"/>
    <w:p w14:paraId="56F86E32" w14:textId="77777777" w:rsidR="006A7C83" w:rsidRPr="00C7130A" w:rsidRDefault="006A7C83" w:rsidP="00C7130A">
      <w:pPr>
        <w:jc w:val="center"/>
        <w:rPr>
          <w:rFonts w:eastAsia="Times New Roman"/>
          <w:kern w:val="0"/>
          <w:sz w:val="32"/>
          <w:szCs w:val="18"/>
          <w:rtl/>
          <w:lang w:bidi="ar-JO"/>
          <w14:ligatures w14:val="none"/>
        </w:rPr>
      </w:pPr>
      <w:r w:rsidRPr="00C7130A">
        <w:rPr>
          <w:rFonts w:eastAsia="Times New Roman"/>
          <w:kern w:val="0"/>
          <w:szCs w:val="18"/>
          <w:rtl/>
          <w14:ligatures w14:val="none"/>
        </w:rPr>
        <w:object w:dxaOrig="5400" w:dyaOrig="4200" w14:anchorId="1875CE33">
          <v:shape id="_x0000_i1043" type="#_x0000_t75" style="width:456.6pt;height:330pt" o:ole="">
            <v:imagedata r:id="rId87" o:title=""/>
          </v:shape>
          <o:OLEObject Type="Embed" ProgID="PowerPoint.Show.8" ShapeID="_x0000_i1043" DrawAspect="Content" ObjectID="_1803892158" r:id="rId88"/>
        </w:object>
      </w:r>
    </w:p>
    <w:p w14:paraId="6EF3D437" w14:textId="77777777" w:rsidR="006A7C83" w:rsidRPr="002F37CE" w:rsidRDefault="006A7C83" w:rsidP="00C7130A">
      <w:pPr>
        <w:tabs>
          <w:tab w:val="left" w:pos="454"/>
        </w:tabs>
        <w:spacing w:after="60"/>
        <w:ind w:left="550" w:hanging="550"/>
        <w:jc w:val="both"/>
        <w:rPr>
          <w:rFonts w:eastAsia="Times New Roman"/>
          <w:bCs/>
          <w:kern w:val="0"/>
          <w:rtl/>
          <w14:ligatures w14:val="none"/>
        </w:rPr>
      </w:pPr>
      <w:r w:rsidRPr="002F37CE">
        <w:rPr>
          <w:rFonts w:eastAsia="Times New Roman"/>
          <w:bCs/>
          <w:kern w:val="0"/>
          <w:rtl/>
          <w14:ligatures w14:val="none"/>
        </w:rPr>
        <w:t>ب.</w:t>
      </w:r>
      <w:r w:rsidRPr="002F37CE">
        <w:rPr>
          <w:rFonts w:eastAsia="Times New Roman"/>
          <w:bCs/>
          <w:kern w:val="0"/>
          <w:rtl/>
          <w14:ligatures w14:val="none"/>
        </w:rPr>
        <w:tab/>
        <w:t xml:space="preserve">رواية جدعون بصفتها نقطة التحوّل في سفر القضاة </w:t>
      </w:r>
    </w:p>
    <w:p w14:paraId="1B21397E"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تلعب رواية جدعون دور النقطة المركزية للسفر كلّه، لأنها تمثّل نقلة هامّة في "نوعية" القضاة الذين خدموا إسرائيل.  إذ يبدأ انحطاط تدرّجي بعثنيئيل ويستمر حتى شمشون.</w:t>
      </w:r>
      <w:r w:rsidRPr="002F37CE">
        <w:rPr>
          <w:rFonts w:eastAsia="Times New Roman"/>
          <w:kern w:val="0"/>
          <w:vertAlign w:val="superscript"/>
          <w:rtl/>
          <w:lang w:bidi="ar-JO"/>
          <w14:ligatures w14:val="none"/>
        </w:rPr>
        <w:footnoteReference w:customMarkFollows="1" w:id="194"/>
        <w:t>14</w:t>
      </w:r>
      <w:r w:rsidRPr="002F37CE">
        <w:rPr>
          <w:rFonts w:eastAsia="Times New Roman"/>
          <w:kern w:val="0"/>
          <w:rtl/>
          <w:lang w:bidi="ar-JO"/>
          <w14:ligatures w14:val="none"/>
        </w:rPr>
        <w:t xml:space="preserve"> كان عثنيئيل قاضياً مثالياً تقريباً، أمّا شمشون فكان فرداً متمحوراً حول نفسه وخليعاً.  وقد استخدم الله كل قاضٍ، سواء كان قويّاً أم ضعيفاً لكي ينجز إرادته السيادية ويحقّق الإنقاذ للأمة الثيوقراطية.</w:t>
      </w:r>
      <w:r w:rsidRPr="002F37CE">
        <w:rPr>
          <w:rFonts w:eastAsia="Times New Roman"/>
          <w:kern w:val="0"/>
          <w:vertAlign w:val="superscript"/>
          <w:rtl/>
          <w:lang w:bidi="ar-JO"/>
          <w14:ligatures w14:val="none"/>
        </w:rPr>
        <w:footnoteReference w:customMarkFollows="1" w:id="195"/>
        <w:t>15</w:t>
      </w:r>
      <w:r w:rsidRPr="002F37CE">
        <w:rPr>
          <w:rFonts w:eastAsia="Times New Roman"/>
          <w:kern w:val="0"/>
          <w:rtl/>
          <w:lang w:bidi="ar-JO"/>
          <w14:ligatures w14:val="none"/>
        </w:rPr>
        <w:t xml:space="preserve"> أمّا جدعون فيقف بين طرفي النقيض هذين ويمثّل نقطة التحوّل الرئيسية من القضاة "الأفضل نوعاً ما" إلى القضاة "الأضعف".</w:t>
      </w:r>
      <w:r w:rsidRPr="002F37CE">
        <w:rPr>
          <w:rFonts w:eastAsia="Times New Roman"/>
          <w:kern w:val="0"/>
          <w:vertAlign w:val="superscript"/>
          <w:rtl/>
          <w:lang w:bidi="ar-JO"/>
          <w14:ligatures w14:val="none"/>
        </w:rPr>
        <w:footnoteReference w:customMarkFollows="1" w:id="196"/>
        <w:t>16</w:t>
      </w:r>
      <w:r w:rsidRPr="002F37CE">
        <w:rPr>
          <w:rFonts w:eastAsia="Times New Roman"/>
          <w:kern w:val="0"/>
          <w:rtl/>
          <w:lang w:bidi="ar-JO"/>
          <w14:ligatures w14:val="none"/>
        </w:rPr>
        <w:t xml:space="preserve"> </w:t>
      </w:r>
    </w:p>
    <w:p w14:paraId="64A765D2"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4FA1B55"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F37CE">
        <w:rPr>
          <w:rFonts w:eastAsia="Times New Roman"/>
          <w:i/>
          <w:iCs/>
          <w:kern w:val="0"/>
          <w:rtl/>
          <w:lang w:bidi="ar-JO"/>
          <w14:ligatures w14:val="none"/>
        </w:rPr>
        <w:t>روايات عثنيئيل وإهود ودبّورة-باراق.</w:t>
      </w:r>
      <w:r w:rsidRPr="002F37CE">
        <w:rPr>
          <w:rFonts w:eastAsia="Times New Roman"/>
          <w:kern w:val="0"/>
          <w:rtl/>
          <w14:ligatures w14:val="none"/>
        </w:rPr>
        <w:t xml:space="preserve"> </w:t>
      </w:r>
      <w:r w:rsidRPr="002F37CE">
        <w:rPr>
          <w:rFonts w:eastAsia="Times New Roman"/>
          <w:kern w:val="0"/>
          <w:rtl/>
          <w:lang w:bidi="ar-JO"/>
          <w14:ligatures w14:val="none"/>
        </w:rPr>
        <w:t>قام عثنيئيل، أول القضاة، بتخليص إسرائيل من كوشان ملك رشعتايم في بلاد ما بين النهرين.  وهذا مسجّل بطريقة موجزة مباشرة في 3: 7-11.  ولا يذكر النص تصريحاً أو تلميحاً أية عيوب في طبيعته الأخلاقية.  ويبدو أن النص يوضّح تماماً المبدأ الإلهي للتعامل مع الأمة الذي تم الحديث عنه في المقدّمة الثانية في 2: 11-23.  ولهذا ظهر عثنيئيل على المسرح أصلاً كشخصية بطولية، إذ كان قد تم تقديمه لنا في 1: 11-15 بصفته قريباً للبطل كالب الذي استولى على دبير (المعروفة أيضاً باسم قريات سِفر).  وربما تكون هنالك دلالة لبروز عثنيئيل من سبط يهوذا.  كان القاضي الثاني إهود أعسر من سبط بنيامين، وهو ُيقدَّم لنا من منظور إيجابي.  وكان باراق محارباً شجاعاً قاد إسرائيل إلى نصر كبير على قوّات يابين، ملك كنعان.  لكن ما يشوب سجّله نوعاً ما تردّده في اتباع أوامر الله المعطاة له من خلال دبّورة، وهذه غلطة كلّفته حرمانه من أسر قائد العدو في المعركة (4: 8-9).</w:t>
      </w:r>
    </w:p>
    <w:p w14:paraId="09F750E4"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6FE6F977"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i/>
          <w:iCs/>
          <w:kern w:val="0"/>
          <w:rtl/>
          <w:lang w:bidi="ar-JO"/>
          <w14:ligatures w14:val="none"/>
        </w:rPr>
        <w:t xml:space="preserve">رواية جدعون. </w:t>
      </w:r>
      <w:r w:rsidRPr="002F37CE">
        <w:rPr>
          <w:rFonts w:eastAsia="Times New Roman"/>
          <w:kern w:val="0"/>
          <w:rtl/>
          <w:lang w:bidi="ar-JO"/>
          <w14:ligatures w14:val="none"/>
        </w:rPr>
        <w:t>وبمجيء جدعون، تصبح روايات القضاة أكثر تعقيداً.  ففي حين أن رواية عثنيئيل قصيرة جدّاً، فإن الروايتين التاليتين (إهود ودبّورة – باراق) أطول فأطول: وبالمقارنة فإن رواية جدعون أطول بكثير، ويظل هذا هو المبدأ الحاكم بالنسبة لبقية سفر القضاة.</w:t>
      </w:r>
      <w:r w:rsidRPr="002F37CE">
        <w:rPr>
          <w:rFonts w:eastAsia="Times New Roman"/>
          <w:kern w:val="0"/>
          <w:vertAlign w:val="superscript"/>
          <w:rtl/>
          <w:lang w:bidi="ar-JO"/>
          <w14:ligatures w14:val="none"/>
        </w:rPr>
        <w:footnoteReference w:customMarkFollows="1" w:id="197"/>
        <w:t>17</w:t>
      </w:r>
      <w:r w:rsidRPr="002F37CE">
        <w:rPr>
          <w:rFonts w:eastAsia="Times New Roman"/>
          <w:kern w:val="0"/>
          <w:rtl/>
          <w:lang w:bidi="ar-JO"/>
          <w14:ligatures w14:val="none"/>
        </w:rPr>
        <w:t xml:space="preserve"> وتعكس أيضاً رواية جدعون تعقيداً أكبر يتمثّل في وجود توسّع أكبر في الحديث عن جدعون كشخص ووجود ملاحظات أكثر سلبية في الرواية.  وفي نفس الوقت تشكّل رواية جدعون نقلة في حالة الأمة المتدهورة في علاقتها بيهوه تنعكس في تعامل الله بصرامة أكبر مع الأمّة.  وعلى الرغم من وجود العبارة المتكررة المألوفة "وعمل بنو إسرائيل الشر في عيني الرب" في 6: 1، إلاّ أن رواية جدعون ليست مجرّد دورة ارتداد أخرى بنفس درجة الدورات السابقة.  فقد وصلت حالة ارتداد الأمة إلى نقطة أحط وأدنى، وممّا يؤكد هذا أن الرب أرسل نبيّاً غير مسمّى ليوبّخهم (4: 7-10) قبل أن يُقيم "قاضياً" ليعالج الأزمة المديانية.</w:t>
      </w:r>
    </w:p>
    <w:p w14:paraId="0AFD44BE"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142DFE7"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 xml:space="preserve">ويتم ابراز هذا الارتداد والتركيز عليه بواسطة النقلة في الطبيعة الأخلاقية للشخص الذي اختاره الله </w:t>
      </w:r>
      <w:r w:rsidRPr="002F37CE">
        <w:rPr>
          <w:rFonts w:eastAsia="Times New Roman"/>
          <w:i/>
          <w:iCs/>
          <w:kern w:val="0"/>
          <w:rtl/>
          <w:lang w:bidi="ar-JO"/>
          <w14:ligatures w14:val="none"/>
        </w:rPr>
        <w:t>منقذاً</w:t>
      </w:r>
      <w:r w:rsidRPr="002F37CE">
        <w:rPr>
          <w:rFonts w:eastAsia="Times New Roman"/>
          <w:kern w:val="0"/>
          <w:rtl/>
          <w:lang w:bidi="ar-JO"/>
          <w14:ligatures w14:val="none"/>
        </w:rPr>
        <w:t>.  لم يكن جدعون مثالاً نبيلاً بنفس درجة عثنيئيل سابقاً.  ومن المؤكد أن ظهور جدعون كان خبراً سارّاً لبني إسرائيل لأنه حقق لهم الخلاص من المديانيين (وقد تصرّف ببسالة ونبل في عدّة مواضع من القصّة)، لكنه جاهد لكي يصدّق الله، وكانت هناك عيوب في طبيعته الأخلاقية كما نرى من المواقف التالية:</w:t>
      </w:r>
    </w:p>
    <w:p w14:paraId="6D946134"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F37CE">
        <w:rPr>
          <w:rFonts w:eastAsia="Times New Roman"/>
          <w:kern w:val="0"/>
          <w:rtl/>
          <w:lang w:bidi="ar-JO"/>
          <w14:ligatures w14:val="none"/>
        </w:rPr>
        <w:t>عبّر بشكل متشكك عن خيبة أمله في تعامل الله الحالي مع الأمّة (6: 13).</w:t>
      </w:r>
    </w:p>
    <w:p w14:paraId="7062023F"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F37CE">
        <w:rPr>
          <w:rFonts w:eastAsia="Times New Roman"/>
          <w:kern w:val="0"/>
          <w:rtl/>
          <w:lang w:bidi="ar-JO"/>
          <w14:ligatures w14:val="none"/>
        </w:rPr>
        <w:t xml:space="preserve"> تردّد في قبول دعوة الله له ليكون منقذاً (6: 15).</w:t>
      </w:r>
    </w:p>
    <w:p w14:paraId="7AFD1C8D" w14:textId="11806579"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F37CE">
        <w:rPr>
          <w:rFonts w:eastAsia="Times New Roman"/>
          <w:kern w:val="0"/>
          <w:rtl/>
          <w:lang w:bidi="ar-JO"/>
          <w14:ligatures w14:val="none"/>
        </w:rPr>
        <w:lastRenderedPageBreak/>
        <w:t xml:space="preserve">احتاج إلى علامة تؤكد أن الدعوة كانت من الله فعلاً (6: 17). </w:t>
      </w:r>
    </w:p>
    <w:p w14:paraId="5B3D3C31"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F37CE">
        <w:rPr>
          <w:rFonts w:eastAsia="Times New Roman"/>
          <w:kern w:val="0"/>
          <w:rtl/>
          <w:lang w:bidi="ar-JO"/>
          <w14:ligatures w14:val="none"/>
        </w:rPr>
        <w:t>على الرغم من أنه أطاع الرب بهدمه لمذبح البعل، إلاّ أنه فعل ذلك ليلاً لأنه خاف من رجال القرية (6: 27).</w:t>
      </w:r>
    </w:p>
    <w:p w14:paraId="573AFE17"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F37CE">
        <w:rPr>
          <w:rFonts w:eastAsia="Times New Roman"/>
          <w:kern w:val="0"/>
          <w:rtl/>
          <w:lang w:bidi="ar-JO"/>
          <w14:ligatures w14:val="none"/>
        </w:rPr>
        <w:t>تكشف حادثة الجزّة عدم إيمانه، لأنها لم تكن إلاّ محاولة للحصول على تثبيت لما سبق أن عرفه فعلاً عن إرادة الله (6: 36-37)</w:t>
      </w:r>
    </w:p>
    <w:p w14:paraId="0D328D7A"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2F37CE">
        <w:rPr>
          <w:rFonts w:eastAsia="Times New Roman"/>
          <w:kern w:val="0"/>
          <w:rtl/>
          <w:lang w:bidi="ar-JO"/>
          <w14:ligatures w14:val="none"/>
        </w:rPr>
        <w:t xml:space="preserve"> اتّخذ إجراءات انتقامية متطرفة ضد أبناء جنسه من بني إسرائيل في سكوث وفنوئيل (8: 16-17).</w:t>
      </w:r>
      <w:r w:rsidRPr="002F37CE">
        <w:rPr>
          <w:rFonts w:eastAsia="Times New Roman"/>
          <w:kern w:val="0"/>
          <w:vertAlign w:val="superscript"/>
          <w:rtl/>
          <w:lang w:bidi="ar-JO"/>
          <w14:ligatures w14:val="none"/>
        </w:rPr>
        <w:footnoteReference w:customMarkFollows="1" w:id="198"/>
        <w:t>18</w:t>
      </w:r>
    </w:p>
    <w:p w14:paraId="676A41FB"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F37CE">
        <w:rPr>
          <w:rFonts w:eastAsia="Times New Roman"/>
          <w:kern w:val="0"/>
          <w:rtl/>
          <w:lang w:bidi="ar-JO"/>
          <w14:ligatures w14:val="none"/>
        </w:rPr>
        <w:t xml:space="preserve"> لقد أسفر صنعه للأفود عن قيام الأمة بلعب دور العاهرة، مستخدمين إياها لعبادة الأصنام (8: 27).</w:t>
      </w:r>
    </w:p>
    <w:p w14:paraId="72723104"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2F37CE">
        <w:rPr>
          <w:rFonts w:eastAsia="Times New Roman"/>
          <w:kern w:val="0"/>
          <w:rtl/>
          <w:lang w:bidi="ar-JO"/>
          <w14:ligatures w14:val="none"/>
        </w:rPr>
        <w:t xml:space="preserve"> على الرغم من أنه رفض أن يقيم حكماً ملكياً، إلاّ أن أعماله تبيّن أنه كان يشتهي هذا المجد لنفسه (8: 23-31).</w:t>
      </w:r>
      <w:r w:rsidRPr="002F37CE">
        <w:rPr>
          <w:rFonts w:eastAsia="Times New Roman"/>
          <w:kern w:val="0"/>
          <w:vertAlign w:val="superscript"/>
          <w:rtl/>
          <w:lang w:bidi="ar-JO"/>
          <w14:ligatures w14:val="none"/>
        </w:rPr>
        <w:footnoteReference w:customMarkFollows="1" w:id="199"/>
        <w:t>19</w:t>
      </w:r>
    </w:p>
    <w:p w14:paraId="21CF69CE"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2F37CE">
        <w:rPr>
          <w:rFonts w:eastAsia="Times New Roman"/>
          <w:kern w:val="0"/>
          <w:rtl/>
          <w:lang w:bidi="ar-JO"/>
          <w14:ligatures w14:val="none"/>
        </w:rPr>
        <w:t xml:space="preserve"> سعى إلى أن يكون له "حريم"، بالإضافة إلى اتخاذه سريّة من شكيم (8: 30-31).</w:t>
      </w:r>
    </w:p>
    <w:p w14:paraId="2D1AC759"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يمكننا أن نضيف إلى كل ذلك أن أباه كان قائد جماعة في ديانة البعل (6: 25-27).  ومن الواضح أن هنالك ظلاًّ من الشك يخيم فوق جدعون، وأن القضاة الذين خلفوه كانوا أسوأ منه بطريقة لا يرقى إليها الشك.</w:t>
      </w:r>
    </w:p>
    <w:p w14:paraId="775E6E0E"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CB10F49"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i/>
          <w:iCs/>
          <w:kern w:val="0"/>
          <w:rtl/>
          <w:lang w:bidi="ar-JO"/>
          <w14:ligatures w14:val="none"/>
        </w:rPr>
        <w:t>رواية أبيمالك.</w:t>
      </w:r>
      <w:r w:rsidRPr="002F37CE">
        <w:rPr>
          <w:rFonts w:eastAsia="Times New Roman"/>
          <w:kern w:val="0"/>
          <w:rtl/>
          <w14:ligatures w14:val="none"/>
        </w:rPr>
        <w:t xml:space="preserve"> </w:t>
      </w:r>
      <w:r w:rsidRPr="002F37CE">
        <w:rPr>
          <w:rFonts w:eastAsia="Times New Roman"/>
          <w:kern w:val="0"/>
          <w:rtl/>
          <w:lang w:bidi="ar-JO"/>
          <w14:ligatures w14:val="none"/>
        </w:rPr>
        <w:t xml:space="preserve">من الواضح أن رواية أبيمالك تختلف عن الروايات الأخرى في السلسلة.  وليس الهدف منها إظهاره "قاضياً"، بل إكمال مسألة هامّة جدّاً طُرحت في رواية جدعون.  فقد سبق أن طرحت رواية جدعون مسألة السلالة </w:t>
      </w:r>
      <w:r w:rsidRPr="002F37CE">
        <w:rPr>
          <w:rFonts w:eastAsia="Times New Roman"/>
          <w:kern w:val="0"/>
          <w:rtl/>
          <w:lang w:bidi="ar-JO"/>
          <w14:ligatures w14:val="none"/>
        </w:rPr>
        <w:lastRenderedPageBreak/>
        <w:t>الملكية (8: 22-23).</w:t>
      </w:r>
      <w:r w:rsidRPr="002F37CE">
        <w:rPr>
          <w:rFonts w:eastAsia="Times New Roman"/>
          <w:kern w:val="0"/>
          <w:vertAlign w:val="superscript"/>
          <w:rtl/>
          <w:lang w:bidi="ar-JO"/>
          <w14:ligatures w14:val="none"/>
        </w:rPr>
        <w:footnoteReference w:customMarkFollows="1" w:id="200"/>
        <w:t>20</w:t>
      </w:r>
      <w:r w:rsidRPr="002F37CE">
        <w:rPr>
          <w:rFonts w:eastAsia="Times New Roman"/>
          <w:kern w:val="0"/>
          <w:rtl/>
          <w:lang w:bidi="ar-JO"/>
          <w14:ligatures w14:val="none"/>
        </w:rPr>
        <w:t xml:space="preserve"> وهاهي رواية أبيمالك تُظهر إمكانية الشر التي يمكن أن يحملها مثل هذا الترتيب السياسي بين يدي فرد منحل يفتقر إلى الكفاءة.</w:t>
      </w:r>
      <w:r w:rsidRPr="002F37CE">
        <w:rPr>
          <w:rFonts w:eastAsia="Times New Roman"/>
          <w:kern w:val="0"/>
          <w:vertAlign w:val="superscript"/>
          <w:rtl/>
          <w:lang w:bidi="ar-JO"/>
          <w14:ligatures w14:val="none"/>
        </w:rPr>
        <w:footnoteReference w:customMarkFollows="1" w:id="201"/>
        <w:t>21</w:t>
      </w:r>
    </w:p>
    <w:p w14:paraId="2FA45BA2"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4F5C0FEC"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i/>
          <w:iCs/>
          <w:kern w:val="0"/>
          <w:rtl/>
          <w:lang w:bidi="ar-JO"/>
          <w14:ligatures w14:val="none"/>
        </w:rPr>
        <w:t>رواية يفتاح</w:t>
      </w:r>
      <w:r w:rsidRPr="002F37CE">
        <w:rPr>
          <w:rFonts w:eastAsia="Times New Roman"/>
          <w:i/>
          <w:iCs/>
          <w:kern w:val="0"/>
          <w:rtl/>
          <w14:ligatures w14:val="none"/>
        </w:rPr>
        <w:t>.</w:t>
      </w:r>
      <w:r w:rsidRPr="002F37CE">
        <w:rPr>
          <w:rFonts w:eastAsia="Times New Roman"/>
          <w:kern w:val="0"/>
          <w:rtl/>
          <w14:ligatures w14:val="none"/>
        </w:rPr>
        <w:t xml:space="preserve"> </w:t>
      </w:r>
      <w:r w:rsidRPr="002F37CE">
        <w:rPr>
          <w:rFonts w:eastAsia="Times New Roman"/>
          <w:kern w:val="0"/>
          <w:rtl/>
          <w:lang w:bidi="ar-JO"/>
          <w14:ligatures w14:val="none"/>
        </w:rPr>
        <w:t>يبدو أن السرد يعود بنا مع رواية يفتاح إلى موضوع القاضي الفعلي، لكن تشخيصه كقاضٍ جدير ذي كرامة أمر مشكوك فيه.  يقول بلوك:</w:t>
      </w:r>
    </w:p>
    <w:p w14:paraId="19DBA1CF"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2F37CE">
        <w:rPr>
          <w:rFonts w:eastAsia="Times New Roman"/>
          <w:kern w:val="0"/>
          <w:rtl/>
          <w:lang w:bidi="ar-JO"/>
          <w14:ligatures w14:val="none"/>
        </w:rPr>
        <w:t>"لا يجعل وصف الراوي يفتاح "جبّار بأس" (</w:t>
      </w:r>
      <w:r w:rsidRPr="002F37CE">
        <w:rPr>
          <w:rFonts w:eastAsia="Times New Roman"/>
          <w:i/>
          <w:iCs/>
          <w:kern w:val="0"/>
          <w:rtl/>
          <w:lang w:bidi="ar-JO"/>
          <w14:ligatures w14:val="none"/>
        </w:rPr>
        <w:t>جبُّور خايِل</w:t>
      </w:r>
      <w:r w:rsidRPr="002F37CE">
        <w:rPr>
          <w:rFonts w:eastAsia="Times New Roman"/>
          <w:i/>
          <w:iCs/>
          <w:kern w:val="0"/>
          <w:rtl/>
          <w14:ligatures w14:val="none"/>
        </w:rPr>
        <w:t xml:space="preserve"> </w:t>
      </w:r>
      <w:r w:rsidRPr="002F37CE">
        <w:rPr>
          <w:rFonts w:eastAsia="Times New Roman"/>
          <w:bCs/>
          <w:i/>
          <w:iCs/>
          <w:kern w:val="0"/>
          <w:lang w:bidi="he-IL"/>
          <w14:ligatures w14:val="none"/>
        </w:rPr>
        <w:t>gibbôr ḥayil</w:t>
      </w:r>
      <w:r w:rsidRPr="002F37CE">
        <w:rPr>
          <w:rFonts w:eastAsia="Times New Roman"/>
          <w:kern w:val="0"/>
          <w:rtl/>
          <w:lang w:bidi="ar-JO"/>
          <w14:ligatures w14:val="none"/>
        </w:rPr>
        <w:t xml:space="preserve"> ، 11: 1) مؤهّلاً روحياً لدور منقذ في إسرائيل.  ولقد كان مرشّحاً بعيد الاحتمال للقيادة، لكونه ابناً منبوذاً لعاهرة وقائداً لعصابة من قطّاع الطرق في جبال جلعاد (11: 1-3).  وعلى الرغم من أن حواره مع العمّونيين يعكس دهاء سياسياً ووعياً بأعمال يهوه في تاريخ إسرائيل (11: 12-28)، إلاّ أن مفاوضاته مع قادة جلعاد كانت مدفوعة بالطموح الانتهازي (11: 9-11).  ويبدو نذره المتسرع الأهوج قبل معركته مع العمّونيين، مثل صفقة من تلك الصفقات التي يجريها الغرباء مع آلهتهم الوثنية (11: 30-31).</w:t>
      </w:r>
      <w:r w:rsidRPr="002F37CE">
        <w:rPr>
          <w:rFonts w:eastAsia="Times New Roman"/>
          <w:kern w:val="0"/>
          <w:vertAlign w:val="superscript"/>
          <w:rtl/>
          <w:lang w:bidi="ar-JO"/>
          <w14:ligatures w14:val="none"/>
        </w:rPr>
        <w:footnoteReference w:customMarkFollows="1" w:id="202"/>
        <w:t>22</w:t>
      </w:r>
    </w:p>
    <w:p w14:paraId="19DB4A35"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p>
    <w:p w14:paraId="0CBA9C16"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وفضلاً عن أن طبيعة يفتاح الأخلاقية هي موضع شك، يؤكد التوبيخ الذي وجّهه الله على تدهور الأمّة، كتمهيد لتقديم يفتاح في الرواية (10: 10-16).  وهذا موازٍ لرواية جدعون، مما يشير إلى أن ارتداد الأمة لم يكن مجرّد شيء دوري متكرِّر.  غير أن الوضع كان قد تدهور أكثر من الوضع في رواية جدعون، لأن الرب خطا خطوة أخرى معهم: "وأنتم قد تركتموني وعبدتم آلهة أخرى؛ لذلك لا أعود أخلّصكم.  امضوا واصرخوا للآلهة التي اخترتموها، لتخلّصكم هي في زمان ضيقكم" (10: 13-14).</w:t>
      </w:r>
    </w:p>
    <w:p w14:paraId="6E02C0BF"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AA94789"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lastRenderedPageBreak/>
        <w:t>لم يكن يفتاح، في ظل قيم التوراة، قاضياً ملائماً للأمة، غير أن هذه هي الفكرة التي يريد الكاتب إثباتها.  فمع كل جولة ارتداد، بدا أن الأمّة تنحط أكثر، وصارت استجابة الله أكثر خطورة، وكان "قاضي" الأمة أقل فأقل تأهيلاً لهذا الدور.  يوجد إذاً انسجام بين عدم وفاء الأمة ليهوه وتوراته و"نوعية" القاضي الذي يقيمه الله لكي ينقذهم.</w:t>
      </w:r>
    </w:p>
    <w:p w14:paraId="4B2A3F31"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lang w:bidi="ar-JO"/>
          <w14:ligatures w14:val="none"/>
        </w:rPr>
      </w:pPr>
    </w:p>
    <w:p w14:paraId="2EC70E59"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F37CE">
        <w:rPr>
          <w:rFonts w:eastAsia="Times New Roman"/>
          <w:i/>
          <w:iCs/>
          <w:kern w:val="0"/>
          <w:rtl/>
          <w:lang w:bidi="ar-JO"/>
          <w14:ligatures w14:val="none"/>
        </w:rPr>
        <w:t>رواية شمشون</w:t>
      </w:r>
      <w:r w:rsidRPr="002F37CE">
        <w:rPr>
          <w:rFonts w:eastAsia="Times New Roman"/>
          <w:i/>
          <w:iCs/>
          <w:kern w:val="0"/>
          <w:rtl/>
          <w14:ligatures w14:val="none"/>
        </w:rPr>
        <w:t>.</w:t>
      </w:r>
      <w:r w:rsidRPr="002F37CE">
        <w:rPr>
          <w:rFonts w:eastAsia="Times New Roman"/>
          <w:kern w:val="0"/>
          <w:rtl/>
          <w14:ligatures w14:val="none"/>
        </w:rPr>
        <w:t xml:space="preserve"> </w:t>
      </w:r>
      <w:r w:rsidRPr="002F37CE">
        <w:rPr>
          <w:rFonts w:eastAsia="Times New Roman"/>
          <w:kern w:val="0"/>
          <w:rtl/>
          <w:lang w:bidi="ar-JO"/>
          <w14:ligatures w14:val="none"/>
        </w:rPr>
        <w:t xml:space="preserve">يبدو أن قيادة شمشون تجسّد هذا المنحى.  فقد تزوّج من امرأة فلسطينية، وكان على علاقة غير شرعية مع عاهرة فلسطينية، وأحب امرأة فلسطينية أخرى هي دليلة.  وقد كانت أعماله هذه كلّها على نقيض دعوته كنذير.  وبالرغم من أنه أحدث إصابات في صفوف الفلسطينيين، إلاّ أنه لم ينقذ الأمة من القوة الأجنبية، وفي الحقيقة لم تتبعه الأمة الثيوقراطية إلى المعركة.  أمّا القاضي صموئيل الأكثر تقوى (من خلال الصلاة التشفّعية وقيادة الأمة إلى التوبة) فسيكون له امتياز رؤية هزيمة الفلسطينيين في المصفاة (1صموئيل 7).  يعلّق بلوك على مؤهلات شمشون كقاضٍ فيقول: "كان شمشون، مثله في ذلك مثل معظم القضاة الآخرين، مرشحاً بعيد الاحتمال للقيادة في إسرائيل.  ويبدو أن الراوي يؤكد على أن أية إنجازات تمّت كانت جميعاً بفضل </w:t>
      </w:r>
      <w:r w:rsidRPr="002F37CE">
        <w:rPr>
          <w:rFonts w:eastAsia="Times New Roman"/>
          <w:i/>
          <w:iCs/>
          <w:kern w:val="0"/>
          <w:rtl/>
          <w:lang w:bidi="ar-JO"/>
          <w14:ligatures w14:val="none"/>
        </w:rPr>
        <w:t>يهوه.  وقد تحققت برغم نقص الإنسان لا بفضله</w:t>
      </w:r>
      <w:r w:rsidRPr="002F37CE">
        <w:rPr>
          <w:rFonts w:eastAsia="Times New Roman"/>
          <w:kern w:val="0"/>
          <w:rtl/>
          <w:lang w:bidi="ar-JO"/>
          <w14:ligatures w14:val="none"/>
        </w:rPr>
        <w:t>."</w:t>
      </w:r>
      <w:r w:rsidRPr="002F37CE">
        <w:rPr>
          <w:rFonts w:eastAsia="Times New Roman"/>
          <w:kern w:val="0"/>
          <w:vertAlign w:val="superscript"/>
          <w:rtl/>
          <w:lang w:bidi="ar-JO"/>
          <w14:ligatures w14:val="none"/>
        </w:rPr>
        <w:footnoteReference w:customMarkFollows="1" w:id="203"/>
        <w:t>23</w:t>
      </w:r>
    </w:p>
    <w:p w14:paraId="257E341E"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2F37CE">
        <w:rPr>
          <w:rFonts w:eastAsia="Times New Roman"/>
          <w:kern w:val="0"/>
          <w:rtl/>
          <w:lang w:bidi="ar-JO"/>
          <w14:ligatures w14:val="none"/>
        </w:rPr>
        <w:t>يرى وِب أن قضاة 3: 7-16: 31 تمثّل تحركاً سردياً معقّداً واحداً تصل ذروة أفكاره ومواضيعة في رواية شمشون.  يقول: "تصبح هذه المواضيع والأفكار موضع تركيز خاص في رواية شمشون الذي يلخّص تاريخه الشخصي تاريخ إسرائيل في فترة حكم القضاة، خاصة في وضعه كنذير (</w:t>
      </w:r>
      <w:r w:rsidRPr="002F37CE">
        <w:rPr>
          <w:rFonts w:eastAsia="Times New Roman"/>
          <w:i/>
          <w:iCs/>
          <w:kern w:val="0"/>
          <w:rtl/>
          <w:lang w:bidi="ar-JO"/>
          <w14:ligatures w14:val="none"/>
        </w:rPr>
        <w:t xml:space="preserve">نزير </w:t>
      </w:r>
      <w:r w:rsidRPr="002F37CE">
        <w:rPr>
          <w:rFonts w:eastAsia="Times New Roman"/>
          <w:i/>
          <w:iCs/>
          <w:kern w:val="0"/>
          <w14:ligatures w14:val="none"/>
        </w:rPr>
        <w:t>nazir</w:t>
      </w:r>
      <w:r w:rsidRPr="002F37CE">
        <w:rPr>
          <w:rFonts w:eastAsia="Times New Roman"/>
          <w:kern w:val="0"/>
          <w:rtl/>
          <w:lang w:bidi="ar-JO"/>
          <w14:ligatures w14:val="none"/>
        </w:rPr>
        <w:t>) مفترض أن يكون منفصلاً مخصصاً لله، في ضوء تهافته على نساء أجنبيات، ودعوته باسم يهوه.</w:t>
      </w:r>
      <w:r w:rsidRPr="002F37CE">
        <w:rPr>
          <w:rFonts w:eastAsia="Times New Roman"/>
          <w:kern w:val="0"/>
          <w:vertAlign w:val="superscript"/>
          <w:rtl/>
          <w:lang w:bidi="ar-JO"/>
          <w14:ligatures w14:val="none"/>
        </w:rPr>
        <w:footnoteReference w:customMarkFollows="1" w:id="204"/>
        <w:t>24</w:t>
      </w:r>
    </w:p>
    <w:p w14:paraId="75A216D2"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p>
    <w:p w14:paraId="665271C5"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F37CE">
        <w:rPr>
          <w:rFonts w:eastAsia="Times New Roman"/>
          <w:kern w:val="0"/>
          <w:rtl/>
          <w:lang w:bidi="ar-JO"/>
          <w14:ligatures w14:val="none"/>
        </w:rPr>
        <w:t>وهكذا فإن الرواية المتعلقة بالقضاة في الجزء الرئيسي من السفر تعكس تدهوراً أكيداً، وتمثّل رواية جدعون نقطة التحوّل في هذه السلسلة.  وتوجد حقيقتان تُبرزان هذه الملاحظات: (أ) الرتيب التركيبي للنص (نمط قلب متناسق) حيث يشكّل جدعون نقطة المركز، و(ب) مع بدء رواية جدعون تصبح الروايات السردية أطول بكثير وأكثر تعقيداً بالمقارنة مع روايات القضاة الثلاث الأولى.</w:t>
      </w:r>
    </w:p>
    <w:p w14:paraId="03E37999"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Cs w:val="26"/>
          <w:rtl/>
          <w14:ligatures w14:val="none"/>
        </w:rPr>
      </w:pPr>
    </w:p>
    <w:p w14:paraId="48BC8CB1" w14:textId="77777777" w:rsidR="006A7C83" w:rsidRPr="002F37CE" w:rsidRDefault="006A7C83" w:rsidP="00C7130A">
      <w:pPr>
        <w:tabs>
          <w:tab w:val="left" w:pos="454"/>
        </w:tabs>
        <w:spacing w:after="60"/>
        <w:ind w:left="550" w:hanging="550"/>
        <w:jc w:val="both"/>
        <w:rPr>
          <w:rFonts w:eastAsia="Times New Roman"/>
          <w:bCs/>
          <w:kern w:val="0"/>
          <w:rtl/>
          <w14:ligatures w14:val="none"/>
        </w:rPr>
      </w:pPr>
      <w:r w:rsidRPr="002F37CE">
        <w:rPr>
          <w:rFonts w:eastAsia="Times New Roman"/>
          <w:bCs/>
          <w:kern w:val="0"/>
          <w:rtl/>
          <w14:ligatures w14:val="none"/>
        </w:rPr>
        <w:t>جـ.</w:t>
      </w:r>
      <w:r w:rsidRPr="002F37CE">
        <w:rPr>
          <w:rFonts w:eastAsia="Times New Roman"/>
          <w:bCs/>
          <w:kern w:val="0"/>
          <w:rtl/>
          <w14:ligatures w14:val="none"/>
        </w:rPr>
        <w:tab/>
        <w:t>النقطة المركزية لرواية جدعون</w:t>
      </w:r>
    </w:p>
    <w:p w14:paraId="046E3F4A"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F37CE">
        <w:rPr>
          <w:rFonts w:eastAsia="Times New Roman"/>
          <w:kern w:val="0"/>
          <w:rtl/>
          <w:lang w:bidi="ar-JO"/>
          <w14:ligatures w14:val="none"/>
        </w:rPr>
        <w:t xml:space="preserve">واجه كل القضاة ماعدا أبيمالك تهديداً أجنبياً، لكن لا يوجد تفاعل شخصي قوي بين القاضي والرب إلاّ في حالة جدعون.  وتوحي هذه الملاحظة أن الرواية تقدّم ما هو أكثر من مجرّد قصّة نصر لإسرائيل على المديانيين للأجيال المستقبلة.  ومع أنه أمر صحيح أن شمشون رفع عدة صلوات سريعة، فلا يوجد إلا في حالة جدعون تركيز على إيمان القاضي وفهم دعوة </w:t>
      </w:r>
      <w:r w:rsidRPr="002F37CE">
        <w:rPr>
          <w:rFonts w:eastAsia="Times New Roman"/>
          <w:kern w:val="0"/>
          <w:rtl/>
          <w:lang w:bidi="ar-JO"/>
          <w14:ligatures w14:val="none"/>
        </w:rPr>
        <w:lastRenderedPageBreak/>
        <w:t>الرب لحياته.  "لا تتلقى أية شخصية في السفر تأكيداً إلهيّاً أكثر ممّا تلقّى جدعون، ولا تظهر إحداها شكاً أكبر ممّا أظهر.  وإنه لأمر ذو دلالة أن جدعون هو القاضي الوحيد الذي يتحدث إليه الله مباشرة، على الرغم من أن هذا الامتياز لا يخفف من جبنه.</w:t>
      </w:r>
      <w:r w:rsidRPr="002F37CE">
        <w:rPr>
          <w:rFonts w:eastAsia="Times New Roman"/>
          <w:kern w:val="0"/>
          <w:vertAlign w:val="superscript"/>
          <w:rtl/>
          <w:lang w:bidi="ar-JO"/>
          <w14:ligatures w14:val="none"/>
        </w:rPr>
        <w:footnoteReference w:id="205"/>
      </w:r>
    </w:p>
    <w:p w14:paraId="147EBD52"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D31B88C"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تنعكس دلالة هذه الملاحظات حتى في تركيب رواية جدعون.  ليست مسألة كون جدعون قاضياً (أي منقذاً) من المديانيين هي العنصر المركزي للرواية.  صحيح أن الله استخدمه فعلاً لهذا الغرض، لكن تركيز الرواية يرد في 6: 33-7: 18، حيث يعلَّق موضوع الإنقاذ بشكل مؤقت لإفساح مجال لتطوُّر آخر.  إن المسألة الرئيسية في رواية جدعون شيء آخر غير الإنقاذ ذاته.  إنه شيء يأخذ الطابع الشخصي، أي جهاد جدعون لكي يصدّق وعد الله.</w:t>
      </w:r>
    </w:p>
    <w:p w14:paraId="5781B0D1"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5693997" w14:textId="77777777" w:rsidR="006A7C83" w:rsidRPr="002F37CE" w:rsidRDefault="006A7C83" w:rsidP="00C7130A">
      <w:pPr>
        <w:tabs>
          <w:tab w:val="left" w:pos="454"/>
        </w:tabs>
        <w:spacing w:after="60"/>
        <w:ind w:left="550" w:hanging="550"/>
        <w:jc w:val="both"/>
        <w:rPr>
          <w:rFonts w:eastAsia="Times New Roman"/>
          <w:bCs/>
          <w:kern w:val="0"/>
          <w:rtl/>
          <w14:ligatures w14:val="none"/>
        </w:rPr>
      </w:pPr>
      <w:r w:rsidRPr="002F37CE">
        <w:rPr>
          <w:rFonts w:eastAsia="Times New Roman"/>
          <w:bCs/>
          <w:kern w:val="0"/>
          <w:rtl/>
          <w14:ligatures w14:val="none"/>
        </w:rPr>
        <w:t>د.</w:t>
      </w:r>
      <w:r w:rsidRPr="002F37CE">
        <w:rPr>
          <w:rFonts w:eastAsia="Times New Roman"/>
          <w:bCs/>
          <w:kern w:val="0"/>
          <w:rtl/>
          <w14:ligatures w14:val="none"/>
        </w:rPr>
        <w:tab/>
        <w:t>جهاد جدعون لكي يؤمن بوعد الله</w:t>
      </w:r>
    </w:p>
    <w:p w14:paraId="50D30C67"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إن قضاة 6: 33-7: 18 مرتّبة حسب النمط الموحّد المركز التالي:</w:t>
      </w:r>
    </w:p>
    <w:p w14:paraId="4B8FAE3F"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21C9721" w14:textId="77777777" w:rsidR="006A7C83" w:rsidRPr="002F37CE"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F37CE">
        <w:rPr>
          <w:rFonts w:eastAsia="Times New Roman"/>
          <w:kern w:val="0"/>
          <w:rtl/>
          <w:lang w:bidi="ar-JO"/>
          <w14:ligatures w14:val="none"/>
        </w:rPr>
        <w:t>أ</w:t>
      </w:r>
      <w:r w:rsidRPr="002F37CE">
        <w:rPr>
          <w:rFonts w:eastAsia="Times New Roman"/>
          <w:kern w:val="0"/>
          <w:rtl/>
          <w:lang w:bidi="ar-JO"/>
          <w14:ligatures w14:val="none"/>
        </w:rPr>
        <w:tab/>
      </w:r>
      <w:r w:rsidRPr="002F37CE">
        <w:rPr>
          <w:rFonts w:eastAsia="Times New Roman"/>
          <w:kern w:val="0"/>
          <w:rtl/>
          <w:lang w:bidi="ar-JO"/>
          <w14:ligatures w14:val="none"/>
        </w:rPr>
        <w:tab/>
        <w:t xml:space="preserve">قام جدعون الذي منحه الله قوّة الروح </w:t>
      </w:r>
      <w:r w:rsidRPr="002F37CE">
        <w:rPr>
          <w:rFonts w:eastAsia="Times New Roman"/>
          <w:i/>
          <w:iCs/>
          <w:kern w:val="0"/>
          <w:rtl/>
          <w:lang w:bidi="ar-JO"/>
          <w14:ligatures w14:val="none"/>
        </w:rPr>
        <w:t>بحشد</w:t>
      </w:r>
      <w:r w:rsidRPr="002F37CE">
        <w:rPr>
          <w:rFonts w:eastAsia="Times New Roman"/>
          <w:kern w:val="0"/>
          <w:rtl/>
          <w:lang w:bidi="ar-JO"/>
          <w14:ligatures w14:val="none"/>
        </w:rPr>
        <w:t xml:space="preserve"> أربعة أسباط ضد المديانيين، على الرغم من </w:t>
      </w:r>
      <w:r w:rsidRPr="002F37CE">
        <w:rPr>
          <w:rFonts w:eastAsia="Times New Roman"/>
          <w:i/>
          <w:iCs/>
          <w:kern w:val="0"/>
          <w:rtl/>
          <w:lang w:bidi="ar-JO"/>
          <w14:ligatures w14:val="none"/>
        </w:rPr>
        <w:t>قلة إيمانه</w:t>
      </w:r>
      <w:r w:rsidRPr="002F37CE">
        <w:rPr>
          <w:rFonts w:eastAsia="Times New Roman"/>
          <w:kern w:val="0"/>
          <w:rtl/>
          <w:lang w:bidi="ar-JO"/>
          <w14:ligatures w14:val="none"/>
        </w:rPr>
        <w:t xml:space="preserve"> بوعد الله (6: 33-35).</w:t>
      </w:r>
    </w:p>
    <w:p w14:paraId="7DDEAA92"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F37CE">
        <w:rPr>
          <w:rFonts w:eastAsia="Times New Roman"/>
          <w:kern w:val="0"/>
          <w:rtl/>
          <w:lang w:bidi="ar-JO"/>
          <w14:ligatures w14:val="none"/>
        </w:rPr>
        <w:t>ب</w:t>
      </w:r>
      <w:r w:rsidRPr="002F37CE">
        <w:rPr>
          <w:rFonts w:eastAsia="Times New Roman"/>
          <w:kern w:val="0"/>
          <w:rtl/>
          <w:lang w:bidi="ar-JO"/>
          <w14:ligatures w14:val="none"/>
        </w:rPr>
        <w:tab/>
        <w:t>طلب جدعون علامة من الله على الجزّة من أجل</w:t>
      </w:r>
      <w:r w:rsidRPr="002F37CE">
        <w:rPr>
          <w:rFonts w:eastAsia="Times New Roman"/>
          <w:i/>
          <w:iCs/>
          <w:kern w:val="0"/>
          <w:rtl/>
          <w:lang w:bidi="ar-JO"/>
          <w14:ligatures w14:val="none"/>
        </w:rPr>
        <w:t xml:space="preserve"> تثبيت الوعد</w:t>
      </w:r>
      <w:r w:rsidRPr="002F37CE">
        <w:rPr>
          <w:rFonts w:eastAsia="Times New Roman"/>
          <w:kern w:val="0"/>
          <w:rtl/>
          <w:lang w:bidi="ar-JO"/>
          <w14:ligatures w14:val="none"/>
        </w:rPr>
        <w:t xml:space="preserve"> بأن الرب سينصره على المديانيين (6: 36-40).</w:t>
      </w:r>
    </w:p>
    <w:p w14:paraId="62429E38"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2F37CE">
        <w:rPr>
          <w:rFonts w:eastAsia="Times New Roman"/>
          <w:kern w:val="0"/>
          <w:rtl/>
          <w:lang w:bidi="ar-JO"/>
          <w14:ligatures w14:val="none"/>
        </w:rPr>
        <w:t>جـ</w:t>
      </w:r>
      <w:r w:rsidRPr="002F37CE">
        <w:rPr>
          <w:rFonts w:eastAsia="Times New Roman"/>
          <w:kern w:val="0"/>
          <w:rtl/>
          <w:lang w:bidi="ar-JO"/>
          <w14:ligatures w14:val="none"/>
        </w:rPr>
        <w:tab/>
        <w:t>مع رحيل الجبناء من بني إسرائيل، أوعز الله إلى جدعون بالذهاب إلى الماء من أجل مزيد من التقليص لقوّاته            (7: 1-8).</w:t>
      </w:r>
    </w:p>
    <w:p w14:paraId="30BCBBDD"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2F37CE">
        <w:rPr>
          <w:rFonts w:eastAsia="Times New Roman"/>
          <w:kern w:val="0"/>
          <w:rtl/>
          <w:lang w:bidi="ar-JO"/>
          <w14:ligatures w14:val="none"/>
        </w:rPr>
        <w:t>جـ َ</w:t>
      </w:r>
      <w:r w:rsidRPr="002F37CE">
        <w:rPr>
          <w:rFonts w:eastAsia="Times New Roman"/>
          <w:kern w:val="0"/>
          <w:rtl/>
          <w:lang w:bidi="ar-JO"/>
          <w14:ligatures w14:val="none"/>
        </w:rPr>
        <w:tab/>
        <w:t>أوعز الله إلى جدعون الذي كان الخوف ما يزال يتملكه بالنزول إلى مخيّم العدو لاستراق السمع (7: 9-11).</w:t>
      </w:r>
    </w:p>
    <w:p w14:paraId="537FC7E1"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2F37CE">
        <w:rPr>
          <w:rFonts w:eastAsia="Times New Roman"/>
          <w:kern w:val="0"/>
          <w:rtl/>
          <w:lang w:bidi="ar-JO"/>
          <w14:ligatures w14:val="none"/>
        </w:rPr>
        <w:t>ب َ</w:t>
      </w:r>
      <w:r w:rsidRPr="002F37CE">
        <w:rPr>
          <w:rFonts w:eastAsia="Times New Roman"/>
          <w:kern w:val="0"/>
          <w:rtl/>
          <w:lang w:bidi="ar-JO"/>
          <w14:ligatures w14:val="none"/>
        </w:rPr>
        <w:tab/>
        <w:t>أعطى الله علامة لجدعون من حلم المدياني من أجل تثبيت الوعد بأن الرب سينصره على المديانيين (7: 12-14).</w:t>
      </w:r>
    </w:p>
    <w:p w14:paraId="6823DE39" w14:textId="77777777" w:rsidR="006A7C83" w:rsidRPr="002F37CE"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2F37CE">
        <w:rPr>
          <w:rFonts w:eastAsia="Times New Roman"/>
          <w:kern w:val="0"/>
          <w:rtl/>
          <w:lang w:bidi="ar-JO"/>
          <w14:ligatures w14:val="none"/>
        </w:rPr>
        <w:t>أ َ</w:t>
      </w:r>
      <w:r w:rsidRPr="002F37CE">
        <w:rPr>
          <w:rFonts w:eastAsia="Times New Roman"/>
          <w:kern w:val="0"/>
          <w:rtl/>
          <w:lang w:bidi="ar-JO"/>
          <w14:ligatures w14:val="none"/>
        </w:rPr>
        <w:tab/>
        <w:t xml:space="preserve">سجد جدعون وعبد الله، ثم حشد قوّة من 300 رجل للقيام بهجوم مفاجئ على المديانيين، </w:t>
      </w:r>
      <w:r w:rsidRPr="002F37CE">
        <w:rPr>
          <w:rFonts w:eastAsia="Times New Roman"/>
          <w:i/>
          <w:iCs/>
          <w:kern w:val="0"/>
          <w:rtl/>
          <w:lang w:bidi="ar-JO"/>
          <w14:ligatures w14:val="none"/>
        </w:rPr>
        <w:t>واثقاً كلّياً</w:t>
      </w:r>
      <w:r w:rsidRPr="002F37CE">
        <w:rPr>
          <w:rFonts w:eastAsia="Times New Roman"/>
          <w:kern w:val="0"/>
          <w:rtl/>
          <w:lang w:bidi="ar-JO"/>
          <w14:ligatures w14:val="none"/>
        </w:rPr>
        <w:t xml:space="preserve"> بوعد الله (7: 15-18).</w:t>
      </w:r>
    </w:p>
    <w:p w14:paraId="43112898" w14:textId="77777777" w:rsidR="006A7C83" w:rsidRPr="002F37CE" w:rsidRDefault="006A7C83"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p>
    <w:p w14:paraId="044F1AAD"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lastRenderedPageBreak/>
        <w:t>إن تقليص جيش جدعون قصّة مألوفة، غالباً ما تروى من منظور التوكيد على قدرة الله في الإنقاذ بكثيرين أو بقليلين.  ومع أن هذا أمر صحيح، إلاّ أن هذا التفسير يظلم السياق.  فالسياق يتناول صراعاً داخل جدعون نفسه.</w:t>
      </w:r>
    </w:p>
    <w:p w14:paraId="69BF0EF3"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 xml:space="preserve">يبدو أن المشهد الأول من هذا القسم (6: 33-35) يبدأ بنغمة بسالة، إذ يقال في هذه الآيات إن روح الرب "لبِس" </w:t>
      </w:r>
      <w:r w:rsidRPr="002F37CE">
        <w:rPr>
          <w:rFonts w:ascii="Times New Roman" w:eastAsia="Times New Roman" w:hAnsi="Times New Roman" w:cs="Times New Roman" w:hint="cs"/>
          <w:b/>
          <w:kern w:val="0"/>
          <w:rtl/>
          <w:lang w:bidi="he-IL"/>
          <w14:ligatures w14:val="none"/>
        </w:rPr>
        <w:t>לבשׁ</w:t>
      </w:r>
      <w:r w:rsidRPr="002F37CE">
        <w:rPr>
          <w:rFonts w:eastAsia="Times New Roman"/>
          <w:kern w:val="0"/>
          <w:rtl/>
          <w:lang w:bidi="ar-JO"/>
          <w14:ligatures w14:val="none"/>
        </w:rPr>
        <w:t xml:space="preserve"> جدعون واستخدمه في حشد أسباط بني إسرائيل للمعركة.  غير أنه يتوجب علينا الحذر هنا فلا نقرأ في هذا الحدث أكثر مما يقوله النص.  يقول بلوك في تفسيره:</w:t>
      </w:r>
    </w:p>
    <w:p w14:paraId="61AD71A4"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2F37CE">
        <w:rPr>
          <w:rFonts w:eastAsia="Times New Roman"/>
          <w:kern w:val="0"/>
          <w:rtl/>
          <w:lang w:bidi="ar-JO"/>
          <w14:ligatures w14:val="none"/>
        </w:rPr>
        <w:t>"يقال عن جدعون إن الروح "لبسه" (6: 34)، لكن لا يجب أن يفسَّر هذا بشكل مختلف عن أية حالة أخرى يقال فيها إن الروح حلّ على شخص.  ولا يفترض مسبقاً أن هذا التعبير الذي يذكّرنا بعدد 24: 3 (حيث يمر بلعام، النبي من بلاد ما بين النهرين، بنفس الخبرة) أي مستوى معين من الروحانية في متلقّي هذه الخبرة.  بل على العكس من ذلك، يبدو أن التدخل الإلهي في الخبرة البشرية يصوّر بشكل حي سيطرة يهوه على أشخاص غير ميّالين إلى حلّ مشاكل إسرائيل، وتأهيلهم للقيام بالمهمة التخليصية."</w:t>
      </w:r>
      <w:r w:rsidRPr="002F37CE">
        <w:rPr>
          <w:rFonts w:eastAsia="Times New Roman"/>
          <w:kern w:val="0"/>
          <w:vertAlign w:val="superscript"/>
          <w:rtl/>
          <w:lang w:bidi="ar-JO"/>
          <w14:ligatures w14:val="none"/>
        </w:rPr>
        <w:footnoteReference w:customMarkFollows="1" w:id="206"/>
        <w:t>26</w:t>
      </w:r>
    </w:p>
    <w:p w14:paraId="55ED99F6"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تعكس خدمة الروح في هذه الحالة مشيئة الله السيادية في تحريك الأشياء للإنقاذ أو التحرير الذي خطط له، ولا تعكس حالة جدعون الإيمانية أو الروحية.  ولا شك أن جدعون تصرّف بطاعة عندما نفخ البوق واستدعى أسباط إسرائيل إلى القتال.  لكن المشهد التالي          (6: 36-40) الذي طلب فيه علامة مرتبطة بالجزة يكشف عيوبه.</w:t>
      </w:r>
    </w:p>
    <w:p w14:paraId="17385619"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74BCDDA" w14:textId="11FB42D5"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لم يكن طلب جدعون علامة مرتبطة بالخبرة طريقة لمعرفة مشيئة الرب، بل كان تعبيراً عن الشك وقلة الإيمان: "وقال جدعون لله، ’إن كنتَ تخلّص بيدي إسرائيل كما تكلّمت، فها إني واضع جزّة الصوف في البيدر.  فإن كان طل على الجزّة وحدها، وجفاف على الأرض كلها، علمت بأنك تُخلّص بيدي إسرائيل كما تكلّمت" (6: 36-37).  اعترف جدعون نفسه بأنه قد عرف إرادة الله ووعده، حيث إن ملاك الرب نفسه أوضح له هذا جيداً (6: 14-16)؛ تمثّلت مشكلته في قدرته على أخذ كلام الله مأخذ الجد.</w:t>
      </w:r>
    </w:p>
    <w:p w14:paraId="62251D0E"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4D87B67" w14:textId="0AA8002C"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 xml:space="preserve">نجد في 6: 33-7: 18 توتّراً بين وعد الله ومشكلة جدعون في الإيمان، وهذه العناصر تؤكدها حتى العناصر البنيوية.  فعلى سبيل المثال، تتحدث خمسة من المشاهد الستة عن موضوع الوعد في الفكرة المهيمنة، ألا وهي أن الرب سيسلّم </w:t>
      </w:r>
      <w:r w:rsidRPr="002F37CE">
        <w:rPr>
          <w:rFonts w:ascii="Times New Roman" w:eastAsia="Times New Roman" w:hAnsi="Times New Roman" w:cs="Times New Roman" w:hint="cs"/>
          <w:b/>
          <w:kern w:val="0"/>
          <w:rtl/>
          <w:lang w:bidi="he-IL"/>
          <w14:ligatures w14:val="none"/>
        </w:rPr>
        <w:t>נתן</w:t>
      </w:r>
      <w:r w:rsidRPr="002F37CE">
        <w:rPr>
          <w:rFonts w:eastAsia="Times New Roman"/>
          <w:kern w:val="0"/>
          <w:rtl/>
          <w:lang w:bidi="ar-JO"/>
          <w14:ligatures w14:val="none"/>
        </w:rPr>
        <w:t xml:space="preserve"> المديانيين إلى يد إسرائيل       (6: 36؛ 7: 2، 7، 9، 14-15). وبالإضافة إلى هذا، فإن تكرار كلمة "خوف" </w:t>
      </w:r>
      <w:r w:rsidRPr="002F37CE">
        <w:rPr>
          <w:rFonts w:ascii="Times New Roman" w:eastAsia="Times New Roman" w:hAnsi="Times New Roman" w:cs="Times New Roman" w:hint="cs"/>
          <w:b/>
          <w:kern w:val="0"/>
          <w:rtl/>
          <w:lang w:bidi="he-IL"/>
          <w14:ligatures w14:val="none"/>
        </w:rPr>
        <w:t>ירא</w:t>
      </w:r>
      <w:r w:rsidRPr="002F37CE">
        <w:rPr>
          <w:rFonts w:eastAsia="Times New Roman"/>
          <w:kern w:val="0"/>
          <w:rtl/>
          <w:lang w:bidi="ar-JO"/>
          <w14:ligatures w14:val="none"/>
        </w:rPr>
        <w:t xml:space="preserve"> في أعمق مشهدين في بنية الرواية (7: 3، 10) يجعل منهما هدفاً خاصاً للاهتمام والتركيز.</w:t>
      </w:r>
      <w:r w:rsidRPr="002F37CE">
        <w:rPr>
          <w:rFonts w:eastAsia="Times New Roman"/>
          <w:kern w:val="0"/>
          <w:vertAlign w:val="superscript"/>
          <w:rtl/>
          <w:lang w:bidi="ar-JO"/>
          <w14:ligatures w14:val="none"/>
        </w:rPr>
        <w:footnoteReference w:customMarkFollows="1" w:id="207"/>
        <w:t>27</w:t>
      </w:r>
      <w:r w:rsidRPr="002F37CE">
        <w:rPr>
          <w:rFonts w:eastAsia="Times New Roman"/>
          <w:kern w:val="0"/>
          <w:rtl/>
          <w:lang w:bidi="ar-JO"/>
          <w14:ligatures w14:val="none"/>
        </w:rPr>
        <w:t xml:space="preserve">  </w:t>
      </w:r>
    </w:p>
    <w:p w14:paraId="4002E5AD" w14:textId="33DC295E"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lastRenderedPageBreak/>
        <w:t>إن لتقليص جيش جدعون على أساس "الخوف" خلفيته في تثنية 20: 8، "ثم يعود العرفاء يخاطبون الشعب ويقولون، ’من هو الرجل الخائف (</w:t>
      </w:r>
      <w:r w:rsidRPr="002F37CE">
        <w:rPr>
          <w:rFonts w:ascii="Times New Roman" w:eastAsia="Times New Roman" w:hAnsi="Times New Roman" w:cs="Times New Roman" w:hint="cs"/>
          <w:b/>
          <w:kern w:val="0"/>
          <w:rtl/>
          <w:lang w:bidi="he-IL"/>
          <w14:ligatures w14:val="none"/>
        </w:rPr>
        <w:t>הַיָּרֵא</w:t>
      </w:r>
      <w:r w:rsidRPr="002F37CE">
        <w:rPr>
          <w:rFonts w:eastAsia="Times New Roman"/>
          <w:kern w:val="0"/>
          <w:rtl/>
          <w:lang w:bidi="ar-JO"/>
          <w14:ligatures w14:val="none"/>
        </w:rPr>
        <w:t>) والضعيف القلب (</w:t>
      </w:r>
      <w:r w:rsidRPr="002F37CE">
        <w:rPr>
          <w:rFonts w:ascii="Times New Roman" w:eastAsia="Times New Roman" w:hAnsi="Times New Roman" w:cs="Times New Roman" w:hint="cs"/>
          <w:b/>
          <w:kern w:val="0"/>
          <w:rtl/>
          <w:lang w:bidi="he-IL"/>
          <w14:ligatures w14:val="none"/>
        </w:rPr>
        <w:t>וְרַךְ</w:t>
      </w:r>
      <w:r w:rsidRPr="002F37CE">
        <w:rPr>
          <w:rFonts w:eastAsia="Times New Roman"/>
          <w:b/>
          <w:kern w:val="0"/>
          <w:rtl/>
          <w:lang w:bidi="he-IL"/>
          <w14:ligatures w14:val="none"/>
        </w:rPr>
        <w:t xml:space="preserve"> </w:t>
      </w:r>
      <w:r w:rsidRPr="002F37CE">
        <w:rPr>
          <w:rFonts w:ascii="Times New Roman" w:eastAsia="Times New Roman" w:hAnsi="Times New Roman" w:cs="Times New Roman" w:hint="cs"/>
          <w:b/>
          <w:kern w:val="0"/>
          <w:rtl/>
          <w:lang w:bidi="he-IL"/>
          <w14:ligatures w14:val="none"/>
        </w:rPr>
        <w:t>הַלֵּבָב</w:t>
      </w:r>
      <w:r w:rsidRPr="002F37CE">
        <w:rPr>
          <w:rFonts w:eastAsia="Times New Roman"/>
          <w:kern w:val="0"/>
          <w:rtl/>
          <w:lang w:bidi="ar-JO"/>
          <w14:ligatures w14:val="none"/>
        </w:rPr>
        <w:t xml:space="preserve"> ؟) ليذهب ويرجع إلى بيته لئلاّ تذوب قلوب اخوته مثل قلبه.," تتمثَّل السخرية الأدبية في هذه الوحدة من سفر القضاة في أن أحد الامتحانات التي يتقرر على أساسها استبعاد محاربي بني إسرائيل (أي الخوف، انظر قضاة 7: 3) هو نفس المشكلة التي يعاني منها القائد نفسه.  وإن الصلة مع الآية 7: 10 التي تحدث فيها الرب إلى جدعون مثيرة: "إذا كنت خائفاً من النزول، فانزل أنت وفورة غلامك إلى المحلّة."  كانت المسألة إذاً هي إن كان جدعون نفسه يقدر أن يتغلب على خوفه الشخصي ليؤمن أن الرب سينصر إسرائيل على المديانيين.  وفي هذه الحالة تبيّن أن التركيب مفيد حيث خدم المقاصد الرئيسية </w:t>
      </w:r>
      <w:r w:rsidRPr="002F37CE">
        <w:rPr>
          <w:rFonts w:eastAsia="Times New Roman"/>
          <w:kern w:val="0"/>
          <w:u w:val="single"/>
          <w:rtl/>
          <w:lang w:bidi="ar-JO"/>
          <w14:ligatures w14:val="none"/>
        </w:rPr>
        <w:t>للراوي</w:t>
      </w:r>
      <w:r w:rsidRPr="002F37CE">
        <w:rPr>
          <w:rFonts w:eastAsia="Times New Roman"/>
          <w:kern w:val="0"/>
          <w:rtl/>
          <w:lang w:bidi="ar-JO"/>
          <w14:ligatures w14:val="none"/>
        </w:rPr>
        <w:t>: مخلّصا</w:t>
      </w:r>
      <w:r w:rsidR="00DA64A0" w:rsidRPr="002F37CE">
        <w:rPr>
          <w:rFonts w:eastAsia="Times New Roman"/>
          <w:kern w:val="0"/>
          <w:rtl/>
          <w:lang w:bidi="ar-JO"/>
          <w14:ligatures w14:val="none"/>
        </w:rPr>
        <w:t>ً</w:t>
      </w:r>
      <w:r w:rsidRPr="002F37CE">
        <w:rPr>
          <w:rFonts w:eastAsia="Times New Roman"/>
          <w:kern w:val="0"/>
          <w:rtl/>
          <w:lang w:bidi="ar-JO"/>
          <w14:ligatures w14:val="none"/>
        </w:rPr>
        <w:t xml:space="preserve"> جدعون من خوفه وعدم إيمانه ومقنعاً إيّاه بأن الله سيفعل تماماً كما سبق أن وعد.</w:t>
      </w:r>
    </w:p>
    <w:p w14:paraId="4A31EDB9"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8799DCE"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كشف طلب جدعون علامة من الله وجود حرب في قلبه: كان خائفاً ومفتقراً إلى الإيمان.  وإنه لأمر مثير للاهتمام أن تقليص جيش جدعون في سياق النص يقع بين طلبه الذي لا موجب له وبين كشف الله لخوفه.  ولهذا فإنه لم يُقصد بتقليص الجيش أن يمجّد الله (بإظهار قدرته على إنقاذ إسرائيل بـ 300 رجل) بقدر ما قُصِد به أن يضع جدعون في موقف ينكشف فيه خوفه.  وإن ذات الشيء الذي كان يأمل جدعون أن يحققه بعلامة الجزّة – أي نوعاً من الاطمئنان الذاتي أن الأمور ستسير سيراً حسناً – كان هو ذاته السجّادة التي سحبها الله من تحته.  لقد سعى جدعون إلى الحصول على نوع من الأمان بالعلامة المرتبطة بالجزّة.  وعلى الرغم من أن الله استجاب لطلبه، فقد بادر فوراً إلى وضع جدعون في وضع يكون فيه أقل حصانة.  إن وجد جدعون صعوبة في الثقة بأن الله سينصره باثنين وثلاثين ألف رجل على 135.000 مدياني، (انظر 8: 10)، فكيف سيكون رد فعله حين لا يكون معه إلاّ 300 رجل؟ في ضوء هذا الأمر يأخذ كلام الله في 7: 10 دلالة كبيرة.</w:t>
      </w:r>
    </w:p>
    <w:p w14:paraId="6CA7F29A"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0212E713" w14:textId="77777777" w:rsidR="006A7C83" w:rsidRPr="002F37CE" w:rsidRDefault="006A7C83" w:rsidP="00C7130A">
      <w:pPr>
        <w:tabs>
          <w:tab w:val="left" w:pos="454"/>
        </w:tabs>
        <w:spacing w:after="60"/>
        <w:ind w:left="550" w:hanging="550"/>
        <w:jc w:val="both"/>
        <w:rPr>
          <w:rFonts w:eastAsia="Times New Roman"/>
          <w:bCs/>
          <w:kern w:val="0"/>
          <w:rtl/>
          <w14:ligatures w14:val="none"/>
        </w:rPr>
      </w:pPr>
      <w:r w:rsidRPr="002F37CE">
        <w:rPr>
          <w:rFonts w:eastAsia="Times New Roman"/>
          <w:bCs/>
          <w:kern w:val="0"/>
          <w:rtl/>
          <w14:ligatures w14:val="none"/>
        </w:rPr>
        <w:t>هـ.</w:t>
      </w:r>
      <w:r w:rsidRPr="002F37CE">
        <w:rPr>
          <w:rFonts w:eastAsia="Times New Roman"/>
          <w:bCs/>
          <w:kern w:val="0"/>
          <w:rtl/>
          <w14:ligatures w14:val="none"/>
        </w:rPr>
        <w:tab/>
        <w:t>حل مشكلة خوف جدعون</w:t>
      </w:r>
    </w:p>
    <w:p w14:paraId="2A377163"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 xml:space="preserve">لقد أسفر ما سعى جدعون إلى الحصول عليه بوساطة علامة الجزّة عن لا شيء.  فاضطر إلى الرجوع إلى خيار تصديق وعد الله لمجرد أن الله تكلّم.  ولكي يساعد الله جدعون على رؤية هذا الأمر، أعد له علامة.  ففي المشهد الخامس (7: 12-14)، أكّد الله إرادته من خلال حلم شخص مدياني استرق جدعون إليه السمع، وسماعه مديانياً آخر يفسّر له الحلم. </w:t>
      </w:r>
    </w:p>
    <w:p w14:paraId="2C05A043"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lastRenderedPageBreak/>
        <w:t>ونجد في قول المدياني "قد دفع الله إلى يده (جدعون) المديانيين وكل الجيش" تكراراً للوعد الذي قطعه الرب لجدعون مراراً، لكن الله سمح له الآن بأن يسمعه من شفتي جندي مدياني.  والسخرية الأدبية هنا مذهلة: إذ لم يُقنع جدعون سماع الوعد من شفتي الرب مباشرة، لكنه اقتنع عندما سمع الوعد من الجندي المدياني.</w:t>
      </w:r>
    </w:p>
    <w:p w14:paraId="6EE1E4C8"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F37CE">
        <w:rPr>
          <w:rFonts w:eastAsia="Times New Roman"/>
          <w:kern w:val="0"/>
          <w:rtl/>
          <w:lang w:bidi="ar-JO"/>
          <w14:ligatures w14:val="none"/>
        </w:rPr>
        <w:t>يُظهر المشهد الأخير من هذا القسم (7: 15-18) أن استراق السمع إلى الحلم حقق التأثير المطلوب في جدعون: "وكان لما سمع جدعون خبر الحلم وتفسيره، أنه سجد" (الآية 15).  ومن تلك النقطة فصاعداً كان جدعون شخصاً مختلفاً – كان رجل إيمان وشجاعة.  وفي القسم الأخير من الآية 15 حثّ جدعون رجاله القليلين بقوله: "قوموا لأن الرب دفع إلى يدكم جيش المديانيين." خرج وعد الإنقاذ من فمه هذه المرّة بثقة كاملة في الله.  انتقل جدعون من الخوف إلى الإيمان، وهذا هو بالضبط الغرض من القسم 6: 33-7: 18.</w:t>
      </w:r>
    </w:p>
    <w:p w14:paraId="6B12C091" w14:textId="77777777" w:rsidR="006A7C83" w:rsidRPr="002F37CE" w:rsidRDefault="006A7C83" w:rsidP="00C7130A">
      <w:pPr>
        <w:tabs>
          <w:tab w:val="left" w:pos="454"/>
        </w:tabs>
        <w:spacing w:after="60"/>
        <w:ind w:left="550" w:hanging="550"/>
        <w:jc w:val="both"/>
        <w:rPr>
          <w:rFonts w:eastAsia="Times New Roman"/>
          <w:bCs/>
          <w:kern w:val="0"/>
          <w:rtl/>
          <w14:ligatures w14:val="none"/>
        </w:rPr>
      </w:pPr>
      <w:r w:rsidRPr="002F37CE">
        <w:rPr>
          <w:rFonts w:eastAsia="Times New Roman"/>
          <w:bCs/>
          <w:kern w:val="0"/>
          <w:rtl/>
          <w14:ligatures w14:val="none"/>
        </w:rPr>
        <w:t>و.</w:t>
      </w:r>
      <w:r w:rsidRPr="002F37CE">
        <w:rPr>
          <w:rFonts w:eastAsia="Times New Roman"/>
          <w:bCs/>
          <w:kern w:val="0"/>
          <w:rtl/>
          <w14:ligatures w14:val="none"/>
        </w:rPr>
        <w:tab/>
        <w:t>علاقة التركيب أو البنية باللاهوت</w:t>
      </w:r>
    </w:p>
    <w:p w14:paraId="49727AE1"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 xml:space="preserve">لقد صيغ التنميط النصّي في رواية جدعون بعناية، لا لإبراز عملية الإنقاذ من المديانيين، بل لإبراز التغيير الذي حدث في قلب جدعون، وهنا يكمن أعظم درس لاهوتي في هذه الأصحاحات.  لقد منعه الخوف الكامن في قلبه من القدرة على الثقة بالوعد الذي أعطاه الله بتخليصه إسرائيل من المديانيين.  ومن أجل التغلّب على هذا العيب في حياة جدعون، عمل الله بشكل فريد لكي يكشف مشكلة الخوف في حياته ويأتي به إلى مرحلة العبادة والإيمان.  وعندئذٍ فقط صار جدعون مستعداً لقيادة إسرائيل في المعركة.  وتوجد ضمن هذا القسم المركزي من الرواية ستة مشاهد مؤلَّفة بكل عناية في ترتيب موحَّد المركز (أ ب جـ جـ َ ب َ أ َ) وكأن نفس البنية تعكس </w:t>
      </w:r>
      <w:r w:rsidRPr="002F37CE">
        <w:rPr>
          <w:rFonts w:eastAsia="Times New Roman"/>
          <w:i/>
          <w:iCs/>
          <w:kern w:val="0"/>
          <w:rtl/>
          <w:lang w:bidi="ar-JO"/>
          <w14:ligatures w14:val="none"/>
        </w:rPr>
        <w:t>الانقلاب</w:t>
      </w:r>
      <w:r w:rsidRPr="002F37CE">
        <w:rPr>
          <w:rFonts w:eastAsia="Times New Roman"/>
          <w:kern w:val="0"/>
          <w:rtl/>
          <w:lang w:bidi="ar-JO"/>
          <w14:ligatures w14:val="none"/>
        </w:rPr>
        <w:t>الذي حصل في داخله.  وفضلاً عن ذلك، فإن كل الصراعات في السفر تنتج عن نقص الإيمان.  ونحن نرى تعبيراً واضحاً عن هذا الصراع في رواية جدعون، وهو ما ينسجم مع هذا الحدث (صراعه الديني) الموضوع في منتصف السفر.</w:t>
      </w:r>
    </w:p>
    <w:p w14:paraId="47E0DB7C"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2F37CE">
        <w:rPr>
          <w:rFonts w:eastAsia="Times New Roman"/>
          <w:kern w:val="0"/>
          <w:rtl/>
          <w:lang w:bidi="ar-JO"/>
          <w14:ligatures w14:val="none"/>
        </w:rPr>
        <w:t xml:space="preserve">ومع أن حياة جدعون صارت مخيّبة للآمال في نهاية الأمر (مثل حياة معظم القضاة والملوك الآخرين في تاريخ إسرائيل)، إلاّ أن نقطة التركيز في رواية جدعون من المنظور البنيوي يقدّم نموذجاً لما يبحث عنه الله في قائد الأمّة: فالله يريد قائداً يعبده ويأخذ كلمته على محمل الجد.  لم يتعلّم جدعون هذا الدرس بسهولة.  إذ قام </w:t>
      </w:r>
      <w:r w:rsidRPr="002F37CE">
        <w:rPr>
          <w:rFonts w:eastAsia="Times New Roman"/>
          <w:kern w:val="0"/>
          <w:u w:val="single"/>
          <w:rtl/>
          <w:lang w:bidi="ar-JO"/>
          <w14:ligatures w14:val="none"/>
        </w:rPr>
        <w:t xml:space="preserve">الراوي </w:t>
      </w:r>
      <w:r w:rsidRPr="002F37CE">
        <w:rPr>
          <w:rFonts w:eastAsia="Times New Roman"/>
          <w:kern w:val="0"/>
          <w:rtl/>
          <w:lang w:bidi="ar-JO"/>
          <w14:ligatures w14:val="none"/>
        </w:rPr>
        <w:t>– الذي أعطى نكهة للتأثير اللاهوتي الذي أحدثته الرواية التاريخية لقصة جدعون لقرّائه – بتعليق رواية الإنقاذ مؤقتاً لكي يسمح بإبطاء حركة تصوير المشهد والتركيز على جدعون كقائد.  ويعمل التنميط الموحّد المركز للنص مع وضع "فكرة الخوف" في مركز السفر</w:t>
      </w:r>
      <w:r w:rsidRPr="002F37CE">
        <w:rPr>
          <w:rFonts w:eastAsia="Times New Roman"/>
          <w:kern w:val="0"/>
          <w:vertAlign w:val="superscript"/>
          <w:rtl/>
          <w:lang w:bidi="ar-JO"/>
          <w14:ligatures w14:val="none"/>
        </w:rPr>
        <w:footnoteReference w:customMarkFollows="1" w:id="208"/>
        <w:t>28</w:t>
      </w:r>
      <w:r w:rsidRPr="002F37CE">
        <w:rPr>
          <w:rFonts w:eastAsia="Times New Roman"/>
          <w:kern w:val="0"/>
          <w:rtl/>
          <w:lang w:bidi="ar-JO"/>
          <w14:ligatures w14:val="none"/>
        </w:rPr>
        <w:t xml:space="preserve"> على إبراز استخدام الله لجدعون الإنسان كأداة لكي يبيّن رغبته في قائد شعبه عهده.  وبهذا يترك </w:t>
      </w:r>
      <w:r w:rsidRPr="002F37CE">
        <w:rPr>
          <w:rFonts w:eastAsia="Times New Roman"/>
          <w:kern w:val="0"/>
          <w:u w:val="single"/>
          <w:rtl/>
          <w:lang w:bidi="ar-JO"/>
          <w14:ligatures w14:val="none"/>
        </w:rPr>
        <w:t>الراوي</w:t>
      </w:r>
      <w:r w:rsidRPr="002F37CE">
        <w:rPr>
          <w:rFonts w:eastAsia="Times New Roman"/>
          <w:kern w:val="0"/>
          <w:rtl/>
          <w:lang w:bidi="ar-JO"/>
          <w14:ligatures w14:val="none"/>
        </w:rPr>
        <w:t xml:space="preserve"> للقارئ رسالة قوية: يجب أن يوصل الله خادمه إلى نقطة ينزع عندها منه كل ثقة بنفسه، حيث يجلس بصمت عابداً الله بخضوع بصفته القادر تماماً في كل الظروف المعاكسة على تحقيق مشيئته الإلهية.  عندئذٍ فقط، يكون خادمه مستعداً للتحرك إلى الأمام لتذوّق نصر الله، مع أن النصر ليس أكثر ضماناً ويقينية من ذي قبل.</w:t>
      </w:r>
    </w:p>
    <w:p w14:paraId="18510468" w14:textId="77777777" w:rsidR="006A7C83" w:rsidRPr="002F37CE" w:rsidRDefault="006A7C83" w:rsidP="000558B7">
      <w:pPr>
        <w:pStyle w:val="Heading3"/>
        <w:rPr>
          <w:rtl/>
        </w:rPr>
      </w:pPr>
      <w:bookmarkStart w:id="397" w:name="_Toc193031139"/>
      <w:r w:rsidRPr="002F37CE">
        <w:rPr>
          <w:rtl/>
          <w:lang w:bidi="ar-JO"/>
        </w:rPr>
        <w:lastRenderedPageBreak/>
        <w:t>6.</w:t>
      </w:r>
      <w:r w:rsidRPr="002F37CE">
        <w:rPr>
          <w:rtl/>
          <w:lang w:bidi="ar-JO"/>
        </w:rPr>
        <w:tab/>
        <w:t>الاستنتاج</w:t>
      </w:r>
      <w:bookmarkEnd w:id="397"/>
    </w:p>
    <w:p w14:paraId="7722D3E2" w14:textId="77777777" w:rsidR="006A7C83" w:rsidRPr="002F37CE"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2F37CE">
        <w:rPr>
          <w:rFonts w:eastAsia="Times New Roman"/>
          <w:kern w:val="0"/>
          <w:rtl/>
          <w:lang w:bidi="ar-JO"/>
          <w14:ligatures w14:val="none"/>
        </w:rPr>
        <w:t xml:space="preserve">برهن قضاة إسرائيل (في ضعفهم وعجزهم المتكرر عن إنقاذ إسرائيل) أنهم لم يكونوا أداة كافية يمكن لإسرائيل أن تتغلّب بواسطتها على المعتدين الأجانب.  ولم يكن العيب بطبيعة الحال في عجز الرب عن حماية شعب، بل كان العيب هو ميلهم الدائم، بل والمتدهور، إلى الابتعاد عنه.  وعلى الرغم من أن الله أقام منقذين كانت لهم حاجة في وقت إقامتهم، فإنه كان يتحكم بشكل سيادي "بنوعية" القضاة الذين يقيمهم.  فليس غريباً إذاً أن القسم الرئيسي الكبير لسفر القضاة لا يقدّم لنا دورة منظّمة أو متماثلة من الخطية – التأديب – التوبة – الإنقاذ.  تعكس هذه الدورات بشكل عام تدهوراً تدرُّجياً، حتى أن القارئ قد يسأل نفسه قبل مجيء جدعون إن كانت هنالك أيّة قيمة أصلاً لوجود قاضٍ.  وهذا هو تماماً الانطباع الذي أراد </w:t>
      </w:r>
      <w:r w:rsidRPr="002F37CE">
        <w:rPr>
          <w:rFonts w:eastAsia="Times New Roman"/>
          <w:kern w:val="0"/>
          <w:u w:val="single"/>
          <w:rtl/>
          <w:lang w:bidi="ar-JO"/>
          <w14:ligatures w14:val="none"/>
        </w:rPr>
        <w:t>الراوي</w:t>
      </w:r>
      <w:r w:rsidRPr="002F37CE">
        <w:rPr>
          <w:rFonts w:eastAsia="Times New Roman"/>
          <w:kern w:val="0"/>
          <w:rtl/>
          <w:lang w:bidi="ar-JO"/>
          <w14:ligatures w14:val="none"/>
        </w:rPr>
        <w:t xml:space="preserve"> أن يتركه، وهذا هو ما يجعل خاتمة السفر ملائمة جدّاً.  وقبل أن يصل القارئ إلى نهاية رواية شمشون، يتوجب عليه أن يدرك أن "قاضياً" آخر لن يكون حلاً لمشكلة الأمة.  لقد كان </w:t>
      </w:r>
      <w:r w:rsidRPr="002F37CE">
        <w:rPr>
          <w:rFonts w:eastAsia="Times New Roman"/>
          <w:kern w:val="0"/>
          <w:u w:val="single"/>
          <w:rtl/>
          <w:lang w:bidi="ar-JO"/>
          <w14:ligatures w14:val="none"/>
        </w:rPr>
        <w:t>الراوي</w:t>
      </w:r>
      <w:r w:rsidRPr="002F37CE">
        <w:rPr>
          <w:rFonts w:eastAsia="Times New Roman"/>
          <w:kern w:val="0"/>
          <w:rtl/>
          <w:lang w:bidi="ar-JO"/>
          <w14:ligatures w14:val="none"/>
        </w:rPr>
        <w:t>، في توقُّعه لما سيأتي في 1صموئيل بتتويج الملك، يستخدم بشكل صريح خاتمة مزدوجة لسفر القضاة (7-21) لكي يعزز هذه النقلة من حكم ثيوقراطي (يستخدم قضاة) إلى حكم ملكي.  وكما هو مذكور أربع مرّات في سفر القضاة: "وفي تلك الأيام لم يكن ملك في إسرائيل" (17: 6؛ 18: 1؛ 19: 1؛ 21: 25).  كان القضاة مخيبين للأمل (كما كان حال جدعون نفسه أيضاً في نهاية الأمر).  لكن توجد في قلب دورات القضاة حقيقة لاهوتية للصفات التي يسعى إليها الله في القادة: إنه يرغب في قادة يعبدونه ويأخذون كلمته على محمل الجد، وملتزمين بفعل مشيئته كلها.  ومع أخذ الملوك لمركزهم كحكام على الأمّة، سنتوقع منهم نفس الأمر أيضاً.  فكم هو أمر ملائم أن يوضع هذا الدرس الدائم بشكل استراتيجي (من خلال التنميط النصّي) في قلب سفر القضاة – ليس في رواية جدعون فحسب – لكن في النقطة المركزية في الرواية أيضاً.</w:t>
      </w:r>
    </w:p>
    <w:p w14:paraId="0E277798" w14:textId="77777777" w:rsidR="006A7C83" w:rsidRPr="00C7130A" w:rsidRDefault="006A7C83" w:rsidP="00C7130A">
      <w:pPr>
        <w:rPr>
          <w:rFonts w:eastAsia="Times New Roman"/>
          <w:kern w:val="0"/>
          <w:szCs w:val="18"/>
          <w:rtl/>
          <w:lang w:bidi="ar-JO"/>
          <w14:ligatures w14:val="none"/>
        </w:rPr>
      </w:pPr>
    </w:p>
    <w:p w14:paraId="1B23CAAD" w14:textId="77777777" w:rsidR="006A7C83" w:rsidRPr="00C7130A" w:rsidRDefault="006A7C83" w:rsidP="00C7130A">
      <w:pPr>
        <w:rPr>
          <w:rFonts w:eastAsia="Times New Roman"/>
          <w:kern w:val="0"/>
          <w:szCs w:val="18"/>
          <w:rtl/>
          <w:lang w:bidi="ar-JO"/>
          <w14:ligatures w14:val="none"/>
        </w:rPr>
      </w:pPr>
    </w:p>
    <w:p w14:paraId="140CC1DF" w14:textId="18F2CDD4" w:rsidR="008B149F" w:rsidRPr="00C7130A" w:rsidRDefault="008B149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contextualSpacing/>
        <w:rPr>
          <w:rFonts w:eastAsia="Calibri"/>
          <w:kern w:val="0"/>
          <w:szCs w:val="24"/>
          <w14:ligatures w14:val="none"/>
        </w:rPr>
      </w:pPr>
      <w:r w:rsidRPr="00C7130A">
        <w:rPr>
          <w:rFonts w:eastAsia="Calibri"/>
          <w:kern w:val="0"/>
          <w:szCs w:val="24"/>
          <w14:ligatures w14:val="none"/>
        </w:rPr>
        <w:br w:type="page"/>
      </w:r>
    </w:p>
    <w:p w14:paraId="06271281" w14:textId="028869D1" w:rsidR="008B149F" w:rsidRPr="00C7130A" w:rsidRDefault="00915244" w:rsidP="00E80A44">
      <w:pPr>
        <w:pStyle w:val="Heading2"/>
      </w:pPr>
      <w:bookmarkStart w:id="398" w:name="_Toc193031140"/>
      <w:r w:rsidRPr="00C7130A">
        <w:rPr>
          <w:rtl/>
        </w:rPr>
        <w:lastRenderedPageBreak/>
        <w:t>الدرس 12: سفر راعوث، نظرة عامّة والتوقُّعات المسيانيّة</w:t>
      </w:r>
      <w:bookmarkEnd w:id="398"/>
    </w:p>
    <w:p w14:paraId="6CD1BFB4" w14:textId="77777777" w:rsidR="00311C51" w:rsidRPr="00C7130A" w:rsidRDefault="00311C5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p>
    <w:p w14:paraId="23FDA273" w14:textId="031D2DE8" w:rsidR="008B149F" w:rsidRPr="00C7130A" w:rsidRDefault="001E4AE6" w:rsidP="000558B7">
      <w:pPr>
        <w:pStyle w:val="Heading3"/>
      </w:pPr>
      <w:bookmarkStart w:id="399" w:name="_Toc193031141"/>
      <w:r w:rsidRPr="00C7130A">
        <w:rPr>
          <w:rtl/>
        </w:rPr>
        <w:t>مُقدِّمة الدرس</w:t>
      </w:r>
      <w:bookmarkEnd w:id="399"/>
    </w:p>
    <w:p w14:paraId="405E4F99" w14:textId="0E55B642" w:rsidR="001E4AE6" w:rsidRPr="00C7130A" w:rsidRDefault="001E4AE6" w:rsidP="00020C27">
      <w:pPr>
        <w:rPr>
          <w:rtl/>
        </w:rPr>
      </w:pPr>
      <w:r w:rsidRPr="00C7130A">
        <w:rPr>
          <w:rtl/>
        </w:rPr>
        <w:t>يشك</w:t>
      </w:r>
      <w:r w:rsidR="00DA64A0" w:rsidRPr="00C7130A">
        <w:rPr>
          <w:rtl/>
        </w:rPr>
        <w:t>ّ</w:t>
      </w:r>
      <w:r w:rsidRPr="00C7130A">
        <w:rPr>
          <w:rtl/>
        </w:rPr>
        <w:t>ل هذا الدرس، بالإضافة إلى عمل مسحٍ لسفر راعوث، خاتمة ملائمة لكامل المساق. بدءًا بسفر راعوث نُعطى بعضًا من النور م</w:t>
      </w:r>
      <w:r w:rsidR="00DA64A0" w:rsidRPr="00C7130A">
        <w:rPr>
          <w:rtl/>
        </w:rPr>
        <w:t>ُ</w:t>
      </w:r>
      <w:r w:rsidRPr="00C7130A">
        <w:rPr>
          <w:rtl/>
        </w:rPr>
        <w:t>سلّ</w:t>
      </w:r>
      <w:r w:rsidR="00DA64A0" w:rsidRPr="00C7130A">
        <w:rPr>
          <w:rtl/>
        </w:rPr>
        <w:t>َ</w:t>
      </w:r>
      <w:r w:rsidRPr="00C7130A">
        <w:rPr>
          <w:rtl/>
        </w:rPr>
        <w:t>طًا على نعمة الله العاملة في فترة القضاة الكئيبة والمُحزِنة (لا شكّ أن</w:t>
      </w:r>
      <w:r w:rsidR="00DA64A0" w:rsidRPr="00C7130A">
        <w:rPr>
          <w:rtl/>
        </w:rPr>
        <w:t>َّ</w:t>
      </w:r>
      <w:r w:rsidRPr="00C7130A">
        <w:rPr>
          <w:rtl/>
        </w:rPr>
        <w:t xml:space="preserve"> روح الله كان يعمل خلال ذلك الوقت الذي </w:t>
      </w:r>
      <w:r w:rsidR="00DA64A0" w:rsidRPr="00C7130A">
        <w:rPr>
          <w:rtl/>
        </w:rPr>
        <w:t xml:space="preserve">كان </w:t>
      </w:r>
      <w:r w:rsidRPr="00C7130A">
        <w:rPr>
          <w:rtl/>
        </w:rPr>
        <w:t>فيه صراع في الأمة في حفظ الشريعة والتحوُّل المتكرِّر إلى عبادة الأوثان). وبعد ذلك، يقدِّم الموضوع الثالث في هذا الدرس نظرةً عامّة إلى الثمانية أسفار التي تؤلِّف فترة ما قبل الملكيّة في تاريخ شعب إسرائيل، مع الإشارة إلى الإسهامات العظيمة والرئيسية لكلّ قسمٍ رئيسي</w:t>
      </w:r>
      <w:r w:rsidR="00DA64A0" w:rsidRPr="00C7130A">
        <w:rPr>
          <w:rtl/>
        </w:rPr>
        <w:t>ّ</w:t>
      </w:r>
      <w:r w:rsidRPr="00C7130A">
        <w:rPr>
          <w:rtl/>
        </w:rPr>
        <w:t>. ويعرِّفنا الموضوع الأخير بالإسهامات العديدة في هذا القسم من الكتاب المُقدَّس، الذي يعطي شيئًا من النور، إمّا من خلال النبوّة أو الرموز، عن شخصٍ المسيا المستقبلي وخدمته (الذي أُعلِن في النهاية بأنّه الرب</w:t>
      </w:r>
      <w:r w:rsidR="00DA64A0" w:rsidRPr="00C7130A">
        <w:rPr>
          <w:rtl/>
        </w:rPr>
        <w:t>ّ</w:t>
      </w:r>
      <w:r w:rsidRPr="00C7130A">
        <w:rPr>
          <w:rtl/>
        </w:rPr>
        <w:t xml:space="preserve"> يسوع المسيح).</w:t>
      </w:r>
    </w:p>
    <w:p w14:paraId="62CE89DA" w14:textId="77777777" w:rsidR="001E4AE6" w:rsidRPr="00C7130A" w:rsidRDefault="001E4AE6"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 w:val="26"/>
          <w:szCs w:val="26"/>
          <w:rtl/>
          <w14:ligatures w14:val="none"/>
        </w:rPr>
      </w:pPr>
    </w:p>
    <w:p w14:paraId="4C029CAD" w14:textId="07C44A86" w:rsidR="008B149F" w:rsidRPr="00C7130A" w:rsidRDefault="003441DC" w:rsidP="000558B7">
      <w:pPr>
        <w:pStyle w:val="Heading3"/>
      </w:pPr>
      <w:bookmarkStart w:id="400" w:name="_Toc193031142"/>
      <w:r w:rsidRPr="00C7130A">
        <w:rPr>
          <w:rtl/>
        </w:rPr>
        <w:t>مخطَّط الدرس</w:t>
      </w:r>
      <w:bookmarkEnd w:id="400"/>
    </w:p>
    <w:p w14:paraId="5D63FF04" w14:textId="77777777" w:rsidR="003441DC" w:rsidRPr="00020C27" w:rsidRDefault="003441DC"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020C27">
        <w:rPr>
          <w:rFonts w:eastAsia="Calibri"/>
          <w:kern w:val="0"/>
          <w:rtl/>
          <w14:ligatures w14:val="none"/>
        </w:rPr>
        <w:t xml:space="preserve">الموضوع 1: </w:t>
      </w:r>
      <w:r w:rsidRPr="00020C27">
        <w:rPr>
          <w:rFonts w:eastAsia="Calibri"/>
          <w:kern w:val="0"/>
          <w:rtl/>
          <w14:ligatures w14:val="none"/>
        </w:rPr>
        <w:tab/>
        <w:t xml:space="preserve">لوحة سفر راعوث </w:t>
      </w:r>
    </w:p>
    <w:p w14:paraId="2920B121" w14:textId="77777777" w:rsidR="003441DC" w:rsidRPr="00020C27" w:rsidRDefault="003441DC"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020C27">
        <w:rPr>
          <w:rFonts w:eastAsia="Calibri"/>
          <w:kern w:val="0"/>
          <w:rtl/>
          <w14:ligatures w14:val="none"/>
        </w:rPr>
        <w:t xml:space="preserve">الموضوع 2: </w:t>
      </w:r>
      <w:r w:rsidRPr="00020C27">
        <w:rPr>
          <w:rFonts w:eastAsia="Calibri"/>
          <w:kern w:val="0"/>
          <w:rtl/>
          <w14:ligatures w14:val="none"/>
        </w:rPr>
        <w:tab/>
        <w:t xml:space="preserve">راعوث – بصيص من نور النعمة (راعوث 1-4) </w:t>
      </w:r>
    </w:p>
    <w:p w14:paraId="4A9C0806" w14:textId="77777777" w:rsidR="003441DC" w:rsidRPr="00020C27" w:rsidRDefault="003441DC"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rtl/>
          <w14:ligatures w14:val="none"/>
        </w:rPr>
      </w:pPr>
      <w:r w:rsidRPr="00020C27">
        <w:rPr>
          <w:rFonts w:eastAsia="Calibri"/>
          <w:kern w:val="0"/>
          <w:rtl/>
          <w14:ligatures w14:val="none"/>
        </w:rPr>
        <w:t xml:space="preserve">الموضوع 3: </w:t>
      </w:r>
      <w:r w:rsidRPr="00020C27">
        <w:rPr>
          <w:rFonts w:eastAsia="Calibri"/>
          <w:kern w:val="0"/>
          <w:rtl/>
          <w14:ligatures w14:val="none"/>
        </w:rPr>
        <w:tab/>
        <w:t xml:space="preserve">نظرة عامّة إلى أسفار التكوين – راعوث </w:t>
      </w:r>
    </w:p>
    <w:p w14:paraId="1B416AE6" w14:textId="17228FCE" w:rsidR="008B149F" w:rsidRPr="00C7130A" w:rsidRDefault="003441DC" w:rsidP="00C7130A">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200"/>
        <w:ind w:left="547"/>
        <w:rPr>
          <w:rFonts w:eastAsia="Calibri"/>
          <w:kern w:val="0"/>
          <w:szCs w:val="24"/>
          <w14:ligatures w14:val="none"/>
        </w:rPr>
      </w:pPr>
      <w:r w:rsidRPr="00020C27">
        <w:rPr>
          <w:rFonts w:eastAsia="Calibri"/>
          <w:kern w:val="0"/>
          <w:rtl/>
          <w14:ligatures w14:val="none"/>
        </w:rPr>
        <w:t xml:space="preserve">الموضوع 4: </w:t>
      </w:r>
      <w:r w:rsidRPr="00020C27">
        <w:rPr>
          <w:rFonts w:eastAsia="Calibri"/>
          <w:kern w:val="0"/>
          <w:rtl/>
          <w14:ligatures w14:val="none"/>
        </w:rPr>
        <w:tab/>
        <w:t xml:space="preserve">النبوّات المسيانيّة والرموز </w:t>
      </w:r>
      <w:r w:rsidR="008B149F" w:rsidRPr="00020C27">
        <w:rPr>
          <w:rFonts w:eastAsia="Calibri"/>
          <w:kern w:val="0"/>
          <w14:ligatures w14:val="none"/>
        </w:rPr>
        <w:br/>
      </w:r>
    </w:p>
    <w:p w14:paraId="37AEA90F" w14:textId="54AEC518" w:rsidR="008B149F" w:rsidRPr="00C7130A" w:rsidRDefault="00EC06D5" w:rsidP="000558B7">
      <w:pPr>
        <w:pStyle w:val="Heading3"/>
      </w:pPr>
      <w:bookmarkStart w:id="401" w:name="_Toc193031143"/>
      <w:r w:rsidRPr="00C7130A">
        <w:rPr>
          <w:rtl/>
        </w:rPr>
        <w:t>أهداف الدرس</w:t>
      </w:r>
      <w:bookmarkStart w:id="402" w:name="_Hlk178779368"/>
      <w:bookmarkEnd w:id="401"/>
    </w:p>
    <w:p w14:paraId="4298846F" w14:textId="61FE2EFA" w:rsidR="008B149F" w:rsidRPr="00020C27" w:rsidRDefault="00EC06D5" w:rsidP="00C7130A">
      <w:pPr>
        <w:spacing w:after="80"/>
        <w:rPr>
          <w:rFonts w:eastAsia="Calibri"/>
          <w:kern w:val="0"/>
          <w14:ligatures w14:val="none"/>
        </w:rPr>
      </w:pPr>
      <w:r w:rsidRPr="00020C27">
        <w:rPr>
          <w:rFonts w:eastAsia="Calibri"/>
          <w:kern w:val="0"/>
          <w:rtl/>
          <w14:ligatures w14:val="none"/>
        </w:rPr>
        <w:t xml:space="preserve">بانتهائك من دراسة هذا الدرس، ستكون قادرًا على ما يلي: </w:t>
      </w:r>
    </w:p>
    <w:p w14:paraId="16FAF414" w14:textId="093DC93D" w:rsidR="00EE2435" w:rsidRPr="00BD3343" w:rsidRDefault="00BD2E1C">
      <w:pPr>
        <w:pStyle w:val="ListParagraph"/>
        <w:numPr>
          <w:ilvl w:val="0"/>
          <w:numId w:val="31"/>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BD3343">
        <w:rPr>
          <w:rFonts w:eastAsia="Calibri"/>
          <w:kern w:val="0"/>
          <w:rtl/>
          <w14:ligatures w14:val="none"/>
        </w:rPr>
        <w:t>أن تشرح مغزى وأهمّيّة هوي</w:t>
      </w:r>
      <w:r w:rsidR="00DA64A0" w:rsidRPr="00BD3343">
        <w:rPr>
          <w:rFonts w:eastAsia="Calibri"/>
          <w:kern w:val="0"/>
          <w:rtl/>
          <w14:ligatures w14:val="none"/>
        </w:rPr>
        <w:t>ّ</w:t>
      </w:r>
      <w:r w:rsidRPr="00BD3343">
        <w:rPr>
          <w:rFonts w:eastAsia="Calibri"/>
          <w:kern w:val="0"/>
          <w:rtl/>
          <w14:ligatures w14:val="none"/>
        </w:rPr>
        <w:t xml:space="preserve">ة راعوث وصفاتها وأعمالها في ضوء السياق التاريخي للسفر. </w:t>
      </w:r>
    </w:p>
    <w:p w14:paraId="407BF0B9" w14:textId="0208B816" w:rsidR="00BD2E1C" w:rsidRPr="00BD3343" w:rsidRDefault="009530DE">
      <w:pPr>
        <w:pStyle w:val="ListParagraph"/>
        <w:numPr>
          <w:ilvl w:val="0"/>
          <w:numId w:val="31"/>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BD3343">
        <w:rPr>
          <w:rFonts w:eastAsia="Calibri"/>
          <w:kern w:val="0"/>
          <w:rtl/>
          <w14:ligatures w14:val="none"/>
        </w:rPr>
        <w:t xml:space="preserve">أن تعرض التطوُّرات الرئيسيّة في الأسفار الثمانية الأولى من الكتاب المُقدَّس (التكوين – راعوث) </w:t>
      </w:r>
    </w:p>
    <w:p w14:paraId="238ACEE4" w14:textId="0467DC17" w:rsidR="009530DE" w:rsidRPr="00BD3343" w:rsidRDefault="009530DE">
      <w:pPr>
        <w:pStyle w:val="ListParagraph"/>
        <w:numPr>
          <w:ilvl w:val="0"/>
          <w:numId w:val="31"/>
        </w:num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14:ligatures w14:val="none"/>
        </w:rPr>
      </w:pPr>
      <w:r w:rsidRPr="00BD3343">
        <w:rPr>
          <w:rFonts w:eastAsia="Calibri"/>
          <w:kern w:val="0"/>
          <w:rtl/>
          <w14:ligatures w14:val="none"/>
        </w:rPr>
        <w:t>أن تعرِّف بالإسهامات الرئيسيّة الموجودة في أسفار التكوين – راعوث بش</w:t>
      </w:r>
      <w:r w:rsidR="00DA64A0" w:rsidRPr="00BD3343">
        <w:rPr>
          <w:rFonts w:eastAsia="Calibri"/>
          <w:kern w:val="0"/>
          <w:rtl/>
          <w14:ligatures w14:val="none"/>
        </w:rPr>
        <w:t>أ</w:t>
      </w:r>
      <w:r w:rsidRPr="00BD3343">
        <w:rPr>
          <w:rFonts w:eastAsia="Calibri"/>
          <w:kern w:val="0"/>
          <w:rtl/>
          <w14:ligatures w14:val="none"/>
        </w:rPr>
        <w:t xml:space="preserve">ن التوقُّعات المسيانيّة. </w:t>
      </w:r>
    </w:p>
    <w:p w14:paraId="634133BF" w14:textId="77777777" w:rsidR="008B149F" w:rsidRPr="00C7130A" w:rsidRDefault="008B149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ind w:left="720"/>
        <w:contextualSpacing/>
        <w:rPr>
          <w:rFonts w:eastAsia="Calibri"/>
          <w:kern w:val="0"/>
          <w:szCs w:val="24"/>
          <w14:ligatures w14:val="none"/>
        </w:rPr>
      </w:pPr>
      <w:r w:rsidRPr="00C7130A">
        <w:rPr>
          <w:rFonts w:eastAsia="Calibri"/>
          <w:kern w:val="0"/>
          <w:szCs w:val="24"/>
          <w14:ligatures w14:val="none"/>
        </w:rPr>
        <w:br w:type="page"/>
      </w:r>
    </w:p>
    <w:p w14:paraId="3EC25E8B" w14:textId="6DCADF6B" w:rsidR="006311FA" w:rsidRPr="00C7130A" w:rsidRDefault="009530DE" w:rsidP="000558B7">
      <w:pPr>
        <w:pStyle w:val="Heading2B"/>
      </w:pPr>
      <w:bookmarkStart w:id="403" w:name="_Toc193031144"/>
      <w:bookmarkEnd w:id="402"/>
      <w:r w:rsidRPr="00C7130A">
        <w:rPr>
          <w:rtl/>
        </w:rPr>
        <w:lastRenderedPageBreak/>
        <w:t>الموضوع 1: لوحة سفر راعوث</w:t>
      </w:r>
      <w:bookmarkEnd w:id="403"/>
      <w:r w:rsidRPr="00C7130A">
        <w:rPr>
          <w:rtl/>
        </w:rPr>
        <w:t xml:space="preserve"> </w:t>
      </w:r>
    </w:p>
    <w:p w14:paraId="46DBBEC1" w14:textId="77777777" w:rsidR="00F67267" w:rsidRPr="00C7130A" w:rsidRDefault="00F67267" w:rsidP="00C7130A"/>
    <w:p w14:paraId="41E8B975" w14:textId="3D0707D9" w:rsidR="006311FA" w:rsidRPr="00C7130A" w:rsidRDefault="006A7C83"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r w:rsidRPr="00C7130A">
        <w:rPr>
          <w:rFonts w:eastAsia="Calibri"/>
          <w:strike/>
          <w:noProof/>
          <w:kern w:val="0"/>
          <w:szCs w:val="24"/>
          <w14:ligatures w14:val="none"/>
        </w:rPr>
        <w:drawing>
          <wp:inline distT="0" distB="0" distL="0" distR="0" wp14:anchorId="34954104" wp14:editId="39DF0D1E">
            <wp:extent cx="5943600" cy="4343400"/>
            <wp:effectExtent l="0" t="0" r="0" b="0"/>
            <wp:docPr id="16123086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4343400"/>
                    </a:xfrm>
                    <a:prstGeom prst="rect">
                      <a:avLst/>
                    </a:prstGeom>
                    <a:noFill/>
                    <a:ln>
                      <a:noFill/>
                    </a:ln>
                  </pic:spPr>
                </pic:pic>
              </a:graphicData>
            </a:graphic>
          </wp:inline>
        </w:drawing>
      </w:r>
    </w:p>
    <w:p w14:paraId="2479A9EC" w14:textId="77777777" w:rsidR="00EE2435" w:rsidRPr="00C7130A" w:rsidRDefault="00EE2435" w:rsidP="000558B7">
      <w:pPr>
        <w:pStyle w:val="Heading3"/>
      </w:pPr>
    </w:p>
    <w:p w14:paraId="631EB3D2" w14:textId="00FD1A44" w:rsidR="009530DE" w:rsidRPr="00C7130A" w:rsidRDefault="009530DE" w:rsidP="000558B7">
      <w:pPr>
        <w:pStyle w:val="Heading2B"/>
        <w:rPr>
          <w:rtl/>
        </w:rPr>
      </w:pPr>
      <w:bookmarkStart w:id="404" w:name="_Toc193031145"/>
      <w:r w:rsidRPr="00C7130A">
        <w:rPr>
          <w:rtl/>
        </w:rPr>
        <w:t>الموضوع 2: راعوث – بصيص من نور النعمة (راعوث 1-4)</w:t>
      </w:r>
      <w:bookmarkStart w:id="405" w:name="_Hlk178779412"/>
      <w:bookmarkEnd w:id="404"/>
      <w:r w:rsidRPr="00C7130A">
        <w:rPr>
          <w:rtl/>
        </w:rPr>
        <w:t xml:space="preserve"> </w:t>
      </w:r>
    </w:p>
    <w:p w14:paraId="24261FD6" w14:textId="0CF36DF1" w:rsidR="00F67267" w:rsidRPr="00C7130A" w:rsidRDefault="00F67267" w:rsidP="00C7130A">
      <w:pPr>
        <w:keepNext/>
        <w:tabs>
          <w:tab w:val="left" w:pos="0"/>
          <w:tab w:val="left" w:pos="540"/>
          <w:tab w:val="left" w:pos="1080"/>
          <w:tab w:val="left" w:pos="1620"/>
          <w:tab w:val="left" w:pos="2160"/>
          <w:tab w:val="left" w:pos="2700"/>
          <w:tab w:val="left" w:pos="3240"/>
          <w:tab w:val="left" w:pos="3780"/>
          <w:tab w:val="left" w:pos="4320"/>
          <w:tab w:val="left" w:pos="4860"/>
        </w:tabs>
        <w:spacing w:before="240"/>
        <w:rPr>
          <w:rFonts w:eastAsia="Calibri"/>
          <w:b/>
          <w:caps/>
          <w:color w:val="006699"/>
          <w:kern w:val="0"/>
          <w:sz w:val="21"/>
          <w:szCs w:val="24"/>
          <w14:ligatures w14:val="none"/>
        </w:rPr>
      </w:pPr>
      <w:r w:rsidRPr="00C7130A">
        <w:rPr>
          <w:rFonts w:eastAsia="Calibri"/>
          <w:b/>
          <w:caps/>
          <w:noProof/>
          <w:color w:val="006699"/>
          <w:kern w:val="0"/>
          <w:sz w:val="21"/>
          <w:szCs w:val="24"/>
          <w14:ligatures w14:val="none"/>
        </w:rPr>
        <w:drawing>
          <wp:inline distT="0" distB="0" distL="0" distR="0" wp14:anchorId="4BEBAA07" wp14:editId="2AE6A0E4">
            <wp:extent cx="613692" cy="541464"/>
            <wp:effectExtent l="0" t="0" r="0" b="0"/>
            <wp:docPr id="412336093" name="Picture 412336093"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C7130A">
        <w:rPr>
          <w:rFonts w:eastAsia="Calibri"/>
          <w:b/>
          <w:caps/>
          <w:color w:val="006699"/>
          <w:kern w:val="0"/>
          <w:sz w:val="21"/>
          <w:szCs w:val="24"/>
          <w14:ligatures w14:val="none"/>
        </w:rPr>
        <w:t xml:space="preserve"> </w:t>
      </w:r>
      <w:r w:rsidR="009530DE" w:rsidRPr="00020C27">
        <w:rPr>
          <w:rFonts w:eastAsia="Calibri"/>
          <w:bCs/>
          <w:caps/>
          <w:color w:val="006699"/>
          <w:kern w:val="0"/>
          <w:u w:val="single"/>
          <w:rtl/>
          <w14:ligatures w14:val="none"/>
        </w:rPr>
        <w:t>القراءة</w:t>
      </w:r>
      <w:r w:rsidR="009530DE" w:rsidRPr="00C7130A">
        <w:rPr>
          <w:rFonts w:eastAsia="Calibri"/>
          <w:bCs/>
          <w:caps/>
          <w:color w:val="006699"/>
          <w:kern w:val="0"/>
          <w:sz w:val="21"/>
          <w:szCs w:val="24"/>
          <w:u w:val="single"/>
          <w:rtl/>
          <w14:ligatures w14:val="none"/>
        </w:rPr>
        <w:t>:</w:t>
      </w:r>
    </w:p>
    <w:p w14:paraId="65A02656" w14:textId="1312D53A" w:rsidR="00F67267" w:rsidRPr="00C7130A" w:rsidRDefault="00F67267" w:rsidP="00C7130A">
      <w:pPr>
        <w:rPr>
          <w:b/>
          <w:bCs/>
        </w:rPr>
      </w:pPr>
      <w:r w:rsidRPr="00C7130A">
        <w:tab/>
      </w:r>
      <w:r w:rsidRPr="00C7130A">
        <w:tab/>
      </w:r>
      <w:r w:rsidR="009530DE" w:rsidRPr="00C7130A">
        <w:rPr>
          <w:rtl/>
        </w:rPr>
        <w:t xml:space="preserve">اقرأ راعوث 1: 1 – 4: 22 في كتابك المُقدَّس. </w:t>
      </w:r>
    </w:p>
    <w:bookmarkEnd w:id="405"/>
    <w:p w14:paraId="5164330C" w14:textId="77777777" w:rsidR="006A7C83" w:rsidRPr="00C7130A" w:rsidRDefault="006A7C83" w:rsidP="00C7130A">
      <w:pPr>
        <w:jc w:val="center"/>
        <w:rPr>
          <w:rFonts w:eastAsia="Times New Roman"/>
          <w:bCs/>
          <w:kern w:val="0"/>
          <w:szCs w:val="28"/>
          <w:rtl/>
          <w:lang w:bidi="ar-JO"/>
          <w14:ligatures w14:val="none"/>
        </w:rPr>
      </w:pPr>
    </w:p>
    <w:p w14:paraId="0C0722A3" w14:textId="77777777" w:rsidR="006A7C83" w:rsidRPr="00C7130A" w:rsidRDefault="006A7C83" w:rsidP="000558B7">
      <w:pPr>
        <w:pStyle w:val="Heading3"/>
        <w:rPr>
          <w:rtl/>
          <w:lang w:bidi="ar-JO"/>
        </w:rPr>
      </w:pPr>
      <w:bookmarkStart w:id="406" w:name="_Toc193031146"/>
      <w:r w:rsidRPr="00C7130A">
        <w:rPr>
          <w:rtl/>
          <w:lang w:bidi="ar-JO"/>
        </w:rPr>
        <w:t>1.</w:t>
      </w:r>
      <w:r w:rsidRPr="00C7130A">
        <w:rPr>
          <w:rtl/>
          <w:lang w:bidi="ar-JO"/>
        </w:rPr>
        <w:tab/>
        <w:t>مقدمة</w:t>
      </w:r>
      <w:bookmarkEnd w:id="406"/>
      <w:r w:rsidRPr="00C7130A">
        <w:rPr>
          <w:rtl/>
          <w:lang w:bidi="ar-JO"/>
        </w:rPr>
        <w:t xml:space="preserve"> </w:t>
      </w:r>
    </w:p>
    <w:p w14:paraId="08C88170"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إن سفر راعوث في واقع الأمر ملحق آخر بسفر القضاة؛ إذ يختار مشهداً يحدث أثناء تلك الفترة من تاريخ إسرائيل:</w:t>
      </w:r>
    </w:p>
    <w:p w14:paraId="0F1A5E56"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20C27">
        <w:rPr>
          <w:rFonts w:eastAsia="Times New Roman"/>
          <w:kern w:val="0"/>
          <w:rtl/>
          <w:lang w:bidi="ar-JO"/>
          <w14:ligatures w14:val="none"/>
        </w:rPr>
        <w:lastRenderedPageBreak/>
        <w:t>"حدثَ في أيّام حكم القضاة أنه..." (1: 1)</w:t>
      </w:r>
    </w:p>
    <w:p w14:paraId="01A1C903"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لا نعطى اسم كاتب السفر، لكن يحتمل أن صموئيل هو الذي كتبه.</w:t>
      </w:r>
      <w:r w:rsidRPr="00020C27">
        <w:rPr>
          <w:rFonts w:eastAsia="Times New Roman"/>
          <w:kern w:val="0"/>
          <w:vertAlign w:val="superscript"/>
          <w:rtl/>
          <w:lang w:bidi="ar-JO"/>
          <w14:ligatures w14:val="none"/>
        </w:rPr>
        <w:footnoteReference w:customMarkFollows="1" w:id="209"/>
        <w:t>1</w:t>
      </w:r>
      <w:r w:rsidRPr="00020C27">
        <w:rPr>
          <w:rFonts w:eastAsia="Times New Roman"/>
          <w:kern w:val="0"/>
          <w:rtl/>
          <w:lang w:bidi="ar-JO"/>
          <w14:ligatures w14:val="none"/>
        </w:rPr>
        <w:t xml:space="preserve"> وبما أن راعوث، الشخصية الرئيسية في السفر، عاشت قبل ثلاثة أجيال من داود، فلا بدّ أن يكون السفر قد كُتب في الجزء من فترة القضاة.  وينتهي السفر بسلسلة المواليد التي تتوَّج بداود، أعظم ملك في تاريخ إسرائيل، الذي سيأتي المسيّا – الملك من خلاله (2صموئيل 7).  لكن لا يقتصر الغرض من السفر على مجرّد إظهار الصلة بين داود وسلسلة نسبه (على الرغم من أنه يتتبع بالفعل سلسلة نسب داود إلى يهوذا وبيت لحم).  إن هذا السفر مليءٌ باللاهوت، خاصة سيادة الله وكيف يحقق أمانته ومن خلال أي شخص يختار ذلك.</w:t>
      </w:r>
    </w:p>
    <w:p w14:paraId="36A91B4F"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1089676A" w14:textId="77777777" w:rsidR="006A7C83" w:rsidRPr="00C7130A" w:rsidRDefault="006A7C83" w:rsidP="000558B7">
      <w:pPr>
        <w:pStyle w:val="Heading3"/>
        <w:rPr>
          <w:rtl/>
          <w:lang w:bidi="ar-JO"/>
        </w:rPr>
      </w:pPr>
      <w:bookmarkStart w:id="407" w:name="_Toc193031147"/>
      <w:r w:rsidRPr="00C7130A">
        <w:rPr>
          <w:rtl/>
          <w:lang w:bidi="ar-JO"/>
        </w:rPr>
        <w:t>2.</w:t>
      </w:r>
      <w:r w:rsidRPr="00C7130A">
        <w:rPr>
          <w:rtl/>
          <w:lang w:bidi="ar-JO"/>
        </w:rPr>
        <w:tab/>
        <w:t>ملاحظات</w:t>
      </w:r>
      <w:bookmarkEnd w:id="407"/>
    </w:p>
    <w:p w14:paraId="025117EA"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لكي نفهم اللاهوت المقدَّم في هذا الكتاب، لابد من تقديم بعض الملاحظات الهامّة:</w:t>
      </w:r>
    </w:p>
    <w:p w14:paraId="7C0F2DA4" w14:textId="77777777" w:rsidR="006A7C83" w:rsidRPr="00020C27" w:rsidRDefault="006A7C83" w:rsidP="00C7130A">
      <w:pPr>
        <w:tabs>
          <w:tab w:val="left" w:pos="454"/>
        </w:tabs>
        <w:spacing w:after="60"/>
        <w:ind w:left="550" w:hanging="550"/>
        <w:jc w:val="both"/>
        <w:rPr>
          <w:rFonts w:eastAsia="Times New Roman"/>
          <w:bCs/>
          <w:kern w:val="0"/>
          <w:rtl/>
          <w14:ligatures w14:val="none"/>
        </w:rPr>
      </w:pPr>
      <w:r w:rsidRPr="00020C27">
        <w:rPr>
          <w:rFonts w:eastAsia="Times New Roman"/>
          <w:bCs/>
          <w:kern w:val="0"/>
          <w:rtl/>
          <w14:ligatures w14:val="none"/>
        </w:rPr>
        <w:t>أ.</w:t>
      </w:r>
      <w:r w:rsidRPr="00020C27">
        <w:rPr>
          <w:rFonts w:eastAsia="Times New Roman"/>
          <w:bCs/>
          <w:kern w:val="0"/>
          <w:rtl/>
          <w14:ligatures w14:val="none"/>
        </w:rPr>
        <w:tab/>
        <w:t>الإطار التاريخي</w:t>
      </w:r>
    </w:p>
    <w:p w14:paraId="6D56F147"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تقع أحداث هذا السفر، كما سبق أن ذكرت، في فترة القضاة.  وقد تميّزت هذه الفترة بتعرُّض الأمّة للتأديب من قبل الرب.  وفي حقيقة الأمر، يبدأ سفر راعوث بهذه الطريقة، "</w:t>
      </w:r>
      <w:r w:rsidRPr="00020C27">
        <w:rPr>
          <w:rFonts w:eastAsia="Times New Roman"/>
          <w:i/>
          <w:iCs/>
          <w:kern w:val="0"/>
          <w:rtl/>
          <w:lang w:bidi="ar-JO"/>
          <w14:ligatures w14:val="none"/>
        </w:rPr>
        <w:t>صار جوع (حدثت مجاعة) في الأرض</w:t>
      </w:r>
      <w:r w:rsidRPr="00020C27">
        <w:rPr>
          <w:rFonts w:eastAsia="Times New Roman"/>
          <w:kern w:val="0"/>
          <w:rtl/>
          <w:lang w:bidi="ar-JO"/>
          <w14:ligatures w14:val="none"/>
        </w:rPr>
        <w:t>" (1: 1)، وهي حقيقة تعكس تأديب الله للأمّة (تثنية 28: 17-18، 38-41).  وتعبّر مغادرة نُعْمي وعائلتها للأرض للسكن في موآب عدم أمانة للعهد، خاصة عندما يتّخذ ابنا نُعْمي زوجتين موآبيتين (انظر خروج 34: 12-16؛ تثنية 7: 5).</w:t>
      </w:r>
    </w:p>
    <w:p w14:paraId="3B731592"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90F67B7"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 xml:space="preserve">غير أنه لا يتوجب علينا أن نغفل الصلة بمدينة بيت لحم، لأن أليمالك كان تَلْحَمِيّاً.  ويلاحظ ميريل أنه كانت لبيت لحم صلة بـ "أيام القُضاة"، خاصة في ما يتعلّق بالخاتمة.  ففي كل من قضاة 17-18 و19-21 كانت للخروج من بيت لحم نتائج مأسوية.  غير أن المأساة تنقلب في هذه الحالة.  يقول ميريل: "كان أسلاف شاول قد أذلّوا امرأة </w:t>
      </w:r>
      <w:r w:rsidRPr="00020C27">
        <w:rPr>
          <w:rFonts w:eastAsia="Times New Roman"/>
          <w:kern w:val="0"/>
          <w:rtl/>
          <w14:ligatures w14:val="none"/>
        </w:rPr>
        <w:t>بي</w:t>
      </w:r>
      <w:r w:rsidRPr="00020C27">
        <w:rPr>
          <w:rFonts w:eastAsia="Times New Roman"/>
          <w:kern w:val="0"/>
          <w:rtl/>
          <w:lang w:bidi="ar-JO"/>
          <w14:ligatures w14:val="none"/>
        </w:rPr>
        <w:t>تلحميّة بالاعتداء عليها، الأمر الذي ندموا عليه كثيراً فيما بعد.  لكن بيت لحم بقيت موجودة بعد هذا الحدث، بالإضافة إلى أنها قدّمت فيما بعد خليفة شاول، الرجل الذي كان حسب قلب الله."</w:t>
      </w:r>
      <w:r w:rsidRPr="00020C27">
        <w:rPr>
          <w:rFonts w:eastAsia="Times New Roman"/>
          <w:kern w:val="0"/>
          <w:vertAlign w:val="superscript"/>
          <w:rtl/>
          <w:lang w:bidi="ar-JO"/>
          <w14:ligatures w14:val="none"/>
        </w:rPr>
        <w:footnoteReference w:customMarkFollows="1" w:id="210"/>
        <w:t>2</w:t>
      </w:r>
      <w:r w:rsidRPr="00020C27">
        <w:rPr>
          <w:rFonts w:eastAsia="Times New Roman"/>
          <w:kern w:val="0"/>
          <w:rtl/>
          <w:lang w:bidi="ar-JO"/>
          <w14:ligatures w14:val="none"/>
        </w:rPr>
        <w:t xml:space="preserve"> ومع بدء قراءة سفر راعوث ربما تتوقع (مرة أخرى) أن يحدث شيء مأساوي لبيت لحم.  غير أنه تنتظرنا هذه المرة مفاجأة سارّة. </w:t>
      </w:r>
    </w:p>
    <w:p w14:paraId="6F0AC3F9"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 xml:space="preserve"> </w:t>
      </w:r>
    </w:p>
    <w:p w14:paraId="0B0D2843" w14:textId="77777777" w:rsidR="006A7C83" w:rsidRPr="00020C27" w:rsidRDefault="006A7C83" w:rsidP="00C7130A">
      <w:pPr>
        <w:tabs>
          <w:tab w:val="left" w:pos="454"/>
        </w:tabs>
        <w:spacing w:after="60"/>
        <w:ind w:left="550" w:hanging="550"/>
        <w:jc w:val="both"/>
        <w:rPr>
          <w:rFonts w:eastAsia="Times New Roman"/>
          <w:bCs/>
          <w:kern w:val="0"/>
          <w:rtl/>
          <w14:ligatures w14:val="none"/>
        </w:rPr>
      </w:pPr>
      <w:r w:rsidRPr="00020C27">
        <w:rPr>
          <w:rFonts w:eastAsia="Times New Roman"/>
          <w:bCs/>
          <w:kern w:val="0"/>
          <w:rtl/>
          <w14:ligatures w14:val="none"/>
        </w:rPr>
        <w:lastRenderedPageBreak/>
        <w:t>ب.</w:t>
      </w:r>
      <w:r w:rsidRPr="00020C27">
        <w:rPr>
          <w:rFonts w:eastAsia="Times New Roman"/>
          <w:bCs/>
          <w:kern w:val="0"/>
          <w:rtl/>
          <w14:ligatures w14:val="none"/>
        </w:rPr>
        <w:tab/>
        <w:t>تضرّعات كثيرة للبركات</w:t>
      </w:r>
    </w:p>
    <w:p w14:paraId="12CE4F1C"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تُستمطر عبر السفر بركات مرّات كثيرة.  وهي في واقع الأمر صلوات إلى يهوه.  ويدور السفر حول هذه الصلوات، حيث يعمل الله في نعمته لتلبية هذه الطلبات، مانحاً بهذا بركته.  ونجد التضرّعات الرئيسية في 1: 8-9؛ 2: 12؛ 2: 20؛ 3: 10؛ 4: 11-12.</w:t>
      </w:r>
    </w:p>
    <w:p w14:paraId="0FBDA491"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95EF569" w14:textId="77777777" w:rsidR="006A7C83" w:rsidRPr="00020C27" w:rsidRDefault="006A7C83" w:rsidP="00C7130A">
      <w:pPr>
        <w:tabs>
          <w:tab w:val="left" w:pos="454"/>
        </w:tabs>
        <w:spacing w:after="60"/>
        <w:ind w:left="550" w:hanging="550"/>
        <w:jc w:val="both"/>
        <w:rPr>
          <w:rFonts w:eastAsia="Times New Roman"/>
          <w:bCs/>
          <w:kern w:val="0"/>
          <w:rtl/>
          <w14:ligatures w14:val="none"/>
        </w:rPr>
      </w:pPr>
      <w:r w:rsidRPr="00020C27">
        <w:rPr>
          <w:rFonts w:eastAsia="Times New Roman"/>
          <w:bCs/>
          <w:kern w:val="0"/>
          <w:rtl/>
          <w14:ligatures w14:val="none"/>
        </w:rPr>
        <w:t>جـ.</w:t>
      </w:r>
      <w:r w:rsidRPr="00020C27">
        <w:rPr>
          <w:rFonts w:eastAsia="Times New Roman"/>
          <w:bCs/>
          <w:kern w:val="0"/>
          <w:rtl/>
          <w14:ligatures w14:val="none"/>
        </w:rPr>
        <w:tab/>
        <w:t xml:space="preserve">تعبير </w:t>
      </w:r>
      <w:r w:rsidRPr="00020C27">
        <w:rPr>
          <w:rFonts w:eastAsia="Times New Roman"/>
          <w:bCs/>
          <w:i/>
          <w:iCs/>
          <w:kern w:val="0"/>
          <w:rtl/>
          <w14:ligatures w14:val="none"/>
        </w:rPr>
        <w:t>حِسِد</w:t>
      </w:r>
      <w:r w:rsidRPr="00020C27">
        <w:rPr>
          <w:rFonts w:eastAsia="Times New Roman"/>
          <w:bCs/>
          <w:kern w:val="0"/>
          <w:rtl/>
          <w14:ligatures w14:val="none"/>
        </w:rPr>
        <w:t xml:space="preserve"> </w:t>
      </w:r>
      <w:r w:rsidRPr="00020C27">
        <w:rPr>
          <w:rFonts w:eastAsia="Times New Roman"/>
          <w:b/>
          <w:bCs/>
          <w:i/>
          <w:kern w:val="0"/>
          <w:lang w:bidi="he-IL"/>
          <w14:ligatures w14:val="none"/>
        </w:rPr>
        <w:t>ḥeseḏ</w:t>
      </w:r>
      <w:r w:rsidRPr="00020C27">
        <w:rPr>
          <w:rFonts w:eastAsia="Times New Roman"/>
          <w:bCs/>
          <w:kern w:val="0"/>
          <w:rtl/>
          <w14:ligatures w14:val="none"/>
        </w:rPr>
        <w:t xml:space="preserve"> (</w:t>
      </w:r>
      <w:r w:rsidRPr="00020C27">
        <w:rPr>
          <w:rFonts w:ascii="Times New Roman" w:eastAsia="Times New Roman" w:hAnsi="Times New Roman" w:cs="Times New Roman" w:hint="cs"/>
          <w:bCs/>
          <w:i/>
          <w:kern w:val="0"/>
          <w:rtl/>
          <w:lang w:bidi="he-IL"/>
          <w14:ligatures w14:val="none"/>
        </w:rPr>
        <w:t>חֶסֶד</w:t>
      </w:r>
      <w:r w:rsidRPr="00020C27">
        <w:rPr>
          <w:rFonts w:eastAsia="Times New Roman"/>
          <w:bCs/>
          <w:kern w:val="0"/>
          <w:rtl/>
          <w14:ligatures w14:val="none"/>
        </w:rPr>
        <w:t>)</w:t>
      </w:r>
    </w:p>
    <w:p w14:paraId="4AF9B9D3"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 xml:space="preserve">يرِد تعبير </w:t>
      </w:r>
      <w:r w:rsidRPr="00020C27">
        <w:rPr>
          <w:rFonts w:eastAsia="Times New Roman"/>
          <w:i/>
          <w:iCs/>
          <w:kern w:val="0"/>
          <w:rtl/>
          <w:lang w:bidi="ar-JO"/>
          <w14:ligatures w14:val="none"/>
        </w:rPr>
        <w:t>حِسِد</w:t>
      </w:r>
      <w:r w:rsidRPr="00020C27">
        <w:rPr>
          <w:rFonts w:eastAsia="Times New Roman"/>
          <w:kern w:val="0"/>
          <w:rtl/>
          <w:lang w:bidi="ar-JO"/>
          <w14:ligatures w14:val="none"/>
        </w:rPr>
        <w:t xml:space="preserve"> </w:t>
      </w:r>
      <w:r w:rsidRPr="00020C27">
        <w:rPr>
          <w:rFonts w:eastAsia="Times New Roman"/>
          <w:i/>
          <w:kern w:val="0"/>
          <w:lang w:bidi="he-IL"/>
          <w14:ligatures w14:val="none"/>
        </w:rPr>
        <w:t>ḥeseḏ</w:t>
      </w:r>
      <w:r w:rsidRPr="00020C27">
        <w:rPr>
          <w:rFonts w:eastAsia="Times New Roman"/>
          <w:kern w:val="0"/>
          <w:rtl/>
          <w:lang w:bidi="ar-JO"/>
          <w14:ligatures w14:val="none"/>
        </w:rPr>
        <w:t xml:space="preserve"> في ثلاث مواضع في السفر (1: 8؛ 2: 20؛ 3: 10).  وتترجم </w:t>
      </w:r>
      <w:r w:rsidRPr="00020C27">
        <w:rPr>
          <w:rFonts w:eastAsia="Times New Roman"/>
          <w:i/>
          <w:iCs/>
          <w:kern w:val="0"/>
          <w14:ligatures w14:val="none"/>
        </w:rPr>
        <w:t>NASB</w:t>
      </w:r>
      <w:r w:rsidRPr="00020C27">
        <w:rPr>
          <w:rFonts w:eastAsia="Times New Roman"/>
          <w:kern w:val="0"/>
          <w:rtl/>
          <w:lang w:bidi="ar-JO"/>
          <w14:ligatures w14:val="none"/>
        </w:rPr>
        <w:t xml:space="preserve"> و </w:t>
      </w:r>
      <w:r w:rsidRPr="00020C27">
        <w:rPr>
          <w:rFonts w:eastAsia="Times New Roman"/>
          <w:i/>
          <w:iCs/>
          <w:kern w:val="0"/>
          <w14:ligatures w14:val="none"/>
        </w:rPr>
        <w:t>KJV</w:t>
      </w:r>
      <w:r w:rsidRPr="00020C27">
        <w:rPr>
          <w:rFonts w:eastAsia="Times New Roman"/>
          <w:kern w:val="0"/>
          <w:rtl/>
          <w:lang w:bidi="ar-JO"/>
          <w14:ligatures w14:val="none"/>
        </w:rPr>
        <w:t xml:space="preserve"> هذا التعبير إلى "إحسان" أو "لطف" أو "كرم".  لكن الكلمة تدل على ما هو أكثر بكثير من عمل إحسان أو موقف يتسم بالكرم واللطف.  إن </w:t>
      </w:r>
      <w:r w:rsidRPr="00020C27">
        <w:rPr>
          <w:rFonts w:eastAsia="Times New Roman"/>
          <w:i/>
          <w:iCs/>
          <w:kern w:val="0"/>
          <w:rtl/>
          <w:lang w:bidi="ar-JO"/>
          <w14:ligatures w14:val="none"/>
        </w:rPr>
        <w:t>حِسِد</w:t>
      </w:r>
      <w:r w:rsidRPr="00020C27">
        <w:rPr>
          <w:rFonts w:eastAsia="Times New Roman"/>
          <w:kern w:val="0"/>
          <w:rtl/>
          <w:lang w:bidi="ar-JO"/>
          <w14:ligatures w14:val="none"/>
        </w:rPr>
        <w:t xml:space="preserve"> </w:t>
      </w:r>
      <w:r w:rsidRPr="00020C27">
        <w:rPr>
          <w:rFonts w:eastAsia="Times New Roman"/>
          <w:i/>
          <w:kern w:val="0"/>
          <w:lang w:bidi="he-IL"/>
          <w14:ligatures w14:val="none"/>
        </w:rPr>
        <w:t>ḥeseḏ</w:t>
      </w:r>
      <w:r w:rsidRPr="00020C27">
        <w:rPr>
          <w:rFonts w:eastAsia="Times New Roman"/>
          <w:kern w:val="0"/>
          <w:rtl/>
          <w:lang w:bidi="ar-JO"/>
          <w14:ligatures w14:val="none"/>
        </w:rPr>
        <w:t xml:space="preserve"> أكثر بكثير من مجرّد عاطفة.  ففكرة الولاء والوفاء متأصّلة في هذه الكلمة، بالإضافة إلى تأثير المحبّة.  إن </w:t>
      </w:r>
      <w:r w:rsidRPr="00020C27">
        <w:rPr>
          <w:rFonts w:eastAsia="Times New Roman"/>
          <w:i/>
          <w:iCs/>
          <w:kern w:val="0"/>
          <w:rtl/>
          <w:lang w:bidi="ar-JO"/>
          <w14:ligatures w14:val="none"/>
        </w:rPr>
        <w:t>حِسِد</w:t>
      </w:r>
      <w:r w:rsidRPr="00020C27">
        <w:rPr>
          <w:rFonts w:eastAsia="Times New Roman"/>
          <w:kern w:val="0"/>
          <w:rtl/>
          <w:lang w:bidi="ar-JO"/>
          <w14:ligatures w14:val="none"/>
        </w:rPr>
        <w:t xml:space="preserve"> </w:t>
      </w:r>
      <w:r w:rsidRPr="00020C27">
        <w:rPr>
          <w:rFonts w:eastAsia="Times New Roman"/>
          <w:i/>
          <w:kern w:val="0"/>
          <w:lang w:bidi="he-IL"/>
          <w14:ligatures w14:val="none"/>
        </w:rPr>
        <w:t>ḥeseḏ</w:t>
      </w:r>
      <w:r w:rsidRPr="00020C27">
        <w:rPr>
          <w:rFonts w:eastAsia="Times New Roman"/>
          <w:kern w:val="0"/>
          <w:rtl/>
          <w:lang w:bidi="ar-JO"/>
          <w14:ligatures w14:val="none"/>
        </w:rPr>
        <w:t xml:space="preserve"> </w:t>
      </w:r>
      <w:r w:rsidRPr="00020C27">
        <w:rPr>
          <w:rFonts w:eastAsia="Times New Roman"/>
          <w:kern w:val="0"/>
          <w:rtl/>
          <w14:ligatures w14:val="none"/>
        </w:rPr>
        <w:t xml:space="preserve">عبارة عن </w:t>
      </w:r>
      <w:r w:rsidRPr="00020C27">
        <w:rPr>
          <w:rFonts w:eastAsia="Times New Roman"/>
          <w:kern w:val="0"/>
          <w:rtl/>
          <w:lang w:bidi="ar-JO"/>
          <w14:ligatures w14:val="none"/>
        </w:rPr>
        <w:t xml:space="preserve">إبداء محبّة نابعة من </w:t>
      </w:r>
      <w:r w:rsidRPr="00020C27">
        <w:rPr>
          <w:rFonts w:eastAsia="Times New Roman"/>
          <w:kern w:val="0"/>
          <w:u w:val="single"/>
          <w:rtl/>
          <w:lang w:bidi="ar-JO"/>
          <w14:ligatures w14:val="none"/>
        </w:rPr>
        <w:t>التزام يتّسم بالولاء</w:t>
      </w:r>
      <w:r w:rsidRPr="00020C27">
        <w:rPr>
          <w:rFonts w:eastAsia="Times New Roman"/>
          <w:kern w:val="0"/>
          <w:rtl/>
          <w:lang w:bidi="ar-JO"/>
          <w14:ligatures w14:val="none"/>
        </w:rPr>
        <w:t xml:space="preserve"> لموضوع محبّة المرء.  إن فكرة "المحبّة المتّسمة بالولاء" هي أكثر ما يعبّر عنه هذا التعبير.</w:t>
      </w:r>
    </w:p>
    <w:p w14:paraId="695AB714"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82E7BE4"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 xml:space="preserve">وهكذا تتضرع نعمي إلى يهوه لكي يُظهر </w:t>
      </w:r>
      <w:r w:rsidRPr="00020C27">
        <w:rPr>
          <w:rFonts w:eastAsia="Times New Roman"/>
          <w:i/>
          <w:iCs/>
          <w:kern w:val="0"/>
          <w:rtl/>
          <w:lang w:bidi="ar-JO"/>
          <w14:ligatures w14:val="none"/>
        </w:rPr>
        <w:t>حِسِد</w:t>
      </w:r>
      <w:r w:rsidRPr="00020C27">
        <w:rPr>
          <w:rFonts w:eastAsia="Times New Roman"/>
          <w:kern w:val="0"/>
          <w:rtl/>
          <w:lang w:bidi="ar-JO"/>
          <w14:ligatures w14:val="none"/>
        </w:rPr>
        <w:t>ه</w:t>
      </w:r>
      <w:r w:rsidRPr="00020C27">
        <w:rPr>
          <w:rFonts w:eastAsia="Times New Roman"/>
          <w:kern w:val="0"/>
          <w:rtl/>
          <w14:ligatures w14:val="none"/>
        </w:rPr>
        <w:t xml:space="preserve"> </w:t>
      </w:r>
      <w:r w:rsidRPr="00020C27">
        <w:rPr>
          <w:rFonts w:eastAsia="Times New Roman"/>
          <w:i/>
          <w:kern w:val="0"/>
          <w:lang w:bidi="he-IL"/>
          <w14:ligatures w14:val="none"/>
        </w:rPr>
        <w:t>ḥeseḏ</w:t>
      </w:r>
      <w:r w:rsidRPr="00020C27">
        <w:rPr>
          <w:rFonts w:eastAsia="Times New Roman"/>
          <w:kern w:val="0"/>
          <w:rtl/>
          <w:lang w:bidi="ar-JO"/>
          <w14:ligatures w14:val="none"/>
        </w:rPr>
        <w:t xml:space="preserve"> ، أي محبّته المتّسمة بالولاء تجاه راعوث (1: 8).  وبطبيعة الحال، فإن هذا ما يظهر على مدى السفر، خاصّة في ذروة السفر في الأصحاح الرابع.  لكننا نرى أيضاً في مسار القصّة أن راعوث تُظهر </w:t>
      </w:r>
      <w:r w:rsidRPr="00020C27">
        <w:rPr>
          <w:rFonts w:eastAsia="Times New Roman"/>
          <w:i/>
          <w:iCs/>
          <w:kern w:val="0"/>
          <w:rtl/>
          <w:lang w:bidi="ar-JO"/>
          <w14:ligatures w14:val="none"/>
        </w:rPr>
        <w:t>حِسِد</w:t>
      </w:r>
      <w:r w:rsidRPr="00020C27">
        <w:rPr>
          <w:rFonts w:eastAsia="Times New Roman"/>
          <w:kern w:val="0"/>
          <w:rtl/>
          <w:lang w:bidi="ar-JO"/>
          <w14:ligatures w14:val="none"/>
        </w:rPr>
        <w:t xml:space="preserve"> </w:t>
      </w:r>
      <w:r w:rsidRPr="00020C27">
        <w:rPr>
          <w:rFonts w:eastAsia="Times New Roman"/>
          <w:i/>
          <w:kern w:val="0"/>
          <w:lang w:bidi="he-IL"/>
          <w14:ligatures w14:val="none"/>
        </w:rPr>
        <w:t>ḥeseḏ</w:t>
      </w:r>
      <w:r w:rsidRPr="00020C27">
        <w:rPr>
          <w:rFonts w:eastAsia="Times New Roman"/>
          <w:kern w:val="0"/>
          <w:rtl/>
          <w:lang w:bidi="ar-JO"/>
          <w14:ligatures w14:val="none"/>
        </w:rPr>
        <w:t xml:space="preserve"> (3: 10)، وأن بوعز يظهر </w:t>
      </w:r>
      <w:r w:rsidRPr="00020C27">
        <w:rPr>
          <w:rFonts w:eastAsia="Times New Roman"/>
          <w:i/>
          <w:iCs/>
          <w:kern w:val="0"/>
          <w:rtl/>
          <w:lang w:bidi="ar-JO"/>
          <w14:ligatures w14:val="none"/>
        </w:rPr>
        <w:t>حِسِد</w:t>
      </w:r>
      <w:r w:rsidRPr="00020C27">
        <w:rPr>
          <w:rFonts w:eastAsia="Times New Roman"/>
          <w:kern w:val="0"/>
          <w:rtl/>
          <w:lang w:bidi="ar-JO"/>
          <w14:ligatures w14:val="none"/>
        </w:rPr>
        <w:t xml:space="preserve"> </w:t>
      </w:r>
      <w:r w:rsidRPr="00020C27">
        <w:rPr>
          <w:rFonts w:eastAsia="Times New Roman"/>
          <w:i/>
          <w:kern w:val="0"/>
          <w:lang w:bidi="he-IL"/>
          <w14:ligatures w14:val="none"/>
        </w:rPr>
        <w:t>ḥeseḏ</w:t>
      </w:r>
      <w:r w:rsidRPr="00020C27">
        <w:rPr>
          <w:rFonts w:eastAsia="Times New Roman"/>
          <w:kern w:val="0"/>
          <w:rtl/>
          <w:lang w:bidi="ar-JO"/>
          <w14:ligatures w14:val="none"/>
        </w:rPr>
        <w:t xml:space="preserve"> (2: 20).</w:t>
      </w:r>
    </w:p>
    <w:p w14:paraId="0A53BCD0"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97F2904" w14:textId="77777777" w:rsidR="006A7C83" w:rsidRPr="00020C27" w:rsidRDefault="006A7C83" w:rsidP="00C7130A">
      <w:pPr>
        <w:tabs>
          <w:tab w:val="left" w:pos="454"/>
        </w:tabs>
        <w:spacing w:after="60"/>
        <w:ind w:left="550" w:hanging="550"/>
        <w:jc w:val="both"/>
        <w:rPr>
          <w:rFonts w:eastAsia="Times New Roman"/>
          <w:bCs/>
          <w:kern w:val="0"/>
          <w:rtl/>
          <w14:ligatures w14:val="none"/>
        </w:rPr>
      </w:pPr>
      <w:r w:rsidRPr="00020C27">
        <w:rPr>
          <w:rFonts w:eastAsia="Times New Roman"/>
          <w:bCs/>
          <w:kern w:val="0"/>
          <w:rtl/>
          <w14:ligatures w14:val="none"/>
        </w:rPr>
        <w:t>د.</w:t>
      </w:r>
      <w:r w:rsidRPr="00020C27">
        <w:rPr>
          <w:rFonts w:eastAsia="Times New Roman"/>
          <w:bCs/>
          <w:kern w:val="0"/>
          <w:rtl/>
          <w14:ligatures w14:val="none"/>
        </w:rPr>
        <w:tab/>
        <w:t>تعبير يفدي (</w:t>
      </w:r>
      <w:r w:rsidRPr="00020C27">
        <w:rPr>
          <w:rFonts w:ascii="Times New Roman" w:eastAsia="Times New Roman" w:hAnsi="Times New Roman" w:cs="Times New Roman" w:hint="cs"/>
          <w:bCs/>
          <w:i/>
          <w:kern w:val="0"/>
          <w:rtl/>
          <w:lang w:bidi="he-IL"/>
          <w14:ligatures w14:val="none"/>
        </w:rPr>
        <w:t>גאל</w:t>
      </w:r>
      <w:r w:rsidRPr="00020C27">
        <w:rPr>
          <w:rFonts w:eastAsia="Times New Roman"/>
          <w:bCs/>
          <w:kern w:val="0"/>
          <w:rtl/>
          <w14:ligatures w14:val="none"/>
        </w:rPr>
        <w:t>)</w:t>
      </w:r>
    </w:p>
    <w:p w14:paraId="2E5553CC"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يرد جذر هذه الكلمة كفعل (3: 13؛ 4: 4، 6)، وكاسم فاعل حسب اللغة العبرية (2: 20؛ 3: 9، 12؛ 4: 1، 3، 6، 8، 14)، وكاسم (4: 6، 7).  ويجب أن تكون هذه الكلمة موضوعاً لدراسة معمَّقة.  تشرح هذه الكلمة معاملات بوعز مع راعوث، وتوضح أيضاً أحد جوانب عمل المسيح على الصليب في علاقته بالفداء.</w:t>
      </w:r>
    </w:p>
    <w:p w14:paraId="1A7C8EAE"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تعني الكلمة بشكل رئيسي "يفدي" أو يتصرّف بصفته "وَليّاً"، أي "فادياً قريباً"، أو فادياً من نفس الجنس.  وكانت فكرة الولي هذه مفهوماً ثقافيّاً شائعاً في إسرائيل يكون بموجبه لأحد الأقرباء المقرّبين التزامات أو واجبات معيّنة نحو قريبه.  فعلى سبيل المثال، يمكن للولي، "الفادي-</w:t>
      </w:r>
      <w:r w:rsidRPr="00020C27">
        <w:rPr>
          <w:rFonts w:eastAsia="Times New Roman"/>
          <w:kern w:val="0"/>
          <w:rtl/>
          <w14:ligatures w14:val="none"/>
        </w:rPr>
        <w:t xml:space="preserve"> </w:t>
      </w:r>
      <w:r w:rsidRPr="00020C27">
        <w:rPr>
          <w:rFonts w:eastAsia="Times New Roman"/>
          <w:kern w:val="0"/>
          <w:rtl/>
          <w:lang w:bidi="ar-JO"/>
          <w14:ligatures w14:val="none"/>
        </w:rPr>
        <w:t xml:space="preserve">القريب"، أن يتزوّج أرملة أحد أفراد العائلة: وحسب شريعة الميراث، إذا تُرِكت أرملة دون أبناء، يصبح القريب التالي لزوجها الحق في الزواج منها (انظر راعوث 3: 12، 13؛ 4: 1) وفي إقامة نسل يديم اسم العائلة.  وكان يُفترض أيضاً أن تبقى الأرض الممتلكة في العائلة (حسب الشريعة)، لئلا تقع بين أيدي قلة من الناس أو تنتقل إلى سبط آخر.  أمّا الأرض التي كان يضطر صاحبها إلى بيعها (بسبب الفقر مثلاً)، فيجب أن تعود في النهاية إلى العائلة.  وإن بيعت الأرض فيجب أن يشتريها له قريبه ثانية (وهذا يشرح راعوث 4: 4، 6).  وكان هنالك عدد من الممارسات التي يمكن لإنسان بموجبها أن يفدي ("يفك") شيئاً أو يتصرّف "كفادٍ-قريب".  كان هذا </w:t>
      </w:r>
      <w:r w:rsidRPr="00020C27">
        <w:rPr>
          <w:rFonts w:eastAsia="Times New Roman"/>
          <w:kern w:val="0"/>
          <w:rtl/>
          <w:lang w:bidi="ar-JO"/>
          <w14:ligatures w14:val="none"/>
        </w:rPr>
        <w:lastRenderedPageBreak/>
        <w:t>الأمر مزدوجاً في سفر راعوث: (1) كانت لنُعمي قطعة أرض للبيع واحتاجت إلى أن تُفتدى ("تُفك") من قبل أحد أفراد العائلة (4: 3)، و(2) وبما أن راعوث كانت أرملة لرجل من بني إسرائيل، كان على أحد الأقرباء المقرّبين أن يتزوجها وأن يقيم أبناء من أجل زوجها.  وكان من الضروري أن تُعرض هذه الفُرص على أقرب الأقرباء أولاً (4: 3 فصاعداً).  وكان في استطاعته أن يرفض، فتذهب الفرصة إلى القريب الأقرب التالي (وهو بوعز في هذه الحالة).  وتصبح هذه قصة مثيرة في سفر راعوث، لأن راعوث كانت عاقراً مدّة عشر سنوات مع زوجها الأول (1: 4).  وعلى كل من يتزوجها أن يواجه حقيقة أنه ربما لا يرزق أبداً بأبناء يرثونه (انظر 4: 6-هذا هو الذي دعا القريب الأقرب إلى الرفض).  كان الزواج من راعوث، بالنسبة لبوعز، خطوة إيمان عظيمة، لكنه كان رجلاً يتّسم بالولاء العائلي.  ولقد كافأه الله مكافأة عظيمة لأنه قام بمسؤوليته بإيمان.  وإنه لمن السخرية الأدبية أن القريب الأقرب فوّت فرصة الزواج من راعوث خوفاً من الحرمان من الذريّة، ولم يدرك أن ذرّيته كان يمكن أن تتضمّن داود، لو أنّه تزوّج من راعوث!</w:t>
      </w:r>
    </w:p>
    <w:p w14:paraId="377A6D52"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EC0C0E5"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 xml:space="preserve">وباختصار، يمكن وصف </w:t>
      </w:r>
      <w:r w:rsidRPr="00020C27">
        <w:rPr>
          <w:rFonts w:eastAsia="Times New Roman"/>
          <w:i/>
          <w:iCs/>
          <w:kern w:val="0"/>
          <w:rtl/>
          <w:lang w:bidi="ar-JO"/>
          <w14:ligatures w14:val="none"/>
        </w:rPr>
        <w:t>"جوئيل"</w:t>
      </w:r>
      <w:r w:rsidRPr="00020C27">
        <w:rPr>
          <w:rFonts w:eastAsia="Times New Roman"/>
          <w:kern w:val="0"/>
          <w:rtl/>
          <w:lang w:bidi="ar-JO"/>
          <w14:ligatures w14:val="none"/>
        </w:rPr>
        <w:t xml:space="preserve"> </w:t>
      </w:r>
      <w:r w:rsidRPr="00020C27">
        <w:rPr>
          <w:rFonts w:eastAsia="Times New Roman"/>
          <w:bCs/>
          <w:i/>
          <w:iCs/>
          <w:kern w:val="0"/>
          <w:lang w:bidi="he-IL"/>
          <w14:ligatures w14:val="none"/>
        </w:rPr>
        <w:t>gō’ēl</w:t>
      </w:r>
      <w:r w:rsidRPr="00020C27">
        <w:rPr>
          <w:rFonts w:eastAsia="Times New Roman"/>
          <w:kern w:val="0"/>
          <w:rtl/>
          <w:lang w:bidi="ar-JO"/>
          <w14:ligatures w14:val="none"/>
        </w:rPr>
        <w:t xml:space="preserve"> (الفادي-القريب) على أنه المدافع عن مصالح العائلة أوحاميها (لاويين 25: عدد35).  وكما يظهر من قصّة راعوث، كانت التزامات </w:t>
      </w:r>
      <w:r w:rsidRPr="00020C27">
        <w:rPr>
          <w:rFonts w:eastAsia="Times New Roman"/>
          <w:i/>
          <w:iCs/>
          <w:kern w:val="0"/>
          <w:rtl/>
          <w:lang w:bidi="ar-JO"/>
          <w14:ligatures w14:val="none"/>
        </w:rPr>
        <w:t>الجوئيل</w:t>
      </w:r>
      <w:r w:rsidRPr="00020C27">
        <w:rPr>
          <w:rFonts w:eastAsia="Times New Roman"/>
          <w:kern w:val="0"/>
          <w:rtl/>
          <w:lang w:bidi="ar-JO"/>
          <w14:ligatures w14:val="none"/>
        </w:rPr>
        <w:t xml:space="preserve"> </w:t>
      </w:r>
      <w:r w:rsidRPr="00020C27">
        <w:rPr>
          <w:rFonts w:eastAsia="Times New Roman"/>
          <w:bCs/>
          <w:i/>
          <w:iCs/>
          <w:kern w:val="0"/>
          <w:lang w:bidi="he-IL"/>
          <w14:ligatures w14:val="none"/>
        </w:rPr>
        <w:t>gō’ēl</w:t>
      </w:r>
      <w:r w:rsidRPr="00020C27">
        <w:rPr>
          <w:rFonts w:eastAsia="Times New Roman"/>
          <w:kern w:val="0"/>
          <w:rtl/>
          <w:lang w:bidi="ar-JO"/>
          <w14:ligatures w14:val="none"/>
        </w:rPr>
        <w:t xml:space="preserve"> أو واجباته طوعية، لا إجبارية.  وكان في مقدور الجوئيل </w:t>
      </w:r>
      <w:r w:rsidRPr="00020C27">
        <w:rPr>
          <w:rFonts w:eastAsia="Times New Roman"/>
          <w:bCs/>
          <w:i/>
          <w:iCs/>
          <w:kern w:val="0"/>
          <w:lang w:bidi="he-IL"/>
          <w14:ligatures w14:val="none"/>
        </w:rPr>
        <w:t>gō’ēl</w:t>
      </w:r>
      <w:r w:rsidRPr="00020C27">
        <w:rPr>
          <w:rFonts w:eastAsia="Times New Roman"/>
          <w:kern w:val="0"/>
          <w:rtl/>
          <w:lang w:bidi="ar-JO"/>
          <w14:ligatures w14:val="none"/>
        </w:rPr>
        <w:t xml:space="preserve"> أن يتراجع عن التزامه بواجباته.  لكن قيامه بذلك يعني أنه لم يمارس المحبّة المتّسمة بالولاء (</w:t>
      </w:r>
      <w:r w:rsidRPr="00020C27">
        <w:rPr>
          <w:rFonts w:eastAsia="Times New Roman"/>
          <w:i/>
          <w:iCs/>
          <w:kern w:val="0"/>
          <w:rtl/>
          <w:lang w:bidi="ar-JO"/>
          <w14:ligatures w14:val="none"/>
        </w:rPr>
        <w:t>حِسِد</w:t>
      </w:r>
      <w:r w:rsidRPr="00020C27">
        <w:rPr>
          <w:rFonts w:eastAsia="Times New Roman"/>
          <w:i/>
          <w:kern w:val="0"/>
          <w:lang w:bidi="he-IL"/>
          <w14:ligatures w14:val="none"/>
        </w:rPr>
        <w:t>ḥeseḏ</w:t>
      </w:r>
      <w:r w:rsidRPr="00020C27">
        <w:rPr>
          <w:rFonts w:eastAsia="Times New Roman"/>
          <w:kern w:val="0"/>
          <w:rtl/>
          <w:lang w:bidi="ar-JO"/>
          <w14:ligatures w14:val="none"/>
        </w:rPr>
        <w:t>)، وسيعني أيضاً دون شك أنه سيحمل وصمة عار في عيون العشيرة (انظر تثنية 25: 9-10؛ راعوث 4: 7).</w:t>
      </w:r>
    </w:p>
    <w:p w14:paraId="73B516C9"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05381821"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تضع هذه المفاهيم أساس فهمنا للمسيح بصفته "فادياً-قريباً" لنا.  كان القريب الأقرب لأمّة إسرائيل، فدفع ثمن الخطيّة لكي يحرر ("يفك") شعبه من عواقب الخطيّة.  وعندما ندخل في علاقة معه، فإنه يهتم بمصالحنا ويحميها (مثلاً، تأديب أعدائنا).</w:t>
      </w:r>
    </w:p>
    <w:p w14:paraId="7C4C52EE"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5319346B"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08FCD061" w14:textId="77777777" w:rsidR="006A7C83" w:rsidRPr="00C7130A" w:rsidRDefault="006A7C83" w:rsidP="000558B7">
      <w:pPr>
        <w:pStyle w:val="Heading3"/>
        <w:rPr>
          <w:rtl/>
          <w:lang w:bidi="ar-JO"/>
        </w:rPr>
      </w:pPr>
      <w:bookmarkStart w:id="408" w:name="_Toc193031148"/>
      <w:r w:rsidRPr="00C7130A">
        <w:rPr>
          <w:rtl/>
          <w:lang w:bidi="ar-JO"/>
        </w:rPr>
        <w:t>3.</w:t>
      </w:r>
      <w:r w:rsidRPr="00C7130A">
        <w:rPr>
          <w:rtl/>
          <w:lang w:bidi="ar-JO"/>
        </w:rPr>
        <w:tab/>
        <w:t>موضوع السفر</w:t>
      </w:r>
      <w:bookmarkEnd w:id="408"/>
      <w:r w:rsidRPr="00C7130A">
        <w:rPr>
          <w:rtl/>
          <w:lang w:bidi="ar-JO"/>
        </w:rPr>
        <w:t xml:space="preserve"> </w:t>
      </w:r>
    </w:p>
    <w:p w14:paraId="65D2D51B"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 w:val="48"/>
          <w:rtl/>
          <w:lang w:bidi="ar-JO"/>
          <w14:ligatures w14:val="none"/>
        </w:rPr>
      </w:pPr>
      <w:r w:rsidRPr="00020C27">
        <w:rPr>
          <w:rFonts w:eastAsia="Times New Roman"/>
          <w:kern w:val="0"/>
          <w:sz w:val="48"/>
          <w:rtl/>
          <w:lang w:bidi="ar-JO"/>
          <w14:ligatures w14:val="none"/>
        </w:rPr>
        <w:t xml:space="preserve">يمنح الله نعمته بشكل سيادي </w:t>
      </w:r>
    </w:p>
    <w:p w14:paraId="64464BAA"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 w:val="48"/>
          <w:rtl/>
          <w:lang w:bidi="ar-JO"/>
          <w14:ligatures w14:val="none"/>
        </w:rPr>
      </w:pPr>
      <w:r w:rsidRPr="00020C27">
        <w:rPr>
          <w:rFonts w:eastAsia="Times New Roman"/>
          <w:kern w:val="0"/>
          <w:sz w:val="48"/>
          <w:rtl/>
          <w:lang w:bidi="ar-JO"/>
          <w14:ligatures w14:val="none"/>
        </w:rPr>
        <w:t>استجابةً للصلاة</w:t>
      </w:r>
    </w:p>
    <w:p w14:paraId="77D1B74F"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 w:val="48"/>
          <w:rtl/>
          <w:lang w:bidi="ar-JO"/>
          <w14:ligatures w14:val="none"/>
        </w:rPr>
      </w:pPr>
      <w:r w:rsidRPr="00020C27">
        <w:rPr>
          <w:rFonts w:eastAsia="Times New Roman"/>
          <w:kern w:val="0"/>
          <w:sz w:val="48"/>
          <w:rtl/>
          <w:lang w:bidi="ar-JO"/>
          <w14:ligatures w14:val="none"/>
        </w:rPr>
        <w:t>ومن خلال أعمال وفيّة لأشخاص أوفياء</w:t>
      </w:r>
    </w:p>
    <w:p w14:paraId="437249E2" w14:textId="77777777" w:rsidR="006A7C83" w:rsidRPr="00C7130A"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Cs w:val="26"/>
          <w:rtl/>
          <w:lang w:bidi="ar-JO"/>
          <w14:ligatures w14:val="none"/>
        </w:rPr>
      </w:pPr>
    </w:p>
    <w:p w14:paraId="12894A6E" w14:textId="77777777" w:rsidR="006A7C83" w:rsidRPr="00C7130A" w:rsidRDefault="006A7C83" w:rsidP="000558B7">
      <w:pPr>
        <w:pStyle w:val="Heading3"/>
      </w:pPr>
      <w:bookmarkStart w:id="409" w:name="_Toc193031149"/>
      <w:r w:rsidRPr="00C7130A">
        <w:rPr>
          <w:rtl/>
          <w:lang w:bidi="ar-JO"/>
        </w:rPr>
        <w:lastRenderedPageBreak/>
        <w:t>4.</w:t>
      </w:r>
      <w:r w:rsidRPr="00C7130A">
        <w:rPr>
          <w:rtl/>
          <w:lang w:bidi="ar-JO"/>
        </w:rPr>
        <w:tab/>
        <w:t>تطوّر السفر</w:t>
      </w:r>
      <w:r w:rsidRPr="00C7130A">
        <w:rPr>
          <w:vertAlign w:val="superscript"/>
          <w:rtl/>
          <w:lang w:bidi="ar-JO"/>
        </w:rPr>
        <w:footnoteReference w:customMarkFollows="1" w:id="211"/>
        <w:t>3</w:t>
      </w:r>
      <w:bookmarkEnd w:id="409"/>
      <w:r w:rsidRPr="00C7130A">
        <w:rPr>
          <w:rtl/>
          <w:lang w:bidi="ar-JO"/>
        </w:rPr>
        <w:t xml:space="preserve">     </w:t>
      </w:r>
    </w:p>
    <w:p w14:paraId="37F923F2" w14:textId="77777777" w:rsidR="006A7C83" w:rsidRPr="00020C27" w:rsidRDefault="006A7C83" w:rsidP="00C7130A">
      <w:pPr>
        <w:tabs>
          <w:tab w:val="left" w:pos="454"/>
        </w:tabs>
        <w:spacing w:after="60"/>
        <w:ind w:left="550" w:hanging="550"/>
        <w:jc w:val="both"/>
        <w:rPr>
          <w:rFonts w:eastAsia="Times New Roman"/>
          <w:bCs/>
          <w:kern w:val="0"/>
          <w:rtl/>
          <w14:ligatures w14:val="none"/>
        </w:rPr>
      </w:pPr>
      <w:r w:rsidRPr="00020C27">
        <w:rPr>
          <w:rFonts w:eastAsia="Times New Roman"/>
          <w:bCs/>
          <w:kern w:val="0"/>
          <w:rtl/>
          <w14:ligatures w14:val="none"/>
        </w:rPr>
        <w:t>أ.</w:t>
      </w:r>
      <w:r w:rsidRPr="00020C27">
        <w:rPr>
          <w:rFonts w:eastAsia="Times New Roman"/>
          <w:bCs/>
          <w:kern w:val="0"/>
          <w:rtl/>
          <w14:ligatures w14:val="none"/>
        </w:rPr>
        <w:tab/>
        <w:t xml:space="preserve">الأصحاح الأول </w:t>
      </w:r>
    </w:p>
    <w:p w14:paraId="6BE4C76A"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 xml:space="preserve">يبدأ السفر وإسرائيل تحت تأديب يهوه على شكل مجاعة (1: 1).  وتحاول عائلة أليمالك أن تتجنب التأديب بالهرب إلى موآب (عمل غير متّسم بالأمانة).  ويتزوج ابنا العائلة امرأتين غريبتين موآبيتين إحداهما راعوث.  غير أن أليمالك وابنيه يموتان في موآب، تاركين نعمي وكنّتيها وحيدات. </w:t>
      </w:r>
    </w:p>
    <w:p w14:paraId="42C318CE"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19B74DF"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تفسّر نُعمي هذا الوضع بالنظر إلى محنتها كعقاب شرعي من الله: "يد الرب قد خرجت عليَّ" (1: 13؛ انظر 1: 20، 21).  صارت الآن عجوزاً ملأى بالمرارة (يمكن ترجمة الأصل العبراني في 1: 13 إلى "إني أشعر بالمرارة" بدلاً من "فإنّي مغمومة جدّاً").  ويأتي إحساسها بالفراغ من عدم وجود زوج أو أبناء لها (1: 5).  وهي تعرف أنه لا مجال لها لأن تُرزق بأبناء لها (1: 11)، وتعلم أنها شاخت على الزواج (وهي لهذا لن تستطيع أن تنجب زوجين جديدين لكنّتيها).</w:t>
      </w:r>
    </w:p>
    <w:p w14:paraId="53DF6747"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 xml:space="preserve">  </w:t>
      </w:r>
    </w:p>
    <w:p w14:paraId="3C89E795"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غير أنه يتناهى إلى مسامعها خبر "</w:t>
      </w:r>
      <w:r w:rsidRPr="00020C27">
        <w:rPr>
          <w:rFonts w:eastAsia="Times New Roman"/>
          <w:i/>
          <w:iCs/>
          <w:kern w:val="0"/>
          <w:rtl/>
          <w:lang w:bidi="ar-JO"/>
          <w14:ligatures w14:val="none"/>
        </w:rPr>
        <w:t>أن الرب قد</w:t>
      </w:r>
      <w:r w:rsidRPr="00020C27">
        <w:rPr>
          <w:rFonts w:eastAsia="Times New Roman"/>
          <w:i/>
          <w:iCs/>
          <w:kern w:val="0"/>
          <w:u w:val="single"/>
          <w:rtl/>
          <w:lang w:bidi="ar-JO"/>
          <w14:ligatures w14:val="none"/>
        </w:rPr>
        <w:t xml:space="preserve"> افتقد</w:t>
      </w:r>
      <w:r w:rsidRPr="00020C27">
        <w:rPr>
          <w:rFonts w:eastAsia="Times New Roman"/>
          <w:kern w:val="0"/>
          <w:u w:val="single"/>
          <w:rtl/>
          <w:lang w:bidi="ar-JO"/>
          <w14:ligatures w14:val="none"/>
        </w:rPr>
        <w:t xml:space="preserve"> </w:t>
      </w:r>
      <w:r w:rsidRPr="00020C27">
        <w:rPr>
          <w:rFonts w:eastAsia="Times New Roman"/>
          <w:i/>
          <w:iCs/>
          <w:kern w:val="0"/>
          <w:rtl/>
          <w:lang w:bidi="ar-JO"/>
          <w14:ligatures w14:val="none"/>
        </w:rPr>
        <w:t xml:space="preserve">شعبه ليعطيهم خبزاً </w:t>
      </w:r>
      <w:r w:rsidRPr="00020C27">
        <w:rPr>
          <w:rFonts w:eastAsia="Times New Roman"/>
          <w:kern w:val="0"/>
          <w:rtl/>
          <w:lang w:bidi="ar-JO"/>
          <w14:ligatures w14:val="none"/>
        </w:rPr>
        <w:t xml:space="preserve">(طعاماً)" (1: 6).  والكلمة المستخدمة هنا هي باقَد </w:t>
      </w:r>
      <w:r w:rsidRPr="00020C27">
        <w:rPr>
          <w:rFonts w:eastAsia="Times New Roman"/>
          <w:kern w:val="0"/>
          <w:lang w:bidi="ar-JO"/>
          <w14:ligatures w14:val="none"/>
        </w:rPr>
        <w:t xml:space="preserve">) </w:t>
      </w:r>
      <w:r w:rsidRPr="00020C27">
        <w:rPr>
          <w:rFonts w:eastAsia="Times New Roman"/>
          <w:bCs/>
          <w:i/>
          <w:iCs/>
          <w:kern w:val="0"/>
          <w:lang w:bidi="he-IL"/>
          <w14:ligatures w14:val="none"/>
        </w:rPr>
        <w:t>pāqaḏ</w:t>
      </w:r>
      <w:r w:rsidRPr="00020C27">
        <w:rPr>
          <w:rFonts w:ascii="Times New Roman" w:eastAsia="Times New Roman" w:hAnsi="Times New Roman" w:cs="Times New Roman" w:hint="cs"/>
          <w:b/>
          <w:kern w:val="0"/>
          <w:rtl/>
          <w:lang w:bidi="he-IL"/>
          <w14:ligatures w14:val="none"/>
        </w:rPr>
        <w:t>פקד</w:t>
      </w:r>
      <w:r w:rsidRPr="00020C27">
        <w:rPr>
          <w:rFonts w:eastAsia="Times New Roman"/>
          <w:bCs/>
          <w:kern w:val="0"/>
          <w:lang w:bidi="ar-JO"/>
          <w14:ligatures w14:val="none"/>
        </w:rPr>
        <w:t xml:space="preserve"> (</w:t>
      </w:r>
      <w:r w:rsidRPr="00020C27">
        <w:rPr>
          <w:rFonts w:eastAsia="Times New Roman"/>
          <w:kern w:val="0"/>
          <w:rtl/>
          <w:lang w:bidi="ar-JO"/>
          <w14:ligatures w14:val="none"/>
        </w:rPr>
        <w:t>، وهو تعبير عهدي؛ والفكرة هنا هي أن الله يبارك شعبه مرّة أخرى، فتتوجه نُعْمي عائدة على رجاء.</w:t>
      </w:r>
    </w:p>
    <w:p w14:paraId="11862256"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1E00399"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غير أنها تحاول في الطريق أن تقنع كنّتيها بالعودة.  والمفتاح هنا هو دعوتها إلى الله في 1: 8-9 أن يظهر الرب لهما محبّته المتّسمة بالولاء (حِسِد</w:t>
      </w:r>
      <w:r w:rsidRPr="00020C27">
        <w:rPr>
          <w:rFonts w:eastAsia="Times New Roman"/>
          <w:i/>
          <w:kern w:val="0"/>
          <w:lang w:bidi="he-IL"/>
          <w14:ligatures w14:val="none"/>
        </w:rPr>
        <w:t xml:space="preserve"> ḥeseḏ</w:t>
      </w:r>
      <w:r w:rsidRPr="00020C27">
        <w:rPr>
          <w:rFonts w:eastAsia="Times New Roman"/>
          <w:kern w:val="0"/>
          <w:rtl/>
          <w:lang w:bidi="ar-JO"/>
          <w14:ligatures w14:val="none"/>
        </w:rPr>
        <w:t>)، وأن تجدا "راحة" في الدخول في زواج جديد.  ونستطيع أن نرى عبر السفر هذه الصلوات وهي تستجاب من خلال أعمال يقوم بها أشخاص أوفياء .  وتبدأ راعوث تختبر محبّة الله الوفيّة (</w:t>
      </w:r>
      <w:r w:rsidRPr="00020C27">
        <w:rPr>
          <w:rFonts w:eastAsia="Times New Roman"/>
          <w:i/>
          <w:iCs/>
          <w:kern w:val="0"/>
          <w:rtl/>
          <w:lang w:bidi="ar-JO"/>
          <w14:ligatures w14:val="none"/>
        </w:rPr>
        <w:t>حِسِد</w:t>
      </w:r>
      <w:r w:rsidRPr="00020C27">
        <w:rPr>
          <w:rFonts w:eastAsia="Times New Roman"/>
          <w:kern w:val="0"/>
          <w14:ligatures w14:val="none"/>
        </w:rPr>
        <w:t>j#s#D</w:t>
      </w:r>
      <w:r w:rsidRPr="00020C27">
        <w:rPr>
          <w:rFonts w:eastAsia="Times New Roman"/>
          <w:kern w:val="0"/>
          <w:rtl/>
          <w:lang w:bidi="ar-JO"/>
          <w14:ligatures w14:val="none"/>
        </w:rPr>
        <w:t>) بتعرّفها ببوعز الذي كان كريماً معها (2: 20).  وفي 3: 1 تأخذ نُعمي خطوة عملية لتجد "راحة" لراعوث، ويتحقق هذا في الزواج في 4: 13.</w:t>
      </w:r>
    </w:p>
    <w:p w14:paraId="69F6F3EC"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1F8A1CA"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وهكذا يغيّر الله من وضع نُعمي بصفتها مجرّد عجوز مُرّة النفس، ويحل معضلتها:</w:t>
      </w:r>
    </w:p>
    <w:p w14:paraId="7A63A24A"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20C27">
        <w:rPr>
          <w:rFonts w:eastAsia="Times New Roman"/>
          <w:kern w:val="0"/>
          <w:rtl/>
          <w:lang w:bidi="ar-JO"/>
          <w14:ligatures w14:val="none"/>
        </w:rPr>
        <w:t>(1)</w:t>
      </w:r>
      <w:r w:rsidRPr="00020C27">
        <w:rPr>
          <w:rFonts w:eastAsia="Times New Roman"/>
          <w:kern w:val="0"/>
          <w:rtl/>
          <w:lang w:bidi="ar-JO"/>
          <w14:ligatures w14:val="none"/>
        </w:rPr>
        <w:tab/>
        <w:t xml:space="preserve">في 3: 17- يرسل بوعز شعيراً مع راعوث لكي لا تذهب خالية الوفاض إلى نُعمي. </w:t>
      </w:r>
    </w:p>
    <w:p w14:paraId="5B55DDE7"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20C27">
        <w:rPr>
          <w:rFonts w:eastAsia="Times New Roman"/>
          <w:kern w:val="0"/>
          <w:rtl/>
          <w:lang w:bidi="ar-JO"/>
          <w14:ligatures w14:val="none"/>
        </w:rPr>
        <w:t>(2)</w:t>
      </w:r>
      <w:r w:rsidRPr="00020C27">
        <w:rPr>
          <w:rFonts w:eastAsia="Times New Roman"/>
          <w:kern w:val="0"/>
          <w:rtl/>
          <w:lang w:bidi="ar-JO"/>
          <w14:ligatures w14:val="none"/>
        </w:rPr>
        <w:tab/>
        <w:t xml:space="preserve">في 4: 14- لم يترك يهوه نُعمي من غير </w:t>
      </w:r>
      <w:r w:rsidRPr="00020C27">
        <w:rPr>
          <w:rFonts w:eastAsia="Times New Roman"/>
          <w:i/>
          <w:iCs/>
          <w:kern w:val="0"/>
          <w:rtl/>
          <w:lang w:bidi="ar-JO"/>
          <w14:ligatures w14:val="none"/>
        </w:rPr>
        <w:t>جوئيل</w:t>
      </w:r>
      <w:r w:rsidRPr="00020C27">
        <w:rPr>
          <w:rFonts w:eastAsia="Times New Roman"/>
          <w:i/>
          <w:iCs/>
          <w:kern w:val="0"/>
          <w:rtl/>
          <w14:ligatures w14:val="none"/>
        </w:rPr>
        <w:t xml:space="preserve">  </w:t>
      </w:r>
      <w:r w:rsidRPr="00020C27">
        <w:rPr>
          <w:rFonts w:eastAsia="Times New Roman"/>
          <w:bCs/>
          <w:i/>
          <w:iCs/>
          <w:kern w:val="0"/>
          <w:lang w:bidi="he-IL"/>
          <w14:ligatures w14:val="none"/>
        </w:rPr>
        <w:t>gō’ēl</w:t>
      </w:r>
      <w:r w:rsidRPr="00020C27">
        <w:rPr>
          <w:rFonts w:eastAsia="Times New Roman"/>
          <w:kern w:val="0"/>
          <w:rtl/>
          <w:lang w:bidi="ar-JO"/>
          <w14:ligatures w14:val="none"/>
        </w:rPr>
        <w:t xml:space="preserve"> -</w:t>
      </w:r>
      <w:r w:rsidRPr="00020C27">
        <w:rPr>
          <w:rFonts w:eastAsia="Times New Roman"/>
          <w:kern w:val="0"/>
          <w:rtl/>
          <w14:ligatures w14:val="none"/>
        </w:rPr>
        <w:t xml:space="preserve">  </w:t>
      </w:r>
      <w:r w:rsidRPr="00020C27">
        <w:rPr>
          <w:rFonts w:eastAsia="Times New Roman"/>
          <w:kern w:val="0"/>
          <w:rtl/>
          <w:lang w:bidi="ar-JO"/>
          <w14:ligatures w14:val="none"/>
        </w:rPr>
        <w:t xml:space="preserve">إذ هناك </w:t>
      </w:r>
      <w:r w:rsidRPr="00020C27">
        <w:rPr>
          <w:rFonts w:eastAsia="Times New Roman"/>
          <w:i/>
          <w:iCs/>
          <w:kern w:val="0"/>
          <w:rtl/>
          <w:lang w:bidi="ar-JO"/>
          <w14:ligatures w14:val="none"/>
        </w:rPr>
        <w:t>جوئيل</w:t>
      </w:r>
      <w:r w:rsidRPr="00020C27">
        <w:rPr>
          <w:rFonts w:eastAsia="Times New Roman"/>
          <w:kern w:val="0"/>
          <w:rtl/>
          <w:lang w:bidi="ar-JO"/>
          <w14:ligatures w14:val="none"/>
        </w:rPr>
        <w:t xml:space="preserve"> </w:t>
      </w:r>
      <w:r w:rsidRPr="00020C27">
        <w:rPr>
          <w:rFonts w:eastAsia="Times New Roman"/>
          <w:bCs/>
          <w:i/>
          <w:iCs/>
          <w:kern w:val="0"/>
          <w:lang w:bidi="he-IL"/>
          <w14:ligatures w14:val="none"/>
        </w:rPr>
        <w:t>gō’ēl</w:t>
      </w:r>
      <w:r w:rsidRPr="00020C27">
        <w:rPr>
          <w:rFonts w:eastAsia="Times New Roman"/>
          <w:kern w:val="0"/>
          <w:rtl/>
          <w:lang w:bidi="ar-JO"/>
          <w14:ligatures w14:val="none"/>
        </w:rPr>
        <w:t xml:space="preserve"> جديداً، النسل</w:t>
      </w:r>
      <w:r w:rsidRPr="00020C27">
        <w:rPr>
          <w:rFonts w:eastAsia="Times New Roman"/>
          <w:kern w:val="0"/>
          <w:rtl/>
          <w14:ligatures w14:val="none"/>
        </w:rPr>
        <w:t xml:space="preserve">، الذي سيكون جوئيلاً </w:t>
      </w:r>
      <w:r w:rsidRPr="00020C27">
        <w:rPr>
          <w:rFonts w:eastAsia="Times New Roman"/>
          <w:bCs/>
          <w:i/>
          <w:iCs/>
          <w:kern w:val="0"/>
          <w:lang w:bidi="he-IL"/>
          <w14:ligatures w14:val="none"/>
        </w:rPr>
        <w:t>gō’ēl</w:t>
      </w:r>
      <w:r w:rsidRPr="00020C27">
        <w:rPr>
          <w:rFonts w:eastAsia="Times New Roman"/>
          <w:kern w:val="0"/>
          <w:rtl/>
          <w:lang w:bidi="ar-JO"/>
          <w14:ligatures w14:val="none"/>
        </w:rPr>
        <w:t xml:space="preserve"> لنعمي.</w:t>
      </w:r>
    </w:p>
    <w:p w14:paraId="082ECBDA"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20C27">
        <w:rPr>
          <w:rFonts w:eastAsia="Times New Roman"/>
          <w:kern w:val="0"/>
          <w:rtl/>
          <w:lang w:bidi="ar-JO"/>
          <w14:ligatures w14:val="none"/>
        </w:rPr>
        <w:lastRenderedPageBreak/>
        <w:t>(3)</w:t>
      </w:r>
      <w:r w:rsidRPr="00020C27">
        <w:rPr>
          <w:rFonts w:eastAsia="Times New Roman"/>
          <w:kern w:val="0"/>
          <w:rtl/>
          <w:lang w:bidi="ar-JO"/>
          <w14:ligatures w14:val="none"/>
        </w:rPr>
        <w:tab/>
        <w:t>4: 15- كنّتها الوفية خير لها من سبعة بنين.</w:t>
      </w:r>
    </w:p>
    <w:p w14:paraId="064F1103"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p>
    <w:p w14:paraId="224C5704" w14:textId="77777777" w:rsidR="006A7C83" w:rsidRPr="00020C27" w:rsidRDefault="006A7C83" w:rsidP="00C7130A">
      <w:pPr>
        <w:tabs>
          <w:tab w:val="left" w:pos="454"/>
        </w:tabs>
        <w:spacing w:after="60"/>
        <w:ind w:left="550" w:hanging="550"/>
        <w:jc w:val="both"/>
        <w:rPr>
          <w:rFonts w:eastAsia="Times New Roman"/>
          <w:bCs/>
          <w:kern w:val="0"/>
          <w:rtl/>
          <w14:ligatures w14:val="none"/>
        </w:rPr>
      </w:pPr>
      <w:r w:rsidRPr="00020C27">
        <w:rPr>
          <w:rFonts w:eastAsia="Times New Roman"/>
          <w:bCs/>
          <w:kern w:val="0"/>
          <w:rtl/>
          <w14:ligatures w14:val="none"/>
        </w:rPr>
        <w:t>ب.</w:t>
      </w:r>
      <w:r w:rsidRPr="00020C27">
        <w:rPr>
          <w:rFonts w:eastAsia="Times New Roman"/>
          <w:bCs/>
          <w:kern w:val="0"/>
          <w:rtl/>
          <w14:ligatures w14:val="none"/>
        </w:rPr>
        <w:tab/>
        <w:t xml:space="preserve">الأصحاح الثاني </w:t>
      </w:r>
    </w:p>
    <w:p w14:paraId="65B2ED66"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مع بداية الأصحاح الثاني تحاول راعوث أن تُعيل نُعمي بالتقاط سنابل الشعير المتبقية من حصاد الحقول، وهو الأمر الذي سمحت الشريعة للفقراء بممارسته (لاويين 19: 9-10).  وعندما نقابل بوعز، نرى أنه رجل يحب الرب ويحيا حسب التوراة.  وهو مهتم بالمصلحة الروحية للعاملين في الحقل (2: 4)، حتى أن الحصّادين يطلبون له البركة.</w:t>
      </w:r>
    </w:p>
    <w:p w14:paraId="1C4A3DB2"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72D8EC2" w14:textId="449439D9"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 xml:space="preserve">عندما يكتشف بوعز وجود راعوث ويلاحظ وفاءها لنُعمي في سعيها لإعالتها، يطلب من الله بركة ومكافأة لها لأنها جاءت لتحتمي "تحت جناحي" يهوه، إله إسرائيل (2: 12).  يدرك أنها موآبية؛ لكنه أدرك أيضاً أنها بمجيئها بالإيمان مع نُعمي، كانت تسعى إلى ربط نفسها بإله إسرائيل.  ويصلّي بوعز أن يكرم الله خطوة إيمانها.  وبالطبع ستستجاب صلاته، ويكافئ الله إيمان </w:t>
      </w:r>
      <w:r w:rsidR="00BD3343" w:rsidRPr="00020C27">
        <w:rPr>
          <w:rFonts w:eastAsia="Times New Roman" w:hint="cs"/>
          <w:kern w:val="0"/>
          <w:rtl/>
          <w:lang w:bidi="ar-JO"/>
          <w14:ligatures w14:val="none"/>
        </w:rPr>
        <w:t>راعوث،</w:t>
      </w:r>
      <w:r w:rsidRPr="00020C27">
        <w:rPr>
          <w:rFonts w:eastAsia="Times New Roman"/>
          <w:kern w:val="0"/>
          <w:rtl/>
          <w:lang w:bidi="ar-JO"/>
          <w14:ligatures w14:val="none"/>
        </w:rPr>
        <w:t xml:space="preserve"> ويصبح بوعز نفسه جزءاً من الاستجابة.</w:t>
      </w:r>
    </w:p>
    <w:p w14:paraId="59CA920D"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B51D3F0"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يعطيها بوعز امتيازات خاصّة ويقدّم لها حاجاتها من الطعام والشعير (2: 14-16).  وعندما تعود راعوث إلى نُعمي، تفرح نُعمي وتدعو لبوعز بالبركة؛ تدعو أن يباركه الرب من أجل محبّته الوفية (</w:t>
      </w:r>
      <w:r w:rsidRPr="00020C27">
        <w:rPr>
          <w:rFonts w:eastAsia="Times New Roman"/>
          <w:i/>
          <w:iCs/>
          <w:kern w:val="0"/>
          <w:rtl/>
          <w:lang w:bidi="ar-JO"/>
          <w14:ligatures w14:val="none"/>
        </w:rPr>
        <w:t>حِسِد</w:t>
      </w:r>
      <w:r w:rsidRPr="00020C27">
        <w:rPr>
          <w:rFonts w:eastAsia="Times New Roman"/>
          <w:i/>
          <w:kern w:val="0"/>
          <w:lang w:bidi="he-IL"/>
          <w14:ligatures w14:val="none"/>
        </w:rPr>
        <w:t xml:space="preserve"> ḥeseḏ</w:t>
      </w:r>
      <w:r w:rsidRPr="00020C27">
        <w:rPr>
          <w:rFonts w:eastAsia="Times New Roman"/>
          <w:kern w:val="0"/>
          <w:rtl/>
          <w:lang w:bidi="ar-JO"/>
          <w14:ligatures w14:val="none"/>
        </w:rPr>
        <w:t xml:space="preserve">).  وهذا يعني أن بوعز قريب للعائلة وأنه يتصرّف </w:t>
      </w:r>
      <w:r w:rsidRPr="00020C27">
        <w:rPr>
          <w:rFonts w:eastAsia="Times New Roman"/>
          <w:kern w:val="0"/>
          <w:u w:val="single"/>
          <w:rtl/>
          <w:lang w:bidi="ar-JO"/>
          <w14:ligatures w14:val="none"/>
        </w:rPr>
        <w:t>بولاء مدفوع بالمحبة</w:t>
      </w:r>
      <w:r w:rsidRPr="00020C27">
        <w:rPr>
          <w:rFonts w:eastAsia="Times New Roman"/>
          <w:kern w:val="0"/>
          <w:rtl/>
          <w:lang w:bidi="ar-JO"/>
          <w14:ligatures w14:val="none"/>
        </w:rPr>
        <w:t xml:space="preserve"> للاهتمام بهما.</w:t>
      </w:r>
    </w:p>
    <w:p w14:paraId="1D3C8883"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364DD9C4" w14:textId="77777777" w:rsidR="006A7C83" w:rsidRPr="00020C27" w:rsidRDefault="006A7C83" w:rsidP="00C7130A">
      <w:pPr>
        <w:tabs>
          <w:tab w:val="left" w:pos="454"/>
        </w:tabs>
        <w:spacing w:after="60"/>
        <w:ind w:left="550" w:hanging="550"/>
        <w:jc w:val="both"/>
        <w:rPr>
          <w:rFonts w:eastAsia="Times New Roman"/>
          <w:bCs/>
          <w:kern w:val="0"/>
          <w:rtl/>
          <w14:ligatures w14:val="none"/>
        </w:rPr>
      </w:pPr>
      <w:r w:rsidRPr="00020C27">
        <w:rPr>
          <w:rFonts w:eastAsia="Times New Roman"/>
          <w:bCs/>
          <w:kern w:val="0"/>
          <w:rtl/>
          <w14:ligatures w14:val="none"/>
        </w:rPr>
        <w:t>ج.</w:t>
      </w:r>
      <w:r w:rsidRPr="00020C27">
        <w:rPr>
          <w:rFonts w:eastAsia="Times New Roman"/>
          <w:bCs/>
          <w:kern w:val="0"/>
          <w:rtl/>
          <w14:ligatures w14:val="none"/>
        </w:rPr>
        <w:tab/>
        <w:t xml:space="preserve">الأصحاح الثالث </w:t>
      </w:r>
    </w:p>
    <w:p w14:paraId="63A7F550"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يتركّز هذا الأصحاح حول ذهاب راعوث إلى بوعز ليلاً، قبيل أن يخلد إلى النوم.  تأتي راعوث بالتماس: "ابسط ثوبك على أمتك لأنك وليّي (حرفيا</w:t>
      </w:r>
      <w:r w:rsidRPr="00020C27">
        <w:rPr>
          <w:rFonts w:eastAsia="Times New Roman"/>
          <w:kern w:val="0"/>
          <w:rtl/>
          <w14:ligatures w14:val="none"/>
        </w:rPr>
        <w:t>ً</w:t>
      </w:r>
      <w:r w:rsidRPr="00020C27">
        <w:rPr>
          <w:rFonts w:eastAsia="Times New Roman"/>
          <w:kern w:val="0"/>
          <w:rtl/>
          <w:lang w:bidi="ar-JO"/>
          <w14:ligatures w14:val="none"/>
        </w:rPr>
        <w:t>، جوئيل</w:t>
      </w:r>
      <w:r w:rsidRPr="00020C27">
        <w:rPr>
          <w:rFonts w:eastAsia="Times New Roman"/>
          <w:kern w:val="0"/>
          <w:rtl/>
          <w14:ligatures w14:val="none"/>
        </w:rPr>
        <w:t xml:space="preserve"> </w:t>
      </w:r>
      <w:r w:rsidRPr="00020C27">
        <w:rPr>
          <w:rFonts w:eastAsia="Times New Roman"/>
          <w:bCs/>
          <w:i/>
          <w:iCs/>
          <w:kern w:val="0"/>
          <w:lang w:bidi="he-IL"/>
          <w14:ligatures w14:val="none"/>
        </w:rPr>
        <w:t>gō’ēl</w:t>
      </w:r>
      <w:r w:rsidRPr="00020C27">
        <w:rPr>
          <w:rFonts w:eastAsia="Times New Roman"/>
          <w:kern w:val="0"/>
          <w:rtl/>
          <w:lang w:bidi="ar-JO"/>
          <w14:ligatures w14:val="none"/>
        </w:rPr>
        <w:t xml:space="preserve"> -فادٍ-</w:t>
      </w:r>
      <w:r w:rsidRPr="00020C27">
        <w:rPr>
          <w:rFonts w:eastAsia="Times New Roman"/>
          <w:kern w:val="0"/>
          <w:rtl/>
          <w14:ligatures w14:val="none"/>
        </w:rPr>
        <w:t xml:space="preserve"> </w:t>
      </w:r>
      <w:r w:rsidRPr="00020C27">
        <w:rPr>
          <w:rFonts w:eastAsia="Times New Roman"/>
          <w:kern w:val="0"/>
          <w:rtl/>
          <w:lang w:bidi="ar-JO"/>
          <w14:ligatures w14:val="none"/>
        </w:rPr>
        <w:t>قريب)" لم يكن هذا طلباً للمضاجعة كما فهم بعضهم قولها، لكنه كان طلباً منه أن يتصرّف بصفته الفادي-القريب ويتّخذ منها زوجة.  وقد فعلت هذا بإيعاز من نُعْمي، فكان ما فعلته عمل إيمان وطاعة سيأتي لها بالبركة.  ويدرك بوعز أن راعوث تتصرف بولاء مدفوع بالمحبة تجاه نُعمي.  كان في مقدور راعوث أن تسعى إلى الزواج من أي رجل، لكنها تصرّفت بإيمان رغبة منها في اتّباع مشيئة يهوه (كما هي معلنة في التوراة) لكي تتبع عادة زواج الأرملة التي لا أولاد لها من أقرب أقرباء الزوج.</w:t>
      </w:r>
    </w:p>
    <w:p w14:paraId="3D7AF859"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ولم يكن هذا مجرد إظهار لولاء لنُعمي (التي ستستفيد من زواج راعوث من فادٍ-قريب)، لكنه كان أيضاً إظهاراً لإيمان بيهوه وخضوع لذلك الإله الذي جاءت لتحتمي "تحت جناحيه".</w:t>
      </w:r>
    </w:p>
    <w:p w14:paraId="31963298"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A1FB6E6"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lastRenderedPageBreak/>
        <w:t>يفهم بوعز هذه الأمور على نحو صحيح، ويصلّي طالباً بركة على راعوث، لإظهارها ولاء مدفوعاً بالمحبة (</w:t>
      </w:r>
      <w:r w:rsidRPr="00020C27">
        <w:rPr>
          <w:rFonts w:eastAsia="Times New Roman"/>
          <w:i/>
          <w:iCs/>
          <w:kern w:val="0"/>
          <w:rtl/>
          <w:lang w:bidi="ar-JO"/>
          <w14:ligatures w14:val="none"/>
        </w:rPr>
        <w:t>حِسِد</w:t>
      </w:r>
      <w:r w:rsidRPr="00020C27">
        <w:rPr>
          <w:rFonts w:eastAsia="Times New Roman"/>
          <w:i/>
          <w:kern w:val="0"/>
          <w:lang w:bidi="he-IL"/>
          <w14:ligatures w14:val="none"/>
        </w:rPr>
        <w:t xml:space="preserve"> ḥeseḏ</w:t>
      </w:r>
      <w:r w:rsidRPr="00020C27">
        <w:rPr>
          <w:rFonts w:eastAsia="Times New Roman"/>
          <w:kern w:val="0"/>
          <w:rtl/>
          <w:lang w:bidi="ar-JO"/>
          <w14:ligatures w14:val="none"/>
        </w:rPr>
        <w:t xml:space="preserve">).  وفيما يلي مفتاح فهم موضوع السفر: </w:t>
      </w:r>
    </w:p>
    <w:p w14:paraId="5DB892E9"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020C27">
        <w:rPr>
          <w:rFonts w:eastAsia="Times New Roman"/>
          <w:kern w:val="0"/>
          <w:rtl/>
          <w:lang w:bidi="ar-JO"/>
          <w14:ligatures w14:val="none"/>
        </w:rPr>
        <w:t xml:space="preserve">1: 8- ليت يهوه يبيّن </w:t>
      </w:r>
      <w:r w:rsidRPr="00020C27">
        <w:rPr>
          <w:rFonts w:eastAsia="Times New Roman"/>
          <w:i/>
          <w:iCs/>
          <w:kern w:val="0"/>
          <w:rtl/>
          <w:lang w:bidi="ar-JO"/>
          <w14:ligatures w14:val="none"/>
        </w:rPr>
        <w:t>حِسِد</w:t>
      </w:r>
      <w:r w:rsidRPr="00020C27">
        <w:rPr>
          <w:rFonts w:eastAsia="Times New Roman"/>
          <w:kern w:val="0"/>
          <w:rtl/>
          <w:lang w:bidi="ar-JO"/>
          <w14:ligatures w14:val="none"/>
        </w:rPr>
        <w:t>، ولاءه المدفوع بالمحبة</w:t>
      </w:r>
    </w:p>
    <w:p w14:paraId="0CE8CA11"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lang w:bidi="ar-JO"/>
          <w14:ligatures w14:val="none"/>
        </w:rPr>
      </w:pPr>
      <w:r w:rsidRPr="00020C27">
        <w:rPr>
          <w:rFonts w:eastAsia="Times New Roman"/>
          <w:kern w:val="0"/>
          <w:rtl/>
          <w:lang w:bidi="ar-JO"/>
          <w14:ligatures w14:val="none"/>
        </w:rPr>
        <w:t xml:space="preserve">2: 20- </w:t>
      </w:r>
      <w:r w:rsidRPr="00020C27">
        <w:rPr>
          <w:rFonts w:eastAsia="Times New Roman"/>
          <w:i/>
          <w:iCs/>
          <w:kern w:val="0"/>
          <w:rtl/>
          <w:lang w:bidi="ar-JO"/>
          <w14:ligatures w14:val="none"/>
        </w:rPr>
        <w:t>حِسِد</w:t>
      </w:r>
      <w:r w:rsidRPr="00020C27">
        <w:rPr>
          <w:rFonts w:eastAsia="Times New Roman"/>
          <w:kern w:val="0"/>
          <w:rtl/>
          <w:lang w:bidi="ar-JO"/>
          <w14:ligatures w14:val="none"/>
        </w:rPr>
        <w:t xml:space="preserve"> </w:t>
      </w:r>
      <w:r w:rsidRPr="00020C27">
        <w:rPr>
          <w:rFonts w:eastAsia="Times New Roman"/>
          <w:i/>
          <w:kern w:val="0"/>
          <w:lang w:bidi="he-IL"/>
          <w14:ligatures w14:val="none"/>
        </w:rPr>
        <w:t>ḥeseḏ</w:t>
      </w:r>
      <w:r w:rsidRPr="00020C27">
        <w:rPr>
          <w:rFonts w:eastAsia="Times New Roman"/>
          <w:kern w:val="0"/>
          <w:rtl/>
          <w:lang w:bidi="ar-JO"/>
          <w14:ligatures w14:val="none"/>
        </w:rPr>
        <w:t xml:space="preserve"> بوعز </w:t>
      </w:r>
    </w:p>
    <w:p w14:paraId="599CA459"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2138" w:hanging="550"/>
        <w:jc w:val="both"/>
        <w:rPr>
          <w:rFonts w:eastAsia="Times New Roman"/>
          <w:kern w:val="0"/>
          <w:rtl/>
          <w14:ligatures w14:val="none"/>
        </w:rPr>
      </w:pPr>
      <w:r w:rsidRPr="00020C27">
        <w:rPr>
          <w:rFonts w:eastAsia="Times New Roman"/>
          <w:kern w:val="0"/>
          <w:rtl/>
          <w:lang w:bidi="ar-JO"/>
          <w14:ligatures w14:val="none"/>
        </w:rPr>
        <w:t xml:space="preserve">3: 10- </w:t>
      </w:r>
      <w:r w:rsidRPr="00020C27">
        <w:rPr>
          <w:rFonts w:eastAsia="Times New Roman"/>
          <w:i/>
          <w:iCs/>
          <w:kern w:val="0"/>
          <w:rtl/>
          <w:lang w:bidi="ar-JO"/>
          <w14:ligatures w14:val="none"/>
        </w:rPr>
        <w:t>حِسِد</w:t>
      </w:r>
      <w:r w:rsidRPr="00020C27">
        <w:rPr>
          <w:rFonts w:eastAsia="Times New Roman"/>
          <w:kern w:val="0"/>
          <w:rtl/>
          <w:lang w:bidi="ar-JO"/>
          <w14:ligatures w14:val="none"/>
        </w:rPr>
        <w:t xml:space="preserve"> </w:t>
      </w:r>
      <w:r w:rsidRPr="00020C27">
        <w:rPr>
          <w:rFonts w:eastAsia="Times New Roman"/>
          <w:i/>
          <w:kern w:val="0"/>
          <w:lang w:bidi="he-IL"/>
          <w14:ligatures w14:val="none"/>
        </w:rPr>
        <w:t>ḥeseḏ</w:t>
      </w:r>
      <w:r w:rsidRPr="00020C27">
        <w:rPr>
          <w:rFonts w:eastAsia="Times New Roman"/>
          <w:kern w:val="0"/>
          <w:rtl/>
          <w:lang w:bidi="ar-JO"/>
          <w14:ligatures w14:val="none"/>
        </w:rPr>
        <w:t xml:space="preserve"> راعوث </w:t>
      </w:r>
    </w:p>
    <w:p w14:paraId="6959D0AF"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5A7A80F"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 xml:space="preserve">كانت نُعمي قد صلّت أن يظهر يهوه </w:t>
      </w:r>
      <w:r w:rsidRPr="00020C27">
        <w:rPr>
          <w:rFonts w:eastAsia="Times New Roman"/>
          <w:i/>
          <w:iCs/>
          <w:kern w:val="0"/>
          <w:rtl/>
          <w:lang w:bidi="ar-JO"/>
          <w14:ligatures w14:val="none"/>
        </w:rPr>
        <w:t>حِسِد</w:t>
      </w:r>
      <w:r w:rsidRPr="00020C27">
        <w:rPr>
          <w:rFonts w:eastAsia="Times New Roman"/>
          <w:kern w:val="0"/>
          <w:rtl/>
          <w:lang w:bidi="ar-JO"/>
          <w14:ligatures w14:val="none"/>
        </w:rPr>
        <w:t xml:space="preserve"> </w:t>
      </w:r>
      <w:r w:rsidRPr="00020C27">
        <w:rPr>
          <w:rFonts w:eastAsia="Times New Roman"/>
          <w:i/>
          <w:kern w:val="0"/>
          <w:lang w:bidi="he-IL"/>
          <w14:ligatures w14:val="none"/>
        </w:rPr>
        <w:t>ḥeseḏ</w:t>
      </w:r>
      <w:r w:rsidRPr="00020C27">
        <w:rPr>
          <w:rFonts w:eastAsia="Times New Roman"/>
          <w:kern w:val="0"/>
          <w:rtl/>
          <w:lang w:bidi="ar-JO"/>
          <w14:ligatures w14:val="none"/>
        </w:rPr>
        <w:t xml:space="preserve"> (ولاء مدفوعاً بالمحبة) تجاه راعوث.  وهو يفعل هذا (كما نرى في الأصحاح 4).  لكننا نرى أثناء تطور القصّة شخصين يمتلكان </w:t>
      </w:r>
      <w:r w:rsidRPr="00020C27">
        <w:rPr>
          <w:rFonts w:eastAsia="Times New Roman"/>
          <w:i/>
          <w:iCs/>
          <w:kern w:val="0"/>
          <w:rtl/>
          <w:lang w:bidi="ar-JO"/>
          <w14:ligatures w14:val="none"/>
        </w:rPr>
        <w:t>حِسِد</w:t>
      </w:r>
      <w:r w:rsidRPr="00020C27">
        <w:rPr>
          <w:rFonts w:eastAsia="Times New Roman"/>
          <w:kern w:val="0"/>
          <w:rtl/>
          <w:lang w:bidi="ar-JO"/>
          <w14:ligatures w14:val="none"/>
        </w:rPr>
        <w:t xml:space="preserve"> </w:t>
      </w:r>
      <w:r w:rsidRPr="00020C27">
        <w:rPr>
          <w:rFonts w:eastAsia="Times New Roman"/>
          <w:i/>
          <w:kern w:val="0"/>
          <w:lang w:bidi="he-IL"/>
          <w14:ligatures w14:val="none"/>
        </w:rPr>
        <w:t>ḥeseḏ</w:t>
      </w:r>
      <w:r w:rsidRPr="00020C27">
        <w:rPr>
          <w:rFonts w:eastAsia="Times New Roman"/>
          <w:kern w:val="0"/>
          <w:rtl/>
          <w:lang w:bidi="ar-JO"/>
          <w14:ligatures w14:val="none"/>
        </w:rPr>
        <w:t xml:space="preserve"> أيضاً.  يجلب يهوه ولاءه المدفوع بالمحبة، لكن ذلك يتضمن أعمالاً متّسمة بالولاء والإخلاص من أفراد-</w:t>
      </w:r>
      <w:r w:rsidRPr="00020C27">
        <w:rPr>
          <w:rFonts w:eastAsia="Times New Roman"/>
          <w:kern w:val="0"/>
          <w:rtl/>
          <w14:ligatures w14:val="none"/>
        </w:rPr>
        <w:t xml:space="preserve"> </w:t>
      </w:r>
      <w:r w:rsidRPr="00020C27">
        <w:rPr>
          <w:rFonts w:eastAsia="Times New Roman"/>
          <w:kern w:val="0"/>
          <w:rtl/>
          <w:lang w:bidi="ar-JO"/>
          <w14:ligatures w14:val="none"/>
        </w:rPr>
        <w:t>ومن خلال هذا يستجيب الله للصلاة.</w:t>
      </w:r>
    </w:p>
    <w:p w14:paraId="7BE72328"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D3CC252" w14:textId="77777777" w:rsidR="006A7C83" w:rsidRPr="00020C27" w:rsidRDefault="006A7C83" w:rsidP="00C7130A">
      <w:pPr>
        <w:tabs>
          <w:tab w:val="left" w:pos="454"/>
        </w:tabs>
        <w:spacing w:after="60"/>
        <w:ind w:left="550" w:hanging="550"/>
        <w:jc w:val="both"/>
        <w:rPr>
          <w:rFonts w:eastAsia="Times New Roman"/>
          <w:bCs/>
          <w:kern w:val="0"/>
          <w:rtl/>
          <w14:ligatures w14:val="none"/>
        </w:rPr>
      </w:pPr>
      <w:r w:rsidRPr="00020C27">
        <w:rPr>
          <w:rFonts w:eastAsia="Times New Roman"/>
          <w:bCs/>
          <w:kern w:val="0"/>
          <w:rtl/>
          <w14:ligatures w14:val="none"/>
        </w:rPr>
        <w:t>د.</w:t>
      </w:r>
      <w:r w:rsidRPr="00020C27">
        <w:rPr>
          <w:rFonts w:eastAsia="Times New Roman"/>
          <w:bCs/>
          <w:kern w:val="0"/>
          <w:rtl/>
          <w14:ligatures w14:val="none"/>
        </w:rPr>
        <w:tab/>
        <w:t>الأصحاح الرابع</w:t>
      </w:r>
    </w:p>
    <w:p w14:paraId="4EF7A951"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توجد عقبة في الطريق.  فقبل أن يتصرف بوعز بصفته الفادي- القريب، يجب أن تعطى الفرصة أولاً لأقرب الأقرباء.  غير أن السؤال الكبير هو إن كان سيفعل ذلك، عالماً إن راعوث كانت عاقراً لمدة عشر سنوات من زواجها الأول.  فإذا تزوّج راعوث، ولم يثمر الزواج عن أطفال، فلن يكون لهذا الرجل ذرّية، وسيتعرّض الميراث لخطر.  ولهذا اختار الرجل أن يفوّت الفرصة.  والباب أو "البوابة" المذكورة في 4: 1 هي بالمناسبة بوّابة المدينة التي كانت تتم فيها كل المعاملات والصفقات العامّة.</w:t>
      </w:r>
    </w:p>
    <w:p w14:paraId="0E276710"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8A9941A"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ثمّ يوافق بوعز على أن يكون الفادي-القريب، ويتزوج من راعوث.  وهو بهذا يتصرف بوفاء وإخلاص نحو مصالح العائلة.  ونتيجة لذلك، يوجد دعاء (أو تضرُّع) آخر في 4: 11-12.  وهذا الدعاء إلى الله مزدوج: فهو يدعو الله أولاً أن تكون راعوث مثل راحيل وليئة، أي أن تكون راعوث مُخصِبة وأن تلد عائلة.  والدعوة الثانية هي أن تكون سلالة بوعز كسلالة سلفه فارص (الذي كان ابن يهوذا أو أممٍ غير إسرائيلية – تكوين 38).  ودلالة هذا هي أن بوعز يصير مشهوراً لارتباطه بنسب داود.</w:t>
      </w:r>
    </w:p>
    <w:p w14:paraId="3CA36144"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006EAED"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46F33CD"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مع اختتام السفر، نلاحظ استجابة الرب لدعاء 4: 11-12 في السلالة التي ستتضمن داود، ملك إسرائيل العظيم الذي سيخرج المسيّا من بيته.  لكن الفكرة لا تقتصر على إنجاب سلالة. إذْ يوضّح السفر أن وراء دعاء 4: 11-12 تكمن أعمال وفية يقوم بها أشخاص أوفياء.  وقد عملت سيادة الله من خلال أعمال وفية  في حياة الناس اليومية.</w:t>
      </w:r>
    </w:p>
    <w:p w14:paraId="69233808"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7296ECA"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غير أن الطريقة التي يتم بها الأمر تتّسم بالسخرية الأدبية.  يجب أن نلاحظ أن كلاً من الدعاء لبوعز في 4: 12 ("</w:t>
      </w:r>
      <w:r w:rsidRPr="00020C27">
        <w:rPr>
          <w:rFonts w:eastAsia="Times New Roman"/>
          <w:i/>
          <w:iCs/>
          <w:kern w:val="0"/>
          <w:rtl/>
          <w:lang w:bidi="ar-JO"/>
          <w14:ligatures w14:val="none"/>
        </w:rPr>
        <w:t>ليكن بيتك كبيت فارص</w:t>
      </w:r>
      <w:r w:rsidRPr="00020C27">
        <w:rPr>
          <w:rFonts w:eastAsia="Times New Roman"/>
          <w:kern w:val="0"/>
          <w:rtl/>
          <w:lang w:bidi="ar-JO"/>
          <w14:ligatures w14:val="none"/>
        </w:rPr>
        <w:t>") والسلالة النهائية (التي تبدأ بفارص – انظر 4: 18) يستخدمان للفت انتباهنا إلى فارص.  فما دلالة هذا الأمر في سفر راعوث؟ إنها دلالة كبيرة، إذا تذكّرنا اهتمام إبراهيم الكبير بأن يبقي الزواج في العائلة وفي الأرض (تكوين 24). كان فارص حالة أخرى، كحالة راعوث، يُكسر فيها التوقُّع.  يوضح جرانت:</w:t>
      </w:r>
    </w:p>
    <w:p w14:paraId="5B8BF3BA"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20C27">
        <w:rPr>
          <w:rFonts w:eastAsia="Times New Roman"/>
          <w:kern w:val="0"/>
          <w:rtl/>
          <w:lang w:bidi="ar-JO"/>
          <w14:ligatures w14:val="none"/>
        </w:rPr>
        <w:t>وهكذا نرى أن داود نتاج لاتحاد واحد من بني إسرائيل (بوعز) بأجنبية (راعوث).  فما خشي إبراهيم من أنه سيكون سبباً للحرمان من الميراث، جعله الله سبباً لضمانه.</w:t>
      </w:r>
    </w:p>
    <w:p w14:paraId="23121731"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8106681"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 .. بدأت السلالة التي تصل إلى داود بفارص، الابن غير الشرعي ليهوذا وتامار (تكوين 38: 29).  ومن المؤكد تقريباً أن تامار كانت امرأة كنعانية تزوّجت من واحد من أفراد مجتمع العهد وصارت جزءاً منه، مثلها في ذلك مثل راعوث.  (الآية 6).  تظاهرت بأنها عاهرة (الآية 14) وأغوت يهوذا لأنه لم يفِ بمسؤوليته نحوها بتزويجها أحد أبنائه بعد أن مات زوجها الذي كان ابنه.  إن التركيز على مسؤولية زواج الأرملة من القريب أمر واضح بالنسبة لراعوث.  والمقابلة واضحةٌ أيضاً بين نظرة تامار التي يقول لسان حالها "الغاية تبرر الوسيلة" وبين نقاوة راعوث، بالإضافة إلى فسق يهوذا وكرامة بوعز وضبطه للنفس.  لقد أعد الكاتب قرّاءه لإحساس مكثّف من التناقض بين هذين الزوجين بالطريقة التي سجّل بها اللقاء الليلي بين راعوث وبوعز (راعوث 3).</w:t>
      </w:r>
    </w:p>
    <w:p w14:paraId="78392313"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303834B"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r w:rsidRPr="00020C27">
        <w:rPr>
          <w:rFonts w:eastAsia="Times New Roman"/>
          <w:kern w:val="0"/>
          <w:rtl/>
          <w:lang w:bidi="ar-JO"/>
          <w14:ligatures w14:val="none"/>
        </w:rPr>
        <w:t>تجتمع الصورة البلاغية المثيرة في راعوث 3 مع الإشارة إلى فارص في 4: 18 لتعزيز لا المقابلة بين يهوذا / تامار وراعوث/بوعز فحسب، بل أيضاً لتوسيع الثغرة بين توقّعات الإنسان وطرق الرب.  فمن كان يمكن أن يتوقع أن يُدخل الرب نتاجاً غير شرعي لاتحاد آثم بين يهودي وامرأة كنعانية عاهرة في الظاهر في النسل المسيّاني؟ إن من شأن هذه التوازيات التاريخية أن تؤكد على التناقضات والتقابلات.</w:t>
      </w:r>
      <w:r w:rsidRPr="00020C27">
        <w:rPr>
          <w:rFonts w:eastAsia="Times New Roman"/>
          <w:kern w:val="0"/>
          <w:vertAlign w:val="superscript"/>
          <w:rtl/>
          <w:lang w:bidi="ar-JO"/>
          <w14:ligatures w14:val="none"/>
        </w:rPr>
        <w:footnoteReference w:customMarkFollows="1" w:id="212"/>
        <w:t>4</w:t>
      </w:r>
    </w:p>
    <w:p w14:paraId="78D0A398"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KW"/>
          <w14:ligatures w14:val="none"/>
        </w:rPr>
      </w:pPr>
    </w:p>
    <w:p w14:paraId="3C4BBAEB"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t>إن حلقة الوصل مع يهوذا (عن طريق فارص) هامّة للنسل الداودي (الذي يمتلك وعود العهد الداودي بعرش مملكة أبدية)، لأن الوعد الملكي قُطع ليهوذا في تكوين 49: 10- "</w:t>
      </w:r>
      <w:r w:rsidRPr="00020C27">
        <w:rPr>
          <w:rFonts w:eastAsia="Times New Roman"/>
          <w:i/>
          <w:iCs/>
          <w:kern w:val="0"/>
          <w:rtl/>
          <w:lang w:bidi="ar-JO"/>
          <w14:ligatures w14:val="none"/>
        </w:rPr>
        <w:t>لا يزول قضيب (صولجان الحكم) ومشترِع من</w:t>
      </w:r>
      <w:r w:rsidRPr="00020C27">
        <w:rPr>
          <w:rFonts w:eastAsia="Times New Roman"/>
          <w:kern w:val="0"/>
          <w:rtl/>
          <w:lang w:bidi="ar-JO"/>
          <w14:ligatures w14:val="none"/>
        </w:rPr>
        <w:t xml:space="preserve"> </w:t>
      </w:r>
      <w:r w:rsidRPr="00020C27">
        <w:rPr>
          <w:rFonts w:eastAsia="Times New Roman"/>
          <w:i/>
          <w:iCs/>
          <w:kern w:val="0"/>
          <w:rtl/>
          <w:lang w:bidi="ar-JO"/>
          <w14:ligatures w14:val="none"/>
        </w:rPr>
        <w:t>بين رجليه حتى يأتي شيلون، وله يكون خضوع شعوب</w:t>
      </w:r>
      <w:r w:rsidRPr="00020C27">
        <w:rPr>
          <w:rFonts w:eastAsia="Times New Roman"/>
          <w:kern w:val="0"/>
          <w:rtl/>
          <w:lang w:bidi="ar-JO"/>
          <w14:ligatures w14:val="none"/>
        </w:rPr>
        <w:t>".  غير أن حلقة الوصل بين يهوذا وداود جاءت بفضل امرأتين غير عاديّتين.</w:t>
      </w:r>
    </w:p>
    <w:p w14:paraId="404E9174"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212EDEF1"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20C27">
        <w:rPr>
          <w:rFonts w:eastAsia="Times New Roman"/>
          <w:kern w:val="0"/>
          <w:rtl/>
          <w:lang w:bidi="ar-JO"/>
          <w14:ligatures w14:val="none"/>
        </w:rPr>
        <w:lastRenderedPageBreak/>
        <w:t>إن من الواضح أن صلة المرء من حيث الجسد مع إبراهيم ليست المقياس النهائي لعلاقته الروحية مع الرب (أو بركته عليه).  وقد جعلنا الكاتب، بطريقة تتسم بالسخرية الأدبية، نرى أعمال الوفاء والإخلاص التي يصنعها أشخاص يكرمون الله في حياتهم وتجعلهم يتجاوزون توقّعاتنا المحتملة نظراً لخلفيتهم وأصلهم.  إن بوعز نفسه مفاجأة لنا: فما كان له أن يصبح أبا داود (ويسوع!) لولا أن الرجل العبراني الآخر رفض أن يتزوج راعوث.  غير أن بوعز يحصل على هذا الشرف، لأنه يُكرم العادة الكتابية في زواج الأرملة التي لا أبناء لها من القريب الأقرب للزوج، ويتحمل بهذا مسؤولية الفادي-القريب.  ولقد أكرمه الله على ما فعل.</w:t>
      </w:r>
    </w:p>
    <w:p w14:paraId="1E2B8830"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07145B9A" w14:textId="77777777" w:rsidR="006A7C83" w:rsidRPr="00020C27" w:rsidRDefault="006A7C83" w:rsidP="00C7130A">
      <w:pPr>
        <w:tabs>
          <w:tab w:val="left" w:pos="454"/>
        </w:tabs>
        <w:spacing w:after="60"/>
        <w:jc w:val="both"/>
        <w:rPr>
          <w:rFonts w:eastAsia="Times New Roman"/>
          <w:bCs/>
          <w:kern w:val="0"/>
          <w:rtl/>
          <w:lang w:bidi="ar-JO"/>
          <w14:ligatures w14:val="none"/>
        </w:rPr>
      </w:pPr>
      <w:r w:rsidRPr="00020C27">
        <w:rPr>
          <w:rFonts w:eastAsia="Times New Roman"/>
          <w:bCs/>
          <w:kern w:val="0"/>
          <w:rtl/>
          <w:lang w:bidi="ar-JO"/>
          <w14:ligatures w14:val="none"/>
        </w:rPr>
        <w:t>درس لحياتنا</w:t>
      </w:r>
    </w:p>
    <w:p w14:paraId="330AE555" w14:textId="77777777" w:rsidR="006A7C83" w:rsidRPr="00020C27" w:rsidRDefault="006A7C83"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i/>
          <w:iCs/>
          <w:kern w:val="0"/>
          <w:rtl/>
          <w:lang w:bidi="ar-JO"/>
          <w14:ligatures w14:val="none"/>
        </w:rPr>
      </w:pPr>
      <w:r w:rsidRPr="00020C27">
        <w:rPr>
          <w:rFonts w:eastAsia="Times New Roman"/>
          <w:kern w:val="0"/>
          <w:rtl/>
          <w:lang w:bidi="ar-JO"/>
          <w14:ligatures w14:val="none"/>
        </w:rPr>
        <w:t>كان من الواجب أن يكون القريب الأقرب أكثر وفاء لمصالح العائلة وأن يتزوج من راعوث.  ولو تصرّف بإيمان (وهذا أمر يتطلب إيمان، لأن راعوث كانت عاقراً) لحقق أكبر نجاح ممكن.  إن من شأن عدم الإيمان أن يجعلنا نفوّت أعظم المكافآت!</w:t>
      </w:r>
      <w:r w:rsidRPr="00020C27">
        <w:rPr>
          <w:rFonts w:eastAsia="Times New Roman"/>
          <w:i/>
          <w:iCs/>
          <w:kern w:val="0"/>
          <w:rtl/>
          <w:lang w:bidi="ar-JO"/>
          <w14:ligatures w14:val="none"/>
        </w:rPr>
        <w:t xml:space="preserve"> </w:t>
      </w:r>
    </w:p>
    <w:p w14:paraId="440CC52C" w14:textId="77777777" w:rsidR="006A7C83" w:rsidRPr="00C7130A" w:rsidRDefault="006A7C83" w:rsidP="00C7130A">
      <w:pPr>
        <w:rPr>
          <w:rFonts w:eastAsia="Times New Roman"/>
          <w:kern w:val="0"/>
          <w:szCs w:val="18"/>
          <w:rtl/>
          <w14:ligatures w14:val="none"/>
        </w:rPr>
      </w:pPr>
    </w:p>
    <w:p w14:paraId="02791144" w14:textId="77777777" w:rsidR="00BD3343" w:rsidRDefault="00BD3343" w:rsidP="000558B7">
      <w:pPr>
        <w:pStyle w:val="Heading2B"/>
        <w:rPr>
          <w:rtl/>
        </w:rPr>
      </w:pPr>
      <w:bookmarkStart w:id="410" w:name="_Hlk178779436"/>
    </w:p>
    <w:p w14:paraId="6BAF532F" w14:textId="057C092F" w:rsidR="009530DE" w:rsidRPr="00C7130A" w:rsidRDefault="009530DE" w:rsidP="000558B7">
      <w:pPr>
        <w:pStyle w:val="Heading2B"/>
        <w:rPr>
          <w:rtl/>
        </w:rPr>
      </w:pPr>
      <w:bookmarkStart w:id="411" w:name="_Toc193031150"/>
      <w:r w:rsidRPr="00C7130A">
        <w:rPr>
          <w:rtl/>
        </w:rPr>
        <w:t>الموضوع 3: نظرة عامّة إلى أسفار التكوين – راعوث</w:t>
      </w:r>
      <w:bookmarkEnd w:id="411"/>
      <w:r w:rsidRPr="00C7130A">
        <w:rPr>
          <w:rtl/>
        </w:rPr>
        <w:t xml:space="preserve"> </w:t>
      </w:r>
    </w:p>
    <w:p w14:paraId="71B65387" w14:textId="06A3ABD4" w:rsidR="009530DE" w:rsidRPr="00C7130A" w:rsidRDefault="009530DE" w:rsidP="00020C27">
      <w:pPr>
        <w:rPr>
          <w:rtl/>
        </w:rPr>
      </w:pPr>
      <w:r w:rsidRPr="00C7130A">
        <w:rPr>
          <w:rtl/>
        </w:rPr>
        <w:t xml:space="preserve">قمنا في هذا المساق، "أساس العهد القديم"، بعمل مسحٍ للأسفار الثمانية الأولى من العهد القديم، التكوين – راعوث. ثمّة عددٌ من الأحداث والتطوُّرات المهمة في هذا القسم من الكتاب المُقدَّس تمهِّد </w:t>
      </w:r>
      <w:r w:rsidR="00FE5E8F" w:rsidRPr="00C7130A">
        <w:rPr>
          <w:rtl/>
        </w:rPr>
        <w:t xml:space="preserve">لبقيّة الكتاب المُقدَّس. يُمكِننا تقسيم هذا القسم إلى أربع مراحل رئيسيّة: </w:t>
      </w:r>
      <w:bookmarkStart w:id="412" w:name="_Hlk190920630"/>
      <w:r w:rsidR="00FE5E8F" w:rsidRPr="00C7130A">
        <w:rPr>
          <w:rtl/>
        </w:rPr>
        <w:t>(1) فترة ما قبل إبراهيم؛ (2) فترة الآباء؛</w:t>
      </w:r>
      <w:r w:rsidR="00DA64A0" w:rsidRPr="00C7130A">
        <w:rPr>
          <w:rtl/>
        </w:rPr>
        <w:t xml:space="preserve"> (3)</w:t>
      </w:r>
      <w:r w:rsidR="00FE5E8F" w:rsidRPr="00C7130A">
        <w:rPr>
          <w:rtl/>
        </w:rPr>
        <w:t xml:space="preserve"> فترة موسى؛ (4) امتلاك شعب إسرائيل للأرض</w:t>
      </w:r>
      <w:bookmarkEnd w:id="412"/>
      <w:r w:rsidR="00FE5E8F" w:rsidRPr="00C7130A">
        <w:rPr>
          <w:rtl/>
        </w:rPr>
        <w:t>. ويبرز في هذه المادة عهدان رئيسيّان مهمّان في اللاهوت الكتابي</w:t>
      </w:r>
      <w:r w:rsidR="00DA64A0" w:rsidRPr="00C7130A">
        <w:rPr>
          <w:rtl/>
        </w:rPr>
        <w:t>ّ</w:t>
      </w:r>
      <w:r w:rsidR="00FE5E8F" w:rsidRPr="00C7130A">
        <w:rPr>
          <w:rtl/>
        </w:rPr>
        <w:t xml:space="preserve">، وهما العهد الإبراهيمي والعهد الموسوي. وتعكس اللوحة التوضيحيّة التالية البنيّة التنظيميّة لهذه الأسفار: </w:t>
      </w:r>
    </w:p>
    <w:p w14:paraId="5158925B" w14:textId="77777777" w:rsidR="00FE5E8F" w:rsidRPr="00C7130A" w:rsidRDefault="00FE5E8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 w:val="26"/>
          <w:szCs w:val="26"/>
          <w:rtl/>
          <w14:ligatures w14:val="none"/>
        </w:rPr>
      </w:pPr>
    </w:p>
    <w:bookmarkEnd w:id="410"/>
    <w:p w14:paraId="13EC0851" w14:textId="5663F644" w:rsidR="00FD79AD" w:rsidRPr="00C7130A" w:rsidRDefault="00600007"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14:ligatures w14:val="none"/>
        </w:rPr>
      </w:pPr>
      <w:r w:rsidRPr="00C7130A">
        <w:rPr>
          <w:rFonts w:eastAsia="Calibri"/>
          <w:noProof/>
          <w:kern w:val="0"/>
          <w:szCs w:val="24"/>
          <w14:ligatures w14:val="none"/>
        </w:rPr>
        <w:lastRenderedPageBreak/>
        <w:drawing>
          <wp:inline distT="0" distB="0" distL="0" distR="0" wp14:anchorId="23861598" wp14:editId="66C2B343">
            <wp:extent cx="5943600" cy="4457700"/>
            <wp:effectExtent l="0" t="0" r="0" b="0"/>
            <wp:docPr id="4059580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7EA5D8E" w14:textId="35BD1019" w:rsidR="004360CC" w:rsidRPr="00C7130A" w:rsidRDefault="004360CC"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strike/>
          <w:kern w:val="0"/>
          <w:szCs w:val="24"/>
          <w14:ligatures w14:val="none"/>
        </w:rPr>
      </w:pPr>
    </w:p>
    <w:p w14:paraId="09701DF5" w14:textId="35AC44E0" w:rsidR="004360CC" w:rsidRPr="00070D4E" w:rsidRDefault="00FE5E8F" w:rsidP="000558B7">
      <w:pPr>
        <w:pStyle w:val="Heading3"/>
      </w:pPr>
      <w:bookmarkStart w:id="413" w:name="_Toc193031151"/>
      <w:r w:rsidRPr="00070D4E">
        <w:rPr>
          <w:rtl/>
        </w:rPr>
        <w:t>أوّلًا: فترة ما قبل إبراهيم</w:t>
      </w:r>
      <w:r w:rsidR="00474087" w:rsidRPr="00070D4E">
        <w:rPr>
          <w:rtl/>
        </w:rPr>
        <w:t xml:space="preserve"> (تكوين 1: 1 – 11: 26)</w:t>
      </w:r>
      <w:bookmarkEnd w:id="413"/>
      <w:r w:rsidR="00474087" w:rsidRPr="00070D4E">
        <w:rPr>
          <w:rtl/>
        </w:rPr>
        <w:t xml:space="preserve"> </w:t>
      </w:r>
    </w:p>
    <w:p w14:paraId="73D835DA" w14:textId="2CDB20B7" w:rsidR="00FE5E8F" w:rsidRPr="00070D4E" w:rsidRDefault="00FE5E8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يُغطّي هذا القسم الفترة الممتدة من الخلق الأصلي في تكوين 1 وحتّى دعوة إبراهيم (المولود عام 2166 ق.م.). تُظهِر هذه المادة الاحتياج إلى دعوة الله لإبراهيم من أجل إقامة أمّة جديدة لتكون خطوةً ضروري</w:t>
      </w:r>
      <w:r w:rsidR="00DA64A0" w:rsidRPr="00070D4E">
        <w:rPr>
          <w:rFonts w:eastAsia="Calibri"/>
          <w:kern w:val="0"/>
          <w:rtl/>
          <w14:ligatures w14:val="none"/>
        </w:rPr>
        <w:t>ّ</w:t>
      </w:r>
      <w:r w:rsidRPr="00070D4E">
        <w:rPr>
          <w:rFonts w:eastAsia="Calibri"/>
          <w:kern w:val="0"/>
          <w:rtl/>
          <w14:ligatures w14:val="none"/>
        </w:rPr>
        <w:t xml:space="preserve">ةً في ردّ العالم إلى بركة الله. </w:t>
      </w:r>
    </w:p>
    <w:p w14:paraId="60933B40" w14:textId="6362F8D1" w:rsidR="00FE5E8F" w:rsidRPr="00070D4E" w:rsidRDefault="00FE5E8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66F04663" w14:textId="755FE79E" w:rsidR="00FE5E8F" w:rsidRPr="00070D4E" w:rsidRDefault="00FE5E8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أ. سجلّ الخلق (تكوين 1: 1 – 2: 25) </w:t>
      </w:r>
    </w:p>
    <w:p w14:paraId="5672927F" w14:textId="3DADACCD" w:rsidR="00FE5E8F" w:rsidRPr="00070D4E" w:rsidRDefault="00474087"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lang w:bidi="ar-JO"/>
          <w14:ligatures w14:val="none"/>
        </w:rPr>
      </w:pPr>
      <w:r w:rsidRPr="00070D4E">
        <w:rPr>
          <w:rFonts w:eastAsia="Calibri"/>
          <w:kern w:val="0"/>
          <w:rtl/>
          <w14:ligatures w14:val="none"/>
        </w:rPr>
        <w:t>حدث الخلق الأصلي في ستّة أيّام، ممّا أظهر حكمة وقدرة الله. وعلاوةً على ذلك، فإنّه يُظهِر صلاح الله ويُعلِن أنّه إله يرغب بأن يبارك. وإذ هو الخالق، له الحق في أن يملك على خليقته وينفّذ قضاءه ودينونته. ومع هذا،</w:t>
      </w:r>
      <w:r w:rsidRPr="00070D4E">
        <w:rPr>
          <w:rFonts w:eastAsia="Calibri"/>
          <w:kern w:val="0"/>
          <w:rtl/>
          <w:lang w:bidi="ar-JO"/>
          <w14:ligatures w14:val="none"/>
        </w:rPr>
        <w:t xml:space="preserve"> يُعطى الجنس البشري تفويضًا بأن يشارك في حكم الله، وذلك بممارسة السلطة عليها. يبدأ وجود الجنس البشري بأول زوجين وهما في حالة تمتُّع ببيئة كاملة. </w:t>
      </w:r>
    </w:p>
    <w:p w14:paraId="33C06E86" w14:textId="4ACAF955" w:rsidR="00FE5E8F" w:rsidRPr="00070D4E" w:rsidRDefault="00FE5E8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67CC08F2" w14:textId="6D82D010" w:rsidR="00474087" w:rsidRPr="00070D4E" w:rsidRDefault="00474087"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lastRenderedPageBreak/>
        <w:t>ب. دخول الخطي</w:t>
      </w:r>
      <w:r w:rsidR="00DA64A0" w:rsidRPr="00070D4E">
        <w:rPr>
          <w:rFonts w:eastAsia="Calibri"/>
          <w:kern w:val="0"/>
          <w:rtl/>
          <w14:ligatures w14:val="none"/>
        </w:rPr>
        <w:t>ّ</w:t>
      </w:r>
      <w:r w:rsidRPr="00070D4E">
        <w:rPr>
          <w:rFonts w:eastAsia="Calibri"/>
          <w:kern w:val="0"/>
          <w:rtl/>
          <w14:ligatures w14:val="none"/>
        </w:rPr>
        <w:t xml:space="preserve">ة وانتشارها (تكوين 3: 1 – 6: 8) </w:t>
      </w:r>
    </w:p>
    <w:p w14:paraId="1DDD1DD2" w14:textId="4E74EFDF" w:rsidR="00FE5E8F" w:rsidRPr="00070D4E" w:rsidRDefault="00BD6E10"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أدّت خطية أول بشري</w:t>
      </w:r>
      <w:r w:rsidR="00DA64A0" w:rsidRPr="00070D4E">
        <w:rPr>
          <w:rFonts w:eastAsia="Calibri"/>
          <w:kern w:val="0"/>
          <w:rtl/>
          <w14:ligatures w14:val="none"/>
        </w:rPr>
        <w:t>ّ</w:t>
      </w:r>
      <w:r w:rsidRPr="00070D4E">
        <w:rPr>
          <w:rFonts w:eastAsia="Calibri"/>
          <w:kern w:val="0"/>
          <w:rtl/>
          <w14:ligatures w14:val="none"/>
        </w:rPr>
        <w:t xml:space="preserve">ين إلى انتشار الخطية وتفسُّخ المجتمع. وكانت النتيجة هي الموت للجميع، باستثناء أخنوخ الذي "أخذه" الله لينقل لنا رسالة مفادها الرجاء بعد الموت. ومع هذا، فقد قادت خطية "أبناء الله" إلى دينونة الله للعالم بطوفانٍ كوني. </w:t>
      </w:r>
    </w:p>
    <w:p w14:paraId="2D48746B" w14:textId="038BDCBA" w:rsidR="00474087" w:rsidRPr="00070D4E" w:rsidRDefault="00474087"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279F7E00" w14:textId="4667F8BE" w:rsidR="00BD6E10" w:rsidRPr="00070D4E" w:rsidRDefault="00BD6E10"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ج. دينونة الطوفان وبداية جديدة (تكوين 6: 9 – 9: 29) </w:t>
      </w:r>
    </w:p>
    <w:p w14:paraId="515B1819" w14:textId="708B3705" w:rsidR="00474087" w:rsidRPr="00070D4E" w:rsidRDefault="008607AE"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أظهر الطوفان بُغض الله للخطية وحقّه بأن يأتي بالدينونة على </w:t>
      </w:r>
      <w:r w:rsidR="00C94313" w:rsidRPr="00070D4E">
        <w:rPr>
          <w:rFonts w:eastAsia="Calibri"/>
          <w:kern w:val="0"/>
          <w:rtl/>
          <w14:ligatures w14:val="none"/>
        </w:rPr>
        <w:t>الأشرار</w:t>
      </w:r>
      <w:r w:rsidRPr="00070D4E">
        <w:rPr>
          <w:rFonts w:eastAsia="Calibri"/>
          <w:kern w:val="0"/>
          <w:rtl/>
          <w14:ligatures w14:val="none"/>
        </w:rPr>
        <w:t xml:space="preserve">، بينما يعكس إنقاذ عائلة نوح حقيقة أن الله إله نعمة. </w:t>
      </w:r>
    </w:p>
    <w:p w14:paraId="4D2A5BD0" w14:textId="6D111AEB" w:rsidR="008607AE" w:rsidRPr="00070D4E" w:rsidRDefault="008607AE"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444299D7" w14:textId="7D0B4A70" w:rsidR="008607AE" w:rsidRPr="00070D4E" w:rsidRDefault="008607AE"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د. عالم ما بعدَ الطوفان (تكوين 10: 1 – 11: 26) </w:t>
      </w:r>
    </w:p>
    <w:p w14:paraId="3533B468" w14:textId="6DF38665" w:rsidR="008607AE" w:rsidRPr="00070D4E" w:rsidRDefault="008607AE"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نشأت مجموعات بشريّة عديدة من أولاد نوح، ولكنّ إعادة ملء الأرض قاد في النهاية إلى رفض الله والتمرُّد في برج بابل. ومع هذا، لم يسمح الله للبشر بأن يتوحَّدوا، بل فرّقهم</w:t>
      </w:r>
      <w:r w:rsidR="00B36DA3" w:rsidRPr="00070D4E">
        <w:rPr>
          <w:rFonts w:eastAsia="Calibri"/>
          <w:kern w:val="0"/>
          <w:rtl/>
          <w14:ligatures w14:val="none"/>
        </w:rPr>
        <w:t xml:space="preserve">، ومن ثمّ حدَّد نسل البركة وضيّقه. </w:t>
      </w:r>
    </w:p>
    <w:p w14:paraId="5D828A87" w14:textId="77777777" w:rsidR="00FE5E8F" w:rsidRPr="00C7130A" w:rsidRDefault="00FE5E8F"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 w:val="26"/>
          <w:szCs w:val="26"/>
          <w:rtl/>
          <w14:ligatures w14:val="none"/>
        </w:rPr>
      </w:pPr>
    </w:p>
    <w:p w14:paraId="0E67A140" w14:textId="7427F020" w:rsidR="004360CC" w:rsidRPr="00070D4E" w:rsidRDefault="00FE5E8F" w:rsidP="000558B7">
      <w:pPr>
        <w:pStyle w:val="Heading3"/>
      </w:pPr>
      <w:bookmarkStart w:id="414" w:name="_Toc193031152"/>
      <w:r w:rsidRPr="00070D4E">
        <w:rPr>
          <w:rtl/>
        </w:rPr>
        <w:t>ثانيًا، فترة الآباء (</w:t>
      </w:r>
      <w:r w:rsidR="00B36DA3" w:rsidRPr="00070D4E">
        <w:rPr>
          <w:rtl/>
        </w:rPr>
        <w:t>تكوين 11: 27 – 50: 26)</w:t>
      </w:r>
      <w:bookmarkEnd w:id="414"/>
      <w:r w:rsidR="00B36DA3" w:rsidRPr="00070D4E">
        <w:rPr>
          <w:rtl/>
        </w:rPr>
        <w:t xml:space="preserve"> </w:t>
      </w:r>
    </w:p>
    <w:p w14:paraId="51801517" w14:textId="263BFE2C" w:rsidR="00B36DA3" w:rsidRPr="00070D4E" w:rsidRDefault="00CD052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يغطّي هذا القسم دعوة إبراهيم من أور الكلدانيّين، وقطْع الله العهدَ معه، وانتقال بركة إبراهيم إلى ابنه وحفيده، إسحاق ويعقوب. </w:t>
      </w:r>
      <w:r w:rsidR="00F946C6" w:rsidRPr="00070D4E">
        <w:rPr>
          <w:rFonts w:eastAsia="Calibri"/>
          <w:kern w:val="0"/>
          <w:rtl/>
          <w14:ligatures w14:val="none"/>
        </w:rPr>
        <w:t xml:space="preserve">وعلى </w:t>
      </w:r>
      <w:r w:rsidRPr="00070D4E">
        <w:rPr>
          <w:rFonts w:eastAsia="Calibri"/>
          <w:kern w:val="0"/>
          <w:rtl/>
          <w14:ligatures w14:val="none"/>
        </w:rPr>
        <w:t xml:space="preserve">الرغم من وعد </w:t>
      </w:r>
      <w:r w:rsidR="00F946C6" w:rsidRPr="00070D4E">
        <w:rPr>
          <w:rFonts w:eastAsia="Calibri"/>
          <w:kern w:val="0"/>
          <w:rtl/>
          <w:lang w:bidi="ar-JO"/>
          <w14:ligatures w14:val="none"/>
        </w:rPr>
        <w:t>الرب ب</w:t>
      </w:r>
      <w:r w:rsidRPr="00070D4E">
        <w:rPr>
          <w:rFonts w:eastAsia="Calibri"/>
          <w:kern w:val="0"/>
          <w:rtl/>
          <w14:ligatures w14:val="none"/>
        </w:rPr>
        <w:t xml:space="preserve">أرض كنعان لنسل إبراهيم، فقد أدّت طرق نسله الآثمة إلى إبعادهم إلى مصر، مع أنّ الله بنعمته أقام يوسف ليكون مُخلِّصًا لهم. </w:t>
      </w:r>
    </w:p>
    <w:p w14:paraId="15228306" w14:textId="245427B8" w:rsidR="00CD052B" w:rsidRPr="00070D4E" w:rsidRDefault="00CD052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4B848B52" w14:textId="552A7695" w:rsidR="00CD052B" w:rsidRPr="00070D4E" w:rsidRDefault="00CD052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أ. دعوة إبراهيم والعهد معه (تكوين 11: 27 – 25: 18) </w:t>
      </w:r>
    </w:p>
    <w:p w14:paraId="466DEE3E" w14:textId="66929A4D" w:rsidR="00CD052B" w:rsidRPr="00070D4E" w:rsidRDefault="00CD052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يدوِّن لنا هذا القسم دعوة الله لإبراهيم وقطع عهدٍ غير مشروط معه بأن يعطيه أرضًا ونسلًا وبركة الله. ومع هذا، فإن</w:t>
      </w:r>
      <w:r w:rsidR="00F946C6" w:rsidRPr="00070D4E">
        <w:rPr>
          <w:rFonts w:eastAsia="Calibri"/>
          <w:kern w:val="0"/>
          <w:rtl/>
          <w14:ligatures w14:val="none"/>
        </w:rPr>
        <w:t>ّ</w:t>
      </w:r>
      <w:r w:rsidRPr="00070D4E">
        <w:rPr>
          <w:rFonts w:eastAsia="Calibri"/>
          <w:kern w:val="0"/>
          <w:rtl/>
          <w14:ligatures w14:val="none"/>
        </w:rPr>
        <w:t xml:space="preserve"> قصد الله النهائي والأسمى هو أن يأتي بكلّ الشعوب وعشائر الأرض إلى بركته (تكوين 12: 3). كما يتتبّع هذا القسم جهاد إبراهيم في أن يثق بالله وبوعود، إلى أن نضج إيمانه واجتاز امتحان الاستعداد بأن يقدِّم إسحاق ذبيحةً، وهو الموعود به بأن يرث البركات الإبراهيميّة. </w:t>
      </w:r>
    </w:p>
    <w:p w14:paraId="42A911C7" w14:textId="01BD42C2" w:rsidR="00CD052B" w:rsidRPr="00070D4E" w:rsidRDefault="00CD052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54B6C5B9" w14:textId="6704F8E2" w:rsidR="00CD052B" w:rsidRPr="00070D4E" w:rsidRDefault="00CD052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ب. قصّة يعقوب والاسباط الاثني عشر (تكوين 25: 19 – 37: 1) </w:t>
      </w:r>
    </w:p>
    <w:p w14:paraId="240D110F" w14:textId="6FEFAB64" w:rsidR="00CD052B" w:rsidRPr="00070D4E" w:rsidRDefault="00CD052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lang w:bidi="ar-JO"/>
          <w14:ligatures w14:val="none"/>
        </w:rPr>
      </w:pPr>
      <w:r w:rsidRPr="00070D4E">
        <w:rPr>
          <w:rFonts w:eastAsia="Calibri"/>
          <w:kern w:val="0"/>
          <w:rtl/>
          <w14:ligatures w14:val="none"/>
        </w:rPr>
        <w:lastRenderedPageBreak/>
        <w:t xml:space="preserve">تظهر صفات الأمة في يعقوب، الذي كان "مخادِعًا </w:t>
      </w:r>
      <w:r w:rsidRPr="00070D4E">
        <w:rPr>
          <w:rFonts w:eastAsia="Calibri"/>
          <w:kern w:val="0"/>
          <w:rtl/>
          <w:lang w:bidi="ar-JO"/>
          <w14:ligatures w14:val="none"/>
        </w:rPr>
        <w:t xml:space="preserve">متآمرًا." ومع أنّه ولد الاثني عشر ابنًا الذين منهم أتت أسباط إسرائيل، فقد أدّت حياته غير البارّة إلى طردهم من أرض الموعود، </w:t>
      </w:r>
      <w:r w:rsidR="00F946C6" w:rsidRPr="00070D4E">
        <w:rPr>
          <w:rFonts w:eastAsia="Calibri"/>
          <w:kern w:val="0"/>
          <w:rtl/>
          <w:lang w:bidi="ar-JO"/>
          <w14:ligatures w14:val="none"/>
        </w:rPr>
        <w:t>وهو ما</w:t>
      </w:r>
      <w:r w:rsidRPr="00070D4E">
        <w:rPr>
          <w:rFonts w:eastAsia="Calibri"/>
          <w:kern w:val="0"/>
          <w:rtl/>
          <w:lang w:bidi="ar-JO"/>
          <w14:ligatures w14:val="none"/>
        </w:rPr>
        <w:t xml:space="preserve"> مثَّل نذيرًا بأحداثٍ سبيٍ ستحدث في المستقبل. </w:t>
      </w:r>
    </w:p>
    <w:p w14:paraId="16EE5F95" w14:textId="6568A1AC" w:rsidR="00B36DA3" w:rsidRPr="00070D4E" w:rsidRDefault="00B36DA3"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7A0F2497" w14:textId="7416A729" w:rsidR="00CD052B" w:rsidRPr="00070D4E" w:rsidRDefault="00CD052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ج. قصّة يوسف والهجرة إلى مصر (تكوين 37: 2 – 50: 26) </w:t>
      </w:r>
    </w:p>
    <w:p w14:paraId="0C57DE43" w14:textId="693300F2" w:rsidR="00B36DA3" w:rsidRPr="00070D4E" w:rsidRDefault="00CD052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تعرَّض يوسف، الذي كان إخوته يحتقرونه، للغدر من إخوته الأكبر فأُرسِل إلى مصر. ومع أنّه كان بريئًا، فقد أُودِع السجن. ولكنّ يد الله كانت عليه</w:t>
      </w:r>
      <w:r w:rsidR="0084304E" w:rsidRPr="00070D4E">
        <w:rPr>
          <w:rFonts w:eastAsia="Calibri"/>
          <w:kern w:val="0"/>
          <w:rtl/>
          <w14:ligatures w14:val="none"/>
        </w:rPr>
        <w:t>. فب</w:t>
      </w:r>
      <w:r w:rsidRPr="00070D4E">
        <w:rPr>
          <w:rFonts w:eastAsia="Calibri"/>
          <w:kern w:val="0"/>
          <w:rtl/>
          <w14:ligatures w14:val="none"/>
        </w:rPr>
        <w:t>فعل قدرته فوق الطبيعيّة على تفسير الأحلام</w:t>
      </w:r>
      <w:r w:rsidR="0084304E" w:rsidRPr="00070D4E">
        <w:rPr>
          <w:rFonts w:eastAsia="Calibri"/>
          <w:kern w:val="0"/>
          <w:rtl/>
          <w14:ligatures w14:val="none"/>
        </w:rPr>
        <w:t xml:space="preserve"> أُعطي فرصةً </w:t>
      </w:r>
      <w:r w:rsidR="00F946C6" w:rsidRPr="00070D4E">
        <w:rPr>
          <w:rFonts w:eastAsia="Calibri"/>
          <w:kern w:val="0"/>
          <w:rtl/>
          <w14:ligatures w14:val="none"/>
        </w:rPr>
        <w:t xml:space="preserve">على </w:t>
      </w:r>
      <w:r w:rsidR="0084304E" w:rsidRPr="00070D4E">
        <w:rPr>
          <w:rFonts w:eastAsia="Calibri"/>
          <w:kern w:val="0"/>
          <w:rtl/>
          <w14:ligatures w14:val="none"/>
        </w:rPr>
        <w:t>أن يفسِّر حلمًا أعطاه الله لفرعون. ولذا، رُقّي إلى منصبٍ سام</w:t>
      </w:r>
      <w:r w:rsidR="00F946C6" w:rsidRPr="00070D4E">
        <w:rPr>
          <w:rFonts w:eastAsia="Calibri"/>
          <w:kern w:val="0"/>
          <w:rtl/>
          <w14:ligatures w14:val="none"/>
        </w:rPr>
        <w:t>ي</w:t>
      </w:r>
      <w:r w:rsidR="0084304E" w:rsidRPr="00070D4E">
        <w:rPr>
          <w:rFonts w:eastAsia="Calibri"/>
          <w:kern w:val="0"/>
          <w:rtl/>
          <w14:ligatures w14:val="none"/>
        </w:rPr>
        <w:t xml:space="preserve"> المكانة والكرامة. وقد كان لتلك الترقية أثر في تمكينه </w:t>
      </w:r>
      <w:r w:rsidR="00F946C6" w:rsidRPr="00070D4E">
        <w:rPr>
          <w:rFonts w:eastAsia="Calibri"/>
          <w:kern w:val="0"/>
          <w:rtl/>
          <w14:ligatures w14:val="none"/>
        </w:rPr>
        <w:t>من</w:t>
      </w:r>
      <w:r w:rsidR="0084304E" w:rsidRPr="00070D4E">
        <w:rPr>
          <w:rFonts w:eastAsia="Calibri"/>
          <w:kern w:val="0"/>
          <w:rtl/>
          <w14:ligatures w14:val="none"/>
        </w:rPr>
        <w:t xml:space="preserve"> مساعدة عائلته. فحين هاجرت عائلته الأكبر إلى مصر عام 1876 ق.م.، تمكّن من إنقاذهم من الأخط</w:t>
      </w:r>
      <w:r w:rsidR="00F946C6" w:rsidRPr="00070D4E">
        <w:rPr>
          <w:rFonts w:eastAsia="Calibri"/>
          <w:kern w:val="0"/>
          <w:rtl/>
          <w14:ligatures w14:val="none"/>
        </w:rPr>
        <w:t>ار</w:t>
      </w:r>
      <w:r w:rsidR="0084304E" w:rsidRPr="00070D4E">
        <w:rPr>
          <w:rFonts w:eastAsia="Calibri"/>
          <w:kern w:val="0"/>
          <w:rtl/>
          <w14:ligatures w14:val="none"/>
        </w:rPr>
        <w:t xml:space="preserve"> المحيطة ومن أن يباركهم. اختبارات يوسف الحياتيّة جعلت منه رمزًا ونموذجًا للمسيح.  </w:t>
      </w:r>
    </w:p>
    <w:p w14:paraId="0662A374" w14:textId="77777777" w:rsidR="00B36DA3" w:rsidRPr="00C7130A" w:rsidRDefault="00B36DA3"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Cs w:val="24"/>
          <w:rtl/>
          <w14:ligatures w14:val="none"/>
        </w:rPr>
      </w:pPr>
    </w:p>
    <w:p w14:paraId="481B7F68" w14:textId="7389C6B0" w:rsidR="003B6A6E" w:rsidRPr="00070D4E" w:rsidRDefault="00FE5E8F" w:rsidP="000558B7">
      <w:pPr>
        <w:pStyle w:val="Heading3"/>
      </w:pPr>
      <w:bookmarkStart w:id="415" w:name="_Toc193031153"/>
      <w:r w:rsidRPr="00070D4E">
        <w:rPr>
          <w:rtl/>
        </w:rPr>
        <w:t>ثالثًا، فترة موسى (</w:t>
      </w:r>
      <w:r w:rsidR="009E086A" w:rsidRPr="00070D4E">
        <w:rPr>
          <w:rtl/>
        </w:rPr>
        <w:t>خروج 1: 1 – تثنية 34: 12)</w:t>
      </w:r>
      <w:bookmarkEnd w:id="415"/>
      <w:r w:rsidR="009E086A" w:rsidRPr="00070D4E">
        <w:rPr>
          <w:rtl/>
        </w:rPr>
        <w:t xml:space="preserve"> </w:t>
      </w:r>
    </w:p>
    <w:p w14:paraId="0772E4E4" w14:textId="3F407307" w:rsidR="009E086A" w:rsidRPr="00070D4E" w:rsidRDefault="009E086A"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بعد فترةٍ طويل من زمن يوسف، وجد العبرانيّون أنفسهم عبيدًا يُجبَرون على بناء مدنٍ لفرعونٍ قاسٍ. أقام الله موسى لمواجهة فرعون وليُجبِره على أن يطلق العبرانيين عام 1446 ق.م. (حدث الخروج). تركّز معظم مادّة هذا القسم على وجود شعب إسرائيل عند جبل سيناء، حيث تلقّى الشعب الناموس وصنع خيمة الاجتماع. وعلى الرغم من أعمال الله المعجزيّة الكثيرة لأجل الأمة، فقد تمرّدوا في طريقهم إلى أرض الموعد. ولهذا السبب، جُعِل الجيل المتمرّد يتيه ويجول في البريّة إل</w:t>
      </w:r>
      <w:r w:rsidR="00583620" w:rsidRPr="00070D4E">
        <w:rPr>
          <w:rFonts w:eastAsia="Calibri"/>
          <w:kern w:val="0"/>
          <w:rtl/>
          <w14:ligatures w14:val="none"/>
        </w:rPr>
        <w:t>ى</w:t>
      </w:r>
      <w:r w:rsidRPr="00070D4E">
        <w:rPr>
          <w:rFonts w:eastAsia="Calibri"/>
          <w:kern w:val="0"/>
          <w:rtl/>
          <w14:ligatures w14:val="none"/>
        </w:rPr>
        <w:t xml:space="preserve"> أن قام جيلٌ جديد. يُكرّر موسى وصايا ومطالب الناموس لهم في سفر التثنية، ويوضِّح ما على الأجيال المستقبليّة أن تعمله لتنال البركة وتعيش في في أرض الموعد. </w:t>
      </w:r>
    </w:p>
    <w:p w14:paraId="78373C76" w14:textId="7A176B7B" w:rsidR="009E086A" w:rsidRPr="00070D4E" w:rsidRDefault="009E086A"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6F834E2F" w14:textId="20F8BEEF" w:rsidR="009E086A" w:rsidRPr="00070D4E" w:rsidRDefault="009E086A"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أ. العبوديّة في مصر وتحرير الله (خروج 1: 1 – 18: 27) </w:t>
      </w:r>
    </w:p>
    <w:p w14:paraId="01C1A07C" w14:textId="0CAE9A40" w:rsidR="009E086A" w:rsidRPr="00070D4E" w:rsidRDefault="0066135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بقي العبرانيّون في مصر مدّة 430 سنة، كانوا في الجزء الأخير منها عبيدًا أُجبِروا على بناء مدنٍ لفرعون. تدوِّن لنا هذه الأصحاحات حدث إقامة الله لموسى ليواجه فرعون بضرباتٍ من الله حت</w:t>
      </w:r>
      <w:r w:rsidR="00583620" w:rsidRPr="00070D4E">
        <w:rPr>
          <w:rFonts w:eastAsia="Calibri"/>
          <w:kern w:val="0"/>
          <w:rtl/>
          <w14:ligatures w14:val="none"/>
        </w:rPr>
        <w:t>ّ</w:t>
      </w:r>
      <w:r w:rsidRPr="00070D4E">
        <w:rPr>
          <w:rFonts w:eastAsia="Calibri"/>
          <w:kern w:val="0"/>
          <w:rtl/>
          <w14:ligatures w14:val="none"/>
        </w:rPr>
        <w:t>ى أطلق العبرانيين ليغادروا مصر (الخروج). وقد أدّت معجزة عبور البحر الأحمر على اليابسة إلى زيادة ثقة الشعب بالرب</w:t>
      </w:r>
      <w:r w:rsidR="00583620" w:rsidRPr="00070D4E">
        <w:rPr>
          <w:rFonts w:eastAsia="Calibri"/>
          <w:kern w:val="0"/>
          <w:rtl/>
          <w14:ligatures w14:val="none"/>
        </w:rPr>
        <w:t>ّ</w:t>
      </w:r>
      <w:r w:rsidRPr="00070D4E">
        <w:rPr>
          <w:rFonts w:eastAsia="Calibri"/>
          <w:kern w:val="0"/>
          <w:rtl/>
          <w14:ligatures w14:val="none"/>
        </w:rPr>
        <w:t>. ومع هذا، فإنّ الرحلة من هناك إلى جبل سيناء تكشف عن أمرٍ واحد هو أنّ قلوب الشعب ضال</w:t>
      </w:r>
      <w:r w:rsidR="00583620" w:rsidRPr="00070D4E">
        <w:rPr>
          <w:rFonts w:eastAsia="Calibri"/>
          <w:kern w:val="0"/>
          <w:rtl/>
          <w14:ligatures w14:val="none"/>
        </w:rPr>
        <w:t>ّ</w:t>
      </w:r>
      <w:r w:rsidRPr="00070D4E">
        <w:rPr>
          <w:rFonts w:eastAsia="Calibri"/>
          <w:kern w:val="0"/>
          <w:rtl/>
          <w14:ligatures w14:val="none"/>
        </w:rPr>
        <w:t xml:space="preserve">ة ومنحرفة وتميل إلى التذمُّر وعدم الإيمان. </w:t>
      </w:r>
    </w:p>
    <w:p w14:paraId="29113065" w14:textId="137A4F29" w:rsidR="0066135B" w:rsidRPr="00070D4E" w:rsidRDefault="0066135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563BA1C6" w14:textId="752CFB54" w:rsidR="0066135B" w:rsidRPr="00070D4E" w:rsidRDefault="0066135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ب. تلقّي الناموس في جبل سيناء (خروج 19: 1 – سفر العدد 10: 10) </w:t>
      </w:r>
    </w:p>
    <w:p w14:paraId="61141F26" w14:textId="02FE0925" w:rsidR="009E086A" w:rsidRPr="00070D4E" w:rsidRDefault="0066135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lastRenderedPageBreak/>
        <w:t>في جبل سيناء، قُدِّمت الفرصة للعبرانيّين بأن يصيروا الأمّة الفريدة التي سيستخدمها الله في برنامجه بأن يبارك كل</w:t>
      </w:r>
      <w:r w:rsidR="00583620" w:rsidRPr="00070D4E">
        <w:rPr>
          <w:rFonts w:eastAsia="Calibri"/>
          <w:kern w:val="0"/>
          <w:rtl/>
          <w14:ligatures w14:val="none"/>
        </w:rPr>
        <w:t>ّ</w:t>
      </w:r>
      <w:r w:rsidRPr="00070D4E">
        <w:rPr>
          <w:rFonts w:eastAsia="Calibri"/>
          <w:kern w:val="0"/>
          <w:rtl/>
          <w14:ligatures w14:val="none"/>
        </w:rPr>
        <w:t xml:space="preserve"> شعوب الأرض وعشائرها. ولكنّ حتّى يُعطوا هذا الدور كان عليهم أن يوافقوا على الدخول في عهد</w:t>
      </w:r>
      <w:r w:rsidR="00583620" w:rsidRPr="00070D4E">
        <w:rPr>
          <w:rFonts w:eastAsia="Calibri"/>
          <w:kern w:val="0"/>
          <w:rtl/>
          <w14:ligatures w14:val="none"/>
        </w:rPr>
        <w:t>ٍ</w:t>
      </w:r>
      <w:r w:rsidRPr="00070D4E">
        <w:rPr>
          <w:rFonts w:eastAsia="Calibri"/>
          <w:kern w:val="0"/>
          <w:rtl/>
          <w14:ligatures w14:val="none"/>
        </w:rPr>
        <w:t xml:space="preserve"> مع الله وأن يحفظوا الناموس (العهد الموسوي). وأثناء إقامتهم عند جبل سيناء، صنعوا خيمة الاجتماع (خروج 25-40)، وتلقّوا تعليماتٍ بشأن نظام الذبائح (سفر اللاويّين). وبعد أكثر من ثلاثة عشر شهرًا بقليل من مغادرتهم مصر، تركوا جبل سيناء ليبدأوا الرحلة إلى أرض الموعد – كنعان. </w:t>
      </w:r>
    </w:p>
    <w:p w14:paraId="450075A7" w14:textId="7DB28AC5" w:rsidR="0066135B" w:rsidRPr="00070D4E" w:rsidRDefault="0066135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45829470" w14:textId="665AC921" w:rsidR="0066135B" w:rsidRPr="00070D4E" w:rsidRDefault="0066135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ج. التمرُّد في قادش برنيع والتيه في البرّيّة (سفر العدد 10: 11 – تثنية 34: 12) </w:t>
      </w:r>
    </w:p>
    <w:p w14:paraId="65E549A3" w14:textId="3A11FE49" w:rsidR="0066135B" w:rsidRPr="00070D4E" w:rsidRDefault="002852A5"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lang w:bidi="ar-JO"/>
          <w14:ligatures w14:val="none"/>
        </w:rPr>
      </w:pPr>
      <w:r w:rsidRPr="00070D4E">
        <w:rPr>
          <w:rFonts w:eastAsia="Calibri"/>
          <w:kern w:val="0"/>
          <w:rtl/>
          <w:lang w:bidi="ar-JO"/>
          <w14:ligatures w14:val="none"/>
        </w:rPr>
        <w:t>عند حدود أرض الموعد، وفي مكانٍ يُدعى قادش برنيع، أُرسِل جواسيس إلى الأرض ليتفحّصوها. وعند رجوعهم، تمرّد الشعب على الله ورفض</w:t>
      </w:r>
      <w:r w:rsidR="00583620" w:rsidRPr="00070D4E">
        <w:rPr>
          <w:rFonts w:eastAsia="Calibri"/>
          <w:kern w:val="0"/>
          <w:rtl/>
          <w:lang w:bidi="ar-JO"/>
          <w14:ligatures w14:val="none"/>
        </w:rPr>
        <w:t>وا</w:t>
      </w:r>
      <w:r w:rsidRPr="00070D4E">
        <w:rPr>
          <w:rFonts w:eastAsia="Calibri"/>
          <w:kern w:val="0"/>
          <w:rtl/>
          <w:lang w:bidi="ar-JO"/>
          <w14:ligatures w14:val="none"/>
        </w:rPr>
        <w:t xml:space="preserve"> أن يتقدَّم</w:t>
      </w:r>
      <w:r w:rsidR="00583620" w:rsidRPr="00070D4E">
        <w:rPr>
          <w:rFonts w:eastAsia="Calibri"/>
          <w:kern w:val="0"/>
          <w:rtl/>
          <w:lang w:bidi="ar-JO"/>
          <w14:ligatures w14:val="none"/>
        </w:rPr>
        <w:t>وا</w:t>
      </w:r>
      <w:r w:rsidRPr="00070D4E">
        <w:rPr>
          <w:rFonts w:eastAsia="Calibri"/>
          <w:kern w:val="0"/>
          <w:rtl/>
          <w:lang w:bidi="ar-JO"/>
          <w14:ligatures w14:val="none"/>
        </w:rPr>
        <w:t xml:space="preserve"> إلى الأرض. وبسبب هذا التمرُّد، حُكِم على ذلك الجيل بأن يموت وينتهي في البريّة، ليستطيع الله أن يقيم جيلًا جديدًا سيثق به ويمتلك الأرض. وبالرغم من شدّة تمرُّدهم في قادش برنيع، يؤكِّد الله، كما يظهر في أقوال بلعام، على قصده النهائي الأسمى بأن يستخدم إسرائيل بوصفه شعب عهد</w:t>
      </w:r>
      <w:r w:rsidR="00583620" w:rsidRPr="00070D4E">
        <w:rPr>
          <w:rFonts w:eastAsia="Calibri"/>
          <w:kern w:val="0"/>
          <w:rtl/>
          <w:lang w:bidi="ar-JO"/>
          <w14:ligatures w14:val="none"/>
        </w:rPr>
        <w:t>ه</w:t>
      </w:r>
      <w:r w:rsidRPr="00070D4E">
        <w:rPr>
          <w:rFonts w:eastAsia="Calibri"/>
          <w:kern w:val="0"/>
          <w:rtl/>
          <w:lang w:bidi="ar-JO"/>
          <w14:ligatures w14:val="none"/>
        </w:rPr>
        <w:t xml:space="preserve"> وبأن يباركهم. وآخر عمل</w:t>
      </w:r>
      <w:r w:rsidR="00583620" w:rsidRPr="00070D4E">
        <w:rPr>
          <w:rFonts w:eastAsia="Calibri"/>
          <w:kern w:val="0"/>
          <w:rtl/>
          <w:lang w:bidi="ar-JO"/>
          <w14:ligatures w14:val="none"/>
        </w:rPr>
        <w:t>ِ</w:t>
      </w:r>
      <w:r w:rsidRPr="00070D4E">
        <w:rPr>
          <w:rFonts w:eastAsia="Calibri"/>
          <w:kern w:val="0"/>
          <w:rtl/>
          <w:lang w:bidi="ar-JO"/>
          <w14:ligatures w14:val="none"/>
        </w:rPr>
        <w:t xml:space="preserve"> خدمةٍ قدّمه موسى لله</w:t>
      </w:r>
      <w:r w:rsidR="00583620" w:rsidRPr="00070D4E">
        <w:rPr>
          <w:rFonts w:eastAsia="Calibri"/>
          <w:kern w:val="0"/>
          <w:rtl/>
          <w:lang w:bidi="ar-JO"/>
          <w14:ligatures w14:val="none"/>
        </w:rPr>
        <w:t xml:space="preserve"> كان إلقاءه</w:t>
      </w:r>
      <w:r w:rsidRPr="00070D4E">
        <w:rPr>
          <w:rFonts w:eastAsia="Calibri"/>
          <w:kern w:val="0"/>
          <w:rtl/>
          <w:lang w:bidi="ar-JO"/>
          <w14:ligatures w14:val="none"/>
        </w:rPr>
        <w:t xml:space="preserve"> خطاباً عظيمًا، كان </w:t>
      </w:r>
      <w:r w:rsidR="00583620" w:rsidRPr="00070D4E">
        <w:rPr>
          <w:rFonts w:eastAsia="Calibri"/>
          <w:kern w:val="0"/>
          <w:rtl/>
          <w:lang w:bidi="ar-JO"/>
          <w14:ligatures w14:val="none"/>
        </w:rPr>
        <w:t>آ</w:t>
      </w:r>
      <w:r w:rsidRPr="00070D4E">
        <w:rPr>
          <w:rFonts w:eastAsia="Calibri"/>
          <w:kern w:val="0"/>
          <w:rtl/>
          <w:lang w:bidi="ar-JO"/>
          <w14:ligatures w14:val="none"/>
        </w:rPr>
        <w:t xml:space="preserve">خر خطابٍ له، للجيل الجديد قبل </w:t>
      </w:r>
      <w:r w:rsidR="00583620" w:rsidRPr="00070D4E">
        <w:rPr>
          <w:rFonts w:eastAsia="Calibri"/>
          <w:kern w:val="0"/>
          <w:rtl/>
          <w:lang w:bidi="ar-JO"/>
          <w14:ligatures w14:val="none"/>
        </w:rPr>
        <w:t>د</w:t>
      </w:r>
      <w:r w:rsidRPr="00070D4E">
        <w:rPr>
          <w:rFonts w:eastAsia="Calibri"/>
          <w:kern w:val="0"/>
          <w:rtl/>
          <w:lang w:bidi="ar-JO"/>
          <w14:ligatures w14:val="none"/>
        </w:rPr>
        <w:t>خولهم إلى الأرض، وذلك ليضمن أنّهم يفهمون مطالب الناموس (سفر التثنية). و</w:t>
      </w:r>
      <w:r w:rsidR="008B4BA1" w:rsidRPr="00070D4E">
        <w:rPr>
          <w:rFonts w:eastAsia="Calibri"/>
          <w:kern w:val="0"/>
          <w:rtl/>
          <w:lang w:bidi="ar-JO"/>
          <w14:ligatures w14:val="none"/>
        </w:rPr>
        <w:t>يُوضَّح ما عليهم أن يعملوه ليكونوا في البر</w:t>
      </w:r>
      <w:r w:rsidR="00583620" w:rsidRPr="00070D4E">
        <w:rPr>
          <w:rFonts w:eastAsia="Calibri"/>
          <w:kern w:val="0"/>
          <w:rtl/>
          <w:lang w:bidi="ar-JO"/>
          <w14:ligatures w14:val="none"/>
        </w:rPr>
        <w:t>َ</w:t>
      </w:r>
      <w:r w:rsidR="008B4BA1" w:rsidRPr="00070D4E">
        <w:rPr>
          <w:rFonts w:eastAsia="Calibri"/>
          <w:kern w:val="0"/>
          <w:rtl/>
          <w:lang w:bidi="ar-JO"/>
          <w14:ligatures w14:val="none"/>
        </w:rPr>
        <w:t xml:space="preserve">كة في الأرض، وما يمكنهم توقّعه إن لم يحفظوا العهد (تثنية 28-30). </w:t>
      </w:r>
    </w:p>
    <w:p w14:paraId="7451AE8F" w14:textId="77777777" w:rsidR="0066135B" w:rsidRPr="00C7130A" w:rsidRDefault="0066135B"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sz w:val="26"/>
          <w:szCs w:val="26"/>
          <w:rtl/>
          <w14:ligatures w14:val="none"/>
        </w:rPr>
      </w:pPr>
    </w:p>
    <w:p w14:paraId="53EA22C2" w14:textId="0C68815A" w:rsidR="003B6A6E" w:rsidRPr="00070D4E" w:rsidRDefault="00FE5E8F" w:rsidP="000558B7">
      <w:pPr>
        <w:pStyle w:val="Heading3"/>
      </w:pPr>
      <w:bookmarkStart w:id="416" w:name="_Toc193031154"/>
      <w:r w:rsidRPr="00070D4E">
        <w:rPr>
          <w:rtl/>
        </w:rPr>
        <w:t>رابعًا، امتلاك شعب إسرائيل للأرض (</w:t>
      </w:r>
      <w:r w:rsidR="008B4BA1" w:rsidRPr="00070D4E">
        <w:rPr>
          <w:rtl/>
        </w:rPr>
        <w:t>يشوع 1: 1 – راعوث 4: 22)</w:t>
      </w:r>
      <w:bookmarkStart w:id="417" w:name="_Hlk178779469"/>
      <w:bookmarkEnd w:id="416"/>
      <w:r w:rsidR="008B4BA1" w:rsidRPr="00070D4E">
        <w:rPr>
          <w:rtl/>
        </w:rPr>
        <w:t xml:space="preserve"> </w:t>
      </w:r>
    </w:p>
    <w:p w14:paraId="6A7ECFAC" w14:textId="6BDD51B9" w:rsidR="008B4BA1" w:rsidRPr="00070D4E" w:rsidRDefault="008B4BA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يدوِّن القسم الأخير (يشوع وقضاة وراعوث) </w:t>
      </w:r>
      <w:r w:rsidR="00583620" w:rsidRPr="00070D4E">
        <w:rPr>
          <w:rFonts w:eastAsia="Calibri"/>
          <w:kern w:val="0"/>
          <w:rtl/>
          <w14:ligatures w14:val="none"/>
        </w:rPr>
        <w:t xml:space="preserve">قصّة </w:t>
      </w:r>
      <w:r w:rsidRPr="00070D4E">
        <w:rPr>
          <w:rFonts w:eastAsia="Calibri"/>
          <w:kern w:val="0"/>
          <w:rtl/>
          <w14:ligatures w14:val="none"/>
        </w:rPr>
        <w:t>الاستيلاء على الأرض بقيادة يشوع، وما مرّت به الأم</w:t>
      </w:r>
      <w:r w:rsidR="00583620" w:rsidRPr="00070D4E">
        <w:rPr>
          <w:rFonts w:eastAsia="Calibri"/>
          <w:kern w:val="0"/>
          <w:rtl/>
          <w14:ligatures w14:val="none"/>
        </w:rPr>
        <w:t>ّ</w:t>
      </w:r>
      <w:r w:rsidRPr="00070D4E">
        <w:rPr>
          <w:rFonts w:eastAsia="Calibri"/>
          <w:kern w:val="0"/>
          <w:rtl/>
          <w14:ligatures w14:val="none"/>
        </w:rPr>
        <w:t>ة بعد موت يشوع والجيل الذي راف</w:t>
      </w:r>
      <w:r w:rsidR="00583620" w:rsidRPr="00070D4E">
        <w:rPr>
          <w:rFonts w:eastAsia="Calibri"/>
          <w:kern w:val="0"/>
          <w:rtl/>
          <w14:ligatures w14:val="none"/>
        </w:rPr>
        <w:t>ق</w:t>
      </w:r>
      <w:r w:rsidRPr="00070D4E">
        <w:rPr>
          <w:rFonts w:eastAsia="Calibri"/>
          <w:kern w:val="0"/>
          <w:rtl/>
          <w14:ligatures w14:val="none"/>
        </w:rPr>
        <w:t xml:space="preserve">ه. حين وثقوا بالله أعطاهم الله الانتصار على الكنعانيّين إلى أن "استراحوا" من أعدائهم، </w:t>
      </w:r>
      <w:r w:rsidR="00583620" w:rsidRPr="00070D4E">
        <w:rPr>
          <w:rFonts w:eastAsia="Calibri"/>
          <w:kern w:val="0"/>
          <w:rtl/>
          <w14:ligatures w14:val="none"/>
        </w:rPr>
        <w:t>ليصير ممكنًا</w:t>
      </w:r>
      <w:r w:rsidRPr="00070D4E">
        <w:rPr>
          <w:rFonts w:eastAsia="Calibri"/>
          <w:kern w:val="0"/>
          <w:rtl/>
          <w14:ligatures w14:val="none"/>
        </w:rPr>
        <w:t xml:space="preserve"> تقسيم الأرض بين الأسباط الاثني عشر. ومع هذا، فإنّ النكوص إلى عبادة الأوثان بعد زمن يشوع قاد إلى دوراتٍ متكرِّرة من التأديب. </w:t>
      </w:r>
    </w:p>
    <w:p w14:paraId="66720D34" w14:textId="428CA031" w:rsidR="008B4BA1" w:rsidRPr="00070D4E" w:rsidRDefault="008B4BA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أ. الاستيلاء على الأرض وتوزيعها بقيادة يشوع (يشوع 1: 1 – 24: 32) </w:t>
      </w:r>
    </w:p>
    <w:p w14:paraId="5AD4A1B2" w14:textId="07E6E7CB" w:rsidR="008B4BA1" w:rsidRPr="00070D4E" w:rsidRDefault="00DD5614"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بقيادة يشوع، دخل الجيل الجديد إلى الأرض، وهزم دويلات مدن الكنعانيين، وقسَّم الأرض بين الأسباط الاثني عشر (1406-1400 ق.م.). ولكنْ بقيت جيوب</w:t>
      </w:r>
      <w:r w:rsidR="00583620" w:rsidRPr="00070D4E">
        <w:rPr>
          <w:rFonts w:eastAsia="Calibri"/>
          <w:kern w:val="0"/>
          <w:rtl/>
          <w14:ligatures w14:val="none"/>
        </w:rPr>
        <w:t>ٌ</w:t>
      </w:r>
      <w:r w:rsidRPr="00070D4E">
        <w:rPr>
          <w:rFonts w:eastAsia="Calibri"/>
          <w:kern w:val="0"/>
          <w:rtl/>
          <w14:ligatures w14:val="none"/>
        </w:rPr>
        <w:t xml:space="preserve"> من الكنعانيين في الأرض (فلم يبدهم العبرانيّون بصورة تامّة). وقد أدّى هذا إلى اختلاط العبرانيّين بالكنعانيّين وتعرُّضهم للوثنيّة. ومع هذا، كانت هناك أمانة نسبيّة نحو الرب</w:t>
      </w:r>
      <w:r w:rsidR="00583620" w:rsidRPr="00070D4E">
        <w:rPr>
          <w:rFonts w:eastAsia="Calibri"/>
          <w:kern w:val="0"/>
          <w:rtl/>
          <w14:ligatures w14:val="none"/>
        </w:rPr>
        <w:t>ّ</w:t>
      </w:r>
      <w:r w:rsidRPr="00070D4E">
        <w:rPr>
          <w:rFonts w:eastAsia="Calibri"/>
          <w:kern w:val="0"/>
          <w:rtl/>
          <w14:ligatures w14:val="none"/>
        </w:rPr>
        <w:t xml:space="preserve"> في زمن يشوع، إذْ أكّد الشعب التزامهم بأن يحفظوا شريعة موسى. </w:t>
      </w:r>
    </w:p>
    <w:p w14:paraId="6359319A" w14:textId="6FD0CC17" w:rsidR="008B4BA1" w:rsidRPr="00070D4E" w:rsidRDefault="008B4BA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383284D1" w14:textId="2F928074" w:rsidR="008B4BA1" w:rsidRPr="00070D4E" w:rsidRDefault="008B4BA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lastRenderedPageBreak/>
        <w:t>ب. النكوص المتكرِّر لشعب إسرائيل إلى الوثنيّة و"مُخلِّصوه" (قضاة 1: 1 – 21: 25)</w:t>
      </w:r>
    </w:p>
    <w:p w14:paraId="42FE08B7" w14:textId="62A65E2E" w:rsidR="008B4BA1" w:rsidRPr="00070D4E" w:rsidRDefault="00DD5614"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بعد موت يشوع، لم يكن هناك قائد واحد للأمّة، مثلما لم يكن لها ملك. وكانت الوحدة الوطنيّة ضعيفة، وقد كان هناك تجاهل لفرض شريعة العهد. وقد </w:t>
      </w:r>
      <w:r w:rsidR="00583620" w:rsidRPr="00070D4E">
        <w:rPr>
          <w:rFonts w:eastAsia="Calibri"/>
          <w:kern w:val="0"/>
          <w:rtl/>
          <w14:ligatures w14:val="none"/>
        </w:rPr>
        <w:t>عاش</w:t>
      </w:r>
      <w:r w:rsidRPr="00070D4E">
        <w:rPr>
          <w:rFonts w:eastAsia="Calibri"/>
          <w:kern w:val="0"/>
          <w:rtl/>
          <w14:ligatures w14:val="none"/>
        </w:rPr>
        <w:t xml:space="preserve"> الشعب بصورة متكرِّرة فشلًا في حفظ الشريعة أدّى في النهاية إلى تحوُّل الشعب إلى الوثنيّة. واستجابةً لهذا، أرسل الله عصاباتٍ وجيوشًا أجنبيّة لتوقِع تأديبًا على العبرانيّين. وحين كانوا يعانون كانوا يصرخون إلى الرب ليخلِّصهم. وقد أقام الله بصورةٍ متكرّ</w:t>
      </w:r>
      <w:r w:rsidR="00583620" w:rsidRPr="00070D4E">
        <w:rPr>
          <w:rFonts w:eastAsia="Calibri"/>
          <w:kern w:val="0"/>
          <w:rtl/>
          <w14:ligatures w14:val="none"/>
        </w:rPr>
        <w:t>ِ</w:t>
      </w:r>
      <w:r w:rsidRPr="00070D4E">
        <w:rPr>
          <w:rFonts w:eastAsia="Calibri"/>
          <w:kern w:val="0"/>
          <w:rtl/>
          <w14:ligatures w14:val="none"/>
        </w:rPr>
        <w:t>رة قادةً كاريزماتيّين (قضاة) ليخلّصوهم. ولكنْ مع مرور الوقت، صارت صفات "القاضي" في انحدار، إلى أن قام شمشون، وكان فاسدًا من الناحية الأخلاقيّة، مُخلِّصًا للشعب. خلق</w:t>
      </w:r>
      <w:r w:rsidR="00583620" w:rsidRPr="00070D4E">
        <w:rPr>
          <w:rFonts w:eastAsia="Calibri"/>
          <w:kern w:val="0"/>
          <w:rtl/>
          <w14:ligatures w14:val="none"/>
        </w:rPr>
        <w:t>َ</w:t>
      </w:r>
      <w:r w:rsidRPr="00070D4E">
        <w:rPr>
          <w:rFonts w:eastAsia="Calibri"/>
          <w:kern w:val="0"/>
          <w:rtl/>
          <w14:ligatures w14:val="none"/>
        </w:rPr>
        <w:t xml:space="preserve"> فشل هذه الفترة الاحتياج </w:t>
      </w:r>
      <w:r w:rsidR="00583620" w:rsidRPr="00070D4E">
        <w:rPr>
          <w:rFonts w:eastAsia="Calibri"/>
          <w:kern w:val="0"/>
          <w:rtl/>
          <w14:ligatures w14:val="none"/>
        </w:rPr>
        <w:t>إ</w:t>
      </w:r>
      <w:r w:rsidRPr="00070D4E">
        <w:rPr>
          <w:rFonts w:eastAsia="Calibri"/>
          <w:kern w:val="0"/>
          <w:rtl/>
          <w14:ligatures w14:val="none"/>
        </w:rPr>
        <w:t xml:space="preserve">لى ملكٍ يمكنه أن يحكم على الشعب. </w:t>
      </w:r>
    </w:p>
    <w:p w14:paraId="75483469" w14:textId="6E0FA5F7" w:rsidR="008B4BA1" w:rsidRPr="00070D4E" w:rsidRDefault="008B4BA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p>
    <w:p w14:paraId="695EDE74" w14:textId="5100E69A" w:rsidR="008B4BA1" w:rsidRPr="00070D4E" w:rsidRDefault="008B4BA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 xml:space="preserve">ج. وفاء محبّة الله العاملة في راعوث وبوعز (راعوث 1: 1 – 4: 22). </w:t>
      </w:r>
    </w:p>
    <w:p w14:paraId="0EB785C5" w14:textId="2377FE41" w:rsidR="008B4BA1" w:rsidRPr="00070D4E" w:rsidRDefault="00DD5614" w:rsidP="00C7130A">
      <w:pPr>
        <w:tabs>
          <w:tab w:val="left" w:pos="0"/>
          <w:tab w:val="left" w:pos="540"/>
          <w:tab w:val="left" w:pos="1080"/>
          <w:tab w:val="left" w:pos="1620"/>
          <w:tab w:val="left" w:pos="2160"/>
          <w:tab w:val="left" w:pos="2700"/>
          <w:tab w:val="left" w:pos="3240"/>
          <w:tab w:val="left" w:pos="3780"/>
          <w:tab w:val="left" w:pos="4320"/>
          <w:tab w:val="left" w:pos="4860"/>
        </w:tabs>
        <w:spacing w:after="200"/>
        <w:rPr>
          <w:rFonts w:eastAsia="Calibri"/>
          <w:kern w:val="0"/>
          <w:rtl/>
          <w14:ligatures w14:val="none"/>
        </w:rPr>
      </w:pPr>
      <w:r w:rsidRPr="00070D4E">
        <w:rPr>
          <w:rFonts w:eastAsia="Calibri"/>
          <w:kern w:val="0"/>
          <w:rtl/>
          <w14:ligatures w14:val="none"/>
        </w:rPr>
        <w:t>يساعد سفر راعوث، الذي حصلت أحداثه في زمن ضلال الأمّة في فترة القضاة، في إظهار أمانة الله الذي كان يعمل في حياة شعبه الأمين من أجل تحقيق مقاصده. وبالرغم من غرابة استخدام الله لامرأةٍ موآبية (راعوث)، فقد قادها إيمانها إلى أن تصير جدّةً للملك داود وللمسي</w:t>
      </w:r>
      <w:r w:rsidR="00583620" w:rsidRPr="00070D4E">
        <w:rPr>
          <w:rFonts w:eastAsia="Calibri"/>
          <w:kern w:val="0"/>
          <w:rtl/>
          <w14:ligatures w14:val="none"/>
        </w:rPr>
        <w:t>ّ</w:t>
      </w:r>
      <w:r w:rsidRPr="00070D4E">
        <w:rPr>
          <w:rFonts w:eastAsia="Calibri"/>
          <w:kern w:val="0"/>
          <w:rtl/>
          <w14:ligatures w14:val="none"/>
        </w:rPr>
        <w:t xml:space="preserve">ا في النهاية. </w:t>
      </w:r>
    </w:p>
    <w:p w14:paraId="49C2D149" w14:textId="706412DB" w:rsidR="00673F40" w:rsidRPr="00C7130A" w:rsidRDefault="008B4BA1" w:rsidP="00C7130A">
      <w:pPr>
        <w:tabs>
          <w:tab w:val="left" w:pos="0"/>
          <w:tab w:val="left" w:pos="540"/>
          <w:tab w:val="left" w:pos="1080"/>
          <w:tab w:val="left" w:pos="1620"/>
          <w:tab w:val="left" w:pos="2160"/>
          <w:tab w:val="left" w:pos="2700"/>
          <w:tab w:val="left" w:pos="3240"/>
          <w:tab w:val="left" w:pos="3780"/>
          <w:tab w:val="left" w:pos="4320"/>
          <w:tab w:val="left" w:pos="4860"/>
        </w:tabs>
        <w:spacing w:after="200"/>
      </w:pPr>
      <w:r w:rsidRPr="00C7130A">
        <w:rPr>
          <w:rFonts w:eastAsia="Calibri"/>
          <w:kern w:val="0"/>
          <w:sz w:val="26"/>
          <w:szCs w:val="26"/>
          <w:rtl/>
          <w14:ligatures w14:val="none"/>
        </w:rPr>
        <w:t xml:space="preserve"> </w:t>
      </w:r>
      <w:bookmarkStart w:id="418" w:name="_Hlk158386475"/>
    </w:p>
    <w:p w14:paraId="2653897D" w14:textId="417DAF3B" w:rsidR="006311FA" w:rsidRPr="00C7130A" w:rsidRDefault="00FE5E8F" w:rsidP="000558B7">
      <w:pPr>
        <w:pStyle w:val="Heading2B"/>
      </w:pPr>
      <w:bookmarkStart w:id="419" w:name="_Toc193031155"/>
      <w:r w:rsidRPr="00C7130A">
        <w:rPr>
          <w:rtl/>
        </w:rPr>
        <w:t>الموضوع 4: النبوّات المسيانيّة والرموز</w:t>
      </w:r>
      <w:bookmarkEnd w:id="419"/>
    </w:p>
    <w:p w14:paraId="7D0A1FD9" w14:textId="2485DFD5" w:rsidR="004F5F50" w:rsidRPr="00C7130A" w:rsidRDefault="004F5F50" w:rsidP="00070D4E">
      <w:pPr>
        <w:rPr>
          <w:rtl/>
        </w:rPr>
      </w:pPr>
      <w:r w:rsidRPr="00C7130A">
        <w:rPr>
          <w:rtl/>
        </w:rPr>
        <w:t xml:space="preserve">يمهِّد العهد القديم الطريق لمجيء المسيا، الرب يسوع المسيح، في المستقبل مثلما يُنبئ به. ويحدث هذا بطرقٍ عديدة. فتنبئ بعض المقاطع الكتابية بمجيئه (مثل تكوين 3: 15)، بينما تُشير مقاطع أخرى إلى مجيئه باستخدام "الرموز والنماذج". تُشير </w:t>
      </w:r>
      <w:r w:rsidR="00583620" w:rsidRPr="00C7130A">
        <w:rPr>
          <w:rtl/>
        </w:rPr>
        <w:t>الرموز و</w:t>
      </w:r>
      <w:r w:rsidRPr="00C7130A">
        <w:rPr>
          <w:rtl/>
        </w:rPr>
        <w:t>النماذج إلى استخدام أشخاصٍ أو أحداثٍ أو مؤسِّسات تمثّل ظلالًا لمجيء المسيا وخدمته. ومع هذا، تمهّد مقاطع أخرى لأشياء ينوي الله أن يعملها في النهاية ترتبط بالمسيا يسوع. فمثلًا، يبدأ الكتاب المُقدَّس بقوله: "في البدء خلق الله السماوات والأرض</w:t>
      </w:r>
      <w:r w:rsidR="00583620" w:rsidRPr="00C7130A">
        <w:rPr>
          <w:rtl/>
        </w:rPr>
        <w:t>.</w:t>
      </w:r>
      <w:r w:rsidRPr="00C7130A">
        <w:rPr>
          <w:rtl/>
        </w:rPr>
        <w:t xml:space="preserve">" ونعلم لاحقًا في العهد الجديد أنّ يسوع خلق كلّ الأشياء (يوحنا 1: 1-3؛ كولوسي 1: 16). </w:t>
      </w:r>
      <w:r w:rsidR="00010B4E" w:rsidRPr="00C7130A">
        <w:rPr>
          <w:rtl/>
        </w:rPr>
        <w:t xml:space="preserve">أوّل أمرٍ خُلِق هو "النور"، ليكون مختلفًا عن الظلمة (تكوين 1: 3)، وهذا يُنبئ بنور الإنجيل الذي ينير أذهاننا وقلوبنا: "لأنّ الله الذي قال أن يُشرِق نورٌ من ظلمة، هو الذي أشرق في قلوبنا، لإنارة معرفة مجد الله في وجه يسوع المسيح" (2كورنثوس 4: 6). وحتّى جنّة عدن (تكوين 2 و3) صُنِعت لتُشير إلى الفردوس الأسمى و"شجرة الحياة" التي سينالها المؤمنون مع المسيح في السماء الجديدة والأرض الجديدة (رؤيا 22: 1-5). </w:t>
      </w:r>
      <w:r w:rsidR="00753D70" w:rsidRPr="00C7130A">
        <w:rPr>
          <w:rtl/>
        </w:rPr>
        <w:t>ومع أنّ النقاش التالي لا يهدف إلى أن يكون شاملًا، فإنّه يُؤكِّد على عدّة نبوّات مسيانيّة مهم</w:t>
      </w:r>
      <w:r w:rsidR="003B6580" w:rsidRPr="00C7130A">
        <w:rPr>
          <w:rtl/>
        </w:rPr>
        <w:t>ّ</w:t>
      </w:r>
      <w:r w:rsidR="00753D70" w:rsidRPr="00C7130A">
        <w:rPr>
          <w:rtl/>
        </w:rPr>
        <w:t xml:space="preserve">ة أخرى موجودة في أصحاحات التكوين – الرؤيا. </w:t>
      </w:r>
    </w:p>
    <w:p w14:paraId="008191BF" w14:textId="77777777" w:rsidR="004F5F50" w:rsidRPr="00C7130A" w:rsidRDefault="004F5F50" w:rsidP="00C7130A">
      <w:pPr>
        <w:rPr>
          <w:sz w:val="26"/>
          <w:szCs w:val="26"/>
          <w:rtl/>
        </w:rPr>
      </w:pPr>
    </w:p>
    <w:p w14:paraId="09338827" w14:textId="2044051B" w:rsidR="00341FEE" w:rsidRPr="00070D4E" w:rsidRDefault="00CD4DE1" w:rsidP="00C7130A">
      <w:pPr>
        <w:pStyle w:val="Heading4RED"/>
        <w:ind w:left="0" w:firstLine="0"/>
        <w:rPr>
          <w:rFonts w:cs="Arabic Typesetting"/>
          <w:b w:val="0"/>
          <w:bCs w:val="0"/>
          <w:color w:val="auto"/>
          <w:sz w:val="36"/>
          <w:szCs w:val="36"/>
          <w:rtl/>
          <w:lang w:bidi="ar-JO"/>
        </w:rPr>
      </w:pPr>
      <w:bookmarkStart w:id="420" w:name="_Toc193031156"/>
      <w:r w:rsidRPr="00BD3343">
        <w:rPr>
          <w:rStyle w:val="Heading3Char"/>
          <w:b/>
          <w:bCs/>
          <w:color w:val="auto"/>
          <w:rtl/>
        </w:rPr>
        <w:lastRenderedPageBreak/>
        <w:t>أوّلًا، المسيح بوصفه آدم الجديد</w:t>
      </w:r>
      <w:bookmarkEnd w:id="420"/>
      <w:r w:rsidR="005F31C7" w:rsidRPr="00070D4E">
        <w:rPr>
          <w:rFonts w:cs="Arabic Typesetting"/>
          <w:color w:val="auto"/>
          <w:sz w:val="36"/>
          <w:szCs w:val="36"/>
        </w:rPr>
        <w:br/>
      </w:r>
      <w:r w:rsidRPr="00070D4E">
        <w:rPr>
          <w:rFonts w:cs="Arabic Typesetting"/>
          <w:b w:val="0"/>
          <w:bCs w:val="0"/>
          <w:color w:val="auto"/>
          <w:sz w:val="36"/>
          <w:szCs w:val="36"/>
          <w:rtl/>
        </w:rPr>
        <w:t>يقدّم تكوين 1 آدم بوصفه الإنسان الأو</w:t>
      </w:r>
      <w:r w:rsidR="003B6580" w:rsidRPr="00070D4E">
        <w:rPr>
          <w:rFonts w:cs="Arabic Typesetting"/>
          <w:b w:val="0"/>
          <w:bCs w:val="0"/>
          <w:color w:val="auto"/>
          <w:sz w:val="36"/>
          <w:szCs w:val="36"/>
          <w:rtl/>
        </w:rPr>
        <w:t>ّ</w:t>
      </w:r>
      <w:r w:rsidRPr="00070D4E">
        <w:rPr>
          <w:rFonts w:cs="Arabic Typesetting"/>
          <w:b w:val="0"/>
          <w:bCs w:val="0"/>
          <w:color w:val="auto"/>
          <w:sz w:val="36"/>
          <w:szCs w:val="36"/>
          <w:rtl/>
        </w:rPr>
        <w:t>ل. ولكنْ بسبب خطيّته عُوقِب بالموت. وعلاوةً على هذا، انتقلت هذه العقوبة إلى كل</w:t>
      </w:r>
      <w:r w:rsidR="003B6580" w:rsidRPr="00070D4E">
        <w:rPr>
          <w:rFonts w:cs="Arabic Typesetting"/>
          <w:b w:val="0"/>
          <w:bCs w:val="0"/>
          <w:color w:val="auto"/>
          <w:sz w:val="36"/>
          <w:szCs w:val="36"/>
          <w:rtl/>
        </w:rPr>
        <w:t>ّ</w:t>
      </w:r>
      <w:r w:rsidRPr="00070D4E">
        <w:rPr>
          <w:rFonts w:cs="Arabic Typesetting"/>
          <w:b w:val="0"/>
          <w:bCs w:val="0"/>
          <w:color w:val="auto"/>
          <w:sz w:val="36"/>
          <w:szCs w:val="36"/>
          <w:rtl/>
        </w:rPr>
        <w:t xml:space="preserve"> نسله، بمَن في ذلك نحنُ اليوم. ومع هذا، فإن</w:t>
      </w:r>
      <w:r w:rsidR="003B6580" w:rsidRPr="00070D4E">
        <w:rPr>
          <w:rFonts w:cs="Arabic Typesetting"/>
          <w:b w:val="0"/>
          <w:bCs w:val="0"/>
          <w:color w:val="auto"/>
          <w:sz w:val="36"/>
          <w:szCs w:val="36"/>
          <w:rtl/>
        </w:rPr>
        <w:t>ّ</w:t>
      </w:r>
      <w:r w:rsidRPr="00070D4E">
        <w:rPr>
          <w:rFonts w:cs="Arabic Typesetting"/>
          <w:b w:val="0"/>
          <w:bCs w:val="0"/>
          <w:color w:val="auto"/>
          <w:sz w:val="36"/>
          <w:szCs w:val="36"/>
          <w:rtl/>
        </w:rPr>
        <w:t xml:space="preserve"> العقاب يتجاوز حقيقة أنّ كلَّ واحدٍ منّا سيموت جسديًّا في النهاية. فقد مات آدم روحيًّا أيضاً، أي أنّه صار خاطئًا، ونتيجة لهذا يُولَد كلُّ واحدٍ منّا "خاطئًا،" أي فينا طبيعة الخطية ونحمل ذنب الخطية. ليس معنى هذا أنّنا نعيش بأسوأ درجة ممكنة لنا، ولكنَّنا </w:t>
      </w:r>
      <w:r w:rsidRPr="00070D4E">
        <w:rPr>
          <w:rFonts w:cs="Arabic Typesetting"/>
          <w:b w:val="0"/>
          <w:bCs w:val="0"/>
          <w:color w:val="auto"/>
          <w:sz w:val="36"/>
          <w:szCs w:val="36"/>
          <w:rtl/>
          <w:lang w:bidi="ar-JO"/>
        </w:rPr>
        <w:t xml:space="preserve">في أسوأ وضعٍ يمكن أن نكون فيه. فإن تُرِكنا لأنفسنا، فإنّه ينبغي لله، الذي ليس فيه أيُّ ظلمٍ أو تحيّز أو محاباة، أن يعلِن أنّنا مُذنبون لا نستحقّ السماء (وملكوت الله). </w:t>
      </w:r>
    </w:p>
    <w:p w14:paraId="692BCE7E" w14:textId="09315791" w:rsidR="00CD4DE1" w:rsidRPr="00070D4E" w:rsidRDefault="0015557D" w:rsidP="00C7130A">
      <w:pPr>
        <w:pStyle w:val="Heading4RED"/>
        <w:ind w:left="0" w:firstLine="0"/>
        <w:rPr>
          <w:rFonts w:cs="Arabic Typesetting"/>
          <w:b w:val="0"/>
          <w:bCs w:val="0"/>
          <w:color w:val="auto"/>
          <w:sz w:val="36"/>
          <w:szCs w:val="36"/>
          <w:rtl/>
          <w:lang w:bidi="ar-JO"/>
        </w:rPr>
      </w:pPr>
      <w:r w:rsidRPr="00070D4E">
        <w:rPr>
          <w:rFonts w:cs="Arabic Typesetting"/>
          <w:b w:val="0"/>
          <w:bCs w:val="0"/>
          <w:color w:val="auto"/>
          <w:sz w:val="36"/>
          <w:szCs w:val="36"/>
          <w:rtl/>
          <w:lang w:bidi="ar-JO"/>
        </w:rPr>
        <w:t>للخير أن الله إلهٌ فادٍ</w:t>
      </w:r>
      <w:r w:rsidR="00F9382A" w:rsidRPr="00070D4E">
        <w:rPr>
          <w:rFonts w:cs="Arabic Typesetting"/>
          <w:b w:val="0"/>
          <w:bCs w:val="0"/>
          <w:color w:val="auto"/>
          <w:sz w:val="36"/>
          <w:szCs w:val="36"/>
          <w:rtl/>
          <w:lang w:bidi="ar-JO"/>
        </w:rPr>
        <w:t>. وقد وفَّر طريقة لخلاص الجنس</w:t>
      </w:r>
      <w:r w:rsidR="003B6580" w:rsidRPr="00070D4E">
        <w:rPr>
          <w:rFonts w:cs="Arabic Typesetting"/>
          <w:b w:val="0"/>
          <w:bCs w:val="0"/>
          <w:color w:val="auto"/>
          <w:sz w:val="36"/>
          <w:szCs w:val="36"/>
          <w:rtl/>
          <w:lang w:bidi="ar-JO"/>
        </w:rPr>
        <w:t xml:space="preserve"> البشري</w:t>
      </w:r>
      <w:r w:rsidR="00F9382A" w:rsidRPr="00070D4E">
        <w:rPr>
          <w:rFonts w:cs="Arabic Typesetting"/>
          <w:b w:val="0"/>
          <w:bCs w:val="0"/>
          <w:color w:val="auto"/>
          <w:sz w:val="36"/>
          <w:szCs w:val="36"/>
          <w:rtl/>
          <w:lang w:bidi="ar-JO"/>
        </w:rPr>
        <w:t>، لأسباب</w:t>
      </w:r>
      <w:r w:rsidR="003B6580" w:rsidRPr="00070D4E">
        <w:rPr>
          <w:rFonts w:cs="Arabic Typesetting"/>
          <w:b w:val="0"/>
          <w:bCs w:val="0"/>
          <w:color w:val="auto"/>
          <w:sz w:val="36"/>
          <w:szCs w:val="36"/>
          <w:rtl/>
          <w:lang w:bidi="ar-JO"/>
        </w:rPr>
        <w:t>ٍ</w:t>
      </w:r>
      <w:r w:rsidR="00F9382A" w:rsidRPr="00070D4E">
        <w:rPr>
          <w:rFonts w:cs="Arabic Typesetting"/>
          <w:b w:val="0"/>
          <w:bCs w:val="0"/>
          <w:color w:val="auto"/>
          <w:sz w:val="36"/>
          <w:szCs w:val="36"/>
          <w:rtl/>
          <w:lang w:bidi="ar-JO"/>
        </w:rPr>
        <w:t xml:space="preserve"> تزيدُ مجده. طبعًا، كانت هذه الطريقة ذبيحة</w:t>
      </w:r>
      <w:r w:rsidR="003B6580" w:rsidRPr="00070D4E">
        <w:rPr>
          <w:rFonts w:cs="Arabic Typesetting"/>
          <w:b w:val="0"/>
          <w:bCs w:val="0"/>
          <w:color w:val="auto"/>
          <w:sz w:val="36"/>
          <w:szCs w:val="36"/>
          <w:rtl/>
          <w:lang w:bidi="ar-JO"/>
        </w:rPr>
        <w:t>َ</w:t>
      </w:r>
      <w:r w:rsidR="00F9382A" w:rsidRPr="00070D4E">
        <w:rPr>
          <w:rFonts w:cs="Arabic Typesetting"/>
          <w:b w:val="0"/>
          <w:bCs w:val="0"/>
          <w:color w:val="auto"/>
          <w:sz w:val="36"/>
          <w:szCs w:val="36"/>
          <w:rtl/>
          <w:lang w:bidi="ar-JO"/>
        </w:rPr>
        <w:t xml:space="preserve"> يسوع، ابن الله، الطوعيّة. فعلى الصليب، أخذ يسوع مكانَنا وحمل العقاب الذي يستحقّه كل</w:t>
      </w:r>
      <w:r w:rsidR="003B6580" w:rsidRPr="00070D4E">
        <w:rPr>
          <w:rFonts w:cs="Arabic Typesetting"/>
          <w:b w:val="0"/>
          <w:bCs w:val="0"/>
          <w:color w:val="auto"/>
          <w:sz w:val="36"/>
          <w:szCs w:val="36"/>
          <w:rtl/>
          <w:lang w:bidi="ar-JO"/>
        </w:rPr>
        <w:t>ُّ</w:t>
      </w:r>
      <w:r w:rsidR="00F9382A" w:rsidRPr="00070D4E">
        <w:rPr>
          <w:rFonts w:cs="Arabic Typesetting"/>
          <w:b w:val="0"/>
          <w:bCs w:val="0"/>
          <w:color w:val="auto"/>
          <w:sz w:val="36"/>
          <w:szCs w:val="36"/>
          <w:rtl/>
          <w:lang w:bidi="ar-JO"/>
        </w:rPr>
        <w:t xml:space="preserve"> واحدٍ مِنّا. لا يمكننا أن نعمل شيئًا لاكتساب هذا الخلاص، ولذا فهو مُقدَّم هبةً مجانيّةً. إنّه بالنعمة فقط (غير مُستحَقّ). الأمر الوحيد الذي يمكننا أن نعمله هو أن </w:t>
      </w:r>
      <w:r w:rsidR="00F9382A" w:rsidRPr="00070D4E">
        <w:rPr>
          <w:rFonts w:cs="Arabic Typesetting"/>
          <w:b w:val="0"/>
          <w:bCs w:val="0"/>
          <w:color w:val="auto"/>
          <w:sz w:val="36"/>
          <w:szCs w:val="36"/>
          <w:u w:val="single"/>
          <w:rtl/>
          <w:lang w:bidi="ar-JO"/>
        </w:rPr>
        <w:t>نستجيب بالإيمان</w:t>
      </w:r>
      <w:r w:rsidR="00F9382A" w:rsidRPr="00070D4E">
        <w:rPr>
          <w:rFonts w:cs="Arabic Typesetting"/>
          <w:b w:val="0"/>
          <w:bCs w:val="0"/>
          <w:color w:val="auto"/>
          <w:sz w:val="36"/>
          <w:szCs w:val="36"/>
          <w:rtl/>
          <w:lang w:bidi="ar-JO"/>
        </w:rPr>
        <w:t xml:space="preserve"> بق</w:t>
      </w:r>
      <w:r w:rsidR="00876550" w:rsidRPr="00070D4E">
        <w:rPr>
          <w:rFonts w:cs="Arabic Typesetting"/>
          <w:b w:val="0"/>
          <w:bCs w:val="0"/>
          <w:color w:val="auto"/>
          <w:sz w:val="36"/>
          <w:szCs w:val="36"/>
          <w:rtl/>
          <w:lang w:bidi="ar-JO"/>
        </w:rPr>
        <w:t>ب</w:t>
      </w:r>
      <w:r w:rsidR="00F9382A" w:rsidRPr="00070D4E">
        <w:rPr>
          <w:rFonts w:cs="Arabic Typesetting"/>
          <w:b w:val="0"/>
          <w:bCs w:val="0"/>
          <w:color w:val="auto"/>
          <w:sz w:val="36"/>
          <w:szCs w:val="36"/>
          <w:rtl/>
          <w:lang w:bidi="ar-JO"/>
        </w:rPr>
        <w:t xml:space="preserve">ول يسوع المسيح مُخلِّصًا لنا. </w:t>
      </w:r>
    </w:p>
    <w:p w14:paraId="46E813DA" w14:textId="325E0A35" w:rsidR="00F9382A" w:rsidRPr="00070D4E" w:rsidRDefault="00F9382A" w:rsidP="00C7130A">
      <w:pPr>
        <w:pStyle w:val="Heading4RED"/>
        <w:ind w:left="0" w:firstLine="0"/>
        <w:rPr>
          <w:rFonts w:cs="Arabic Typesetting"/>
          <w:b w:val="0"/>
          <w:bCs w:val="0"/>
          <w:color w:val="auto"/>
          <w:sz w:val="36"/>
          <w:szCs w:val="36"/>
          <w:rtl/>
          <w:lang w:bidi="ar-JO"/>
        </w:rPr>
      </w:pPr>
      <w:r w:rsidRPr="00070D4E">
        <w:rPr>
          <w:rFonts w:cs="Arabic Typesetting"/>
          <w:b w:val="0"/>
          <w:bCs w:val="0"/>
          <w:color w:val="auto"/>
          <w:sz w:val="36"/>
          <w:szCs w:val="36"/>
          <w:rtl/>
          <w:lang w:bidi="ar-JO"/>
        </w:rPr>
        <w:t xml:space="preserve">يؤكِّد العهد الجديد على المقابلة بين عصيان الإنسان الأول، آدم، وطاعة "آدم الأخير"، يسوع المسيح. تظهر هذه المقابلة في رومية 5: 12-19، التي تعتبر آدم "مثالَ الآتي"، أو "رمزًا للآتي." وفي ما يلي نقدِّم بعض آيات هذا المقطع، التي تؤكِّد على هذه الحقيقة: </w:t>
      </w:r>
    </w:p>
    <w:p w14:paraId="5CBA6620" w14:textId="4A4FCC67" w:rsidR="00F9382A" w:rsidRPr="00070D4E" w:rsidRDefault="00F9382A" w:rsidP="00C7130A">
      <w:pPr>
        <w:pStyle w:val="Heading4RED"/>
        <w:ind w:left="1008" w:right="1008" w:firstLine="0"/>
        <w:rPr>
          <w:rFonts w:cs="Arabic Typesetting"/>
          <w:b w:val="0"/>
          <w:bCs w:val="0"/>
          <w:color w:val="auto"/>
          <w:sz w:val="36"/>
          <w:szCs w:val="36"/>
          <w:rtl/>
          <w:lang w:bidi="ar-JO"/>
        </w:rPr>
      </w:pPr>
      <w:r w:rsidRPr="00070D4E">
        <w:rPr>
          <w:rFonts w:cs="Arabic Typesetting"/>
          <w:b w:val="0"/>
          <w:bCs w:val="0"/>
          <w:color w:val="auto"/>
          <w:sz w:val="36"/>
          <w:szCs w:val="36"/>
          <w:vertAlign w:val="superscript"/>
          <w:rtl/>
        </w:rPr>
        <w:t>12</w:t>
      </w:r>
      <w:r w:rsidRPr="00070D4E">
        <w:rPr>
          <w:rFonts w:cs="Arabic Typesetting"/>
          <w:b w:val="0"/>
          <w:bCs w:val="0"/>
          <w:color w:val="auto"/>
          <w:sz w:val="36"/>
          <w:szCs w:val="36"/>
          <w:rtl/>
        </w:rPr>
        <w:t xml:space="preserve">مِنْ أَجْلِ ذلِكَ كَأَنَّمَا بِإِنْسَانٍ وَاحِدٍ دَخَلَتِ الْخَطِيَّةُ إِلَى الْعَالَمِ، وَبِالْخَطِيَّةِ الْمَوْتُ، وَهكَذَا اجْتَازَ الْمَوْتُ إِلَى جَمِيعِ النَّاسِ، إِذْ أَخْطَأَ الْجَمِيعُ. ... </w:t>
      </w:r>
      <w:r w:rsidRPr="00070D4E">
        <w:rPr>
          <w:rFonts w:cs="Arabic Typesetting"/>
          <w:b w:val="0"/>
          <w:bCs w:val="0"/>
          <w:color w:val="auto"/>
          <w:sz w:val="36"/>
          <w:szCs w:val="36"/>
          <w:vertAlign w:val="superscript"/>
          <w:rtl/>
        </w:rPr>
        <w:t>15</w:t>
      </w:r>
      <w:r w:rsidRPr="00070D4E">
        <w:rPr>
          <w:rFonts w:cs="Arabic Typesetting"/>
          <w:b w:val="0"/>
          <w:bCs w:val="0"/>
          <w:color w:val="auto"/>
          <w:sz w:val="36"/>
          <w:szCs w:val="36"/>
          <w:rtl/>
        </w:rPr>
        <w:t xml:space="preserve">وَلكِنْ لَيْسَ كَالْخَطِيَّةِ هكَذَا أَيْضًا الْهِبَةُ. لأَنَّهُ إِنْ كَانَ بِخَطِيَّةِ وَاحِدٍ مَاتَ الْكَثِيرُونَ، فَبِالأَوْلَى كَثِيرًا نِعْمَةُ اللهِ، وَالْعَطِيَّةُ بِالنِّعْمَةِ الَّتِي بِالإِنْسَانِ الْوَاحِدِ يَسُوعَ الْمَسِيحِ، قَدِ ازْدَادَتْ لِلْكَثِيرِينَ! </w:t>
      </w:r>
      <w:r w:rsidRPr="00070D4E">
        <w:rPr>
          <w:rFonts w:cs="Arabic Typesetting"/>
          <w:b w:val="0"/>
          <w:bCs w:val="0"/>
          <w:color w:val="auto"/>
          <w:sz w:val="36"/>
          <w:szCs w:val="36"/>
          <w:vertAlign w:val="superscript"/>
          <w:rtl/>
        </w:rPr>
        <w:t>16</w:t>
      </w:r>
      <w:r w:rsidRPr="00070D4E">
        <w:rPr>
          <w:rFonts w:cs="Arabic Typesetting"/>
          <w:b w:val="0"/>
          <w:bCs w:val="0"/>
          <w:color w:val="auto"/>
          <w:sz w:val="36"/>
          <w:szCs w:val="36"/>
          <w:rtl/>
        </w:rPr>
        <w:t xml:space="preserve">وَلَيْسَ كَمَا بِوَاحِدٍ قَدْ أَخْطَأَ هكَذَا الْعَطِيَّةُ. لأَنَّ الْحُكْمَ مِنْ وَاحِدٍ لِلدَّيْنُونَةِ، وَأَمَّا الْهِبَةُ فَمِنْ جَرَّى خَطَايَا كَثِيرَةٍ لِلتَّبْرِيرِ. ... </w:t>
      </w:r>
      <w:r w:rsidRPr="00070D4E">
        <w:rPr>
          <w:rFonts w:cs="Arabic Typesetting"/>
          <w:b w:val="0"/>
          <w:bCs w:val="0"/>
          <w:color w:val="auto"/>
          <w:sz w:val="36"/>
          <w:szCs w:val="36"/>
          <w:vertAlign w:val="superscript"/>
          <w:rtl/>
        </w:rPr>
        <w:t>18</w:t>
      </w:r>
      <w:r w:rsidRPr="00070D4E">
        <w:rPr>
          <w:rFonts w:cs="Arabic Typesetting"/>
          <w:b w:val="0"/>
          <w:bCs w:val="0"/>
          <w:color w:val="auto"/>
          <w:sz w:val="36"/>
          <w:szCs w:val="36"/>
          <w:rtl/>
        </w:rPr>
        <w:t xml:space="preserve">فَإِذًا كَمَا بِخَطِيَّةٍ وَاحِدَةٍ صَارَ الْحُكْمُ إِلَى جَمِيعِ النَّاسِ لِلدَّيْنُونَةِ، هكَذَا بِبِرّ وَاحِدٍ صَارَتِ الْهِبَةُ إِلَى جَمِيعِ النَّاسِ، لِتَبْرِيرِ الْحَيَاةِ. </w:t>
      </w:r>
      <w:r w:rsidRPr="00070D4E">
        <w:rPr>
          <w:rFonts w:cs="Arabic Typesetting"/>
          <w:b w:val="0"/>
          <w:bCs w:val="0"/>
          <w:color w:val="auto"/>
          <w:sz w:val="36"/>
          <w:szCs w:val="36"/>
          <w:vertAlign w:val="superscript"/>
          <w:rtl/>
        </w:rPr>
        <w:t>19</w:t>
      </w:r>
      <w:r w:rsidRPr="00070D4E">
        <w:rPr>
          <w:rFonts w:cs="Arabic Typesetting"/>
          <w:b w:val="0"/>
          <w:bCs w:val="0"/>
          <w:color w:val="auto"/>
          <w:sz w:val="36"/>
          <w:szCs w:val="36"/>
          <w:rtl/>
        </w:rPr>
        <w:t>لأَنَّهُ كَمَا بِمَعْصِيَةِ الإِنْسَانِ الْوَاحِدِ جُعِلَ الْكَثِيرُونَ خُطَاةً، هكَذَا أَيْضًا بِإِطَاعَةِ الْوَاحِدِ سَيُجْعَلُ الْكَثِيرُونَ أَبْرَارًا.</w:t>
      </w:r>
    </w:p>
    <w:p w14:paraId="427E8573" w14:textId="77777777" w:rsidR="00F9382A" w:rsidRPr="00C7130A" w:rsidRDefault="00F9382A" w:rsidP="00C7130A">
      <w:pPr>
        <w:pStyle w:val="Heading4RED"/>
        <w:ind w:left="0" w:firstLine="0"/>
        <w:rPr>
          <w:rFonts w:cs="Arabic Typesetting"/>
          <w:b w:val="0"/>
          <w:bCs w:val="0"/>
          <w:szCs w:val="26"/>
          <w:rtl/>
          <w:lang w:bidi="ar-JO"/>
        </w:rPr>
      </w:pPr>
    </w:p>
    <w:p w14:paraId="3DDE6E1A" w14:textId="1DADBC7A" w:rsidR="00CD4DE1" w:rsidRPr="00070D4E" w:rsidRDefault="00F9382A" w:rsidP="00C7130A">
      <w:pPr>
        <w:tabs>
          <w:tab w:val="left" w:pos="540"/>
          <w:tab w:val="left" w:pos="1080"/>
          <w:tab w:val="left" w:pos="1620"/>
          <w:tab w:val="left" w:pos="2160"/>
          <w:tab w:val="left" w:pos="2700"/>
        </w:tabs>
        <w:rPr>
          <w:rtl/>
        </w:rPr>
      </w:pPr>
      <w:r w:rsidRPr="00070D4E">
        <w:rPr>
          <w:rtl/>
        </w:rPr>
        <w:t>تظهر هذه النمذجة في 1كورنثوس 15: 45 أيضًا: "هكذا مكتوب أيضًا: ’صار آدم، الإنسانُ الأوّل، نفسًا حيًّةً، وآدم الأخير روحًا محييًا</w:t>
      </w:r>
      <w:r w:rsidR="008D1BEF" w:rsidRPr="00070D4E">
        <w:rPr>
          <w:rtl/>
        </w:rPr>
        <w:t xml:space="preserve">.‘" </w:t>
      </w:r>
    </w:p>
    <w:p w14:paraId="49394500" w14:textId="77777777" w:rsidR="00CD4DE1" w:rsidRPr="00C7130A" w:rsidRDefault="00CD4DE1" w:rsidP="00C7130A">
      <w:pPr>
        <w:tabs>
          <w:tab w:val="left" w:pos="540"/>
          <w:tab w:val="left" w:pos="1080"/>
          <w:tab w:val="left" w:pos="1620"/>
          <w:tab w:val="left" w:pos="2160"/>
          <w:tab w:val="left" w:pos="2700"/>
        </w:tabs>
        <w:rPr>
          <w:rtl/>
        </w:rPr>
      </w:pPr>
    </w:p>
    <w:p w14:paraId="5093B20A" w14:textId="44F90BA0" w:rsidR="004D398B" w:rsidRPr="00070D4E" w:rsidRDefault="008D1BEF" w:rsidP="00C7130A">
      <w:pPr>
        <w:pStyle w:val="Heading4RED"/>
        <w:ind w:left="0" w:firstLine="0"/>
        <w:rPr>
          <w:rFonts w:cs="Arabic Typesetting"/>
          <w:b w:val="0"/>
          <w:bCs w:val="0"/>
          <w:color w:val="auto"/>
          <w:sz w:val="36"/>
          <w:szCs w:val="36"/>
          <w:rtl/>
        </w:rPr>
      </w:pPr>
      <w:bookmarkStart w:id="421" w:name="_Toc193031157"/>
      <w:r w:rsidRPr="00BD3343">
        <w:rPr>
          <w:rStyle w:val="Heading3Char"/>
          <w:b/>
          <w:bCs/>
          <w:color w:val="auto"/>
          <w:rtl/>
        </w:rPr>
        <w:lastRenderedPageBreak/>
        <w:t>ثانيًا، نسل المرأة الموعود (تكوين 3: 15)</w:t>
      </w:r>
      <w:bookmarkEnd w:id="421"/>
      <w:r w:rsidR="004D398B" w:rsidRPr="00070D4E">
        <w:rPr>
          <w:rFonts w:cs="Arabic Typesetting"/>
          <w:color w:val="auto"/>
          <w:sz w:val="36"/>
          <w:szCs w:val="36"/>
        </w:rPr>
        <w:br/>
      </w:r>
      <w:r w:rsidR="00D77AD6" w:rsidRPr="00070D4E">
        <w:rPr>
          <w:rFonts w:cs="Arabic Typesetting"/>
          <w:b w:val="0"/>
          <w:bCs w:val="0"/>
          <w:color w:val="auto"/>
          <w:sz w:val="36"/>
          <w:szCs w:val="36"/>
          <w:rtl/>
        </w:rPr>
        <w:t>بعد الخلق الكامل الذي نقرأ عنه في تكوين 1-2، يأتي بنا الأصحاح 3 وجهًا لوجه مع الحقيقة المحزِنة والمؤلمة بشأن ما تسبَّبت الخطي</w:t>
      </w:r>
      <w:r w:rsidR="00876550" w:rsidRPr="00070D4E">
        <w:rPr>
          <w:rFonts w:cs="Arabic Typesetting"/>
          <w:b w:val="0"/>
          <w:bCs w:val="0"/>
          <w:color w:val="auto"/>
          <w:sz w:val="36"/>
          <w:szCs w:val="36"/>
          <w:rtl/>
        </w:rPr>
        <w:t>ّ</w:t>
      </w:r>
      <w:r w:rsidR="00D77AD6" w:rsidRPr="00070D4E">
        <w:rPr>
          <w:rFonts w:cs="Arabic Typesetting"/>
          <w:b w:val="0"/>
          <w:bCs w:val="0"/>
          <w:color w:val="auto"/>
          <w:sz w:val="36"/>
          <w:szCs w:val="36"/>
          <w:rtl/>
        </w:rPr>
        <w:t xml:space="preserve">ة به. ومع هذا، يقدِّم الله بنعمته وعدَ رجاء. يتلقّى كل واحدٍ من "اللاعبين" في الدراما (آدم وحوّاء والحيّة) إعلانَ دينونة. فقال الله للحيّة (أي الشيطان المتخفّي): "لأنَّكِ فعلتِ هذا، ملعونةٌ أنتَ من جميع البهائم ومن جميع وحوش البرّيّة" (تكوين 3: 14). ثم أعلن الله في الآية 15: "وأضع عداوةً بينَك وبين المرأة، وبين نسلك ونسلها. هو يسحقُ رأسَكِ، وأنتِ تسحقين عقبه." </w:t>
      </w:r>
    </w:p>
    <w:p w14:paraId="3AE241C5" w14:textId="096FACF6" w:rsidR="00D77AD6" w:rsidRPr="00070D4E" w:rsidRDefault="00D77AD6" w:rsidP="00C7130A">
      <w:pPr>
        <w:pStyle w:val="Heading4RED"/>
        <w:ind w:left="0" w:firstLine="0"/>
        <w:rPr>
          <w:rFonts w:cs="Arabic Typesetting"/>
          <w:b w:val="0"/>
          <w:bCs w:val="0"/>
          <w:color w:val="auto"/>
          <w:sz w:val="36"/>
          <w:szCs w:val="36"/>
          <w:rtl/>
          <w:lang w:bidi="ar-JO"/>
        </w:rPr>
      </w:pPr>
      <w:r w:rsidRPr="00070D4E">
        <w:rPr>
          <w:rFonts w:cs="Arabic Typesetting"/>
          <w:b w:val="0"/>
          <w:bCs w:val="0"/>
          <w:color w:val="auto"/>
          <w:sz w:val="36"/>
          <w:szCs w:val="36"/>
          <w:rtl/>
        </w:rPr>
        <w:t>يُشار أحيانًا إلى تكوين 3: 15 باسم "الإنجيل الأوَّل" (</w:t>
      </w:r>
      <w:r w:rsidRPr="00070D4E">
        <w:rPr>
          <w:rFonts w:cs="Arabic Typesetting"/>
          <w:b w:val="0"/>
          <w:bCs w:val="0"/>
          <w:color w:val="auto"/>
          <w:sz w:val="36"/>
          <w:szCs w:val="36"/>
        </w:rPr>
        <w:t>Proto-evangelium</w:t>
      </w:r>
      <w:r w:rsidRPr="00070D4E">
        <w:rPr>
          <w:rFonts w:cs="Arabic Typesetting"/>
          <w:b w:val="0"/>
          <w:bCs w:val="0"/>
          <w:color w:val="auto"/>
          <w:sz w:val="36"/>
          <w:szCs w:val="36"/>
          <w:rtl/>
        </w:rPr>
        <w:t>).</w:t>
      </w:r>
      <w:r w:rsidRPr="00070D4E">
        <w:rPr>
          <w:rFonts w:cs="Arabic Typesetting"/>
          <w:b w:val="0"/>
          <w:bCs w:val="0"/>
          <w:color w:val="auto"/>
          <w:sz w:val="36"/>
          <w:szCs w:val="36"/>
          <w:rtl/>
          <w:lang w:bidi="ar-JO"/>
        </w:rPr>
        <w:t xml:space="preserve"> فتنظر هذه الكلمات إلى الانتصار النهائي لـ"نسل المرأة" (المسيا) على نسل الحية، بما في ذلك الحيّة نفسها. ولذا، فإنّ هذا نبوّة مسيانيّة ووعد مسياني بالانتصار النهائي. كتب عالم العهد القديم راندال برايس: </w:t>
      </w:r>
    </w:p>
    <w:p w14:paraId="2B3B4E94" w14:textId="213FCA93" w:rsidR="00D77AD6" w:rsidRPr="00070D4E" w:rsidRDefault="000C14E0" w:rsidP="00C7130A">
      <w:pPr>
        <w:pStyle w:val="Heading4RED"/>
        <w:ind w:left="1008" w:right="1008" w:firstLine="0"/>
        <w:rPr>
          <w:rFonts w:cs="Arabic Typesetting"/>
          <w:b w:val="0"/>
          <w:bCs w:val="0"/>
          <w:color w:val="auto"/>
          <w:sz w:val="36"/>
          <w:szCs w:val="36"/>
          <w:rtl/>
          <w:lang w:bidi="ar-JO"/>
        </w:rPr>
      </w:pPr>
      <w:r w:rsidRPr="00070D4E">
        <w:rPr>
          <w:rFonts w:cs="Arabic Typesetting"/>
          <w:b w:val="0"/>
          <w:bCs w:val="0"/>
          <w:color w:val="auto"/>
          <w:sz w:val="36"/>
          <w:szCs w:val="36"/>
          <w:rtl/>
          <w:lang w:bidi="ar-JO"/>
        </w:rPr>
        <w:t>من المهمّ أن نلاحظ هنا أنّ تكوين 3: 15 مُوجَّهة إلى "الحية." لو أنّ هذا التصريح بشأن الصراع المستمرّ أُطلِق بشأن مجرَّد حيوانٍ زاحف فلن يكون له معنى. فليس له معنى إل</w:t>
      </w:r>
      <w:r w:rsidR="00876550" w:rsidRPr="00070D4E">
        <w:rPr>
          <w:rFonts w:cs="Arabic Typesetting"/>
          <w:b w:val="0"/>
          <w:bCs w:val="0"/>
          <w:color w:val="auto"/>
          <w:sz w:val="36"/>
          <w:szCs w:val="36"/>
          <w:rtl/>
          <w:lang w:bidi="ar-JO"/>
        </w:rPr>
        <w:t>ّ</w:t>
      </w:r>
      <w:r w:rsidRPr="00070D4E">
        <w:rPr>
          <w:rFonts w:cs="Arabic Typesetting"/>
          <w:b w:val="0"/>
          <w:bCs w:val="0"/>
          <w:color w:val="auto"/>
          <w:sz w:val="36"/>
          <w:szCs w:val="36"/>
          <w:rtl/>
          <w:lang w:bidi="ar-JO"/>
        </w:rPr>
        <w:t>ا إن كان متلقّيه ذا عقل، ومشاركًا بطريقةٍ ما في المستقبل. لن يكون "نسل" الحيّة هو من سيعمل على أن يسحق وسيُسحَق، بل "الحية" نفسها.</w:t>
      </w:r>
      <w:r w:rsidRPr="00070D4E">
        <w:rPr>
          <w:rStyle w:val="FootnoteReference"/>
          <w:rFonts w:cs="Arabic Typesetting"/>
          <w:b w:val="0"/>
          <w:bCs w:val="0"/>
          <w:color w:val="auto"/>
          <w:sz w:val="36"/>
          <w:szCs w:val="36"/>
        </w:rPr>
        <w:footnoteReference w:id="213"/>
      </w:r>
    </w:p>
    <w:p w14:paraId="10F4CFB3" w14:textId="64CCDBAF" w:rsidR="00D77AD6" w:rsidRPr="00070D4E" w:rsidRDefault="00D77AD6" w:rsidP="00C7130A">
      <w:pPr>
        <w:pStyle w:val="Heading4RED"/>
        <w:ind w:left="0" w:firstLine="0"/>
        <w:rPr>
          <w:rFonts w:cs="Arabic Typesetting"/>
          <w:b w:val="0"/>
          <w:bCs w:val="0"/>
          <w:color w:val="auto"/>
          <w:sz w:val="36"/>
          <w:szCs w:val="36"/>
          <w:rtl/>
          <w:lang w:bidi="ar-JO"/>
        </w:rPr>
      </w:pPr>
    </w:p>
    <w:p w14:paraId="2214C046" w14:textId="2AC0E574" w:rsidR="000C14E0" w:rsidRPr="00070D4E" w:rsidRDefault="000C14E0" w:rsidP="00C7130A">
      <w:pPr>
        <w:pStyle w:val="Heading4RED"/>
        <w:ind w:left="0" w:firstLine="0"/>
        <w:rPr>
          <w:rFonts w:cs="Arabic Typesetting"/>
          <w:b w:val="0"/>
          <w:bCs w:val="0"/>
          <w:color w:val="auto"/>
          <w:sz w:val="36"/>
          <w:szCs w:val="36"/>
          <w:rtl/>
        </w:rPr>
      </w:pPr>
      <w:r w:rsidRPr="00070D4E">
        <w:rPr>
          <w:rFonts w:cs="Arabic Typesetting"/>
          <w:b w:val="0"/>
          <w:bCs w:val="0"/>
          <w:color w:val="auto"/>
          <w:sz w:val="36"/>
          <w:szCs w:val="36"/>
          <w:rtl/>
        </w:rPr>
        <w:t>يقدِّم لنا تكوين 3: 15 خمس</w:t>
      </w:r>
      <w:r w:rsidR="005039F4" w:rsidRPr="00070D4E">
        <w:rPr>
          <w:rFonts w:cs="Arabic Typesetting"/>
          <w:b w:val="0"/>
          <w:bCs w:val="0"/>
          <w:color w:val="auto"/>
          <w:sz w:val="36"/>
          <w:szCs w:val="36"/>
          <w:rtl/>
        </w:rPr>
        <w:t>ة</w:t>
      </w:r>
      <w:r w:rsidRPr="00070D4E">
        <w:rPr>
          <w:rFonts w:cs="Arabic Typesetting"/>
          <w:b w:val="0"/>
          <w:bCs w:val="0"/>
          <w:color w:val="auto"/>
          <w:sz w:val="36"/>
          <w:szCs w:val="36"/>
          <w:rtl/>
        </w:rPr>
        <w:t xml:space="preserve"> مواضيع رئيسيّة بشأن المسيّا: (1) العداوة (البُغض والعداوة المتبادلان)؛ (2) "النسل"؛ (3) المرأة؛ (4) سحق الرأس؛ (5) سحق العقب.</w:t>
      </w:r>
      <w:r w:rsidRPr="00070D4E">
        <w:rPr>
          <w:rStyle w:val="FootnoteReference"/>
          <w:rFonts w:cs="Arabic Typesetting"/>
          <w:b w:val="0"/>
          <w:bCs w:val="0"/>
          <w:color w:val="auto"/>
          <w:sz w:val="36"/>
          <w:szCs w:val="36"/>
          <w:rtl/>
        </w:rPr>
        <w:footnoteReference w:id="214"/>
      </w:r>
      <w:r w:rsidR="000943D8" w:rsidRPr="00070D4E">
        <w:rPr>
          <w:rFonts w:cs="Arabic Typesetting"/>
          <w:b w:val="0"/>
          <w:bCs w:val="0"/>
          <w:color w:val="auto"/>
          <w:sz w:val="36"/>
          <w:szCs w:val="36"/>
          <w:rtl/>
        </w:rPr>
        <w:t xml:space="preserve"> الكلمة "نسل" </w:t>
      </w:r>
      <w:r w:rsidR="005B010A" w:rsidRPr="00070D4E">
        <w:rPr>
          <w:rFonts w:cs="Arabic Typesetting"/>
          <w:b w:val="0"/>
          <w:bCs w:val="0"/>
          <w:color w:val="auto"/>
          <w:sz w:val="36"/>
          <w:szCs w:val="36"/>
          <w:rtl/>
        </w:rPr>
        <w:t xml:space="preserve">اسم جمعٍ، فهو </w:t>
      </w:r>
      <w:r w:rsidR="005039F4" w:rsidRPr="00070D4E">
        <w:rPr>
          <w:rFonts w:cs="Arabic Typesetting"/>
          <w:b w:val="0"/>
          <w:bCs w:val="0"/>
          <w:color w:val="auto"/>
          <w:sz w:val="36"/>
          <w:szCs w:val="36"/>
          <w:rtl/>
        </w:rPr>
        <w:t>من الناحيّة القواعديّة</w:t>
      </w:r>
      <w:r w:rsidR="005B010A" w:rsidRPr="00070D4E">
        <w:rPr>
          <w:rFonts w:cs="Arabic Typesetting"/>
          <w:b w:val="0"/>
          <w:bCs w:val="0"/>
          <w:color w:val="auto"/>
          <w:sz w:val="36"/>
          <w:szCs w:val="36"/>
          <w:rtl/>
        </w:rPr>
        <w:t xml:space="preserve"> يأتي في صيغة المُفرد، ولكنْ يمكن أن يُشير إلى مجموعة (أولاد وأحفاد الإنسان). ولكن في هذه الحالة، الضمير المُفرَد (كما في "هو يسحق رأسك") يوضِّح أن الوعد يتعلَّق بفردٍ لا بمجموعة. وهذا يقود إلى الاستنتاج بأنّ "هو" هو المسيا. </w:t>
      </w:r>
    </w:p>
    <w:p w14:paraId="3FA8B8C4" w14:textId="441C1165" w:rsidR="005B010A" w:rsidRPr="00070D4E" w:rsidRDefault="005B010A" w:rsidP="00C7130A">
      <w:pPr>
        <w:pStyle w:val="Heading4RED"/>
        <w:ind w:left="0" w:firstLine="0"/>
        <w:rPr>
          <w:rFonts w:cs="Arabic Typesetting"/>
          <w:b w:val="0"/>
          <w:bCs w:val="0"/>
          <w:color w:val="auto"/>
          <w:sz w:val="36"/>
          <w:szCs w:val="36"/>
          <w:rtl/>
        </w:rPr>
      </w:pPr>
      <w:r w:rsidRPr="00070D4E">
        <w:rPr>
          <w:rFonts w:cs="Arabic Typesetting"/>
          <w:b w:val="0"/>
          <w:bCs w:val="0"/>
          <w:color w:val="auto"/>
          <w:sz w:val="36"/>
          <w:szCs w:val="36"/>
          <w:rtl/>
        </w:rPr>
        <w:t xml:space="preserve">مقصد هذه الآية هو أنّه سيكون هناك نزاع دائم بين نسل المرأة (الذي يشمل في النهاية المسيح) ونسل الحية (الخط الشيطاني وكل مَن ينتمون إلى ملكوت الظلمة الذي يرأسه الشيطان). </w:t>
      </w:r>
      <w:r w:rsidR="009E7795" w:rsidRPr="00070D4E">
        <w:rPr>
          <w:rFonts w:cs="Arabic Typesetting"/>
          <w:b w:val="0"/>
          <w:bCs w:val="0"/>
          <w:color w:val="auto"/>
          <w:sz w:val="36"/>
          <w:szCs w:val="36"/>
          <w:rtl/>
        </w:rPr>
        <w:t xml:space="preserve">وفي هذا النزاع، سيتلقّى "نسل" المرأة (المسيا يسوع) جرحًا غير قاتل (سحق العقب). ولكنّ "نسل" المرأة (المسيا يسوع) سيتمكَّن عندئذٍ من إيقاع ضربة قاتلة بنسل الحيّة (سحق الرأس). وبهذا، فإنّ هذه النبوّة ستتحقّق في نهاية الأزمنة حين سيُهزَم الشيطان وكلّ المتحالفين معه ويُلقى بهم </w:t>
      </w:r>
      <w:r w:rsidR="005039F4" w:rsidRPr="00070D4E">
        <w:rPr>
          <w:rFonts w:cs="Arabic Typesetting"/>
          <w:b w:val="0"/>
          <w:bCs w:val="0"/>
          <w:color w:val="auto"/>
          <w:sz w:val="36"/>
          <w:szCs w:val="36"/>
          <w:rtl/>
        </w:rPr>
        <w:t>إ</w:t>
      </w:r>
      <w:r w:rsidR="009E7795" w:rsidRPr="00070D4E">
        <w:rPr>
          <w:rFonts w:cs="Arabic Typesetting"/>
          <w:b w:val="0"/>
          <w:bCs w:val="0"/>
          <w:color w:val="auto"/>
          <w:sz w:val="36"/>
          <w:szCs w:val="36"/>
          <w:rtl/>
        </w:rPr>
        <w:t xml:space="preserve">لى بحيرة النار (رومية 19: 19 – 20: 3). وعندئذٍ سيملك الرب يسوع على ملكوت الله تحقيقًا لتكوين 1: 26، والوعد بالتسلُّط على خليقة الله. </w:t>
      </w:r>
    </w:p>
    <w:p w14:paraId="04E3DE69" w14:textId="77777777" w:rsidR="000C14E0" w:rsidRPr="00070D4E" w:rsidRDefault="000C14E0" w:rsidP="00C7130A">
      <w:pPr>
        <w:pStyle w:val="Heading4RED"/>
        <w:ind w:left="0" w:firstLine="0"/>
        <w:rPr>
          <w:rFonts w:cs="Arabic Typesetting"/>
          <w:b w:val="0"/>
          <w:bCs w:val="0"/>
          <w:color w:val="auto"/>
          <w:sz w:val="36"/>
          <w:szCs w:val="36"/>
        </w:rPr>
      </w:pPr>
    </w:p>
    <w:p w14:paraId="6D2C04FD" w14:textId="452989C1" w:rsidR="00956053" w:rsidRPr="00BD3343" w:rsidRDefault="009E7795" w:rsidP="00C7130A">
      <w:pPr>
        <w:pStyle w:val="Heading4RED"/>
        <w:rPr>
          <w:rFonts w:cs="Arabic Typesetting"/>
          <w:color w:val="auto"/>
          <w:sz w:val="44"/>
          <w:szCs w:val="44"/>
        </w:rPr>
      </w:pPr>
      <w:r w:rsidRPr="00BD3343">
        <w:rPr>
          <w:rFonts w:cs="Arabic Typesetting"/>
          <w:color w:val="auto"/>
          <w:sz w:val="44"/>
          <w:szCs w:val="44"/>
          <w:rtl/>
        </w:rPr>
        <w:t xml:space="preserve">ثالثًا، تقديم إبراهيم لإسحاق (تكوين 22: 1-19) </w:t>
      </w:r>
    </w:p>
    <w:p w14:paraId="3337FDD9" w14:textId="5A60FDF9" w:rsidR="009E7795" w:rsidRPr="00070D4E" w:rsidRDefault="009E7795" w:rsidP="00C7130A">
      <w:pPr>
        <w:rPr>
          <w:rtl/>
          <w:lang w:bidi="ar-JO"/>
        </w:rPr>
      </w:pPr>
      <w:r w:rsidRPr="00070D4E">
        <w:rPr>
          <w:rtl/>
        </w:rPr>
        <w:lastRenderedPageBreak/>
        <w:t xml:space="preserve">ينبغي أن يُنظَر إلى محاولة إبراهيم بأن يقدِّم إسحاق في ضوء الدراما التي مرّ بها لينال ابنَ الموعد. فحين دعا الله إبراهيم </w:t>
      </w:r>
      <w:r w:rsidR="00A72BF8" w:rsidRPr="00070D4E">
        <w:rPr>
          <w:rtl/>
        </w:rPr>
        <w:t xml:space="preserve">إلى </w:t>
      </w:r>
      <w:r w:rsidRPr="00070D4E">
        <w:rPr>
          <w:rtl/>
        </w:rPr>
        <w:t xml:space="preserve">أن يغادر أرضه وأقاربه وعده الله بأنّه سيجعله أمّة عظيمه (تكوين 12: 2). وقد تضمّن هذا، بطبيعة الحال، أنّه سيكون له ابن سيقود الأمّة التي ستخرج من إبراهيم. ولكنْ بعدَ مرورِ عددٍ من السنوات، بقي بلا أولاد. وقد </w:t>
      </w:r>
      <w:r w:rsidR="00F56588" w:rsidRPr="00070D4E">
        <w:rPr>
          <w:rtl/>
          <w:lang w:bidi="ar-JO"/>
        </w:rPr>
        <w:t>عبَّر عن حسرته قائلًا: "أيُّها السّيّد الربُّ، ماذا تُعطيني وأنا ماضٍ عقيمًا، ومالك بيتي هو أليعازر الدمشقيّ؟ ... إنّك لم تعطِني نسلًا، وهوذا ابنُ بيتي وارثٌ لي" (تكوين 15: 2-3). ولكنّ الربَّ طمأنه قائلًا: "... الذي يخرج من أحشائك هو يرثك" (تكوين 15: 4). وحين كان إبراهيم في سنّ السادسة والثمانين</w:t>
      </w:r>
      <w:r w:rsidR="004840C5" w:rsidRPr="00070D4E">
        <w:rPr>
          <w:rtl/>
          <w:lang w:bidi="ar-JO"/>
        </w:rPr>
        <w:t>، حبل</w:t>
      </w:r>
      <w:r w:rsidR="00A72BF8" w:rsidRPr="00070D4E">
        <w:rPr>
          <w:rtl/>
          <w:lang w:bidi="ar-JO"/>
        </w:rPr>
        <w:t>ت</w:t>
      </w:r>
      <w:r w:rsidR="004840C5" w:rsidRPr="00070D4E">
        <w:rPr>
          <w:rtl/>
          <w:lang w:bidi="ar-JO"/>
        </w:rPr>
        <w:t xml:space="preserve"> هاجر بإسماعيل من إبراهيم (تكوين 16: 14). ولكنّ الله أوضَح أنّ هذه الخطّة الخاطئة، التي وضعها إبراهيم وسارة، لم تكن الطريقة الإلهي</w:t>
      </w:r>
      <w:r w:rsidR="00A72BF8" w:rsidRPr="00070D4E">
        <w:rPr>
          <w:rtl/>
          <w:lang w:bidi="ar-JO"/>
        </w:rPr>
        <w:t>ّ</w:t>
      </w:r>
      <w:r w:rsidR="004840C5" w:rsidRPr="00070D4E">
        <w:rPr>
          <w:rtl/>
          <w:lang w:bidi="ar-JO"/>
        </w:rPr>
        <w:t>ة</w:t>
      </w:r>
      <w:r w:rsidR="00A72BF8" w:rsidRPr="00070D4E">
        <w:rPr>
          <w:rtl/>
          <w:lang w:bidi="ar-JO"/>
        </w:rPr>
        <w:t xml:space="preserve"> لتتميم الوعد</w:t>
      </w:r>
      <w:r w:rsidR="004840C5" w:rsidRPr="00070D4E">
        <w:rPr>
          <w:rtl/>
          <w:lang w:bidi="ar-JO"/>
        </w:rPr>
        <w:t>. وأخيرًا، حين كان إبراهيم في سنّ التاسعة والتسعين (تكوين 17: 1)، أي بعد حوالي أربعٍ وعشرين سنة من الدعوة الأصليّة، أعلن الله أنّ سارة ستنجِب ابنًا، وسيكون هذا الابن الوارث</w:t>
      </w:r>
      <w:r w:rsidR="00A72BF8" w:rsidRPr="00070D4E">
        <w:rPr>
          <w:rtl/>
          <w:lang w:bidi="ar-JO"/>
        </w:rPr>
        <w:t>َ</w:t>
      </w:r>
      <w:r w:rsidR="004840C5" w:rsidRPr="00070D4E">
        <w:rPr>
          <w:rtl/>
          <w:lang w:bidi="ar-JO"/>
        </w:rPr>
        <w:t xml:space="preserve"> الموعود به للعهد الإبراهيمي والبركة الإبراهيميّة. وقد قال الله لإبراهيم في ذلك الوقت: "بل سارة امرأتك تلِد لكَ ابنًا، وتدعو اسمه إسحاق، وأُقيم عهدي معه عهدًا أبديًّا لنسله من بعده" (تكوين 17: 19). </w:t>
      </w:r>
    </w:p>
    <w:p w14:paraId="6B4C8760" w14:textId="55FC2AF9" w:rsidR="00DD12B0" w:rsidRPr="00070D4E" w:rsidRDefault="00EE2C62" w:rsidP="00C7130A">
      <w:pPr>
        <w:rPr>
          <w:rtl/>
          <w:lang w:bidi="ar-JO"/>
        </w:rPr>
      </w:pPr>
      <w:r w:rsidRPr="00070D4E">
        <w:rPr>
          <w:rtl/>
          <w:lang w:bidi="ar-JO"/>
        </w:rPr>
        <w:t xml:space="preserve">وفي ضوء ما سبق، يمكن للمرء أن يتخيَّل الصدمة التي أصابت إبراهيم حين طلب الله منه أن يقدِّم </w:t>
      </w:r>
      <w:r w:rsidR="000608C5" w:rsidRPr="00070D4E">
        <w:rPr>
          <w:rtl/>
          <w:lang w:bidi="ar-JO"/>
        </w:rPr>
        <w:t>إ</w:t>
      </w:r>
      <w:r w:rsidRPr="00070D4E">
        <w:rPr>
          <w:rtl/>
          <w:lang w:bidi="ar-JO"/>
        </w:rPr>
        <w:t xml:space="preserve">سحاق، الابن الموعود الذي </w:t>
      </w:r>
      <w:r w:rsidR="000608C5" w:rsidRPr="00070D4E">
        <w:rPr>
          <w:rtl/>
          <w:lang w:bidi="ar-JO"/>
        </w:rPr>
        <w:t>به يُفترَض أن يستمرّ العهد الإبراهيمي، م</w:t>
      </w:r>
      <w:r w:rsidR="00A72BF8" w:rsidRPr="00070D4E">
        <w:rPr>
          <w:rtl/>
          <w:lang w:bidi="ar-JO"/>
        </w:rPr>
        <w:t>ُ</w:t>
      </w:r>
      <w:r w:rsidR="000608C5" w:rsidRPr="00070D4E">
        <w:rPr>
          <w:rtl/>
          <w:lang w:bidi="ar-JO"/>
        </w:rPr>
        <w:t>حرَقةً في "أرض المريّا" (تكوين 22: 2). ويوضِّح المؤرخ يوسيفوس بأن المرّيّا هو الجبل الذي بُني الهيكل عليه لاحقًا (</w:t>
      </w:r>
      <w:r w:rsidR="000608C5" w:rsidRPr="00070D4E">
        <w:rPr>
          <w:i/>
          <w:iCs/>
        </w:rPr>
        <w:t>Antiquities</w:t>
      </w:r>
      <w:r w:rsidR="000608C5" w:rsidRPr="00070D4E">
        <w:t>, i.13.2</w:t>
      </w:r>
      <w:r w:rsidR="000608C5" w:rsidRPr="00070D4E">
        <w:rPr>
          <w:rtl/>
          <w:lang w:bidi="ar-JO"/>
        </w:rPr>
        <w:t>).</w:t>
      </w:r>
      <w:r w:rsidR="000608C5" w:rsidRPr="00070D4E">
        <w:rPr>
          <w:rStyle w:val="FootnoteReference"/>
          <w:rtl/>
          <w:lang w:bidi="ar-JO"/>
        </w:rPr>
        <w:footnoteReference w:id="215"/>
      </w:r>
      <w:r w:rsidR="000608C5" w:rsidRPr="00070D4E">
        <w:rPr>
          <w:rtl/>
          <w:lang w:bidi="ar-JO"/>
        </w:rPr>
        <w:t xml:space="preserve"> </w:t>
      </w:r>
      <w:r w:rsidR="00DD12B0" w:rsidRPr="00070D4E">
        <w:rPr>
          <w:rtl/>
          <w:lang w:bidi="ar-JO"/>
        </w:rPr>
        <w:t xml:space="preserve">ومع استمرار أحداث القصّة، نرى الله يوقف إبراهيم قبل أن يذبح ابنه ويقدِّمه. كان ما يعمله الله هو أنه يمتحنه ليرى مقدار طاعة إبراهيم (تكوين 22: 1). وقد أطاع إبراهيم، ونتيجة لهذا، أعاد الله تأكيد وعده: "ويتبارك في نسلك جميع أمم الأرض، من أجل أنّك سمعتَ لقولي" (تكوين 22: 18). </w:t>
      </w:r>
    </w:p>
    <w:p w14:paraId="12D0F355" w14:textId="58DE1E62" w:rsidR="0043594D" w:rsidRPr="00070D4E" w:rsidRDefault="00DD12B0" w:rsidP="00C7130A">
      <w:pPr>
        <w:rPr>
          <w:rtl/>
          <w:lang w:bidi="ar-JO"/>
        </w:rPr>
      </w:pPr>
      <w:r w:rsidRPr="00070D4E">
        <w:rPr>
          <w:rtl/>
          <w:lang w:bidi="ar-JO"/>
        </w:rPr>
        <w:t xml:space="preserve">ولكنّ القصّة تتجاوز إبراهيم وابنه إسحاق. فأيُّ أبٍ صالح ومُحِبّ يذبح ابنه، الذي به يستمرّ العهد، ويقدِّمه لله؟  ولكن هذا ما سيعمله الله الآب </w:t>
      </w:r>
      <w:r w:rsidR="00A72BF8" w:rsidRPr="00070D4E">
        <w:rPr>
          <w:rtl/>
          <w:lang w:bidi="ar-JO"/>
        </w:rPr>
        <w:t xml:space="preserve">نفسه </w:t>
      </w:r>
      <w:r w:rsidRPr="00070D4E">
        <w:rPr>
          <w:rtl/>
          <w:lang w:bidi="ar-JO"/>
        </w:rPr>
        <w:t xml:space="preserve">في تقديمه ابنه الواحد والوحيد، الرب يسوع على خشبة الصليب. وبعمله هذا، صار دم ابنه أساس الغفران الأبدي الموعود به في العهد الجديد (إرميا 31: 31-34)، </w:t>
      </w:r>
      <w:r w:rsidR="00F959E7" w:rsidRPr="00070D4E">
        <w:rPr>
          <w:rtl/>
          <w:lang w:bidi="ar-JO"/>
        </w:rPr>
        <w:t>ممّا مكّن من تحقيق العهد الإبراهيم</w:t>
      </w:r>
      <w:r w:rsidR="00A72BF8" w:rsidRPr="00070D4E">
        <w:rPr>
          <w:rtl/>
          <w:lang w:bidi="ar-JO"/>
        </w:rPr>
        <w:t xml:space="preserve">ي </w:t>
      </w:r>
      <w:r w:rsidR="00F959E7" w:rsidRPr="00070D4E">
        <w:rPr>
          <w:rtl/>
          <w:lang w:bidi="ar-JO"/>
        </w:rPr>
        <w:t>الذي به تستطيع كل الشعوب أن تشترك في بركة إبراهيم (تكوين 12: 3؛ غلاطية 3: 13-14). ما وعد به الله ("أباركك مبارَكة، وأكثّر نسلك تكثيرًا كنجوم السماء"؛ تكوين 22: 17) تحقَّق بصورة أكبر في الرب يسوع ومَن مِنّا يصير "نسل</w:t>
      </w:r>
      <w:r w:rsidR="00A72BF8" w:rsidRPr="00070D4E">
        <w:rPr>
          <w:rtl/>
          <w:lang w:bidi="ar-JO"/>
        </w:rPr>
        <w:t>َ</w:t>
      </w:r>
      <w:r w:rsidR="00F959E7" w:rsidRPr="00070D4E">
        <w:rPr>
          <w:rtl/>
          <w:lang w:bidi="ar-JO"/>
        </w:rPr>
        <w:t xml:space="preserve">ه" بالإيمان برسالة الإنجيل. </w:t>
      </w:r>
    </w:p>
    <w:p w14:paraId="047FD83E" w14:textId="77777777" w:rsidR="009E7795" w:rsidRPr="00C7130A" w:rsidRDefault="009E7795" w:rsidP="00C7130A">
      <w:pPr>
        <w:rPr>
          <w:sz w:val="26"/>
          <w:szCs w:val="26"/>
          <w:rtl/>
        </w:rPr>
      </w:pPr>
    </w:p>
    <w:p w14:paraId="2A560165" w14:textId="3499A39B" w:rsidR="002907D3" w:rsidRPr="00BD3343" w:rsidRDefault="00F959E7" w:rsidP="00C7130A">
      <w:pPr>
        <w:pStyle w:val="Heading4RED"/>
        <w:rPr>
          <w:rFonts w:cs="Arabic Typesetting"/>
          <w:color w:val="auto"/>
          <w:sz w:val="44"/>
          <w:szCs w:val="44"/>
        </w:rPr>
      </w:pPr>
      <w:r w:rsidRPr="00BD3343">
        <w:rPr>
          <w:rFonts w:cs="Arabic Typesetting"/>
          <w:color w:val="auto"/>
          <w:sz w:val="44"/>
          <w:szCs w:val="44"/>
          <w:rtl/>
        </w:rPr>
        <w:lastRenderedPageBreak/>
        <w:t>رابعًا، يوسف بوصفه نموذجًا ورمزًا للمسيح (تكوين 37-50)</w:t>
      </w:r>
    </w:p>
    <w:p w14:paraId="71CE6D5F" w14:textId="21843338" w:rsidR="00EB7778" w:rsidRPr="00070D4E" w:rsidRDefault="006A59E9" w:rsidP="00C7130A">
      <w:pPr>
        <w:rPr>
          <w:rtl/>
          <w:lang w:bidi="ar-JO"/>
        </w:rPr>
      </w:pPr>
      <w:r w:rsidRPr="00070D4E">
        <w:br/>
      </w:r>
      <w:r w:rsidR="00F959E7" w:rsidRPr="00070D4E">
        <w:rPr>
          <w:rtl/>
        </w:rPr>
        <w:t xml:space="preserve">مع أنّ الكتاب المُقدَّس </w:t>
      </w:r>
      <w:r w:rsidR="00EB5841" w:rsidRPr="00070D4E">
        <w:rPr>
          <w:rtl/>
        </w:rPr>
        <w:t>لا يسمّي يوسف "رمزًا" أو "نموذجًا" للمسيح بصورة صريحة، فإن تجاربه الحياتيّة ظلالٌ لتجارب المسيا يسوع في نواحٍ عديدة. أو</w:t>
      </w:r>
      <w:r w:rsidR="003D0DFE" w:rsidRPr="00070D4E">
        <w:rPr>
          <w:rtl/>
        </w:rPr>
        <w:t>ّ</w:t>
      </w:r>
      <w:r w:rsidR="00EB5841" w:rsidRPr="00070D4E">
        <w:rPr>
          <w:rtl/>
        </w:rPr>
        <w:t>لًا، كان يوسف محبوبًا من أبيه أكثر من كلّ بقيّة إخوته (تكوين 37: 4)، مم</w:t>
      </w:r>
      <w:r w:rsidR="003D0DFE" w:rsidRPr="00070D4E">
        <w:rPr>
          <w:rtl/>
        </w:rPr>
        <w:t>ّ</w:t>
      </w:r>
      <w:r w:rsidR="00EB5841" w:rsidRPr="00070D4E">
        <w:rPr>
          <w:rtl/>
        </w:rPr>
        <w:t xml:space="preserve">ا </w:t>
      </w:r>
      <w:r w:rsidR="003D0DFE" w:rsidRPr="00070D4E">
        <w:rPr>
          <w:rtl/>
        </w:rPr>
        <w:t>يرمز</w:t>
      </w:r>
      <w:r w:rsidR="00EB5841" w:rsidRPr="00070D4E">
        <w:rPr>
          <w:rtl/>
        </w:rPr>
        <w:t xml:space="preserve"> إلى قيمة يسوع عند الله الآب: "هذا هو ابني الحبيب الذي به سُرِرت" (متّى 3: 17؛ 12: 18؛ 17: 5). </w:t>
      </w:r>
      <w:r w:rsidR="00031DE3" w:rsidRPr="00070D4E">
        <w:rPr>
          <w:rtl/>
        </w:rPr>
        <w:t>ثانيًا، رأى يوسف حلمًا من الله بأنّه سيحكم على إخوته، وأنّهم سيركعون أمامه (تكوين 37: 5-10). أي أنّه يومًا ما سيحكم على شعبه، مثلما سيملك يسوع في النهاية على ملكوت الله. ثالثًا، كان إخوة يوسف يغارون منه ولم يكونوا يحبّونه (تكوين 37: 11)، مم</w:t>
      </w:r>
      <w:r w:rsidR="003D0DFE" w:rsidRPr="00070D4E">
        <w:rPr>
          <w:rtl/>
        </w:rPr>
        <w:t>ّ</w:t>
      </w:r>
      <w:r w:rsidR="00031DE3" w:rsidRPr="00070D4E">
        <w:rPr>
          <w:rtl/>
        </w:rPr>
        <w:t>ا قاد إلى محاولتهم أن يقتلوه تقريبًا (ولكنّهم باعوه أخيرًا لتجّار مديانيّين</w:t>
      </w:r>
      <w:r w:rsidR="003D0DFE" w:rsidRPr="00070D4E">
        <w:rPr>
          <w:rtl/>
        </w:rPr>
        <w:t>؛</w:t>
      </w:r>
      <w:r w:rsidR="00031DE3" w:rsidRPr="00070D4E">
        <w:rPr>
          <w:rtl/>
        </w:rPr>
        <w:t xml:space="preserve"> تكوين 37: 27-28). أمّا يسوع، فقد رُفِض تمامًا وقُتِل على يد </w:t>
      </w:r>
      <w:r w:rsidR="003F5CBA" w:rsidRPr="00070D4E">
        <w:rPr>
          <w:rtl/>
        </w:rPr>
        <w:t xml:space="preserve">القادة الدينيّين اليهود في زمنه. رابعًا، بعد رفض إخوة يوسف له وتخلُّصهم منه، ظنّوا أنّهم لن يروه ثانيةً، بل ولم يميّزوه حين رأوه عدّة مرّات. كان يوسف "بعيدًا" في بلدٍ آخر. وبعد قيامة يسوع، صعِد إلى مكانٍ "بعيد"، إلى السماء، حيثُ لن يُرى مدّةً طويلةً بصورة استثنائيّة. </w:t>
      </w:r>
      <w:r w:rsidR="00AC0FAD" w:rsidRPr="00070D4E">
        <w:rPr>
          <w:rtl/>
        </w:rPr>
        <w:t xml:space="preserve">خامسًا، كان يوسف رجلَ استقامةٍ، فرفض إغراءات زوجة فوطيفار، وكان يقصد ألا يخطئ إلى الله (تكوين 39: 7-9). ويشهد العهد الجديد بأن يسوع كان بارًّا. فهو "لم يفعل خطيّة ولا وُجِد في فمه مكر" (1بطرس 2: 22). سادسًا، عانى يعقوب وعائلته الكبيرة ظروف مجاعةٍ صعبة دفعتهم في حالةٍ من اليأس إلى طلب المعونة. وبصورة شبيهة، سيتعرَّض الشعب اليهودي في نهاية الزمن للضيقة العظيمة التي ستذلّهم وتقودهم إلى التواضع (إرميا 30: 7). سابعًا، </w:t>
      </w:r>
      <w:r w:rsidR="003D0DFE" w:rsidRPr="00070D4E">
        <w:rPr>
          <w:rtl/>
        </w:rPr>
        <w:t xml:space="preserve">على </w:t>
      </w:r>
      <w:r w:rsidR="00AC0FAD" w:rsidRPr="00070D4E">
        <w:rPr>
          <w:rtl/>
        </w:rPr>
        <w:t>الرغم من رفض إخوة يوسف له، صار في النهاية "مُخلِّصهم،" فأنقذهم من خطر المجاعة وكان سبب بركة لهم. و</w:t>
      </w:r>
      <w:r w:rsidR="0028210C" w:rsidRPr="00070D4E">
        <w:rPr>
          <w:rtl/>
        </w:rPr>
        <w:t>بالمثل، ينبئ الكتاب المُقدَّس بأن يسوع سيعود في نهاية الزمن لينقِذ الشعب اليهودي ويباركهم. ثامنًا، حين أعلن يوسف نفسه لإخوته في مصر،</w:t>
      </w:r>
      <w:r w:rsidR="00B67B45" w:rsidRPr="00070D4E">
        <w:rPr>
          <w:rtl/>
          <w:lang w:bidi="ar-JO"/>
        </w:rPr>
        <w:t xml:space="preserve"> اجتمع شملهم بفرح، وتصالحوا، واستعادوا العلاقة بعضهم مع بعض. طبعًا، لا </w:t>
      </w:r>
      <w:r w:rsidR="003D0DFE" w:rsidRPr="00070D4E">
        <w:rPr>
          <w:rtl/>
          <w:lang w:bidi="ar-JO"/>
        </w:rPr>
        <w:t>ي</w:t>
      </w:r>
      <w:r w:rsidR="00B67B45" w:rsidRPr="00070D4E">
        <w:rPr>
          <w:rtl/>
          <w:lang w:bidi="ar-JO"/>
        </w:rPr>
        <w:t xml:space="preserve">جد كل تفصيل في حياة يوسف ارتباطًا مباشرًا في المسيح (وهذه هي طبيعة النماذج)، ولكنّ هناك ما يكفي من التقابل بينهما لرؤية أن اختبارات يوسف ظلالٌ تُشير بدرجةٍ ما إلى حياة يسوع المسيح وخدمته. </w:t>
      </w:r>
    </w:p>
    <w:p w14:paraId="72ECDA47" w14:textId="037EBCD3" w:rsidR="00F959E7" w:rsidRPr="00C7130A" w:rsidRDefault="00F959E7" w:rsidP="00C7130A">
      <w:pPr>
        <w:rPr>
          <w:sz w:val="26"/>
          <w:szCs w:val="26"/>
          <w:rtl/>
        </w:rPr>
      </w:pPr>
    </w:p>
    <w:p w14:paraId="386DE291" w14:textId="17F71830" w:rsidR="002907D3" w:rsidRPr="00BD3343" w:rsidRDefault="00B67B45" w:rsidP="00C7130A">
      <w:pPr>
        <w:pStyle w:val="Heading4RED"/>
        <w:rPr>
          <w:rFonts w:cs="Arabic Typesetting"/>
          <w:color w:val="auto"/>
          <w:sz w:val="44"/>
          <w:szCs w:val="44"/>
        </w:rPr>
      </w:pPr>
      <w:r w:rsidRPr="00BD3343">
        <w:rPr>
          <w:rFonts w:cs="Arabic Typesetting"/>
          <w:color w:val="auto"/>
          <w:sz w:val="44"/>
          <w:szCs w:val="44"/>
          <w:rtl/>
        </w:rPr>
        <w:t xml:space="preserve">خامسًا، أسد سبط يهوذا الموعود به (تكوين 49: 8-12) </w:t>
      </w:r>
    </w:p>
    <w:p w14:paraId="6413D3DC" w14:textId="0B9E655C" w:rsidR="00B67B45" w:rsidRPr="00070D4E" w:rsidRDefault="00B67B45" w:rsidP="00C7130A">
      <w:pPr>
        <w:rPr>
          <w:rtl/>
        </w:rPr>
      </w:pPr>
      <w:r w:rsidRPr="00070D4E">
        <w:rPr>
          <w:rtl/>
        </w:rPr>
        <w:t xml:space="preserve">قرب نهاية حياة يعقوب، جمع </w:t>
      </w:r>
      <w:r w:rsidR="003D0DFE" w:rsidRPr="00070D4E">
        <w:rPr>
          <w:rtl/>
        </w:rPr>
        <w:t>أ</w:t>
      </w:r>
      <w:r w:rsidRPr="00070D4E">
        <w:rPr>
          <w:rtl/>
        </w:rPr>
        <w:t>بناءه الاثني عشر لينطق بإعلانٍ نبوي</w:t>
      </w:r>
      <w:r w:rsidR="003D0DFE" w:rsidRPr="00070D4E">
        <w:rPr>
          <w:rtl/>
        </w:rPr>
        <w:t>ّ</w:t>
      </w:r>
      <w:r w:rsidRPr="00070D4E">
        <w:rPr>
          <w:rtl/>
        </w:rPr>
        <w:t xml:space="preserve"> بشأن كلِّ واحدٍ منهم عمّا سيحدث لهم في المستقبل. ومع أنّ يهوذا لم يكن الابن الأكبر، فقد أُعطي الكرامة العظمى، كما يُدوَّن في تكوين 49: 8-12: </w:t>
      </w:r>
    </w:p>
    <w:p w14:paraId="355717DA" w14:textId="5CD2EFA6" w:rsidR="00B67B45" w:rsidRPr="00070D4E" w:rsidRDefault="006D54CC" w:rsidP="00C7130A">
      <w:pPr>
        <w:ind w:left="1008" w:right="1008"/>
        <w:rPr>
          <w:rtl/>
        </w:rPr>
      </w:pPr>
      <w:r w:rsidRPr="00070D4E">
        <w:rPr>
          <w:vertAlign w:val="superscript"/>
          <w:rtl/>
        </w:rPr>
        <w:t>8</w:t>
      </w:r>
      <w:r w:rsidRPr="00070D4E">
        <w:rPr>
          <w:rtl/>
        </w:rPr>
        <w:t xml:space="preserve">يَهُوذَا، إِيَّاكَ يَحْمَدُ إِخْوَتُكَ، يَدُكَ عَلَى قَفَا أَعْدَائِكَ، يَسْجُدُ لَكَ بَنُو أَبِيكَ. </w:t>
      </w:r>
      <w:r w:rsidRPr="00070D4E">
        <w:rPr>
          <w:vertAlign w:val="superscript"/>
          <w:rtl/>
        </w:rPr>
        <w:t>9</w:t>
      </w:r>
      <w:r w:rsidRPr="00070D4E">
        <w:rPr>
          <w:rtl/>
        </w:rPr>
        <w:t xml:space="preserve">يَهُوذَا جَرْوُ أَسَدٍ، مِنْ فَرِيسَةٍ صَعِدْتَ يَا ابْنِي، جَثَا وَرَبَضَ كَأَسَدٍ وَكَلَبْوَةٍ. مَنْ يُنْهِضُهُ؟ </w:t>
      </w:r>
      <w:r w:rsidRPr="00070D4E">
        <w:rPr>
          <w:vertAlign w:val="superscript"/>
          <w:rtl/>
        </w:rPr>
        <w:t>10</w:t>
      </w:r>
      <w:r w:rsidRPr="00070D4E">
        <w:rPr>
          <w:rtl/>
        </w:rPr>
        <w:t xml:space="preserve">لاَ يَزُولُ قَضِيبٌ مِنْ يَهُوذَا وَمُشْتَرِعٌ مِنْ بَيْنِ رِجْلَيْهِ حَتَّى يَأْتِيَ شِيلُونُ وَلَهُ يَكُونُ خُضُوعُ شُعُوبٍ. </w:t>
      </w:r>
      <w:r w:rsidRPr="00070D4E">
        <w:rPr>
          <w:vertAlign w:val="superscript"/>
          <w:rtl/>
        </w:rPr>
        <w:t>11</w:t>
      </w:r>
      <w:r w:rsidRPr="00070D4E">
        <w:rPr>
          <w:rtl/>
        </w:rPr>
        <w:t xml:space="preserve">رَابِطًا بِالْكَرْمَةِ جَحْشَهُ، وَبِالْجَفْنَةِ ابْنَ أَتَانِهِ، غَسَلَ بِالْخَمْرِ لِبَاسَهُ، وَبِدَمِ الْعِنَبِ ثَوْبَهُ. </w:t>
      </w:r>
      <w:r w:rsidRPr="00070D4E">
        <w:rPr>
          <w:vertAlign w:val="superscript"/>
          <w:rtl/>
        </w:rPr>
        <w:t>12</w:t>
      </w:r>
      <w:r w:rsidRPr="00070D4E">
        <w:rPr>
          <w:rtl/>
        </w:rPr>
        <w:t xml:space="preserve">مُسْوَدُّ الْعَيْنَيْنِ مِنَ الْخَمْرِ، وَمُبْيَضُّ </w:t>
      </w:r>
      <w:r w:rsidRPr="00070D4E">
        <w:rPr>
          <w:rtl/>
        </w:rPr>
        <w:lastRenderedPageBreak/>
        <w:t>الأَسْنَانِ مِنَ اللَّبَنِ.</w:t>
      </w:r>
      <w:r w:rsidR="008813B1" w:rsidRPr="00070D4E">
        <w:br/>
      </w:r>
    </w:p>
    <w:p w14:paraId="0EFFEC7F" w14:textId="1F406C1E" w:rsidR="00B67B45" w:rsidRPr="00070D4E" w:rsidRDefault="006D54CC" w:rsidP="00C7130A">
      <w:pPr>
        <w:rPr>
          <w:rtl/>
          <w:lang w:bidi="ar-JO"/>
        </w:rPr>
      </w:pPr>
      <w:r w:rsidRPr="00070D4E">
        <w:rPr>
          <w:rtl/>
        </w:rPr>
        <w:t xml:space="preserve">هذه النبوة مُلغِزة، ولكنّها تشبِّه شخصًا ما في نسل يهوذا بأسدٍ، وتُنبئ بأنّه في المستقبل البعيد سيحكم ملكًا. تُشير هذه النبوة إلى أنّ الحقّ بالملك لن يترك سبط يهوذا "حتى يأتي شيلون." </w:t>
      </w:r>
      <w:r w:rsidR="003D0DFE" w:rsidRPr="00070D4E">
        <w:rPr>
          <w:rtl/>
        </w:rPr>
        <w:t xml:space="preserve">يُفهَم من بعض الترجمات أنّ </w:t>
      </w:r>
      <w:r w:rsidRPr="00070D4E">
        <w:rPr>
          <w:rtl/>
        </w:rPr>
        <w:t>الكلمة "شيلون" أو "شيلوه" في النص العبري (</w:t>
      </w:r>
      <w:r w:rsidRPr="00070D4E">
        <w:rPr>
          <w:rFonts w:ascii="Times New Roman" w:hAnsi="Times New Roman" w:cs="Times New Roman" w:hint="cs"/>
          <w:rtl/>
          <w:lang w:bidi="he-IL"/>
        </w:rPr>
        <w:t>עַ֚ד</w:t>
      </w:r>
      <w:r w:rsidRPr="00070D4E">
        <w:rPr>
          <w:rtl/>
          <w:lang w:bidi="he-IL"/>
        </w:rPr>
        <w:t xml:space="preserve"> </w:t>
      </w:r>
      <w:r w:rsidRPr="00070D4E">
        <w:rPr>
          <w:rFonts w:ascii="Times New Roman" w:hAnsi="Times New Roman" w:cs="Times New Roman" w:hint="cs"/>
          <w:rtl/>
          <w:lang w:bidi="he-IL"/>
        </w:rPr>
        <w:t>כִּֽי־יָבֹ֣א</w:t>
      </w:r>
      <w:r w:rsidRPr="00070D4E">
        <w:rPr>
          <w:rtl/>
          <w:lang w:bidi="he-IL"/>
        </w:rPr>
        <w:t xml:space="preserve"> </w:t>
      </w:r>
      <w:r w:rsidRPr="00070D4E">
        <w:rPr>
          <w:rFonts w:ascii="Times New Roman" w:hAnsi="Times New Roman" w:cs="Times New Roman" w:hint="cs"/>
          <w:rtl/>
          <w:lang w:bidi="he-IL"/>
        </w:rPr>
        <w:t>שִׁילֹה</w:t>
      </w:r>
      <w:r w:rsidRPr="00070D4E">
        <w:rPr>
          <w:rtl/>
        </w:rPr>
        <w:t>) اسم مكان. ولكنْ يمكن أن تكون الكلمة المُترجمة إلى "شيلوه" (</w:t>
      </w:r>
      <w:r w:rsidRPr="00070D4E">
        <w:rPr>
          <w:rFonts w:ascii="Times New Roman" w:hAnsi="Times New Roman" w:cs="Times New Roman" w:hint="cs"/>
          <w:rtl/>
          <w:lang w:bidi="he-IL"/>
        </w:rPr>
        <w:t>שִׁילֹה</w:t>
      </w:r>
      <w:r w:rsidRPr="00070D4E">
        <w:rPr>
          <w:rtl/>
        </w:rPr>
        <w:t>) شبه جملة موصولة، ينبغي ترجمتها إلى "</w:t>
      </w:r>
      <w:r w:rsidR="00471074" w:rsidRPr="00070D4E">
        <w:rPr>
          <w:rtl/>
        </w:rPr>
        <w:t>إلى أن يأتي الذي له."</w:t>
      </w:r>
      <w:r w:rsidR="00471074" w:rsidRPr="00070D4E">
        <w:rPr>
          <w:rStyle w:val="FootnoteReference"/>
          <w:rtl/>
        </w:rPr>
        <w:footnoteReference w:id="216"/>
      </w:r>
      <w:r w:rsidR="00471074" w:rsidRPr="00070D4E">
        <w:rPr>
          <w:rtl/>
        </w:rPr>
        <w:t xml:space="preserve"> هذا هو الفهم الذي نراه في ترجمتي </w:t>
      </w:r>
      <w:r w:rsidR="00471074" w:rsidRPr="00070D4E">
        <w:t>NIV2011</w:t>
      </w:r>
      <w:r w:rsidR="00471074" w:rsidRPr="00070D4E">
        <w:rPr>
          <w:rtl/>
          <w:lang w:bidi="ar-JO"/>
        </w:rPr>
        <w:t xml:space="preserve"> و</w:t>
      </w:r>
      <w:r w:rsidR="00471074" w:rsidRPr="00070D4E">
        <w:rPr>
          <w:lang w:bidi="ar-JO"/>
        </w:rPr>
        <w:t>NET Bible</w:t>
      </w:r>
      <w:r w:rsidR="003D0DFE" w:rsidRPr="00070D4E">
        <w:rPr>
          <w:rtl/>
          <w:lang w:bidi="ar-JO"/>
        </w:rPr>
        <w:t xml:space="preserve"> (وما قد يُفهَم في ترجمة فاندايك البستاني)</w:t>
      </w:r>
      <w:r w:rsidR="00471074" w:rsidRPr="00070D4E">
        <w:rPr>
          <w:rtl/>
          <w:lang w:bidi="ar-JO"/>
        </w:rPr>
        <w:t xml:space="preserve">. </w:t>
      </w:r>
      <w:r w:rsidR="000351EC" w:rsidRPr="00070D4E">
        <w:rPr>
          <w:rtl/>
          <w:lang w:bidi="ar-JO"/>
        </w:rPr>
        <w:t xml:space="preserve">وإذ نفهم هذه العبارة بهذا المعنى، فإن الآية تقول إنّ "عصا الحاكم" (حقّ بأن يحكم ملكًا) ستكون لشخصٍ في سبط يهوذا، ولن تكون لآخر إلى أن يأتي الذي له تلك العصا. وذلك الشخص هو الرب يسوع، الذي وُلِد من نسل يهوذا. ويُشير الجزء الأخير من الآية 10 إلى الامتياز الخاصّ الذي سيكون له: "وله يكون خضوع شعوب." أي أن حُكم الرب يسوع ملكًا سيمتدّ إلى خارج الشعب اليهودي. </w:t>
      </w:r>
      <w:r w:rsidR="000A097B" w:rsidRPr="00070D4E">
        <w:rPr>
          <w:rtl/>
          <w:lang w:bidi="ar-JO"/>
        </w:rPr>
        <w:t>بل إنّ حكمه سيكون على كل</w:t>
      </w:r>
      <w:r w:rsidR="003D0DFE" w:rsidRPr="00070D4E">
        <w:rPr>
          <w:rtl/>
          <w:lang w:bidi="ar-JO"/>
        </w:rPr>
        <w:t>ّ</w:t>
      </w:r>
      <w:r w:rsidR="000A097B" w:rsidRPr="00070D4E">
        <w:rPr>
          <w:rtl/>
          <w:lang w:bidi="ar-JO"/>
        </w:rPr>
        <w:t xml:space="preserve"> الشعوب (الأمم)، التي ستخضع له راغبةً. سيتحقَّق هذا بصورة تدريجي</w:t>
      </w:r>
      <w:r w:rsidR="003D0DFE" w:rsidRPr="00070D4E">
        <w:rPr>
          <w:rtl/>
          <w:lang w:bidi="ar-JO"/>
        </w:rPr>
        <w:t>ّ</w:t>
      </w:r>
      <w:r w:rsidR="000A097B" w:rsidRPr="00070D4E">
        <w:rPr>
          <w:rtl/>
          <w:lang w:bidi="ar-JO"/>
        </w:rPr>
        <w:t xml:space="preserve">ة الآن من خلال الكنيسة، ولكنه سيكتمل بعد المجيء الثاني للمسيح. وتصف الآية 11 سعادة الزمن الذي سيحكم فيه ملكًا بلغة مجازيّة. </w:t>
      </w:r>
    </w:p>
    <w:p w14:paraId="272DDC12" w14:textId="2560583C" w:rsidR="006D54CC" w:rsidRPr="00C7130A" w:rsidRDefault="006D54CC" w:rsidP="00C7130A">
      <w:pPr>
        <w:rPr>
          <w:sz w:val="26"/>
          <w:szCs w:val="26"/>
          <w:rtl/>
        </w:rPr>
      </w:pPr>
    </w:p>
    <w:p w14:paraId="7629B902" w14:textId="37D1ADF9" w:rsidR="002907D3" w:rsidRPr="00BD3343" w:rsidRDefault="000A097B" w:rsidP="00C7130A">
      <w:pPr>
        <w:pStyle w:val="Heading4RED"/>
        <w:rPr>
          <w:rFonts w:cs="Arabic Typesetting"/>
          <w:color w:val="auto"/>
          <w:sz w:val="44"/>
          <w:szCs w:val="44"/>
        </w:rPr>
      </w:pPr>
      <w:r w:rsidRPr="00BD3343">
        <w:rPr>
          <w:rFonts w:cs="Arabic Typesetting"/>
          <w:color w:val="auto"/>
          <w:sz w:val="44"/>
          <w:szCs w:val="44"/>
          <w:rtl/>
        </w:rPr>
        <w:t>سادسًا، خيمة الاجتماع ورئيس الكهنة ونظام الذبائح</w:t>
      </w:r>
    </w:p>
    <w:p w14:paraId="001118D9" w14:textId="29F82D2A" w:rsidR="002907D3" w:rsidRPr="00ED583B" w:rsidRDefault="00C43CD1" w:rsidP="00C7130A">
      <w:pPr>
        <w:rPr>
          <w:rtl/>
        </w:rPr>
      </w:pPr>
      <w:r w:rsidRPr="00ED583B">
        <w:br/>
      </w:r>
      <w:r w:rsidR="000A097B" w:rsidRPr="00ED583B">
        <w:rPr>
          <w:rtl/>
        </w:rPr>
        <w:t>صُنِعت خيمة الاجتماع لأجل عبادة يهوه، ولكنّ كل سماتها ومكوِّناتها تُشير إلى حقائق روحيّة عن الله وعلاقة الناس به. وفي النهاية، تُشير كل هذه الأمور إلى شخص الرب يسوع وخدمته. وبحسب خروج 40: 34، كان مجد الشكينة يسكن في خيمة الاجتماع، وبصورة خاصّة في قدس الأقداس. وكان تابوت العهد في قدس الأقداس. وداخل التابوت كان لوحا الحجر اللذان كانا يحتويان على الوصايا العشرة. كانت هذه الوصايا تمثِّل متطلبات الله القدوس العادلة والبارّة. وعلى تابوت العهد كان غطاؤه – كرسي الرحمة. وفي يومٍ واحدٍ فقط، هو يوم الكفّارة، كان رئيس الكهنة يدخل إلى قدس الأقداس ليضع دم الحيوانات المذبوحة على كرسي الرحمة – غطاء التابوت. وبعمله هذا، كان يُشير إلى أن</w:t>
      </w:r>
      <w:r w:rsidR="00684E95" w:rsidRPr="00ED583B">
        <w:rPr>
          <w:rtl/>
        </w:rPr>
        <w:t>ّ</w:t>
      </w:r>
      <w:r w:rsidR="000A097B" w:rsidRPr="00ED583B">
        <w:rPr>
          <w:rtl/>
        </w:rPr>
        <w:t xml:space="preserve"> الدم (الذي على تابوت العهد الذي فيه وصايا الله) </w:t>
      </w:r>
      <w:r w:rsidR="000F41A5" w:rsidRPr="00ED583B">
        <w:rPr>
          <w:rtl/>
        </w:rPr>
        <w:t>يُغطّي متطلّبات الله القدوس البارّة. وتعلِّمنا رسالة العبرانيّين أن</w:t>
      </w:r>
      <w:r w:rsidR="00684E95" w:rsidRPr="00ED583B">
        <w:rPr>
          <w:rtl/>
        </w:rPr>
        <w:t>ّ</w:t>
      </w:r>
      <w:r w:rsidR="000F41A5" w:rsidRPr="00ED583B">
        <w:rPr>
          <w:rtl/>
        </w:rPr>
        <w:t xml:space="preserve"> الرب يسوع المسيح هو ذبيحة الله الكاملة. فهو نفسه رئيس الكهنة الذي يدخل قدس أقداس محضر الله لا بدم حيوان</w:t>
      </w:r>
      <w:r w:rsidR="00684E95" w:rsidRPr="00ED583B">
        <w:rPr>
          <w:rtl/>
        </w:rPr>
        <w:t>ا</w:t>
      </w:r>
      <w:r w:rsidR="000F41A5" w:rsidRPr="00ED583B">
        <w:rPr>
          <w:rtl/>
        </w:rPr>
        <w:t xml:space="preserve">ت بل بدم نفسه (عبرانيّين 9: 11-12). وبعمل يسوع هذا، صار "وسيط عهدٍ جديد،" صانعًا ومُوجِدًا فداء أبديًّا لنا (عبرانيّين 9: 12، 15). </w:t>
      </w:r>
      <w:r w:rsidR="005D6C28" w:rsidRPr="00ED583B">
        <w:rPr>
          <w:rtl/>
        </w:rPr>
        <w:t xml:space="preserve">لم يكن هناك احتياج لتكرار ذبيحته كلّ سنة، لأنّها كانت ذبيحة كاملة، وبالتالي أوفت بمتطلبات الله البار "مرّة وإلا الأبد" (عبرانيين 9: 24-26). </w:t>
      </w:r>
    </w:p>
    <w:p w14:paraId="30E97435" w14:textId="77777777" w:rsidR="00684E95" w:rsidRPr="00C7130A" w:rsidRDefault="00684E95" w:rsidP="00C7130A">
      <w:pPr>
        <w:rPr>
          <w:sz w:val="26"/>
          <w:szCs w:val="26"/>
        </w:rPr>
      </w:pPr>
    </w:p>
    <w:p w14:paraId="0BAD0246" w14:textId="350B5CAA" w:rsidR="002907D3" w:rsidRPr="00BD3343" w:rsidRDefault="005D6C28" w:rsidP="00C7130A">
      <w:pPr>
        <w:pStyle w:val="Heading4RED"/>
        <w:rPr>
          <w:rFonts w:cs="Arabic Typesetting"/>
          <w:color w:val="auto"/>
          <w:sz w:val="44"/>
          <w:szCs w:val="44"/>
        </w:rPr>
      </w:pPr>
      <w:r w:rsidRPr="00BD3343">
        <w:rPr>
          <w:rFonts w:cs="Arabic Typesetting"/>
          <w:color w:val="auto"/>
          <w:sz w:val="44"/>
          <w:szCs w:val="44"/>
          <w:rtl/>
        </w:rPr>
        <w:lastRenderedPageBreak/>
        <w:t xml:space="preserve">سابعًا، </w:t>
      </w:r>
      <w:r w:rsidR="00536BAB" w:rsidRPr="00BD3343">
        <w:rPr>
          <w:rFonts w:cs="Arabic Typesetting"/>
          <w:color w:val="auto"/>
          <w:sz w:val="44"/>
          <w:szCs w:val="44"/>
          <w:rtl/>
        </w:rPr>
        <w:t>الكوكب</w:t>
      </w:r>
      <w:r w:rsidRPr="00BD3343">
        <w:rPr>
          <w:rFonts w:cs="Arabic Typesetting"/>
          <w:color w:val="auto"/>
          <w:sz w:val="44"/>
          <w:szCs w:val="44"/>
          <w:rtl/>
        </w:rPr>
        <w:t xml:space="preserve"> البعيد (سفر العدد 24: 5-9، 15-19)</w:t>
      </w:r>
    </w:p>
    <w:p w14:paraId="61F9F4A6" w14:textId="1677D949" w:rsidR="005D6C28" w:rsidRPr="00ED583B" w:rsidRDefault="000D4B25" w:rsidP="00C7130A">
      <w:pPr>
        <w:rPr>
          <w:rtl/>
        </w:rPr>
      </w:pPr>
      <w:r w:rsidRPr="00ED583B">
        <w:br/>
      </w:r>
      <w:r w:rsidR="005D6C28" w:rsidRPr="00ED583B">
        <w:rPr>
          <w:rtl/>
        </w:rPr>
        <w:t>يبدو أن</w:t>
      </w:r>
      <w:r w:rsidR="00684E95" w:rsidRPr="00ED583B">
        <w:rPr>
          <w:rtl/>
        </w:rPr>
        <w:t>ّ</w:t>
      </w:r>
      <w:r w:rsidR="005D6C28" w:rsidRPr="00ED583B">
        <w:rPr>
          <w:rtl/>
        </w:rPr>
        <w:t xml:space="preserve"> بلعام كان نبيًّا كذّابًا استأجره بالاق، ملك موآب، ليأتي بلعنةٍ على الشعب العبراني الذي كان قد خرج من مصر. ومع هذا، استخدم الله بلعام لإحباط نوايا ومخط</w:t>
      </w:r>
      <w:r w:rsidR="00684E95" w:rsidRPr="00ED583B">
        <w:rPr>
          <w:rtl/>
        </w:rPr>
        <w:t>َّ</w:t>
      </w:r>
      <w:r w:rsidR="005D6C28" w:rsidRPr="00ED583B">
        <w:rPr>
          <w:rtl/>
        </w:rPr>
        <w:t>طات بالاق بإعلان بركة على شعب العهد بدل إعلانه لعنةً. وفي نشاط بلعام النبوي</w:t>
      </w:r>
      <w:r w:rsidR="00684E95" w:rsidRPr="00ED583B">
        <w:rPr>
          <w:rtl/>
        </w:rPr>
        <w:t>ّ</w:t>
      </w:r>
      <w:r w:rsidR="005D6C28" w:rsidRPr="00ED583B">
        <w:rPr>
          <w:rtl/>
        </w:rPr>
        <w:t xml:space="preserve"> هذا، اقتاده الله </w:t>
      </w:r>
      <w:r w:rsidR="00684E95" w:rsidRPr="00ED583B">
        <w:rPr>
          <w:rtl/>
        </w:rPr>
        <w:t xml:space="preserve">إلى </w:t>
      </w:r>
      <w:r w:rsidR="005D6C28" w:rsidRPr="00ED583B">
        <w:rPr>
          <w:rtl/>
        </w:rPr>
        <w:t>تقديم خمسة "أقوال نبويّة". ينبئ في القولين الثالث والرابع بمجيء ملكٍ سيقوم من الشعب العبراني ستكون له مملكةٌ عظيمة</w:t>
      </w:r>
      <w:r w:rsidR="00684E95" w:rsidRPr="00ED583B">
        <w:rPr>
          <w:rtl/>
        </w:rPr>
        <w:t>ٌ</w:t>
      </w:r>
      <w:r w:rsidR="005D6C28" w:rsidRPr="00ED583B">
        <w:rPr>
          <w:rtl/>
        </w:rPr>
        <w:t xml:space="preserve"> وسيسحق أعداء الله. يُعطى القول النبويّ الثالث في سفر العدد 24: 3-9، ويتحدَّث عن هذا الملك في الجزء الأخير من الآية 7: "ويتسامى ملكه على أجاج وترتفع مملكته." حين نُطِق بهذا القول النبويّ، لم يكن لإسرائيل ملكٌ. والراجح أنّ هذه الكلمات تُشير إلى الملك الذي أُنبئ به في تكوين 49: 9-10 (انظر النقطة "خامسًا" أعلاه). </w:t>
      </w:r>
      <w:r w:rsidR="00FE0181" w:rsidRPr="00ED583B">
        <w:rPr>
          <w:rtl/>
        </w:rPr>
        <w:t xml:space="preserve">يتّضح هذا بعد آيتين في سفر العدد 24: 9، والتي تتضمّن إشاراتٍ إلى تكوين 49: 9-10 والعهد الإبراهيمي: </w:t>
      </w:r>
    </w:p>
    <w:p w14:paraId="4D877CF8" w14:textId="0E0672EA" w:rsidR="00FE0181" w:rsidRPr="00ED583B" w:rsidRDefault="00FE0181" w:rsidP="00C7130A">
      <w:pPr>
        <w:ind w:left="1008" w:right="1008"/>
        <w:rPr>
          <w:rtl/>
        </w:rPr>
      </w:pPr>
      <w:r w:rsidRPr="00ED583B">
        <w:rPr>
          <w:rtl/>
        </w:rPr>
        <w:t>جثم كأسدٍ، ربط كلبوة. مَن يقيمه؟ مباركك مبارَك، ولاعنُك ملعون.</w:t>
      </w:r>
    </w:p>
    <w:p w14:paraId="09AE765F" w14:textId="04FFC719" w:rsidR="005D6C28" w:rsidRPr="00ED583B" w:rsidRDefault="005D6C28" w:rsidP="00C7130A">
      <w:pPr>
        <w:rPr>
          <w:rtl/>
        </w:rPr>
      </w:pPr>
    </w:p>
    <w:p w14:paraId="6385C07A" w14:textId="0ED7758D" w:rsidR="005D6C28" w:rsidRPr="00ED583B" w:rsidRDefault="00FE0181" w:rsidP="00C7130A">
      <w:pPr>
        <w:rPr>
          <w:rtl/>
        </w:rPr>
      </w:pPr>
      <w:r w:rsidRPr="00ED583B">
        <w:rPr>
          <w:rtl/>
        </w:rPr>
        <w:t xml:space="preserve">تُشير صورة الأسد المجازية إلى الذي سيحكم ملكًا </w:t>
      </w:r>
      <w:r w:rsidR="008E3DD6" w:rsidRPr="00ED583B">
        <w:rPr>
          <w:rtl/>
        </w:rPr>
        <w:t xml:space="preserve">من سبط يهوذا. كما أنّه الذي فيه سيتحقَّق العهد الإبراهيم (إذ يأتي ببركة الله لكلّ شعوب وعشائر العالم). </w:t>
      </w:r>
    </w:p>
    <w:p w14:paraId="51020A88" w14:textId="0D606755" w:rsidR="008E3DD6" w:rsidRPr="00ED583B" w:rsidRDefault="008E3DD6" w:rsidP="00C7130A">
      <w:pPr>
        <w:rPr>
          <w:rtl/>
        </w:rPr>
      </w:pPr>
      <w:r w:rsidRPr="00ED583B">
        <w:rPr>
          <w:rtl/>
        </w:rPr>
        <w:t>سفر العدد 24: 10-14 تحضير للقول الرابع الذي يرد في سفر العدد 24: 15-19. يُشار في نهاية الآية 14 إلى "آخر الأيّام" (بأحَريت هايّامِيم). يرد هذا التعبير في تكوين 49: 1، التي تمثل مُقدِّمة إلى نبوّات يعقوب لأبنائه الاثني عشر، وفي تثنية 4: 30 بشأن ضيق شعب إسرائيل في المستقبل البعيد (قارن مع إشعياء 2: 2؛ إرميا 23: 20؛ هوشع 3: 5). هذه إشارة إلى أنّ ما يأتي تاليًا في الآيات 15-19 يتعلق بـ"آخر الأيّام" (في ارتباط مع المجيء الثاني للمسيح). يُعلِن بلعام قائلًا: "أراه، ولكنْ ليس الآن، أ</w:t>
      </w:r>
      <w:r w:rsidR="00684E95" w:rsidRPr="00ED583B">
        <w:rPr>
          <w:rtl/>
        </w:rPr>
        <w:t>ُ</w:t>
      </w:r>
      <w:r w:rsidRPr="00ED583B">
        <w:rPr>
          <w:rtl/>
        </w:rPr>
        <w:t>بص</w:t>
      </w:r>
      <w:r w:rsidR="00684E95" w:rsidRPr="00ED583B">
        <w:rPr>
          <w:rtl/>
        </w:rPr>
        <w:t>ِ</w:t>
      </w:r>
      <w:r w:rsidRPr="00ED583B">
        <w:rPr>
          <w:rtl/>
        </w:rPr>
        <w:t>ره ولكن ليس قريبًا" (سفر العدد 24: 17). وبالاعتماد على السياق السابق، قد يكون الحديث هنا عن الملك الذي ذُكِر للتوّ، أي الملك المرتبط بنبوّة تكوين 49: 9-10. وبعد ذلك يقول بلعام: "يبرز كوكب من يعقوب، ويقوم قضيبٌ من إسرائيل." في ضوء الكلمة "قضيب"، يُفهَم أن الكلمة "كوكب" إشارة مجازيّة إلى هذا الملك المستقبلي</w:t>
      </w:r>
      <w:r w:rsidR="00684E95" w:rsidRPr="00ED583B">
        <w:rPr>
          <w:rtl/>
        </w:rPr>
        <w:t>ّ</w:t>
      </w:r>
      <w:r w:rsidRPr="00ED583B">
        <w:rPr>
          <w:rtl/>
        </w:rPr>
        <w:t xml:space="preserve">، أي المسيا يسوع (قارن مع رؤيا 22: </w:t>
      </w:r>
      <w:r w:rsidR="00536BAB" w:rsidRPr="00ED583B">
        <w:rPr>
          <w:rtl/>
        </w:rPr>
        <w:t>16). وتُنبئ بقيّة الآيتين 17 و18 بانتصاره النهائي على أعداء الله. وبعد ذلك، يختم سفر العدد 24: 10 بالقول: "ويتسلّط الذي من يعقوب." هذا هو "الكوكب،" الملك، المذكور في الآية 17. سيكتمل نظام الله المخلوق في الرب يسوع حين سيأتي ليهزم أعداءه في مجيئه الثاني.</w:t>
      </w:r>
      <w:r w:rsidR="00536BAB" w:rsidRPr="00ED583B">
        <w:rPr>
          <w:rStyle w:val="FootnoteReference"/>
          <w:rtl/>
        </w:rPr>
        <w:footnoteReference w:id="217"/>
      </w:r>
    </w:p>
    <w:p w14:paraId="3C3416E3" w14:textId="77777777" w:rsidR="005D6C28" w:rsidRPr="00C7130A" w:rsidRDefault="005D6C28" w:rsidP="00C7130A">
      <w:pPr>
        <w:rPr>
          <w:sz w:val="26"/>
          <w:szCs w:val="26"/>
          <w:rtl/>
        </w:rPr>
      </w:pPr>
    </w:p>
    <w:p w14:paraId="77D14A0C" w14:textId="77AC5709" w:rsidR="002907D3" w:rsidRPr="00BD3343" w:rsidRDefault="00536BAB" w:rsidP="00C7130A">
      <w:pPr>
        <w:pStyle w:val="Heading4RED"/>
        <w:rPr>
          <w:rFonts w:cs="Arabic Typesetting"/>
          <w:color w:val="auto"/>
          <w:sz w:val="44"/>
          <w:szCs w:val="44"/>
        </w:rPr>
      </w:pPr>
      <w:r w:rsidRPr="00BD3343">
        <w:rPr>
          <w:rFonts w:cs="Arabic Typesetting"/>
          <w:color w:val="auto"/>
          <w:sz w:val="44"/>
          <w:szCs w:val="44"/>
          <w:rtl/>
        </w:rPr>
        <w:lastRenderedPageBreak/>
        <w:t>ثامنًا، نبيّ</w:t>
      </w:r>
      <w:r w:rsidR="001F3314" w:rsidRPr="00BD3343">
        <w:rPr>
          <w:rFonts w:cs="Arabic Typesetting"/>
          <w:color w:val="auto"/>
          <w:sz w:val="44"/>
          <w:szCs w:val="44"/>
          <w:rtl/>
        </w:rPr>
        <w:t>ٌ</w:t>
      </w:r>
      <w:r w:rsidRPr="00BD3343">
        <w:rPr>
          <w:rFonts w:cs="Arabic Typesetting"/>
          <w:color w:val="auto"/>
          <w:sz w:val="44"/>
          <w:szCs w:val="44"/>
          <w:rtl/>
        </w:rPr>
        <w:t xml:space="preserve"> يشبه موسى (تثنية 18: 15-19)</w:t>
      </w:r>
    </w:p>
    <w:p w14:paraId="1F317BEF" w14:textId="06185724" w:rsidR="005246D5" w:rsidRPr="00ED583B" w:rsidRDefault="00CB3027" w:rsidP="00C7130A">
      <w:pPr>
        <w:rPr>
          <w:rtl/>
        </w:rPr>
      </w:pPr>
      <w:r w:rsidRPr="00ED583B">
        <w:br/>
      </w:r>
      <w:r w:rsidR="005246D5" w:rsidRPr="00ED583B">
        <w:rPr>
          <w:rtl/>
        </w:rPr>
        <w:t>من بين كل</w:t>
      </w:r>
      <w:r w:rsidR="0016537C" w:rsidRPr="00ED583B">
        <w:rPr>
          <w:rtl/>
        </w:rPr>
        <w:t>ّ</w:t>
      </w:r>
      <w:r w:rsidR="005246D5" w:rsidRPr="00ED583B">
        <w:rPr>
          <w:rtl/>
        </w:rPr>
        <w:t xml:space="preserve"> شخصي</w:t>
      </w:r>
      <w:r w:rsidR="0016537C" w:rsidRPr="00ED583B">
        <w:rPr>
          <w:rtl/>
        </w:rPr>
        <w:t>ّ</w:t>
      </w:r>
      <w:r w:rsidR="005246D5" w:rsidRPr="00ED583B">
        <w:rPr>
          <w:rtl/>
        </w:rPr>
        <w:t>ات العهد القديم، رب</w:t>
      </w:r>
      <w:r w:rsidR="0016537C" w:rsidRPr="00ED583B">
        <w:rPr>
          <w:rtl/>
        </w:rPr>
        <w:t>ّ</w:t>
      </w:r>
      <w:r w:rsidR="005246D5" w:rsidRPr="00ED583B">
        <w:rPr>
          <w:rtl/>
        </w:rPr>
        <w:t xml:space="preserve">ما يكون موسى أبرزهم. فهو موسى الذي أقامه الله ليقود العبرانيّين في الخروج من مصر، وموسى هو مَن به أعطى الله الناموس للشعب. لا شكّ أنّه كان الناطق الرئيسي بإعلان الله قبل مجيء الرب يسوع. وفيما كان وقته </w:t>
      </w:r>
      <w:r w:rsidR="0016537C" w:rsidRPr="00ED583B">
        <w:rPr>
          <w:rtl/>
        </w:rPr>
        <w:t>لترك الحياة</w:t>
      </w:r>
      <w:r w:rsidR="005246D5" w:rsidRPr="00ED583B">
        <w:rPr>
          <w:rtl/>
        </w:rPr>
        <w:t xml:space="preserve"> يقترب، أعلن أن</w:t>
      </w:r>
      <w:r w:rsidR="0016537C" w:rsidRPr="00ED583B">
        <w:rPr>
          <w:rtl/>
        </w:rPr>
        <w:t>ّ</w:t>
      </w:r>
      <w:r w:rsidR="005246D5" w:rsidRPr="00ED583B">
        <w:rPr>
          <w:rtl/>
        </w:rPr>
        <w:t xml:space="preserve"> الرب سيقيم نبيًّا آخر ليكون لسان الله في المستقبل (تثنية 18: 15-19): </w:t>
      </w:r>
    </w:p>
    <w:p w14:paraId="42D7BCB0" w14:textId="6405C49A" w:rsidR="005246D5" w:rsidRPr="00ED583B" w:rsidRDefault="005246D5" w:rsidP="00C7130A">
      <w:pPr>
        <w:ind w:left="1008" w:right="1008"/>
        <w:rPr>
          <w:rtl/>
        </w:rPr>
      </w:pPr>
      <w:r w:rsidRPr="00ED583B">
        <w:rPr>
          <w:vertAlign w:val="superscript"/>
          <w:rtl/>
        </w:rPr>
        <w:t>15</w:t>
      </w:r>
      <w:r w:rsidRPr="00ED583B">
        <w:rPr>
          <w:rtl/>
        </w:rPr>
        <w:t xml:space="preserve">يُقِيمُ لَكَ الرَّبُّ إِلهُكَ نَبِيًّا مِنْ وَسَطِكَ مِنْ إِخْوَتِكَ مِثْلِي. لَهُ تَسْمَعُونَ. </w:t>
      </w:r>
      <w:r w:rsidRPr="00ED583B">
        <w:rPr>
          <w:vertAlign w:val="superscript"/>
          <w:rtl/>
        </w:rPr>
        <w:t>16</w:t>
      </w:r>
      <w:r w:rsidRPr="00ED583B">
        <w:rPr>
          <w:rtl/>
        </w:rPr>
        <w:t xml:space="preserve">حَسَبَ كُلِّ مَا طَلَبْتَ مِنَ الرَّبِّ إِلهِكَ فِي حُورِيبَ يَوْمَ الاجْتِمَاعِ قَائِلاً: لاَ أَعُودُ أَسْمَعُ صَوْتَ الرَّبِّ إِلهِي وَلاَ أَرَى هذِهِ النَّارَ الْعَظِيمَةَ أَيْضًا لِئَلاَّ أَمُوتَ. </w:t>
      </w:r>
      <w:r w:rsidRPr="00ED583B">
        <w:rPr>
          <w:vertAlign w:val="superscript"/>
          <w:rtl/>
        </w:rPr>
        <w:t>17</w:t>
      </w:r>
      <w:r w:rsidRPr="00ED583B">
        <w:rPr>
          <w:rtl/>
        </w:rPr>
        <w:t xml:space="preserve">قَالَ لِيَ الرَّبُّ: قَدْ أَحْسَنُوا فِي مَا تَكَلَّمُوا. </w:t>
      </w:r>
      <w:r w:rsidRPr="00ED583B">
        <w:rPr>
          <w:vertAlign w:val="superscript"/>
          <w:rtl/>
        </w:rPr>
        <w:t>18</w:t>
      </w:r>
      <w:r w:rsidRPr="00ED583B">
        <w:rPr>
          <w:rtl/>
        </w:rPr>
        <w:t xml:space="preserve">أُقِيمُ لَهُمْ نَبِيًّا مِنْ وَسَطِ إِخْوَتِهِمْ مِثْلَكَ، وَأَجْعَلُ كَلاَمِي فِي فَمِهِ، فَيُكَلِّمُهُمْ بِكُلِّ مَا أُوصِيهِ بِهِ. </w:t>
      </w:r>
      <w:r w:rsidRPr="00ED583B">
        <w:rPr>
          <w:vertAlign w:val="superscript"/>
          <w:rtl/>
        </w:rPr>
        <w:t>19</w:t>
      </w:r>
      <w:r w:rsidRPr="00ED583B">
        <w:rPr>
          <w:rtl/>
        </w:rPr>
        <w:t>وَيَكُونُ أَنَّ الإِنْسَانَ الَّذِي لاَ يَسْمَعُ لِكَلاَمِي الَّذِي يَتَكَلَّمُ بِهِ بِاسْمِي أَنَا أُطَالِبُهُ.</w:t>
      </w:r>
    </w:p>
    <w:p w14:paraId="79BC855B" w14:textId="5AD111FB" w:rsidR="005246D5" w:rsidRPr="00ED583B" w:rsidRDefault="005246D5" w:rsidP="00C7130A">
      <w:pPr>
        <w:rPr>
          <w:rtl/>
        </w:rPr>
      </w:pPr>
    </w:p>
    <w:p w14:paraId="243DF48D" w14:textId="096372ED" w:rsidR="008954D0" w:rsidRPr="00ED583B" w:rsidRDefault="005246D5" w:rsidP="00C7130A">
      <w:pPr>
        <w:rPr>
          <w:rtl/>
        </w:rPr>
      </w:pPr>
      <w:r w:rsidRPr="00ED583B">
        <w:rPr>
          <w:rtl/>
        </w:rPr>
        <w:t xml:space="preserve">حين كان العبرانيّون عند جبل سيناء ويتلقّون الناموس، خافوا خوفًا عظيمًا بسبب ما سمعوه ورأوه: البرق والرعد والنار والصوت المرتفع (خروج 20: 18-19؛ تثنية 5: 23-27). </w:t>
      </w:r>
      <w:r w:rsidR="008954D0" w:rsidRPr="00ED583B">
        <w:rPr>
          <w:rtl/>
        </w:rPr>
        <w:t xml:space="preserve">توسّلوا إلى موسى بألا يسمعوا الله يكلِّمهم </w:t>
      </w:r>
      <w:r w:rsidR="0016537C" w:rsidRPr="00ED583B">
        <w:rPr>
          <w:rtl/>
        </w:rPr>
        <w:t>بصورة مباشرة</w:t>
      </w:r>
      <w:r w:rsidR="008954D0" w:rsidRPr="00ED583B">
        <w:rPr>
          <w:rtl/>
        </w:rPr>
        <w:t>. فقد أرادوا أن يكلِّم الله موسى، ومن ثمّ ينقل موسى إليهم رسالة الله. وقد وهبهم الله ما تمنّوه، ولكنّه وعد بأنّه سيقيم في المستقبل نبيًّا من وسط الشعب اليهودي سيكون "مثل موسى،" أي سيُعلِن إرادة الله. سيتكلَّم هذا النبي المستقبلي بكلّ ما يأمره الله به. وعلاوةً على هذا، فقد وعد الله بأن يحاس</w:t>
      </w:r>
      <w:r w:rsidR="0016537C" w:rsidRPr="00ED583B">
        <w:rPr>
          <w:rtl/>
        </w:rPr>
        <w:t>ِ</w:t>
      </w:r>
      <w:r w:rsidR="008954D0" w:rsidRPr="00ED583B">
        <w:rPr>
          <w:rtl/>
        </w:rPr>
        <w:t xml:space="preserve">ب الشعب بشأن ما سيقوله هذا النبي المستقبلي. </w:t>
      </w:r>
    </w:p>
    <w:p w14:paraId="48878E00" w14:textId="59FFB3C7" w:rsidR="005246D5" w:rsidRPr="00ED583B" w:rsidRDefault="008954D0" w:rsidP="00C7130A">
      <w:pPr>
        <w:rPr>
          <w:rtl/>
        </w:rPr>
      </w:pPr>
      <w:r w:rsidRPr="00ED583B">
        <w:rPr>
          <w:rtl/>
        </w:rPr>
        <w:t>كان يسوع في الحقيقة هو تتميم هذا الوعد. فقد كان نبيًّا بمعنى أنّه تكلَّم ممثِّلًا الله، ولكنّه كان بالطبع أعظم من كل</w:t>
      </w:r>
      <w:r w:rsidR="0016537C" w:rsidRPr="00ED583B">
        <w:rPr>
          <w:rtl/>
        </w:rPr>
        <w:t>ّ</w:t>
      </w:r>
      <w:r w:rsidRPr="00ED583B">
        <w:rPr>
          <w:rtl/>
        </w:rPr>
        <w:t xml:space="preserve"> الأنبياء السابقين. وعند إطعام يسوع للخمسة آلاف، تجاوبت الجموع للمعجزة بربط يسوع بنبوة تثنية 18. يدوِّن لنا يوحنّا تجاوبهم بالطريقة التالية: "فلمّا رأى الناس الآية التي صنعها يسوع قالوا: ’إن هذا هو بالحقيقة النبيّ الآتي إلى العالم‘" (يوحنا 6: 14). وفي مناسبةٍ أخرى، حين تكلَّم يسوع في عيد المظال، يدوِّن لنا يوحنا ردّة فعل</w:t>
      </w:r>
      <w:r w:rsidR="009B5D5B" w:rsidRPr="00ED583B">
        <w:rPr>
          <w:rtl/>
        </w:rPr>
        <w:t>ِ</w:t>
      </w:r>
      <w:r w:rsidRPr="00ED583B">
        <w:rPr>
          <w:rtl/>
        </w:rPr>
        <w:t xml:space="preserve"> الجموع: "فكثيرون من الجمع لما سمعوا هذا الكلام قالوا: ’هذا بالحقيقة هو النبيُّ‘" (يوحنا 7: 40). وربّما ما كان ذا مغزى أعظم هو ما حدث على جبل التجلّ</w:t>
      </w:r>
      <w:r w:rsidR="009B5D5B" w:rsidRPr="00ED583B">
        <w:rPr>
          <w:rtl/>
        </w:rPr>
        <w:t>ِ</w:t>
      </w:r>
      <w:r w:rsidRPr="00ED583B">
        <w:rPr>
          <w:rtl/>
        </w:rPr>
        <w:t xml:space="preserve">ي، وهي الحادثة التي تُدوَّن في سجلّات الأناجيل المتشابهة الثلاثة (متّى 17: 1-8؛ مرقس 9: 2-8؛ لوقا 9: 28-36). حين نظر بطرس ويعقوب ويوحنا، </w:t>
      </w:r>
      <w:r w:rsidR="009F316E" w:rsidRPr="00ED583B">
        <w:rPr>
          <w:rtl/>
        </w:rPr>
        <w:t>صدر صوتٌ من السحابة يقول: "هذا هو ابني الحبيب الذي به سُرِرت. له اسمعوا!" (متّى 17: 5). تعكس الكلمتان الأخيرتان كلمات تثنية 18: 15. فالآب هنا يؤكِّد على أنّ يسوع، ابنه الحبيب، هو مَن تكلَّم عنه موسى (قارن مع عبرانيّين 1: 1-2). ومغزى هذه الكلمات هو أنّ شعب إسرائيل م</w:t>
      </w:r>
      <w:r w:rsidR="00A84A29" w:rsidRPr="00ED583B">
        <w:rPr>
          <w:rtl/>
        </w:rPr>
        <w:t>ُ</w:t>
      </w:r>
      <w:r w:rsidR="009F316E" w:rsidRPr="00ED583B">
        <w:rPr>
          <w:rtl/>
        </w:rPr>
        <w:t xml:space="preserve">لزَم تجاه ما كان موسى قد "قاله" حتّى وقت مجيء يسوع (أي الناموس). والآن، بعد أن أتى يسوع صار عليهم أن يستمعوا إليه. </w:t>
      </w:r>
    </w:p>
    <w:p w14:paraId="263245D2" w14:textId="3750C1CF" w:rsidR="009F316E" w:rsidRPr="00ED583B" w:rsidRDefault="009F316E" w:rsidP="00C7130A">
      <w:pPr>
        <w:rPr>
          <w:rtl/>
          <w:lang w:bidi="ar-JO"/>
        </w:rPr>
      </w:pPr>
      <w:r w:rsidRPr="00ED583B">
        <w:rPr>
          <w:rtl/>
        </w:rPr>
        <w:t xml:space="preserve">وحين نأتي إلى سفر الأعمال، تصير المساواة بين "النبي الآتي" ويسوع أكثر وضوحًا. ففي عظة بطرس في أعمال 3، دعا الناس إلى التوبة، واقتبس جزءًا من تثنية 18: 15-19 ليؤكِّد على ضرورة الاستماع </w:t>
      </w:r>
      <w:r w:rsidR="00A84A29" w:rsidRPr="00ED583B">
        <w:rPr>
          <w:rtl/>
        </w:rPr>
        <w:t xml:space="preserve">إلى </w:t>
      </w:r>
      <w:r w:rsidRPr="00ED583B">
        <w:rPr>
          <w:rtl/>
        </w:rPr>
        <w:t xml:space="preserve">يسوع (أعمال الرسل 3: 19-23). وقد عمل استفانوس الشهيد الأمر نفسه (أعمال 7: 37). </w:t>
      </w:r>
    </w:p>
    <w:p w14:paraId="4F387DF1" w14:textId="77777777" w:rsidR="005246D5" w:rsidRPr="00C7130A" w:rsidRDefault="005246D5" w:rsidP="00C7130A">
      <w:pPr>
        <w:rPr>
          <w:sz w:val="26"/>
          <w:szCs w:val="26"/>
          <w:rtl/>
        </w:rPr>
      </w:pPr>
    </w:p>
    <w:p w14:paraId="23B85037" w14:textId="63BE5D1D" w:rsidR="002907D3" w:rsidRPr="00BD3343" w:rsidRDefault="00536BAB" w:rsidP="00C7130A">
      <w:pPr>
        <w:pStyle w:val="Heading4RED"/>
        <w:rPr>
          <w:rFonts w:cs="Arabic Typesetting"/>
          <w:color w:val="auto"/>
          <w:sz w:val="44"/>
          <w:szCs w:val="44"/>
        </w:rPr>
      </w:pPr>
      <w:r w:rsidRPr="00BD3343">
        <w:rPr>
          <w:rFonts w:cs="Arabic Typesetting"/>
          <w:color w:val="auto"/>
          <w:sz w:val="44"/>
          <w:szCs w:val="44"/>
          <w:rtl/>
        </w:rPr>
        <w:t>تاسعًا، أمانة الولي الفادي (راعوث)</w:t>
      </w:r>
    </w:p>
    <w:p w14:paraId="0032B493" w14:textId="29F0A499" w:rsidR="009F316E" w:rsidRPr="00ED583B" w:rsidRDefault="00F0181F" w:rsidP="00C7130A">
      <w:pPr>
        <w:rPr>
          <w:rtl/>
        </w:rPr>
      </w:pPr>
      <w:r w:rsidRPr="00ED583B">
        <w:br/>
      </w:r>
      <w:r w:rsidR="009F316E" w:rsidRPr="00ED583B">
        <w:rPr>
          <w:rtl/>
        </w:rPr>
        <w:t xml:space="preserve">في سفر راعوث، يظهر بوعز بوصفه قريبَ أليمالك، زوج نعمي. وبوصفه قريبًا، كانت عليه مسؤولية الاهتمام بمصالح العائلة وحمايتها. وقد أخبرت نعمي راعوث أن بوعز "ولي" للعائلة، وهي ترجمة للكلمة العبرية "غُوئِيل". (انظر راعوث 2: 20؛ 3: 9، 12.) ولذا، كانت عليه مسؤوليّات مُعيّنة مثلما كانت له امتيازات. أحد امتيازات "الغوئيل" هو أنّ له الحق بأن يبيع قطعةً من أراضي أليمالك وأن ينتفع منها. ولكنْ كانت عليه أيضًا مسؤولية الزواج من راعوث، الأرملة الشابّة ضمن دائرة العائلة الكبيرة. كانت هذه عادة الزواج </w:t>
      </w:r>
      <w:r w:rsidR="00715A3A" w:rsidRPr="00ED583B">
        <w:rPr>
          <w:rtl/>
        </w:rPr>
        <w:t xml:space="preserve">من أرملة الأخ أو القريب (تثنية 25: 5-6). </w:t>
      </w:r>
    </w:p>
    <w:p w14:paraId="76901482" w14:textId="07894666" w:rsidR="00715A3A" w:rsidRPr="00ED583B" w:rsidRDefault="00715A3A" w:rsidP="00C7130A">
      <w:pPr>
        <w:rPr>
          <w:rtl/>
        </w:rPr>
      </w:pPr>
      <w:r w:rsidRPr="00ED583B">
        <w:rPr>
          <w:rtl/>
        </w:rPr>
        <w:t>ومع استمرار أحداث القصّة، يظهر أنّه كان هناك قريبٌ آخر في العائلة أكثر قُربًا من بوعز (راعوث 3: 12). ولذا، كان لهذا الرجل حقّ "افتداء" الأرض وامتلاكها بشرط أن يتزوّج من راعوث. ربما كان الزواج من راعوث، ذات الأصل الموآبي، أمرًا ثقيلًا عليه، ولذا تخلّى عن فرصة إتمام دوره بوصفه "الولي الفادي" (راعوث 4: 3-8). ولذا، صار بوعز حرًّا بأن يكون "الولي</w:t>
      </w:r>
      <w:r w:rsidR="005B0B5A" w:rsidRPr="00ED583B">
        <w:rPr>
          <w:rtl/>
        </w:rPr>
        <w:t>َّ</w:t>
      </w:r>
      <w:r w:rsidRPr="00ED583B">
        <w:rPr>
          <w:rtl/>
        </w:rPr>
        <w:t xml:space="preserve"> الفادي" لراعوث، وقد عمل هذا راغبًا. </w:t>
      </w:r>
    </w:p>
    <w:p w14:paraId="39B1C92E" w14:textId="78428902" w:rsidR="00715A3A" w:rsidRPr="00ED583B" w:rsidRDefault="00715A3A" w:rsidP="00C7130A">
      <w:pPr>
        <w:rPr>
          <w:rtl/>
        </w:rPr>
      </w:pPr>
      <w:r w:rsidRPr="00ED583B">
        <w:rPr>
          <w:rtl/>
        </w:rPr>
        <w:t>وقرب نهاية القصة، قالت نساء البلدة لنعمي: "مباركٌ الربّ الذي لم يعدمك وليًّا اليوم لكي يُدعى اسمُه في إسرائيل" (راعوث 4: 14). كانت هذه إشارة إلى عوبيد، الطفل الذي وُلِد لبوعز وراعوث. فسيكون عوبيد "الولي</w:t>
      </w:r>
      <w:r w:rsidR="005B0B5A" w:rsidRPr="00ED583B">
        <w:rPr>
          <w:rtl/>
        </w:rPr>
        <w:t>َّ</w:t>
      </w:r>
      <w:r w:rsidRPr="00ED583B">
        <w:rPr>
          <w:rtl/>
        </w:rPr>
        <w:t xml:space="preserve"> الفادي" للجيل التالي. وينتهي السفر بسلسلة نسب تربط عوبيد بالملك داود، جدّ الرب يسوع. ولذا، ستكون النتيجة في الوقت المناسب أنّ يسوع سيأتي ليكون الولي</w:t>
      </w:r>
      <w:r w:rsidR="005B0B5A" w:rsidRPr="00ED583B">
        <w:rPr>
          <w:rtl/>
        </w:rPr>
        <w:t>َّ</w:t>
      </w:r>
      <w:r w:rsidRPr="00ED583B">
        <w:rPr>
          <w:rtl/>
        </w:rPr>
        <w:t xml:space="preserve"> الفادي، الذي سيضع حياته راغبًا لأجل "الخراف"، مفتديًا إياها بدمه. </w:t>
      </w:r>
    </w:p>
    <w:p w14:paraId="26046365" w14:textId="77777777" w:rsidR="00715A3A" w:rsidRPr="00C7130A" w:rsidRDefault="00715A3A" w:rsidP="00C7130A">
      <w:pPr>
        <w:rPr>
          <w:sz w:val="26"/>
          <w:szCs w:val="26"/>
          <w:rtl/>
        </w:rPr>
      </w:pPr>
    </w:p>
    <w:p w14:paraId="57F0098E" w14:textId="309436A6" w:rsidR="000871F4" w:rsidRPr="00BD3343" w:rsidRDefault="00536BAB" w:rsidP="00C7130A">
      <w:pPr>
        <w:pStyle w:val="Heading4RED"/>
        <w:rPr>
          <w:rFonts w:cs="Arabic Typesetting"/>
          <w:color w:val="auto"/>
          <w:sz w:val="44"/>
          <w:szCs w:val="44"/>
        </w:rPr>
      </w:pPr>
      <w:r w:rsidRPr="00BD3343">
        <w:rPr>
          <w:rFonts w:cs="Arabic Typesetting"/>
          <w:color w:val="auto"/>
          <w:sz w:val="44"/>
          <w:szCs w:val="44"/>
          <w:rtl/>
        </w:rPr>
        <w:t>الخاتمة</w:t>
      </w:r>
    </w:p>
    <w:bookmarkEnd w:id="417"/>
    <w:bookmarkEnd w:id="418"/>
    <w:p w14:paraId="3BA00D32" w14:textId="43F318BE" w:rsidR="008B149F" w:rsidRPr="00ED583B" w:rsidRDefault="00715A3A" w:rsidP="00C7130A">
      <w:r w:rsidRPr="00ED583B">
        <w:rPr>
          <w:rtl/>
        </w:rPr>
        <w:t>هناك نبوّات عديدة ورموزًا ونماذج في أسفار التكوين – راعوث تُنبئ بالرب يسوع المسيح الآتي. فهو "نسل المرأة" الذي سيهزم في النهاية الشيطان</w:t>
      </w:r>
      <w:r w:rsidR="00881AA8" w:rsidRPr="00ED583B">
        <w:rPr>
          <w:rtl/>
        </w:rPr>
        <w:t>َ</w:t>
      </w:r>
      <w:r w:rsidRPr="00ED583B">
        <w:rPr>
          <w:rtl/>
        </w:rPr>
        <w:t xml:space="preserve"> والمتحالفين معه. وتساعدنا خيمة الاجتماع ونظام الذبائح في فهم كيف يفي موته الذبيحي بمطالب الله القدوس البارة والعادلة منّا. وفي النهاية، ستتبارك كلّ شعوب الأرض بـ"نسل إبراهيم،" لأنّه مكَّننا من أن نتصالح مع الله حين صار فادينا ووليّنا! </w:t>
      </w:r>
    </w:p>
    <w:p w14:paraId="2BBAFD1B" w14:textId="77777777" w:rsidR="005B0B5A" w:rsidRPr="00C7130A" w:rsidRDefault="005B0B5A" w:rsidP="00C7130A">
      <w:pPr>
        <w:rPr>
          <w:b/>
          <w:bCs/>
          <w:kern w:val="0"/>
          <w:sz w:val="40"/>
          <w:szCs w:val="40"/>
          <w:rtl/>
        </w:rPr>
      </w:pPr>
      <w:bookmarkStart w:id="422" w:name="_Hlk178779499"/>
      <w:r w:rsidRPr="00C7130A">
        <w:rPr>
          <w:rtl/>
        </w:rPr>
        <w:br w:type="page"/>
      </w:r>
    </w:p>
    <w:p w14:paraId="1A0AB830" w14:textId="2B0FBA71" w:rsidR="006311FA" w:rsidRPr="00C7130A" w:rsidRDefault="00715A3A" w:rsidP="00E80A44">
      <w:pPr>
        <w:pStyle w:val="Heading2"/>
      </w:pPr>
      <w:bookmarkStart w:id="423" w:name="_Toc193031158"/>
      <w:r w:rsidRPr="00C7130A">
        <w:rPr>
          <w:rtl/>
        </w:rPr>
        <w:lastRenderedPageBreak/>
        <w:t>المُلحَق 1: تطوُّر</w:t>
      </w:r>
      <w:r w:rsidR="003D46FC" w:rsidRPr="00C7130A">
        <w:rPr>
          <w:rtl/>
        </w:rPr>
        <w:t>ات</w:t>
      </w:r>
      <w:r w:rsidRPr="00C7130A">
        <w:rPr>
          <w:rtl/>
        </w:rPr>
        <w:t xml:space="preserve"> </w:t>
      </w:r>
      <w:r w:rsidR="003D46FC" w:rsidRPr="00C7130A">
        <w:rPr>
          <w:rtl/>
        </w:rPr>
        <w:t>مهمة مرتبطة بالآباء</w:t>
      </w:r>
      <w:bookmarkStart w:id="424" w:name="_Toc193031159"/>
      <w:bookmarkEnd w:id="423"/>
      <w:r w:rsidR="00E80A44">
        <w:rPr>
          <w:rFonts w:hint="cs"/>
          <w:rtl/>
        </w:rPr>
        <w:t xml:space="preserve"> </w:t>
      </w:r>
      <w:r w:rsidR="003D46FC" w:rsidRPr="00C7130A">
        <w:rPr>
          <w:rtl/>
        </w:rPr>
        <w:t>في تاريخ الشرق الأدنى القديم</w:t>
      </w:r>
      <w:bookmarkEnd w:id="424"/>
      <w:r w:rsidR="003D46FC" w:rsidRPr="00C7130A">
        <w:rPr>
          <w:rtl/>
        </w:rPr>
        <w:t xml:space="preserve"> </w:t>
      </w:r>
    </w:p>
    <w:p w14:paraId="550A213E" w14:textId="77777777" w:rsidR="00E80A44" w:rsidRDefault="00E80A44" w:rsidP="000558B7">
      <w:pPr>
        <w:pStyle w:val="Heading3"/>
        <w:rPr>
          <w:rtl/>
          <w:lang w:bidi="ar-JO"/>
        </w:rPr>
      </w:pPr>
      <w:bookmarkStart w:id="425" w:name="_Toc193031160"/>
      <w:bookmarkEnd w:id="422"/>
    </w:p>
    <w:p w14:paraId="7F364AB7" w14:textId="16C66B2B" w:rsidR="00263246" w:rsidRPr="00C7130A" w:rsidRDefault="00263246" w:rsidP="000558B7">
      <w:pPr>
        <w:pStyle w:val="Heading3"/>
        <w:rPr>
          <w:rtl/>
          <w:lang w:bidi="ar-JO"/>
        </w:rPr>
      </w:pPr>
      <w:r w:rsidRPr="00C7130A">
        <w:rPr>
          <w:rtl/>
          <w:lang w:bidi="ar-JO"/>
        </w:rPr>
        <w:t>مقدمة</w:t>
      </w:r>
      <w:bookmarkEnd w:id="425"/>
    </w:p>
    <w:p w14:paraId="60DD3E7F"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20C1A">
        <w:rPr>
          <w:rFonts w:eastAsia="Times New Roman"/>
          <w:kern w:val="0"/>
          <w:rtl/>
          <w:lang w:bidi="ar-JO"/>
          <w14:ligatures w14:val="none"/>
        </w:rPr>
        <w:t>تهدف المعلومات التالية إلى تقديم خلفية لدعوة الله لإبراهيم في ضوء الشرق الأدنى القديم في عصره.  وقد عاش إبراهيم من حوالي 2166-1991ق م.</w:t>
      </w:r>
      <w:r w:rsidRPr="00620C1A">
        <w:rPr>
          <w:rFonts w:eastAsia="Times New Roman"/>
          <w:kern w:val="0"/>
          <w:vertAlign w:val="superscript"/>
          <w:rtl/>
          <w:lang w:bidi="ar-JO"/>
          <w14:ligatures w14:val="none"/>
        </w:rPr>
        <w:footnoteReference w:id="218"/>
      </w:r>
      <w:r w:rsidRPr="00620C1A">
        <w:rPr>
          <w:rFonts w:eastAsia="Times New Roman"/>
          <w:kern w:val="0"/>
          <w:rtl/>
          <w:lang w:bidi="ar-JO"/>
          <w14:ligatures w14:val="none"/>
        </w:rPr>
        <w:t xml:space="preserve"> التالي هو دراسة مسحية للتطورات الرئيسية والمناخ الديني المرتبط بحياته.</w:t>
      </w:r>
    </w:p>
    <w:p w14:paraId="22B37D42"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5AD90EC3"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54183B1C"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1021" w:right="1021"/>
        <w:jc w:val="both"/>
        <w:rPr>
          <w:rFonts w:eastAsia="Times New Roman"/>
          <w:kern w:val="0"/>
          <w:szCs w:val="26"/>
          <w:rtl/>
          <w14:ligatures w14:val="none"/>
        </w:rPr>
      </w:pPr>
      <w:r w:rsidRPr="00C7130A">
        <w:rPr>
          <w:rFonts w:eastAsia="Times New Roman"/>
          <w:kern w:val="0"/>
          <w:szCs w:val="26"/>
          <w:rtl/>
          <w:lang w:bidi="ar-JO"/>
          <w14:ligatures w14:val="none"/>
        </w:rPr>
        <w:t>الهلال الخصيب</w:t>
      </w:r>
    </w:p>
    <w:p w14:paraId="40A08D12" w14:textId="77777777" w:rsidR="00263246" w:rsidRPr="00C7130A" w:rsidRDefault="00263246" w:rsidP="00C7130A">
      <w:pPr>
        <w:jc w:val="center"/>
        <w:rPr>
          <w:rFonts w:eastAsia="Times New Roman"/>
          <w:kern w:val="0"/>
          <w:szCs w:val="18"/>
          <w:rtl/>
          <w14:ligatures w14:val="none"/>
        </w:rPr>
      </w:pPr>
      <w:r w:rsidRPr="00C7130A">
        <w:rPr>
          <w:rFonts w:eastAsia="Times New Roman"/>
          <w:noProof/>
          <w:kern w:val="0"/>
          <w:szCs w:val="18"/>
          <w:lang w:bidi="he-IL"/>
          <w14:ligatures w14:val="none"/>
        </w:rPr>
        <w:drawing>
          <wp:inline distT="0" distB="0" distL="0" distR="0" wp14:anchorId="529F61F3" wp14:editId="477D9532">
            <wp:extent cx="5025390" cy="3212465"/>
            <wp:effectExtent l="0" t="0" r="3810" b="6985"/>
            <wp:docPr id="1" name="Picture 1" descr="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25390" cy="3212465"/>
                    </a:xfrm>
                    <a:prstGeom prst="rect">
                      <a:avLst/>
                    </a:prstGeom>
                    <a:noFill/>
                    <a:ln>
                      <a:noFill/>
                    </a:ln>
                  </pic:spPr>
                </pic:pic>
              </a:graphicData>
            </a:graphic>
          </wp:inline>
        </w:drawing>
      </w:r>
    </w:p>
    <w:p w14:paraId="6A50B498" w14:textId="77777777" w:rsidR="00263246" w:rsidRPr="00C7130A" w:rsidRDefault="00263246" w:rsidP="00C7130A">
      <w:pPr>
        <w:rPr>
          <w:rFonts w:eastAsia="Times New Roman"/>
          <w:kern w:val="0"/>
          <w:szCs w:val="18"/>
          <w:rtl/>
          <w:lang w:bidi="ar-KW"/>
          <w14:ligatures w14:val="none"/>
        </w:rPr>
      </w:pPr>
    </w:p>
    <w:p w14:paraId="352D08E1" w14:textId="77777777" w:rsidR="00263246" w:rsidRPr="00C7130A" w:rsidRDefault="00263246" w:rsidP="00C7130A">
      <w:pPr>
        <w:rPr>
          <w:rFonts w:eastAsia="Times New Roman"/>
          <w:kern w:val="0"/>
          <w:szCs w:val="18"/>
          <w:rtl/>
          <w14:ligatures w14:val="none"/>
        </w:rPr>
      </w:pPr>
    </w:p>
    <w:p w14:paraId="1BBA7B87" w14:textId="77777777" w:rsidR="00263246" w:rsidRPr="00C7130A" w:rsidRDefault="00263246" w:rsidP="00C7130A">
      <w:pPr>
        <w:rPr>
          <w:rFonts w:eastAsia="Times New Roman"/>
          <w:kern w:val="0"/>
          <w:szCs w:val="18"/>
          <w:rtl/>
          <w14:ligatures w14:val="none"/>
        </w:rPr>
      </w:pPr>
    </w:p>
    <w:p w14:paraId="5C21B113" w14:textId="77777777" w:rsidR="00263246" w:rsidRPr="00C7130A" w:rsidRDefault="00263246" w:rsidP="000558B7">
      <w:pPr>
        <w:pStyle w:val="Heading3"/>
        <w:rPr>
          <w:rtl/>
          <w:lang w:bidi="ar-JO"/>
        </w:rPr>
      </w:pPr>
      <w:bookmarkStart w:id="426" w:name="_Toc193031161"/>
      <w:r w:rsidRPr="00C7130A">
        <w:rPr>
          <w:rtl/>
          <w:lang w:bidi="ar-JO"/>
        </w:rPr>
        <w:lastRenderedPageBreak/>
        <w:t>1.</w:t>
      </w:r>
      <w:r w:rsidRPr="00C7130A">
        <w:rPr>
          <w:rtl/>
          <w:lang w:bidi="ar-JO"/>
        </w:rPr>
        <w:tab/>
        <w:t>التطورات السياسية</w:t>
      </w:r>
      <w:bookmarkEnd w:id="426"/>
      <w:r w:rsidRPr="00C7130A">
        <w:rPr>
          <w:rtl/>
          <w:lang w:bidi="ar-JO"/>
        </w:rPr>
        <w:t xml:space="preserve"> </w:t>
      </w:r>
    </w:p>
    <w:p w14:paraId="1393073D" w14:textId="77777777" w:rsidR="00263246" w:rsidRPr="00620C1A" w:rsidRDefault="00263246" w:rsidP="00C7130A">
      <w:pPr>
        <w:tabs>
          <w:tab w:val="left" w:pos="454"/>
        </w:tabs>
        <w:spacing w:after="60"/>
        <w:ind w:left="550" w:hanging="550"/>
        <w:jc w:val="both"/>
        <w:rPr>
          <w:rFonts w:eastAsia="Times New Roman"/>
          <w:bCs/>
          <w:kern w:val="0"/>
          <w:rtl/>
          <w14:ligatures w14:val="none"/>
        </w:rPr>
      </w:pPr>
      <w:r w:rsidRPr="00620C1A">
        <w:rPr>
          <w:rFonts w:eastAsia="Times New Roman"/>
          <w:bCs/>
          <w:kern w:val="0"/>
          <w:rtl/>
          <w14:ligatures w14:val="none"/>
        </w:rPr>
        <w:t>أ.</w:t>
      </w:r>
      <w:r w:rsidRPr="00620C1A">
        <w:rPr>
          <w:rFonts w:eastAsia="Times New Roman"/>
          <w:bCs/>
          <w:kern w:val="0"/>
          <w:rtl/>
          <w14:ligatures w14:val="none"/>
        </w:rPr>
        <w:tab/>
        <w:t>قبل 3000 ق م</w:t>
      </w:r>
    </w:p>
    <w:p w14:paraId="0A8960C4" w14:textId="77777777" w:rsidR="00263246" w:rsidRPr="00620C1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20C1A">
        <w:rPr>
          <w:rFonts w:eastAsia="Times New Roman"/>
          <w:kern w:val="0"/>
          <w:rtl/>
          <w:lang w:bidi="ar-JO"/>
          <w14:ligatures w14:val="none"/>
        </w:rPr>
        <w:t>1.</w:t>
      </w:r>
      <w:r w:rsidRPr="00620C1A">
        <w:rPr>
          <w:rFonts w:eastAsia="Times New Roman"/>
          <w:kern w:val="0"/>
          <w:rtl/>
          <w:lang w:bidi="ar-JO"/>
          <w14:ligatures w14:val="none"/>
        </w:rPr>
        <w:tab/>
        <w:t xml:space="preserve">ليس لدينا تاريخ دقيق من السجلات قبل عام 3000ق م. </w:t>
      </w:r>
    </w:p>
    <w:p w14:paraId="5351FC1E" w14:textId="77777777" w:rsidR="00263246" w:rsidRPr="00620C1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20C1A">
        <w:rPr>
          <w:rFonts w:eastAsia="Times New Roman"/>
          <w:kern w:val="0"/>
          <w:rtl/>
          <w:lang w:bidi="ar-JO"/>
          <w14:ligatures w14:val="none"/>
        </w:rPr>
        <w:t>يكتب يوجين ميرل بشأن هذا: "الفترة الممتدة ما بين 3000 و2500 ق. م. هي في معظمها صفحة بيضاء، من الناحية التاريخية. تسلّط نصوص إبلا بعض الضوء على المشهد الممتدّ ما بين 2500 و2200 ق. م.، ولكنّ معظم ذلك الضوء يقع على منطقة إبلا نفسها وعالم بلاد ما بين النهرين إلى الشرق منها."</w:t>
      </w:r>
      <w:r w:rsidRPr="00620C1A">
        <w:rPr>
          <w:rFonts w:eastAsia="Times New Roman"/>
          <w:kern w:val="0"/>
          <w:vertAlign w:val="superscript"/>
          <w:rtl/>
          <w:lang w:bidi="ar-JO"/>
          <w14:ligatures w14:val="none"/>
        </w:rPr>
        <w:footnoteReference w:id="219"/>
      </w:r>
      <w:r w:rsidRPr="00620C1A">
        <w:rPr>
          <w:rFonts w:eastAsia="Times New Roman"/>
          <w:kern w:val="0"/>
          <w:rtl/>
          <w:lang w:bidi="ar-JO"/>
          <w14:ligatures w14:val="none"/>
        </w:rPr>
        <w:t xml:space="preserve"> ولنقص السجلات التاريخية التي يمكن الاعتماد عليها للفترة التي تسبق العام 2500 أهمية كبيرة. استنادًا إلى الفهم الحرفي للبيانات الكتابية، يتم تأريخ حدث الطوفان بحوالي 2550 قبل الميلاد وفقًا لبيانات الأنساب في النص الماسوري العبري (أو حوالي 3325 قبل الميلاد وفقًا للترجمة السبعينية).. </w:t>
      </w:r>
    </w:p>
    <w:p w14:paraId="0B41FE97" w14:textId="77777777" w:rsidR="00263246" w:rsidRPr="00620C1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20C1A">
        <w:rPr>
          <w:rFonts w:eastAsia="Times New Roman"/>
          <w:kern w:val="0"/>
          <w:rtl/>
          <w:lang w:bidi="ar-JO"/>
          <w14:ligatures w14:val="none"/>
        </w:rPr>
        <w:t>وقد أفسحت القرى على ما يبدو المجال لمدن الهياكل، حيث تتمحور الحياة حول إله.  يقول شوانتس،</w:t>
      </w:r>
    </w:p>
    <w:p w14:paraId="7DD0ABB6"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021" w:right="1021"/>
        <w:jc w:val="both"/>
        <w:rPr>
          <w:rFonts w:eastAsia="Times New Roman"/>
          <w:kern w:val="0"/>
          <w14:ligatures w14:val="none"/>
        </w:rPr>
      </w:pPr>
      <w:r w:rsidRPr="00620C1A">
        <w:rPr>
          <w:rFonts w:eastAsia="Times New Roman"/>
          <w:kern w:val="0"/>
          <w:rtl/>
          <w:lang w:bidi="ar-JO"/>
          <w14:ligatures w14:val="none"/>
        </w:rPr>
        <w:t xml:space="preserve">"أفسحت القرية في نهاية الأمر المجال لمدينة الهيكل.  وتنظَّم الدولة على أساس الافتراض أن كل شيء بما في ذلك الأرض والناس والحيوانات والمزروعات مُلك للإله.  وممثّل هذا الإله هو </w:t>
      </w:r>
      <w:r w:rsidRPr="00620C1A">
        <w:rPr>
          <w:rFonts w:eastAsia="Times New Roman"/>
          <w:i/>
          <w:iCs/>
          <w:kern w:val="0"/>
          <w:rtl/>
          <w:lang w:bidi="ar-JO"/>
          <w14:ligatures w14:val="none"/>
        </w:rPr>
        <w:t>لوجال</w:t>
      </w:r>
      <w:r w:rsidRPr="00620C1A">
        <w:rPr>
          <w:rFonts w:eastAsia="Times New Roman"/>
          <w:kern w:val="0"/>
          <w:rtl/>
          <w:lang w:bidi="ar-JO"/>
          <w14:ligatures w14:val="none"/>
        </w:rPr>
        <w:t xml:space="preserve">، "الإنسان العظيم".  الهيكل مسكنه - في المخازن التي يحفظ فيها نتاج الأرض وعمل الناس.  ويحدِّد </w:t>
      </w:r>
      <w:r w:rsidRPr="00620C1A">
        <w:rPr>
          <w:rFonts w:eastAsia="Times New Roman"/>
          <w:i/>
          <w:iCs/>
          <w:kern w:val="0"/>
          <w:rtl/>
          <w:lang w:bidi="ar-JO"/>
          <w14:ligatures w14:val="none"/>
        </w:rPr>
        <w:t>لوجال</w:t>
      </w:r>
      <w:r w:rsidRPr="00620C1A">
        <w:rPr>
          <w:rFonts w:eastAsia="Times New Roman"/>
          <w:kern w:val="0"/>
          <w:rtl/>
          <w:lang w:bidi="ar-JO"/>
          <w14:ligatures w14:val="none"/>
        </w:rPr>
        <w:t xml:space="preserve"> لكل واحد عمله ومكافأته.  ويستقرّ الصنّاع والكهنة والكتبة والجنود حول الهيكل مشكّلين المدينة بمعناها الصحيح.  والمجتمع السومري نموذج للمجتمع الثيوقراطي (الذي تحكمه حكومة دينية)."</w:t>
      </w:r>
      <w:r w:rsidRPr="00620C1A">
        <w:rPr>
          <w:rFonts w:eastAsia="Times New Roman"/>
          <w:kern w:val="0"/>
          <w:vertAlign w:val="superscript"/>
          <w:rtl/>
          <w:lang w:bidi="ar-JO"/>
          <w14:ligatures w14:val="none"/>
        </w:rPr>
        <w:footnoteReference w:id="220"/>
      </w:r>
    </w:p>
    <w:p w14:paraId="4958628C" w14:textId="77777777" w:rsidR="00263246" w:rsidRPr="00620C1A" w:rsidRDefault="00263246" w:rsidP="000558B7">
      <w:pPr>
        <w:pStyle w:val="Heading3"/>
        <w:rPr>
          <w:rtl/>
          <w:lang w:bidi="ar-JO"/>
        </w:rPr>
      </w:pPr>
      <w:bookmarkStart w:id="427" w:name="_Toc193031162"/>
      <w:r w:rsidRPr="00620C1A">
        <w:rPr>
          <w:rtl/>
          <w:lang w:bidi="ar-JO"/>
        </w:rPr>
        <w:t>2.</w:t>
      </w:r>
      <w:r w:rsidRPr="00620C1A">
        <w:rPr>
          <w:rtl/>
          <w:lang w:bidi="ar-JO"/>
        </w:rPr>
        <w:tab/>
        <w:t>الحضارة السومرية</w:t>
      </w:r>
      <w:bookmarkEnd w:id="427"/>
    </w:p>
    <w:p w14:paraId="5EC97165"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lang w:bidi="ar-JO"/>
          <w14:ligatures w14:val="none"/>
        </w:rPr>
      </w:pPr>
      <w:r w:rsidRPr="00620C1A">
        <w:rPr>
          <w:rFonts w:eastAsia="Times New Roman"/>
          <w:kern w:val="0"/>
          <w:rtl/>
          <w:lang w:bidi="ar-JO"/>
          <w14:ligatures w14:val="none"/>
        </w:rPr>
        <w:t>أ.</w:t>
      </w:r>
      <w:r w:rsidRPr="00620C1A">
        <w:rPr>
          <w:rFonts w:eastAsia="Times New Roman"/>
          <w:kern w:val="0"/>
          <w:rtl/>
          <w:lang w:bidi="ar-JO"/>
          <w14:ligatures w14:val="none"/>
        </w:rPr>
        <w:tab/>
        <w:t>الحضارة السومرية من أقدم الحضارات التي لدينا سجلات عنها.</w:t>
      </w:r>
      <w:r w:rsidRPr="00620C1A">
        <w:rPr>
          <w:rFonts w:eastAsia="Times New Roman"/>
          <w:kern w:val="0"/>
          <w:vertAlign w:val="superscript"/>
          <w:rtl/>
          <w:lang w:bidi="ar-JO"/>
          <w14:ligatures w14:val="none"/>
        </w:rPr>
        <w:footnoteReference w:id="221"/>
      </w:r>
      <w:r w:rsidRPr="00620C1A">
        <w:rPr>
          <w:rFonts w:eastAsia="Times New Roman"/>
          <w:kern w:val="0"/>
          <w:rtl/>
          <w:lang w:bidi="ar-JO"/>
          <w14:ligatures w14:val="none"/>
        </w:rPr>
        <w:t xml:space="preserve"> وقد طوّر السومريون في المنطقة المنخفضة من وادي دجلة – الفرات ما يُعتبر عموماً أقدم حضارة عالية معروفة.</w:t>
      </w:r>
    </w:p>
    <w:p w14:paraId="741C4BB6" w14:textId="77777777" w:rsidR="00C16362" w:rsidRPr="00620C1A" w:rsidRDefault="00C16362"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14:ligatures w14:val="none"/>
        </w:rPr>
      </w:pPr>
    </w:p>
    <w:p w14:paraId="7110160A"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rtl/>
          <w14:ligatures w14:val="none"/>
        </w:rPr>
      </w:pPr>
      <w:r w:rsidRPr="00620C1A">
        <w:rPr>
          <w:rFonts w:eastAsia="Times New Roman"/>
          <w:noProof/>
          <w:kern w:val="0"/>
          <w:lang w:bidi="ar-JO"/>
          <w14:ligatures w14:val="none"/>
        </w:rPr>
        <w:lastRenderedPageBreak/>
        <w:drawing>
          <wp:inline distT="0" distB="0" distL="0" distR="0" wp14:anchorId="37D18AE9" wp14:editId="7CCAEE1F">
            <wp:extent cx="4404995" cy="3260090"/>
            <wp:effectExtent l="0" t="0" r="0" b="0"/>
            <wp:docPr id="2" name="Picture 2" descr="Sum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mer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04995" cy="3260090"/>
                    </a:xfrm>
                    <a:prstGeom prst="rect">
                      <a:avLst/>
                    </a:prstGeom>
                    <a:noFill/>
                    <a:ln>
                      <a:noFill/>
                    </a:ln>
                  </pic:spPr>
                </pic:pic>
              </a:graphicData>
            </a:graphic>
          </wp:inline>
        </w:drawing>
      </w:r>
    </w:p>
    <w:p w14:paraId="112A827C"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rtl/>
          <w:lang w:bidi="ar-JO"/>
          <w14:ligatures w14:val="none"/>
        </w:rPr>
      </w:pPr>
    </w:p>
    <w:p w14:paraId="26DC8479"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20C1A">
        <w:rPr>
          <w:rFonts w:eastAsia="Times New Roman"/>
          <w:kern w:val="0"/>
          <w:rtl/>
          <w:lang w:bidi="ar-JO"/>
          <w14:ligatures w14:val="none"/>
        </w:rPr>
        <w:t>ب.</w:t>
      </w:r>
      <w:r w:rsidRPr="00620C1A">
        <w:rPr>
          <w:rFonts w:eastAsia="Times New Roman"/>
          <w:kern w:val="0"/>
          <w:rtl/>
          <w:lang w:bidi="ar-JO"/>
          <w14:ligatures w14:val="none"/>
        </w:rPr>
        <w:tab/>
        <w:t>السومريون شعب هامٌّ لدراستنا، لأن أور (وطن إبراهيم) كانت مدينة سومرية.</w:t>
      </w:r>
    </w:p>
    <w:p w14:paraId="74D2DCFC"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14:ligatures w14:val="none"/>
        </w:rPr>
      </w:pPr>
      <w:r w:rsidRPr="00620C1A">
        <w:rPr>
          <w:rFonts w:eastAsia="Times New Roman"/>
          <w:kern w:val="0"/>
          <w:rtl/>
          <w:lang w:bidi="ar-JO"/>
          <w14:ligatures w14:val="none"/>
        </w:rPr>
        <w:t>جـ.</w:t>
      </w:r>
      <w:r w:rsidRPr="00620C1A">
        <w:rPr>
          <w:rFonts w:eastAsia="Times New Roman"/>
          <w:kern w:val="0"/>
          <w:rtl/>
          <w:lang w:bidi="ar-JO"/>
          <w14:ligatures w14:val="none"/>
        </w:rPr>
        <w:tab/>
        <w:t>على الرغم من أن إبراهيم كان من أور، إلاّ أنّه لم يكن سومري النسب، بل ساميّاً.  إذ كان السومريون مجموعة عرقية متميزة عن الساميين.</w:t>
      </w:r>
      <w:r w:rsidRPr="00620C1A">
        <w:rPr>
          <w:rFonts w:eastAsia="Times New Roman"/>
          <w:kern w:val="0"/>
          <w:vertAlign w:val="superscript"/>
          <w:rtl/>
          <w:lang w:bidi="ar-JO"/>
          <w14:ligatures w14:val="none"/>
        </w:rPr>
        <w:footnoteReference w:id="222"/>
      </w:r>
    </w:p>
    <w:p w14:paraId="5874B73E"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14:ligatures w14:val="none"/>
        </w:rPr>
      </w:pPr>
      <w:r w:rsidRPr="00620C1A">
        <w:rPr>
          <w:rFonts w:eastAsia="Times New Roman"/>
          <w:kern w:val="0"/>
          <w:rtl/>
          <w:lang w:bidi="ar-JO"/>
          <w14:ligatures w14:val="none"/>
        </w:rPr>
        <w:t>د.</w:t>
      </w:r>
      <w:r w:rsidRPr="00620C1A">
        <w:rPr>
          <w:rFonts w:eastAsia="Times New Roman"/>
          <w:kern w:val="0"/>
          <w:rtl/>
          <w:lang w:bidi="ar-JO"/>
          <w14:ligatures w14:val="none"/>
        </w:rPr>
        <w:tab/>
        <w:t>يبدو أن السومريين هم الذين اخترعوا الكتابة في الفترة 3500-3200ق م.  وكانت أحرفهم في بداية الأمر عبارة عن "كتابة تصويرية"، أي بالصور، وتستخدم علامات دائرية للتعبير عن الأعداد.  وقد قدّم لنا السومريون أقدم سجلات تاريخية معروفة.  إذاً نلاحظ أن الكتابة كانت موجودة قبل ألف سنة على الأقل من دعوة الله لإبراهيم.</w:t>
      </w:r>
      <w:r w:rsidRPr="00620C1A">
        <w:rPr>
          <w:rFonts w:eastAsia="Times New Roman"/>
          <w:kern w:val="0"/>
          <w:vertAlign w:val="superscript"/>
          <w:rtl/>
          <w:lang w:bidi="ar-JO"/>
          <w14:ligatures w14:val="none"/>
        </w:rPr>
        <w:footnoteReference w:id="223"/>
      </w:r>
      <w:r w:rsidRPr="00620C1A">
        <w:rPr>
          <w:rFonts w:eastAsia="Times New Roman"/>
          <w:kern w:val="0"/>
          <w:rtl/>
          <w:lang w:bidi="ar-JO"/>
          <w14:ligatures w14:val="none"/>
        </w:rPr>
        <w:t xml:space="preserve">  </w:t>
      </w:r>
    </w:p>
    <w:p w14:paraId="10A69D91"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20C1A">
        <w:rPr>
          <w:rFonts w:eastAsia="Times New Roman"/>
          <w:kern w:val="0"/>
          <w:rtl/>
          <w:lang w:bidi="ar-JO"/>
          <w14:ligatures w14:val="none"/>
        </w:rPr>
        <w:t>هـ.</w:t>
      </w:r>
      <w:r w:rsidRPr="00620C1A">
        <w:rPr>
          <w:rFonts w:eastAsia="Times New Roman"/>
          <w:kern w:val="0"/>
          <w:rtl/>
          <w:lang w:bidi="ar-JO"/>
          <w14:ligatures w14:val="none"/>
        </w:rPr>
        <w:tab/>
        <w:t>من سجلاتهم التاريخية</w:t>
      </w:r>
    </w:p>
    <w:p w14:paraId="62F7878F"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rtl/>
          <w:lang w:bidi="ar-JO"/>
          <w14:ligatures w14:val="none"/>
        </w:rPr>
      </w:pPr>
      <w:r w:rsidRPr="00620C1A">
        <w:rPr>
          <w:rFonts w:eastAsia="Times New Roman"/>
          <w:kern w:val="0"/>
          <w:rtl/>
          <w:lang w:bidi="ar-JO"/>
          <w14:ligatures w14:val="none"/>
        </w:rPr>
        <w:lastRenderedPageBreak/>
        <w:t>1)</w:t>
      </w:r>
      <w:r w:rsidRPr="00620C1A">
        <w:rPr>
          <w:rFonts w:eastAsia="Times New Roman"/>
          <w:kern w:val="0"/>
          <w:rtl/>
          <w:lang w:bidi="ar-JO"/>
          <w14:ligatures w14:val="none"/>
        </w:rPr>
        <w:tab/>
        <w:t>حكام معمّرون كثيراً (طويلو العمر)</w:t>
      </w:r>
    </w:p>
    <w:p w14:paraId="4D186884"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rtl/>
          <w:lang w:bidi="ar-JO"/>
          <w14:ligatures w14:val="none"/>
        </w:rPr>
      </w:pPr>
      <w:r w:rsidRPr="00620C1A">
        <w:rPr>
          <w:rFonts w:eastAsia="Times New Roman"/>
          <w:kern w:val="0"/>
          <w:rtl/>
          <w:lang w:bidi="ar-JO"/>
          <w14:ligatures w14:val="none"/>
        </w:rPr>
        <w:t>2)</w:t>
      </w:r>
      <w:r w:rsidRPr="00620C1A">
        <w:rPr>
          <w:rFonts w:eastAsia="Times New Roman"/>
          <w:kern w:val="0"/>
          <w:rtl/>
          <w:lang w:bidi="ar-JO"/>
          <w14:ligatures w14:val="none"/>
        </w:rPr>
        <w:tab/>
        <w:t>تقسيم الزمن إلى ما فترتي ما قبل الطوفان وما بعد الطوفان.</w:t>
      </w:r>
    </w:p>
    <w:p w14:paraId="3C6E7B8D" w14:textId="77777777" w:rsidR="00263246" w:rsidRPr="00620C1A" w:rsidRDefault="00263246" w:rsidP="00C7130A">
      <w:pPr>
        <w:tabs>
          <w:tab w:val="left" w:pos="454"/>
        </w:tabs>
        <w:spacing w:after="60"/>
        <w:ind w:left="550" w:hanging="550"/>
        <w:jc w:val="both"/>
        <w:rPr>
          <w:rFonts w:eastAsia="Times New Roman"/>
          <w:bCs/>
          <w:kern w:val="0"/>
          <w:rtl/>
          <w14:ligatures w14:val="none"/>
        </w:rPr>
      </w:pPr>
      <w:r w:rsidRPr="00620C1A">
        <w:rPr>
          <w:rFonts w:eastAsia="Times New Roman"/>
          <w:bCs/>
          <w:kern w:val="0"/>
          <w:rtl/>
          <w14:ligatures w14:val="none"/>
        </w:rPr>
        <w:t>ب.</w:t>
      </w:r>
      <w:r w:rsidRPr="00620C1A">
        <w:rPr>
          <w:rFonts w:eastAsia="Times New Roman"/>
          <w:bCs/>
          <w:kern w:val="0"/>
          <w:rtl/>
          <w14:ligatures w14:val="none"/>
        </w:rPr>
        <w:tab/>
        <w:t>أوائل العصر البرونزي (3300-2100ق م)</w:t>
      </w:r>
    </w:p>
    <w:p w14:paraId="7586A3C4" w14:textId="77777777" w:rsidR="00263246" w:rsidRPr="00620C1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20C1A">
        <w:rPr>
          <w:rFonts w:eastAsia="Times New Roman"/>
          <w:kern w:val="0"/>
          <w:rtl/>
          <w:lang w:bidi="ar-JO"/>
          <w14:ligatures w14:val="none"/>
        </w:rPr>
        <w:t>1.</w:t>
      </w:r>
      <w:r w:rsidRPr="00620C1A">
        <w:rPr>
          <w:rFonts w:eastAsia="Times New Roman"/>
          <w:kern w:val="0"/>
          <w:rtl/>
          <w:lang w:bidi="ar-JO"/>
          <w14:ligatures w14:val="none"/>
        </w:rPr>
        <w:tab/>
        <w:t>استمرّ السومريّون الذين كانوا القوة الرئيسية في الفترة السابقة لـ 3000 ق م في هيمنتهم على مدى قسم كبير من فترة العصر البرونزي أيضاً.</w:t>
      </w:r>
    </w:p>
    <w:p w14:paraId="49458459" w14:textId="77777777" w:rsidR="00263246" w:rsidRPr="00620C1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20C1A">
        <w:rPr>
          <w:rFonts w:eastAsia="Times New Roman"/>
          <w:kern w:val="0"/>
          <w:rtl/>
          <w:lang w:bidi="ar-JO"/>
          <w14:ligatures w14:val="none"/>
        </w:rPr>
        <w:t>2.</w:t>
      </w:r>
      <w:r w:rsidRPr="00620C1A">
        <w:rPr>
          <w:rFonts w:eastAsia="Times New Roman"/>
          <w:kern w:val="0"/>
          <w:rtl/>
          <w:lang w:bidi="ar-JO"/>
          <w14:ligatures w14:val="none"/>
        </w:rPr>
        <w:tab/>
        <w:t>كانت أور مدينة سومرية (= تل المُقَيَّر)</w:t>
      </w:r>
    </w:p>
    <w:p w14:paraId="0AF324C6"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20C1A">
        <w:rPr>
          <w:rFonts w:eastAsia="Times New Roman"/>
          <w:kern w:val="0"/>
          <w:rtl/>
          <w:lang w:bidi="ar-JO"/>
          <w14:ligatures w14:val="none"/>
        </w:rPr>
        <w:t>أ.</w:t>
      </w:r>
      <w:r w:rsidRPr="00620C1A">
        <w:rPr>
          <w:rFonts w:eastAsia="Times New Roman"/>
          <w:kern w:val="0"/>
          <w:rtl/>
          <w:lang w:bidi="ar-JO"/>
          <w14:ligatures w14:val="none"/>
        </w:rPr>
        <w:tab/>
        <w:t>أنَّ إبراهيم كان من أور أمر ذو دلالة.  فقد كانت أور مدينة هامة في ذلك الوقت، وكانت النقطة المركزية للإمبراطورية السومرية.  وكانت كوزموبوليتانية (أي أنها تألّفت من عناصر اجتمعت من مختلف أرجاء العالم)، وكانت تؤمن بآلهة متعددة.</w:t>
      </w:r>
    </w:p>
    <w:p w14:paraId="2CD67CA0"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20C1A">
        <w:rPr>
          <w:rFonts w:eastAsia="Times New Roman"/>
          <w:kern w:val="0"/>
          <w:rtl/>
          <w:lang w:bidi="ar-JO"/>
          <w14:ligatures w14:val="none"/>
        </w:rPr>
        <w:t>ب.</w:t>
      </w:r>
      <w:r w:rsidRPr="00620C1A">
        <w:rPr>
          <w:rFonts w:eastAsia="Times New Roman"/>
          <w:kern w:val="0"/>
          <w:rtl/>
          <w:lang w:bidi="ar-JO"/>
          <w14:ligatures w14:val="none"/>
        </w:rPr>
        <w:tab/>
        <w:t>نقّب سي. ل. وولي عن مدينة أور التاريخية أثناء السنوات 1922-1934.</w:t>
      </w:r>
    </w:p>
    <w:p w14:paraId="3B77BE8C"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20C1A">
        <w:rPr>
          <w:rFonts w:eastAsia="Times New Roman"/>
          <w:kern w:val="0"/>
          <w:rtl/>
          <w:lang w:bidi="ar-JO"/>
          <w14:ligatures w14:val="none"/>
        </w:rPr>
        <w:t>جـ.</w:t>
      </w:r>
      <w:r w:rsidRPr="00620C1A">
        <w:rPr>
          <w:rFonts w:eastAsia="Times New Roman"/>
          <w:kern w:val="0"/>
          <w:rtl/>
          <w:lang w:bidi="ar-JO"/>
          <w14:ligatures w14:val="none"/>
        </w:rPr>
        <w:tab/>
        <w:t xml:space="preserve">تم التنقيب وإيجاد عدد من الهياكل في أور.  وكان إله المدينة الرئيسي هو نانّار، إله القمر عند السومريين (وهو معروف في الأكادية باسم "سِن").  وقد بُنيت عدة هياكل وزقورة كبيرة لنانّار. </w:t>
      </w:r>
    </w:p>
    <w:p w14:paraId="7BD5D214"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88" w:right="1588"/>
        <w:jc w:val="both"/>
        <w:rPr>
          <w:rFonts w:eastAsia="Times New Roman"/>
          <w:kern w:val="0"/>
          <w:rtl/>
          <w14:ligatures w14:val="none"/>
        </w:rPr>
      </w:pPr>
      <w:r w:rsidRPr="00620C1A">
        <w:rPr>
          <w:rFonts w:eastAsia="Times New Roman"/>
          <w:kern w:val="0"/>
          <w:rtl/>
          <w:lang w:bidi="ar-JO"/>
          <w14:ligatures w14:val="none"/>
        </w:rPr>
        <w:t>وإن من المثير للاهتمام أن الإله الرئيسي المعبود في حاران (التي انتقل إليها إبراهيم في نهاية الأمر) هو إله القمر السامي "سِن</w:t>
      </w:r>
      <w:r w:rsidRPr="00620C1A">
        <w:rPr>
          <w:rFonts w:eastAsia="Times New Roman"/>
          <w:kern w:val="0"/>
          <w:rtl/>
          <w14:ligatures w14:val="none"/>
        </w:rPr>
        <w:t>.</w:t>
      </w:r>
      <w:r w:rsidRPr="00620C1A">
        <w:rPr>
          <w:rFonts w:eastAsia="Times New Roman"/>
          <w:kern w:val="0"/>
          <w:rtl/>
          <w:lang w:bidi="ar-JO"/>
          <w14:ligatures w14:val="none"/>
        </w:rPr>
        <w:t>"</w:t>
      </w:r>
    </w:p>
    <w:p w14:paraId="54E94592"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20C1A">
        <w:rPr>
          <w:rFonts w:eastAsia="Times New Roman"/>
          <w:kern w:val="0"/>
          <w:rtl/>
          <w:lang w:bidi="ar-JO"/>
          <w14:ligatures w14:val="none"/>
        </w:rPr>
        <w:t>د.</w:t>
      </w:r>
      <w:r w:rsidRPr="00620C1A">
        <w:rPr>
          <w:rFonts w:eastAsia="Times New Roman"/>
          <w:kern w:val="0"/>
          <w:rtl/>
          <w:lang w:bidi="ar-JO"/>
          <w14:ligatures w14:val="none"/>
        </w:rPr>
        <w:tab/>
        <w:t>الخلفية الدينية لإبراهيم</w:t>
      </w:r>
    </w:p>
    <w:p w14:paraId="141ED912"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88" w:right="1588"/>
        <w:jc w:val="both"/>
        <w:rPr>
          <w:rFonts w:eastAsia="Times New Roman"/>
          <w:kern w:val="0"/>
          <w:rtl/>
          <w:lang w:bidi="ar-JO"/>
          <w14:ligatures w14:val="none"/>
        </w:rPr>
      </w:pPr>
      <w:r w:rsidRPr="00620C1A">
        <w:rPr>
          <w:rFonts w:eastAsia="Times New Roman"/>
          <w:kern w:val="0"/>
          <w:rtl/>
          <w:lang w:bidi="ar-JO"/>
          <w14:ligatures w14:val="none"/>
        </w:rPr>
        <w:t>"هكذا قال الرب إله إسرائيل: "آباؤكم سكنوا عبر النهر منذ الدهر، تارح أبو إبراهيم وأبو ناحور وعبدوا آلهة أخرى." – يشوع 24: 2.</w:t>
      </w:r>
    </w:p>
    <w:p w14:paraId="7E7A31A5"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20C1A">
        <w:rPr>
          <w:rFonts w:eastAsia="Times New Roman"/>
          <w:kern w:val="0"/>
          <w:rtl/>
          <w:lang w:bidi="ar-JO"/>
          <w14:ligatures w14:val="none"/>
        </w:rPr>
        <w:t>هـ.</w:t>
      </w:r>
      <w:r w:rsidRPr="00620C1A">
        <w:rPr>
          <w:rFonts w:eastAsia="Times New Roman"/>
          <w:kern w:val="0"/>
          <w:rtl/>
          <w:lang w:bidi="ar-JO"/>
          <w14:ligatures w14:val="none"/>
        </w:rPr>
        <w:tab/>
        <w:t>الزقّورات</w:t>
      </w:r>
    </w:p>
    <w:p w14:paraId="30CF8A4B"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88" w:right="1588"/>
        <w:jc w:val="both"/>
        <w:rPr>
          <w:rFonts w:eastAsia="Times New Roman"/>
          <w:kern w:val="0"/>
          <w:rtl/>
          <w14:ligatures w14:val="none"/>
        </w:rPr>
      </w:pPr>
      <w:r w:rsidRPr="00620C1A">
        <w:rPr>
          <w:rFonts w:eastAsia="Times New Roman"/>
          <w:kern w:val="0"/>
          <w:rtl/>
          <w:lang w:bidi="ar-JO"/>
          <w14:ligatures w14:val="none"/>
        </w:rPr>
        <w:t xml:space="preserve">كانت الزقّورات أبنية كبيرة على شكل مصاطب ينتصب على قمته موضع مقدس يكرَّس للإله المحلي.  وقد عُثِر على مثل هذه الزقورات في جميع أنحاء منطقة ما بين النهرين.  والزقورة الموجودة في أور من أحسنها من حيث الحالة المحفوظة عليها.  ويُفترض أن الإله يزور الزقورة في أوقات معينة.  وتعود الزقورة الموجودة في أور حتى اليوم إلى الفترة الثالثة من أور، إذ انتهى بناؤها حوالي 2100ق م، أي أثناء حياة إبراهيم (إذ غادر حاران متوجهاً إلى كنعان في حوالي العام 2091 ق م). </w:t>
      </w:r>
    </w:p>
    <w:p w14:paraId="24F922C2"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2155" w:right="2155"/>
        <w:jc w:val="both"/>
        <w:rPr>
          <w:rFonts w:eastAsia="Times New Roman"/>
          <w:kern w:val="0"/>
          <w:szCs w:val="26"/>
          <w:rtl/>
          <w:lang w:bidi="ar-JO"/>
          <w14:ligatures w14:val="none"/>
        </w:rPr>
      </w:pPr>
    </w:p>
    <w:p w14:paraId="04B73935"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2155" w:right="2155"/>
        <w:jc w:val="both"/>
        <w:rPr>
          <w:rFonts w:eastAsia="Times New Roman"/>
          <w:kern w:val="0"/>
          <w:szCs w:val="26"/>
          <w:rtl/>
          <w14:ligatures w14:val="none"/>
        </w:rPr>
      </w:pPr>
      <w:r w:rsidRPr="00C7130A">
        <w:rPr>
          <w:rFonts w:eastAsia="Times New Roman"/>
          <w:noProof/>
          <w:kern w:val="0"/>
          <w:szCs w:val="26"/>
          <w:lang w:bidi="ar-JO"/>
          <w14:ligatures w14:val="none"/>
        </w:rPr>
        <w:lastRenderedPageBreak/>
        <w:drawing>
          <wp:inline distT="0" distB="0" distL="0" distR="0" wp14:anchorId="101E2788" wp14:editId="6FDF4114">
            <wp:extent cx="3657600" cy="2035810"/>
            <wp:effectExtent l="0" t="0" r="0" b="2540"/>
            <wp:docPr id="3" name="Picture 3" descr="ZigU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gUr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657600" cy="2035810"/>
                    </a:xfrm>
                    <a:prstGeom prst="rect">
                      <a:avLst/>
                    </a:prstGeom>
                    <a:noFill/>
                    <a:ln>
                      <a:noFill/>
                    </a:ln>
                  </pic:spPr>
                </pic:pic>
              </a:graphicData>
            </a:graphic>
          </wp:inline>
        </w:drawing>
      </w:r>
    </w:p>
    <w:p w14:paraId="041A59BC" w14:textId="0B3FD0C2" w:rsidR="00263246" w:rsidRPr="00C7130A" w:rsidRDefault="00E83954" w:rsidP="00C7130A">
      <w:pPr>
        <w:tabs>
          <w:tab w:val="left" w:pos="550"/>
          <w:tab w:val="left" w:pos="1100"/>
          <w:tab w:val="left" w:pos="1650"/>
          <w:tab w:val="left" w:pos="2200"/>
          <w:tab w:val="left" w:pos="2750"/>
          <w:tab w:val="left" w:pos="3300"/>
          <w:tab w:val="left" w:pos="3850"/>
          <w:tab w:val="left" w:pos="4400"/>
        </w:tabs>
        <w:ind w:left="2155" w:right="2155"/>
        <w:jc w:val="both"/>
        <w:rPr>
          <w:rFonts w:eastAsia="Times New Roman"/>
          <w:kern w:val="0"/>
          <w:szCs w:val="26"/>
          <w:rtl/>
          <w14:ligatures w14:val="none"/>
        </w:rPr>
      </w:pPr>
      <w:r w:rsidRPr="00C7130A">
        <w:rPr>
          <w:noProof/>
          <w:rtl/>
        </w:rPr>
        <mc:AlternateContent>
          <mc:Choice Requires="wps">
            <w:drawing>
              <wp:anchor distT="0" distB="0" distL="114300" distR="114300" simplePos="0" relativeHeight="251667456" behindDoc="0" locked="0" layoutInCell="1" allowOverlap="1" wp14:anchorId="6D5E08F5" wp14:editId="4E4013AE">
                <wp:simplePos x="0" y="0"/>
                <wp:positionH relativeFrom="column">
                  <wp:posOffset>1295400</wp:posOffset>
                </wp:positionH>
                <wp:positionV relativeFrom="paragraph">
                  <wp:posOffset>58420</wp:posOffset>
                </wp:positionV>
                <wp:extent cx="2819400" cy="41910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419100"/>
                        </a:xfrm>
                        <a:prstGeom prst="rect">
                          <a:avLst/>
                        </a:prstGeom>
                        <a:noFill/>
                        <a:ln>
                          <a:noFill/>
                        </a:ln>
                      </wps:spPr>
                      <wps:txbx>
                        <w:txbxContent>
                          <w:p w14:paraId="6FD3ABF2" w14:textId="77777777" w:rsidR="00263246" w:rsidRDefault="00263246" w:rsidP="00263246">
                            <w:pPr>
                              <w:pStyle w:val="BodyTxt"/>
                              <w:bidi w:val="0"/>
                            </w:pPr>
                            <w:r>
                              <w:rPr>
                                <w:rFonts w:hint="cs"/>
                                <w:rtl/>
                              </w:rPr>
                              <w:t>بقايا الزقورة في أور الكلدانيين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5E08F5" id="Text Box 6" o:spid="_x0000_s1065" type="#_x0000_t202" style="position:absolute;left:0;text-align:left;margin-left:102pt;margin-top:4.6pt;width:222pt;height:3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" filled="f" stroked="f">
                <v:textbox>
                  <w:txbxContent>
                    <w:p w14:paraId="6FD3ABF2" w14:textId="77777777" w:rsidR="00263246" w:rsidRDefault="00263246" w:rsidP="00263246">
                      <w:pPr>
                        <w:pStyle w:val="BodyTxt"/>
                        <w:bidi w:val="0"/>
                      </w:pPr>
                      <w:r>
                        <w:rPr>
                          <w:rFonts w:hint="cs"/>
                          <w:rtl/>
                        </w:rPr>
                        <w:t>بقايا الزقورة في أور الكلدانيين</w:t>
                      </w:r>
                    </w:p>
                  </w:txbxContent>
                </v:textbox>
              </v:shape>
            </w:pict>
          </mc:Fallback>
        </mc:AlternateContent>
      </w:r>
    </w:p>
    <w:p w14:paraId="01F12C9C"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2155" w:right="2155"/>
        <w:jc w:val="both"/>
        <w:rPr>
          <w:rFonts w:eastAsia="Times New Roman"/>
          <w:kern w:val="0"/>
          <w:szCs w:val="26"/>
          <w:rtl/>
          <w:lang w:bidi="ar-JO"/>
          <w14:ligatures w14:val="none"/>
        </w:rPr>
      </w:pPr>
    </w:p>
    <w:p w14:paraId="1C490FB3" w14:textId="77777777" w:rsidR="00263246" w:rsidRPr="00C7130A" w:rsidRDefault="00263246" w:rsidP="00C7130A">
      <w:pPr>
        <w:rPr>
          <w:rFonts w:eastAsia="Times New Roman"/>
          <w:kern w:val="0"/>
          <w:szCs w:val="18"/>
          <w:rtl/>
          <w14:ligatures w14:val="none"/>
        </w:rPr>
      </w:pPr>
    </w:p>
    <w:p w14:paraId="39EC1441" w14:textId="77777777" w:rsidR="00263246" w:rsidRPr="00620C1A" w:rsidRDefault="00263246" w:rsidP="000558B7">
      <w:pPr>
        <w:pStyle w:val="Heading3"/>
        <w:rPr>
          <w:rtl/>
          <w:lang w:bidi="ar-JO"/>
        </w:rPr>
      </w:pPr>
      <w:bookmarkStart w:id="428" w:name="_Toc193031163"/>
      <w:r w:rsidRPr="00620C1A">
        <w:rPr>
          <w:rtl/>
          <w:lang w:bidi="ar-JO"/>
        </w:rPr>
        <w:t>3.</w:t>
      </w:r>
      <w:r w:rsidRPr="00620C1A">
        <w:rPr>
          <w:rtl/>
          <w:lang w:bidi="ar-JO"/>
        </w:rPr>
        <w:tab/>
        <w:t>الإمبراطورية الأكادية (2371- حوالي 2200ق م)</w:t>
      </w:r>
      <w:bookmarkEnd w:id="428"/>
    </w:p>
    <w:p w14:paraId="30D1E45F"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14:ligatures w14:val="none"/>
        </w:rPr>
      </w:pPr>
      <w:r w:rsidRPr="00620C1A">
        <w:rPr>
          <w:rFonts w:eastAsia="Times New Roman"/>
          <w:kern w:val="0"/>
          <w:rtl/>
          <w:lang w:bidi="ar-JO"/>
          <w14:ligatures w14:val="none"/>
        </w:rPr>
        <w:t>أ.</w:t>
      </w:r>
      <w:r w:rsidRPr="00620C1A">
        <w:rPr>
          <w:rFonts w:eastAsia="Times New Roman"/>
          <w:kern w:val="0"/>
          <w:rtl/>
          <w:lang w:bidi="ar-JO"/>
          <w14:ligatures w14:val="none"/>
        </w:rPr>
        <w:tab/>
        <w:t>حدث اختراق تدرّجي من الساميين لسومر من أماكن في المنطقة العليا من بلاد ما بين النهرين (المنطقة العليا من نهري دجلة – الفرات).</w:t>
      </w:r>
      <w:r w:rsidRPr="00620C1A">
        <w:rPr>
          <w:rFonts w:eastAsia="Times New Roman"/>
          <w:kern w:val="0"/>
          <w:vertAlign w:val="superscript"/>
          <w:rtl/>
          <w:lang w:bidi="ar-JO"/>
          <w14:ligatures w14:val="none"/>
        </w:rPr>
        <w:footnoteReference w:id="224"/>
      </w:r>
    </w:p>
    <w:p w14:paraId="7F32D36B" w14:textId="3F9ACD0D" w:rsidR="00263246" w:rsidRPr="00C7130A" w:rsidRDefault="00620C1A"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szCs w:val="26"/>
          <w:rtl/>
          <w:lang w:bidi="ar-JO"/>
          <w14:ligatures w14:val="none"/>
        </w:rPr>
      </w:pPr>
      <w:r w:rsidRPr="00C7130A">
        <w:rPr>
          <w:noProof/>
          <w:rtl/>
        </w:rPr>
        <mc:AlternateContent>
          <mc:Choice Requires="wps">
            <w:drawing>
              <wp:anchor distT="0" distB="0" distL="114300" distR="114300" simplePos="0" relativeHeight="251668480" behindDoc="0" locked="0" layoutInCell="1" allowOverlap="1" wp14:anchorId="6E6E973A" wp14:editId="74D7E5E9">
                <wp:simplePos x="0" y="0"/>
                <wp:positionH relativeFrom="column">
                  <wp:posOffset>1409700</wp:posOffset>
                </wp:positionH>
                <wp:positionV relativeFrom="paragraph">
                  <wp:posOffset>-8027</wp:posOffset>
                </wp:positionV>
                <wp:extent cx="3276600" cy="45720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457200"/>
                        </a:xfrm>
                        <a:prstGeom prst="rect">
                          <a:avLst/>
                        </a:prstGeom>
                        <a:solidFill>
                          <a:srgbClr val="FFFFFF"/>
                        </a:solidFill>
                        <a:ln>
                          <a:noFill/>
                        </a:ln>
                      </wps:spPr>
                      <wps:txbx>
                        <w:txbxContent>
                          <w:p w14:paraId="72099874" w14:textId="77777777" w:rsidR="00263246" w:rsidRDefault="00263246" w:rsidP="00263246">
                            <w:pPr>
                              <w:pStyle w:val="BodyTxt"/>
                              <w:rPr>
                                <w:rtl/>
                              </w:rPr>
                            </w:pPr>
                            <w:r>
                              <w:rPr>
                                <w:rFonts w:hint="cs"/>
                                <w:rtl/>
                              </w:rPr>
                              <w:t>خارطة الشرق الأوسط في زمن الأسفار الخمسة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E973A" id="Text Box 5" o:spid="_x0000_s1066" type="#_x0000_t202" style="position:absolute;left:0;text-align:left;margin-left:111pt;margin-top:-.65pt;width:258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" stroked="f">
                <v:textbox>
                  <w:txbxContent>
                    <w:p w14:paraId="72099874" w14:textId="77777777" w:rsidR="00263246" w:rsidRDefault="00263246" w:rsidP="00263246">
                      <w:pPr>
                        <w:pStyle w:val="BodyTxt"/>
                        <w:rPr>
                          <w:rtl/>
                        </w:rPr>
                      </w:pPr>
                      <w:r>
                        <w:rPr>
                          <w:rFonts w:hint="cs"/>
                          <w:rtl/>
                        </w:rPr>
                        <w:t>خارطة الشرق الأوسط في زمن الأسفار الخمسة</w:t>
                      </w:r>
                    </w:p>
                  </w:txbxContent>
                </v:textbox>
              </v:shape>
            </w:pict>
          </mc:Fallback>
        </mc:AlternateContent>
      </w:r>
      <w:r w:rsidR="00263246" w:rsidRPr="00C7130A">
        <w:rPr>
          <w:rFonts w:eastAsia="Times New Roman"/>
          <w:noProof/>
          <w:kern w:val="0"/>
          <w:szCs w:val="26"/>
          <w:lang w:bidi="ar-JO"/>
          <w14:ligatures w14:val="none"/>
        </w:rPr>
        <w:drawing>
          <wp:anchor distT="0" distB="0" distL="114300" distR="114300" simplePos="0" relativeHeight="251657216" behindDoc="0" locked="0" layoutInCell="1" allowOverlap="1" wp14:anchorId="3C929FE2" wp14:editId="5D846E27">
            <wp:simplePos x="0" y="0"/>
            <wp:positionH relativeFrom="column">
              <wp:posOffset>137160</wp:posOffset>
            </wp:positionH>
            <wp:positionV relativeFrom="paragraph">
              <wp:posOffset>347980</wp:posOffset>
            </wp:positionV>
            <wp:extent cx="5742432" cy="3511296"/>
            <wp:effectExtent l="0" t="0" r="0" b="0"/>
            <wp:wrapSquare wrapText="bothSides"/>
            <wp:docPr id="4" name="Picture 4" descr="MidEastPentate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dEastPentateuch"/>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42432" cy="35112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E5B7F1" w14:textId="7732AC6F"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szCs w:val="26"/>
          <w:rtl/>
          <w:lang w:bidi="ar-JO"/>
          <w14:ligatures w14:val="none"/>
        </w:rPr>
      </w:pPr>
    </w:p>
    <w:p w14:paraId="230B68E4" w14:textId="5CB67BCA" w:rsidR="00263246" w:rsidRPr="00C7130A" w:rsidRDefault="00263246" w:rsidP="00C7130A">
      <w:pPr>
        <w:rPr>
          <w:rFonts w:eastAsia="Times New Roman"/>
          <w:kern w:val="0"/>
          <w:szCs w:val="18"/>
          <w:rtl/>
          <w:lang w:bidi="ar-KW"/>
          <w14:ligatures w14:val="none"/>
        </w:rPr>
      </w:pPr>
    </w:p>
    <w:p w14:paraId="07C3C926" w14:textId="11CEEEC1"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20C1A">
        <w:rPr>
          <w:rFonts w:eastAsia="Times New Roman"/>
          <w:kern w:val="0"/>
          <w:rtl/>
          <w:lang w:bidi="ar-JO"/>
          <w14:ligatures w14:val="none"/>
        </w:rPr>
        <w:t>ب.</w:t>
      </w:r>
      <w:r w:rsidRPr="00620C1A">
        <w:rPr>
          <w:rFonts w:eastAsia="Times New Roman"/>
          <w:kern w:val="0"/>
          <w:rtl/>
          <w:lang w:bidi="ar-JO"/>
          <w14:ligatures w14:val="none"/>
        </w:rPr>
        <w:tab/>
        <w:t>سرجون "الكبير" الأكادي (2320-2265)</w:t>
      </w:r>
      <w:r w:rsidRPr="00620C1A">
        <w:rPr>
          <w:rFonts w:eastAsia="Times New Roman"/>
          <w:kern w:val="0"/>
          <w:vertAlign w:val="superscript"/>
          <w:rtl/>
          <w:lang w:bidi="ar-JO"/>
          <w14:ligatures w14:val="none"/>
        </w:rPr>
        <w:footnoteReference w:id="225"/>
      </w:r>
      <w:r w:rsidRPr="00620C1A">
        <w:rPr>
          <w:rFonts w:eastAsia="Times New Roman"/>
          <w:kern w:val="0"/>
          <w:rtl/>
          <w:lang w:bidi="ar-JO"/>
          <w14:ligatures w14:val="none"/>
        </w:rPr>
        <w:t xml:space="preserve"> </w:t>
      </w:r>
    </w:p>
    <w:p w14:paraId="7D0873DE" w14:textId="65E1445A"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20C1A">
        <w:rPr>
          <w:rFonts w:eastAsia="Times New Roman"/>
          <w:kern w:val="0"/>
          <w:rtl/>
          <w:lang w:bidi="ar-JO"/>
          <w14:ligatures w14:val="none"/>
        </w:rPr>
        <w:t>الراجح أن سرجون الكبير هو الشخصية الكتابية التي تُدعى "نمرود" (تكوين 10: 8-12).</w:t>
      </w:r>
      <w:r w:rsidRPr="00620C1A">
        <w:rPr>
          <w:rFonts w:eastAsia="Times New Roman"/>
          <w:kern w:val="0"/>
          <w:vertAlign w:val="superscript"/>
          <w:rtl/>
          <w:lang w:bidi="ar-JO"/>
          <w14:ligatures w14:val="none"/>
        </w:rPr>
        <w:footnoteReference w:id="226"/>
      </w:r>
    </w:p>
    <w:p w14:paraId="48520D46"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rtl/>
          <w:lang w:bidi="ar-JO"/>
          <w14:ligatures w14:val="none"/>
        </w:rPr>
      </w:pPr>
      <w:r w:rsidRPr="00620C1A">
        <w:rPr>
          <w:rFonts w:eastAsia="Times New Roman"/>
          <w:kern w:val="0"/>
          <w:rtl/>
          <w:lang w:bidi="ar-JO"/>
          <w14:ligatures w14:val="none"/>
        </w:rPr>
        <w:t>1)</w:t>
      </w:r>
      <w:r w:rsidRPr="00620C1A">
        <w:rPr>
          <w:rFonts w:eastAsia="Times New Roman"/>
          <w:kern w:val="0"/>
          <w:rtl/>
          <w:lang w:bidi="ar-JO"/>
          <w14:ligatures w14:val="none"/>
        </w:rPr>
        <w:tab/>
        <w:t>قبل سرجون كان الساميّون والسومريون يسكنون معاً في الأرض.  وقد تقدم الساميّون إلى مركز القوة بقيادة سرجون قبل زمن إبراهيم.</w:t>
      </w:r>
    </w:p>
    <w:p w14:paraId="0ED41990"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rtl/>
          <w:lang w:bidi="ar-JO"/>
          <w14:ligatures w14:val="none"/>
        </w:rPr>
      </w:pPr>
      <w:r w:rsidRPr="00620C1A">
        <w:rPr>
          <w:rFonts w:eastAsia="Times New Roman"/>
          <w:kern w:val="0"/>
          <w:rtl/>
          <w:lang w:bidi="ar-JO"/>
          <w14:ligatures w14:val="none"/>
        </w:rPr>
        <w:t>2)</w:t>
      </w:r>
      <w:r w:rsidRPr="00620C1A">
        <w:rPr>
          <w:rFonts w:eastAsia="Times New Roman"/>
          <w:kern w:val="0"/>
          <w:rtl/>
          <w:lang w:bidi="ar-JO"/>
          <w14:ligatures w14:val="none"/>
        </w:rPr>
        <w:tab/>
        <w:t>بنى سرجون عاصمته الجديدة في أكّاد (= أجيد).  ولا يُعرف موقعها بالضبط، لكن يُعتقد أنه موجود في منطقة بابل في القسم الجنوبي لمنطقة ما بين النهرين، ولا نعرف الكثير عن أشور إلى الشمال أثناء الألفية الثالثة ق م.</w:t>
      </w:r>
    </w:p>
    <w:p w14:paraId="79E568B3"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rtl/>
          <w:lang w:bidi="ar-JO"/>
          <w14:ligatures w14:val="none"/>
        </w:rPr>
      </w:pPr>
      <w:r w:rsidRPr="00620C1A">
        <w:rPr>
          <w:rFonts w:eastAsia="Times New Roman"/>
          <w:kern w:val="0"/>
          <w:rtl/>
          <w:lang w:bidi="ar-JO"/>
          <w14:ligatures w14:val="none"/>
        </w:rPr>
        <w:t>3)</w:t>
      </w:r>
      <w:r w:rsidRPr="00620C1A">
        <w:rPr>
          <w:rFonts w:eastAsia="Times New Roman"/>
          <w:kern w:val="0"/>
          <w:rtl/>
          <w:lang w:bidi="ar-JO"/>
          <w14:ligatures w14:val="none"/>
        </w:rPr>
        <w:tab/>
        <w:t>مع الغزو الذي قام به الحكام السومريون في المنطقة السفلى لدجلة – الفرات، صارت هذه أول سلالة ساميّة.</w:t>
      </w:r>
    </w:p>
    <w:p w14:paraId="70EE8E7D"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rtl/>
          <w:lang w:bidi="ar-JO"/>
          <w14:ligatures w14:val="none"/>
        </w:rPr>
      </w:pPr>
      <w:r w:rsidRPr="00620C1A">
        <w:rPr>
          <w:rFonts w:eastAsia="Times New Roman"/>
          <w:kern w:val="0"/>
          <w:rtl/>
          <w:lang w:bidi="ar-JO"/>
          <w14:ligatures w14:val="none"/>
        </w:rPr>
        <w:t>4)</w:t>
      </w:r>
      <w:r w:rsidRPr="00620C1A">
        <w:rPr>
          <w:rFonts w:eastAsia="Times New Roman"/>
          <w:kern w:val="0"/>
          <w:rtl/>
          <w:lang w:bidi="ar-JO"/>
          <w14:ligatures w14:val="none"/>
        </w:rPr>
        <w:tab/>
        <w:t>يمكن اعتبار الإمبراطورية الأكادية أول "إمبراطورية عالمية".  وقد انتشرت الثقافة الأكادية عبر الهلال الخصيب.</w:t>
      </w:r>
    </w:p>
    <w:p w14:paraId="0ADD4E2B"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rtl/>
          <w:lang w:bidi="ar-JO"/>
          <w14:ligatures w14:val="none"/>
        </w:rPr>
      </w:pPr>
      <w:r w:rsidRPr="00620C1A">
        <w:rPr>
          <w:rFonts w:eastAsia="Times New Roman"/>
          <w:kern w:val="0"/>
          <w:rtl/>
          <w:lang w:bidi="ar-JO"/>
          <w14:ligatures w14:val="none"/>
        </w:rPr>
        <w:t>5)</w:t>
      </w:r>
      <w:r w:rsidRPr="00620C1A">
        <w:rPr>
          <w:rFonts w:eastAsia="Times New Roman"/>
          <w:kern w:val="0"/>
          <w:rtl/>
          <w:lang w:bidi="ar-JO"/>
          <w14:ligatures w14:val="none"/>
        </w:rPr>
        <w:tab/>
        <w:t>وُضعت اللغة الأكادية (وهي لغة سامية) على شكل كتابة تستخدم الطريقة المسمارية، وهو أسلوب يستخدم "أشكالاً وتدية" على ألواح خزفية أُخِذَ عن السومريين.  أمّا الحضارة الأخرى العظيمة في وادي النيل في مصر فكانت تستخدم الكتابة الهيروغليفية.</w:t>
      </w:r>
    </w:p>
    <w:p w14:paraId="670C8BBB" w14:textId="74B62AF8"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rtl/>
          <w:lang w:bidi="ar-JO"/>
          <w14:ligatures w14:val="none"/>
        </w:rPr>
      </w:pPr>
      <w:r w:rsidRPr="00620C1A">
        <w:rPr>
          <w:rFonts w:eastAsia="Times New Roman"/>
          <w:kern w:val="0"/>
          <w:rtl/>
          <w:lang w:bidi="ar-JO"/>
          <w14:ligatures w14:val="none"/>
        </w:rPr>
        <w:t>6)</w:t>
      </w:r>
      <w:r w:rsidRPr="00620C1A">
        <w:rPr>
          <w:rFonts w:eastAsia="Times New Roman"/>
          <w:kern w:val="0"/>
          <w:rtl/>
          <w:lang w:bidi="ar-JO"/>
          <w14:ligatures w14:val="none"/>
        </w:rPr>
        <w:tab/>
        <w:t>كانت الديانة الأكادية تتمحور حول "شمَش"، إله الشمس عند الأكاديين.  فكان النظام الديني نجمياً فلكياً في طبيعته.</w:t>
      </w:r>
    </w:p>
    <w:p w14:paraId="6759630B"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2138" w:right="2138" w:hanging="550"/>
        <w:jc w:val="both"/>
        <w:rPr>
          <w:rFonts w:eastAsia="Times New Roman"/>
          <w:kern w:val="0"/>
          <w:rtl/>
          <w:lang w:bidi="ar-JO"/>
          <w14:ligatures w14:val="none"/>
        </w:rPr>
      </w:pPr>
    </w:p>
    <w:p w14:paraId="6B397C3A" w14:textId="77777777" w:rsidR="00263246" w:rsidRPr="00620C1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20C1A">
        <w:rPr>
          <w:rFonts w:eastAsia="Times New Roman"/>
          <w:kern w:val="0"/>
          <w:rtl/>
          <w:lang w:bidi="ar-JO"/>
          <w14:ligatures w14:val="none"/>
        </w:rPr>
        <w:t>4.</w:t>
      </w:r>
      <w:r w:rsidRPr="00620C1A">
        <w:rPr>
          <w:rFonts w:eastAsia="Times New Roman"/>
          <w:kern w:val="0"/>
          <w:rtl/>
          <w:lang w:bidi="ar-JO"/>
          <w14:ligatures w14:val="none"/>
        </w:rPr>
        <w:tab/>
        <w:t>غزو الجوتيين</w:t>
      </w:r>
    </w:p>
    <w:p w14:paraId="175FB81B" w14:textId="6E80C601"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021" w:right="1021"/>
        <w:jc w:val="both"/>
        <w:rPr>
          <w:rFonts w:eastAsia="Times New Roman"/>
          <w:kern w:val="0"/>
          <w:rtl/>
          <w:lang w:bidi="ar-JO"/>
          <w14:ligatures w14:val="none"/>
        </w:rPr>
      </w:pPr>
      <w:r w:rsidRPr="00620C1A">
        <w:rPr>
          <w:rFonts w:eastAsia="Times New Roman"/>
          <w:kern w:val="0"/>
          <w:rtl/>
          <w:lang w:bidi="ar-JO"/>
          <w14:ligatures w14:val="none"/>
        </w:rPr>
        <w:lastRenderedPageBreak/>
        <w:t>في حوالي 2200ق م غزا شعب جوتي (إلى الشمال الشرقي من بابل) المنطقة الجنوبية من دجلة – الفرات وهزموا سلالة أكّاد القوية.  وقد هُزِموا بدورهم على يد أوتو-هيجال من أوروك وتم طردهم (حوالي 2115ق م).  وقد حدث هذا التطور السياسي أثناء وجود إبراهيم في أور وحاران.</w:t>
      </w:r>
    </w:p>
    <w:p w14:paraId="4E26A12D" w14:textId="77777777" w:rsidR="00263246" w:rsidRPr="00620C1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20C1A">
        <w:rPr>
          <w:rFonts w:eastAsia="Times New Roman"/>
          <w:kern w:val="0"/>
          <w:rtl/>
          <w:lang w:bidi="ar-JO"/>
          <w14:ligatures w14:val="none"/>
        </w:rPr>
        <w:t>5.</w:t>
      </w:r>
      <w:r w:rsidRPr="00620C1A">
        <w:rPr>
          <w:rFonts w:eastAsia="Times New Roman"/>
          <w:kern w:val="0"/>
          <w:rtl/>
          <w:lang w:bidi="ar-JO"/>
          <w14:ligatures w14:val="none"/>
        </w:rPr>
        <w:tab/>
        <w:t>الفترة الثالثة لأور (2115ق م – حوالي 2000ق م)</w:t>
      </w:r>
    </w:p>
    <w:p w14:paraId="3B020C1F"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021" w:right="1021"/>
        <w:jc w:val="both"/>
        <w:rPr>
          <w:rFonts w:eastAsia="Times New Roman"/>
          <w:kern w:val="0"/>
          <w:rtl/>
          <w:lang w:bidi="ar-JO"/>
          <w14:ligatures w14:val="none"/>
        </w:rPr>
      </w:pPr>
      <w:r w:rsidRPr="00620C1A">
        <w:rPr>
          <w:rFonts w:eastAsia="Times New Roman"/>
          <w:kern w:val="0"/>
          <w:rtl/>
          <w:lang w:bidi="ar-JO"/>
          <w14:ligatures w14:val="none"/>
        </w:rPr>
        <w:t>دُمِّر بيت إبراهيم في أور أثناء هذه الفترة.</w:t>
      </w:r>
    </w:p>
    <w:p w14:paraId="5897D3C2" w14:textId="77777777" w:rsidR="00263246" w:rsidRPr="00620C1A" w:rsidRDefault="00263246" w:rsidP="00C7130A">
      <w:pPr>
        <w:tabs>
          <w:tab w:val="left" w:pos="454"/>
        </w:tabs>
        <w:spacing w:after="60"/>
        <w:ind w:left="550" w:hanging="550"/>
        <w:jc w:val="both"/>
        <w:rPr>
          <w:rFonts w:eastAsia="Times New Roman"/>
          <w:bCs/>
          <w:kern w:val="0"/>
          <w:rtl/>
          <w:lang w:bidi="ar-KW"/>
          <w14:ligatures w14:val="none"/>
        </w:rPr>
      </w:pPr>
    </w:p>
    <w:p w14:paraId="53A392CA" w14:textId="155BF21D" w:rsidR="00263246" w:rsidRPr="00620C1A" w:rsidRDefault="00263246" w:rsidP="00C7130A">
      <w:pPr>
        <w:tabs>
          <w:tab w:val="left" w:pos="454"/>
        </w:tabs>
        <w:spacing w:after="60"/>
        <w:ind w:left="550" w:hanging="550"/>
        <w:jc w:val="both"/>
        <w:rPr>
          <w:rFonts w:eastAsia="Times New Roman"/>
          <w:bCs/>
          <w:kern w:val="0"/>
          <w:rtl/>
          <w14:ligatures w14:val="none"/>
        </w:rPr>
      </w:pPr>
      <w:r w:rsidRPr="00620C1A">
        <w:rPr>
          <w:rFonts w:eastAsia="Times New Roman"/>
          <w:bCs/>
          <w:kern w:val="0"/>
          <w:rtl/>
          <w14:ligatures w14:val="none"/>
        </w:rPr>
        <w:t>جـ.</w:t>
      </w:r>
      <w:r w:rsidRPr="00620C1A">
        <w:rPr>
          <w:rFonts w:eastAsia="Times New Roman"/>
          <w:bCs/>
          <w:kern w:val="0"/>
          <w:rtl/>
          <w14:ligatures w14:val="none"/>
        </w:rPr>
        <w:tab/>
        <w:t>حمورابي البابلي (1792-1750ق م)</w:t>
      </w:r>
      <w:r w:rsidRPr="00620C1A">
        <w:rPr>
          <w:rFonts w:eastAsia="Times New Roman"/>
          <w:bCs/>
          <w:kern w:val="0"/>
          <w:vertAlign w:val="superscript"/>
          <w:rtl/>
          <w14:ligatures w14:val="none"/>
        </w:rPr>
        <w:footnoteReference w:id="227"/>
      </w:r>
    </w:p>
    <w:p w14:paraId="45433D01" w14:textId="48D9DBD0"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20C1A">
        <w:rPr>
          <w:rFonts w:eastAsia="Times New Roman"/>
          <w:kern w:val="0"/>
          <w:rtl/>
          <w:lang w:bidi="ar-JO"/>
          <w14:ligatures w14:val="none"/>
        </w:rPr>
        <w:t>ملاحظة: مات يوسف في عام 1806ق م.  وتُعرف الفترة ما بين 1950-1530ق م على أنها الفترة البابلية القديمة.  وحمورابي هو أشهر ملوك هذه الفترة في منطقة ما بين النهرين.</w:t>
      </w:r>
    </w:p>
    <w:p w14:paraId="3F881F3D" w14:textId="77777777" w:rsidR="00263246" w:rsidRPr="00620C1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14:ligatures w14:val="none"/>
        </w:rPr>
      </w:pPr>
      <w:r w:rsidRPr="00620C1A">
        <w:rPr>
          <w:rFonts w:eastAsia="Times New Roman"/>
          <w:kern w:val="0"/>
          <w:rtl/>
          <w:lang w:bidi="ar-JO"/>
          <w14:ligatures w14:val="none"/>
        </w:rPr>
        <w:t>1.</w:t>
      </w:r>
      <w:r w:rsidRPr="00620C1A">
        <w:rPr>
          <w:rFonts w:eastAsia="Times New Roman"/>
          <w:kern w:val="0"/>
          <w:rtl/>
          <w:lang w:bidi="ar-JO"/>
          <w14:ligatures w14:val="none"/>
        </w:rPr>
        <w:tab/>
        <w:t>حمورابي مشهور بالقانون المعروف باسمه (تم اكتشافه في عام 1902 م في شوشن).</w:t>
      </w:r>
    </w:p>
    <w:p w14:paraId="642332C3" w14:textId="68D2935A" w:rsidR="00263246" w:rsidRPr="00620C1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20C1A">
        <w:rPr>
          <w:rFonts w:eastAsia="Times New Roman"/>
          <w:noProof/>
          <w:kern w:val="0"/>
          <w:rtl/>
          <w:lang w:bidi="he-IL"/>
          <w14:ligatures w14:val="none"/>
        </w:rPr>
        <w:drawing>
          <wp:anchor distT="0" distB="0" distL="114300" distR="114300" simplePos="0" relativeHeight="251655168" behindDoc="0" locked="0" layoutInCell="1" allowOverlap="1" wp14:anchorId="57571DEF" wp14:editId="57C8C481">
            <wp:simplePos x="0" y="0"/>
            <wp:positionH relativeFrom="column">
              <wp:posOffset>0</wp:posOffset>
            </wp:positionH>
            <wp:positionV relativeFrom="paragraph">
              <wp:posOffset>25400</wp:posOffset>
            </wp:positionV>
            <wp:extent cx="1783080" cy="2286000"/>
            <wp:effectExtent l="0" t="0" r="7620" b="0"/>
            <wp:wrapSquare wrapText="bothSides"/>
            <wp:docPr id="93" name="Picture 93" descr="Ham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amLaw"/>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78308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0C1A">
        <w:rPr>
          <w:rFonts w:eastAsia="Times New Roman"/>
          <w:kern w:val="0"/>
          <w:rtl/>
          <w:lang w:bidi="ar-JO"/>
          <w14:ligatures w14:val="none"/>
        </w:rPr>
        <w:t>2.</w:t>
      </w:r>
      <w:r w:rsidRPr="00620C1A">
        <w:rPr>
          <w:rFonts w:eastAsia="Times New Roman"/>
          <w:kern w:val="0"/>
          <w:rtl/>
          <w:lang w:bidi="ar-JO"/>
          <w14:ligatures w14:val="none"/>
        </w:rPr>
        <w:tab/>
        <w:t>اكتشفت قوانين في الشرق الأدنى القديم تعود إلى تاريخ أسبق، لكن هذا هو أكثرها اكتمالاًً.  تصوّر هذه الصورة الملك ماثلاً أمام إلهه ليتلقّى الشريعة من يديه.</w:t>
      </w:r>
    </w:p>
    <w:p w14:paraId="355F473F" w14:textId="674260F2" w:rsidR="00263246" w:rsidRPr="00620C1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20C1A">
        <w:rPr>
          <w:rFonts w:eastAsia="Times New Roman"/>
          <w:kern w:val="0"/>
          <w:rtl/>
          <w:lang w:bidi="ar-JO"/>
          <w14:ligatures w14:val="none"/>
        </w:rPr>
        <w:t>3.</w:t>
      </w:r>
      <w:r w:rsidRPr="00620C1A">
        <w:rPr>
          <w:rFonts w:eastAsia="Times New Roman"/>
          <w:kern w:val="0"/>
          <w:rtl/>
          <w:lang w:bidi="ar-JO"/>
          <w14:ligatures w14:val="none"/>
        </w:rPr>
        <w:tab/>
        <w:t>لم تكن هذه الشريعة جديدة كلياً، لكنها كانت تجميعاً وتصنيفاً لقرارات واجتهادات المحاكم في ذلك الوقت في منطقة ما بين النهرين.</w:t>
      </w:r>
    </w:p>
    <w:p w14:paraId="233CFEA6" w14:textId="05684F54" w:rsidR="00263246" w:rsidRPr="00620C1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20C1A">
        <w:rPr>
          <w:rFonts w:eastAsia="Times New Roman"/>
          <w:kern w:val="0"/>
          <w:rtl/>
          <w:lang w:bidi="ar-JO"/>
          <w14:ligatures w14:val="none"/>
        </w:rPr>
        <w:t>4.</w:t>
      </w:r>
      <w:r w:rsidRPr="00620C1A">
        <w:rPr>
          <w:rFonts w:eastAsia="Times New Roman"/>
          <w:kern w:val="0"/>
          <w:rtl/>
          <w:lang w:bidi="ar-JO"/>
          <w14:ligatures w14:val="none"/>
        </w:rPr>
        <w:tab/>
        <w:t>الشريعة مكتوبة بـ "أسلوب الإفتاء في قضايا الضمير والسلوك"، مع ذكر لحالات افتراضية يتبعها الجزاء الملائم.</w:t>
      </w:r>
    </w:p>
    <w:p w14:paraId="7601FA12" w14:textId="69BA7CA2" w:rsidR="00263246" w:rsidRPr="00C7130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szCs w:val="26"/>
          <w:rtl/>
          <w:lang w:bidi="ar-JO"/>
          <w14:ligatures w14:val="none"/>
        </w:rPr>
      </w:pPr>
    </w:p>
    <w:p w14:paraId="44E38797" w14:textId="77777777" w:rsidR="00263246" w:rsidRPr="00620C1A" w:rsidRDefault="00263246" w:rsidP="00C7130A">
      <w:pPr>
        <w:tabs>
          <w:tab w:val="left" w:pos="454"/>
        </w:tabs>
        <w:spacing w:after="60"/>
        <w:jc w:val="both"/>
        <w:rPr>
          <w:rFonts w:eastAsia="Times New Roman"/>
          <w:bCs/>
          <w:kern w:val="0"/>
          <w:rtl/>
          <w:lang w:bidi="ar-JO"/>
          <w14:ligatures w14:val="none"/>
        </w:rPr>
      </w:pPr>
      <w:r w:rsidRPr="00620C1A">
        <w:rPr>
          <w:rFonts w:eastAsia="Times New Roman"/>
          <w:bCs/>
          <w:kern w:val="0"/>
          <w:rtl/>
          <w:lang w:bidi="ar-JO"/>
          <w14:ligatures w14:val="none"/>
        </w:rPr>
        <w:t>2.</w:t>
      </w:r>
      <w:r w:rsidRPr="00620C1A">
        <w:rPr>
          <w:rFonts w:eastAsia="Times New Roman"/>
          <w:bCs/>
          <w:kern w:val="0"/>
          <w:rtl/>
          <w:lang w:bidi="ar-JO"/>
          <w14:ligatures w14:val="none"/>
        </w:rPr>
        <w:tab/>
        <w:t>مساهمات أدبية دينية</w:t>
      </w:r>
      <w:r w:rsidRPr="00620C1A">
        <w:rPr>
          <w:rFonts w:eastAsia="Times New Roman"/>
          <w:b/>
          <w:kern w:val="0"/>
          <w:vertAlign w:val="superscript"/>
          <w:rtl/>
          <w:lang w:bidi="ar-JO"/>
          <w14:ligatures w14:val="none"/>
        </w:rPr>
        <w:footnoteReference w:id="228"/>
      </w:r>
    </w:p>
    <w:p w14:paraId="67D579DB" w14:textId="2ADF383B"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20C1A">
        <w:rPr>
          <w:rFonts w:eastAsia="Times New Roman"/>
          <w:kern w:val="0"/>
          <w:rtl/>
          <w:lang w:bidi="ar-JO"/>
          <w14:ligatures w14:val="none"/>
        </w:rPr>
        <w:t xml:space="preserve">إن أهمّ عملين أدبيين في هذه الفترة هما إنوما إليش وملحمة جلجامش.  يتضمن الأول سرداً لعملية الخلق والآخر طوفاناً كونياً.  وتختلف الروايتين إلى حد كبير عن الرواية الكتابية، على الرغم من انه أمر مثير للاهتمام أن نجد رواية موازية </w:t>
      </w:r>
      <w:r w:rsidRPr="00620C1A">
        <w:rPr>
          <w:rFonts w:eastAsia="Times New Roman"/>
          <w:kern w:val="0"/>
          <w:rtl/>
          <w:lang w:bidi="ar-JO"/>
          <w14:ligatures w14:val="none"/>
        </w:rPr>
        <w:lastRenderedPageBreak/>
        <w:t xml:space="preserve">للطوفان من مصدر أدبي خارج الكتاب المقدَّس.  وعلى الرغم من أن هاتين الروايتين تعودان إلى فترة بعيدة في التاريخ، إلاّ أنهما وجدا تعبيرهما التقليدي في اللغة الأكادية في زمن حمورابي.  وفي هاتين النسختين، تمجّد الروايتان بابل.  ويتخلى إنليل إله نبّور القديم عن مكانة الكرامة لمردوك، إله بابل المحلي. </w:t>
      </w:r>
    </w:p>
    <w:p w14:paraId="03B0A3C6"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20C1A">
        <w:rPr>
          <w:rFonts w:eastAsia="Times New Roman"/>
          <w:kern w:val="0"/>
          <w:rtl/>
          <w:lang w:bidi="ar-JO"/>
          <w14:ligatures w14:val="none"/>
        </w:rPr>
        <w:t>الدلالة: يمثل هذا نظرة العالم التي بدأ منها الله برنامجه الفدائي بإبراهيم وعاش الآباء في فترة وجودها.  وتشكّل هاتان الروايتان تناقضاً كبيراً مع الروايات الكتابية.</w:t>
      </w:r>
    </w:p>
    <w:p w14:paraId="2A8794E9" w14:textId="23231C3C" w:rsidR="00263246" w:rsidRPr="00620C1A" w:rsidRDefault="00263246" w:rsidP="00C7130A">
      <w:pPr>
        <w:tabs>
          <w:tab w:val="left" w:pos="454"/>
        </w:tabs>
        <w:spacing w:after="60"/>
        <w:ind w:left="550" w:hanging="550"/>
        <w:jc w:val="both"/>
        <w:rPr>
          <w:rFonts w:eastAsia="Times New Roman"/>
          <w:bCs/>
          <w:kern w:val="0"/>
          <w:rtl/>
          <w14:ligatures w14:val="none"/>
        </w:rPr>
      </w:pPr>
      <w:r w:rsidRPr="00620C1A">
        <w:rPr>
          <w:rFonts w:eastAsia="Times New Roman"/>
          <w:bCs/>
          <w:kern w:val="0"/>
          <w:rtl/>
          <w14:ligatures w14:val="none"/>
        </w:rPr>
        <w:t>أ.</w:t>
      </w:r>
      <w:r w:rsidRPr="00620C1A">
        <w:rPr>
          <w:rFonts w:eastAsia="Times New Roman"/>
          <w:bCs/>
          <w:kern w:val="0"/>
          <w:rtl/>
          <w14:ligatures w14:val="none"/>
        </w:rPr>
        <w:tab/>
        <w:t xml:space="preserve">إنوما إليش (ملحمة الخلق)  </w:t>
      </w:r>
    </w:p>
    <w:p w14:paraId="766C26B7" w14:textId="2FD7D0B8" w:rsidR="00263246" w:rsidRPr="00620C1A" w:rsidRDefault="00263246" w:rsidP="000E498E">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20C1A">
        <w:rPr>
          <w:rFonts w:eastAsia="Times New Roman"/>
          <w:kern w:val="0"/>
          <w:rtl/>
          <w:lang w:bidi="ar-JO"/>
          <w14:ligatures w14:val="none"/>
        </w:rPr>
        <w:t xml:space="preserve">في هذه الرواية </w:t>
      </w:r>
      <w:r w:rsidRPr="00620C1A">
        <w:rPr>
          <w:rFonts w:eastAsia="Times New Roman"/>
          <w:kern w:val="0"/>
          <w:u w:val="single"/>
          <w:rtl/>
          <w:lang w:bidi="ar-JO"/>
          <w14:ligatures w14:val="none"/>
        </w:rPr>
        <w:t>لا</w:t>
      </w:r>
      <w:r w:rsidRPr="00620C1A">
        <w:rPr>
          <w:rFonts w:eastAsia="Times New Roman"/>
          <w:kern w:val="0"/>
          <w:rtl/>
          <w:lang w:bidi="ar-JO"/>
          <w14:ligatures w14:val="none"/>
        </w:rPr>
        <w:t xml:space="preserve"> تأتي الخليقة من الإرادة المنطوقة لله الواحد المحب، بل من صراع بين آلهة عديدة.</w:t>
      </w:r>
      <w:r w:rsidR="000E498E">
        <w:rPr>
          <w:rFonts w:eastAsia="Times New Roman" w:hint="cs"/>
          <w:kern w:val="0"/>
          <w:rtl/>
          <w:lang w:bidi="ar-JO"/>
          <w14:ligatures w14:val="none"/>
        </w:rPr>
        <w:t xml:space="preserve"> </w:t>
      </w:r>
      <w:r w:rsidRPr="00620C1A">
        <w:rPr>
          <w:rFonts w:eastAsia="Times New Roman"/>
          <w:kern w:val="0"/>
          <w:rtl/>
          <w:lang w:bidi="ar-JO"/>
          <w14:ligatures w14:val="none"/>
        </w:rPr>
        <w:t>تبدأ هذه الرواية بعلاقة آبسو (إله الماء العذب) وتيامات (إلهة المياه البحرية).  وينجب هذان آلهة عديدة.  ويقوم الإله إيا "كلي الحكمة" بقتل "آبسو"، وهو عمل يؤدي إلى خلق مردوك.  وتسعى تيامات، زوجة آبسو إلى الانتقام من إي الذي قتل آبسو.  ويتم اختيار مردوك (الذي خلقه إيا) ليكون بطل إيا، وفي سياق القصة يقوم مردوك بقتل تيامات.</w:t>
      </w:r>
    </w:p>
    <w:p w14:paraId="2E162794"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lang w:bidi="ar-JO"/>
          <w14:ligatures w14:val="none"/>
        </w:rPr>
      </w:pPr>
      <w:r w:rsidRPr="00620C1A">
        <w:rPr>
          <w:rFonts w:eastAsia="Times New Roman"/>
          <w:kern w:val="0"/>
          <w:rtl/>
          <w:lang w:bidi="ar-JO"/>
          <w14:ligatures w14:val="none"/>
        </w:rPr>
        <w:t>وفي نهاية الأمر يُقتل أيضاً كِنجو (رئيس أركان تيامات)، وصنع إي من دمه البشر بقصد "خدمة الآلهة".  ولأن مردوك أنقذ الآلهة من تيامات الشرّيرة، بنوا له مدينة بابل، تلك العاصمة العظيمة. وهكذا صارت هذه المدينة هي المدينة التي تفضّلها الآلهة. وتنتهي القصيدة بجعل بابل مسكناً للآلهة.  والفكرة واضحة هنا، وهي أنه يجب أن تمجَّد بابل كسيدة للشعوب، وأن يمجَّد مردوك بصفته الإله الرئيسي في مجمَّع آلهتها.</w:t>
      </w:r>
    </w:p>
    <w:p w14:paraId="22F91E3A"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4A095928" w14:textId="77777777" w:rsidR="00263246" w:rsidRPr="00620C1A" w:rsidRDefault="00263246" w:rsidP="00C7130A">
      <w:pPr>
        <w:tabs>
          <w:tab w:val="left" w:pos="454"/>
        </w:tabs>
        <w:spacing w:after="60"/>
        <w:ind w:left="550" w:hanging="550"/>
        <w:jc w:val="both"/>
        <w:rPr>
          <w:rFonts w:eastAsia="Times New Roman"/>
          <w:bCs/>
          <w:kern w:val="0"/>
          <w:rtl/>
          <w14:ligatures w14:val="none"/>
        </w:rPr>
      </w:pPr>
      <w:r w:rsidRPr="00620C1A">
        <w:rPr>
          <w:rFonts w:eastAsia="Times New Roman"/>
          <w:bCs/>
          <w:kern w:val="0"/>
          <w:rtl/>
          <w14:ligatures w14:val="none"/>
        </w:rPr>
        <w:t>ب.</w:t>
      </w:r>
      <w:r w:rsidRPr="00620C1A">
        <w:rPr>
          <w:rFonts w:eastAsia="Times New Roman"/>
          <w:bCs/>
          <w:kern w:val="0"/>
          <w:rtl/>
          <w14:ligatures w14:val="none"/>
        </w:rPr>
        <w:tab/>
        <w:t xml:space="preserve">ملحمة جلجامش (تسرد رواية لطوفان؛ انظر غريسانتي، </w:t>
      </w:r>
      <w:r w:rsidRPr="00620C1A">
        <w:rPr>
          <w:rFonts w:eastAsia="Times New Roman"/>
          <w:bCs/>
          <w:i/>
          <w:iCs/>
          <w:kern w:val="0"/>
          <w:rtl/>
          <w14:ligatures w14:val="none"/>
        </w:rPr>
        <w:t>العالم والكلمة</w:t>
      </w:r>
      <w:r w:rsidRPr="00620C1A">
        <w:rPr>
          <w:rFonts w:eastAsia="Times New Roman"/>
          <w:bCs/>
          <w:kern w:val="0"/>
          <w:rtl/>
          <w14:ligatures w14:val="none"/>
        </w:rPr>
        <w:t>، 58-59)</w:t>
      </w:r>
    </w:p>
    <w:p w14:paraId="63AE3550"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20C1A">
        <w:rPr>
          <w:rFonts w:eastAsia="Times New Roman"/>
          <w:kern w:val="0"/>
          <w:rtl/>
          <w:lang w:bidi="ar-JO"/>
          <w14:ligatures w14:val="none"/>
        </w:rPr>
        <w:t>تدور هذه القصة الشعرية حول شخص معروف باسم الملك جلجامش.  ولهذا الملك صديق اسمه إنكيدو.  ويُقتل إنكيدو هذا عقاباً له على إزعاجه للآلهة.  ونتيجة لذلك يحس جلجامش بألم عميق ويذهب بحثاً عن الخلود.</w:t>
      </w:r>
    </w:p>
    <w:p w14:paraId="2D40197A"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20C1A">
        <w:rPr>
          <w:rFonts w:eastAsia="Times New Roman"/>
          <w:kern w:val="0"/>
          <w:rtl/>
          <w:lang w:bidi="ar-JO"/>
          <w14:ligatures w14:val="none"/>
        </w:rPr>
        <w:t>ويصوّر أحد أبيات القصيدة معضلة البشر:</w:t>
      </w:r>
    </w:p>
    <w:p w14:paraId="0F1E27E1"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021" w:right="1021"/>
        <w:jc w:val="both"/>
        <w:rPr>
          <w:rFonts w:eastAsia="Times New Roman"/>
          <w:kern w:val="0"/>
          <w:rtl/>
          <w:lang w:bidi="ar-JO"/>
          <w14:ligatures w14:val="none"/>
        </w:rPr>
      </w:pPr>
      <w:r w:rsidRPr="00620C1A">
        <w:rPr>
          <w:rFonts w:eastAsia="Times New Roman"/>
          <w:kern w:val="0"/>
          <w:rtl/>
          <w:lang w:bidi="ar-JO"/>
          <w14:ligatures w14:val="none"/>
        </w:rPr>
        <w:t>"عندما خلقت الآلهة البشر، خصَّصوا الموت للبشر، مُبقين الحياة في أيديهم."</w:t>
      </w:r>
    </w:p>
    <w:p w14:paraId="12EC8BF4"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7C1BF5F"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20C1A">
        <w:rPr>
          <w:rFonts w:eastAsia="Times New Roman"/>
          <w:kern w:val="0"/>
          <w:rtl/>
          <w:lang w:bidi="ar-JO"/>
          <w14:ligatures w14:val="none"/>
        </w:rPr>
        <w:t>تمثلت خطة جلجامش في أن يجد شخصاً اسمه أتنابِشتيم يمكن أن يساعده في مسعاه.  وأتنابِشتيم هذا نظيرٌ نوعاً ما لنوح الكتابي.  فقد بقي أتنابِشتيم حياً بعد الطوفان بمساعدة إي، وهو الوحيد الذي حصل على الخلود.  ويلخص شوانتس كيفية مساعدة أتنابِشتيم لجلجامش:</w:t>
      </w:r>
    </w:p>
    <w:p w14:paraId="7ED76E08" w14:textId="77777777" w:rsidR="00263246" w:rsidRPr="00620C1A" w:rsidRDefault="00263246" w:rsidP="00C7130A">
      <w:pPr>
        <w:rPr>
          <w:rFonts w:eastAsia="Times New Roman"/>
          <w:kern w:val="0"/>
          <w:rtl/>
          <w:lang w:bidi="ar-KW"/>
          <w14:ligatures w14:val="none"/>
        </w:rPr>
      </w:pPr>
    </w:p>
    <w:p w14:paraId="29A536E6"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left="1021" w:right="1021"/>
        <w:jc w:val="both"/>
        <w:rPr>
          <w:rFonts w:eastAsia="Times New Roman"/>
          <w:kern w:val="0"/>
          <w:rtl/>
          <w14:ligatures w14:val="none"/>
        </w:rPr>
      </w:pPr>
      <w:r w:rsidRPr="00620C1A">
        <w:rPr>
          <w:rFonts w:eastAsia="Times New Roman"/>
          <w:kern w:val="0"/>
          <w:rtl/>
          <w:lang w:bidi="ar-JO"/>
          <w14:ligatures w14:val="none"/>
        </w:rPr>
        <w:lastRenderedPageBreak/>
        <w:t>"يسرد أُتنابِشتيم على مسمع جلجامش التعليمات التي تلقّاها للإعداد لبناء سفينة، والعاصفة الشديدة التي جلبت الطوفان، وكيف أنه أرسل أولاً حمامة، ثم طائر السنونو، وأخيراً غراباً لم يعد.... وقد وبخت الآلهة إنليل على جلبه للطوفان وتدمير كل البشر، فنزل على متن السفينة ومنح أُتنابِشتيم وزوجته حياة الخلود.</w:t>
      </w:r>
      <w:r w:rsidRPr="00620C1A">
        <w:rPr>
          <w:rFonts w:eastAsia="Times New Roman"/>
          <w:kern w:val="0"/>
          <w:vertAlign w:val="superscript"/>
          <w:rtl/>
          <w:lang w:bidi="ar-JO"/>
          <w14:ligatures w14:val="none"/>
        </w:rPr>
        <w:footnoteReference w:id="229"/>
      </w:r>
    </w:p>
    <w:p w14:paraId="4237D11F"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rtl/>
          <w:lang w:bidi="ar-JO"/>
          <w14:ligatures w14:val="none"/>
        </w:rPr>
      </w:pPr>
    </w:p>
    <w:p w14:paraId="725E7B9C" w14:textId="77777777" w:rsidR="00263246" w:rsidRPr="00620C1A" w:rsidRDefault="00263246" w:rsidP="00C7130A">
      <w:pPr>
        <w:tabs>
          <w:tab w:val="left" w:pos="550"/>
          <w:tab w:val="left" w:pos="1100"/>
          <w:tab w:val="left" w:pos="1650"/>
          <w:tab w:val="left" w:pos="2200"/>
          <w:tab w:val="left" w:pos="2750"/>
          <w:tab w:val="left" w:pos="3300"/>
          <w:tab w:val="left" w:pos="3850"/>
          <w:tab w:val="left" w:pos="4400"/>
        </w:tabs>
        <w:ind w:firstLine="550"/>
        <w:jc w:val="both"/>
        <w:rPr>
          <w:rFonts w:eastAsia="Times New Roman"/>
          <w:kern w:val="0"/>
          <w:lang w:bidi="ar-JO"/>
          <w14:ligatures w14:val="none"/>
        </w:rPr>
      </w:pPr>
      <w:r w:rsidRPr="00620C1A">
        <w:rPr>
          <w:rFonts w:eastAsia="Times New Roman"/>
          <w:kern w:val="0"/>
          <w:rtl/>
          <w:lang w:bidi="ar-JO"/>
          <w14:ligatures w14:val="none"/>
        </w:rPr>
        <w:t xml:space="preserve">ولكن للأسف، لم يعُد جلجامش إلى موطنه ومعه سرّ الخلود، ولذا بقي على الجنس البشري أن يعاني الموت. </w:t>
      </w:r>
    </w:p>
    <w:p w14:paraId="65320600" w14:textId="77777777" w:rsidR="00E80A44" w:rsidRDefault="00E80A44">
      <w:pPr>
        <w:bidi w:val="0"/>
        <w:spacing w:before="0" w:after="160" w:line="259" w:lineRule="auto"/>
        <w:rPr>
          <w:b/>
          <w:bCs/>
          <w:kern w:val="0"/>
          <w:sz w:val="56"/>
          <w:szCs w:val="56"/>
          <w:rtl/>
          <w14:ligatures w14:val="none"/>
        </w:rPr>
      </w:pPr>
      <w:bookmarkStart w:id="429" w:name="_Toc193031164"/>
      <w:r>
        <w:rPr>
          <w:rtl/>
        </w:rPr>
        <w:br w:type="page"/>
      </w:r>
    </w:p>
    <w:p w14:paraId="779E86AA" w14:textId="04630135" w:rsidR="002C23D1" w:rsidRPr="00C7130A" w:rsidRDefault="003D46FC" w:rsidP="00E80A44">
      <w:pPr>
        <w:pStyle w:val="Heading2"/>
      </w:pPr>
      <w:r w:rsidRPr="00C7130A">
        <w:rPr>
          <w:rtl/>
        </w:rPr>
        <w:lastRenderedPageBreak/>
        <w:t xml:space="preserve">الملحق 2: </w:t>
      </w:r>
      <w:bookmarkStart w:id="430" w:name="_Hlk191451615"/>
      <w:r w:rsidRPr="00C7130A">
        <w:rPr>
          <w:rtl/>
        </w:rPr>
        <w:t>آراء ونظريّات معاصرة بشأن تكوين 1: 1-3</w:t>
      </w:r>
      <w:bookmarkEnd w:id="429"/>
      <w:r w:rsidRPr="00C7130A">
        <w:rPr>
          <w:rtl/>
        </w:rPr>
        <w:t xml:space="preserve"> </w:t>
      </w:r>
      <w:bookmarkEnd w:id="430"/>
    </w:p>
    <w:p w14:paraId="436FC1BE" w14:textId="2508C139" w:rsidR="003D46FC" w:rsidRPr="00C7130A" w:rsidRDefault="003D46FC" w:rsidP="000558B7">
      <w:pPr>
        <w:pStyle w:val="Heading3"/>
        <w:rPr>
          <w:rtl/>
        </w:rPr>
      </w:pPr>
      <w:bookmarkStart w:id="431" w:name="_Toc193031165"/>
      <w:r w:rsidRPr="00C7130A">
        <w:rPr>
          <w:rtl/>
        </w:rPr>
        <w:t>مُقدِّمة</w:t>
      </w:r>
      <w:bookmarkEnd w:id="431"/>
    </w:p>
    <w:p w14:paraId="49008F4A" w14:textId="6B0C1655" w:rsidR="00894252" w:rsidRPr="00C7130A" w:rsidRDefault="003D46FC" w:rsidP="00BC1652">
      <w:pPr>
        <w:rPr>
          <w:rtl/>
        </w:rPr>
      </w:pPr>
      <w:r w:rsidRPr="00C7130A">
        <w:rPr>
          <w:rtl/>
        </w:rPr>
        <w:t>طريقة فهم المرء للآيات الثلاثة الأولى من تكوين 1 (وعلاقتها بعضها ببعض) هي إحدى القضايا المهمة في تفسير رواية الخلق. طبعًا هناك مسائل مهمة أخرى ينبغي وضعها في الاعتبار والتفكير بها، مثل كيفيّة فهم الكلمة "يوم"، والب</w:t>
      </w:r>
      <w:r w:rsidR="00881AA8" w:rsidRPr="00C7130A">
        <w:rPr>
          <w:rtl/>
        </w:rPr>
        <w:t>ُ</w:t>
      </w:r>
      <w:r w:rsidRPr="00C7130A">
        <w:rPr>
          <w:rtl/>
        </w:rPr>
        <w:t>نية الأدبيّة لل</w:t>
      </w:r>
      <w:r w:rsidR="00881AA8" w:rsidRPr="00C7130A">
        <w:rPr>
          <w:rtl/>
        </w:rPr>
        <w:t>أ</w:t>
      </w:r>
      <w:r w:rsidRPr="00C7130A">
        <w:rPr>
          <w:rtl/>
        </w:rPr>
        <w:t>يام الستة، ومسألة وجود النور في اليوم الأول قبل خلق الشمس، ومسائل أخرى. وفي ما يلي وصف قصير وملخَّص لبعض الآ</w:t>
      </w:r>
      <w:r w:rsidR="00881AA8" w:rsidRPr="00C7130A">
        <w:rPr>
          <w:rtl/>
        </w:rPr>
        <w:t>ر</w:t>
      </w:r>
      <w:r w:rsidRPr="00C7130A">
        <w:rPr>
          <w:rtl/>
        </w:rPr>
        <w:t xml:space="preserve">اء الشائعة التي يتبنّاها الإنجيليّون:  </w:t>
      </w:r>
    </w:p>
    <w:p w14:paraId="6AA9EB5D" w14:textId="77777777" w:rsidR="00745F4B" w:rsidRPr="00C7130A" w:rsidRDefault="00745F4B" w:rsidP="00C7130A">
      <w:pPr>
        <w:rPr>
          <w:sz w:val="26"/>
          <w:szCs w:val="26"/>
          <w:rtl/>
        </w:rPr>
      </w:pPr>
    </w:p>
    <w:p w14:paraId="6F0B2A2E" w14:textId="13B72D46" w:rsidR="003D46FC" w:rsidRPr="00BC1652" w:rsidRDefault="003D46FC" w:rsidP="000558B7">
      <w:pPr>
        <w:pStyle w:val="Heading3"/>
        <w:rPr>
          <w:rtl/>
        </w:rPr>
      </w:pPr>
      <w:bookmarkStart w:id="432" w:name="_Toc193031166"/>
      <w:r w:rsidRPr="00BC1652">
        <w:rPr>
          <w:rtl/>
        </w:rPr>
        <w:t xml:space="preserve">أولًا: </w:t>
      </w:r>
      <w:r w:rsidR="00745F4B" w:rsidRPr="00BC1652">
        <w:rPr>
          <w:rtl/>
        </w:rPr>
        <w:t>رأي الأيام الستة الحرفيّة التقليدي</w:t>
      </w:r>
      <w:r w:rsidR="00745F4B" w:rsidRPr="00BC1652">
        <w:rPr>
          <w:rStyle w:val="FootnoteReference"/>
          <w:rtl/>
        </w:rPr>
        <w:footnoteReference w:id="230"/>
      </w:r>
      <w:bookmarkEnd w:id="432"/>
    </w:p>
    <w:p w14:paraId="63A640D7" w14:textId="215C57E9" w:rsidR="00745F4B" w:rsidRPr="00BC1652" w:rsidRDefault="00745F4B" w:rsidP="00C7130A">
      <w:pPr>
        <w:rPr>
          <w:rtl/>
          <w:lang w:bidi="ar-JO"/>
        </w:rPr>
      </w:pPr>
      <w:r w:rsidRPr="00BC1652">
        <w:rPr>
          <w:rtl/>
          <w:lang w:bidi="ar-JO"/>
        </w:rPr>
        <w:t xml:space="preserve">- كل ما يرد في تكوين 1: 1 – 2: 3 حدث في ستة أيّام حرفيّة. </w:t>
      </w:r>
    </w:p>
    <w:p w14:paraId="4F5BEC9E" w14:textId="2FBD63D0" w:rsidR="00745F4B" w:rsidRPr="00BC1652" w:rsidRDefault="00745F4B" w:rsidP="00C7130A">
      <w:pPr>
        <w:rPr>
          <w:rtl/>
          <w:lang w:bidi="ar-JO"/>
        </w:rPr>
      </w:pPr>
      <w:r w:rsidRPr="00BC1652">
        <w:rPr>
          <w:rtl/>
          <w:lang w:bidi="ar-JO"/>
        </w:rPr>
        <w:t>- يصف تكوين 1: 1-5 يومًا واحدًا.</w:t>
      </w:r>
      <w:r w:rsidR="00AD2040" w:rsidRPr="00BC1652">
        <w:rPr>
          <w:rStyle w:val="FootnoteReference"/>
          <w:rtl/>
          <w:lang w:bidi="ar-JO"/>
        </w:rPr>
        <w:footnoteReference w:id="231"/>
      </w:r>
    </w:p>
    <w:p w14:paraId="6EA53872" w14:textId="7A6DAF27" w:rsidR="00745F4B" w:rsidRPr="00BC1652" w:rsidRDefault="00745F4B" w:rsidP="00C7130A">
      <w:pPr>
        <w:rPr>
          <w:rtl/>
          <w:lang w:bidi="ar-JO"/>
        </w:rPr>
      </w:pPr>
      <w:r w:rsidRPr="00BC1652">
        <w:rPr>
          <w:rtl/>
          <w:lang w:bidi="ar-JO"/>
        </w:rPr>
        <w:t>- تكوين 1: 1 جملة مستقلّة تصف بداية مُطل</w:t>
      </w:r>
      <w:r w:rsidR="00202DA2" w:rsidRPr="00BC1652">
        <w:rPr>
          <w:rtl/>
          <w:lang w:bidi="ar-JO"/>
        </w:rPr>
        <w:t>َ</w:t>
      </w:r>
      <w:r w:rsidRPr="00BC1652">
        <w:rPr>
          <w:rtl/>
          <w:lang w:bidi="ar-JO"/>
        </w:rPr>
        <w:t>قة، حيث خلق الله للسماوات والأرض هو أو</w:t>
      </w:r>
      <w:r w:rsidR="00F54216" w:rsidRPr="00BC1652">
        <w:rPr>
          <w:rtl/>
          <w:lang w:bidi="ar-JO"/>
        </w:rPr>
        <w:t>ّ</w:t>
      </w:r>
      <w:r w:rsidRPr="00BC1652">
        <w:rPr>
          <w:rtl/>
          <w:lang w:bidi="ar-JO"/>
        </w:rPr>
        <w:t xml:space="preserve">ل مرحلةٍ من عمل الخلق (لكن غير المكتمِل) هذا. </w:t>
      </w:r>
    </w:p>
    <w:p w14:paraId="5E6B9F5F" w14:textId="7A530CC9" w:rsidR="00745F4B" w:rsidRPr="00BC1652" w:rsidRDefault="00745F4B" w:rsidP="00C7130A">
      <w:pPr>
        <w:rPr>
          <w:rtl/>
          <w:lang w:bidi="ar-JO"/>
        </w:rPr>
      </w:pPr>
      <w:r w:rsidRPr="00BC1652">
        <w:rPr>
          <w:rtl/>
          <w:lang w:bidi="ar-JO"/>
        </w:rPr>
        <w:t>- تكوين 1: 2 عبارة ظرفيّة (</w:t>
      </w:r>
      <w:r w:rsidR="00AD2040" w:rsidRPr="00BC1652">
        <w:rPr>
          <w:rtl/>
          <w:lang w:bidi="ar-JO"/>
        </w:rPr>
        <w:t>عبارة استدراكي</w:t>
      </w:r>
      <w:r w:rsidR="00F54216" w:rsidRPr="00BC1652">
        <w:rPr>
          <w:rtl/>
          <w:lang w:bidi="ar-JO"/>
        </w:rPr>
        <w:t>ّة</w:t>
      </w:r>
      <w:r w:rsidR="00AD2040" w:rsidRPr="00BC1652">
        <w:rPr>
          <w:rtl/>
          <w:lang w:bidi="ar-JO"/>
        </w:rPr>
        <w:t xml:space="preserve"> معترِضة) لا تقدِّم تسلسلًا في الأحداث، بل تُشير ببساطة إلى حالة السماوات والأرض لحظة خلقها الله. </w:t>
      </w:r>
    </w:p>
    <w:p w14:paraId="6ABAD707" w14:textId="2BB598DC" w:rsidR="00AD2040" w:rsidRPr="00BC1652" w:rsidRDefault="00AD2040" w:rsidP="00C7130A">
      <w:pPr>
        <w:rPr>
          <w:rtl/>
          <w:lang w:bidi="ar-JO"/>
        </w:rPr>
      </w:pPr>
      <w:r w:rsidRPr="00BC1652">
        <w:rPr>
          <w:rtl/>
          <w:lang w:bidi="ar-JO"/>
        </w:rPr>
        <w:t>- يُكمِل تكوين 1: 3 الرواية بخلق النور (ولكن</w:t>
      </w:r>
      <w:r w:rsidR="00F54216" w:rsidRPr="00BC1652">
        <w:rPr>
          <w:rtl/>
          <w:lang w:bidi="ar-JO"/>
        </w:rPr>
        <w:t>ّ</w:t>
      </w:r>
      <w:r w:rsidRPr="00BC1652">
        <w:rPr>
          <w:rtl/>
          <w:lang w:bidi="ar-JO"/>
        </w:rPr>
        <w:t xml:space="preserve"> النور </w:t>
      </w:r>
      <w:r w:rsidR="00F54216" w:rsidRPr="00BC1652">
        <w:rPr>
          <w:rtl/>
          <w:lang w:bidi="ar-JO"/>
        </w:rPr>
        <w:t xml:space="preserve">ليس هو النور </w:t>
      </w:r>
      <w:r w:rsidRPr="00BC1652">
        <w:rPr>
          <w:rtl/>
          <w:lang w:bidi="ar-JO"/>
        </w:rPr>
        <w:t xml:space="preserve">الآتي من الشمس). </w:t>
      </w:r>
    </w:p>
    <w:p w14:paraId="52B638A2" w14:textId="77777777" w:rsidR="00780E87" w:rsidRPr="00C7130A" w:rsidRDefault="00780E87" w:rsidP="00C7130A">
      <w:pPr>
        <w:rPr>
          <w:sz w:val="26"/>
          <w:szCs w:val="26"/>
          <w:rtl/>
          <w:lang w:bidi="ar-JO"/>
        </w:rPr>
      </w:pPr>
    </w:p>
    <w:p w14:paraId="1B98601E" w14:textId="6AD1A5F2" w:rsidR="00894252" w:rsidRPr="00BC1652" w:rsidRDefault="00780E87" w:rsidP="000558B7">
      <w:pPr>
        <w:pStyle w:val="Heading3"/>
      </w:pPr>
      <w:bookmarkStart w:id="433" w:name="_Toc193031167"/>
      <w:r w:rsidRPr="00BC1652">
        <w:rPr>
          <w:rtl/>
        </w:rPr>
        <w:t>ثانيًا، اليوم الأول يبدأ في تكوين 1: 2</w:t>
      </w:r>
      <w:bookmarkEnd w:id="433"/>
      <w:r w:rsidRPr="00BC1652">
        <w:rPr>
          <w:rtl/>
        </w:rPr>
        <w:t xml:space="preserve"> </w:t>
      </w:r>
    </w:p>
    <w:p w14:paraId="3FAC2794" w14:textId="77777777" w:rsidR="00894252" w:rsidRPr="00C7130A" w:rsidRDefault="00894252" w:rsidP="00C7130A">
      <w:pPr>
        <w:tabs>
          <w:tab w:val="left" w:pos="540"/>
          <w:tab w:val="left" w:pos="1080"/>
          <w:tab w:val="left" w:pos="1620"/>
          <w:tab w:val="left" w:pos="2160"/>
        </w:tabs>
        <w:rPr>
          <w:b/>
          <w:bCs/>
          <w:kern w:val="0"/>
          <w:szCs w:val="24"/>
          <w14:ligatures w14:val="none"/>
        </w:rPr>
      </w:pPr>
    </w:p>
    <w:p w14:paraId="2DE9F4B6" w14:textId="6509FC42" w:rsidR="00780E87" w:rsidRPr="00BC1652" w:rsidRDefault="00780E87" w:rsidP="00C7130A">
      <w:pPr>
        <w:tabs>
          <w:tab w:val="left" w:pos="540"/>
          <w:tab w:val="left" w:pos="1080"/>
          <w:tab w:val="left" w:pos="1620"/>
          <w:tab w:val="left" w:pos="2160"/>
        </w:tabs>
        <w:ind w:left="1080" w:hanging="1080"/>
        <w:rPr>
          <w:b/>
          <w:bCs/>
          <w:kern w:val="0"/>
          <w:rtl/>
          <w14:ligatures w14:val="none"/>
        </w:rPr>
      </w:pPr>
      <w:r w:rsidRPr="00BC1652">
        <w:rPr>
          <w:b/>
          <w:bCs/>
          <w:kern w:val="0"/>
          <w:rtl/>
          <w14:ligatures w14:val="none"/>
        </w:rPr>
        <w:lastRenderedPageBreak/>
        <w:t>أ. تكوين 1 عنوان لكامل الأصحاح (وليس عمل الله الأول). – كاسوتو.</w:t>
      </w:r>
      <w:r w:rsidRPr="00BC1652">
        <w:rPr>
          <w:b/>
          <w:bCs/>
          <w:kern w:val="0"/>
          <w:vertAlign w:val="superscript"/>
          <w14:ligatures w14:val="none"/>
        </w:rPr>
        <w:t xml:space="preserve"> </w:t>
      </w:r>
      <w:r w:rsidRPr="00BC1652">
        <w:rPr>
          <w:b/>
          <w:bCs/>
          <w:kern w:val="0"/>
          <w:vertAlign w:val="superscript"/>
          <w14:ligatures w14:val="none"/>
        </w:rPr>
        <w:footnoteReference w:id="232"/>
      </w:r>
    </w:p>
    <w:p w14:paraId="37721FC1" w14:textId="52D5E8FB" w:rsidR="00780E87" w:rsidRPr="00BC1652" w:rsidRDefault="00894252" w:rsidP="00C7130A">
      <w:pPr>
        <w:tabs>
          <w:tab w:val="left" w:pos="540"/>
          <w:tab w:val="left" w:pos="1080"/>
          <w:tab w:val="left" w:pos="1620"/>
          <w:tab w:val="left" w:pos="2160"/>
        </w:tabs>
        <w:rPr>
          <w:kern w:val="0"/>
          <w:rtl/>
          <w14:ligatures w14:val="none"/>
        </w:rPr>
      </w:pPr>
      <w:r w:rsidRPr="00BC1652">
        <w:rPr>
          <w:kern w:val="0"/>
          <w14:ligatures w14:val="none"/>
        </w:rPr>
        <w:br/>
      </w:r>
      <w:r w:rsidR="00780E87" w:rsidRPr="00BC1652">
        <w:rPr>
          <w:kern w:val="0"/>
          <w:rtl/>
          <w14:ligatures w14:val="none"/>
        </w:rPr>
        <w:t>مع أنّ كاسوتو يرى تكوين 1: 1 بوصفه عنوانًا لكامل الأصحاح، فهو يفترض أن</w:t>
      </w:r>
      <w:r w:rsidR="00F54216" w:rsidRPr="00BC1652">
        <w:rPr>
          <w:kern w:val="0"/>
          <w:rtl/>
          <w14:ligatures w14:val="none"/>
        </w:rPr>
        <w:t>َّ</w:t>
      </w:r>
      <w:r w:rsidR="00780E87" w:rsidRPr="00BC1652">
        <w:rPr>
          <w:kern w:val="0"/>
          <w:rtl/>
          <w14:ligatures w14:val="none"/>
        </w:rPr>
        <w:t xml:space="preserve"> الأجزاء الأساسيّة، أي السماوات والأرض،" قد خُلِقت في اليوم الأول، لأن</w:t>
      </w:r>
      <w:r w:rsidR="00F54216" w:rsidRPr="00BC1652">
        <w:rPr>
          <w:kern w:val="0"/>
          <w:rtl/>
          <w14:ligatures w14:val="none"/>
        </w:rPr>
        <w:t>َّ</w:t>
      </w:r>
      <w:r w:rsidR="00780E87" w:rsidRPr="00BC1652">
        <w:rPr>
          <w:kern w:val="0"/>
          <w:rtl/>
          <w14:ligatures w14:val="none"/>
        </w:rPr>
        <w:t xml:space="preserve"> تكوين 1: 2 يبدأ بوصفه حالة الأرض في شكلها </w:t>
      </w:r>
      <w:r w:rsidR="00780E87" w:rsidRPr="00BC1652">
        <w:rPr>
          <w:kern w:val="0"/>
          <w:rtl/>
          <w:lang w:bidi="ar-JO"/>
          <w14:ligatures w14:val="none"/>
        </w:rPr>
        <w:t>الأوّلي</w:t>
      </w:r>
      <w:r w:rsidR="00780E87" w:rsidRPr="00BC1652">
        <w:rPr>
          <w:kern w:val="0"/>
          <w:rtl/>
          <w14:ligatures w14:val="none"/>
        </w:rPr>
        <w:t>. ولذا، فإنّ كامل الأصحاح الأو</w:t>
      </w:r>
      <w:r w:rsidR="00F54216" w:rsidRPr="00BC1652">
        <w:rPr>
          <w:kern w:val="0"/>
          <w:rtl/>
          <w14:ligatures w14:val="none"/>
        </w:rPr>
        <w:t>ّ</w:t>
      </w:r>
      <w:r w:rsidR="00780E87" w:rsidRPr="00BC1652">
        <w:rPr>
          <w:kern w:val="0"/>
          <w:rtl/>
          <w14:ligatures w14:val="none"/>
        </w:rPr>
        <w:t xml:space="preserve">ل يمثِّل بدايةً مُطلَقةً. فستشمل الأرض المياه وكل ما تحتَ سطحها، بمقابل السماوات فوق سطح الأرض. </w:t>
      </w:r>
    </w:p>
    <w:p w14:paraId="21DEBBDC" w14:textId="78D9B345" w:rsidR="00881BFF" w:rsidRPr="00BC1652" w:rsidRDefault="00881BFF" w:rsidP="00C7130A">
      <w:pPr>
        <w:tabs>
          <w:tab w:val="left" w:pos="540"/>
          <w:tab w:val="left" w:pos="1080"/>
          <w:tab w:val="left" w:pos="1620"/>
          <w:tab w:val="left" w:pos="2160"/>
        </w:tabs>
        <w:rPr>
          <w:kern w:val="0"/>
          <w:rtl/>
          <w14:ligatures w14:val="none"/>
        </w:rPr>
      </w:pPr>
    </w:p>
    <w:p w14:paraId="52BF61CA" w14:textId="5411671A" w:rsidR="00881BFF" w:rsidRPr="00BC1652" w:rsidRDefault="00881BFF" w:rsidP="00C7130A">
      <w:pPr>
        <w:tabs>
          <w:tab w:val="left" w:pos="540"/>
          <w:tab w:val="left" w:pos="1080"/>
          <w:tab w:val="left" w:pos="1620"/>
          <w:tab w:val="left" w:pos="2160"/>
        </w:tabs>
        <w:rPr>
          <w:b/>
          <w:bCs/>
          <w:kern w:val="0"/>
          <w:rtl/>
          <w14:ligatures w14:val="none"/>
        </w:rPr>
      </w:pPr>
      <w:r w:rsidRPr="00BC1652">
        <w:rPr>
          <w:b/>
          <w:bCs/>
          <w:kern w:val="0"/>
          <w:rtl/>
          <w14:ligatures w14:val="none"/>
        </w:rPr>
        <w:t>ب. يبدأ أسبوع الخلق بتكوين 1: 3 بعد "بداية طويلة" للكون في تكوين 1: 1 – جون سيلهامر</w:t>
      </w:r>
      <w:r w:rsidRPr="00BC1652">
        <w:rPr>
          <w:kern w:val="0"/>
          <w:vertAlign w:val="superscript"/>
          <w14:ligatures w14:val="none"/>
        </w:rPr>
        <w:footnoteReference w:id="233"/>
      </w:r>
      <w:r w:rsidRPr="00BC1652">
        <w:rPr>
          <w:b/>
          <w:bCs/>
          <w:kern w:val="0"/>
          <w:rtl/>
          <w14:ligatures w14:val="none"/>
        </w:rPr>
        <w:t xml:space="preserve"> وجون بايبر.</w:t>
      </w:r>
    </w:p>
    <w:p w14:paraId="4D6140DC" w14:textId="77777777" w:rsidR="00894252" w:rsidRPr="00BC1652" w:rsidRDefault="00894252" w:rsidP="00C7130A">
      <w:pPr>
        <w:tabs>
          <w:tab w:val="left" w:pos="540"/>
          <w:tab w:val="left" w:pos="1080"/>
          <w:tab w:val="left" w:pos="1620"/>
          <w:tab w:val="left" w:pos="2160"/>
        </w:tabs>
        <w:ind w:left="1080" w:hanging="1080"/>
        <w:rPr>
          <w:kern w:val="0"/>
          <w14:ligatures w14:val="none"/>
        </w:rPr>
      </w:pPr>
    </w:p>
    <w:p w14:paraId="1AD55B96" w14:textId="2A82BD98" w:rsidR="00894252" w:rsidRPr="00BC1652" w:rsidRDefault="00881BFF" w:rsidP="00C7130A">
      <w:pPr>
        <w:tabs>
          <w:tab w:val="left" w:pos="540"/>
          <w:tab w:val="left" w:pos="1080"/>
          <w:tab w:val="left" w:pos="1620"/>
          <w:tab w:val="left" w:pos="2160"/>
        </w:tabs>
        <w:rPr>
          <w:kern w:val="0"/>
          <w14:ligatures w14:val="none"/>
        </w:rPr>
      </w:pPr>
      <w:r w:rsidRPr="00BC1652">
        <w:rPr>
          <w:kern w:val="0"/>
          <w:rtl/>
          <w14:ligatures w14:val="none"/>
        </w:rPr>
        <w:t>يفه</w:t>
      </w:r>
      <w:r w:rsidR="001C7EC4" w:rsidRPr="00BC1652">
        <w:rPr>
          <w:kern w:val="0"/>
          <w:rtl/>
          <w14:ligatures w14:val="none"/>
        </w:rPr>
        <w:t>م سيلهامر "البدء" (تكوين 1: 1) ليس بمعنى عملٍ لحظي</w:t>
      </w:r>
      <w:r w:rsidR="00F54216" w:rsidRPr="00BC1652">
        <w:rPr>
          <w:kern w:val="0"/>
          <w:rtl/>
          <w14:ligatures w14:val="none"/>
        </w:rPr>
        <w:t>ّ</w:t>
      </w:r>
      <w:r w:rsidR="001C7EC4" w:rsidRPr="00BC1652">
        <w:rPr>
          <w:kern w:val="0"/>
          <w:rtl/>
          <w14:ligatures w14:val="none"/>
        </w:rPr>
        <w:t xml:space="preserve">، بل بمعنى فترة طويلة يخلق الله فيها الكون الأوّلي، بما في ذلك الشمس والقمر والنجوم. [ما حدث في اليوم الرابع ليس </w:t>
      </w:r>
      <w:r w:rsidR="00F54216" w:rsidRPr="00BC1652">
        <w:rPr>
          <w:kern w:val="0"/>
          <w:rtl/>
          <w14:ligatures w14:val="none"/>
        </w:rPr>
        <w:t>خلق</w:t>
      </w:r>
      <w:r w:rsidR="001C7EC4" w:rsidRPr="00BC1652">
        <w:rPr>
          <w:kern w:val="0"/>
          <w:rtl/>
          <w14:ligatures w14:val="none"/>
        </w:rPr>
        <w:t xml:space="preserve"> هذه الأشياء، بل </w:t>
      </w:r>
      <w:r w:rsidR="00F54216" w:rsidRPr="00BC1652">
        <w:rPr>
          <w:kern w:val="0"/>
          <w:rtl/>
          <w14:ligatures w14:val="none"/>
        </w:rPr>
        <w:t xml:space="preserve">كونها </w:t>
      </w:r>
      <w:r w:rsidR="001C7EC4" w:rsidRPr="00BC1652">
        <w:rPr>
          <w:kern w:val="0"/>
          <w:rtl/>
          <w14:ligatures w14:val="none"/>
        </w:rPr>
        <w:t>"ظهرت".] يبدأ اليوم الأو</w:t>
      </w:r>
      <w:r w:rsidR="00F54216" w:rsidRPr="00BC1652">
        <w:rPr>
          <w:kern w:val="0"/>
          <w:rtl/>
          <w14:ligatures w14:val="none"/>
        </w:rPr>
        <w:t>ّ</w:t>
      </w:r>
      <w:r w:rsidR="001C7EC4" w:rsidRPr="00BC1652">
        <w:rPr>
          <w:kern w:val="0"/>
          <w:rtl/>
          <w14:ligatures w14:val="none"/>
        </w:rPr>
        <w:t>ل من أسبوع الخلق في 1: 2 بكون الأرض في حالة "توهو وبوهو" (أي أنّها من دون شكلٍ وخالية). لا فجوة زمني</w:t>
      </w:r>
      <w:r w:rsidR="00F54216" w:rsidRPr="00BC1652">
        <w:rPr>
          <w:kern w:val="0"/>
          <w:rtl/>
          <w14:ligatures w14:val="none"/>
        </w:rPr>
        <w:t>ّ</w:t>
      </w:r>
      <w:r w:rsidR="001C7EC4" w:rsidRPr="00BC1652">
        <w:rPr>
          <w:kern w:val="0"/>
          <w:rtl/>
          <w14:ligatures w14:val="none"/>
        </w:rPr>
        <w:t>ة بين الآية 1 والآية 2، فالآية 1 تعبِّر عن فترة زمني</w:t>
      </w:r>
      <w:r w:rsidR="00F54216" w:rsidRPr="00BC1652">
        <w:rPr>
          <w:kern w:val="0"/>
          <w:rtl/>
          <w14:ligatures w14:val="none"/>
        </w:rPr>
        <w:t>ّ</w:t>
      </w:r>
      <w:r w:rsidR="001C7EC4" w:rsidRPr="00BC1652">
        <w:rPr>
          <w:kern w:val="0"/>
          <w:rtl/>
          <w14:ligatures w14:val="none"/>
        </w:rPr>
        <w:t>ة طويلة غير مُحدَّدة. "وبعد تلك الفترة من الزمن، عمل الله على تهيئة ’الأرض‘ مكانًا للبشر ليسكنوه"، وذلك خلال ستة أيّام أسبوع الخلق، كما هو موصوف في تكوين 1: 2 وما يليها (</w:t>
      </w:r>
      <w:r w:rsidR="001C7EC4" w:rsidRPr="00BC1652">
        <w:rPr>
          <w:i/>
          <w:iCs/>
          <w:kern w:val="0"/>
          <w14:ligatures w14:val="none"/>
        </w:rPr>
        <w:t>Genesis Unbound</w:t>
      </w:r>
      <w:r w:rsidR="001C7EC4" w:rsidRPr="00BC1652">
        <w:rPr>
          <w:kern w:val="0"/>
          <w14:ligatures w14:val="none"/>
        </w:rPr>
        <w:t>, 44</w:t>
      </w:r>
      <w:r w:rsidR="001C7EC4" w:rsidRPr="00BC1652">
        <w:rPr>
          <w:kern w:val="0"/>
          <w:rtl/>
          <w14:ligatures w14:val="none"/>
        </w:rPr>
        <w:t>).</w:t>
      </w:r>
    </w:p>
    <w:p w14:paraId="67404003" w14:textId="77777777" w:rsidR="00894252" w:rsidRPr="00BC1652" w:rsidRDefault="00894252" w:rsidP="00C7130A">
      <w:pPr>
        <w:tabs>
          <w:tab w:val="left" w:pos="540"/>
          <w:tab w:val="left" w:pos="1080"/>
          <w:tab w:val="left" w:pos="1620"/>
          <w:tab w:val="left" w:pos="2160"/>
        </w:tabs>
        <w:ind w:left="1080"/>
        <w:rPr>
          <w:kern w:val="0"/>
          <w14:ligatures w14:val="none"/>
        </w:rPr>
      </w:pPr>
    </w:p>
    <w:p w14:paraId="2A5568BF" w14:textId="11648A88" w:rsidR="00894252" w:rsidRPr="00BC1652" w:rsidRDefault="001C7EC4" w:rsidP="000558B7">
      <w:pPr>
        <w:pStyle w:val="Heading3"/>
      </w:pPr>
      <w:bookmarkStart w:id="434" w:name="_Toc193031168"/>
      <w:r w:rsidRPr="00BC1652">
        <w:rPr>
          <w:rtl/>
        </w:rPr>
        <w:t>ثالثًا، تكوين 1: 1 هو الخلق الأصلي، ولكنّه يختلف عن رواية خلق الأيّام الستة.</w:t>
      </w:r>
      <w:bookmarkEnd w:id="434"/>
      <w:r w:rsidRPr="00BC1652">
        <w:rPr>
          <w:rtl/>
        </w:rPr>
        <w:t xml:space="preserve"> </w:t>
      </w:r>
    </w:p>
    <w:p w14:paraId="29A022BB" w14:textId="77777777" w:rsidR="00894252" w:rsidRPr="00BC1652" w:rsidRDefault="00894252" w:rsidP="00C7130A">
      <w:pPr>
        <w:tabs>
          <w:tab w:val="left" w:pos="540"/>
          <w:tab w:val="left" w:pos="1080"/>
          <w:tab w:val="left" w:pos="1620"/>
          <w:tab w:val="left" w:pos="2160"/>
        </w:tabs>
        <w:rPr>
          <w:b/>
          <w:bCs/>
          <w:kern w:val="0"/>
          <w14:ligatures w14:val="none"/>
        </w:rPr>
      </w:pPr>
    </w:p>
    <w:p w14:paraId="7F613460" w14:textId="61232053" w:rsidR="00894252" w:rsidRPr="00BC1652" w:rsidRDefault="001C7EC4">
      <w:pPr>
        <w:pStyle w:val="ListParagraph"/>
        <w:numPr>
          <w:ilvl w:val="0"/>
          <w:numId w:val="15"/>
        </w:numPr>
        <w:tabs>
          <w:tab w:val="left" w:pos="540"/>
          <w:tab w:val="left" w:pos="1080"/>
          <w:tab w:val="left" w:pos="1620"/>
          <w:tab w:val="left" w:pos="2160"/>
        </w:tabs>
        <w:rPr>
          <w:b/>
          <w:bCs/>
          <w:kern w:val="0"/>
          <w14:ligatures w14:val="none"/>
        </w:rPr>
      </w:pPr>
      <w:r w:rsidRPr="00BC1652">
        <w:rPr>
          <w:b/>
          <w:bCs/>
          <w:kern w:val="0"/>
          <w:rtl/>
          <w14:ligatures w14:val="none"/>
        </w:rPr>
        <w:t>نظرية الفجوة</w:t>
      </w:r>
      <w:r w:rsidR="00894252" w:rsidRPr="00BC1652">
        <w:rPr>
          <w:vertAlign w:val="superscript"/>
        </w:rPr>
        <w:footnoteReference w:id="234"/>
      </w:r>
    </w:p>
    <w:p w14:paraId="4F233BEA" w14:textId="77777777" w:rsidR="00894252" w:rsidRPr="00BC1652" w:rsidRDefault="00894252" w:rsidP="00C7130A">
      <w:pPr>
        <w:tabs>
          <w:tab w:val="left" w:pos="540"/>
          <w:tab w:val="left" w:pos="1080"/>
          <w:tab w:val="left" w:pos="1620"/>
          <w:tab w:val="left" w:pos="2160"/>
        </w:tabs>
        <w:rPr>
          <w:b/>
          <w:bCs/>
          <w:kern w:val="0"/>
          <w14:ligatures w14:val="none"/>
        </w:rPr>
      </w:pPr>
    </w:p>
    <w:p w14:paraId="45A2E546" w14:textId="13B2E43F" w:rsidR="000B0134" w:rsidRPr="00BC1652" w:rsidRDefault="000B0134" w:rsidP="00C7130A">
      <w:pPr>
        <w:tabs>
          <w:tab w:val="left" w:pos="540"/>
          <w:tab w:val="left" w:pos="1080"/>
          <w:tab w:val="left" w:pos="1620"/>
          <w:tab w:val="left" w:pos="2160"/>
        </w:tabs>
        <w:rPr>
          <w:kern w:val="0"/>
          <w:rtl/>
          <w14:ligatures w14:val="none"/>
        </w:rPr>
      </w:pPr>
      <w:r w:rsidRPr="00BC1652">
        <w:rPr>
          <w:kern w:val="0"/>
          <w:rtl/>
          <w14:ligatures w14:val="none"/>
        </w:rPr>
        <w:t>بحسب نظري</w:t>
      </w:r>
      <w:r w:rsidR="00F54216" w:rsidRPr="00BC1652">
        <w:rPr>
          <w:kern w:val="0"/>
          <w:rtl/>
          <w14:ligatures w14:val="none"/>
        </w:rPr>
        <w:t>ّ</w:t>
      </w:r>
      <w:r w:rsidRPr="00BC1652">
        <w:rPr>
          <w:kern w:val="0"/>
          <w:rtl/>
          <w14:ligatures w14:val="none"/>
        </w:rPr>
        <w:t>ة الفجوة، هناك فجوة زمنية ما بين الخلق الأصلي في تكوين 1: 1 والأرض الواقعة تحتَ دينونة في تكوين 1: 2، متبوعةً بإعادة خلقها في تكوين 1: 3. وهكذا، فإنّ تكوين 1: 1 هي الخلق الأصلي (البداية المُطلَقة)، ولكنّ هناك فجوة</w:t>
      </w:r>
      <w:r w:rsidR="00F54216" w:rsidRPr="00BC1652">
        <w:rPr>
          <w:kern w:val="0"/>
          <w:rtl/>
          <w14:ligatures w14:val="none"/>
        </w:rPr>
        <w:t>ً</w:t>
      </w:r>
      <w:r w:rsidRPr="00BC1652">
        <w:rPr>
          <w:kern w:val="0"/>
          <w:rtl/>
          <w14:ligatures w14:val="none"/>
        </w:rPr>
        <w:t xml:space="preserve"> زمنيّة</w:t>
      </w:r>
      <w:r w:rsidR="00F54216" w:rsidRPr="00BC1652">
        <w:rPr>
          <w:kern w:val="0"/>
          <w:rtl/>
          <w14:ligatures w14:val="none"/>
        </w:rPr>
        <w:t>ً</w:t>
      </w:r>
      <w:r w:rsidRPr="00BC1652">
        <w:rPr>
          <w:kern w:val="0"/>
          <w:rtl/>
          <w14:ligatures w14:val="none"/>
        </w:rPr>
        <w:t xml:space="preserve"> (لا تُعرَف مدّتها) ما بين الآية 1 والآية 2. وتصوِّر الآية 2 أرضًا تسودها الفوضى نتيجة</w:t>
      </w:r>
      <w:r w:rsidR="00F54216" w:rsidRPr="00BC1652">
        <w:rPr>
          <w:kern w:val="0"/>
          <w:rtl/>
          <w14:ligatures w14:val="none"/>
        </w:rPr>
        <w:t>ً</w:t>
      </w:r>
      <w:r w:rsidRPr="00BC1652">
        <w:rPr>
          <w:kern w:val="0"/>
          <w:rtl/>
          <w14:ligatures w14:val="none"/>
        </w:rPr>
        <w:t xml:space="preserve"> للشرّ والدينونة (اللذين عادةً ما </w:t>
      </w:r>
      <w:r w:rsidRPr="00BC1652">
        <w:rPr>
          <w:kern w:val="0"/>
          <w:rtl/>
          <w14:ligatures w14:val="none"/>
        </w:rPr>
        <w:lastRenderedPageBreak/>
        <w:t>يُعزي</w:t>
      </w:r>
      <w:r w:rsidR="00F54216" w:rsidRPr="00BC1652">
        <w:rPr>
          <w:kern w:val="0"/>
          <w:rtl/>
          <w14:ligatures w14:val="none"/>
        </w:rPr>
        <w:t>َ</w:t>
      </w:r>
      <w:r w:rsidRPr="00BC1652">
        <w:rPr>
          <w:kern w:val="0"/>
          <w:rtl/>
          <w14:ligatures w14:val="none"/>
        </w:rPr>
        <w:t>ان إلى الشيطان). يُفترَض أن</w:t>
      </w:r>
      <w:r w:rsidR="00F54216" w:rsidRPr="00BC1652">
        <w:rPr>
          <w:kern w:val="0"/>
          <w:rtl/>
          <w14:ligatures w14:val="none"/>
        </w:rPr>
        <w:t>ّ</w:t>
      </w:r>
      <w:r w:rsidRPr="00BC1652">
        <w:rPr>
          <w:kern w:val="0"/>
          <w:rtl/>
          <w14:ligatures w14:val="none"/>
        </w:rPr>
        <w:t xml:space="preserve"> هذا الرأي يسمح بالحقبات الجيولوجية التي تسبق إعادة خلق السماوات والأرض في ستة أيّام، وهو الخلق الذي يبدأ في تكوين 1: 3. </w:t>
      </w:r>
    </w:p>
    <w:p w14:paraId="372D1150" w14:textId="77777777" w:rsidR="000B0134" w:rsidRPr="00C7130A" w:rsidRDefault="000B0134" w:rsidP="00C7130A">
      <w:pPr>
        <w:tabs>
          <w:tab w:val="left" w:pos="540"/>
          <w:tab w:val="left" w:pos="1080"/>
          <w:tab w:val="left" w:pos="1620"/>
          <w:tab w:val="left" w:pos="2160"/>
        </w:tabs>
        <w:rPr>
          <w:kern w:val="0"/>
          <w:sz w:val="26"/>
          <w:szCs w:val="26"/>
          <w:rtl/>
          <w14:ligatures w14:val="none"/>
        </w:rPr>
      </w:pPr>
    </w:p>
    <w:p w14:paraId="40F73D9C" w14:textId="77777777" w:rsidR="00894252" w:rsidRPr="00C7130A" w:rsidRDefault="00894252" w:rsidP="00C7130A">
      <w:pPr>
        <w:tabs>
          <w:tab w:val="left" w:pos="540"/>
          <w:tab w:val="left" w:pos="1080"/>
          <w:tab w:val="left" w:pos="1620"/>
          <w:tab w:val="left" w:pos="2160"/>
        </w:tabs>
        <w:ind w:firstLine="547"/>
        <w:rPr>
          <w:kern w:val="0"/>
          <w:szCs w:val="24"/>
          <w14:ligatures w14:val="none"/>
        </w:rPr>
      </w:pPr>
    </w:p>
    <w:p w14:paraId="6803648F" w14:textId="690F45F2" w:rsidR="00894252" w:rsidRPr="00BC1652" w:rsidRDefault="000B0134">
      <w:pPr>
        <w:pStyle w:val="ListParagraph"/>
        <w:numPr>
          <w:ilvl w:val="0"/>
          <w:numId w:val="15"/>
        </w:numPr>
        <w:tabs>
          <w:tab w:val="left" w:pos="540"/>
          <w:tab w:val="left" w:pos="1080"/>
          <w:tab w:val="left" w:pos="1620"/>
          <w:tab w:val="left" w:pos="2160"/>
        </w:tabs>
        <w:rPr>
          <w:kern w:val="0"/>
          <w:lang w:bidi="he-IL"/>
          <w14:ligatures w14:val="none"/>
        </w:rPr>
      </w:pPr>
      <w:r w:rsidRPr="00BC1652">
        <w:rPr>
          <w:kern w:val="0"/>
          <w:rtl/>
          <w:lang w:bidi="ar-JO"/>
          <w14:ligatures w14:val="none"/>
        </w:rPr>
        <w:t xml:space="preserve">رأي اليوم </w:t>
      </w:r>
      <w:r w:rsidR="00C478C2" w:rsidRPr="00BC1652">
        <w:rPr>
          <w:kern w:val="0"/>
          <w:rtl/>
          <w:lang w:bidi="ar-JO"/>
          <w14:ligatures w14:val="none"/>
        </w:rPr>
        <w:t>التماثُلي</w:t>
      </w:r>
      <w:r w:rsidR="007D0CF5" w:rsidRPr="00BC1652">
        <w:rPr>
          <w:kern w:val="0"/>
          <w:rtl/>
          <w:lang w:bidi="ar-JO"/>
          <w14:ligatures w14:val="none"/>
        </w:rPr>
        <w:t xml:space="preserve"> (</w:t>
      </w:r>
      <w:r w:rsidR="007D0CF5" w:rsidRPr="00BC1652">
        <w:rPr>
          <w:kern w:val="0"/>
          <w:lang w:bidi="ar-JO"/>
          <w14:ligatures w14:val="none"/>
        </w:rPr>
        <w:t>Analogical Day</w:t>
      </w:r>
      <w:r w:rsidR="007D0CF5" w:rsidRPr="00BC1652">
        <w:rPr>
          <w:kern w:val="0"/>
          <w:rtl/>
          <w:lang w:bidi="ar-JO"/>
          <w14:ligatures w14:val="none"/>
        </w:rPr>
        <w:t>)</w:t>
      </w:r>
      <w:r w:rsidR="00894252" w:rsidRPr="00BC1652">
        <w:rPr>
          <w:vertAlign w:val="superscript"/>
          <w:lang w:bidi="he-IL"/>
        </w:rPr>
        <w:footnoteReference w:id="235"/>
      </w:r>
    </w:p>
    <w:p w14:paraId="6535A873" w14:textId="77777777" w:rsidR="00894252" w:rsidRPr="00BC1652" w:rsidRDefault="00894252" w:rsidP="00C7130A">
      <w:pPr>
        <w:tabs>
          <w:tab w:val="left" w:pos="540"/>
          <w:tab w:val="left" w:pos="1080"/>
          <w:tab w:val="left" w:pos="1620"/>
          <w:tab w:val="left" w:pos="2160"/>
        </w:tabs>
        <w:ind w:firstLine="547"/>
        <w:rPr>
          <w:kern w:val="0"/>
          <w:lang w:bidi="he-IL"/>
          <w14:ligatures w14:val="none"/>
        </w:rPr>
      </w:pPr>
    </w:p>
    <w:p w14:paraId="09F04231" w14:textId="23E9B6EE" w:rsidR="00C478C2" w:rsidRPr="00BC1652" w:rsidRDefault="00C478C2" w:rsidP="00C7130A">
      <w:pPr>
        <w:tabs>
          <w:tab w:val="left" w:pos="540"/>
          <w:tab w:val="left" w:pos="1080"/>
          <w:tab w:val="left" w:pos="1620"/>
          <w:tab w:val="left" w:pos="2160"/>
        </w:tabs>
        <w:rPr>
          <w:kern w:val="0"/>
          <w:rtl/>
          <w:lang w:bidi="ar-JO"/>
          <w14:ligatures w14:val="none"/>
        </w:rPr>
      </w:pPr>
      <w:r w:rsidRPr="00BC1652">
        <w:rPr>
          <w:kern w:val="0"/>
          <w:rtl/>
          <w:lang w:bidi="ar-JO"/>
          <w14:ligatures w14:val="none"/>
        </w:rPr>
        <w:t>تكوين 1: 1-2 بداية مطلَقة للخلق، أي خلق الكون المادي. هدف أسبوع الخلق ذي الستة أيّام هو إعداد "الأرض" للإنسان، و</w:t>
      </w:r>
      <w:r w:rsidR="00C33ECE" w:rsidRPr="00BC1652">
        <w:rPr>
          <w:kern w:val="0"/>
          <w:rtl/>
          <w:lang w:bidi="ar-JO"/>
          <w14:ligatures w14:val="none"/>
        </w:rPr>
        <w:t xml:space="preserve">قد حدث هذا بعدِ بعض الوقت من خلق الكون. وخلق الأيّام الستة (بدءًا بتكوين 1: 3) لا يبدأ إلا في نهاية الفترة الجافة (حين بدأت الدنيا تمطِر؛ انظر تكوين 2). ولأنّ اليوم السابع لا ينتهي بلازمة تختمه، فإنّه "لا ينتهي" (ص87). على هذه الأساس، يفهم كولينز الأيّام بمعنى غير حرفيّ (إنها أيّام عمل الله، </w:t>
      </w:r>
      <w:r w:rsidR="00F54216" w:rsidRPr="00BC1652">
        <w:rPr>
          <w:kern w:val="0"/>
          <w:rtl/>
          <w:lang w:bidi="ar-JO"/>
          <w14:ligatures w14:val="none"/>
        </w:rPr>
        <w:t>لا</w:t>
      </w:r>
      <w:r w:rsidR="00C33ECE" w:rsidRPr="00BC1652">
        <w:rPr>
          <w:kern w:val="0"/>
          <w:rtl/>
          <w:lang w:bidi="ar-JO"/>
          <w14:ligatures w14:val="none"/>
        </w:rPr>
        <w:t xml:space="preserve"> أيّامنا، وهذا نموذج ينبغي للإنسان أن يتبعه.)</w:t>
      </w:r>
      <w:r w:rsidR="00C33ECE" w:rsidRPr="00BC1652">
        <w:rPr>
          <w:rStyle w:val="FootnoteReference"/>
          <w:kern w:val="0"/>
          <w:rtl/>
          <w:lang w:bidi="ar-JO"/>
          <w14:ligatures w14:val="none"/>
        </w:rPr>
        <w:footnoteReference w:id="236"/>
      </w:r>
    </w:p>
    <w:p w14:paraId="5A9B2138" w14:textId="77777777" w:rsidR="00C478C2" w:rsidRPr="00BC1652" w:rsidRDefault="00C478C2" w:rsidP="00C7130A">
      <w:pPr>
        <w:tabs>
          <w:tab w:val="left" w:pos="540"/>
          <w:tab w:val="left" w:pos="1080"/>
          <w:tab w:val="left" w:pos="1620"/>
          <w:tab w:val="left" w:pos="2160"/>
        </w:tabs>
        <w:ind w:left="1080"/>
        <w:rPr>
          <w:kern w:val="0"/>
          <w:rtl/>
          <w:lang w:bidi="he-IL"/>
          <w14:ligatures w14:val="none"/>
        </w:rPr>
      </w:pPr>
    </w:p>
    <w:p w14:paraId="45483914" w14:textId="739F7637" w:rsidR="00894252" w:rsidRPr="00BC1652" w:rsidRDefault="009C6DD2" w:rsidP="000558B7">
      <w:pPr>
        <w:pStyle w:val="Heading3"/>
      </w:pPr>
      <w:bookmarkStart w:id="437" w:name="_Toc193031169"/>
      <w:r w:rsidRPr="00BC1652">
        <w:rPr>
          <w:rtl/>
        </w:rPr>
        <w:t>رابعًا: تكوين 1: 1 ليس خل</w:t>
      </w:r>
      <w:r w:rsidR="00F54216" w:rsidRPr="00BC1652">
        <w:rPr>
          <w:rtl/>
        </w:rPr>
        <w:t>ْ</w:t>
      </w:r>
      <w:r w:rsidRPr="00BC1652">
        <w:rPr>
          <w:rtl/>
        </w:rPr>
        <w:t>قًا أصليًّا، ويبدأ اليوم الأو</w:t>
      </w:r>
      <w:r w:rsidR="00F54216" w:rsidRPr="00BC1652">
        <w:rPr>
          <w:rtl/>
        </w:rPr>
        <w:t>َّ</w:t>
      </w:r>
      <w:r w:rsidRPr="00BC1652">
        <w:rPr>
          <w:rtl/>
        </w:rPr>
        <w:t>ل في تكوين 1: 3.</w:t>
      </w:r>
      <w:bookmarkEnd w:id="437"/>
      <w:r w:rsidRPr="00BC1652">
        <w:rPr>
          <w:rtl/>
        </w:rPr>
        <w:t xml:space="preserve"> </w:t>
      </w:r>
    </w:p>
    <w:p w14:paraId="7EC27E71" w14:textId="77777777" w:rsidR="00894252" w:rsidRPr="00BC1652" w:rsidRDefault="00894252" w:rsidP="00C7130A">
      <w:pPr>
        <w:tabs>
          <w:tab w:val="left" w:pos="540"/>
          <w:tab w:val="left" w:pos="1080"/>
          <w:tab w:val="left" w:pos="1620"/>
          <w:tab w:val="left" w:pos="2160"/>
        </w:tabs>
        <w:rPr>
          <w:b/>
          <w:bCs/>
          <w:kern w:val="0"/>
          <w14:ligatures w14:val="none"/>
        </w:rPr>
      </w:pPr>
    </w:p>
    <w:p w14:paraId="0679AE83" w14:textId="75CFA2C4" w:rsidR="00894252" w:rsidRPr="00BC1652" w:rsidRDefault="009C6DD2" w:rsidP="00C7130A">
      <w:pPr>
        <w:tabs>
          <w:tab w:val="left" w:pos="540"/>
          <w:tab w:val="left" w:pos="1080"/>
          <w:tab w:val="left" w:pos="1620"/>
          <w:tab w:val="left" w:pos="2160"/>
        </w:tabs>
        <w:rPr>
          <w:kern w:val="0"/>
          <w:rtl/>
          <w:lang w:bidi="ar-JO"/>
          <w14:ligatures w14:val="none"/>
        </w:rPr>
      </w:pPr>
      <w:r w:rsidRPr="00BC1652">
        <w:rPr>
          <w:kern w:val="0"/>
          <w:rtl/>
          <w:lang w:bidi="ar-JO"/>
          <w14:ligatures w14:val="none"/>
        </w:rPr>
        <w:t>في الرأيين التاليين، تكون الأرض موجودة أصلًا حين يبدأ الله خلق الأيّام الستة الذي يتكلَّم تكوين 1: 1 – 2: 3 عنه. ولذا فإن</w:t>
      </w:r>
      <w:r w:rsidR="00F54216" w:rsidRPr="00BC1652">
        <w:rPr>
          <w:kern w:val="0"/>
          <w:rtl/>
          <w:lang w:bidi="ar-JO"/>
          <w14:ligatures w14:val="none"/>
        </w:rPr>
        <w:t>ّ</w:t>
      </w:r>
      <w:r w:rsidRPr="00BC1652">
        <w:rPr>
          <w:kern w:val="0"/>
          <w:rtl/>
          <w:lang w:bidi="ar-JO"/>
          <w14:ligatures w14:val="none"/>
        </w:rPr>
        <w:t xml:space="preserve"> هذا المقطع لا يتحدَّث عن الخلق الأصلي للكون. كما أن</w:t>
      </w:r>
      <w:r w:rsidR="00F54216" w:rsidRPr="00BC1652">
        <w:rPr>
          <w:kern w:val="0"/>
          <w:rtl/>
          <w:lang w:bidi="ar-JO"/>
          <w14:ligatures w14:val="none"/>
        </w:rPr>
        <w:t>ّ</w:t>
      </w:r>
      <w:r w:rsidRPr="00BC1652">
        <w:rPr>
          <w:kern w:val="0"/>
          <w:rtl/>
          <w:lang w:bidi="ar-JO"/>
          <w14:ligatures w14:val="none"/>
        </w:rPr>
        <w:t xml:space="preserve"> "اليوم الأول" لا يبدأ إل</w:t>
      </w:r>
      <w:r w:rsidR="003A1CED" w:rsidRPr="00BC1652">
        <w:rPr>
          <w:kern w:val="0"/>
          <w:rtl/>
          <w:lang w:bidi="ar-JO"/>
          <w14:ligatures w14:val="none"/>
        </w:rPr>
        <w:t>ّ</w:t>
      </w:r>
      <w:r w:rsidRPr="00BC1652">
        <w:rPr>
          <w:kern w:val="0"/>
          <w:rtl/>
          <w:lang w:bidi="ar-JO"/>
          <w14:ligatures w14:val="none"/>
        </w:rPr>
        <w:t xml:space="preserve">ا في الآية 3، وهناك احتمالات عديدة بأن تكون هناك فترة زمنية طويلة قد مرّت قبل اليوم الأول. قد تكون الأيّام أيَّامًا حرفية مؤلَّفة من 24 ساعة، وقد لا تكون كذلك. </w:t>
      </w:r>
    </w:p>
    <w:p w14:paraId="2829DD18" w14:textId="69139B7C" w:rsidR="009C6DD2" w:rsidRPr="00BC1652" w:rsidRDefault="009C6DD2" w:rsidP="00C7130A">
      <w:pPr>
        <w:tabs>
          <w:tab w:val="left" w:pos="540"/>
          <w:tab w:val="left" w:pos="1080"/>
          <w:tab w:val="left" w:pos="1620"/>
          <w:tab w:val="left" w:pos="2160"/>
        </w:tabs>
        <w:rPr>
          <w:kern w:val="0"/>
          <w:rtl/>
          <w:lang w:bidi="ar-JO"/>
          <w14:ligatures w14:val="none"/>
        </w:rPr>
      </w:pPr>
    </w:p>
    <w:p w14:paraId="3040E5F9" w14:textId="2E6E2B97" w:rsidR="009C6DD2" w:rsidRPr="00BC1652" w:rsidRDefault="009C6DD2">
      <w:pPr>
        <w:pStyle w:val="ListParagraph"/>
        <w:numPr>
          <w:ilvl w:val="0"/>
          <w:numId w:val="16"/>
        </w:numPr>
        <w:tabs>
          <w:tab w:val="left" w:pos="540"/>
          <w:tab w:val="left" w:pos="1080"/>
          <w:tab w:val="left" w:pos="1620"/>
          <w:tab w:val="left" w:pos="2160"/>
        </w:tabs>
        <w:rPr>
          <w:b/>
          <w:bCs/>
          <w:kern w:val="0"/>
          <w:lang w:bidi="ar-JO"/>
          <w14:ligatures w14:val="none"/>
        </w:rPr>
      </w:pPr>
      <w:r w:rsidRPr="00BC1652">
        <w:rPr>
          <w:b/>
          <w:bCs/>
          <w:kern w:val="0"/>
          <w:rtl/>
          <w:lang w:bidi="ar-JO"/>
          <w14:ligatures w14:val="none"/>
        </w:rPr>
        <w:t>تكوين 1: 1 بوصفها جميلة مستقلّة – راشي وابن عزرا.</w:t>
      </w:r>
      <w:r w:rsidRPr="00BC1652">
        <w:rPr>
          <w:rStyle w:val="FootnoteReference"/>
          <w:b/>
          <w:bCs/>
          <w:kern w:val="0"/>
          <w:rtl/>
          <w:lang w:bidi="ar-JO"/>
          <w14:ligatures w14:val="none"/>
        </w:rPr>
        <w:footnoteReference w:id="237"/>
      </w:r>
      <w:r w:rsidRPr="00BC1652">
        <w:rPr>
          <w:b/>
          <w:bCs/>
          <w:kern w:val="0"/>
          <w:rtl/>
          <w:lang w:bidi="ar-JO"/>
          <w14:ligatures w14:val="none"/>
        </w:rPr>
        <w:t xml:space="preserve"> </w:t>
      </w:r>
    </w:p>
    <w:p w14:paraId="0FDF4C61" w14:textId="77777777" w:rsidR="00B64561" w:rsidRPr="00BC1652" w:rsidRDefault="00B64561" w:rsidP="00C7130A">
      <w:pPr>
        <w:tabs>
          <w:tab w:val="left" w:pos="540"/>
          <w:tab w:val="left" w:pos="1080"/>
          <w:tab w:val="left" w:pos="1620"/>
          <w:tab w:val="left" w:pos="2160"/>
        </w:tabs>
        <w:rPr>
          <w:kern w:val="0"/>
          <w:rtl/>
          <w:lang w:bidi="ar-JO"/>
          <w14:ligatures w14:val="none"/>
        </w:rPr>
      </w:pPr>
    </w:p>
    <w:p w14:paraId="05289C01" w14:textId="75EB5E02" w:rsidR="00894252" w:rsidRPr="00BC1652" w:rsidRDefault="00B64561" w:rsidP="00C7130A">
      <w:pPr>
        <w:tabs>
          <w:tab w:val="left" w:pos="540"/>
          <w:tab w:val="left" w:pos="1080"/>
          <w:tab w:val="left" w:pos="1620"/>
          <w:tab w:val="left" w:pos="2160"/>
        </w:tabs>
        <w:rPr>
          <w:kern w:val="0"/>
          <w:rtl/>
          <w:lang w:bidi="ar-JO"/>
          <w14:ligatures w14:val="none"/>
        </w:rPr>
      </w:pPr>
      <w:r w:rsidRPr="00BC1652">
        <w:rPr>
          <w:kern w:val="0"/>
          <w:rtl/>
          <w:lang w:bidi="ar-JO"/>
          <w14:ligatures w14:val="none"/>
        </w:rPr>
        <w:lastRenderedPageBreak/>
        <w:t xml:space="preserve">لا يتبنّى بعض الدارسين فكرة أنَّ تكوين 1: 1 جملة مستقلّة، بل يرون أنّها جملة تابعة لما يأتي بعدها، إمّا للآية 2 أو الآية 3. فإن كان الأمر كذلك، فإنّه يمكن ترجمتها بإحدى طريقتَين: (1) </w:t>
      </w:r>
      <w:r w:rsidR="00981125" w:rsidRPr="00BC1652">
        <w:rPr>
          <w:kern w:val="0"/>
          <w:rtl/>
          <w:lang w:bidi="ar-JO"/>
          <w14:ligatures w14:val="none"/>
        </w:rPr>
        <w:t>"في بداية خلق السماوات والأرض، كانت الأرض بلا شك</w:t>
      </w:r>
      <w:r w:rsidR="003A1CED" w:rsidRPr="00BC1652">
        <w:rPr>
          <w:kern w:val="0"/>
          <w:rtl/>
          <w:lang w:bidi="ar-JO"/>
          <w14:ligatures w14:val="none"/>
        </w:rPr>
        <w:t>ٍّ</w:t>
      </w:r>
      <w:r w:rsidR="00981125" w:rsidRPr="00BC1652">
        <w:rPr>
          <w:kern w:val="0"/>
          <w:rtl/>
          <w:lang w:bidi="ar-JO"/>
          <w14:ligatures w14:val="none"/>
        </w:rPr>
        <w:t xml:space="preserve"> وفارغة" (ابن عزرا)؛ أو (2) "حين بدأ الله يخلق السماوات والأرض، وإذ الأرض ... قال الله: ’ليكُن نور‘" (راشي، كيدنر). وتسمح </w:t>
      </w:r>
      <w:r w:rsidR="003A1CED" w:rsidRPr="00BC1652">
        <w:rPr>
          <w:kern w:val="0"/>
          <w:rtl/>
          <w:lang w:bidi="ar-JO"/>
          <w14:ligatures w14:val="none"/>
        </w:rPr>
        <w:t xml:space="preserve">هاتان </w:t>
      </w:r>
      <w:r w:rsidR="00981125" w:rsidRPr="00BC1652">
        <w:rPr>
          <w:kern w:val="0"/>
          <w:rtl/>
          <w:lang w:bidi="ar-JO"/>
          <w14:ligatures w14:val="none"/>
        </w:rPr>
        <w:t xml:space="preserve">الترجمتان بفكرة أنّه حين بدأ الله يخلق، كانت الأرض (والماء والظلمة) موجودة، ممّا يتعارض مع التعليم القائل إن تكوين 1: 1 – 2: 3 يعلِّم عن البداية المُطلَقة للخليقة. </w:t>
      </w:r>
    </w:p>
    <w:p w14:paraId="422DC583" w14:textId="77777777" w:rsidR="00894252" w:rsidRPr="00BC1652" w:rsidRDefault="00894252" w:rsidP="00C7130A">
      <w:pPr>
        <w:tabs>
          <w:tab w:val="left" w:pos="540"/>
          <w:tab w:val="left" w:pos="1080"/>
          <w:tab w:val="left" w:pos="1620"/>
          <w:tab w:val="left" w:pos="2160"/>
        </w:tabs>
        <w:ind w:left="540"/>
        <w:rPr>
          <w:kern w:val="0"/>
          <w:lang w:bidi="he-IL"/>
          <w14:ligatures w14:val="none"/>
        </w:rPr>
      </w:pPr>
    </w:p>
    <w:p w14:paraId="2E4CB8E6" w14:textId="77777777" w:rsidR="00894252" w:rsidRPr="00BC1652" w:rsidRDefault="00894252" w:rsidP="00C7130A">
      <w:pPr>
        <w:tabs>
          <w:tab w:val="left" w:pos="540"/>
          <w:tab w:val="left" w:pos="1080"/>
          <w:tab w:val="left" w:pos="1620"/>
          <w:tab w:val="left" w:pos="2160"/>
        </w:tabs>
        <w:ind w:left="540"/>
        <w:rPr>
          <w:kern w:val="0"/>
          <w:lang w:bidi="he-IL"/>
          <w14:ligatures w14:val="none"/>
        </w:rPr>
      </w:pPr>
    </w:p>
    <w:p w14:paraId="505E0C40" w14:textId="4ECCAC4F" w:rsidR="00894252" w:rsidRPr="00BC1652" w:rsidRDefault="00981125">
      <w:pPr>
        <w:pStyle w:val="ListParagraph"/>
        <w:numPr>
          <w:ilvl w:val="0"/>
          <w:numId w:val="16"/>
        </w:numPr>
        <w:tabs>
          <w:tab w:val="left" w:pos="540"/>
          <w:tab w:val="left" w:pos="1080"/>
          <w:tab w:val="left" w:pos="1620"/>
          <w:tab w:val="left" w:pos="2160"/>
        </w:tabs>
        <w:rPr>
          <w:b/>
          <w:bCs/>
          <w:kern w:val="0"/>
          <w:lang w:bidi="ar-JO"/>
          <w14:ligatures w14:val="none"/>
        </w:rPr>
      </w:pPr>
      <w:r w:rsidRPr="00BC1652">
        <w:rPr>
          <w:b/>
          <w:bCs/>
          <w:kern w:val="0"/>
          <w:rtl/>
          <w:lang w:bidi="ar-JO"/>
          <w14:ligatures w14:val="none"/>
        </w:rPr>
        <w:t xml:space="preserve">تكوين 1: 1 جملة مستقلة تمثِّل </w:t>
      </w:r>
      <w:r w:rsidR="00174663" w:rsidRPr="00BC1652">
        <w:rPr>
          <w:b/>
          <w:bCs/>
          <w:kern w:val="0"/>
          <w:rtl/>
          <w:lang w:bidi="ar-JO"/>
          <w14:ligatures w14:val="none"/>
        </w:rPr>
        <w:t xml:space="preserve">بيانًا </w:t>
      </w:r>
      <w:r w:rsidRPr="00BC1652">
        <w:rPr>
          <w:b/>
          <w:bCs/>
          <w:kern w:val="0"/>
          <w:rtl/>
          <w:lang w:bidi="ar-JO"/>
          <w14:ligatures w14:val="none"/>
        </w:rPr>
        <w:t>تلخيصيّ</w:t>
      </w:r>
      <w:r w:rsidR="00174663" w:rsidRPr="00BC1652">
        <w:rPr>
          <w:b/>
          <w:bCs/>
          <w:kern w:val="0"/>
          <w:rtl/>
          <w:lang w:bidi="ar-JO"/>
          <w14:ligatures w14:val="none"/>
        </w:rPr>
        <w:t xml:space="preserve">ًا لكامل الأصحاح </w:t>
      </w:r>
    </w:p>
    <w:p w14:paraId="4308C2AD" w14:textId="77777777" w:rsidR="00894252" w:rsidRPr="00BC1652" w:rsidRDefault="00894252" w:rsidP="00C7130A">
      <w:pPr>
        <w:tabs>
          <w:tab w:val="left" w:pos="540"/>
          <w:tab w:val="left" w:pos="1080"/>
          <w:tab w:val="left" w:pos="1620"/>
          <w:tab w:val="left" w:pos="2160"/>
        </w:tabs>
        <w:rPr>
          <w:kern w:val="0"/>
          <w:lang w:bidi="he-IL"/>
          <w14:ligatures w14:val="none"/>
        </w:rPr>
      </w:pPr>
    </w:p>
    <w:p w14:paraId="42212F01" w14:textId="6182684A" w:rsidR="00894252" w:rsidRPr="00BC1652" w:rsidRDefault="00174663">
      <w:pPr>
        <w:pStyle w:val="ListParagraph"/>
        <w:numPr>
          <w:ilvl w:val="0"/>
          <w:numId w:val="17"/>
        </w:numPr>
        <w:tabs>
          <w:tab w:val="left" w:pos="540"/>
          <w:tab w:val="left" w:pos="1080"/>
          <w:tab w:val="left" w:pos="1620"/>
          <w:tab w:val="left" w:pos="2160"/>
        </w:tabs>
        <w:rPr>
          <w:kern w:val="0"/>
          <w:lang w:bidi="ar-JO"/>
          <w14:ligatures w14:val="none"/>
        </w:rPr>
      </w:pPr>
      <w:r w:rsidRPr="00BC1652">
        <w:rPr>
          <w:b/>
          <w:bCs/>
          <w:kern w:val="0"/>
          <w:rtl/>
          <w:lang w:bidi="ar-JO"/>
          <w14:ligatures w14:val="none"/>
        </w:rPr>
        <w:t>نظري</w:t>
      </w:r>
      <w:r w:rsidR="003A1CED" w:rsidRPr="00BC1652">
        <w:rPr>
          <w:b/>
          <w:bCs/>
          <w:kern w:val="0"/>
          <w:rtl/>
          <w:lang w:bidi="ar-JO"/>
          <w14:ligatures w14:val="none"/>
        </w:rPr>
        <w:t>ّ</w:t>
      </w:r>
      <w:r w:rsidRPr="00BC1652">
        <w:rPr>
          <w:b/>
          <w:bCs/>
          <w:kern w:val="0"/>
          <w:rtl/>
          <w:lang w:bidi="ar-JO"/>
          <w14:ligatures w14:val="none"/>
        </w:rPr>
        <w:t>ة فوضى ما قبل الخلق</w:t>
      </w:r>
      <w:r w:rsidRPr="00BC1652">
        <w:rPr>
          <w:kern w:val="0"/>
          <w:rtl/>
          <w:lang w:bidi="ar-JO"/>
          <w14:ligatures w14:val="none"/>
        </w:rPr>
        <w:t xml:space="preserve"> – والكي وروس</w:t>
      </w:r>
      <w:r w:rsidRPr="00BC1652">
        <w:rPr>
          <w:kern w:val="0"/>
          <w:vertAlign w:val="superscript"/>
          <w:lang w:bidi="he-IL"/>
          <w14:ligatures w14:val="none"/>
        </w:rPr>
        <w:footnoteReference w:id="238"/>
      </w:r>
    </w:p>
    <w:p w14:paraId="0E151022" w14:textId="77777777" w:rsidR="00894252" w:rsidRPr="00BC1652" w:rsidRDefault="00894252" w:rsidP="00C7130A">
      <w:pPr>
        <w:tabs>
          <w:tab w:val="left" w:pos="540"/>
          <w:tab w:val="left" w:pos="1080"/>
          <w:tab w:val="left" w:pos="1620"/>
          <w:tab w:val="left" w:pos="2160"/>
        </w:tabs>
        <w:ind w:left="540"/>
        <w:rPr>
          <w:kern w:val="0"/>
          <w:lang w:bidi="he-IL"/>
          <w14:ligatures w14:val="none"/>
        </w:rPr>
      </w:pPr>
    </w:p>
    <w:p w14:paraId="5918A8DD" w14:textId="3221DA42" w:rsidR="00894252" w:rsidRPr="00BC1652" w:rsidRDefault="00174663" w:rsidP="00C7130A">
      <w:pPr>
        <w:tabs>
          <w:tab w:val="left" w:pos="540"/>
          <w:tab w:val="left" w:pos="1080"/>
          <w:tab w:val="left" w:pos="1620"/>
          <w:tab w:val="left" w:pos="2160"/>
        </w:tabs>
        <w:rPr>
          <w:kern w:val="0"/>
          <w:rtl/>
          <w:lang w:bidi="ar-JO"/>
          <w14:ligatures w14:val="none"/>
        </w:rPr>
      </w:pPr>
      <w:r w:rsidRPr="00BC1652">
        <w:rPr>
          <w:kern w:val="0"/>
          <w:rtl/>
          <w:lang w:bidi="ar-JO"/>
          <w14:ligatures w14:val="none"/>
        </w:rPr>
        <w:t>ليس تكوين 1: 1 بيانًا عن بداية مُطلَقة، بل مُلخَّص للخلق الجديد الموصوف في تكوين 1: 3 – 2: 3، الذي بفعله جُعِلت الأرض قابلة لسكن البشر. هناك فترة زمني</w:t>
      </w:r>
      <w:r w:rsidR="003A1CED" w:rsidRPr="00BC1652">
        <w:rPr>
          <w:kern w:val="0"/>
          <w:rtl/>
          <w:lang w:bidi="ar-JO"/>
          <w14:ligatures w14:val="none"/>
        </w:rPr>
        <w:t>ّ</w:t>
      </w:r>
      <w:r w:rsidRPr="00BC1652">
        <w:rPr>
          <w:kern w:val="0"/>
          <w:rtl/>
          <w:lang w:bidi="ar-JO"/>
          <w14:ligatures w14:val="none"/>
        </w:rPr>
        <w:t xml:space="preserve">ة طويلة لا تُعرَف مدّتها تسبق تكوين 1: 2. </w:t>
      </w:r>
      <w:r w:rsidR="003A1CED" w:rsidRPr="00BC1652">
        <w:rPr>
          <w:kern w:val="0"/>
          <w:rtl/>
          <w:lang w:bidi="ar-JO"/>
          <w14:ligatures w14:val="none"/>
        </w:rPr>
        <w:t xml:space="preserve">يُخبِر </w:t>
      </w:r>
      <w:r w:rsidRPr="00BC1652">
        <w:rPr>
          <w:kern w:val="0"/>
          <w:rtl/>
          <w:lang w:bidi="ar-JO"/>
          <w14:ligatures w14:val="none"/>
        </w:rPr>
        <w:t xml:space="preserve">تكوين 1: 2 القارئ بحالة الأرض حين بدأ الله عمل خلقه، الذي بدأ من الناحية الفعلية بتكوين 1: 3. </w:t>
      </w:r>
      <w:r w:rsidR="00D240A6" w:rsidRPr="00BC1652">
        <w:rPr>
          <w:kern w:val="0"/>
          <w:rtl/>
          <w:lang w:bidi="ar-JO"/>
          <w14:ligatures w14:val="none"/>
        </w:rPr>
        <w:t>ومن دون عزو حالة الأرض الموصوفة في تكوين 1: 2 بالضرورة إلى سقوط الشيطان، تتبن</w:t>
      </w:r>
      <w:r w:rsidR="003A1CED" w:rsidRPr="00BC1652">
        <w:rPr>
          <w:kern w:val="0"/>
          <w:rtl/>
          <w:lang w:bidi="ar-JO"/>
          <w14:ligatures w14:val="none"/>
        </w:rPr>
        <w:t>ّى</w:t>
      </w:r>
      <w:r w:rsidR="00D240A6" w:rsidRPr="00BC1652">
        <w:rPr>
          <w:kern w:val="0"/>
          <w:rtl/>
          <w:lang w:bidi="ar-JO"/>
          <w14:ligatures w14:val="none"/>
        </w:rPr>
        <w:t xml:space="preserve"> هذه النظرية الرأي</w:t>
      </w:r>
      <w:r w:rsidR="003A1CED" w:rsidRPr="00BC1652">
        <w:rPr>
          <w:kern w:val="0"/>
          <w:rtl/>
          <w:lang w:bidi="ar-JO"/>
          <w14:ligatures w14:val="none"/>
        </w:rPr>
        <w:t xml:space="preserve"> القائل إنّ </w:t>
      </w:r>
      <w:r w:rsidR="00D240A6" w:rsidRPr="00BC1652">
        <w:rPr>
          <w:kern w:val="0"/>
          <w:rtl/>
          <w:lang w:bidi="ar-JO"/>
          <w14:ligatures w14:val="none"/>
        </w:rPr>
        <w:t>هذه نتيجة دينونة كارثيّة (وبالتالي فهي لا تصف الأرض كما خلقها الله).</w:t>
      </w:r>
    </w:p>
    <w:p w14:paraId="62925885" w14:textId="235AD6DC" w:rsidR="00D240A6" w:rsidRPr="00BC1652" w:rsidRDefault="00D240A6" w:rsidP="00C7130A">
      <w:pPr>
        <w:tabs>
          <w:tab w:val="left" w:pos="540"/>
          <w:tab w:val="left" w:pos="1080"/>
          <w:tab w:val="left" w:pos="1620"/>
          <w:tab w:val="left" w:pos="2160"/>
        </w:tabs>
        <w:rPr>
          <w:kern w:val="0"/>
          <w:rtl/>
          <w:lang w:bidi="ar-JO"/>
          <w14:ligatures w14:val="none"/>
        </w:rPr>
      </w:pPr>
    </w:p>
    <w:p w14:paraId="6EF18904" w14:textId="1D2FABDA" w:rsidR="00D240A6" w:rsidRPr="00BC1652" w:rsidRDefault="00D240A6">
      <w:pPr>
        <w:pStyle w:val="ListParagraph"/>
        <w:numPr>
          <w:ilvl w:val="0"/>
          <w:numId w:val="17"/>
        </w:numPr>
        <w:tabs>
          <w:tab w:val="left" w:pos="540"/>
          <w:tab w:val="left" w:pos="1080"/>
          <w:tab w:val="left" w:pos="1620"/>
          <w:tab w:val="left" w:pos="2160"/>
        </w:tabs>
        <w:rPr>
          <w:kern w:val="0"/>
          <w:lang w:bidi="ar-JO"/>
          <w14:ligatures w14:val="none"/>
        </w:rPr>
      </w:pPr>
      <w:r w:rsidRPr="00BC1652">
        <w:rPr>
          <w:b/>
          <w:bCs/>
          <w:kern w:val="0"/>
          <w:rtl/>
          <w:lang w:bidi="ar-JO"/>
          <w14:ligatures w14:val="none"/>
        </w:rPr>
        <w:t>رأي اليوم الأدبي</w:t>
      </w:r>
      <w:r w:rsidRPr="00BC1652">
        <w:rPr>
          <w:kern w:val="0"/>
          <w:rtl/>
          <w:lang w:bidi="ar-JO"/>
          <w14:ligatures w14:val="none"/>
        </w:rPr>
        <w:t xml:space="preserve"> – أفيربيك</w:t>
      </w:r>
      <w:r w:rsidRPr="00BC1652">
        <w:rPr>
          <w:kern w:val="0"/>
          <w:vertAlign w:val="superscript"/>
          <w:lang w:bidi="he-IL"/>
          <w14:ligatures w14:val="none"/>
        </w:rPr>
        <w:footnoteReference w:id="239"/>
      </w:r>
    </w:p>
    <w:p w14:paraId="22130F30" w14:textId="77777777" w:rsidR="00894252" w:rsidRPr="00BC1652" w:rsidRDefault="00894252" w:rsidP="00C7130A">
      <w:pPr>
        <w:tabs>
          <w:tab w:val="left" w:pos="540"/>
          <w:tab w:val="left" w:pos="1080"/>
          <w:tab w:val="left" w:pos="1620"/>
          <w:tab w:val="left" w:pos="2160"/>
        </w:tabs>
        <w:ind w:firstLine="547"/>
        <w:rPr>
          <w:kern w:val="0"/>
          <w:lang w:bidi="he-IL"/>
          <w14:ligatures w14:val="none"/>
        </w:rPr>
      </w:pPr>
    </w:p>
    <w:p w14:paraId="6B006A05" w14:textId="46EA1BA3" w:rsidR="00894252" w:rsidRPr="00BC1652" w:rsidRDefault="00D240A6" w:rsidP="00C7130A">
      <w:pPr>
        <w:tabs>
          <w:tab w:val="left" w:pos="540"/>
          <w:tab w:val="left" w:pos="1080"/>
          <w:tab w:val="left" w:pos="1620"/>
          <w:tab w:val="left" w:pos="2160"/>
        </w:tabs>
        <w:rPr>
          <w:kern w:val="0"/>
          <w:lang w:bidi="ar-JO"/>
          <w14:ligatures w14:val="none"/>
        </w:rPr>
      </w:pPr>
      <w:r w:rsidRPr="00BC1652">
        <w:rPr>
          <w:kern w:val="0"/>
          <w:rtl/>
          <w:lang w:bidi="ar-JO"/>
          <w14:ligatures w14:val="none"/>
        </w:rPr>
        <w:t>يرى هذا الرأي أن</w:t>
      </w:r>
      <w:r w:rsidR="003A1CED" w:rsidRPr="00BC1652">
        <w:rPr>
          <w:kern w:val="0"/>
          <w:rtl/>
          <w:lang w:bidi="ar-JO"/>
          <w14:ligatures w14:val="none"/>
        </w:rPr>
        <w:t>ّ</w:t>
      </w:r>
      <w:r w:rsidRPr="00BC1652">
        <w:rPr>
          <w:kern w:val="0"/>
          <w:rtl/>
          <w:lang w:bidi="ar-JO"/>
          <w14:ligatures w14:val="none"/>
        </w:rPr>
        <w:t xml:space="preserve"> تكوين 1: 1 مُلخَّص لكامل الأصحاح الأو</w:t>
      </w:r>
      <w:r w:rsidR="003A1CED" w:rsidRPr="00BC1652">
        <w:rPr>
          <w:kern w:val="0"/>
          <w:rtl/>
          <w:lang w:bidi="ar-JO"/>
          <w14:ligatures w14:val="none"/>
        </w:rPr>
        <w:t>ّ</w:t>
      </w:r>
      <w:r w:rsidRPr="00BC1652">
        <w:rPr>
          <w:kern w:val="0"/>
          <w:rtl/>
          <w:lang w:bidi="ar-JO"/>
          <w14:ligatures w14:val="none"/>
        </w:rPr>
        <w:t>ل (وليس بداية</w:t>
      </w:r>
      <w:r w:rsidR="003A1CED" w:rsidRPr="00BC1652">
        <w:rPr>
          <w:kern w:val="0"/>
          <w:rtl/>
          <w:lang w:bidi="ar-JO"/>
          <w14:ligatures w14:val="none"/>
        </w:rPr>
        <w:t>ً</w:t>
      </w:r>
      <w:r w:rsidRPr="00BC1652">
        <w:rPr>
          <w:kern w:val="0"/>
          <w:rtl/>
          <w:lang w:bidi="ar-JO"/>
          <w14:ligatures w14:val="none"/>
        </w:rPr>
        <w:t xml:space="preserve"> مُطلَقة</w:t>
      </w:r>
      <w:r w:rsidR="003A1CED" w:rsidRPr="00BC1652">
        <w:rPr>
          <w:kern w:val="0"/>
          <w:rtl/>
          <w:lang w:bidi="ar-JO"/>
          <w14:ligatures w14:val="none"/>
        </w:rPr>
        <w:t>ً</w:t>
      </w:r>
      <w:r w:rsidRPr="00BC1652">
        <w:rPr>
          <w:kern w:val="0"/>
          <w:rtl/>
          <w:lang w:bidi="ar-JO"/>
          <w14:ligatures w14:val="none"/>
        </w:rPr>
        <w:t xml:space="preserve">). </w:t>
      </w:r>
      <w:r w:rsidR="00F11BA1" w:rsidRPr="00BC1652">
        <w:rPr>
          <w:kern w:val="0"/>
          <w:rtl/>
          <w:lang w:bidi="ar-JO"/>
          <w14:ligatures w14:val="none"/>
        </w:rPr>
        <w:t>يشابه هذا الرأي نظرية فوضى ما قبل الخلق في الاعت</w:t>
      </w:r>
      <w:r w:rsidR="003A1CED" w:rsidRPr="00BC1652">
        <w:rPr>
          <w:kern w:val="0"/>
          <w:rtl/>
          <w:lang w:bidi="ar-JO"/>
          <w14:ligatures w14:val="none"/>
        </w:rPr>
        <w:t>ق</w:t>
      </w:r>
      <w:r w:rsidR="00F11BA1" w:rsidRPr="00BC1652">
        <w:rPr>
          <w:kern w:val="0"/>
          <w:rtl/>
          <w:lang w:bidi="ar-JO"/>
          <w14:ligatures w14:val="none"/>
        </w:rPr>
        <w:t>اد بوجود فترة زمنية طويلة غير معروفة المدّة قبل تكوين 1: 2. ولكنّ هذا الرأي يرى تكوين 1: 2 مُقدّ</w:t>
      </w:r>
      <w:r w:rsidR="003A1CED" w:rsidRPr="00BC1652">
        <w:rPr>
          <w:kern w:val="0"/>
          <w:rtl/>
          <w:lang w:bidi="ar-JO"/>
          <w14:ligatures w14:val="none"/>
        </w:rPr>
        <w:t>ِ</w:t>
      </w:r>
      <w:r w:rsidR="00F11BA1" w:rsidRPr="00BC1652">
        <w:rPr>
          <w:kern w:val="0"/>
          <w:rtl/>
          <w:lang w:bidi="ar-JO"/>
          <w14:ligatures w14:val="none"/>
        </w:rPr>
        <w:t>مة إلى اليوم الأوّل (الذي يبدأ في الآية 3) من دون أن ينسب الفوضى إلى الشر</w:t>
      </w:r>
      <w:r w:rsidR="003A1CED" w:rsidRPr="00BC1652">
        <w:rPr>
          <w:kern w:val="0"/>
          <w:rtl/>
          <w:lang w:bidi="ar-JO"/>
          <w14:ligatures w14:val="none"/>
        </w:rPr>
        <w:t>ّ</w:t>
      </w:r>
      <w:r w:rsidR="00F11BA1" w:rsidRPr="00BC1652">
        <w:rPr>
          <w:kern w:val="0"/>
          <w:rtl/>
          <w:lang w:bidi="ar-JO"/>
          <w14:ligatures w14:val="none"/>
        </w:rPr>
        <w:t xml:space="preserve"> أو دينونة</w:t>
      </w:r>
      <w:r w:rsidR="003A1CED" w:rsidRPr="00BC1652">
        <w:rPr>
          <w:kern w:val="0"/>
          <w:rtl/>
          <w:lang w:bidi="ar-JO"/>
          <w14:ligatures w14:val="none"/>
        </w:rPr>
        <w:t>ٍ ما</w:t>
      </w:r>
      <w:r w:rsidR="00F11BA1" w:rsidRPr="00BC1652">
        <w:rPr>
          <w:kern w:val="0"/>
          <w:rtl/>
          <w:lang w:bidi="ar-JO"/>
          <w14:ligatures w14:val="none"/>
        </w:rPr>
        <w:t>. يتبنّى أفيربيك، الذي ينادي بهذا الرأي، الرأي</w:t>
      </w:r>
      <w:r w:rsidR="003A1CED" w:rsidRPr="00BC1652">
        <w:rPr>
          <w:kern w:val="0"/>
          <w:rtl/>
          <w:lang w:bidi="ar-JO"/>
          <w14:ligatures w14:val="none"/>
        </w:rPr>
        <w:t>َ</w:t>
      </w:r>
      <w:r w:rsidR="00F11BA1" w:rsidRPr="00BC1652">
        <w:rPr>
          <w:kern w:val="0"/>
          <w:rtl/>
          <w:lang w:bidi="ar-JO"/>
          <w14:ligatures w14:val="none"/>
        </w:rPr>
        <w:t xml:space="preserve"> القائل إن أيّام الخلق ليست حرفيّة. وبحسب</w:t>
      </w:r>
      <w:r w:rsidR="00544B03" w:rsidRPr="00BC1652">
        <w:rPr>
          <w:kern w:val="0"/>
          <w:lang w:bidi="ar-JO"/>
          <w14:ligatures w14:val="none"/>
        </w:rPr>
        <w:t xml:space="preserve"> </w:t>
      </w:r>
      <w:r w:rsidR="00544B03" w:rsidRPr="00BC1652">
        <w:rPr>
          <w:kern w:val="0"/>
          <w:rtl/>
          <w:lang w:bidi="ar-JO"/>
          <w14:ligatures w14:val="none"/>
        </w:rPr>
        <w:t>هذا الرأي</w:t>
      </w:r>
      <w:r w:rsidR="00F11BA1" w:rsidRPr="00BC1652">
        <w:rPr>
          <w:kern w:val="0"/>
          <w:rtl/>
          <w:lang w:bidi="ar-JO"/>
          <w14:ligatures w14:val="none"/>
        </w:rPr>
        <w:t xml:space="preserve">، </w:t>
      </w:r>
      <w:r w:rsidR="00544B03" w:rsidRPr="00BC1652">
        <w:rPr>
          <w:kern w:val="0"/>
          <w:rtl/>
          <w:lang w:bidi="ar-JO"/>
          <w14:ligatures w14:val="none"/>
        </w:rPr>
        <w:t xml:space="preserve">تمثِّل الأيّام الستة مُخطَّطًا، ولا يُقصَد أن تُفهَم بالمعنى </w:t>
      </w:r>
      <w:r w:rsidR="00544B03" w:rsidRPr="00BC1652">
        <w:rPr>
          <w:kern w:val="0"/>
          <w:rtl/>
          <w:lang w:bidi="ar-JO"/>
          <w14:ligatures w14:val="none"/>
        </w:rPr>
        <w:lastRenderedPageBreak/>
        <w:t>الحرفي</w:t>
      </w:r>
      <w:r w:rsidR="003A1CED" w:rsidRPr="00BC1652">
        <w:rPr>
          <w:kern w:val="0"/>
          <w:rtl/>
          <w:lang w:bidi="ar-JO"/>
          <w14:ligatures w14:val="none"/>
        </w:rPr>
        <w:t>ّ</w:t>
      </w:r>
      <w:r w:rsidR="00544B03" w:rsidRPr="00BC1652">
        <w:rPr>
          <w:kern w:val="0"/>
          <w:rtl/>
          <w:lang w:bidi="ar-JO"/>
          <w14:ligatures w14:val="none"/>
        </w:rPr>
        <w:t>. وهو يدعو هذا بـ"أسبوع عمل الله،" وبالتالي فإن هذه الأي</w:t>
      </w:r>
      <w:r w:rsidR="003A1CED" w:rsidRPr="00BC1652">
        <w:rPr>
          <w:kern w:val="0"/>
          <w:rtl/>
          <w:lang w:bidi="ar-JO"/>
          <w14:ligatures w14:val="none"/>
        </w:rPr>
        <w:t>ّ</w:t>
      </w:r>
      <w:r w:rsidR="00544B03" w:rsidRPr="00BC1652">
        <w:rPr>
          <w:kern w:val="0"/>
          <w:rtl/>
          <w:lang w:bidi="ar-JO"/>
          <w14:ligatures w14:val="none"/>
        </w:rPr>
        <w:t>ام هي ببساطة ب</w:t>
      </w:r>
      <w:r w:rsidR="003A1CED" w:rsidRPr="00BC1652">
        <w:rPr>
          <w:kern w:val="0"/>
          <w:rtl/>
          <w:lang w:bidi="ar-JO"/>
          <w14:ligatures w14:val="none"/>
        </w:rPr>
        <w:t>ُ</w:t>
      </w:r>
      <w:r w:rsidR="00544B03" w:rsidRPr="00BC1652">
        <w:rPr>
          <w:kern w:val="0"/>
          <w:rtl/>
          <w:lang w:bidi="ar-JO"/>
          <w14:ligatures w14:val="none"/>
        </w:rPr>
        <w:t>نية أدبيّة لوصف التسلسل الذي عمل الله فيه. وهو يدّعي قائلاً (ص 31): "</w:t>
      </w:r>
      <w:r w:rsidR="00076790" w:rsidRPr="00BC1652">
        <w:rPr>
          <w:kern w:val="0"/>
          <w:rtl/>
          <w:lang w:bidi="ar-JO"/>
          <w14:ligatures w14:val="none"/>
        </w:rPr>
        <w:t>وهكذا، فإن</w:t>
      </w:r>
      <w:r w:rsidR="003A1CED" w:rsidRPr="00BC1652">
        <w:rPr>
          <w:kern w:val="0"/>
          <w:rtl/>
          <w:lang w:bidi="ar-JO"/>
          <w14:ligatures w14:val="none"/>
        </w:rPr>
        <w:t>ّ</w:t>
      </w:r>
      <w:r w:rsidR="00076790" w:rsidRPr="00BC1652">
        <w:rPr>
          <w:kern w:val="0"/>
          <w:rtl/>
          <w:lang w:bidi="ar-JO"/>
          <w14:ligatures w14:val="none"/>
        </w:rPr>
        <w:t xml:space="preserve"> ب</w:t>
      </w:r>
      <w:r w:rsidR="003A1CED" w:rsidRPr="00BC1652">
        <w:rPr>
          <w:kern w:val="0"/>
          <w:rtl/>
          <w:lang w:bidi="ar-JO"/>
          <w14:ligatures w14:val="none"/>
        </w:rPr>
        <w:t>ُ</w:t>
      </w:r>
      <w:r w:rsidR="00076790" w:rsidRPr="00BC1652">
        <w:rPr>
          <w:kern w:val="0"/>
          <w:rtl/>
          <w:lang w:bidi="ar-JO"/>
          <w14:ligatures w14:val="none"/>
        </w:rPr>
        <w:t>نية الأي</w:t>
      </w:r>
      <w:r w:rsidR="003A1CED" w:rsidRPr="00BC1652">
        <w:rPr>
          <w:kern w:val="0"/>
          <w:rtl/>
          <w:lang w:bidi="ar-JO"/>
          <w14:ligatures w14:val="none"/>
        </w:rPr>
        <w:t>ّ</w:t>
      </w:r>
      <w:r w:rsidR="00076790" w:rsidRPr="00BC1652">
        <w:rPr>
          <w:kern w:val="0"/>
          <w:rtl/>
          <w:lang w:bidi="ar-JO"/>
          <w14:ligatures w14:val="none"/>
        </w:rPr>
        <w:t xml:space="preserve">ام السبعة صورة مستقاة من نموذج العمل اليومي وتعزّز هذا النموذج، وهو النموذج الذي كان الله مهتمًّا جِدًّا بأن يلتزم شعب إسرائيل به، بحيث يعملون </w:t>
      </w:r>
      <w:r w:rsidR="00BA3E20" w:rsidRPr="00BC1652">
        <w:rPr>
          <w:kern w:val="0"/>
          <w:rtl/>
          <w:lang w:bidi="ar-JO"/>
          <w14:ligatures w14:val="none"/>
        </w:rPr>
        <w:t xml:space="preserve">ستّة أيّام، ويستريحون في السابع." </w:t>
      </w:r>
    </w:p>
    <w:p w14:paraId="1CC40929" w14:textId="77777777" w:rsidR="00BA3E20" w:rsidRPr="00C7130A" w:rsidRDefault="00BA3E20" w:rsidP="00C7130A">
      <w:pPr>
        <w:tabs>
          <w:tab w:val="left" w:pos="540"/>
          <w:tab w:val="left" w:pos="1080"/>
          <w:tab w:val="left" w:pos="1620"/>
          <w:tab w:val="left" w:pos="2160"/>
        </w:tabs>
        <w:rPr>
          <w:kern w:val="0"/>
          <w:sz w:val="26"/>
          <w:szCs w:val="26"/>
          <w:rtl/>
          <w:lang w:bidi="ar-JO"/>
          <w14:ligatures w14:val="none"/>
        </w:rPr>
      </w:pPr>
    </w:p>
    <w:p w14:paraId="7FB27E42" w14:textId="4EFD6859" w:rsidR="00D240A6" w:rsidRPr="00BC1652" w:rsidRDefault="00BA3E20" w:rsidP="00C7130A">
      <w:pPr>
        <w:tabs>
          <w:tab w:val="left" w:pos="540"/>
          <w:tab w:val="left" w:pos="1080"/>
          <w:tab w:val="left" w:pos="1620"/>
          <w:tab w:val="left" w:pos="2160"/>
        </w:tabs>
        <w:rPr>
          <w:kern w:val="0"/>
          <w:rtl/>
          <w:lang w:bidi="ar-JO"/>
          <w14:ligatures w14:val="none"/>
        </w:rPr>
      </w:pPr>
      <w:r w:rsidRPr="00BC1652">
        <w:rPr>
          <w:kern w:val="0"/>
          <w:rtl/>
          <w:lang w:bidi="ar-JO"/>
          <w14:ligatures w14:val="none"/>
        </w:rPr>
        <w:t>يتبع آخرون نهجًا شبيهًا بنهج إفيربيك، ولكنّهم يستخدمون فكرة الأيّام الأدبيّة (غير الحرفيّة) للمناداة بالتطوُّر الإلهي (</w:t>
      </w:r>
      <w:r w:rsidRPr="00BC1652">
        <w:rPr>
          <w:kern w:val="0"/>
          <w:lang w:bidi="ar-JO"/>
          <w14:ligatures w14:val="none"/>
        </w:rPr>
        <w:t>theistic evolution</w:t>
      </w:r>
      <w:r w:rsidRPr="00BC1652">
        <w:rPr>
          <w:kern w:val="0"/>
          <w:rtl/>
          <w:lang w:bidi="ar-JO"/>
          <w14:ligatures w14:val="none"/>
        </w:rPr>
        <w:t>).</w:t>
      </w:r>
      <w:r w:rsidRPr="00BC1652">
        <w:rPr>
          <w:rStyle w:val="FootnoteReference"/>
          <w:kern w:val="0"/>
          <w:rtl/>
          <w:lang w:bidi="ar-JO"/>
          <w14:ligatures w14:val="none"/>
        </w:rPr>
        <w:footnoteReference w:id="240"/>
      </w:r>
      <w:r w:rsidRPr="00BC1652">
        <w:rPr>
          <w:kern w:val="0"/>
          <w:rtl/>
          <w:lang w:bidi="ar-JO"/>
          <w14:ligatures w14:val="none"/>
        </w:rPr>
        <w:t xml:space="preserve"> </w:t>
      </w:r>
    </w:p>
    <w:p w14:paraId="76CCFD26" w14:textId="4692441B" w:rsidR="00894252" w:rsidRPr="00C7130A" w:rsidRDefault="00894252" w:rsidP="00C7130A">
      <w:pPr>
        <w:tabs>
          <w:tab w:val="left" w:pos="540"/>
          <w:tab w:val="left" w:pos="1080"/>
          <w:tab w:val="left" w:pos="1620"/>
          <w:tab w:val="left" w:pos="2160"/>
        </w:tabs>
        <w:ind w:left="1620"/>
        <w:rPr>
          <w:kern w:val="0"/>
          <w:szCs w:val="24"/>
          <w:rtl/>
          <w:lang w:bidi="he-IL"/>
          <w14:ligatures w14:val="none"/>
        </w:rPr>
      </w:pPr>
    </w:p>
    <w:p w14:paraId="72C1CF64" w14:textId="77777777" w:rsidR="002C23D1" w:rsidRPr="00C7130A" w:rsidRDefault="002C23D1" w:rsidP="00E80A44">
      <w:pPr>
        <w:pStyle w:val="Heading2"/>
      </w:pPr>
      <w:r w:rsidRPr="00C7130A">
        <w:br w:type="page"/>
      </w:r>
    </w:p>
    <w:p w14:paraId="1C32BB00" w14:textId="3F59D28C" w:rsidR="00E16BAB" w:rsidRPr="00C7130A" w:rsidRDefault="00712BDC" w:rsidP="00E80A44">
      <w:pPr>
        <w:pStyle w:val="Heading2"/>
      </w:pPr>
      <w:bookmarkStart w:id="440" w:name="_Toc193031170"/>
      <w:r w:rsidRPr="00C7130A">
        <w:rPr>
          <w:rtl/>
        </w:rPr>
        <w:lastRenderedPageBreak/>
        <w:t>الملحَق 3: تحليل مصدري للعهد القديم</w:t>
      </w:r>
      <w:bookmarkStart w:id="441" w:name="_Hlk157075136"/>
      <w:bookmarkEnd w:id="440"/>
    </w:p>
    <w:p w14:paraId="1F348EDB" w14:textId="77777777" w:rsidR="00263246" w:rsidRPr="00C7130A" w:rsidRDefault="00263246" w:rsidP="00C7130A">
      <w:pPr>
        <w:jc w:val="center"/>
        <w:rPr>
          <w:rFonts w:eastAsia="Times New Roman"/>
          <w:bCs/>
          <w:color w:val="000080"/>
          <w:kern w:val="0"/>
          <w:rtl/>
          <w:lang w:bidi="ar-JO"/>
          <w14:ligatures w14:val="none"/>
        </w:rPr>
      </w:pPr>
      <w:bookmarkStart w:id="442" w:name="_Hlk164418883"/>
      <w:bookmarkEnd w:id="441"/>
    </w:p>
    <w:p w14:paraId="3E591B56" w14:textId="77777777" w:rsidR="00263246" w:rsidRPr="00C7130A" w:rsidRDefault="00263246" w:rsidP="000558B7">
      <w:pPr>
        <w:pStyle w:val="Heading3"/>
        <w:rPr>
          <w:rtl/>
          <w:lang w:bidi="ar-JO"/>
        </w:rPr>
      </w:pPr>
      <w:bookmarkStart w:id="443" w:name="_Toc193031171"/>
      <w:r w:rsidRPr="00C7130A">
        <w:rPr>
          <w:rtl/>
          <w:lang w:bidi="ar-JO"/>
        </w:rPr>
        <w:t>1.</w:t>
      </w:r>
      <w:r w:rsidRPr="00C7130A">
        <w:rPr>
          <w:rtl/>
          <w:lang w:bidi="ar-JO"/>
        </w:rPr>
        <w:tab/>
        <w:t>مقدمة</w:t>
      </w:r>
      <w:bookmarkEnd w:id="443"/>
    </w:p>
    <w:p w14:paraId="7B7A796C" w14:textId="1B8B700D"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 xml:space="preserve">إن أحد مجالات اهتمام الباحثين (سواء كانوا محافظين أم متحرّرين) في ميدان دراسات العهد القديم هو "النقد الأعلى".  ويتضمن هذا التحرّي وتقرير هوية كاتب كل سفر من أسفار العهد القديم القانونية وتاريخ كتابته.  وقد سعى بعض الباحثين قي تعاملهم مع مثل هذه الأسئلة إلى تحديد المصادر التي تُعتبَر بأنها تشكل أساس سفر معين أو وثيقة معينة (نشاطات أدبية –نقدية).  ويشار إلى هذا النوع من النهج في تناول العهد القديم بشكل عام باسم "تحليل المصادر الأدبية." </w:t>
      </w:r>
    </w:p>
    <w:p w14:paraId="24911381"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6CA60BA9"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 xml:space="preserve">إن إحدى النظريات التي برزت من هذا النوع من النهج نظرية تعرف باسم نظرية </w:t>
      </w:r>
      <w:r w:rsidRPr="00665003">
        <w:rPr>
          <w:rFonts w:eastAsia="Times New Roman"/>
          <w:kern w:val="0"/>
          <w14:ligatures w14:val="none"/>
        </w:rPr>
        <w:t>JEDP</w:t>
      </w:r>
      <w:r w:rsidRPr="00665003">
        <w:rPr>
          <w:rFonts w:eastAsia="Times New Roman"/>
          <w:kern w:val="0"/>
          <w:rtl/>
          <w:lang w:bidi="ar-JO"/>
          <w14:ligatures w14:val="none"/>
        </w:rPr>
        <w:t xml:space="preserve"> (ي إ ت ك).  ووفق هذه النظرية يزعم باحثون أنهم من خلال التحليل الدقيق جداً لأسفار العهد القديم تمكَّنوا من عزل وتحديد الأطوار الأدبية المتنوعة خلف التركيب النهائي لكل سفر.  فهم يزعمون، مثلاً، أن سفر التكوين جاء نتيجة دمج وثائق عديدة أصغر نُسجت معاً من خلال عملية مطوّلة على مرّ عدة قرون، وتمّت إعادة صياغتها في أوقات مختلفة.  وبشكل عام فإن حصيلة هذا النهج هو إنكار كتابة موسى للتوراة وتحديد تواريخ متأخرة لهذه الأسفار الخمسة.</w:t>
      </w:r>
    </w:p>
    <w:p w14:paraId="391A3D65"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3EB20DDA" w14:textId="77777777" w:rsidR="00263246" w:rsidRPr="00C7130A" w:rsidRDefault="00263246" w:rsidP="000558B7">
      <w:pPr>
        <w:pStyle w:val="Heading3"/>
        <w:rPr>
          <w:rtl/>
          <w:lang w:bidi="ar-JO"/>
        </w:rPr>
      </w:pPr>
      <w:bookmarkStart w:id="444" w:name="_Toc193031172"/>
      <w:r w:rsidRPr="00C7130A">
        <w:rPr>
          <w:rtl/>
          <w:lang w:bidi="ar-JO"/>
        </w:rPr>
        <w:t>2.</w:t>
      </w:r>
      <w:r w:rsidRPr="00C7130A">
        <w:rPr>
          <w:rtl/>
          <w:lang w:bidi="ar-JO"/>
        </w:rPr>
        <w:tab/>
        <w:t>تاريخ هذه المنهجية</w:t>
      </w:r>
      <w:bookmarkEnd w:id="444"/>
    </w:p>
    <w:p w14:paraId="4FCA4CF2" w14:textId="77777777" w:rsidR="00263246" w:rsidRPr="00665003" w:rsidRDefault="00263246" w:rsidP="00C7130A">
      <w:pPr>
        <w:tabs>
          <w:tab w:val="left" w:pos="454"/>
        </w:tabs>
        <w:spacing w:after="60"/>
        <w:ind w:left="550" w:hanging="550"/>
        <w:jc w:val="both"/>
        <w:rPr>
          <w:rFonts w:eastAsia="Times New Roman"/>
          <w:bCs/>
          <w:kern w:val="0"/>
          <w:rtl/>
          <w14:ligatures w14:val="none"/>
        </w:rPr>
      </w:pPr>
      <w:r w:rsidRPr="00665003">
        <w:rPr>
          <w:rFonts w:eastAsia="Times New Roman"/>
          <w:bCs/>
          <w:kern w:val="0"/>
          <w:rtl/>
          <w14:ligatures w14:val="none"/>
        </w:rPr>
        <w:t>أ.</w:t>
      </w:r>
      <w:r w:rsidRPr="00665003">
        <w:rPr>
          <w:rFonts w:eastAsia="Times New Roman"/>
          <w:bCs/>
          <w:kern w:val="0"/>
          <w:rtl/>
          <w14:ligatures w14:val="none"/>
        </w:rPr>
        <w:tab/>
        <w:t>التحليلات الأولى</w:t>
      </w:r>
    </w:p>
    <w:p w14:paraId="1EF6B735" w14:textId="77777777" w:rsidR="00263246" w:rsidRPr="00665003"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65003">
        <w:rPr>
          <w:rFonts w:eastAsia="Times New Roman"/>
          <w:kern w:val="0"/>
          <w:rtl/>
          <w:lang w:bidi="ar-JO"/>
          <w14:ligatures w14:val="none"/>
        </w:rPr>
        <w:t>1.</w:t>
      </w:r>
      <w:r w:rsidRPr="00665003">
        <w:rPr>
          <w:rFonts w:eastAsia="Times New Roman"/>
          <w:kern w:val="0"/>
          <w:rtl/>
          <w:lang w:bidi="ar-JO"/>
          <w14:ligatures w14:val="none"/>
        </w:rPr>
        <w:tab/>
        <w:t>روّاد أوائل</w:t>
      </w:r>
      <w:r w:rsidRPr="00665003">
        <w:rPr>
          <w:rFonts w:eastAsia="Times New Roman"/>
          <w:kern w:val="0"/>
          <w:vertAlign w:val="superscript"/>
          <w:rtl/>
          <w14:ligatures w14:val="none"/>
        </w:rPr>
        <w:footnoteReference w:id="241"/>
      </w:r>
      <w:r w:rsidRPr="00665003">
        <w:rPr>
          <w:rFonts w:eastAsia="Times New Roman"/>
          <w:kern w:val="0"/>
          <w:rtl/>
          <w:lang w:bidi="ar-JO"/>
          <w14:ligatures w14:val="none"/>
        </w:rPr>
        <w:t xml:space="preserve"> </w:t>
      </w:r>
    </w:p>
    <w:p w14:paraId="79DF372E"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في عام 1689 قام لاهوتي باسم كامبيجيوس فترنجا</w:t>
      </w:r>
      <w:r w:rsidRPr="00665003">
        <w:rPr>
          <w:rFonts w:eastAsia="Times New Roman"/>
          <w:kern w:val="0"/>
          <w:rtl/>
          <w14:ligatures w14:val="none"/>
        </w:rPr>
        <w:t xml:space="preserve"> </w:t>
      </w:r>
      <w:r w:rsidRPr="00665003">
        <w:rPr>
          <w:rFonts w:eastAsia="Times New Roman"/>
          <w:kern w:val="0"/>
          <w14:ligatures w14:val="none"/>
        </w:rPr>
        <w:t>Campegius Vitringa</w:t>
      </w:r>
      <w:r w:rsidRPr="00665003">
        <w:rPr>
          <w:rFonts w:eastAsia="Times New Roman"/>
          <w:kern w:val="0"/>
          <w:rtl/>
          <w:lang w:bidi="ar-JO"/>
          <w14:ligatures w14:val="none"/>
        </w:rPr>
        <w:t xml:space="preserve"> بكتابة مؤلَّف بعنوان </w:t>
      </w:r>
      <w:r w:rsidRPr="00665003">
        <w:rPr>
          <w:rFonts w:eastAsia="Times New Roman"/>
          <w:i/>
          <w:iCs/>
          <w:kern w:val="0"/>
          <w14:ligatures w14:val="none"/>
        </w:rPr>
        <w:t>Observations Sacrae</w:t>
      </w:r>
      <w:r w:rsidRPr="00665003">
        <w:rPr>
          <w:rFonts w:eastAsia="Times New Roman"/>
          <w:kern w:val="0"/>
          <w:rtl/>
          <w:lang w:bidi="ar-JO"/>
          <w14:ligatures w14:val="none"/>
        </w:rPr>
        <w:t xml:space="preserve"> قال فيه إن موسى استخدم مصادر قديمة ترجع إلى فترة الآباء.  وكان هـ. ب. وتر (1711) على ما يبدو أوّل من قال إنه يمكن استخدام الأسماء الإلهية كمقياس لتحديد المصادر التي استخدمها موسى وتحليلها.</w:t>
      </w:r>
    </w:p>
    <w:p w14:paraId="0354D221"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680DFD8C"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7BC4E197" w14:textId="77777777" w:rsidR="00263246" w:rsidRPr="00665003"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65003">
        <w:rPr>
          <w:rFonts w:eastAsia="Times New Roman"/>
          <w:kern w:val="0"/>
          <w:rtl/>
          <w:lang w:bidi="ar-JO"/>
          <w14:ligatures w14:val="none"/>
        </w:rPr>
        <w:t>2.</w:t>
      </w:r>
      <w:r w:rsidRPr="00665003">
        <w:rPr>
          <w:rFonts w:eastAsia="Times New Roman"/>
          <w:kern w:val="0"/>
          <w:rtl/>
          <w:lang w:bidi="ar-JO"/>
          <w14:ligatures w14:val="none"/>
        </w:rPr>
        <w:tab/>
        <w:t>جان أستراك (1684-1766)</w:t>
      </w:r>
    </w:p>
    <w:p w14:paraId="4B0F46C1"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حاول هذا الرجل الفرنسي أن يستخدم الأسماء الإلهية في تحليل سفر التكوين.  وشكّل عمله هذا البداية الفعلية لما يُعرف بنقد مصادر الأسفار الخمسة.  ويرى أستراك أن موسى جمع سفر التكوين بتقسيم هذه المذكرات أو السِّير الذاتية القديمة التي وصلت بين يديه وإعادة ترتيبها لكي يقدّم منها رواية متواصلة.  واعتبر أستراك أن المصدرين الرئيسيين هما المصدر اليهووي (يهوه) والمصدر الإيلوهيمي (إيلوهيم).  غير أنه خ</w:t>
      </w:r>
      <w:r w:rsidRPr="00665003">
        <w:rPr>
          <w:rFonts w:eastAsia="Times New Roman"/>
          <w:kern w:val="0"/>
          <w:rtl/>
          <w14:ligatures w14:val="none"/>
        </w:rPr>
        <w:t>َ</w:t>
      </w:r>
      <w:r w:rsidRPr="00665003">
        <w:rPr>
          <w:rFonts w:eastAsia="Times New Roman"/>
          <w:kern w:val="0"/>
          <w:rtl/>
          <w:lang w:bidi="ar-JO"/>
          <w14:ligatures w14:val="none"/>
        </w:rPr>
        <w:t>لُصَ إلى ضرورة قيام تحليل أكثر شمولاً يمكن أن يأخذ في اعتباره مصادر أخرى.  وعلى الرغم من افتقار كتاباته إلى الموضوعية، إلاّ أنه قال إن موسى هو كاتب الأسفار الخمسة.</w:t>
      </w:r>
    </w:p>
    <w:p w14:paraId="241A3F58"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DFCD5A8" w14:textId="77777777" w:rsidR="00263246" w:rsidRPr="00665003"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65003">
        <w:rPr>
          <w:rFonts w:eastAsia="Times New Roman"/>
          <w:kern w:val="0"/>
          <w:rtl/>
          <w:lang w:bidi="ar-JO"/>
          <w14:ligatures w14:val="none"/>
        </w:rPr>
        <w:t>3.</w:t>
      </w:r>
      <w:r w:rsidRPr="00665003">
        <w:rPr>
          <w:rFonts w:eastAsia="Times New Roman"/>
          <w:kern w:val="0"/>
          <w:rtl/>
          <w:lang w:bidi="ar-JO"/>
          <w14:ligatures w14:val="none"/>
        </w:rPr>
        <w:tab/>
        <w:t xml:space="preserve">جي. جـ. آيخهورن </w:t>
      </w:r>
    </w:p>
    <w:p w14:paraId="079D5AD6"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جلب عصر التنوير اهتماماً أكبر بما يسمى بـ "التحليل العلمي" للكتاب المقدس.  وكانت كتابات جي. جـ. آيخهورن                     (1780-83) هي أكثر ما أثّر في دراسة العهد القديم.  كتب آيخهورن، وهو عقلاني تخلّى عن الاعتقاد بوحي الأسفار المقدّسة وسلطانها، مؤلّفاً من ثلاثة مجلّدات بعنوان</w:t>
      </w:r>
      <w:r w:rsidRPr="00665003">
        <w:rPr>
          <w:rFonts w:eastAsia="Times New Roman"/>
          <w:kern w:val="0"/>
          <w:rtl/>
          <w14:ligatures w14:val="none"/>
        </w:rPr>
        <w:t xml:space="preserve"> "التنوير في العهد القديم"</w:t>
      </w:r>
      <w:r w:rsidRPr="00665003">
        <w:rPr>
          <w:rFonts w:eastAsia="Times New Roman"/>
          <w:kern w:val="0"/>
          <w:rtl/>
          <w:lang w:bidi="ar-JO"/>
          <w14:ligatures w14:val="none"/>
        </w:rPr>
        <w:t xml:space="preserve"> (</w:t>
      </w:r>
      <w:r w:rsidRPr="00665003">
        <w:rPr>
          <w:rFonts w:eastAsia="Times New Roman"/>
          <w:i/>
          <w:iCs/>
          <w:kern w:val="0"/>
          <w14:ligatures w14:val="none"/>
        </w:rPr>
        <w:t>Einleitung in das alte Testament</w:t>
      </w:r>
      <w:r w:rsidRPr="00665003">
        <w:rPr>
          <w:rFonts w:eastAsia="Times New Roman"/>
          <w:kern w:val="0"/>
          <w:rtl/>
          <w:lang w:bidi="ar-JO"/>
          <w14:ligatures w14:val="none"/>
        </w:rPr>
        <w:t>) أسبغت عليه لقب "أب نقد العهد القديم".  يقول هاريسون عنه:</w:t>
      </w:r>
    </w:p>
    <w:p w14:paraId="3AB27E30"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14:ligatures w14:val="none"/>
        </w:rPr>
      </w:pPr>
      <w:r w:rsidRPr="00665003">
        <w:rPr>
          <w:rFonts w:eastAsia="Times New Roman"/>
          <w:kern w:val="0"/>
          <w:rtl/>
          <w:lang w:bidi="ar-JO"/>
          <w14:ligatures w14:val="none"/>
        </w:rPr>
        <w:t>وسَّع آيخهورن المقياس الذي افترضه أستراك كأمر مسلّم به للتحليل الوثيقي للأسفار الخمسة، وقال بأن وسائل التفريق بين المصادر التي تشكل أساساً للأسفار يجب أن تتضمّن تنوّع الأسلوب الأدبي واعتبار الكلمات والتعابير الخاصّة بكل وثيقة من الوثائق التي سبق عزلها وتحديدها.</w:t>
      </w:r>
      <w:r w:rsidRPr="00665003">
        <w:rPr>
          <w:rFonts w:eastAsia="Times New Roman"/>
          <w:kern w:val="0"/>
          <w:vertAlign w:val="superscript"/>
          <w:rtl/>
          <w:lang w:bidi="ar-JO"/>
          <w14:ligatures w14:val="none"/>
        </w:rPr>
        <w:footnoteReference w:id="242"/>
      </w:r>
    </w:p>
    <w:p w14:paraId="6C9FC4FC"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قام آيخهورن بتفصيل كبير لكتابات أستراك، وتخلّى أثناء ذلك عن الاعتقاد بأن موسى هو كاتب الأسفار الخمسة.</w:t>
      </w:r>
    </w:p>
    <w:p w14:paraId="4854F7AD"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7EAE72B3" w14:textId="77777777" w:rsidR="00263246" w:rsidRPr="00665003" w:rsidRDefault="00263246" w:rsidP="00C7130A">
      <w:pPr>
        <w:tabs>
          <w:tab w:val="left" w:pos="454"/>
        </w:tabs>
        <w:spacing w:after="60"/>
        <w:ind w:left="550" w:hanging="550"/>
        <w:jc w:val="both"/>
        <w:rPr>
          <w:rFonts w:eastAsia="Times New Roman"/>
          <w:bCs/>
          <w:kern w:val="0"/>
          <w:rtl/>
          <w:lang w:bidi="ar-KW"/>
          <w14:ligatures w14:val="none"/>
        </w:rPr>
      </w:pPr>
      <w:r w:rsidRPr="00665003">
        <w:rPr>
          <w:rFonts w:eastAsia="Times New Roman"/>
          <w:bCs/>
          <w:kern w:val="0"/>
          <w:rtl/>
          <w14:ligatures w14:val="none"/>
        </w:rPr>
        <w:t>ب.</w:t>
      </w:r>
      <w:r w:rsidRPr="00665003">
        <w:rPr>
          <w:rFonts w:eastAsia="Times New Roman"/>
          <w:bCs/>
          <w:kern w:val="0"/>
          <w:rtl/>
          <w14:ligatures w14:val="none"/>
        </w:rPr>
        <w:tab/>
        <w:t>الفرضية الشّظَوِية (الجزئية)-</w:t>
      </w:r>
      <w:r w:rsidRPr="00665003">
        <w:rPr>
          <w:rFonts w:eastAsia="Times New Roman"/>
          <w:bCs/>
          <w:kern w:val="0"/>
          <w:rtl/>
          <w:lang w:bidi="ar-KW"/>
          <w14:ligatures w14:val="none"/>
        </w:rPr>
        <w:t>(</w:t>
      </w:r>
      <w:r w:rsidRPr="00665003">
        <w:rPr>
          <w:rFonts w:eastAsia="Times New Roman"/>
          <w:bCs/>
          <w:kern w:val="0"/>
          <w14:ligatures w14:val="none"/>
        </w:rPr>
        <w:t>The Fragmentary Hypothesis</w:t>
      </w:r>
      <w:r w:rsidRPr="00665003">
        <w:rPr>
          <w:rFonts w:eastAsia="Times New Roman"/>
          <w:bCs/>
          <w:kern w:val="0"/>
          <w:rtl/>
          <w:lang w:bidi="ar-KW"/>
          <w14:ligatures w14:val="none"/>
        </w:rPr>
        <w:t>)</w:t>
      </w:r>
    </w:p>
    <w:p w14:paraId="0573287A"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افترض لاهوتي كاثوليكي اسكتلندي اسمه ألكساندر جيديس (في مؤلَّفين نشرهما بين عامي 1792 و1800) أن الأسفار الخمسة جمعت معاً في زمن سليمان من عدد من المقتطفات أو الأجزاء التي كان بعضها موجوداً قبل زمن موسى.</w:t>
      </w:r>
    </w:p>
    <w:p w14:paraId="2DE49614"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وقام و. م. ل. دي وتّي</w:t>
      </w:r>
      <w:r w:rsidRPr="00665003">
        <w:rPr>
          <w:rFonts w:eastAsia="Times New Roman"/>
          <w:kern w:val="0"/>
          <w:rtl/>
          <w14:ligatures w14:val="none"/>
        </w:rPr>
        <w:t xml:space="preserve"> (</w:t>
      </w:r>
      <w:r w:rsidRPr="00665003">
        <w:rPr>
          <w:rFonts w:eastAsia="Times New Roman"/>
          <w:kern w:val="0"/>
          <w14:ligatures w14:val="none"/>
        </w:rPr>
        <w:t>W. M. L. De Wette</w:t>
      </w:r>
      <w:r w:rsidRPr="00665003">
        <w:rPr>
          <w:rFonts w:eastAsia="Times New Roman"/>
          <w:kern w:val="0"/>
          <w:rtl/>
          <w14:ligatures w14:val="none"/>
        </w:rPr>
        <w:t>)</w:t>
      </w:r>
      <w:r w:rsidRPr="00665003">
        <w:rPr>
          <w:rFonts w:eastAsia="Times New Roman"/>
          <w:kern w:val="0"/>
          <w:rtl/>
          <w:lang w:bidi="ar-JO"/>
          <w14:ligatures w14:val="none"/>
        </w:rPr>
        <w:t xml:space="preserve"> في مؤلَّف آخر نُشر في عام 1807 بزيادة التشويش الحاصل بالقول إن الأسفار الخمسة المختلفة جُمعت من قبل خمسة منقّحين اعتمدوا على مصادر شظَوِية (مقتطفات أو أجزاء صغيرة) </w:t>
      </w:r>
      <w:r w:rsidRPr="00665003">
        <w:rPr>
          <w:rFonts w:eastAsia="Times New Roman"/>
          <w:kern w:val="0"/>
          <w:rtl/>
          <w:lang w:bidi="ar-JO"/>
          <w14:ligatures w14:val="none"/>
        </w:rPr>
        <w:lastRenderedPageBreak/>
        <w:t>مستقلة.  وفضلاً عن ذلك، كان دي وتّي أوّل من قال إن سفر التثنية كُتب في زمن يوشيّا، حيث إنه كان في جوهرهِ سفر الشريعة الذي اكتُشف أثناء حكمه.  وقد أدّى هذا إلى القول بوجود مصدر "ت" (المصدر التثنوي).</w:t>
      </w:r>
    </w:p>
    <w:p w14:paraId="355E5B3A" w14:textId="77777777" w:rsidR="00263246" w:rsidRPr="00665003" w:rsidRDefault="00263246" w:rsidP="00C7130A">
      <w:pPr>
        <w:tabs>
          <w:tab w:val="left" w:pos="454"/>
        </w:tabs>
        <w:spacing w:after="60"/>
        <w:ind w:left="550" w:hanging="550"/>
        <w:jc w:val="both"/>
        <w:rPr>
          <w:rFonts w:eastAsia="Times New Roman"/>
          <w:bCs/>
          <w:kern w:val="0"/>
          <w:rtl/>
          <w14:ligatures w14:val="none"/>
        </w:rPr>
      </w:pPr>
      <w:r w:rsidRPr="00665003">
        <w:rPr>
          <w:rFonts w:eastAsia="Times New Roman"/>
          <w:bCs/>
          <w:kern w:val="0"/>
          <w:rtl/>
          <w14:ligatures w14:val="none"/>
        </w:rPr>
        <w:t>جـ.</w:t>
      </w:r>
      <w:r w:rsidRPr="00665003">
        <w:rPr>
          <w:rFonts w:eastAsia="Times New Roman"/>
          <w:bCs/>
          <w:kern w:val="0"/>
          <w:rtl/>
          <w14:ligatures w14:val="none"/>
        </w:rPr>
        <w:tab/>
        <w:t>فرضية الملاحق والبلورة – (</w:t>
      </w:r>
      <w:r w:rsidRPr="00665003">
        <w:rPr>
          <w:rFonts w:eastAsia="Times New Roman"/>
          <w:bCs/>
          <w:kern w:val="0"/>
          <w14:ligatures w14:val="none"/>
        </w:rPr>
        <w:t>The Supplementary and Crystallization Hypothesis</w:t>
      </w:r>
      <w:r w:rsidRPr="00665003">
        <w:rPr>
          <w:rFonts w:eastAsia="Times New Roman"/>
          <w:bCs/>
          <w:kern w:val="0"/>
          <w:rtl/>
          <w14:ligatures w14:val="none"/>
        </w:rPr>
        <w:t xml:space="preserve">) </w:t>
      </w:r>
    </w:p>
    <w:p w14:paraId="7FDE915D"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قال عالم ألماني آخر اسمه هينريتش إيفالد</w:t>
      </w:r>
      <w:r w:rsidRPr="00665003">
        <w:rPr>
          <w:rFonts w:eastAsia="Times New Roman"/>
          <w:kern w:val="0"/>
          <w:rtl/>
          <w14:ligatures w14:val="none"/>
        </w:rPr>
        <w:t xml:space="preserve"> </w:t>
      </w:r>
      <w:r w:rsidRPr="00665003">
        <w:rPr>
          <w:rFonts w:eastAsia="Times New Roman"/>
          <w:kern w:val="0"/>
          <w14:ligatures w14:val="none"/>
        </w:rPr>
        <w:t>Heinrich Ewald</w:t>
      </w:r>
      <w:r w:rsidRPr="00665003">
        <w:rPr>
          <w:rFonts w:eastAsia="Times New Roman"/>
          <w:kern w:val="0"/>
          <w:rtl/>
          <w:lang w:bidi="ar-JO"/>
          <w14:ligatures w14:val="none"/>
        </w:rPr>
        <w:t xml:space="preserve"> (حوالي 1823) بالقول إن المصدر الإيلوهيمي كان أساسياً في كتابة الأسفار الخمسة وسفر يشوع.</w:t>
      </w:r>
      <w:r w:rsidRPr="00665003">
        <w:rPr>
          <w:rFonts w:eastAsia="Times New Roman"/>
          <w:kern w:val="0"/>
          <w:vertAlign w:val="superscript"/>
          <w:rtl/>
          <w:lang w:bidi="ar-JO"/>
          <w14:ligatures w14:val="none"/>
        </w:rPr>
        <w:footnoteReference w:id="243"/>
      </w:r>
      <w:r w:rsidRPr="00665003">
        <w:rPr>
          <w:rFonts w:eastAsia="Times New Roman"/>
          <w:kern w:val="0"/>
          <w:rtl/>
          <w:lang w:bidi="ar-JO"/>
          <w14:ligatures w14:val="none"/>
        </w:rPr>
        <w:t xml:space="preserve">  ثم قال إن سفر يشوع أُلحق بإضافة أجزاء أقدم مثل الوصايا العشر.  وأخيراً تم وضع مجموعة مصنفة من المصادر (اليهودية في طبيعتها) في الوثيقة الإيلوهيمية.  وجوهر نظرية إيفالد هو أن الأسفار تعرّضت في فترات مختلفة إلى إعادة صياغة في كل مرّة أدمجت فيها إضافات جديدة.</w:t>
      </w:r>
    </w:p>
    <w:p w14:paraId="187BA010"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59B84247" w14:textId="77777777" w:rsidR="00263246" w:rsidRPr="00665003" w:rsidRDefault="00263246" w:rsidP="00C7130A">
      <w:pPr>
        <w:tabs>
          <w:tab w:val="left" w:pos="454"/>
        </w:tabs>
        <w:spacing w:after="60"/>
        <w:ind w:left="550" w:hanging="550"/>
        <w:jc w:val="both"/>
        <w:rPr>
          <w:rFonts w:eastAsia="Times New Roman"/>
          <w:bCs/>
          <w:kern w:val="0"/>
          <w:rtl/>
          <w:lang w:bidi="ar-KW"/>
          <w14:ligatures w14:val="none"/>
        </w:rPr>
      </w:pPr>
      <w:r w:rsidRPr="00665003">
        <w:rPr>
          <w:rFonts w:eastAsia="Times New Roman"/>
          <w:bCs/>
          <w:kern w:val="0"/>
          <w:rtl/>
          <w14:ligatures w14:val="none"/>
        </w:rPr>
        <w:t>د.</w:t>
      </w:r>
      <w:r w:rsidRPr="00665003">
        <w:rPr>
          <w:rFonts w:eastAsia="Times New Roman"/>
          <w:bCs/>
          <w:kern w:val="0"/>
          <w:rtl/>
          <w14:ligatures w14:val="none"/>
        </w:rPr>
        <w:tab/>
        <w:t xml:space="preserve">الفرضية الوثائقية </w:t>
      </w:r>
      <w:r w:rsidRPr="00665003">
        <w:rPr>
          <w:rFonts w:eastAsia="Times New Roman"/>
          <w:bCs/>
          <w:kern w:val="0"/>
          <w:rtl/>
          <w:lang w:bidi="ar-KW"/>
          <w14:ligatures w14:val="none"/>
        </w:rPr>
        <w:t>– (</w:t>
      </w:r>
      <w:r w:rsidRPr="00665003">
        <w:rPr>
          <w:rFonts w:eastAsia="Times New Roman"/>
          <w:bCs/>
          <w:kern w:val="0"/>
          <w14:ligatures w14:val="none"/>
        </w:rPr>
        <w:t>The Documentary Hypothesis</w:t>
      </w:r>
      <w:r w:rsidRPr="00665003">
        <w:rPr>
          <w:rFonts w:eastAsia="Times New Roman"/>
          <w:bCs/>
          <w:kern w:val="0"/>
          <w:rtl/>
          <w:lang w:bidi="ar-KW"/>
          <w14:ligatures w14:val="none"/>
        </w:rPr>
        <w:t>)</w:t>
      </w:r>
    </w:p>
    <w:p w14:paraId="0CD38E0A"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بدأ هيرمان هبفلد في 1853 في التشكيك بوحدة المصدر الذي يُدعى الإيلوهيمي، وخلص إلى أن هذا المصدر (إ) كان في واقع الأمر نتاج كاتبين (كان قد استخدم كلاهما تعبير إيلوهيم).</w:t>
      </w:r>
      <w:r w:rsidRPr="00665003">
        <w:rPr>
          <w:rFonts w:eastAsia="Times New Roman"/>
          <w:kern w:val="0"/>
          <w:vertAlign w:val="superscript"/>
          <w:rtl/>
          <w:lang w:bidi="ar-JO"/>
          <w14:ligatures w14:val="none"/>
        </w:rPr>
        <w:footnoteReference w:id="244"/>
      </w:r>
      <w:r w:rsidRPr="00665003">
        <w:rPr>
          <w:rFonts w:eastAsia="Times New Roman"/>
          <w:kern w:val="0"/>
          <w:rtl/>
          <w:lang w:bidi="ar-JO"/>
          <w14:ligatures w14:val="none"/>
        </w:rPr>
        <w:t xml:space="preserve">  وقد اعتقد هبفلد إن هذا المصدر الإيلوهيمي الثانوي يعكس ميولاً كهنوتية مميزة.  ومن هنا أشار هبفلد إلى هذا المصدر الإيلوهيمي الثانوي على أنه "ك" (المصدر الكهنوتي).</w:t>
      </w:r>
    </w:p>
    <w:p w14:paraId="2AFCCCDB"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 xml:space="preserve"> </w:t>
      </w:r>
    </w:p>
    <w:p w14:paraId="3F4BC261"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وباقتراح هبفلد هذا، صار لدينا الآن أربعة مصادر مقترحة إيلوهيمية، ي- يهوويّة، ك- كهنوتية، ت- تثنوية.  وافترض هبفلد أن منقّحاً هو الذي كان وراء جمع وتلخيص المصادر الأربعة المنفصلة أصلاً لتكون على شكلها الحالي.  ووجود هذا "المنقِّح" المجهول مفيد للنظرية لأنه يصلح أساساً لتفسير مواضع الإشكال في النص، مثل الغموض النصّي، والصعوبات الترتيبية الزمنية والطوبوغرافية، إلخ.</w:t>
      </w:r>
    </w:p>
    <w:p w14:paraId="586CCE64"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 xml:space="preserve"> </w:t>
      </w:r>
    </w:p>
    <w:p w14:paraId="6136B349"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قام كارل هينرتش جراف في 1865 بمزيد من الدراسات للمصدر الكهنوتي (ك) الذي افترضه هبفلد.  غير أن نظريته أفادت أن المصدر الكهنوتي أشار إلى تاريخ كتابة لاحق لمحتويات سفر التثنية.  وبما أنه كان يعتقد أن سفر التثنية يعود إلى زمن يوشيا (حوالي 622ق م)، فقد نسب جراف المصدر الكهنوتي (ك) إلى فترة ما بعد السبي وربطها بإذاعة الشريعة في زمن عزرا.</w:t>
      </w:r>
    </w:p>
    <w:p w14:paraId="0A88D303"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E13C540"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lastRenderedPageBreak/>
        <w:t>اعتقد باحث هولندي اسمه أبراهام كونن أن المصدر اليهووي (ي) كان أساسياً في أهميته للأسفار الخمسة، وليس كما كان يُعتقد سابقاً بشكل عام أن المصدر الإيلوهيمي (إ) هو الأساسي بالأسفار الخمسة.  وهو بهذا عكس ترتيب كتابة الأسفار الخمسة وخلص إلى أن الترتيب هو: ي، إ، ت، ك.</w:t>
      </w:r>
    </w:p>
    <w:p w14:paraId="5195C0ED"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7917171D" w14:textId="442D9F48" w:rsidR="00263246" w:rsidRPr="00665003" w:rsidRDefault="00263246" w:rsidP="00C7130A">
      <w:pPr>
        <w:tabs>
          <w:tab w:val="left" w:pos="454"/>
        </w:tabs>
        <w:spacing w:after="60"/>
        <w:ind w:left="550" w:hanging="550"/>
        <w:jc w:val="both"/>
        <w:rPr>
          <w:rFonts w:eastAsia="Times New Roman"/>
          <w:bCs/>
          <w:kern w:val="0"/>
          <w:rtl/>
          <w14:ligatures w14:val="none"/>
        </w:rPr>
      </w:pPr>
      <w:r w:rsidRPr="00665003">
        <w:rPr>
          <w:rFonts w:eastAsia="Times New Roman"/>
          <w:bCs/>
          <w:kern w:val="0"/>
          <w:rtl/>
          <w14:ligatures w14:val="none"/>
        </w:rPr>
        <w:t>هـ.</w:t>
      </w:r>
      <w:r w:rsidRPr="00665003">
        <w:rPr>
          <w:rFonts w:eastAsia="Times New Roman"/>
          <w:bCs/>
          <w:kern w:val="0"/>
          <w:rtl/>
          <w14:ligatures w14:val="none"/>
        </w:rPr>
        <w:tab/>
        <w:t>يوليوس ويلهاوسن.</w:t>
      </w:r>
    </w:p>
    <w:p w14:paraId="05DEBDA2" w14:textId="17684388"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 xml:space="preserve">ظهرت الصياغة الهامة للنظرية الأساسية في مؤلَّف جوليوس ويلاهوسن </w:t>
      </w:r>
      <w:r w:rsidRPr="00665003">
        <w:rPr>
          <w:rFonts w:eastAsia="Times New Roman"/>
          <w:kern w:val="0"/>
          <w14:ligatures w14:val="none"/>
        </w:rPr>
        <w:t>Die Composition des Hexateuchs (1876-77</w:t>
      </w:r>
      <w:r w:rsidRPr="00665003">
        <w:rPr>
          <w:rFonts w:eastAsia="Times New Roman"/>
          <w:kern w:val="0"/>
          <w:rtl/>
          <w:lang w:bidi="ar-JO"/>
          <w14:ligatures w14:val="none"/>
        </w:rPr>
        <w:t>).  وكان ولهاوسن تلميذاً لإيفالد.  يلخّص هاريسون ما توصّل إليه ولهاوسن فيقول:</w:t>
      </w:r>
    </w:p>
    <w:p w14:paraId="4D1D9A56" w14:textId="15F37D0B"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b/>
          <w:iCs/>
          <w:noProof/>
          <w:kern w:val="0"/>
          <w14:ligatures w14:val="none"/>
        </w:rPr>
        <w:drawing>
          <wp:anchor distT="0" distB="0" distL="114300" distR="114300" simplePos="0" relativeHeight="251659264" behindDoc="0" locked="0" layoutInCell="1" allowOverlap="1" wp14:anchorId="2E46F4FB" wp14:editId="7BDE3B61">
            <wp:simplePos x="0" y="0"/>
            <wp:positionH relativeFrom="column">
              <wp:posOffset>38100</wp:posOffset>
            </wp:positionH>
            <wp:positionV relativeFrom="paragraph">
              <wp:posOffset>92075</wp:posOffset>
            </wp:positionV>
            <wp:extent cx="1143000" cy="1654810"/>
            <wp:effectExtent l="0" t="0" r="0" b="0"/>
            <wp:wrapSquare wrapText="bothSides"/>
            <wp:docPr id="1371246627" name="Picture 6" descr="A person with a beard and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46627" name="Picture 6" descr="A person with a beard and mustache&#10;&#10;Description automatically generated"/>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143000" cy="165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5003">
        <w:rPr>
          <w:rFonts w:eastAsia="Times New Roman"/>
          <w:kern w:val="0"/>
          <w:rtl/>
          <w:lang w:bidi="ar-JO"/>
          <w14:ligatures w14:val="none"/>
        </w:rPr>
        <w:t xml:space="preserve">اعتبر ولهاوسن أن الأسفار الخمسة ذات أصل مركّب، حيث تتألف من مصدر يهووي (ي) يعود إلى القرن التاسع ق م، ووثيقة إيلوهيمية (إ) مستقلة تعود إلى القرن الثامن ق م، والمحتوى الأساسي لسفر التثنية (ت) الذي نُسِب إلى زمن الملك يوشيا (640/39-609ق م، ومصدر كهنوتي (ك) يعود إلى القرن الخامس ق م.  قام الكاتب اليهودي بتجميع وثيقة سردية من مصدري (ي) و(إ)، وقد أُلحق بهذه الوثيقة سفر التثنية الذي أُضيف في زمن يوشيّا.  وأُضيف لاويين 17-26 إلى الوثيقة الكهنوتية في زمن ما بعد حزقيال.  أمّا بقية المادة الكهنوتية في المصدر الإيلوهيمي فقد جمعها عزرا.  وفي فترة لاحقة تم تنقيح هذه المادة كلّها وتحليلها لتشكل الأسفار الخمسة الموجودة بين أيدينا، ربما قبل 200ق م. </w:t>
      </w:r>
    </w:p>
    <w:p w14:paraId="03B6AEB6"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12592AF3"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665003">
        <w:rPr>
          <w:rFonts w:eastAsia="Times New Roman"/>
          <w:kern w:val="0"/>
          <w:rtl/>
          <w:lang w:bidi="ar-JO"/>
          <w14:ligatures w14:val="none"/>
        </w:rPr>
        <w:t xml:space="preserve">تجد النتائج التي خلُص إليها ولهاوسن قبولاً بشكلٍ ما عند معظم الباحثين النقديين.  وعلى الرغم من استمرار ظهور نظريات جديدة، ومن ترك كثيرين من الباحثين المعاصرين (حتى باحثين نقديين) للتعبير الكلاسيكي عن نظرية "ي إ ت ك"، فإن تحليل المصادر ما زال افتراضاً عاماً لمصادر الأسفار الخمسة عند هؤلاء الباحثين.  وهذا هو الافتراض الأساسي، مثلاً، الذي يقوم عليه معجم </w:t>
      </w:r>
      <w:r w:rsidRPr="00665003">
        <w:rPr>
          <w:rFonts w:eastAsia="Times New Roman"/>
          <w:kern w:val="0"/>
          <w14:ligatures w14:val="none"/>
        </w:rPr>
        <w:t>BDB</w:t>
      </w:r>
      <w:r w:rsidRPr="00665003">
        <w:rPr>
          <w:rFonts w:eastAsia="Times New Roman"/>
          <w:kern w:val="0"/>
          <w:rtl/>
          <w:lang w:bidi="ar-JO"/>
          <w14:ligatures w14:val="none"/>
        </w:rPr>
        <w:t>.  أمّا الذين يتمسكون بنظرية المصادر الكلاسيكية "ي إ ت ك"، فإنهم بشكل عام يرجعون (ي) إلى 950ق م، ويرجعون (إ) إلى القرن التاسع ق م، ويُرجعون (ت) إلى حوالي 622ق م، ويرجعون (ك) إلى القرن الخامس أو أوائل القرن السادس ق م.</w:t>
      </w:r>
    </w:p>
    <w:p w14:paraId="01D173EA"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szCs w:val="26"/>
          <w:rtl/>
          <w14:ligatures w14:val="none"/>
        </w:rPr>
      </w:pPr>
    </w:p>
    <w:p w14:paraId="5B587DFF" w14:textId="77777777" w:rsidR="00263246" w:rsidRPr="00C7130A" w:rsidRDefault="00263246" w:rsidP="000558B7">
      <w:pPr>
        <w:pStyle w:val="Heading3"/>
        <w:rPr>
          <w:rtl/>
          <w:lang w:bidi="ar-JO"/>
        </w:rPr>
      </w:pPr>
      <w:bookmarkStart w:id="445" w:name="_Toc193031173"/>
      <w:r w:rsidRPr="00C7130A">
        <w:rPr>
          <w:rtl/>
          <w:lang w:bidi="ar-JO"/>
        </w:rPr>
        <w:t>3.</w:t>
      </w:r>
      <w:r w:rsidRPr="00C7130A">
        <w:rPr>
          <w:rtl/>
          <w:lang w:bidi="ar-JO"/>
        </w:rPr>
        <w:tab/>
        <w:t>وصف وأفكار داعمة لهذا المنهج</w:t>
      </w:r>
      <w:bookmarkEnd w:id="445"/>
    </w:p>
    <w:p w14:paraId="6CE67CFF" w14:textId="77777777" w:rsidR="00263246" w:rsidRPr="00665003" w:rsidRDefault="00263246" w:rsidP="00C7130A">
      <w:pPr>
        <w:tabs>
          <w:tab w:val="left" w:pos="454"/>
        </w:tabs>
        <w:spacing w:after="60"/>
        <w:ind w:left="550" w:hanging="550"/>
        <w:jc w:val="both"/>
        <w:rPr>
          <w:rFonts w:eastAsia="Times New Roman"/>
          <w:bCs/>
          <w:kern w:val="0"/>
          <w:rtl/>
          <w14:ligatures w14:val="none"/>
        </w:rPr>
      </w:pPr>
      <w:r w:rsidRPr="00665003">
        <w:rPr>
          <w:rFonts w:eastAsia="Times New Roman"/>
          <w:bCs/>
          <w:kern w:val="0"/>
          <w:rtl/>
          <w14:ligatures w14:val="none"/>
        </w:rPr>
        <w:t>أ.</w:t>
      </w:r>
      <w:r w:rsidRPr="00665003">
        <w:rPr>
          <w:rFonts w:eastAsia="Times New Roman"/>
          <w:bCs/>
          <w:kern w:val="0"/>
          <w:rtl/>
          <w14:ligatures w14:val="none"/>
        </w:rPr>
        <w:tab/>
        <w:t xml:space="preserve">الغرض من المنهج </w:t>
      </w:r>
    </w:p>
    <w:p w14:paraId="61563FEA"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lastRenderedPageBreak/>
        <w:t>إن الغرض من تحليل المصدر الأدبي هو تحليل الأطوار الأدبية وراء الشكل الحالي للعهد القديم وذلك بفصل الوثائق المكتوبة سابقاً ووصفها وترتيبها زمنياً، وإعادة تركيب العملية التي جُمعت هذه الوثائق بموجبها لتشكّل العهد القديم كما هو لدينا.</w:t>
      </w:r>
    </w:p>
    <w:p w14:paraId="44DEE8D2"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696A0F3" w14:textId="77777777" w:rsidR="00263246" w:rsidRPr="00665003" w:rsidRDefault="00263246" w:rsidP="00C7130A">
      <w:pPr>
        <w:tabs>
          <w:tab w:val="left" w:pos="454"/>
        </w:tabs>
        <w:spacing w:after="60"/>
        <w:ind w:left="550" w:hanging="550"/>
        <w:jc w:val="both"/>
        <w:rPr>
          <w:rFonts w:eastAsia="Times New Roman"/>
          <w:bCs/>
          <w:kern w:val="0"/>
          <w:rtl/>
          <w14:ligatures w14:val="none"/>
        </w:rPr>
      </w:pPr>
      <w:r w:rsidRPr="00665003">
        <w:rPr>
          <w:rFonts w:eastAsia="Times New Roman"/>
          <w:bCs/>
          <w:kern w:val="0"/>
          <w:rtl/>
          <w14:ligatures w14:val="none"/>
        </w:rPr>
        <w:t>ب.</w:t>
      </w:r>
      <w:r w:rsidRPr="00665003">
        <w:rPr>
          <w:rFonts w:eastAsia="Times New Roman"/>
          <w:bCs/>
          <w:kern w:val="0"/>
          <w:rtl/>
          <w14:ligatures w14:val="none"/>
        </w:rPr>
        <w:tab/>
        <w:t>أفكار داعمة لهذا المنهج</w:t>
      </w:r>
    </w:p>
    <w:p w14:paraId="4BA949E4" w14:textId="77777777" w:rsidR="00263246" w:rsidRPr="00665003"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65003">
        <w:rPr>
          <w:rFonts w:eastAsia="Times New Roman"/>
          <w:kern w:val="0"/>
          <w:rtl/>
          <w:lang w:bidi="ar-JO"/>
          <w14:ligatures w14:val="none"/>
        </w:rPr>
        <w:t>1.</w:t>
      </w:r>
      <w:r w:rsidRPr="00665003">
        <w:rPr>
          <w:rFonts w:eastAsia="Times New Roman"/>
          <w:kern w:val="0"/>
          <w:rtl/>
          <w:lang w:bidi="ar-JO"/>
          <w14:ligatures w14:val="none"/>
        </w:rPr>
        <w:tab/>
        <w:t>التغيّرات في الأسماء الإلهية</w:t>
      </w:r>
    </w:p>
    <w:p w14:paraId="388491D6"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يستخدم المصدر (ي) اسم يهوه، بينما يستخدم مصدر (ك) و(إ) اسم إيلوهيم (حتى خروج 3).</w:t>
      </w:r>
    </w:p>
    <w:p w14:paraId="5FC0AA0A"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7D483385" w14:textId="77777777" w:rsidR="00263246" w:rsidRPr="00665003"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65003">
        <w:rPr>
          <w:rFonts w:eastAsia="Times New Roman"/>
          <w:kern w:val="0"/>
          <w:rtl/>
          <w:lang w:bidi="ar-JO"/>
          <w14:ligatures w14:val="none"/>
        </w:rPr>
        <w:t>2.</w:t>
      </w:r>
      <w:r w:rsidRPr="00665003">
        <w:rPr>
          <w:rFonts w:eastAsia="Times New Roman"/>
          <w:kern w:val="0"/>
          <w:rtl/>
          <w:lang w:bidi="ar-JO"/>
          <w14:ligatures w14:val="none"/>
        </w:rPr>
        <w:tab/>
        <w:t>الاستخدام اللغوي</w:t>
      </w:r>
    </w:p>
    <w:p w14:paraId="55ED791D"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يقال أيضاً إن المصادر المختلفة تشير إلى الناس أو الأماكن بتعابير مختلفة.  فعلى سبيل المثال، يدعو مصدر (ي) جبل موسى سيناء بينما يدعوه مصدر (إ) حوريب.  يدعو مصدر (ي) سكان الأرض الكنعانيين، بينما يدعوهم مصدر (إ) الأموريين.</w:t>
      </w:r>
    </w:p>
    <w:p w14:paraId="124C3ADC"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117ABDED" w14:textId="77777777" w:rsidR="00263246" w:rsidRPr="00665003"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65003">
        <w:rPr>
          <w:rFonts w:eastAsia="Times New Roman"/>
          <w:kern w:val="0"/>
          <w:rtl/>
          <w:lang w:bidi="ar-JO"/>
          <w14:ligatures w14:val="none"/>
        </w:rPr>
        <w:t>3.</w:t>
      </w:r>
      <w:r w:rsidRPr="00665003">
        <w:rPr>
          <w:rFonts w:eastAsia="Times New Roman"/>
          <w:kern w:val="0"/>
          <w:rtl/>
          <w:lang w:bidi="ar-JO"/>
          <w14:ligatures w14:val="none"/>
        </w:rPr>
        <w:tab/>
        <w:t>تنوّع الأفكار</w:t>
      </w:r>
    </w:p>
    <w:p w14:paraId="2CD4E2D3" w14:textId="4544AD54"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لدى مقارنة البشر بالله، يركّز مصدر (ي) على قرب الله، بينما يركز (إ) على بعد الله.  وفي ما يتعلق بحديث الله إلى هاجر، يجعل مصدر (ي) الله يتحدث إليها وهو معها حاضرٌ (تكوين 16: 7)؛ أمّا في مصدر (إ) فيتحدث الله إلى هاجر من السماء (تكوين 21: 7).  وعندما يظهر يهوه، يعطي مصدر (ي) الانطباع أن البشر ليسوا خائفين (خروج 3: 5)، في حين يوحي (إ) أن البشر خائفون (خروج 3: 6).  وفي ما يتعلق بالمسائل الأخلاقية، يدّعي مثل هؤلاء الباحثين أن مصدر (ي) ليس حسّاساً نحو المسائل الأخلاقية (تكوين 12: 10-13)، بينما المصدر (إ) حساس نحوها (تكوين 20: 12 فصاعداً).</w:t>
      </w:r>
    </w:p>
    <w:p w14:paraId="7E0E7531"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BB2D004"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ويقال إن مصدر (ك) يقدّم مساهماته الخاصّة في الأسفار فهو يجعل الإنسان لا يقدّم الذبائح إلاّ بعد إعطاء الشريعة في سيناء، في حين أن مصدري (ي) و(إ) يجعلان الذبائح تقدّم من البداية إلى النهاية.  ويقال أيضاً إن مصدر (ك) يؤكّد على أمور معينة قبل الشريعة: السبت، وتَجنّب تناول الدم، واحترام الحياة، وممارسة الختان.</w:t>
      </w:r>
    </w:p>
    <w:p w14:paraId="65E2DCA1"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4B36E8A6" w14:textId="77777777" w:rsidR="00263246" w:rsidRPr="00665003"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65003">
        <w:rPr>
          <w:rFonts w:eastAsia="Times New Roman"/>
          <w:kern w:val="0"/>
          <w:rtl/>
          <w:lang w:bidi="ar-JO"/>
          <w14:ligatures w14:val="none"/>
        </w:rPr>
        <w:t>4.</w:t>
      </w:r>
      <w:r w:rsidRPr="00665003">
        <w:rPr>
          <w:rFonts w:eastAsia="Times New Roman"/>
          <w:kern w:val="0"/>
          <w:rtl/>
          <w:lang w:bidi="ar-JO"/>
          <w14:ligatures w14:val="none"/>
        </w:rPr>
        <w:tab/>
        <w:t>ظواهر أدبية</w:t>
      </w:r>
    </w:p>
    <w:p w14:paraId="1488122E"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65003">
        <w:rPr>
          <w:rFonts w:eastAsia="Times New Roman"/>
          <w:kern w:val="0"/>
          <w:rtl/>
          <w:lang w:bidi="ar-JO"/>
          <w14:ligatures w14:val="none"/>
        </w:rPr>
        <w:lastRenderedPageBreak/>
        <w:t>أ.</w:t>
      </w:r>
      <w:r w:rsidRPr="00665003">
        <w:rPr>
          <w:rFonts w:eastAsia="Times New Roman"/>
          <w:kern w:val="0"/>
          <w:rtl/>
          <w:lang w:bidi="ar-JO"/>
          <w14:ligatures w14:val="none"/>
        </w:rPr>
        <w:tab/>
        <w:t>الرواية المزدوجة: ويدل على هذا إعادة سرد نفس القصّة، مع بعض الاختلافات المفترضة.</w:t>
      </w:r>
    </w:p>
    <w:p w14:paraId="432E3B70"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r w:rsidRPr="00665003">
        <w:rPr>
          <w:rFonts w:eastAsia="Times New Roman"/>
          <w:kern w:val="0"/>
          <w:rtl/>
          <w:lang w:bidi="ar-JO"/>
          <w14:ligatures w14:val="none"/>
        </w:rPr>
        <w:t>ومن أمثلة ذلك: (1) عندما كذب إبراهيم حول سارة، مرة في مصر (تكوين 12: 11) ومرّة أخرى في فلسطين (تكوين 20)؛ (2) قصّة هاجر التي يقدّمها لنا المصدر (ي) في تكوين 16 والمصدر (إ) في تكوين 21، (3) تسجيل الوصايا العشر من المصدر (ي) في خروج 34 ومن المصدر (إ) في خروج 20.</w:t>
      </w:r>
    </w:p>
    <w:p w14:paraId="5FAB1186"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588"/>
        <w:jc w:val="both"/>
        <w:rPr>
          <w:rFonts w:eastAsia="Times New Roman"/>
          <w:kern w:val="0"/>
          <w:rtl/>
          <w:lang w:bidi="ar-JO"/>
          <w14:ligatures w14:val="none"/>
        </w:rPr>
      </w:pPr>
    </w:p>
    <w:p w14:paraId="40CC39B7" w14:textId="77777777" w:rsidR="00263246" w:rsidRPr="00665003" w:rsidRDefault="00263246">
      <w:pPr>
        <w:numPr>
          <w:ilvl w:val="0"/>
          <w:numId w:val="11"/>
        </w:numPr>
        <w:tabs>
          <w:tab w:val="left" w:pos="550"/>
          <w:tab w:val="left" w:pos="1100"/>
          <w:tab w:val="left" w:pos="1650"/>
          <w:tab w:val="left" w:pos="2200"/>
          <w:tab w:val="left" w:pos="2750"/>
          <w:tab w:val="left" w:pos="3300"/>
          <w:tab w:val="left" w:pos="3850"/>
          <w:tab w:val="left" w:pos="4400"/>
        </w:tabs>
        <w:jc w:val="both"/>
        <w:rPr>
          <w:rFonts w:eastAsia="Times New Roman"/>
          <w:kern w:val="0"/>
          <w:rtl/>
          <w:lang w:bidi="ar-JO"/>
          <w14:ligatures w14:val="none"/>
        </w:rPr>
      </w:pPr>
      <w:r w:rsidRPr="00665003">
        <w:rPr>
          <w:rFonts w:eastAsia="Times New Roman"/>
          <w:kern w:val="0"/>
          <w:rtl/>
          <w:lang w:bidi="ar-JO"/>
          <w14:ligatures w14:val="none"/>
        </w:rPr>
        <w:t>اللجوء إلى تفسير قصة بإدخال مادّة خارجية.</w:t>
      </w:r>
    </w:p>
    <w:p w14:paraId="75CEFADE"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07B0B3D"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665003">
        <w:rPr>
          <w:rFonts w:eastAsia="Times New Roman"/>
          <w:kern w:val="0"/>
          <w:rtl/>
          <w:lang w:bidi="ar-JO"/>
          <w14:ligatures w14:val="none"/>
        </w:rPr>
        <w:t>جـ.</w:t>
      </w:r>
      <w:r w:rsidRPr="00665003">
        <w:rPr>
          <w:rFonts w:eastAsia="Times New Roman"/>
          <w:kern w:val="0"/>
          <w:rtl/>
          <w:lang w:bidi="ar-JO"/>
          <w14:ligatures w14:val="none"/>
        </w:rPr>
        <w:tab/>
        <w:t>الاستئناف اللاحق لخيط مقطوع (استئناف القصة فيما بعد).</w:t>
      </w:r>
    </w:p>
    <w:p w14:paraId="2B6AEEEA"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szCs w:val="26"/>
          <w:rtl/>
          <w:lang w:bidi="ar-JO"/>
          <w14:ligatures w14:val="none"/>
        </w:rPr>
      </w:pPr>
    </w:p>
    <w:p w14:paraId="6059B253"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szCs w:val="26"/>
          <w:rtl/>
          <w:lang w:bidi="ar-JO"/>
          <w14:ligatures w14:val="none"/>
        </w:rPr>
      </w:pPr>
    </w:p>
    <w:p w14:paraId="6C1B0B97" w14:textId="77777777" w:rsidR="00263246" w:rsidRPr="00C7130A" w:rsidRDefault="00263246" w:rsidP="000558B7">
      <w:pPr>
        <w:pStyle w:val="Heading3"/>
        <w:rPr>
          <w:rtl/>
          <w:lang w:bidi="ar-JO"/>
        </w:rPr>
      </w:pPr>
      <w:bookmarkStart w:id="446" w:name="_Toc193031174"/>
      <w:r w:rsidRPr="00C7130A">
        <w:rPr>
          <w:rtl/>
          <w:lang w:bidi="ar-JO"/>
        </w:rPr>
        <w:t>4.</w:t>
      </w:r>
      <w:r w:rsidRPr="00C7130A">
        <w:rPr>
          <w:rtl/>
          <w:lang w:bidi="ar-JO"/>
        </w:rPr>
        <w:tab/>
        <w:t>تقويم هذا المنهج</w:t>
      </w:r>
      <w:bookmarkEnd w:id="446"/>
      <w:r w:rsidRPr="00C7130A">
        <w:rPr>
          <w:rtl/>
          <w:lang w:bidi="ar-JO"/>
        </w:rPr>
        <w:t xml:space="preserve"> </w:t>
      </w:r>
    </w:p>
    <w:p w14:paraId="6498A035" w14:textId="77777777" w:rsidR="00263246" w:rsidRPr="00665003" w:rsidRDefault="00263246" w:rsidP="00C7130A">
      <w:pPr>
        <w:tabs>
          <w:tab w:val="left" w:pos="454"/>
        </w:tabs>
        <w:spacing w:after="60"/>
        <w:ind w:left="550" w:hanging="550"/>
        <w:jc w:val="both"/>
        <w:rPr>
          <w:rFonts w:eastAsia="Times New Roman"/>
          <w:bCs/>
          <w:kern w:val="0"/>
          <w:rtl/>
          <w14:ligatures w14:val="none"/>
        </w:rPr>
      </w:pPr>
      <w:r w:rsidRPr="00665003">
        <w:rPr>
          <w:rFonts w:eastAsia="Times New Roman"/>
          <w:bCs/>
          <w:kern w:val="0"/>
          <w:rtl/>
          <w14:ligatures w14:val="none"/>
        </w:rPr>
        <w:t>أ.</w:t>
      </w:r>
      <w:r w:rsidRPr="00665003">
        <w:rPr>
          <w:rFonts w:eastAsia="Times New Roman"/>
          <w:bCs/>
          <w:kern w:val="0"/>
          <w:rtl/>
          <w14:ligatures w14:val="none"/>
        </w:rPr>
        <w:tab/>
        <w:t xml:space="preserve">افتراض نظرة تطورية لديانة إسرائيل </w:t>
      </w:r>
    </w:p>
    <w:p w14:paraId="4E46F0F0"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 xml:space="preserve">اعتمدت استنتاجات ولهاوسن المتعلقة بالفرضية الوثائقية على افتراض مسبق خاطئ ذي صلة بتاريخ إسرائيل.  فقد ارتكز منهجه على الفلسفة الألمانية لهيجل وتطبيق "مبدأ التطوّر"، أي أن ديانة إسرائيل تطوَّرت من شكل بسيط إلى شكل أكثر تعقيداً نتيجة تفاعل أحداث متنوعة في التاريخ.  وقد افترض أن ديانة إسرائيل كانت عبادة فجّة الطبيعة في الأصل تدور حول عبادة إله واحد من بين آلهة كثيرين، مع وجود مراكز كثيرة للعبادة.  ثمّ قادت الحركة النبويّة إلى المرحلة الكهنوتية بتوكيدها على </w:t>
      </w:r>
      <w:r w:rsidRPr="00665003">
        <w:rPr>
          <w:rFonts w:eastAsia="Times New Roman"/>
          <w:kern w:val="0"/>
          <w:rtl/>
          <w14:ligatures w14:val="none"/>
        </w:rPr>
        <w:t xml:space="preserve">طقس </w:t>
      </w:r>
      <w:r w:rsidRPr="00665003">
        <w:rPr>
          <w:rFonts w:eastAsia="Times New Roman"/>
          <w:kern w:val="0"/>
          <w:rtl/>
          <w:lang w:bidi="ar-JO"/>
          <w14:ligatures w14:val="none"/>
        </w:rPr>
        <w:t>العبادة الخارجية، وثمّ في هذه المرحلة اللاحقة تبنّي عبادة إله واحد-الوحدانية، وهكذا تمّت كتابة العناصر الوحدانية في الأسفار الخمسة في تاريخ متأخر كمحاولة لدعم وجهة النظر هذه، لا لأنها كانت موجودة منذ البداية.  وتفترض هذه النظرية أن التعاليم النبوية المتعلقة بوحدانية الله أدّت إلى مركزيّة العبادة الدينية في أورشليم.  يقول هاريسون:</w:t>
      </w:r>
    </w:p>
    <w:p w14:paraId="1295FF4E"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r w:rsidRPr="00665003">
        <w:rPr>
          <w:rFonts w:eastAsia="Times New Roman"/>
          <w:kern w:val="0"/>
          <w:rtl/>
          <w:lang w:bidi="ar-JO"/>
          <w14:ligatures w14:val="none"/>
        </w:rPr>
        <w:t>ثمّ قام ولهاوسن بتطبيق استنتاجاته أن التشريع الموسوي كان القانون الأساسي لليهودية في فترة ما بعد السبي بدلاً من أن يكون نقطة البداية في تطوير العبادة الدينية لبني إسرائيل، على إعادة تركيب للديانة العبرية.  وإذ رفض التفسيرات اللاهوتية الراهنة وتبنّى مبدأي السببية (القول إن لكل سبب مسبِّباً) والتطوّر الهيجليَّين، تخيَّل النشاط الديني المبكّر لإسرائيل من منظور النوازع البدائية لطبيعة أرواحية (الاعتقاد أن لكل ما في الكون روحاً)؛ ولهذا اعتبر المصادر التي تحدّثت عن ديانة الآباء بصفتها توحيدية في طبيعتها غير تاريخية.</w:t>
      </w:r>
      <w:r w:rsidRPr="00665003">
        <w:rPr>
          <w:rFonts w:eastAsia="Times New Roman"/>
          <w:kern w:val="0"/>
          <w:vertAlign w:val="superscript"/>
          <w:rtl/>
          <w:lang w:bidi="ar-JO"/>
          <w14:ligatures w14:val="none"/>
        </w:rPr>
        <w:footnoteReference w:id="245"/>
      </w:r>
    </w:p>
    <w:p w14:paraId="1F701E31"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r w:rsidRPr="00665003">
        <w:rPr>
          <w:rFonts w:eastAsia="Times New Roman"/>
          <w:kern w:val="0"/>
          <w:rtl/>
          <w:lang w:bidi="ar-JO"/>
          <w14:ligatures w14:val="none"/>
        </w:rPr>
        <w:lastRenderedPageBreak/>
        <w:t>ولا يتفق معظم الباحثين اليوم مع نظر ولهاوسن لتاريخ إسرائيل، لكن تأثيره مازال ملموساً في الرأي القائل بالتطور الديني في إسرائيل.</w:t>
      </w:r>
    </w:p>
    <w:p w14:paraId="2B4302E3"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14:ligatures w14:val="none"/>
        </w:rPr>
      </w:pPr>
    </w:p>
    <w:p w14:paraId="44D28413" w14:textId="77777777" w:rsidR="00263246" w:rsidRPr="00665003" w:rsidRDefault="00263246" w:rsidP="00C7130A">
      <w:pPr>
        <w:tabs>
          <w:tab w:val="left" w:pos="454"/>
        </w:tabs>
        <w:spacing w:after="60"/>
        <w:ind w:left="550" w:hanging="550"/>
        <w:jc w:val="both"/>
        <w:rPr>
          <w:rFonts w:eastAsia="Times New Roman"/>
          <w:bCs/>
          <w:kern w:val="0"/>
          <w:rtl/>
          <w14:ligatures w14:val="none"/>
        </w:rPr>
      </w:pPr>
      <w:r w:rsidRPr="00665003">
        <w:rPr>
          <w:rFonts w:eastAsia="Times New Roman"/>
          <w:bCs/>
          <w:kern w:val="0"/>
          <w:rtl/>
          <w14:ligatures w14:val="none"/>
        </w:rPr>
        <w:t>ب.</w:t>
      </w:r>
      <w:r w:rsidRPr="00665003">
        <w:rPr>
          <w:rFonts w:eastAsia="Times New Roman"/>
          <w:bCs/>
          <w:kern w:val="0"/>
          <w:rtl/>
          <w14:ligatures w14:val="none"/>
        </w:rPr>
        <w:tab/>
        <w:t>وجهة نظر غربية</w:t>
      </w:r>
    </w:p>
    <w:p w14:paraId="5B219CED"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إن أحد الأخطاء الكبيرة في النظرية الوثائقية هو كل أسلوبها التفكيري.  إذ نجد أنفسنا أمام باحثين أوروبيين حديثين يحلّلون كتاباً كتب منذُ آلاف السنين من قبل كتّاب من الشرق الأدنى. ذكر كينيث أ. كتشن في محاضرة ألقاها عام 1965 أن "عدم التعامل مع العهد القديم بصفته غير أوروبي وغير حديث الأصل كان خطأً قاتلاً من الدرجة الأولى، وهو خطأ يكرره بشكل قاتل أيضاً كل خلفائه (أي خلفاء أستراك)."</w:t>
      </w:r>
    </w:p>
    <w:p w14:paraId="0EA6E2C1"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3355AC8D" w14:textId="77777777" w:rsidR="00263246" w:rsidRPr="00665003" w:rsidRDefault="00263246" w:rsidP="00C7130A">
      <w:pPr>
        <w:tabs>
          <w:tab w:val="left" w:pos="454"/>
        </w:tabs>
        <w:spacing w:after="60"/>
        <w:ind w:left="550" w:hanging="550"/>
        <w:jc w:val="both"/>
        <w:rPr>
          <w:rFonts w:eastAsia="Times New Roman"/>
          <w:bCs/>
          <w:kern w:val="0"/>
          <w:rtl/>
          <w14:ligatures w14:val="none"/>
        </w:rPr>
      </w:pPr>
      <w:r w:rsidRPr="00665003">
        <w:rPr>
          <w:rFonts w:eastAsia="Times New Roman"/>
          <w:bCs/>
          <w:kern w:val="0"/>
          <w:rtl/>
          <w14:ligatures w14:val="none"/>
        </w:rPr>
        <w:t>جـ.</w:t>
      </w:r>
      <w:r w:rsidRPr="00665003">
        <w:rPr>
          <w:rFonts w:eastAsia="Times New Roman"/>
          <w:bCs/>
          <w:kern w:val="0"/>
          <w:rtl/>
          <w14:ligatures w14:val="none"/>
        </w:rPr>
        <w:tab/>
        <w:t>المقاييس الأدبية</w:t>
      </w:r>
    </w:p>
    <w:p w14:paraId="78C97E07"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665003">
        <w:rPr>
          <w:rFonts w:eastAsia="Times New Roman"/>
          <w:kern w:val="0"/>
          <w:rtl/>
          <w:lang w:bidi="ar-JO"/>
          <w14:ligatures w14:val="none"/>
        </w:rPr>
        <w:t>هنالك الكثير مما يمكن أن يقال في مجال فحص المقاييس الأدبية نفسها، على الرغم من أن المجال لا يسمح بتقويم كامل لهذا الجانب في هذا البحث.  لكن النقاط التالية تمثّل نقاط الضعف في تلك النظرية:</w:t>
      </w:r>
    </w:p>
    <w:p w14:paraId="64F4C675" w14:textId="77777777" w:rsidR="00263246" w:rsidRPr="00665003"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65003">
        <w:rPr>
          <w:rFonts w:eastAsia="Times New Roman"/>
          <w:kern w:val="0"/>
          <w:rtl/>
          <w:lang w:bidi="ar-JO"/>
          <w14:ligatures w14:val="none"/>
        </w:rPr>
        <w:t>1.</w:t>
      </w:r>
      <w:r w:rsidRPr="00665003">
        <w:rPr>
          <w:rFonts w:eastAsia="Times New Roman"/>
          <w:kern w:val="0"/>
          <w:rtl/>
          <w:lang w:bidi="ar-JO"/>
          <w14:ligatures w14:val="none"/>
        </w:rPr>
        <w:tab/>
        <w:t>التعابير المتعددة للإشارة إلى الله</w:t>
      </w:r>
    </w:p>
    <w:p w14:paraId="1D6E5058"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يزعم بعضهم أن هنالك روايتين مختلفتين للخلق في تكوين 1-2، وأنهما جاءتا من كاتبين مختلفين تمّ دمج روايتهما معاً في وقت لاحق.  والدليل المفترض على هذا هو أن الرواية الأولى (1: 1-2: 3) تستخدم اسم "إيلوهيم" بينما تستخدم الرواية الثانية (2: 4 فصاعداً) اسم "يهوه".  غير أن من الصحيح تماماً القول إن هذا يمكن أن يكون عمل كاتب واحد أراد أن يقدّم سرداً تكميلياً لعملية الخلق، قاصداً أن يؤكّد على جوانب مختلفة في كل رواية.  فالرواية الأولى تكشف كل الخليقة التي تُوِّجت بالإنسان، في حين أن الرواية الثانية تهدف إلى إظهار البيئة والخلفية الفريدتين لسقوط الإنسان.</w:t>
      </w:r>
    </w:p>
    <w:p w14:paraId="2C0D11A4"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C6A99F9"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ومثل آخر على ذلك</w:t>
      </w:r>
      <w:r w:rsidRPr="00665003">
        <w:rPr>
          <w:rFonts w:eastAsia="Times New Roman"/>
          <w:kern w:val="0"/>
          <w:rtl/>
          <w14:ligatures w14:val="none"/>
        </w:rPr>
        <w:t xml:space="preserve"> </w:t>
      </w:r>
      <w:r w:rsidRPr="00665003">
        <w:rPr>
          <w:rFonts w:eastAsia="Times New Roman"/>
          <w:kern w:val="0"/>
          <w:rtl/>
          <w:lang w:bidi="ar-JO"/>
          <w14:ligatures w14:val="none"/>
        </w:rPr>
        <w:t>قد يكون الإعلان عن الاسم الإلهي يهوه في خروج 3: 13-16 وخروج 6: 2-3.  إذ يُنسب الأول إلى المصدر (إ) بينما يُنسب الثاني إلى المصدر (ك).  تقول خروج 6: 2-3، "أنا الرب. وأنا ظهرت لإبراهيم وإسحاق ويعقوب بأني الإله القادر على كل شيء.  وأمّا باسمي ’يهوه, فلم أُعرف عندهم." لكن هل يعني هذا أن الاسم نفسه "يهوه" لم يكن معروفاً سابقاً؟ إن التفسير الأفضل هو أن الله يقول إنه لم يكن معروفاً بالطبيعة التي يعبّر عنها اسم يهوه.  ومن هنا فإنه لا داعي لأن يرى المرء صراعاً بين الفقرتين وكأنهما جاءتا من مصدرين مستقلّين.</w:t>
      </w:r>
    </w:p>
    <w:p w14:paraId="70A18D51"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00B74E8C"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r w:rsidRPr="00665003">
        <w:rPr>
          <w:rFonts w:eastAsia="Times New Roman"/>
          <w:kern w:val="0"/>
          <w:rtl/>
          <w:lang w:bidi="ar-JO"/>
          <w14:ligatures w14:val="none"/>
        </w:rPr>
        <w:lastRenderedPageBreak/>
        <w:t>أود أن أُشير أيضاً إلى أن الأسماء الإلهية ليست مجرّد مسمَّيات فارغة من المعنى، لكنها تؤكد على صفات مختلفة من صفات الله.  تُستخدم أسماء الله بحسب السياق الذي توجد فيه.  ولماذا لا تسمح نظري "ي إ ت ك" بشيءٍ من الاختلاف من أجل أهداف أدبية، في حين أن كل آداب الشرق الأدنى تسمح بذلك؟  إن أوضح اعتراض هو عدم التوافق في استخدام الأسماء الإلهية كما توجد في "المصادر".  فعلى سبيل المثال، يظهر اسم يهوه ضمن المصدر (إ) في (تكوين 15: 1، 2، 7، 8، 20، 18؛ 22: 11، 14؛ 28: 17-22) وضمن المصدر (ك) أيضاً (تكوين 7: 16ب؛ 17: 1؛ 21: 16).  ويظهر اسم إيلوهيم في المصدر (ي) في (تكوين 2-3؛ 3: 1-5؛ 4: 25؛ 7: 9؛ 9: 27؛ 16: 13؛ 31: 50؛ 32: 9، 28-29).</w:t>
      </w:r>
    </w:p>
    <w:p w14:paraId="134CF68D"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KW"/>
          <w14:ligatures w14:val="none"/>
        </w:rPr>
      </w:pPr>
    </w:p>
    <w:p w14:paraId="0A9B40B7" w14:textId="77777777" w:rsidR="00263246" w:rsidRPr="00665003"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65003">
        <w:rPr>
          <w:rFonts w:eastAsia="Times New Roman"/>
          <w:kern w:val="0"/>
          <w:rtl/>
          <w:lang w:bidi="ar-JO"/>
          <w14:ligatures w14:val="none"/>
        </w:rPr>
        <w:t>2.</w:t>
      </w:r>
      <w:r w:rsidRPr="00665003">
        <w:rPr>
          <w:rFonts w:eastAsia="Times New Roman"/>
          <w:kern w:val="0"/>
          <w:rtl/>
          <w:lang w:bidi="ar-JO"/>
          <w14:ligatures w14:val="none"/>
        </w:rPr>
        <w:tab/>
        <w:t xml:space="preserve">المفردات </w:t>
      </w:r>
    </w:p>
    <w:p w14:paraId="010E6205"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يمكن أن يختلف القصد من استخدام الكلمات بسهولة مع اختلاف السياق.  ولهذا فإن الافتراض بأن كلمات معينة لا تنتمي إلاّ إلى وثيقة معينة فكرة ضعيفة.  ومرادفات الكلمات لا تكون مطلقة أيضاً، بل تختلف باختلاف القصد.</w:t>
      </w:r>
    </w:p>
    <w:p w14:paraId="1FD3181F" w14:textId="77777777" w:rsidR="00263246" w:rsidRPr="00665003"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65003">
        <w:rPr>
          <w:rFonts w:eastAsia="Times New Roman"/>
          <w:kern w:val="0"/>
          <w:rtl/>
          <w:lang w:bidi="ar-JO"/>
          <w14:ligatures w14:val="none"/>
        </w:rPr>
        <w:t>3.</w:t>
      </w:r>
      <w:r w:rsidRPr="00665003">
        <w:rPr>
          <w:rFonts w:eastAsia="Times New Roman"/>
          <w:kern w:val="0"/>
          <w:rtl/>
          <w:lang w:bidi="ar-JO"/>
          <w14:ligatures w14:val="none"/>
        </w:rPr>
        <w:tab/>
        <w:t>الأسلوب</w:t>
      </w:r>
    </w:p>
    <w:p w14:paraId="0051253C"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لدى تعاملنا مع الاختلافات في الأسلوب، يجب أن يكون واضحاً أن التغيّر في الأسلوب لا يشير بالضرورة إلى تغيّر الكاتب.  فقد يشير إلى تغيير في الموضوع الذي يتناوله.</w:t>
      </w:r>
    </w:p>
    <w:p w14:paraId="440E2C77"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6ECC9783" w14:textId="77777777" w:rsidR="00263246" w:rsidRPr="00665003"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665003">
        <w:rPr>
          <w:rFonts w:eastAsia="Times New Roman"/>
          <w:kern w:val="0"/>
          <w:rtl/>
          <w:lang w:bidi="ar-JO"/>
          <w14:ligatures w14:val="none"/>
        </w:rPr>
        <w:t>4.</w:t>
      </w:r>
      <w:r w:rsidRPr="00665003">
        <w:rPr>
          <w:rFonts w:eastAsia="Times New Roman"/>
          <w:kern w:val="0"/>
          <w:rtl/>
          <w:lang w:bidi="ar-JO"/>
          <w14:ligatures w14:val="none"/>
        </w:rPr>
        <w:tab/>
        <w:t>الرواية المزدوجة</w:t>
      </w:r>
    </w:p>
    <w:p w14:paraId="39DD735A" w14:textId="77777777" w:rsidR="00263246" w:rsidRPr="00665003"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665003">
        <w:rPr>
          <w:rFonts w:eastAsia="Times New Roman"/>
          <w:kern w:val="0"/>
          <w:rtl/>
          <w:lang w:bidi="ar-JO"/>
          <w14:ligatures w14:val="none"/>
        </w:rPr>
        <w:t>ادّعى بعض الباحثين وجود روايات مزدوجة لنفس الحدث تم تدوينها بشكل منفصل لكي يدعموا زعمهم بوجود مصادر مختلفة.  غير أن هذا الادعاء ليس منطقياً، حيث إن الروايات قد تكون موجودة لغرض معيّن (مثلاً اسما يعقوب/إسرائيل في تكوين 32: 28 و35: 10).</w:t>
      </w:r>
    </w:p>
    <w:p w14:paraId="7F9F19C9" w14:textId="77777777" w:rsidR="00263246" w:rsidRPr="00C7130A" w:rsidRDefault="00263246" w:rsidP="00C7130A">
      <w:pPr>
        <w:tabs>
          <w:tab w:val="left" w:pos="454"/>
        </w:tabs>
        <w:spacing w:after="60"/>
        <w:jc w:val="both"/>
        <w:rPr>
          <w:rFonts w:eastAsia="Times New Roman"/>
          <w:bCs/>
          <w:kern w:val="0"/>
          <w:szCs w:val="28"/>
          <w:rtl/>
          <w:lang w:bidi="ar-JO"/>
          <w14:ligatures w14:val="none"/>
        </w:rPr>
      </w:pPr>
    </w:p>
    <w:p w14:paraId="15AD28E9" w14:textId="77777777" w:rsidR="00263246" w:rsidRPr="00C7130A" w:rsidRDefault="00263246" w:rsidP="000558B7">
      <w:pPr>
        <w:pStyle w:val="Heading3"/>
        <w:rPr>
          <w:rtl/>
          <w:lang w:bidi="ar-JO"/>
        </w:rPr>
      </w:pPr>
      <w:bookmarkStart w:id="447" w:name="_Toc193031175"/>
      <w:r w:rsidRPr="00C7130A">
        <w:rPr>
          <w:rtl/>
          <w:lang w:bidi="ar-JO"/>
        </w:rPr>
        <w:t>5.</w:t>
      </w:r>
      <w:r w:rsidRPr="00C7130A">
        <w:rPr>
          <w:rtl/>
          <w:lang w:bidi="ar-JO"/>
        </w:rPr>
        <w:tab/>
        <w:t>تأثير هذه النظريات على الوحي والعصمة</w:t>
      </w:r>
      <w:bookmarkEnd w:id="447"/>
      <w:r w:rsidRPr="00C7130A">
        <w:rPr>
          <w:rtl/>
          <w:lang w:bidi="ar-JO"/>
        </w:rPr>
        <w:t xml:space="preserve"> </w:t>
      </w:r>
    </w:p>
    <w:p w14:paraId="2F0733E9"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A3BFA">
        <w:rPr>
          <w:rFonts w:eastAsia="Times New Roman"/>
          <w:kern w:val="0"/>
          <w:rtl/>
          <w:lang w:bidi="ar-JO"/>
          <w14:ligatures w14:val="none"/>
        </w:rPr>
        <w:t xml:space="preserve">كما سبق أن ذكرت في بداية هذا البحث، فقد رفض معتنقو هذه النظرية من الباحثين أن يكون موسى هو كاتب الأسفار الخمسة.  غير أن القضية هنا ليست مجرد قضية المؤلف الحقيقي للأسفار الخمسة، فالافتراض المسبق </w:t>
      </w:r>
      <w:r w:rsidRPr="000A3BFA">
        <w:rPr>
          <w:rFonts w:eastAsia="Times New Roman"/>
          <w:kern w:val="0"/>
          <w:rtl/>
          <w:lang w:bidi="ar-JO"/>
          <w14:ligatures w14:val="none"/>
        </w:rPr>
        <w:lastRenderedPageBreak/>
        <w:t>والاستنتاجات التي توصّلت إليها هذه النظرية تهاجم عقيدة عصمة الكتاب المقدس.  يضع هيربرت لفنجستون قائمة بعدد من نتائج هذه النظرية التي تشكّل تحدّياً للوحي.</w:t>
      </w:r>
      <w:r w:rsidRPr="000A3BFA">
        <w:rPr>
          <w:rFonts w:eastAsia="Times New Roman"/>
          <w:kern w:val="0"/>
          <w:vertAlign w:val="superscript"/>
          <w:rtl/>
          <w:lang w:bidi="ar-JO"/>
          <w14:ligatures w14:val="none"/>
        </w:rPr>
        <w:footnoteReference w:id="246"/>
      </w:r>
    </w:p>
    <w:p w14:paraId="425F2D23"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58537A18"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A3BFA">
        <w:rPr>
          <w:rFonts w:eastAsia="Times New Roman"/>
          <w:kern w:val="0"/>
          <w:rtl/>
          <w:lang w:bidi="ar-JO"/>
          <w14:ligatures w14:val="none"/>
        </w:rPr>
        <w:t>1)</w:t>
      </w:r>
      <w:r w:rsidRPr="000A3BFA">
        <w:rPr>
          <w:rFonts w:eastAsia="Times New Roman"/>
          <w:kern w:val="0"/>
          <w:rtl/>
          <w:lang w:bidi="ar-JO"/>
          <w14:ligatures w14:val="none"/>
        </w:rPr>
        <w:tab/>
        <w:t>ترفض هذه النظرية كتابة موسى للأسفار الخمسة، ولا تعزو إلاّ جزءاً بسيطاً من هذه الأسفار إلى فترة موسى.</w:t>
      </w:r>
    </w:p>
    <w:p w14:paraId="157FD784"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A3BFA">
        <w:rPr>
          <w:rFonts w:eastAsia="Times New Roman"/>
          <w:kern w:val="0"/>
          <w:rtl/>
          <w:lang w:bidi="ar-JO"/>
          <w14:ligatures w14:val="none"/>
        </w:rPr>
        <w:t>2)</w:t>
      </w:r>
      <w:r w:rsidRPr="000A3BFA">
        <w:rPr>
          <w:rFonts w:eastAsia="Times New Roman"/>
          <w:kern w:val="0"/>
          <w:rtl/>
          <w:lang w:bidi="ar-JO"/>
          <w14:ligatures w14:val="none"/>
        </w:rPr>
        <w:tab/>
        <w:t>يعتبر كثير من الباحثين الذين يتبنّون وجهة نظر ولهاوسن أن الشخصيات المذكورة في الأسفار الخمسة لم يكونوا بشراً حقيقيّين – بل كانوا في أفضل الحالات أبطالاً رُفعوا إلى مستوى المثل الأعلى.</w:t>
      </w:r>
    </w:p>
    <w:p w14:paraId="647BB2E6"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A3BFA">
        <w:rPr>
          <w:rFonts w:eastAsia="Times New Roman"/>
          <w:kern w:val="0"/>
          <w:rtl/>
          <w:lang w:bidi="ar-JO"/>
          <w14:ligatures w14:val="none"/>
        </w:rPr>
        <w:t>3)</w:t>
      </w:r>
      <w:r w:rsidRPr="000A3BFA">
        <w:rPr>
          <w:rFonts w:eastAsia="Times New Roman"/>
          <w:kern w:val="0"/>
          <w:rtl/>
          <w:lang w:bidi="ar-JO"/>
          <w14:ligatures w14:val="none"/>
        </w:rPr>
        <w:tab/>
        <w:t>لا تقدّم لنا الأسفار الخمسة تاريخاً صحيحاً للأزمنة القديمة، لكنها تعكس تاريخ المملكة المنقسمة على مدى الجزء الأول من فترة ما بعد السبي.</w:t>
      </w:r>
    </w:p>
    <w:p w14:paraId="788B1A7C"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A3BFA">
        <w:rPr>
          <w:rFonts w:eastAsia="Times New Roman"/>
          <w:kern w:val="0"/>
          <w:rtl/>
          <w:lang w:bidi="ar-JO"/>
          <w14:ligatures w14:val="none"/>
        </w:rPr>
        <w:t>4)</w:t>
      </w:r>
      <w:r w:rsidRPr="000A3BFA">
        <w:rPr>
          <w:rFonts w:eastAsia="Times New Roman"/>
          <w:kern w:val="0"/>
          <w:rtl/>
          <w:lang w:bidi="ar-JO"/>
          <w14:ligatures w14:val="none"/>
        </w:rPr>
        <w:tab/>
        <w:t>لم يكن أي من الأشخاص المذكورين في الأسفار الخمسة موحِّداً (يؤمن بالله الواحد)، لكن الكهنة في فترة ما بعد السبي هم الذين صوّروا هؤلاء الأشخاص وكأنهم يؤمنون بالله الواحد.</w:t>
      </w:r>
    </w:p>
    <w:p w14:paraId="0B840DB2"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A3BFA">
        <w:rPr>
          <w:rFonts w:eastAsia="Times New Roman"/>
          <w:kern w:val="0"/>
          <w:rtl/>
          <w:lang w:bidi="ar-JO"/>
          <w14:ligatures w14:val="none"/>
        </w:rPr>
        <w:t>5)</w:t>
      </w:r>
      <w:r w:rsidRPr="000A3BFA">
        <w:rPr>
          <w:rFonts w:eastAsia="Times New Roman"/>
          <w:kern w:val="0"/>
          <w:rtl/>
          <w:lang w:bidi="ar-JO"/>
          <w14:ligatures w14:val="none"/>
        </w:rPr>
        <w:tab/>
        <w:t>لم يتحدث الله قط مع أي أشخاصٍ في الأزمنة القديمة، لكن الكهنة هم الذين أعطوا هذا الانطباع.</w:t>
      </w:r>
    </w:p>
    <w:p w14:paraId="640E28DF"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A3BFA">
        <w:rPr>
          <w:rFonts w:eastAsia="Times New Roman"/>
          <w:kern w:val="0"/>
          <w:rtl/>
          <w:lang w:bidi="ar-JO"/>
          <w14:ligatures w14:val="none"/>
        </w:rPr>
        <w:t>6)</w:t>
      </w:r>
      <w:r w:rsidRPr="000A3BFA">
        <w:rPr>
          <w:rFonts w:eastAsia="Times New Roman"/>
          <w:kern w:val="0"/>
          <w:rtl/>
          <w:lang w:bidi="ar-JO"/>
          <w14:ligatures w14:val="none"/>
        </w:rPr>
        <w:tab/>
        <w:t>يرجع عدد قليل جداً من الشرائع المذكورة في الأسفار الخمسة إلى فترة ما قبل تأسيس المملكة.</w:t>
      </w:r>
    </w:p>
    <w:p w14:paraId="0E42F098"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14:ligatures w14:val="none"/>
        </w:rPr>
      </w:pPr>
      <w:r w:rsidRPr="000A3BFA">
        <w:rPr>
          <w:rFonts w:eastAsia="Times New Roman"/>
          <w:kern w:val="0"/>
          <w:rtl/>
          <w:lang w:bidi="ar-JO"/>
          <w14:ligatures w14:val="none"/>
        </w:rPr>
        <w:t>7)</w:t>
      </w:r>
      <w:r w:rsidRPr="000A3BFA">
        <w:rPr>
          <w:rFonts w:eastAsia="Times New Roman"/>
          <w:kern w:val="0"/>
          <w:rtl/>
          <w14:ligatures w14:val="none"/>
        </w:rPr>
        <w:tab/>
      </w:r>
      <w:r w:rsidRPr="000A3BFA">
        <w:rPr>
          <w:rFonts w:eastAsia="Times New Roman"/>
          <w:kern w:val="0"/>
          <w:rtl/>
          <w:lang w:bidi="ar-JO"/>
          <w14:ligatures w14:val="none"/>
        </w:rPr>
        <w:t xml:space="preserve"> يرجع عدد قليل جداً من الممارسات الدينية المذكورة في التوراة إلى فترة ما قبل تأسيس المملكة، إذ كانت ممارسات كثيرة منها ترجع إلى فترة ما بعد السبي.</w:t>
      </w:r>
    </w:p>
    <w:p w14:paraId="3914BB2E"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14:ligatures w14:val="none"/>
        </w:rPr>
      </w:pPr>
      <w:r w:rsidRPr="000A3BFA">
        <w:rPr>
          <w:rFonts w:eastAsia="Times New Roman"/>
          <w:kern w:val="0"/>
          <w:rtl/>
          <w14:ligatures w14:val="none"/>
        </w:rPr>
        <w:t>8)</w:t>
      </w:r>
      <w:r w:rsidRPr="000A3BFA">
        <w:rPr>
          <w:rFonts w:eastAsia="Times New Roman"/>
          <w:kern w:val="0"/>
          <w:rtl/>
          <w14:ligatures w14:val="none"/>
        </w:rPr>
        <w:tab/>
        <w:t>الإسرائيليون القدماء لم يكن لهم بتاتاً خيمة كما يرد وصفها في سفر الخروج.</w:t>
      </w:r>
    </w:p>
    <w:p w14:paraId="6B5DA3E2"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r w:rsidRPr="000A3BFA">
        <w:rPr>
          <w:rFonts w:eastAsia="Times New Roman"/>
          <w:kern w:val="0"/>
          <w:rtl/>
          <w:lang w:bidi="ar-JO"/>
          <w14:ligatures w14:val="none"/>
        </w:rPr>
        <w:t>9)</w:t>
      </w:r>
      <w:r w:rsidRPr="000A3BFA">
        <w:rPr>
          <w:rFonts w:eastAsia="Times New Roman"/>
          <w:kern w:val="0"/>
          <w:rtl/>
          <w:lang w:bidi="ar-JO"/>
          <w14:ligatures w14:val="none"/>
        </w:rPr>
        <w:tab/>
        <w:t>إن كل التصريحات في التوراة أن الله خلّص إسرائيل وصنع معجزات من أجل افتدائهم خاطئة.</w:t>
      </w:r>
    </w:p>
    <w:p w14:paraId="0264FC95"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571" w:hanging="550"/>
        <w:jc w:val="both"/>
        <w:rPr>
          <w:rFonts w:eastAsia="Times New Roman"/>
          <w:kern w:val="0"/>
          <w:rtl/>
          <w:lang w:bidi="ar-JO"/>
          <w14:ligatures w14:val="none"/>
        </w:rPr>
      </w:pPr>
    </w:p>
    <w:p w14:paraId="773A8DC2"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A3BFA">
        <w:rPr>
          <w:rFonts w:eastAsia="Times New Roman"/>
          <w:kern w:val="0"/>
          <w:rtl/>
          <w:lang w:bidi="ar-JO"/>
          <w14:ligatures w14:val="none"/>
        </w:rPr>
        <w:t>ولا يعني هذا أن كل الباحثين الذين يتبنّون هذه النظرية يوافقون على كل الاستنتاجات السابقة، فهذه توكيدات عامّة.</w:t>
      </w:r>
    </w:p>
    <w:p w14:paraId="1C5D3D13"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A3BFA">
        <w:rPr>
          <w:rFonts w:eastAsia="Times New Roman"/>
          <w:kern w:val="0"/>
          <w:rtl/>
          <w:lang w:bidi="ar-JO"/>
          <w14:ligatures w14:val="none"/>
        </w:rPr>
        <w:t>نجد مثلاً على ذلك في موقف ناقد معاصر هو جيرهارد فون راد.  فبعد أن يقول بشكل قاطع إن سفر التثنية جاء من زمن يوشيّا، وكان من تأليف لاويين وكهنة معينين أرادوا أن يجعلوا الديانة القديمة والتقاليد الشرعية ذات صلة بعصرهم، فإنه يؤكد:</w:t>
      </w:r>
    </w:p>
    <w:p w14:paraId="3FFCB42E"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A3BFA">
        <w:rPr>
          <w:rFonts w:eastAsia="Times New Roman"/>
          <w:kern w:val="0"/>
          <w:rtl/>
          <w:lang w:bidi="ar-JO"/>
          <w14:ligatures w14:val="none"/>
        </w:rPr>
        <w:lastRenderedPageBreak/>
        <w:t>"إن المواعظ الموجودة في سفر التثنية موجَّهة إلى إسرائيل على شكل كلمات موسى، الذي صار الآن قريباً من الموت، عند وصولهم إلى أرض موآب... وتستمر هذه القصة الخيالية عبر كل سفر التثنية... لكنها قصة خيالية حقّاً.  وهذه المواعظ موجّهة في واقع الأمر إلى إسرائيل في الجزء التالي من الحكم الملكي."</w:t>
      </w:r>
      <w:r w:rsidRPr="000A3BFA">
        <w:rPr>
          <w:rFonts w:eastAsia="Times New Roman"/>
          <w:kern w:val="0"/>
          <w:vertAlign w:val="superscript"/>
          <w:rtl/>
          <w14:ligatures w14:val="none"/>
        </w:rPr>
        <w:footnoteReference w:id="247"/>
      </w:r>
    </w:p>
    <w:p w14:paraId="5C991DFA"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A3BFA">
        <w:rPr>
          <w:rFonts w:eastAsia="Times New Roman"/>
          <w:kern w:val="0"/>
          <w:rtl/>
          <w:lang w:bidi="ar-JO"/>
          <w14:ligatures w14:val="none"/>
        </w:rPr>
        <w:t>إن كان الكتاب المقدس كما يقول جيرهارد (مضلِّلاً عن قصد)، فكيف يمكن أن نصدّق أي شيء قاله؟ إن مصيرنا الأبدي معتمد على كتاب مقدس يمثل الحق المطلق! وكلامه نور لمن هم في ظلمة.</w:t>
      </w:r>
    </w:p>
    <w:p w14:paraId="791FF4C8" w14:textId="77777777" w:rsidR="00263246" w:rsidRPr="00C7130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szCs w:val="26"/>
          <w:rtl/>
          <w:lang w:bidi="ar-JO"/>
          <w14:ligatures w14:val="none"/>
        </w:rPr>
      </w:pPr>
    </w:p>
    <w:p w14:paraId="59FE8B40" w14:textId="77777777" w:rsidR="00263246" w:rsidRPr="00C7130A" w:rsidRDefault="00263246" w:rsidP="000558B7">
      <w:pPr>
        <w:pStyle w:val="Heading3"/>
        <w:rPr>
          <w:rtl/>
          <w:lang w:bidi="ar-JO"/>
        </w:rPr>
      </w:pPr>
      <w:bookmarkStart w:id="448" w:name="_Toc193031176"/>
      <w:r w:rsidRPr="00C7130A">
        <w:rPr>
          <w:rtl/>
          <w:lang w:bidi="ar-JO"/>
        </w:rPr>
        <w:t>6.</w:t>
      </w:r>
      <w:r w:rsidRPr="00C7130A">
        <w:rPr>
          <w:rtl/>
          <w:lang w:bidi="ar-JO"/>
        </w:rPr>
        <w:tab/>
        <w:t>موسى كاتباً للأسفار الخمسة</w:t>
      </w:r>
      <w:bookmarkEnd w:id="448"/>
    </w:p>
    <w:p w14:paraId="1530F3FD"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A3BFA">
        <w:rPr>
          <w:rFonts w:eastAsia="Times New Roman"/>
          <w:kern w:val="0"/>
          <w:rtl/>
          <w:lang w:bidi="ar-JO"/>
          <w14:ligatures w14:val="none"/>
        </w:rPr>
        <w:t>يلقى تأليف موسى للأسفار الخمسة تأييداً من شهادة الكتاب المقدس نفسه والدليل الداخلي للأسفار.</w:t>
      </w:r>
      <w:r w:rsidRPr="000A3BFA">
        <w:rPr>
          <w:rFonts w:eastAsia="Times New Roman"/>
          <w:kern w:val="0"/>
          <w:vertAlign w:val="superscript"/>
          <w:rtl/>
          <w:lang w:bidi="ar-JO"/>
          <w14:ligatures w14:val="none"/>
        </w:rPr>
        <w:footnoteReference w:id="248"/>
      </w:r>
    </w:p>
    <w:p w14:paraId="120CED4E"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14:ligatures w14:val="none"/>
        </w:rPr>
      </w:pPr>
    </w:p>
    <w:p w14:paraId="14F88C40" w14:textId="77777777" w:rsidR="00263246" w:rsidRPr="000A3BFA" w:rsidRDefault="00263246" w:rsidP="00C7130A">
      <w:pPr>
        <w:tabs>
          <w:tab w:val="left" w:pos="454"/>
        </w:tabs>
        <w:spacing w:after="60"/>
        <w:ind w:left="550" w:hanging="550"/>
        <w:jc w:val="both"/>
        <w:rPr>
          <w:rFonts w:eastAsia="Times New Roman"/>
          <w:bCs/>
          <w:kern w:val="0"/>
          <w:rtl/>
          <w14:ligatures w14:val="none"/>
        </w:rPr>
      </w:pPr>
      <w:r w:rsidRPr="000A3BFA">
        <w:rPr>
          <w:rFonts w:eastAsia="Times New Roman"/>
          <w:bCs/>
          <w:kern w:val="0"/>
          <w:rtl/>
          <w14:ligatures w14:val="none"/>
        </w:rPr>
        <w:t>أ.</w:t>
      </w:r>
      <w:r w:rsidRPr="000A3BFA">
        <w:rPr>
          <w:rFonts w:eastAsia="Times New Roman"/>
          <w:bCs/>
          <w:kern w:val="0"/>
          <w:rtl/>
          <w14:ligatures w14:val="none"/>
        </w:rPr>
        <w:tab/>
        <w:t>شهادة الكتاب المقدس</w:t>
      </w:r>
    </w:p>
    <w:p w14:paraId="1E292E98" w14:textId="77777777" w:rsidR="00263246" w:rsidRPr="000A3BF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A3BFA">
        <w:rPr>
          <w:rFonts w:eastAsia="Times New Roman"/>
          <w:kern w:val="0"/>
          <w:rtl/>
          <w:lang w:bidi="ar-JO"/>
          <w14:ligatures w14:val="none"/>
        </w:rPr>
        <w:t>1.</w:t>
      </w:r>
      <w:r w:rsidRPr="000A3BFA">
        <w:rPr>
          <w:rFonts w:eastAsia="Times New Roman"/>
          <w:kern w:val="0"/>
          <w:rtl/>
          <w:lang w:bidi="ar-JO"/>
          <w14:ligatures w14:val="none"/>
        </w:rPr>
        <w:tab/>
        <w:t xml:space="preserve">من الأسفار الخمسة </w:t>
      </w:r>
    </w:p>
    <w:p w14:paraId="2CED51AA"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A3BFA">
        <w:rPr>
          <w:rFonts w:eastAsia="Times New Roman"/>
          <w:kern w:val="0"/>
          <w:rtl/>
          <w:lang w:bidi="ar-JO"/>
          <w14:ligatures w14:val="none"/>
        </w:rPr>
        <w:t>نقرأ في تثنية 31: 9: "وكتب موسى هذه التوراة وسلّمها للكهنة بني لاوي." وتأتي شهادات أخرى من خروج 17: 14؛ 24: 4؛ 34: 27؛ عدد 33: 1-2؛ يشوع 8: 31-32؛ 1ملوك 2: 3؛ 2ملوك 14: 6؛ 21: 8؛ عزرا 6: 18؛ نحميا 13: 1؛ دانيال 9: 11-13؛ ملاخي 4: 4.</w:t>
      </w:r>
    </w:p>
    <w:p w14:paraId="10D73287"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p>
    <w:p w14:paraId="2ABA184C" w14:textId="77777777" w:rsidR="00263246" w:rsidRPr="000A3BF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A3BFA">
        <w:rPr>
          <w:rFonts w:eastAsia="Times New Roman"/>
          <w:kern w:val="0"/>
          <w:rtl/>
          <w:lang w:bidi="ar-JO"/>
          <w14:ligatures w14:val="none"/>
        </w:rPr>
        <w:t>2.</w:t>
      </w:r>
      <w:r w:rsidRPr="000A3BFA">
        <w:rPr>
          <w:rFonts w:eastAsia="Times New Roman"/>
          <w:kern w:val="0"/>
          <w:rtl/>
          <w:lang w:bidi="ar-JO"/>
          <w14:ligatures w14:val="none"/>
        </w:rPr>
        <w:tab/>
        <w:t>من العهد الجديد</w:t>
      </w:r>
    </w:p>
    <w:p w14:paraId="4042D860"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A3BFA">
        <w:rPr>
          <w:rFonts w:eastAsia="Times New Roman"/>
          <w:kern w:val="0"/>
          <w:rtl/>
          <w:lang w:bidi="ar-JO"/>
          <w14:ligatures w14:val="none"/>
        </w:rPr>
        <w:t>أكّد الرب يسوع المسيح نفسه أن موسى هو كاتبِ التوراة عندما قال في يوحنا 5: 46-47: "لأنكم لو كنتم تصدّقون موسى لكنتم تصدّقونني، لأنه هو كتب عنّي.  فإن كنتم لا تصدّقون كُتب ذاك، فكيف تصدّقون كلامي."  ونجد مزيداً من التأييد لهذه الحقيقة في متّى 19: 8؛ يوحنا 7: 19؛ أعمال 3: 22؛ رومية 10: 5؛ مرقس 12: 26.</w:t>
      </w:r>
    </w:p>
    <w:p w14:paraId="5F73C0A0"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p>
    <w:p w14:paraId="76B1AD96" w14:textId="77777777" w:rsidR="00263246" w:rsidRPr="000A3BFA" w:rsidRDefault="00263246" w:rsidP="00C7130A">
      <w:pPr>
        <w:tabs>
          <w:tab w:val="left" w:pos="454"/>
        </w:tabs>
        <w:spacing w:after="60"/>
        <w:ind w:left="550" w:hanging="550"/>
        <w:jc w:val="both"/>
        <w:rPr>
          <w:rFonts w:eastAsia="Times New Roman"/>
          <w:bCs/>
          <w:kern w:val="0"/>
          <w:rtl/>
          <w14:ligatures w14:val="none"/>
        </w:rPr>
      </w:pPr>
      <w:r w:rsidRPr="000A3BFA">
        <w:rPr>
          <w:rFonts w:eastAsia="Times New Roman"/>
          <w:bCs/>
          <w:kern w:val="0"/>
          <w:rtl/>
          <w14:ligatures w14:val="none"/>
        </w:rPr>
        <w:t>ب.</w:t>
      </w:r>
      <w:r w:rsidRPr="000A3BFA">
        <w:rPr>
          <w:rFonts w:eastAsia="Times New Roman"/>
          <w:bCs/>
          <w:kern w:val="0"/>
          <w:rtl/>
          <w14:ligatures w14:val="none"/>
        </w:rPr>
        <w:tab/>
        <w:t xml:space="preserve">براهين داخلية </w:t>
      </w:r>
    </w:p>
    <w:p w14:paraId="195D502D" w14:textId="77777777" w:rsidR="00263246" w:rsidRPr="000A3BF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A3BFA">
        <w:rPr>
          <w:rFonts w:eastAsia="Times New Roman"/>
          <w:kern w:val="0"/>
          <w:rtl/>
          <w:lang w:bidi="ar-JO"/>
          <w14:ligatures w14:val="none"/>
        </w:rPr>
        <w:t>1.</w:t>
      </w:r>
      <w:r w:rsidRPr="000A3BFA">
        <w:rPr>
          <w:rFonts w:eastAsia="Times New Roman"/>
          <w:kern w:val="0"/>
          <w:rtl/>
          <w:lang w:bidi="ar-JO"/>
          <w14:ligatures w14:val="none"/>
        </w:rPr>
        <w:tab/>
        <w:t>نجد تفاصيل لا يذكرها إلاّ شهود عيان كتلك الموجودة في خروج 15: 27 التي يذكر فيها الكاتب عدد الينابيع وأشجار المخيل بدقّة (انظر عدد 11: 7-8).</w:t>
      </w:r>
    </w:p>
    <w:p w14:paraId="2BD98B6A" w14:textId="77777777" w:rsidR="00263246" w:rsidRPr="000A3BF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A3BFA">
        <w:rPr>
          <w:rFonts w:eastAsia="Times New Roman"/>
          <w:kern w:val="0"/>
          <w:rtl/>
          <w:lang w:bidi="ar-JO"/>
          <w14:ligatures w14:val="none"/>
        </w:rPr>
        <w:lastRenderedPageBreak/>
        <w:t>2.</w:t>
      </w:r>
      <w:r w:rsidRPr="000A3BFA">
        <w:rPr>
          <w:rFonts w:eastAsia="Times New Roman"/>
          <w:kern w:val="0"/>
          <w:rtl/>
          <w:lang w:bidi="ar-JO"/>
          <w14:ligatures w14:val="none"/>
        </w:rPr>
        <w:tab/>
        <w:t>يبيّن كاتب سفري التكوين والخروج معرفة دقيقة بمصر، مثل معرفته بالأسماء المصرية مثل "أُون" بصفتها الاسم المحلّي لمدينة هيلبوبوليس).  وفضلاً عن ذلك، فإنه يستخدم نسبة من الكلمة المصرية أكبر من أي موضع آخر في العهد القديم.  ويكشف اطلاعه على حياة البلاط والعبادات معرفةً بالثقافة المصرية.</w:t>
      </w:r>
    </w:p>
    <w:p w14:paraId="53C63CC5" w14:textId="77777777" w:rsidR="00263246" w:rsidRPr="000A3BF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A3BFA">
        <w:rPr>
          <w:rFonts w:eastAsia="Times New Roman"/>
          <w:kern w:val="0"/>
          <w:rtl/>
          <w:lang w:bidi="ar-JO"/>
          <w14:ligatures w14:val="none"/>
        </w:rPr>
        <w:t>3.</w:t>
      </w:r>
      <w:r w:rsidRPr="000A3BFA">
        <w:rPr>
          <w:rFonts w:eastAsia="Times New Roman"/>
          <w:kern w:val="0"/>
          <w:rtl/>
          <w:lang w:bidi="ar-JO"/>
          <w14:ligatures w14:val="none"/>
        </w:rPr>
        <w:tab/>
        <w:t>يكشف الكاتب نظرة أجنبية في ما يتعلق بأرض كنعان.  فالفصول والمناخ المعبَّر عنها في الرواية مصرية لا فلسطينية.  فالإشارات إلى الأشجار والحيوانات والجلود هي في الغالب إلى تلك غير الموجودة في فلسطين.  وتكشف الإشارات الجغرافية معرفة الكاتب الكاملة بمصر وسيناء.</w:t>
      </w:r>
    </w:p>
    <w:p w14:paraId="7716348B" w14:textId="572C0D51" w:rsidR="00263246" w:rsidRPr="000A3BFA" w:rsidRDefault="00263246" w:rsidP="00C7130A">
      <w:pPr>
        <w:tabs>
          <w:tab w:val="left" w:pos="454"/>
          <w:tab w:val="left" w:pos="550"/>
          <w:tab w:val="left" w:pos="1100"/>
          <w:tab w:val="left" w:pos="1650"/>
          <w:tab w:val="left" w:pos="2200"/>
          <w:tab w:val="left" w:pos="2750"/>
          <w:tab w:val="left" w:pos="3300"/>
          <w:tab w:val="left" w:pos="3850"/>
          <w:tab w:val="left" w:pos="4400"/>
        </w:tabs>
        <w:ind w:left="1004" w:hanging="550"/>
        <w:jc w:val="both"/>
        <w:rPr>
          <w:rFonts w:eastAsia="Times New Roman"/>
          <w:kern w:val="0"/>
          <w:rtl/>
          <w:lang w:bidi="ar-JO"/>
          <w14:ligatures w14:val="none"/>
        </w:rPr>
      </w:pPr>
      <w:r w:rsidRPr="000A3BFA">
        <w:rPr>
          <w:rFonts w:eastAsia="Times New Roman"/>
          <w:kern w:val="0"/>
          <w:rtl/>
          <w:lang w:bidi="ar-JO"/>
          <w14:ligatures w14:val="none"/>
        </w:rPr>
        <w:t>4.</w:t>
      </w:r>
      <w:r w:rsidRPr="000A3BFA">
        <w:rPr>
          <w:rFonts w:eastAsia="Times New Roman"/>
          <w:kern w:val="0"/>
          <w:rtl/>
          <w:lang w:bidi="ar-JO"/>
          <w14:ligatures w14:val="none"/>
        </w:rPr>
        <w:tab/>
        <w:t xml:space="preserve">لا يخطئ قارئ سفري الخروج والعدد في وصف مناخ الحياة الصحراوية (وهو الأمر الذي سيكون بعيد الاحتمال لو أن هذه الأسفار كُتبت بعد ألف سنة من تاريخها الفعلي كما اقترح ولهاوسن).  وإن تصميم المخيم ليس أمراً ذا بال بالنسبة لأشخاص مستقرّين في الأرض.  وهنالك تفاصيل أخرى حول أمور مثل الأسلوب الدقيق للمسير والتعليمات الصحية تعكس اهتماماً موجَّهاً </w:t>
      </w:r>
      <w:r w:rsidR="00E217D9" w:rsidRPr="000A3BFA">
        <w:rPr>
          <w:rFonts w:eastAsia="Times New Roman" w:hint="cs"/>
          <w:kern w:val="0"/>
          <w:rtl/>
          <w:lang w:bidi="ar-JO"/>
          <w14:ligatures w14:val="none"/>
        </w:rPr>
        <w:t>بالفعل لحياة</w:t>
      </w:r>
      <w:r w:rsidRPr="000A3BFA">
        <w:rPr>
          <w:rFonts w:eastAsia="Times New Roman"/>
          <w:kern w:val="0"/>
          <w:rtl/>
          <w:lang w:bidi="ar-JO"/>
          <w14:ligatures w14:val="none"/>
        </w:rPr>
        <w:t xml:space="preserve"> الصحراء.</w:t>
      </w:r>
    </w:p>
    <w:p w14:paraId="29EAB6AD"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1021"/>
        <w:jc w:val="both"/>
        <w:rPr>
          <w:rFonts w:eastAsia="Times New Roman"/>
          <w:kern w:val="0"/>
          <w:rtl/>
          <w:lang w:bidi="ar-JO"/>
          <w14:ligatures w14:val="none"/>
        </w:rPr>
      </w:pPr>
      <w:r w:rsidRPr="000A3BFA">
        <w:rPr>
          <w:rFonts w:eastAsia="Times New Roman"/>
          <w:kern w:val="0"/>
          <w:rtl/>
          <w:lang w:bidi="ar-JO"/>
          <w14:ligatures w14:val="none"/>
        </w:rPr>
        <w:t xml:space="preserve">لنقاش أكثر شمولاً لهذا الموضوع، انظر </w:t>
      </w:r>
      <w:r w:rsidRPr="000A3BFA">
        <w:rPr>
          <w:rFonts w:eastAsia="Times New Roman"/>
          <w:kern w:val="0"/>
          <w:lang w:bidi="ar-JO"/>
          <w14:ligatures w14:val="none"/>
        </w:rPr>
        <w:t xml:space="preserve">Gleason Archer’s </w:t>
      </w:r>
      <w:r w:rsidRPr="000A3BFA">
        <w:rPr>
          <w:rFonts w:eastAsia="Times New Roman"/>
          <w:i/>
          <w:iCs/>
          <w:kern w:val="0"/>
          <w:lang w:bidi="ar-JO"/>
          <w14:ligatures w14:val="none"/>
        </w:rPr>
        <w:t>Survey of Old Testament Introduction</w:t>
      </w:r>
      <w:r w:rsidRPr="000A3BFA">
        <w:rPr>
          <w:rFonts w:eastAsia="Times New Roman"/>
          <w:kern w:val="0"/>
          <w:lang w:bidi="ar-JO"/>
          <w14:ligatures w14:val="none"/>
        </w:rPr>
        <w:t>, pp 109-118</w:t>
      </w:r>
      <w:r w:rsidRPr="000A3BFA">
        <w:rPr>
          <w:rFonts w:eastAsia="Times New Roman"/>
          <w:kern w:val="0"/>
          <w:rtl/>
          <w:lang w:bidi="ar-JO"/>
          <w14:ligatures w14:val="none"/>
        </w:rPr>
        <w:t>.</w:t>
      </w:r>
    </w:p>
    <w:p w14:paraId="2C6EE031" w14:textId="77777777" w:rsidR="00263246" w:rsidRPr="00C7130A" w:rsidRDefault="00263246" w:rsidP="000558B7">
      <w:pPr>
        <w:pStyle w:val="Heading3"/>
        <w:rPr>
          <w:rtl/>
          <w:lang w:bidi="ar-JO"/>
        </w:rPr>
      </w:pPr>
      <w:bookmarkStart w:id="449" w:name="_Toc193031177"/>
      <w:r w:rsidRPr="00C7130A">
        <w:rPr>
          <w:rtl/>
          <w:lang w:bidi="ar-JO"/>
        </w:rPr>
        <w:t>7.</w:t>
      </w:r>
      <w:r w:rsidRPr="00C7130A">
        <w:rPr>
          <w:rtl/>
          <w:lang w:bidi="ar-JO"/>
        </w:rPr>
        <w:tab/>
        <w:t>خلاصة</w:t>
      </w:r>
      <w:bookmarkEnd w:id="449"/>
    </w:p>
    <w:p w14:paraId="349B8D5F" w14:textId="77777777" w:rsidR="00263246" w:rsidRPr="000A3BFA" w:rsidRDefault="00263246" w:rsidP="00C7130A">
      <w:pPr>
        <w:tabs>
          <w:tab w:val="left" w:pos="550"/>
          <w:tab w:val="left" w:pos="1100"/>
          <w:tab w:val="left" w:pos="1650"/>
          <w:tab w:val="left" w:pos="2200"/>
          <w:tab w:val="left" w:pos="2750"/>
          <w:tab w:val="left" w:pos="3300"/>
          <w:tab w:val="left" w:pos="3850"/>
          <w:tab w:val="left" w:pos="4400"/>
        </w:tabs>
        <w:ind w:left="454"/>
        <w:jc w:val="both"/>
        <w:rPr>
          <w:rFonts w:eastAsia="Times New Roman"/>
          <w:kern w:val="0"/>
          <w:rtl/>
          <w:lang w:bidi="ar-JO"/>
          <w14:ligatures w14:val="none"/>
        </w:rPr>
      </w:pPr>
      <w:r w:rsidRPr="000A3BFA">
        <w:rPr>
          <w:rFonts w:eastAsia="Times New Roman"/>
          <w:kern w:val="0"/>
          <w:rtl/>
          <w:lang w:bidi="ar-JO"/>
          <w14:ligatures w14:val="none"/>
        </w:rPr>
        <w:t xml:space="preserve">تمثّل نظرية </w:t>
      </w:r>
      <w:r w:rsidRPr="000A3BFA">
        <w:rPr>
          <w:rFonts w:eastAsia="Times New Roman"/>
          <w:kern w:val="0"/>
          <w14:ligatures w14:val="none"/>
        </w:rPr>
        <w:t>JEDP</w:t>
      </w:r>
      <w:r w:rsidRPr="000A3BFA">
        <w:rPr>
          <w:rFonts w:eastAsia="Times New Roman"/>
          <w:kern w:val="0"/>
          <w:rtl/>
          <w:lang w:bidi="ar-JO"/>
          <w14:ligatures w14:val="none"/>
        </w:rPr>
        <w:t xml:space="preserve"> (ي إ ت ك) محاولة من الباحثين المتحررين لنسف سلطة كلمة الله، بالرغم من محاولتهم الظهور بمظهر من يتبع الوسائل العلمية في البحث.  ليس خطأ أن يحاول المرء أن يتحرّى أصل الكتاب المقدّس وأن يحلّله، لكنَّ مقاومة المعنى البسيط العادي لكلمة الله بتبنّي نظرية لا تخرج في أحسن الأحوال عن كونها تكهّنية هو تمرّد على نفس كلمة الله التي أُعطيت للإنسان لكي لا يبقى في الظلمة. </w:t>
      </w:r>
    </w:p>
    <w:p w14:paraId="4E2E66DF" w14:textId="421948C4" w:rsidR="00263246" w:rsidRPr="000A3BFA" w:rsidRDefault="00263246" w:rsidP="00C7130A">
      <w:pPr>
        <w:rPr>
          <w:rFonts w:eastAsia="Times New Roman"/>
          <w:kern w:val="0"/>
          <w:rtl/>
          <w:lang w:bidi="ar-JO"/>
          <w14:ligatures w14:val="none"/>
        </w:rPr>
      </w:pPr>
    </w:p>
    <w:p w14:paraId="1E2C5629" w14:textId="67AD1C06" w:rsidR="00BD4CB3" w:rsidRPr="000A3BFA" w:rsidRDefault="00BD4CB3" w:rsidP="00C7130A">
      <w:pPr>
        <w:tabs>
          <w:tab w:val="left" w:pos="547"/>
          <w:tab w:val="left" w:pos="1094"/>
          <w:tab w:val="left" w:pos="1642"/>
          <w:tab w:val="left" w:pos="2189"/>
          <w:tab w:val="left" w:pos="2736"/>
          <w:tab w:val="left" w:pos="3283"/>
          <w:tab w:val="left" w:pos="3830"/>
          <w:tab w:val="left" w:pos="4378"/>
        </w:tabs>
        <w:spacing w:after="120"/>
        <w:jc w:val="both"/>
        <w:rPr>
          <w:rFonts w:eastAsia="Times New Roman"/>
          <w:b/>
          <w:kern w:val="0"/>
          <w:rtl/>
          <w14:ligatures w14:val="none"/>
        </w:rPr>
      </w:pPr>
      <w:bookmarkStart w:id="450" w:name="_Hlk178779576"/>
      <w:r w:rsidRPr="000A3BFA">
        <w:rPr>
          <w:rFonts w:eastAsia="Times New Roman"/>
          <w:b/>
          <w:kern w:val="0"/>
          <w:rtl/>
          <w14:ligatures w14:val="none"/>
        </w:rPr>
        <w:t xml:space="preserve">لدينا </w:t>
      </w:r>
      <w:r w:rsidR="003A1CED" w:rsidRPr="000A3BFA">
        <w:rPr>
          <w:rFonts w:eastAsia="Times New Roman"/>
          <w:b/>
          <w:kern w:val="0"/>
          <w:rtl/>
          <w14:ligatures w14:val="none"/>
        </w:rPr>
        <w:t xml:space="preserve">الحقّ </w:t>
      </w:r>
      <w:r w:rsidRPr="000A3BFA">
        <w:rPr>
          <w:rFonts w:eastAsia="Times New Roman"/>
          <w:b/>
          <w:kern w:val="0"/>
          <w:rtl/>
          <w14:ligatures w14:val="none"/>
        </w:rPr>
        <w:t>في الكتاب المُقدَّس الذي يستحق كل</w:t>
      </w:r>
      <w:r w:rsidR="003A1CED" w:rsidRPr="000A3BFA">
        <w:rPr>
          <w:rFonts w:eastAsia="Times New Roman"/>
          <w:b/>
          <w:kern w:val="0"/>
          <w:rtl/>
          <w14:ligatures w14:val="none"/>
        </w:rPr>
        <w:t>ّ</w:t>
      </w:r>
      <w:r w:rsidRPr="000A3BFA">
        <w:rPr>
          <w:rFonts w:eastAsia="Times New Roman"/>
          <w:b/>
          <w:kern w:val="0"/>
          <w:rtl/>
          <w14:ligatures w14:val="none"/>
        </w:rPr>
        <w:t xml:space="preserve"> ثق</w:t>
      </w:r>
      <w:r w:rsidR="003A1CED" w:rsidRPr="000A3BFA">
        <w:rPr>
          <w:rFonts w:eastAsia="Times New Roman"/>
          <w:b/>
          <w:kern w:val="0"/>
          <w:rtl/>
          <w14:ligatures w14:val="none"/>
        </w:rPr>
        <w:t>تنا</w:t>
      </w:r>
      <w:r w:rsidRPr="000A3BFA">
        <w:rPr>
          <w:rFonts w:eastAsia="Times New Roman"/>
          <w:b/>
          <w:kern w:val="0"/>
          <w:rtl/>
          <w14:ligatures w14:val="none"/>
        </w:rPr>
        <w:t xml:space="preserve"> بوصفه كلمة الله الموحى بها والكافية لكلّ معرفةٍ لازمة لدينا من أجل أن نعرف الله ونسلك في طرقه فيما ننتظر عودة ربنا يسوع </w:t>
      </w:r>
      <w:r w:rsidR="0087706E" w:rsidRPr="000A3BFA">
        <w:rPr>
          <w:rFonts w:eastAsia="Times New Roman"/>
          <w:b/>
          <w:kern w:val="0"/>
          <w:rtl/>
          <w14:ligatures w14:val="none"/>
        </w:rPr>
        <w:t xml:space="preserve">ليُكمِل </w:t>
      </w:r>
      <w:r w:rsidR="00B36590" w:rsidRPr="000A3BFA">
        <w:rPr>
          <w:rFonts w:eastAsia="Times New Roman"/>
          <w:b/>
          <w:kern w:val="0"/>
          <w:rtl/>
          <w14:ligatures w14:val="none"/>
        </w:rPr>
        <w:t>و</w:t>
      </w:r>
      <w:r w:rsidRPr="000A3BFA">
        <w:rPr>
          <w:rFonts w:eastAsia="Times New Roman"/>
          <w:b/>
          <w:kern w:val="0"/>
          <w:rtl/>
          <w14:ligatures w14:val="none"/>
        </w:rPr>
        <w:t xml:space="preserve">ينهي هذا الدهر ويؤسِّس ملكوته على الأرض. </w:t>
      </w:r>
    </w:p>
    <w:bookmarkEnd w:id="442"/>
    <w:bookmarkEnd w:id="450"/>
    <w:p w14:paraId="5E228C81" w14:textId="77777777" w:rsidR="00E16BAB" w:rsidRPr="00C7130A" w:rsidRDefault="00E16BAB" w:rsidP="00C7130A">
      <w:pPr>
        <w:tabs>
          <w:tab w:val="left" w:pos="547"/>
          <w:tab w:val="left" w:pos="1094"/>
          <w:tab w:val="left" w:pos="1642"/>
          <w:tab w:val="left" w:pos="2189"/>
          <w:tab w:val="left" w:pos="2736"/>
          <w:tab w:val="left" w:pos="3283"/>
          <w:tab w:val="left" w:pos="3830"/>
          <w:tab w:val="left" w:pos="4378"/>
        </w:tabs>
        <w:spacing w:after="120"/>
        <w:jc w:val="both"/>
        <w:rPr>
          <w:rFonts w:eastAsia="Times New Roman"/>
          <w:kern w:val="0"/>
          <w:szCs w:val="24"/>
          <w14:ligatures w14:val="none"/>
        </w:rPr>
      </w:pPr>
    </w:p>
    <w:p w14:paraId="2C045E91" w14:textId="77777777" w:rsidR="005A6A45" w:rsidRPr="00C7130A" w:rsidRDefault="005A6A45" w:rsidP="00C7130A">
      <w:pPr>
        <w:pStyle w:val="BodyTextIndent"/>
        <w:rPr>
          <w:rFonts w:cs="Arabic Typesetting"/>
        </w:rPr>
      </w:pPr>
    </w:p>
    <w:sectPr w:rsidR="005A6A45" w:rsidRPr="00C7130A" w:rsidSect="00563D47">
      <w:footerReference w:type="even" r:id="rId96"/>
      <w:footerReference w:type="default" r:id="rId97"/>
      <w:pgSz w:w="12240" w:h="15840"/>
      <w:pgMar w:top="1440" w:right="1440" w:bottom="1440" w:left="1440" w:header="397" w:footer="397" w:gutter="0"/>
      <w:cols w:space="720"/>
      <w:docGrid w:linePitch="49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769E19" w14:textId="77777777" w:rsidR="00B22CD3" w:rsidRDefault="00B22CD3">
      <w:r>
        <w:separator/>
      </w:r>
    </w:p>
  </w:endnote>
  <w:endnote w:type="continuationSeparator" w:id="0">
    <w:p w14:paraId="1E39E754" w14:textId="77777777" w:rsidR="00B22CD3" w:rsidRDefault="00B22C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abic Typesetting">
    <w:panose1 w:val="03020402040406030203"/>
    <w:charset w:val="00"/>
    <w:family w:val="script"/>
    <w:pitch w:val="variable"/>
    <w:sig w:usb0="80002007" w:usb1="80000000" w:usb2="00000008" w:usb3="00000000" w:csb0="000000D3"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Ezra SIL">
    <w:panose1 w:val="02000400000000000000"/>
    <w:charset w:val="00"/>
    <w:family w:val="auto"/>
    <w:pitch w:val="variable"/>
    <w:sig w:usb0="00000803" w:usb1="40000000" w:usb2="00000000" w:usb3="00000000" w:csb0="00000021" w:csb1="00000000"/>
  </w:font>
  <w:font w:name="DecoType Naskh">
    <w:altName w:val="Arial"/>
    <w:charset w:val="B2"/>
    <w:family w:val="auto"/>
    <w:pitch w:val="variable"/>
    <w:sig w:usb0="00002001" w:usb1="80000000" w:usb2="00000008" w:usb3="00000000" w:csb0="00000040" w:csb1="00000000"/>
  </w:font>
  <w:font w:name="Traditional Arabic Backslanted">
    <w:altName w:val="Arial"/>
    <w:charset w:val="B2"/>
    <w:family w:val="auto"/>
    <w:pitch w:val="variable"/>
    <w:sig w:usb0="00002000" w:usb1="00000000" w:usb2="00000000" w:usb3="00000000" w:csb0="00000040" w:csb1="00000000"/>
  </w:font>
  <w:font w:name="Simplified Arabic">
    <w:panose1 w:val="02020603050405020304"/>
    <w:charset w:val="00"/>
    <w:family w:val="roman"/>
    <w:pitch w:val="variable"/>
    <w:sig w:usb0="00002003" w:usb1="80000000" w:usb2="00000008" w:usb3="00000000" w:csb0="00000041" w:csb1="00000000"/>
  </w:font>
  <w:font w:name="Aptos">
    <w:charset w:val="00"/>
    <w:family w:val="swiss"/>
    <w:pitch w:val="variable"/>
    <w:sig w:usb0="20000287" w:usb1="00000003" w:usb2="00000000" w:usb3="00000000" w:csb0="0000019F" w:csb1="00000000"/>
  </w:font>
  <w:font w:name="Hebrew">
    <w:panose1 w:val="020B0500000000000000"/>
    <w:charset w:val="00"/>
    <w:family w:val="swiss"/>
    <w:pitch w:val="variable"/>
    <w:sig w:usb0="00000003" w:usb1="00000000" w:usb2="00000000" w:usb3="00000000" w:csb0="00000001" w:csb1="00000000"/>
  </w:font>
  <w:font w:name="Traditional Arabic">
    <w:panose1 w:val="02020603050405020304"/>
    <w:charset w:val="00"/>
    <w:family w:val="roman"/>
    <w:pitch w:val="variable"/>
    <w:sig w:usb0="00002003" w:usb1="80000000" w:usb2="00000008" w:usb3="00000000" w:csb0="00000041" w:csb1="00000000"/>
  </w:font>
  <w:font w:name="Gentium">
    <w:panose1 w:val="02000503060000020004"/>
    <w:charset w:val="00"/>
    <w:family w:val="auto"/>
    <w:pitch w:val="variable"/>
    <w:sig w:usb0="E00000FF" w:usb1="00000003" w:usb2="00000000" w:usb3="00000000" w:csb0="0000001B" w:csb1="00000000"/>
  </w:font>
  <w:font w:name="Greek">
    <w:panose1 w:val="000004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haris SIL">
    <w:panose1 w:val="02000500060000020004"/>
    <w:charset w:val="00"/>
    <w:family w:val="auto"/>
    <w:pitch w:val="variable"/>
    <w:sig w:usb0="A00002FF" w:usb1="5200A1FF" w:usb2="02000009" w:usb3="00000000" w:csb0="00000197" w:csb1="00000000"/>
  </w:font>
  <w:font w:name="SBL Hebrew">
    <w:panose1 w:val="02000000000000000000"/>
    <w:charset w:val="00"/>
    <w:family w:val="auto"/>
    <w:pitch w:val="variable"/>
    <w:sig w:usb0="8000086F" w:usb1="4000204A" w:usb2="00000000" w:usb3="00000000" w:csb0="0000002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F0D957" w14:textId="61D8F1D0" w:rsidR="00B6510D" w:rsidRPr="00F14735" w:rsidRDefault="00563D47" w:rsidP="00C51F1D">
    <w:pPr>
      <w:pStyle w:val="Footer"/>
      <w:pBdr>
        <w:top w:val="single" w:sz="4" w:space="8" w:color="4472C4" w:themeColor="accent1"/>
      </w:pBdr>
      <w:tabs>
        <w:tab w:val="clear" w:pos="4680"/>
        <w:tab w:val="clear" w:pos="9360"/>
      </w:tabs>
      <w:spacing w:before="360"/>
      <w:contextualSpacing/>
      <w:rPr>
        <w:noProof/>
        <w:color w:val="404040" w:themeColor="text1" w:themeTint="BF"/>
        <w:lang w:bidi="ar-JO"/>
      </w:rPr>
    </w:pPr>
    <w:r>
      <w:rPr>
        <w:noProof/>
        <w:color w:val="404040" w:themeColor="text1" w:themeTint="BF"/>
        <w:rtl/>
        <w:lang w:bidi="ar-JO"/>
      </w:rPr>
      <w:fldChar w:fldCharType="begin"/>
    </w:r>
    <w:r>
      <w:rPr>
        <w:noProof/>
        <w:color w:val="404040" w:themeColor="text1" w:themeTint="BF"/>
        <w:rtl/>
        <w:lang w:bidi="ar-JO"/>
      </w:rPr>
      <w:instrText xml:space="preserve"> </w:instrText>
    </w:r>
    <w:r>
      <w:rPr>
        <w:rFonts w:hint="cs"/>
        <w:noProof/>
        <w:color w:val="404040" w:themeColor="text1" w:themeTint="BF"/>
        <w:lang w:bidi="ar-JO"/>
      </w:rPr>
      <w:instrText>STYLEREF  "Heading 2"  \* MERGEFORMAT</w:instrText>
    </w:r>
    <w:r>
      <w:rPr>
        <w:noProof/>
        <w:color w:val="404040" w:themeColor="text1" w:themeTint="BF"/>
        <w:rtl/>
        <w:lang w:bidi="ar-JO"/>
      </w:rPr>
      <w:instrText xml:space="preserve"> </w:instrText>
    </w:r>
    <w:r w:rsidR="00BE6E0E">
      <w:rPr>
        <w:noProof/>
        <w:color w:val="404040" w:themeColor="text1" w:themeTint="BF"/>
        <w:rtl/>
        <w:lang w:bidi="ar-JO"/>
      </w:rPr>
      <w:fldChar w:fldCharType="separate"/>
    </w:r>
    <w:r w:rsidR="00BE6E0E">
      <w:rPr>
        <w:noProof/>
        <w:color w:val="404040" w:themeColor="text1" w:themeTint="BF"/>
        <w:rtl/>
        <w:lang w:bidi="ar-JO"/>
      </w:rPr>
      <w:t>قائمة المحتويات</w:t>
    </w:r>
    <w:r>
      <w:rPr>
        <w:noProof/>
        <w:color w:val="404040" w:themeColor="text1" w:themeTint="BF"/>
        <w:rtl/>
        <w:lang w:bidi="ar-JO"/>
      </w:rPr>
      <w:fldChar w:fldCharType="end"/>
    </w:r>
    <w:r>
      <w:rPr>
        <w:rFonts w:hint="cs"/>
        <w:noProof/>
        <w:color w:val="404040" w:themeColor="text1" w:themeTint="BF"/>
        <w:rtl/>
        <w:lang w:bidi="ar-JO"/>
      </w:rPr>
      <w:t xml:space="preserve"> </w:t>
    </w:r>
    <w:r>
      <w:rPr>
        <w:noProof/>
        <w:color w:val="404040" w:themeColor="text1" w:themeTint="BF"/>
        <w:rtl/>
        <w:lang w:bidi="ar-JO"/>
      </w:rPr>
      <w:tab/>
    </w:r>
    <w:r>
      <w:rPr>
        <w:noProof/>
        <w:color w:val="404040" w:themeColor="text1" w:themeTint="BF"/>
        <w:rtl/>
        <w:lang w:bidi="ar-JO"/>
      </w:rPr>
      <w:ptab w:relativeTo="margin" w:alignment="center" w:leader="none"/>
    </w:r>
    <w:r>
      <w:rPr>
        <w:noProof/>
        <w:color w:val="404040" w:themeColor="text1" w:themeTint="BF"/>
        <w:rtl/>
        <w:lang w:bidi="ar-JO"/>
      </w:rPr>
      <w:tab/>
    </w:r>
    <w:r>
      <w:rPr>
        <w:noProof/>
        <w:color w:val="404040" w:themeColor="text1" w:themeTint="BF"/>
        <w:rtl/>
        <w:lang w:bidi="ar-JO"/>
      </w:rPr>
      <w:tab/>
    </w:r>
    <w:r>
      <w:rPr>
        <w:noProof/>
        <w:color w:val="404040" w:themeColor="text1" w:themeTint="BF"/>
        <w:rtl/>
        <w:lang w:bidi="ar-JO"/>
      </w:rPr>
      <w:tab/>
    </w:r>
    <w:r>
      <w:rPr>
        <w:noProof/>
        <w:color w:val="404040" w:themeColor="text1" w:themeTint="BF"/>
        <w:rtl/>
        <w:lang w:bidi="ar-JO"/>
      </w:rPr>
      <w:tab/>
    </w:r>
    <w:r>
      <w:rPr>
        <w:noProof/>
        <w:color w:val="404040" w:themeColor="text1" w:themeTint="BF"/>
        <w:rtl/>
        <w:lang w:bidi="ar-JO"/>
      </w:rPr>
      <w:tab/>
    </w:r>
    <w:r w:rsidR="0039373B">
      <w:rPr>
        <w:rFonts w:hint="cs"/>
        <w:noProof/>
        <w:color w:val="404040" w:themeColor="text1" w:themeTint="BF"/>
        <w:rtl/>
        <w:lang w:bidi="ar-JO"/>
      </w:rPr>
      <w:t xml:space="preserve">الصفحة </w:t>
    </w:r>
    <w:r w:rsidR="0039373B" w:rsidRPr="0039373B">
      <w:rPr>
        <w:noProof/>
        <w:color w:val="404040" w:themeColor="text1" w:themeTint="BF"/>
        <w:lang w:bidi="ar-JO"/>
      </w:rPr>
      <w:fldChar w:fldCharType="begin"/>
    </w:r>
    <w:r w:rsidR="0039373B" w:rsidRPr="0039373B">
      <w:rPr>
        <w:noProof/>
        <w:color w:val="404040" w:themeColor="text1" w:themeTint="BF"/>
        <w:lang w:bidi="ar-JO"/>
      </w:rPr>
      <w:instrText xml:space="preserve"> PAGE   \* MERGEFORMAT </w:instrText>
    </w:r>
    <w:r w:rsidR="0039373B" w:rsidRPr="0039373B">
      <w:rPr>
        <w:noProof/>
        <w:color w:val="404040" w:themeColor="text1" w:themeTint="BF"/>
        <w:lang w:bidi="ar-JO"/>
      </w:rPr>
      <w:fldChar w:fldCharType="separate"/>
    </w:r>
    <w:r w:rsidR="0039373B" w:rsidRPr="0039373B">
      <w:rPr>
        <w:noProof/>
        <w:color w:val="404040" w:themeColor="text1" w:themeTint="BF"/>
        <w:lang w:bidi="ar-JO"/>
      </w:rPr>
      <w:t>1</w:t>
    </w:r>
    <w:r w:rsidR="0039373B" w:rsidRPr="0039373B">
      <w:rPr>
        <w:noProof/>
        <w:color w:val="404040" w:themeColor="text1" w:themeTint="BF"/>
        <w:lang w:bidi="ar-J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tl/>
      </w:rPr>
      <w:id w:val="-1976829696"/>
      <w:docPartObj>
        <w:docPartGallery w:val="Page Numbers (Bottom of Page)"/>
        <w:docPartUnique/>
      </w:docPartObj>
    </w:sdtPr>
    <w:sdtEndPr>
      <w:rPr>
        <w:noProof/>
      </w:rPr>
    </w:sdtEndPr>
    <w:sdtContent>
      <w:p w14:paraId="767C3DBD" w14:textId="0408F1D1" w:rsidR="009C544F" w:rsidRDefault="00563D47">
        <w:pPr>
          <w:pStyle w:val="Footer"/>
          <w:jc w:val="right"/>
        </w:pPr>
        <w:r>
          <w:rPr>
            <w:rFonts w:hint="cs"/>
            <w:rtl/>
          </w:rPr>
          <w:t xml:space="preserve">الصفحة </w:t>
        </w:r>
        <w:r w:rsidR="009C544F">
          <w:fldChar w:fldCharType="begin"/>
        </w:r>
        <w:r w:rsidR="009C544F">
          <w:instrText xml:space="preserve"> PAGE   \* MERGEFORMAT </w:instrText>
        </w:r>
        <w:r w:rsidR="009C544F">
          <w:fldChar w:fldCharType="separate"/>
        </w:r>
        <w:r w:rsidR="009C544F">
          <w:rPr>
            <w:noProof/>
          </w:rPr>
          <w:t>2</w:t>
        </w:r>
        <w:r w:rsidR="009C544F">
          <w:rPr>
            <w:noProof/>
          </w:rPr>
          <w:fldChar w:fldCharType="end"/>
        </w:r>
      </w:p>
    </w:sdtContent>
  </w:sdt>
  <w:p w14:paraId="5753586F" w14:textId="00DB41E9" w:rsidR="00B6510D" w:rsidRPr="009C544F" w:rsidRDefault="00B6510D" w:rsidP="00A17250">
    <w:pPr>
      <w:pStyle w:val="Footer"/>
      <w:pBdr>
        <w:top w:val="single" w:sz="4" w:space="8" w:color="4472C4" w:themeColor="accent1"/>
      </w:pBdr>
      <w:tabs>
        <w:tab w:val="clear" w:pos="4680"/>
        <w:tab w:val="clear" w:pos="9360"/>
      </w:tabs>
      <w:spacing w:before="360"/>
      <w:contextualSpacing/>
      <w:rPr>
        <w:noProof/>
        <w:color w:val="404040" w:themeColor="text1" w:themeTint="BF"/>
        <w:sz w:val="32"/>
        <w:szCs w:val="32"/>
        <w:rtl/>
        <w:lang w:bidi="ar-JO"/>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991DB0" w14:textId="77777777" w:rsidR="00B22CD3" w:rsidRPr="007E6EB4" w:rsidRDefault="00B22CD3">
      <w:pPr>
        <w:rPr>
          <w:color w:val="000000" w:themeColor="text1"/>
        </w:rPr>
      </w:pPr>
      <w:r w:rsidRPr="007E6EB4">
        <w:rPr>
          <w:color w:val="000000" w:themeColor="text1"/>
        </w:rPr>
        <w:separator/>
      </w:r>
    </w:p>
  </w:footnote>
  <w:footnote w:type="continuationSeparator" w:id="0">
    <w:p w14:paraId="65700A40" w14:textId="77777777" w:rsidR="00B22CD3" w:rsidRDefault="00B22CD3">
      <w:r>
        <w:continuationSeparator/>
      </w:r>
    </w:p>
  </w:footnote>
  <w:footnote w:id="1">
    <w:p w14:paraId="5E47F94A" w14:textId="780AFA9D" w:rsidR="00E9703D" w:rsidRPr="00E9703D" w:rsidRDefault="00E9703D" w:rsidP="00E9703D">
      <w:pPr>
        <w:pStyle w:val="FootnoteText"/>
        <w:rPr>
          <w:rtl/>
          <w:lang w:bidi="ar-JO"/>
        </w:rPr>
      </w:pPr>
      <w:r>
        <w:rPr>
          <w:rStyle w:val="FootnoteReference"/>
        </w:rPr>
        <w:footnoteRef/>
      </w:r>
      <w:r>
        <w:t xml:space="preserve"> </w:t>
      </w:r>
      <w:r>
        <w:rPr>
          <w:rFonts w:hint="cs"/>
          <w:rtl/>
          <w:lang w:bidi="ar-JO"/>
        </w:rPr>
        <w:t xml:space="preserve">للاطّلاع على محاججة تؤيّد تواريخ الترجمة السبعينيّة لسفر التكوين 5 و11، انظر </w:t>
      </w:r>
      <w:r w:rsidR="00835AEB" w:rsidRPr="00E073B6">
        <w:t>Henry B. Smith, Jr., “</w:t>
      </w:r>
      <w:hyperlink r:id="rId1" w:tgtFrame="_blank" w:history="1">
        <w:r w:rsidR="00835AEB" w:rsidRPr="00E073B6">
          <w:rPr>
            <w:rStyle w:val="Hyperlink1"/>
            <w:color w:val="auto"/>
          </w:rPr>
          <w:t>The Case for the Septuagint’s Chronology in Genesis 5 and 11</w:t>
        </w:r>
      </w:hyperlink>
      <w:r w:rsidR="00835AEB" w:rsidRPr="00E073B6">
        <w:t xml:space="preserve">,” in </w:t>
      </w:r>
      <w:r w:rsidR="00835AEB" w:rsidRPr="00E073B6">
        <w:rPr>
          <w:i/>
          <w:iCs/>
        </w:rPr>
        <w:t>Proceedings of the Eighth International Conference on Creationism</w:t>
      </w:r>
      <w:r w:rsidR="00835AEB" w:rsidRPr="00E073B6">
        <w:t>, ed. J.H. Whitmore, 117–132 (Pittsburgh, Pennsylvania: Creation Science Fellowship, 2018)</w:t>
      </w:r>
      <w:r>
        <w:rPr>
          <w:rFonts w:hint="cs"/>
          <w:rtl/>
          <w:lang w:bidi="ar-JO"/>
        </w:rPr>
        <w:t>.</w:t>
      </w:r>
    </w:p>
  </w:footnote>
  <w:footnote w:id="2">
    <w:p w14:paraId="1C3380BA" w14:textId="77777777" w:rsidR="00C252DA" w:rsidRDefault="00C252DA" w:rsidP="00C252DA">
      <w:pPr>
        <w:pStyle w:val="FootnoteTxtNewParag"/>
        <w:bidi w:val="0"/>
      </w:pPr>
      <w:r>
        <w:rPr>
          <w:rStyle w:val="FootnoteReference"/>
          <w:rFonts w:hint="cs"/>
          <w:sz w:val="26"/>
          <w:szCs w:val="24"/>
          <w:rtl/>
        </w:rPr>
        <w:t>1</w:t>
      </w:r>
      <w:r>
        <w:rPr>
          <w:rFonts w:hint="cs"/>
          <w:sz w:val="22"/>
          <w:rtl/>
        </w:rPr>
        <w:t xml:space="preserve"> </w:t>
      </w:r>
      <w:r>
        <w:t>Allen Ross, “The Nature of Genesis,” (class lecture notes, Dallas Seminary, 1979), 23</w:t>
      </w:r>
    </w:p>
  </w:footnote>
  <w:footnote w:id="3">
    <w:p w14:paraId="7EDE12BE" w14:textId="77777777" w:rsidR="00C252DA" w:rsidRDefault="00C252DA" w:rsidP="00C252DA">
      <w:pPr>
        <w:pStyle w:val="FootnoteTxtNewParag"/>
        <w:rPr>
          <w:rtl/>
        </w:rPr>
      </w:pPr>
      <w:r>
        <w:rPr>
          <w:rStyle w:val="FootnoteReference"/>
          <w:rFonts w:hint="cs"/>
          <w:sz w:val="26"/>
          <w:szCs w:val="24"/>
          <w:rtl/>
        </w:rPr>
        <w:t>2</w:t>
      </w:r>
      <w:r>
        <w:rPr>
          <w:rFonts w:hint="cs"/>
          <w:rtl/>
        </w:rPr>
        <w:t xml:space="preserve"> ملاحظة صفّية، كلية دالاس للاهوت، 1976.</w:t>
      </w:r>
    </w:p>
  </w:footnote>
  <w:footnote w:id="4">
    <w:p w14:paraId="2882058D" w14:textId="77777777" w:rsidR="00C252DA" w:rsidRDefault="00C252DA" w:rsidP="00C252DA">
      <w:pPr>
        <w:pStyle w:val="FootnoteTxtNewParag"/>
        <w:bidi w:val="0"/>
      </w:pPr>
      <w:r>
        <w:rPr>
          <w:rStyle w:val="FootnoteReference"/>
          <w:rFonts w:hint="cs"/>
          <w:sz w:val="26"/>
          <w:szCs w:val="24"/>
          <w:rtl/>
        </w:rPr>
        <w:t>3</w:t>
      </w:r>
      <w:r>
        <w:rPr>
          <w:rFonts w:hint="cs"/>
          <w:rtl/>
        </w:rPr>
        <w:t xml:space="preserve"> </w:t>
      </w:r>
      <w:r>
        <w:t>Segal, The Pentateuch, 23</w:t>
      </w:r>
    </w:p>
  </w:footnote>
  <w:footnote w:id="5">
    <w:p w14:paraId="1F1BB5E3" w14:textId="77777777" w:rsidR="00C252DA" w:rsidRDefault="00C252DA" w:rsidP="00C252DA">
      <w:pPr>
        <w:pStyle w:val="FootnoteTxtNewParag"/>
        <w:rPr>
          <w:rtl/>
        </w:rPr>
      </w:pPr>
      <w:r>
        <w:rPr>
          <w:rStyle w:val="FootnoteReference"/>
          <w:rFonts w:hint="cs"/>
          <w:sz w:val="26"/>
          <w:szCs w:val="24"/>
          <w:rtl/>
        </w:rPr>
        <w:t>4</w:t>
      </w:r>
      <w:r>
        <w:rPr>
          <w:rFonts w:hint="cs"/>
          <w:rtl/>
        </w:rPr>
        <w:t xml:space="preserve"> المرجع السابق.</w:t>
      </w:r>
    </w:p>
  </w:footnote>
  <w:footnote w:id="6">
    <w:p w14:paraId="051D79C5" w14:textId="77777777" w:rsidR="00C252DA" w:rsidRDefault="00C252DA" w:rsidP="00C252DA">
      <w:pPr>
        <w:pStyle w:val="FootnoteTxtNewParag"/>
        <w:bidi w:val="0"/>
      </w:pPr>
      <w:r>
        <w:rPr>
          <w:rStyle w:val="FootnoteReference"/>
          <w:rFonts w:hint="cs"/>
          <w:sz w:val="26"/>
          <w:szCs w:val="24"/>
          <w:rtl/>
        </w:rPr>
        <w:t>5</w:t>
      </w:r>
      <w:r>
        <w:rPr>
          <w:rFonts w:hint="cs"/>
          <w:sz w:val="22"/>
          <w:rtl/>
        </w:rPr>
        <w:t xml:space="preserve"> </w:t>
      </w:r>
      <w:r>
        <w:t>Segal, 28</w:t>
      </w:r>
    </w:p>
  </w:footnote>
  <w:footnote w:id="7">
    <w:p w14:paraId="56D525CD" w14:textId="77777777" w:rsidR="00C252DA" w:rsidRDefault="00C252DA" w:rsidP="00C252DA">
      <w:pPr>
        <w:pStyle w:val="FootnoteTxtNewParag"/>
        <w:bidi w:val="0"/>
      </w:pPr>
      <w:r>
        <w:rPr>
          <w:rStyle w:val="FootnoteReference"/>
          <w:rFonts w:hint="cs"/>
          <w:sz w:val="26"/>
          <w:szCs w:val="24"/>
          <w:rtl/>
        </w:rPr>
        <w:t>6</w:t>
      </w:r>
      <w:r>
        <w:rPr>
          <w:rFonts w:hint="cs"/>
          <w:sz w:val="22"/>
          <w:rtl/>
        </w:rPr>
        <w:t xml:space="preserve"> </w:t>
      </w:r>
      <w:r>
        <w:t>Allen Ross, “The Literary Composition of Genesis” (class notes, Dallas Seminary, 1979), 7</w:t>
      </w:r>
      <w:r>
        <w:rPr>
          <w:rFonts w:hint="cs"/>
          <w:rtl/>
        </w:rPr>
        <w:t>.</w:t>
      </w:r>
    </w:p>
  </w:footnote>
  <w:footnote w:id="8">
    <w:p w14:paraId="4A17FBE5" w14:textId="77777777" w:rsidR="00C252DA" w:rsidRDefault="00C252DA" w:rsidP="00C252DA">
      <w:pPr>
        <w:pStyle w:val="FootnoteTxtNewParag"/>
        <w:bidi w:val="0"/>
        <w:rPr>
          <w:vertAlign w:val="superscript"/>
        </w:rPr>
      </w:pPr>
      <w:r>
        <w:rPr>
          <w:rStyle w:val="FootnoteReference"/>
          <w:rFonts w:hint="cs"/>
          <w:sz w:val="26"/>
          <w:szCs w:val="24"/>
          <w:rtl/>
        </w:rPr>
        <w:t>7</w:t>
      </w:r>
      <w:r>
        <w:rPr>
          <w:rFonts w:hint="cs"/>
          <w:sz w:val="22"/>
          <w:rtl/>
        </w:rPr>
        <w:t xml:space="preserve"> </w:t>
      </w:r>
      <w:r>
        <w:rPr>
          <w:sz w:val="22"/>
        </w:rPr>
        <w:t xml:space="preserve"> </w:t>
      </w:r>
      <w:r>
        <w:t xml:space="preserve">Derek Kidner, </w:t>
      </w:r>
      <w:r>
        <w:rPr>
          <w:i/>
          <w:iCs/>
        </w:rPr>
        <w:t>Genesis</w:t>
      </w:r>
      <w:r>
        <w:t>, Tyndale Commentaries, 224</w:t>
      </w:r>
      <w:r>
        <w:rPr>
          <w:rFonts w:hint="cs"/>
          <w:rtl/>
        </w:rPr>
        <w:t>.</w:t>
      </w:r>
    </w:p>
  </w:footnote>
  <w:footnote w:id="9">
    <w:p w14:paraId="377B6397" w14:textId="77777777" w:rsidR="00E84DB1" w:rsidRDefault="00E84DB1" w:rsidP="00E84DB1">
      <w:pPr>
        <w:pStyle w:val="FootnoteTxtNewParag"/>
        <w:rPr>
          <w:rtl/>
        </w:rPr>
      </w:pPr>
      <w:r>
        <w:rPr>
          <w:rStyle w:val="FootnoteReference"/>
          <w:rFonts w:hint="cs"/>
          <w:sz w:val="26"/>
          <w:szCs w:val="24"/>
          <w:rtl/>
        </w:rPr>
        <w:t>1</w:t>
      </w:r>
      <w:r>
        <w:rPr>
          <w:rFonts w:hint="cs"/>
          <w:rtl/>
        </w:rPr>
        <w:t xml:space="preserve"> إن الجدل حول مسألة الخلق بمقابل التطوّر أمر حديث.  الرواية الكتابية تقدّم الإنسان كناتج لعملية خلق مباشرة من الله، لا كنتيجة لعملية تطويرية.  لدراسة مسْحية لنظريات متعددة للخلق، انظر </w:t>
      </w:r>
      <w:r>
        <w:rPr>
          <w:lang w:bidi="ar-SA"/>
        </w:rPr>
        <w:t xml:space="preserve">J. P. Moreland and John Mark Reynolds, edd. </w:t>
      </w:r>
      <w:r>
        <w:rPr>
          <w:i/>
          <w:iCs/>
          <w:lang w:bidi="ar-SA"/>
        </w:rPr>
        <w:t xml:space="preserve"> </w:t>
      </w:r>
      <w:r>
        <w:rPr>
          <w:i/>
          <w:iCs/>
        </w:rPr>
        <w:t xml:space="preserve">Three Views on Creation and Evolution </w:t>
      </w:r>
      <w:r>
        <w:t xml:space="preserve">(Grand Rapids, MI: Zondervan Pub.  House, 1999).  </w:t>
      </w:r>
      <w:r>
        <w:rPr>
          <w:rFonts w:hint="cs"/>
          <w:rtl/>
        </w:rPr>
        <w:t xml:space="preserve"> </w:t>
      </w:r>
    </w:p>
  </w:footnote>
  <w:footnote w:id="10">
    <w:p w14:paraId="13A85F0A" w14:textId="77777777" w:rsidR="00E84DB1" w:rsidRDefault="00E84DB1" w:rsidP="00E84DB1">
      <w:pPr>
        <w:pStyle w:val="FootnoteTxtNewParag"/>
        <w:bidi w:val="0"/>
      </w:pPr>
      <w:r>
        <w:rPr>
          <w:rStyle w:val="FootnoteReference"/>
          <w:rFonts w:hint="cs"/>
          <w:sz w:val="26"/>
          <w:szCs w:val="24"/>
          <w:rtl/>
        </w:rPr>
        <w:t>2</w:t>
      </w:r>
      <w:r>
        <w:t>Cf. Thomas J. Finley, “Dimensions of the Hebrew Word for “Create” (</w:t>
      </w:r>
      <w:r w:rsidRPr="00933358">
        <w:rPr>
          <w:rFonts w:ascii="Ezra SIL" w:hAnsi="Ezra SIL" w:cs="Ezra SIL" w:hint="cs"/>
          <w:b/>
          <w:szCs w:val="18"/>
          <w:rtl/>
          <w:lang w:bidi="he-IL"/>
        </w:rPr>
        <w:t>בָּרָא</w:t>
      </w:r>
      <w:r>
        <w:t xml:space="preserve">) </w:t>
      </w:r>
      <w:r>
        <w:rPr>
          <w:i/>
          <w:iCs/>
        </w:rPr>
        <w:t>BibSac</w:t>
      </w:r>
      <w:r>
        <w:t xml:space="preserve"> 148 (Oct-Dec 1991) 409-23.</w:t>
      </w:r>
      <w:r>
        <w:rPr>
          <w:i/>
          <w:iCs/>
        </w:rPr>
        <w:t xml:space="preserve"> </w:t>
      </w:r>
    </w:p>
  </w:footnote>
  <w:footnote w:id="11">
    <w:p w14:paraId="3D52CB8A" w14:textId="77777777" w:rsidR="00E84DB1" w:rsidRDefault="00E84DB1" w:rsidP="00E84DB1">
      <w:pPr>
        <w:pStyle w:val="FootnoteTxtNewParag"/>
        <w:rPr>
          <w:rtl/>
        </w:rPr>
      </w:pPr>
      <w:r>
        <w:rPr>
          <w:rStyle w:val="FootnoteReference"/>
          <w:lang w:bidi="ar-SA"/>
        </w:rPr>
        <w:t>3</w:t>
      </w:r>
      <w:r>
        <w:rPr>
          <w:lang w:bidi="ar-SA"/>
        </w:rPr>
        <w:t xml:space="preserve"> </w:t>
      </w:r>
      <w:r>
        <w:rPr>
          <w:rFonts w:hint="cs"/>
          <w:rtl/>
        </w:rPr>
        <w:t xml:space="preserve"> في ما يتعلق بكون الإنسان "صورة الله"، انظر </w:t>
      </w:r>
      <w:r>
        <w:t xml:space="preserve">Charles Lee Feinberg, “The Image of God,” </w:t>
      </w:r>
      <w:r>
        <w:rPr>
          <w:i/>
          <w:iCs/>
        </w:rPr>
        <w:t>Bibsac</w:t>
      </w:r>
      <w:r>
        <w:t xml:space="preserve"> 129-515</w:t>
      </w:r>
      <w:r>
        <w:rPr>
          <w:rFonts w:hint="cs"/>
          <w:rtl/>
        </w:rPr>
        <w:t xml:space="preserve">. </w:t>
      </w:r>
    </w:p>
  </w:footnote>
  <w:footnote w:id="12">
    <w:p w14:paraId="2C573CDC" w14:textId="3B70DEEF" w:rsidR="00E84DB1" w:rsidRDefault="00E84DB1" w:rsidP="00E84DB1">
      <w:pPr>
        <w:pStyle w:val="FootnoteTxtNewParag"/>
        <w:rPr>
          <w:sz w:val="22"/>
          <w:rtl/>
        </w:rPr>
      </w:pPr>
      <w:r>
        <w:rPr>
          <w:rStyle w:val="FootnoteReference"/>
          <w:rFonts w:hint="cs"/>
          <w:sz w:val="26"/>
          <w:szCs w:val="24"/>
          <w:rtl/>
        </w:rPr>
        <w:t>4</w:t>
      </w:r>
      <w:r>
        <w:rPr>
          <w:rFonts w:hint="cs"/>
          <w:rtl/>
          <w:lang w:bidi="ar-SA"/>
        </w:rPr>
        <w:t xml:space="preserve"> </w:t>
      </w:r>
      <w:r>
        <w:rPr>
          <w:rFonts w:hint="cs"/>
          <w:rtl/>
        </w:rPr>
        <w:t xml:space="preserve">لقد أثارت مسألة </w:t>
      </w:r>
      <w:r>
        <w:rPr>
          <w:rFonts w:hint="cs"/>
          <w:i/>
          <w:iCs/>
          <w:rtl/>
        </w:rPr>
        <w:t>التعدّدية</w:t>
      </w:r>
      <w:r>
        <w:rPr>
          <w:rFonts w:hint="cs"/>
          <w:rtl/>
        </w:rPr>
        <w:t xml:space="preserve"> التي يوحي بها تعبير "نعمل" (لنعمَل) نقاشاً كثيراً، لكن لا يوجد لسوء الحظ إجماع على التفسير.  فالمفسرون الحديثون (بمن فيهم بعض المحافظين) يرفضون فكرة أن الثالوث كان في ذهن الكاتب عندما كتب.  ويبدو أن روس يفضّل اعتبار صيغة الجمع هنا على أنها "جمع الجلالة"، أي الجمع المستخدم للتوافق مع إيلوهيم (التي هي من ناحية فنية في صيغة الجمع في اللغة العبرية، على الرغم من أن هذه الكلمة تُترجم إلى "الله" في صيغة المفرد </w:t>
      </w:r>
      <w:r>
        <w:rPr>
          <w:rtl/>
        </w:rPr>
        <w:t>–</w:t>
      </w:r>
      <w:r>
        <w:rPr>
          <w:rFonts w:hint="cs"/>
          <w:rtl/>
        </w:rPr>
        <w:t xml:space="preserve"> انظر تكوين 11: 7 </w:t>
      </w:r>
      <w:r>
        <w:rPr>
          <w:lang w:bidi="ar-SA"/>
        </w:rPr>
        <w:t>Creation and Blessing, 112]</w:t>
      </w:r>
      <w:r>
        <w:rPr>
          <w:rFonts w:hint="cs"/>
          <w:rtl/>
          <w:lang w:bidi="ar-SA"/>
        </w:rPr>
        <w:t>]</w:t>
      </w:r>
      <w:r>
        <w:rPr>
          <w:rFonts w:hint="cs"/>
          <w:rtl/>
        </w:rPr>
        <w:t xml:space="preserve">) مشكلة رأي روس هي أننا لا نرى جمع المتكلم في تكوين 1: 29 ("أعطيتكم كل </w:t>
      </w:r>
      <w:r w:rsidR="00863244" w:rsidRPr="00863244">
        <w:rPr>
          <w:rFonts w:eastAsia="Aptos" w:cs="Arial" w:hint="cs"/>
          <w:kern w:val="2"/>
          <w:sz w:val="24"/>
          <w:szCs w:val="22"/>
          <w:rtl/>
          <w:lang w:bidi="ar-SA"/>
        </w:rPr>
        <w:t>بقلٍ</w:t>
      </w:r>
      <w:r>
        <w:rPr>
          <w:rFonts w:hint="cs"/>
          <w:rtl/>
        </w:rPr>
        <w:t xml:space="preserve">" كما نتوقع.  </w:t>
      </w:r>
      <w:r>
        <w:rPr>
          <w:rFonts w:hint="cs"/>
          <w:sz w:val="22"/>
          <w:rtl/>
        </w:rPr>
        <w:t xml:space="preserve">أمّا جوردون ونهام فيرفض هذا الرأي في كتاباته في سلسلة </w:t>
      </w:r>
      <w:r>
        <w:rPr>
          <w:lang w:bidi="ar-SA"/>
        </w:rPr>
        <w:t xml:space="preserve">World Commentary </w:t>
      </w:r>
      <w:r>
        <w:rPr>
          <w:rFonts w:hint="cs"/>
          <w:sz w:val="22"/>
          <w:rtl/>
        </w:rPr>
        <w:t>.  يقول، "إن ملاحظة جون (</w:t>
      </w:r>
      <w:r>
        <w:rPr>
          <w:sz w:val="22"/>
          <w:lang w:bidi="ar-SA"/>
        </w:rPr>
        <w:t>114e</w:t>
      </w:r>
      <w:r>
        <w:rPr>
          <w:rFonts w:hint="cs"/>
          <w:sz w:val="22"/>
          <w:rtl/>
        </w:rPr>
        <w:t>) أن المتكلم في "نعمل" (لنعمل)، أي نحن، كجمع للجلالة لا يستخدم مع الأفعال قد أدَّت إلى رفض هذا التفسير (</w:t>
      </w:r>
      <w:r>
        <w:rPr>
          <w:lang w:bidi="ar-SA"/>
        </w:rPr>
        <w:t>Genesis I-15-28</w:t>
      </w:r>
      <w:r>
        <w:rPr>
          <w:rFonts w:hint="cs"/>
          <w:sz w:val="22"/>
          <w:rtl/>
        </w:rPr>
        <w:t xml:space="preserve">).  لكن ونهام يرى بأن الخيار هو بين خيارين: (1) يخاطب الله هنا مجلسه السماوي، أي الملائكة (على الرغم من أنه هو وحده الذي يقوم بعملية الخلق)؛ أو (2) يستخدم الكاتب "جمع التدارُس" (أو جمع الحض الذاتيّ) </w:t>
      </w:r>
      <w:r>
        <w:rPr>
          <w:sz w:val="22"/>
          <w:rtl/>
        </w:rPr>
        <w:t>–</w:t>
      </w:r>
      <w:r>
        <w:rPr>
          <w:rFonts w:hint="cs"/>
          <w:sz w:val="22"/>
          <w:rtl/>
        </w:rPr>
        <w:t xml:space="preserve"> كما لو أن الله يحدّث نفسه، أو جمع التفخيم [لكن آخرين بيّنوا أن التركيب العبري في تكوين 18: 17 يضعف هذا الرأي].  ويبدو أن ونهام يفضّل فكرة المجلس السماوي.  يقول:</w:t>
      </w:r>
    </w:p>
    <w:p w14:paraId="29C68197" w14:textId="77777777" w:rsidR="00E84DB1" w:rsidRDefault="00E84DB1" w:rsidP="00E84DB1">
      <w:pPr>
        <w:pStyle w:val="FootnoteTxtNewParag"/>
        <w:rPr>
          <w:rtl/>
        </w:rPr>
      </w:pPr>
      <w:r>
        <w:rPr>
          <w:rFonts w:hint="cs"/>
          <w:rtl/>
        </w:rPr>
        <w:t>يوحي استخدام الفعل المفرد "خلق" في 1: 27 بأن الله عمل وحده في خلق الجنس البشري.  ولهذا يجب اعتبار "نعمل" (أي "لنخلق") على أنها إعلان إلهي في البلاط السماوي، لافتاً انتباه جند الملائكة إلى تحفة الخليقة، الإنسان.  فكما قال أيّوب 38: 4، 7: "عندما أُسستُ الأرض ... هتف جميع بني الله (فرحاً)" (قارن لوقا 2: 13-14) (</w:t>
      </w:r>
      <w:r>
        <w:rPr>
          <w:lang w:bidi="ar-SA"/>
        </w:rPr>
        <w:t>Wenham 28</w:t>
      </w:r>
      <w:r>
        <w:rPr>
          <w:rFonts w:hint="cs"/>
          <w:rtl/>
        </w:rPr>
        <w:t>).</w:t>
      </w:r>
    </w:p>
    <w:p w14:paraId="3F664423" w14:textId="77777777" w:rsidR="00E84DB1" w:rsidRDefault="00E84DB1" w:rsidP="00E84DB1">
      <w:pPr>
        <w:pStyle w:val="FootnoteTxtNewParag"/>
        <w:rPr>
          <w:rtl/>
        </w:rPr>
      </w:pPr>
      <w:r>
        <w:rPr>
          <w:rFonts w:hint="cs"/>
          <w:rtl/>
        </w:rPr>
        <w:t xml:space="preserve">ولكن رأى المجلس السماوي ليس من دون مشاكل أيضاً.  فإن كان يتكلم والمجلس الملائكي في فكره، فهل تتضمن الكلمات "على صورتنا" (ع 26) أن صورة الإنسان ليست على صورة الله فقط، ولكن على صورة الملائكة أيضاُ؟  وكذلك يبدو أن إشعياء 40: 14 يقترح أن الله لم يستشر أحداً في قيامه بالخلق. </w:t>
      </w:r>
    </w:p>
    <w:p w14:paraId="5150DB17" w14:textId="77777777" w:rsidR="00E84DB1" w:rsidRDefault="00E84DB1" w:rsidP="00E84DB1">
      <w:pPr>
        <w:pStyle w:val="FootnoteTxtNewParag"/>
        <w:rPr>
          <w:sz w:val="22"/>
          <w:rtl/>
        </w:rPr>
      </w:pPr>
      <w:r>
        <w:rPr>
          <w:rFonts w:hint="cs"/>
          <w:rtl/>
        </w:rPr>
        <w:t xml:space="preserve">ولقد عبّر حديثاً فكتور هاملتون </w:t>
      </w:r>
      <w:r>
        <w:rPr>
          <w:lang w:bidi="ar-SA"/>
        </w:rPr>
        <w:t>Victor Hamilton (The Book of Genesis, Chapter 1-17, NICOT, 134)</w:t>
      </w:r>
      <w:r>
        <w:rPr>
          <w:rFonts w:hint="cs"/>
          <w:rtl/>
        </w:rPr>
        <w:t xml:space="preserve"> عن تفصيله لفكرة أن صيغة الجمع تعكس التعددية ضمن الوحدة في الله (على الرغم من أنه لا يؤكد صراحة فهماً ثالوثياً لهذا التعبير).  وقد سبق أن تحدثت الآية الثانية عن </w:t>
      </w:r>
      <w:r>
        <w:rPr>
          <w:rFonts w:hint="cs"/>
          <w:i/>
          <w:iCs/>
          <w:rtl/>
        </w:rPr>
        <w:t>الروح</w:t>
      </w:r>
      <w:r>
        <w:rPr>
          <w:rFonts w:hint="cs"/>
          <w:rtl/>
        </w:rPr>
        <w:t xml:space="preserve"> (مفترضاً أن الكلمة العبرية </w:t>
      </w:r>
      <w:r>
        <w:rPr>
          <w:rFonts w:hint="cs"/>
          <w:i/>
          <w:iCs/>
          <w:rtl/>
        </w:rPr>
        <w:t>رواخ</w:t>
      </w:r>
      <w:r>
        <w:rPr>
          <w:rFonts w:hint="cs"/>
          <w:rtl/>
        </w:rPr>
        <w:t xml:space="preserve"> يجب أن تترجم إلى "روح" وليس إلى "ريح")- مخبرةً إيانا أن الله معقَّد الكينونة. انظر </w:t>
      </w:r>
      <w:r>
        <w:rPr>
          <w:lang w:bidi="ar-SA"/>
        </w:rPr>
        <w:t xml:space="preserve">D. J. A. Clines, “The Image of God in Man,” </w:t>
      </w:r>
      <w:r>
        <w:rPr>
          <w:i/>
          <w:iCs/>
          <w:lang w:bidi="ar-SA"/>
        </w:rPr>
        <w:t>TynBul</w:t>
      </w:r>
      <w:r>
        <w:rPr>
          <w:lang w:bidi="ar-SA"/>
        </w:rPr>
        <w:t xml:space="preserve"> 19 (1968): 62-69; and G. Hasel, “The Meaning of ‘Let US’ in Gen.  1: 26,” AUSS 13 (1975); 58-66.</w:t>
      </w:r>
      <w:r>
        <w:rPr>
          <w:rFonts w:hint="cs"/>
          <w:rtl/>
        </w:rPr>
        <w:t xml:space="preserve"> وهاملتون على الأرجح على الطريق الصحيح-إذ توجد تعدّدية سامية في الله الواحد، وهو أمر ينعكس في التعددية البشرية للإنسان ("فخلق الله الإنسان... ذكراً وأنثى خلقهم" </w:t>
      </w:r>
      <w:r>
        <w:rPr>
          <w:rtl/>
        </w:rPr>
        <w:t>–</w:t>
      </w:r>
      <w:r>
        <w:rPr>
          <w:rFonts w:hint="cs"/>
          <w:rtl/>
        </w:rPr>
        <w:t xml:space="preserve"> الآية 27؛ قارن 5: 1-2).  ويقدم سيلهامر شرحاً جيّداً لهذا الرأي </w:t>
      </w:r>
      <w:r>
        <w:rPr>
          <w:lang w:bidi="ar-SA"/>
        </w:rPr>
        <w:t xml:space="preserve">(“Genesis,” </w:t>
      </w:r>
      <w:r>
        <w:rPr>
          <w:i/>
          <w:iCs/>
          <w:lang w:bidi="ar-SA"/>
        </w:rPr>
        <w:t xml:space="preserve">The Expositor’s Bible Commentary </w:t>
      </w:r>
      <w:r>
        <w:rPr>
          <w:lang w:bidi="ar-SA"/>
        </w:rPr>
        <w:t xml:space="preserve">1: 38) </w:t>
      </w:r>
      <w:r>
        <w:rPr>
          <w:rFonts w:hint="cs"/>
          <w:rtl/>
          <w:lang w:bidi="ar-SA"/>
        </w:rPr>
        <w:t xml:space="preserve"> </w:t>
      </w:r>
      <w:r>
        <w:rPr>
          <w:rFonts w:hint="cs"/>
          <w:sz w:val="22"/>
          <w:rtl/>
        </w:rPr>
        <w:t>يقول: "إذا تبعنا هذا المفتاح أو الإشارة القوية، فإن التعددية الإلهية المعبرّ عنها في الآية 26 تُرى كتوقع للتعددية البشرية في الرجل والمرأة، وهي بهذا تعطي العلاقة البشرية بين الرجل والمرأة دوراً يعكس علاقة الله الشخصية مع نفسه."  وعلى الرغم من هذا المنهج لا يثبت الثالوث بشكل صريح، إلاّ أنه يسمح بتعقيد في الكينونة الإلهية سيتم التعمّق فيه في مواضع أخرى من الكتاب المقدس.  غير أننا نختار أن نفسّر صيغة الجمع المذهلة في تكوين 1: 26 فنقول إنه أمر واضح أن يسوع المسيح يصوَّر هنا بصفته الله الخالق (كما يوضح العهد الجديد).</w:t>
      </w:r>
    </w:p>
  </w:footnote>
  <w:footnote w:id="13">
    <w:p w14:paraId="6986CDE0" w14:textId="77777777" w:rsidR="00E84DB1" w:rsidRDefault="00E84DB1" w:rsidP="00E84DB1">
      <w:pPr>
        <w:pStyle w:val="FootnoteTxtNewParag"/>
        <w:bidi w:val="0"/>
      </w:pPr>
      <w:r>
        <w:rPr>
          <w:rStyle w:val="FootnoteReference"/>
          <w:rFonts w:hint="cs"/>
          <w:sz w:val="26"/>
          <w:szCs w:val="24"/>
          <w:rtl/>
        </w:rPr>
        <w:t>1</w:t>
      </w:r>
      <w:r>
        <w:rPr>
          <w:rFonts w:hint="cs"/>
          <w:sz w:val="22"/>
          <w:rtl/>
        </w:rPr>
        <w:t xml:space="preserve"> </w:t>
      </w:r>
      <w:r>
        <w:t xml:space="preserve">Bruce K. Waltke, </w:t>
      </w:r>
      <w:r>
        <w:rPr>
          <w:i/>
          <w:iCs/>
        </w:rPr>
        <w:t>Creation and Chaos</w:t>
      </w:r>
      <w:r>
        <w:t xml:space="preserve">; cited in Mark Rooker, “Creation or Re-Creation?” </w:t>
      </w:r>
      <w:r>
        <w:rPr>
          <w:i/>
          <w:iCs/>
        </w:rPr>
        <w:t>BibSac</w:t>
      </w:r>
      <w:r>
        <w:t xml:space="preserve"> 149-596 (Oct-Dec 1992): 414. </w:t>
      </w:r>
    </w:p>
  </w:footnote>
  <w:footnote w:id="14">
    <w:p w14:paraId="7394F49F" w14:textId="77777777" w:rsidR="00E84DB1" w:rsidRDefault="00E84DB1" w:rsidP="00E84DB1">
      <w:pPr>
        <w:pStyle w:val="FootnoteTxtNewParag"/>
        <w:bidi w:val="0"/>
        <w:rPr>
          <w:i/>
          <w:iCs/>
        </w:rPr>
      </w:pPr>
      <w:r>
        <w:rPr>
          <w:rStyle w:val="FootnoteReference"/>
          <w:rFonts w:hint="cs"/>
          <w:sz w:val="26"/>
          <w:szCs w:val="24"/>
          <w:rtl/>
        </w:rPr>
        <w:t>2</w:t>
      </w:r>
      <w:r>
        <w:rPr>
          <w:rFonts w:hint="cs"/>
          <w:sz w:val="22"/>
          <w:rtl/>
        </w:rPr>
        <w:t xml:space="preserve"> </w:t>
      </w:r>
      <w:r>
        <w:t xml:space="preserve">Custance, </w:t>
      </w:r>
      <w:r>
        <w:rPr>
          <w:i/>
          <w:iCs/>
        </w:rPr>
        <w:t>Without Form and Void</w:t>
      </w:r>
      <w:r>
        <w:t xml:space="preserve"> (Brockville, Ontario: n. p., 1970)</w:t>
      </w:r>
      <w:r>
        <w:rPr>
          <w:rFonts w:hint="cs"/>
          <w:rtl/>
          <w:lang w:bidi="ar-SA"/>
        </w:rPr>
        <w:t xml:space="preserve"> </w:t>
      </w:r>
    </w:p>
  </w:footnote>
  <w:footnote w:id="15">
    <w:p w14:paraId="34796755" w14:textId="77777777" w:rsidR="00E84DB1" w:rsidRDefault="00E84DB1" w:rsidP="00E84DB1">
      <w:pPr>
        <w:pStyle w:val="FootnoteTxtNewParag"/>
        <w:rPr>
          <w:rtl/>
        </w:rPr>
      </w:pPr>
      <w:r>
        <w:rPr>
          <w:rStyle w:val="FootnoteReference"/>
          <w:rFonts w:hint="cs"/>
          <w:sz w:val="26"/>
          <w:szCs w:val="24"/>
          <w:rtl/>
        </w:rPr>
        <w:t>3</w:t>
      </w:r>
      <w:r>
        <w:rPr>
          <w:rFonts w:hint="cs"/>
          <w:rtl/>
        </w:rPr>
        <w:t xml:space="preserve"> يكمن ضعف هذا الرأي في أن الكتاب المقدس لا يقول شيئاً حول مسألة دينونة الأرض عندما سقط الشيطان. </w:t>
      </w:r>
    </w:p>
  </w:footnote>
  <w:footnote w:id="16">
    <w:p w14:paraId="307DED30" w14:textId="77777777" w:rsidR="00E84DB1" w:rsidRDefault="00E84DB1" w:rsidP="00E84DB1">
      <w:pPr>
        <w:pStyle w:val="FootnoteTxtNewParag"/>
      </w:pPr>
      <w:r>
        <w:rPr>
          <w:rStyle w:val="FootnoteReference"/>
          <w:rFonts w:hint="cs"/>
          <w:sz w:val="26"/>
          <w:szCs w:val="24"/>
          <w:rtl/>
        </w:rPr>
        <w:t>4</w:t>
      </w:r>
      <w:r>
        <w:rPr>
          <w:rFonts w:hint="cs"/>
          <w:rtl/>
        </w:rPr>
        <w:t xml:space="preserve"> قام مارك روكر بكتابة بعض أفضل الأبحاث دفاعاً عن النظرية التقليدية، وقدّم حجّة مضادة ممتازة لنظرية فوضى ما قبل الخلق التي دعا إليها والكي.  انظر </w:t>
      </w:r>
      <w:r>
        <w:t xml:space="preserve">Rooker “Genesis 1: 1-3: Creation or Re-Creation? Part I,” </w:t>
      </w:r>
      <w:r>
        <w:rPr>
          <w:i/>
          <w:iCs/>
        </w:rPr>
        <w:t xml:space="preserve">BibSac </w:t>
      </w:r>
      <w:r>
        <w:t xml:space="preserve">149: 595 (Jul-Sep 1992): 316-23; and part 2 in </w:t>
      </w:r>
      <w:r>
        <w:rPr>
          <w:i/>
          <w:iCs/>
        </w:rPr>
        <w:t>BibSac</w:t>
      </w:r>
      <w:r>
        <w:t xml:space="preserve">: 149-596 (Oct-De 1992): 411-27. </w:t>
      </w:r>
    </w:p>
  </w:footnote>
  <w:footnote w:id="17">
    <w:p w14:paraId="6A0124F3" w14:textId="77777777" w:rsidR="00E84DB1" w:rsidRDefault="00E84DB1" w:rsidP="00E84DB1">
      <w:pPr>
        <w:pStyle w:val="FootnoteTxtNewParag"/>
      </w:pPr>
      <w:r>
        <w:rPr>
          <w:rStyle w:val="FootnoteReference"/>
          <w:rFonts w:hint="cs"/>
          <w:sz w:val="26"/>
          <w:szCs w:val="24"/>
          <w:rtl/>
        </w:rPr>
        <w:t>5</w:t>
      </w:r>
      <w:r>
        <w:rPr>
          <w:rFonts w:hint="cs"/>
          <w:rtl/>
        </w:rPr>
        <w:t xml:space="preserve"> والكي هو الأكثر مساهمة بين الإنجيليين في دعم هذه النظرية.   انظر </w:t>
      </w:r>
      <w:r>
        <w:rPr>
          <w:i/>
          <w:iCs/>
        </w:rPr>
        <w:t xml:space="preserve">Creation and Chaos </w:t>
      </w:r>
      <w:r>
        <w:t>(Portland, OR: Western Conservative Baptist Seminary, 1974).</w:t>
      </w:r>
      <w:r>
        <w:rPr>
          <w:rFonts w:hint="cs"/>
          <w:rtl/>
        </w:rPr>
        <w:t xml:space="preserve"> كما كتب أربع مقالات في</w:t>
      </w:r>
      <w:r>
        <w:t xml:space="preserve">BibSac 132: 525-328  </w:t>
      </w:r>
      <w:r>
        <w:rPr>
          <w:rFonts w:hint="cs"/>
          <w:rtl/>
        </w:rPr>
        <w:t xml:space="preserve"> عام 1975 بعنوان </w:t>
      </w:r>
      <w:r>
        <w:t>“The Creation Account in Genesis 1: 1-3.”</w:t>
      </w:r>
      <w:r>
        <w:rPr>
          <w:rFonts w:hint="cs"/>
          <w:rtl/>
        </w:rPr>
        <w:t xml:space="preserve"> وكتب والكي في تاريخ أقرب </w:t>
      </w:r>
      <w:r>
        <w:t xml:space="preserve">Waltke, “The Literary Genre of Genesis, Chapter One,” </w:t>
      </w:r>
      <w:r>
        <w:rPr>
          <w:i/>
          <w:iCs/>
        </w:rPr>
        <w:t>Crux</w:t>
      </w:r>
      <w:r>
        <w:t xml:space="preserve"> 27 (1991).  </w:t>
      </w:r>
    </w:p>
  </w:footnote>
  <w:footnote w:id="18">
    <w:p w14:paraId="48F3684D" w14:textId="77777777" w:rsidR="00E84DB1" w:rsidRDefault="00E84DB1" w:rsidP="00E84DB1">
      <w:pPr>
        <w:pStyle w:val="FootnoteTxtNewParag"/>
        <w:bidi w:val="0"/>
      </w:pPr>
      <w:r>
        <w:rPr>
          <w:rStyle w:val="FootnoteReference"/>
          <w:rFonts w:hint="cs"/>
          <w:sz w:val="26"/>
          <w:szCs w:val="24"/>
          <w:rtl/>
        </w:rPr>
        <w:t>6</w:t>
      </w:r>
      <w:r>
        <w:rPr>
          <w:rFonts w:hint="cs"/>
          <w:rtl/>
        </w:rPr>
        <w:t xml:space="preserve"> </w:t>
      </w:r>
      <w:r>
        <w:t xml:space="preserve">Allen P. Ross, </w:t>
      </w:r>
      <w:r>
        <w:rPr>
          <w:i/>
          <w:iCs/>
        </w:rPr>
        <w:t>Creation and Blessing.</w:t>
      </w:r>
      <w:r>
        <w:t xml:space="preserve"> (Grand Rapids, MI: Baker Book House, 1988).</w:t>
      </w:r>
    </w:p>
  </w:footnote>
  <w:footnote w:id="19">
    <w:p w14:paraId="3CF52CA3" w14:textId="77777777" w:rsidR="00E84DB1" w:rsidRDefault="00E84DB1" w:rsidP="00E84DB1">
      <w:pPr>
        <w:pStyle w:val="FootnoteTxtNewParag"/>
      </w:pPr>
      <w:r>
        <w:rPr>
          <w:rStyle w:val="FootnoteReference"/>
          <w:rFonts w:hint="cs"/>
          <w:sz w:val="26"/>
          <w:szCs w:val="24"/>
          <w:rtl/>
        </w:rPr>
        <w:t>7</w:t>
      </w:r>
      <w:r>
        <w:rPr>
          <w:rFonts w:hint="cs"/>
          <w:rtl/>
        </w:rPr>
        <w:t xml:space="preserve"> تبنّى باحثون كثيرون فكرة أن تكوين 1: 1 تشكل جملة تلخيصية.  انظر </w:t>
      </w:r>
      <w:r>
        <w:t xml:space="preserve">Gerhard F. Hasel, “Recent Translations of Genesis 1: 1: A Critical Look,” The Bible Translator 22 (1971), 164.  </w:t>
      </w:r>
    </w:p>
  </w:footnote>
  <w:footnote w:id="20">
    <w:p w14:paraId="24BE3AD0" w14:textId="77777777" w:rsidR="00E84DB1" w:rsidRDefault="00E84DB1" w:rsidP="00E84DB1">
      <w:pPr>
        <w:pStyle w:val="FootnoteTxtNewParag"/>
        <w:rPr>
          <w:sz w:val="22"/>
          <w:lang w:bidi="ar-SA"/>
        </w:rPr>
      </w:pPr>
      <w:r>
        <w:rPr>
          <w:rStyle w:val="FootnoteReference"/>
          <w:rFonts w:hint="cs"/>
          <w:sz w:val="26"/>
          <w:szCs w:val="24"/>
          <w:rtl/>
        </w:rPr>
        <w:t>8</w:t>
      </w:r>
      <w:r>
        <w:rPr>
          <w:rFonts w:hint="cs"/>
          <w:sz w:val="22"/>
          <w:rtl/>
        </w:rPr>
        <w:t xml:space="preserve"> لحجج مضادة لـ "الجملة التلخيصية"، انظر </w:t>
      </w:r>
      <w:r>
        <w:rPr>
          <w:lang w:bidi="ar-SA"/>
        </w:rPr>
        <w:t xml:space="preserve">Anton Peterson, “An Exegetical Study of Genesis 1: 1-3” </w:t>
      </w:r>
      <w:r>
        <w:rPr>
          <w:i/>
          <w:iCs/>
          <w:lang w:bidi="ar-SA"/>
        </w:rPr>
        <w:t xml:space="preserve">Bethel Seminary Quarterly </w:t>
      </w:r>
      <w:r>
        <w:rPr>
          <w:lang w:bidi="ar-SA"/>
        </w:rPr>
        <w:t>2 (1953).</w:t>
      </w:r>
    </w:p>
  </w:footnote>
  <w:footnote w:id="21">
    <w:p w14:paraId="30E30FFC" w14:textId="77777777" w:rsidR="00E84DB1" w:rsidRDefault="00E84DB1" w:rsidP="00E84DB1">
      <w:pPr>
        <w:pStyle w:val="FootnoteTxtNewParag"/>
        <w:rPr>
          <w:rtl/>
        </w:rPr>
      </w:pPr>
      <w:r>
        <w:rPr>
          <w:rStyle w:val="FootnoteReference"/>
          <w:rFonts w:hint="cs"/>
          <w:sz w:val="26"/>
          <w:szCs w:val="24"/>
          <w:rtl/>
        </w:rPr>
        <w:t>9</w:t>
      </w:r>
      <w:r>
        <w:rPr>
          <w:rFonts w:hint="cs"/>
          <w:rtl/>
        </w:rPr>
        <w:t xml:space="preserve"> نجد حالة أخرى تستخدم فيها "الواو" كأداة استدراك وفصل و</w:t>
      </w:r>
      <w:r>
        <w:rPr>
          <w:rFonts w:hint="cs"/>
          <w:rtl/>
          <w:lang w:bidi="ar-SA"/>
        </w:rPr>
        <w:t xml:space="preserve"> </w:t>
      </w:r>
      <w:r>
        <w:rPr>
          <w:rFonts w:ascii="Hebrew" w:hAnsi="Hebrew"/>
          <w:lang w:bidi="ar-SA"/>
        </w:rPr>
        <w:t>hyh</w:t>
      </w:r>
      <w:r>
        <w:rPr>
          <w:rFonts w:hint="cs"/>
          <w:rtl/>
          <w:lang w:bidi="ar-SA"/>
        </w:rPr>
        <w:t xml:space="preserve"> </w:t>
      </w:r>
      <w:r>
        <w:rPr>
          <w:rFonts w:hint="cs"/>
          <w:rtl/>
        </w:rPr>
        <w:t xml:space="preserve">(جملة ظرفية = </w:t>
      </w:r>
      <w:r>
        <w:rPr>
          <w:rFonts w:ascii="Hebrew" w:hAnsi="Hebrew"/>
          <w:lang w:bidi="ar-SA"/>
        </w:rPr>
        <w:t>w</w:t>
      </w:r>
      <w:r>
        <w:rPr>
          <w:rFonts w:hint="cs"/>
          <w:rtl/>
          <w:lang w:bidi="ar-SA"/>
        </w:rPr>
        <w:t xml:space="preserve"> + إحتمال + </w:t>
      </w:r>
      <w:r>
        <w:rPr>
          <w:rFonts w:ascii="Hebrew" w:hAnsi="Hebrew"/>
          <w:lang w:bidi="ar-SA"/>
        </w:rPr>
        <w:t>hyh</w:t>
      </w:r>
      <w:r>
        <w:rPr>
          <w:rFonts w:hint="cs"/>
          <w:rtl/>
        </w:rPr>
        <w:t>) انظر تكوين 19: 26 حيث تعني "كان</w:t>
      </w:r>
      <w:r>
        <w:rPr>
          <w:rFonts w:hint="cs"/>
          <w:rtl/>
          <w:lang w:bidi="ar-SA"/>
        </w:rPr>
        <w:t>،</w:t>
      </w:r>
      <w:r>
        <w:rPr>
          <w:rFonts w:hint="cs"/>
          <w:rtl/>
        </w:rPr>
        <w:t xml:space="preserve">" </w:t>
      </w:r>
      <w:r>
        <w:rPr>
          <w:rFonts w:hint="cs"/>
          <w:u w:val="single"/>
          <w:rtl/>
        </w:rPr>
        <w:t>لا</w:t>
      </w:r>
      <w:r>
        <w:rPr>
          <w:rFonts w:hint="cs"/>
          <w:rtl/>
        </w:rPr>
        <w:t xml:space="preserve"> "قد أصبح</w:t>
      </w:r>
      <w:r>
        <w:rPr>
          <w:rFonts w:hint="cs"/>
          <w:rtl/>
          <w:lang w:bidi="ar-SA"/>
        </w:rPr>
        <w:t>.</w:t>
      </w:r>
      <w:r>
        <w:rPr>
          <w:rFonts w:hint="cs"/>
          <w:rtl/>
        </w:rPr>
        <w:t>"</w:t>
      </w:r>
    </w:p>
  </w:footnote>
  <w:footnote w:id="22">
    <w:p w14:paraId="11E908E5" w14:textId="77777777" w:rsidR="00E84DB1" w:rsidRDefault="00E84DB1" w:rsidP="00E84DB1">
      <w:pPr>
        <w:pStyle w:val="FootnoteTxtNewParag"/>
        <w:bidi w:val="0"/>
        <w:rPr>
          <w:rtl/>
        </w:rPr>
      </w:pPr>
      <w:r>
        <w:rPr>
          <w:rStyle w:val="FootnoteReference"/>
          <w:rFonts w:hint="cs"/>
          <w:sz w:val="26"/>
          <w:szCs w:val="24"/>
          <w:rtl/>
        </w:rPr>
        <w:t>1</w:t>
      </w:r>
      <w:r>
        <w:rPr>
          <w:rFonts w:hint="cs"/>
          <w:sz w:val="26"/>
          <w:szCs w:val="24"/>
          <w:vertAlign w:val="superscript"/>
          <w:rtl/>
        </w:rPr>
        <w:t>0</w:t>
      </w:r>
      <w:r>
        <w:rPr>
          <w:rFonts w:hint="cs"/>
          <w:rtl/>
        </w:rPr>
        <w:t xml:space="preserve"> </w:t>
      </w:r>
      <w:r>
        <w:t xml:space="preserve">E. J. Young, </w:t>
      </w:r>
      <w:r>
        <w:rPr>
          <w:i/>
          <w:iCs/>
        </w:rPr>
        <w:t xml:space="preserve">Studies in Genesis </w:t>
      </w:r>
      <w:r>
        <w:t>One (Philadelphia: Presbyterian and Reformed, 1964), 9 (note 15)</w:t>
      </w:r>
    </w:p>
    <w:p w14:paraId="34070492" w14:textId="77777777" w:rsidR="00E84DB1" w:rsidRDefault="00E84DB1" w:rsidP="00E84DB1">
      <w:pPr>
        <w:pStyle w:val="FootnoteTxtNewParag"/>
        <w:bidi w:val="0"/>
        <w:rPr>
          <w:i/>
          <w:iCs/>
        </w:rPr>
      </w:pPr>
    </w:p>
  </w:footnote>
  <w:footnote w:id="23">
    <w:p w14:paraId="0C47248B" w14:textId="77777777" w:rsidR="00E84DB1" w:rsidRDefault="00E84DB1" w:rsidP="00E84DB1">
      <w:pPr>
        <w:pStyle w:val="FootnoteTxtNewParag"/>
        <w:bidi w:val="0"/>
        <w:rPr>
          <w:i/>
          <w:iCs/>
        </w:rPr>
      </w:pPr>
      <w:r>
        <w:rPr>
          <w:rStyle w:val="FootnoteReference"/>
          <w:rFonts w:hint="cs"/>
          <w:sz w:val="26"/>
          <w:szCs w:val="24"/>
          <w:rtl/>
        </w:rPr>
        <w:t>1</w:t>
      </w:r>
      <w:r>
        <w:rPr>
          <w:rFonts w:hint="cs"/>
          <w:sz w:val="26"/>
          <w:szCs w:val="24"/>
          <w:vertAlign w:val="superscript"/>
          <w:rtl/>
        </w:rPr>
        <w:t>1</w:t>
      </w:r>
      <w:r>
        <w:rPr>
          <w:rFonts w:hint="cs"/>
          <w:sz w:val="22"/>
          <w:rtl/>
        </w:rPr>
        <w:t xml:space="preserve"> </w:t>
      </w:r>
      <w:r>
        <w:t xml:space="preserve">Mark Rooker, “Genesis 1: 1-3: Creation or Re-Creation?” </w:t>
      </w:r>
      <w:r>
        <w:rPr>
          <w:i/>
          <w:iCs/>
        </w:rPr>
        <w:t xml:space="preserve">BibSac </w:t>
      </w:r>
      <w:r>
        <w:t>149-596 (Oct-Dec): 416.</w:t>
      </w:r>
    </w:p>
  </w:footnote>
  <w:footnote w:id="24">
    <w:p w14:paraId="20519142" w14:textId="77777777" w:rsidR="00E84DB1" w:rsidRDefault="00E84DB1" w:rsidP="00E84DB1">
      <w:pPr>
        <w:pStyle w:val="FootnoteTxtNewParag"/>
        <w:bidi w:val="0"/>
        <w:rPr>
          <w:sz w:val="22"/>
        </w:rPr>
      </w:pPr>
      <w:r>
        <w:rPr>
          <w:rStyle w:val="FootnoteReference"/>
          <w:rFonts w:hint="cs"/>
          <w:sz w:val="26"/>
          <w:szCs w:val="24"/>
          <w:rtl/>
        </w:rPr>
        <w:t>1</w:t>
      </w:r>
      <w:r>
        <w:rPr>
          <w:rFonts w:hint="cs"/>
          <w:szCs w:val="24"/>
          <w:vertAlign w:val="superscript"/>
          <w:rtl/>
        </w:rPr>
        <w:t>2</w:t>
      </w:r>
      <w:r>
        <w:rPr>
          <w:rFonts w:hint="cs"/>
          <w:sz w:val="22"/>
          <w:rtl/>
        </w:rPr>
        <w:t xml:space="preserve"> </w:t>
      </w:r>
      <w:r>
        <w:t xml:space="preserve">Waltke, </w:t>
      </w:r>
      <w:r>
        <w:rPr>
          <w:i/>
          <w:iCs/>
        </w:rPr>
        <w:t>BibSac</w:t>
      </w:r>
      <w:r>
        <w:t xml:space="preserve"> 526, 141</w:t>
      </w:r>
    </w:p>
  </w:footnote>
  <w:footnote w:id="25">
    <w:p w14:paraId="743E639F" w14:textId="77777777" w:rsidR="00E84DB1" w:rsidRDefault="00E84DB1" w:rsidP="00E84DB1">
      <w:pPr>
        <w:pStyle w:val="FootnoteTxtNewParag"/>
      </w:pPr>
      <w:r>
        <w:rPr>
          <w:rStyle w:val="FootnoteReference"/>
          <w:rFonts w:hint="cs"/>
          <w:sz w:val="26"/>
          <w:szCs w:val="24"/>
          <w:rtl/>
        </w:rPr>
        <w:t>1</w:t>
      </w:r>
      <w:r>
        <w:rPr>
          <w:rFonts w:hint="cs"/>
          <w:szCs w:val="24"/>
          <w:vertAlign w:val="superscript"/>
          <w:rtl/>
        </w:rPr>
        <w:t>3</w:t>
      </w:r>
      <w:r>
        <w:rPr>
          <w:rFonts w:hint="cs"/>
          <w:rtl/>
        </w:rPr>
        <w:t xml:space="preserve"> تجد في </w:t>
      </w:r>
      <w:r>
        <w:rPr>
          <w:i/>
          <w:iCs/>
        </w:rPr>
        <w:t xml:space="preserve">BibSac </w:t>
      </w:r>
      <w:r>
        <w:t>No. 527,220</w:t>
      </w:r>
      <w:r>
        <w:rPr>
          <w:rFonts w:hint="cs"/>
          <w:rtl/>
        </w:rPr>
        <w:t xml:space="preserve"> رد والكي على النظرية التقليدية. </w:t>
      </w:r>
    </w:p>
  </w:footnote>
  <w:footnote w:id="26">
    <w:p w14:paraId="1880B204" w14:textId="77777777" w:rsidR="00E84DB1" w:rsidRDefault="00E84DB1" w:rsidP="00E84DB1">
      <w:pPr>
        <w:pStyle w:val="FootnoteTxtNewParag"/>
        <w:bidi w:val="0"/>
      </w:pPr>
      <w:r>
        <w:rPr>
          <w:rStyle w:val="FootnoteReference"/>
          <w:rFonts w:hint="cs"/>
          <w:sz w:val="26"/>
          <w:szCs w:val="24"/>
          <w:rtl/>
        </w:rPr>
        <w:t>1</w:t>
      </w:r>
      <w:r>
        <w:rPr>
          <w:rFonts w:hint="cs"/>
          <w:szCs w:val="24"/>
          <w:vertAlign w:val="superscript"/>
          <w:rtl/>
        </w:rPr>
        <w:t>4</w:t>
      </w:r>
      <w:r>
        <w:rPr>
          <w:rFonts w:hint="cs"/>
          <w:sz w:val="22"/>
          <w:rtl/>
        </w:rPr>
        <w:t xml:space="preserve"> </w:t>
      </w:r>
      <w:r>
        <w:rPr>
          <w:sz w:val="22"/>
        </w:rPr>
        <w:t xml:space="preserve"> </w:t>
      </w:r>
      <w:r>
        <w:t xml:space="preserve">David Toshio Tsumura, </w:t>
      </w:r>
      <w:r>
        <w:rPr>
          <w:i/>
          <w:iCs/>
        </w:rPr>
        <w:t xml:space="preserve">The Earth and the Waters in Genesis I and 2: A Linguistic Investigation, </w:t>
      </w:r>
      <w:r>
        <w:t>ISOT Supplement Series 83 (Sheffield: ISOT Press, 1989), 155-56.</w:t>
      </w:r>
      <w:r>
        <w:rPr>
          <w:i/>
          <w:iCs/>
        </w:rPr>
        <w:t xml:space="preserve"> </w:t>
      </w:r>
    </w:p>
  </w:footnote>
  <w:footnote w:id="27">
    <w:p w14:paraId="1C3A029F" w14:textId="77777777" w:rsidR="00E84DB1" w:rsidRDefault="00E84DB1" w:rsidP="00E84DB1">
      <w:pPr>
        <w:pStyle w:val="FootnoteTxtNewParag"/>
        <w:bidi w:val="0"/>
      </w:pPr>
      <w:r>
        <w:rPr>
          <w:rStyle w:val="FootnoteReference"/>
          <w:rFonts w:hint="cs"/>
          <w:sz w:val="26"/>
          <w:szCs w:val="24"/>
          <w:rtl/>
        </w:rPr>
        <w:t>1</w:t>
      </w:r>
      <w:r>
        <w:rPr>
          <w:rFonts w:hint="cs"/>
          <w:szCs w:val="24"/>
          <w:vertAlign w:val="superscript"/>
          <w:rtl/>
        </w:rPr>
        <w:t>5</w:t>
      </w:r>
      <w:r>
        <w:rPr>
          <w:rFonts w:hint="cs"/>
          <w:sz w:val="22"/>
          <w:rtl/>
        </w:rPr>
        <w:t xml:space="preserve"> </w:t>
      </w:r>
      <w:r>
        <w:rPr>
          <w:sz w:val="22"/>
        </w:rPr>
        <w:t xml:space="preserve"> </w:t>
      </w:r>
      <w:r>
        <w:t xml:space="preserve">Edmond Jacob, </w:t>
      </w:r>
      <w:r>
        <w:rPr>
          <w:i/>
          <w:iCs/>
        </w:rPr>
        <w:t>Theology of the Old Testament</w:t>
      </w:r>
      <w:r>
        <w:t>, Trans. Arthur W. Heathcote and Philip A. Allcock (New York: Harper &amp; Rothers, 1958): 144 (note 2).</w:t>
      </w:r>
    </w:p>
  </w:footnote>
  <w:footnote w:id="28">
    <w:p w14:paraId="788345F4" w14:textId="77777777" w:rsidR="00E84DB1" w:rsidRDefault="00E84DB1" w:rsidP="00E84DB1">
      <w:pPr>
        <w:pStyle w:val="FootnoteTxtNewParag"/>
        <w:bidi w:val="0"/>
      </w:pPr>
      <w:r>
        <w:rPr>
          <w:rStyle w:val="FootnoteReference"/>
          <w:rFonts w:hint="cs"/>
          <w:sz w:val="26"/>
          <w:szCs w:val="24"/>
          <w:rtl/>
        </w:rPr>
        <w:t>1</w:t>
      </w:r>
      <w:r>
        <w:rPr>
          <w:rFonts w:hint="cs"/>
          <w:sz w:val="26"/>
          <w:szCs w:val="24"/>
          <w:vertAlign w:val="superscript"/>
          <w:rtl/>
        </w:rPr>
        <w:t>6</w:t>
      </w:r>
      <w:r>
        <w:rPr>
          <w:rFonts w:hint="cs"/>
          <w:sz w:val="22"/>
          <w:rtl/>
        </w:rPr>
        <w:t xml:space="preserve"> </w:t>
      </w:r>
      <w:r>
        <w:t>Rooker, Part 2, 422</w:t>
      </w:r>
    </w:p>
  </w:footnote>
  <w:footnote w:id="29">
    <w:p w14:paraId="5F1FAAAF" w14:textId="77777777" w:rsidR="00E84DB1" w:rsidRDefault="00E84DB1" w:rsidP="00E84DB1">
      <w:pPr>
        <w:pStyle w:val="FootnoteTxtNewParag"/>
        <w:bidi w:val="0"/>
      </w:pPr>
      <w:r>
        <w:rPr>
          <w:rStyle w:val="FootnoteReference"/>
          <w:rFonts w:hint="cs"/>
          <w:sz w:val="26"/>
          <w:szCs w:val="24"/>
          <w:rtl/>
        </w:rPr>
        <w:t>1</w:t>
      </w:r>
      <w:r>
        <w:rPr>
          <w:rFonts w:hint="cs"/>
          <w:szCs w:val="24"/>
          <w:vertAlign w:val="superscript"/>
          <w:rtl/>
        </w:rPr>
        <w:t>7</w:t>
      </w:r>
      <w:r>
        <w:rPr>
          <w:rFonts w:hint="cs"/>
          <w:sz w:val="22"/>
          <w:rtl/>
        </w:rPr>
        <w:t xml:space="preserve"> </w:t>
      </w:r>
      <w:r>
        <w:t xml:space="preserve">Cf. Weston W. Fields, </w:t>
      </w:r>
      <w:r>
        <w:rPr>
          <w:i/>
          <w:iCs/>
        </w:rPr>
        <w:t>Unformed and Unfilled: A Critique of the Gap Theory of Genesis 1: 1,2</w:t>
      </w:r>
      <w:r>
        <w:t xml:space="preserve"> (Winona Lake, IN: Light and Life Press, 1973).</w:t>
      </w:r>
    </w:p>
  </w:footnote>
  <w:footnote w:id="30">
    <w:p w14:paraId="4BD5D212" w14:textId="77777777" w:rsidR="00E84DB1" w:rsidRDefault="00E84DB1" w:rsidP="00E84DB1">
      <w:pPr>
        <w:pStyle w:val="FootnoteTxtNewParag"/>
        <w:bidi w:val="0"/>
        <w:rPr>
          <w:rtl/>
          <w:lang w:bidi="ar-SA"/>
        </w:rPr>
      </w:pPr>
      <w:r>
        <w:rPr>
          <w:rStyle w:val="FootnoteReference"/>
          <w:rFonts w:hint="cs"/>
          <w:sz w:val="26"/>
          <w:szCs w:val="24"/>
          <w:rtl/>
        </w:rPr>
        <w:t>1</w:t>
      </w:r>
      <w:r>
        <w:rPr>
          <w:rFonts w:hint="cs"/>
          <w:sz w:val="22"/>
          <w:rtl/>
        </w:rPr>
        <w:t xml:space="preserve"> </w:t>
      </w:r>
      <w:r>
        <w:t>Allen Ross, “The Exegetical Exposition of the Pentateuch” (unpublished class notes in 117 Exegesis of the Pentateuch, Dallas Seminary, Fall 1979),6.</w:t>
      </w:r>
    </w:p>
  </w:footnote>
  <w:footnote w:id="31">
    <w:p w14:paraId="64E8E12A" w14:textId="77777777" w:rsidR="00E84DB1" w:rsidRDefault="00E84DB1" w:rsidP="00E84DB1">
      <w:pPr>
        <w:pStyle w:val="FootnoteTxtNewParag"/>
        <w:rPr>
          <w:rtl/>
          <w:lang w:bidi="ar-SA"/>
        </w:rPr>
      </w:pPr>
      <w:r>
        <w:rPr>
          <w:rStyle w:val="FootnoteReference"/>
          <w:rFonts w:hint="cs"/>
          <w:sz w:val="26"/>
          <w:szCs w:val="24"/>
          <w:rtl/>
        </w:rPr>
        <w:t>2</w:t>
      </w:r>
      <w:r>
        <w:rPr>
          <w:rFonts w:hint="cs"/>
          <w:sz w:val="22"/>
          <w:rtl/>
        </w:rPr>
        <w:t xml:space="preserve"> لمزيد من الدراسة، انظر  </w:t>
      </w:r>
      <w:r>
        <w:rPr>
          <w:lang w:bidi="ar-SA"/>
        </w:rPr>
        <w:t xml:space="preserve">J. P. Moreland and Scott B. Rae, Body &amp; Soul; </w:t>
      </w:r>
      <w:r>
        <w:rPr>
          <w:i/>
          <w:iCs/>
          <w:lang w:bidi="ar-SA"/>
        </w:rPr>
        <w:t>Human Nature &amp; the Crisis in Ethics</w:t>
      </w:r>
      <w:r>
        <w:rPr>
          <w:lang w:bidi="ar-SA"/>
        </w:rPr>
        <w:t xml:space="preserve"> (Downers Grove, LL: Intervarsity Press, 2000).</w:t>
      </w:r>
    </w:p>
  </w:footnote>
  <w:footnote w:id="32">
    <w:p w14:paraId="55130649" w14:textId="77777777" w:rsidR="00E84DB1" w:rsidRDefault="00E84DB1" w:rsidP="00E84DB1">
      <w:pPr>
        <w:pStyle w:val="FootnoteTxtNewParag"/>
        <w:bidi w:val="0"/>
        <w:rPr>
          <w:rtl/>
        </w:rPr>
      </w:pPr>
      <w:r>
        <w:rPr>
          <w:rStyle w:val="FootnoteReference"/>
          <w:rFonts w:hint="cs"/>
          <w:sz w:val="26"/>
          <w:szCs w:val="24"/>
          <w:rtl/>
        </w:rPr>
        <w:t>3</w:t>
      </w:r>
      <w:r>
        <w:rPr>
          <w:rFonts w:hint="cs"/>
          <w:rtl/>
        </w:rPr>
        <w:t xml:space="preserve"> </w:t>
      </w:r>
      <w:r>
        <w:t>Allen Ross, Creation &amp; Blessing, 181-83.</w:t>
      </w:r>
    </w:p>
    <w:p w14:paraId="55E50C4A" w14:textId="77777777" w:rsidR="00E84DB1" w:rsidRDefault="00E84DB1" w:rsidP="00E84DB1">
      <w:pPr>
        <w:pStyle w:val="FootnoteText"/>
      </w:pPr>
    </w:p>
  </w:footnote>
  <w:footnote w:id="33">
    <w:p w14:paraId="4F1550B1" w14:textId="77777777" w:rsidR="00E84DB1" w:rsidRDefault="00E84DB1" w:rsidP="00E84DB1">
      <w:pPr>
        <w:pStyle w:val="FootnoteTxtNewParag"/>
        <w:rPr>
          <w:rtl/>
        </w:rPr>
      </w:pPr>
      <w:r>
        <w:rPr>
          <w:rStyle w:val="FootnoteReference"/>
          <w:rFonts w:hint="cs"/>
          <w:sz w:val="26"/>
          <w:szCs w:val="24"/>
          <w:rtl/>
        </w:rPr>
        <w:t>4</w:t>
      </w:r>
      <w:r>
        <w:rPr>
          <w:rFonts w:hint="cs"/>
          <w:rtl/>
        </w:rPr>
        <w:t xml:space="preserve"> يجب أني يكون هناك شيءٌ من الحذر بشأن هذه التعابير المتشابهة، إذ يمكن أن تكون كلمة مختلفة تصادف أن كان لها ذات حروف الجذر.  لأجل التفاصيل انظر </w:t>
      </w:r>
      <w:r>
        <w:t>The Hebrew &amp; Aramaic Lexicon of the OT (vol I, pp 493-95)</w:t>
      </w:r>
      <w:r>
        <w:rPr>
          <w:rFonts w:hint="cs"/>
          <w:rtl/>
        </w:rPr>
        <w:t>.</w:t>
      </w:r>
    </w:p>
  </w:footnote>
  <w:footnote w:id="34">
    <w:p w14:paraId="7FC58005" w14:textId="77777777" w:rsidR="00E84DB1" w:rsidRDefault="00E84DB1" w:rsidP="00E84DB1">
      <w:pPr>
        <w:pStyle w:val="FootnoteTxtNewParag"/>
        <w:rPr>
          <w:rtl/>
        </w:rPr>
      </w:pPr>
      <w:r>
        <w:rPr>
          <w:rStyle w:val="FootnoteReference"/>
          <w:rFonts w:cs="Traditional Arabic"/>
          <w:sz w:val="20"/>
          <w:lang w:bidi="ar-SA"/>
        </w:rPr>
        <w:t>5</w:t>
      </w:r>
      <w:r>
        <w:rPr>
          <w:rFonts w:hint="cs"/>
          <w:rtl/>
        </w:rPr>
        <w:t xml:space="preserve"> على الرغم من أن المشككين والباحثين النقديين يطعنون في شمولية الطوفان، إلاّ أن حدوثه استنتاج معقول.  إذ يجب أن نضع نصب أعيننا أن هذا لم يكن مجرّد طوفان كبير كان وراء تأليف "رواية أخلاقية،"  بل كان الطوفان الكتابي دينونة كبيرة من الله على الإنسان الخاطئ.  يقدّم بنوير حججاً أخرى على حدوث طوفان شامل (شمل الأرض كلّها):</w:t>
      </w:r>
    </w:p>
    <w:p w14:paraId="56CD4B55" w14:textId="77777777" w:rsidR="00E84DB1" w:rsidRDefault="00E84DB1" w:rsidP="00E84DB1">
      <w:pPr>
        <w:pStyle w:val="FootnoteTxtIndent"/>
        <w:rPr>
          <w:lang w:bidi="ar-KW"/>
        </w:rPr>
      </w:pPr>
      <w:r>
        <w:rPr>
          <w:rFonts w:hint="cs"/>
          <w:rtl/>
        </w:rPr>
        <w:t>"تشير حقيقة دوام الطوفان إلى ما يزيد على السنة (وهو شيء لا ينطبق على الفيضانات المحلية) إلى أن طوفان نوح شمل الأرض كلّها.  وفضلاً عن ذلك، فإن ذكر سفر التكوين أن كل الجبال العالية غطّيت بالماء ما يزيد عشرين قدماً يثبت أن الفيضان غير مقصور على منطقة محلية (7: 19-20).  حتى إن مسألة بناء فُلك أصلاً وتجميع الحيوانات أمر بلا معنى إلا إذا كان الطوفان يشمل العالم كلّه"</w:t>
      </w:r>
      <w:r>
        <w:rPr>
          <w:lang w:bidi="ar-SA"/>
        </w:rPr>
        <w:t xml:space="preserve">Paul Benware, </w:t>
      </w:r>
      <w:r>
        <w:rPr>
          <w:i/>
          <w:iCs/>
          <w:lang w:bidi="ar-SA"/>
        </w:rPr>
        <w:t>Survey of the Old Testament,</w:t>
      </w:r>
      <w:r>
        <w:rPr>
          <w:lang w:bidi="ar-SA"/>
        </w:rPr>
        <w:t xml:space="preserve"> 33) </w:t>
      </w:r>
      <w:r>
        <w:rPr>
          <w:rFonts w:hint="cs"/>
          <w:rtl/>
        </w:rPr>
        <w:t xml:space="preserve"> </w:t>
      </w:r>
      <w:r>
        <w:rPr>
          <w:rFonts w:hint="cs"/>
          <w:rtl/>
          <w:lang w:bidi="ar-SA"/>
        </w:rPr>
        <w:t>)</w:t>
      </w:r>
      <w:r>
        <w:rPr>
          <w:rFonts w:hint="cs"/>
          <w:rtl/>
          <w:lang w:bidi="ar-KW"/>
        </w:rPr>
        <w:t>.</w:t>
      </w:r>
    </w:p>
  </w:footnote>
  <w:footnote w:id="35">
    <w:p w14:paraId="1CCFDE1D" w14:textId="77777777" w:rsidR="00E84DB1" w:rsidRDefault="00E84DB1" w:rsidP="00E84DB1">
      <w:pPr>
        <w:pStyle w:val="FootnoteTxtNewParag"/>
        <w:bidi w:val="0"/>
        <w:rPr>
          <w:rtl/>
        </w:rPr>
      </w:pPr>
      <w:r>
        <w:rPr>
          <w:rStyle w:val="FootnoteReference"/>
          <w:rFonts w:cs="Traditional Arabic"/>
          <w:sz w:val="20"/>
          <w:lang w:bidi="ar-SA"/>
        </w:rPr>
        <w:t>6</w:t>
      </w:r>
      <w:r>
        <w:rPr>
          <w:rFonts w:hint="cs"/>
          <w:rtl/>
        </w:rPr>
        <w:t xml:space="preserve"> </w:t>
      </w:r>
      <w:r>
        <w:t>Cf.  Allen Ross, “</w:t>
      </w:r>
      <w:r>
        <w:rPr>
          <w:i/>
          <w:iCs/>
        </w:rPr>
        <w:t>The Curse of Canaan</w:t>
      </w:r>
      <w:r>
        <w:t xml:space="preserve">,” </w:t>
      </w:r>
      <w:r>
        <w:rPr>
          <w:i/>
          <w:iCs/>
        </w:rPr>
        <w:t>BibSac</w:t>
      </w:r>
      <w:r>
        <w:t xml:space="preserve"> 137-547 (Jul-Sep 1980)</w:t>
      </w:r>
    </w:p>
    <w:p w14:paraId="6D88B707" w14:textId="77777777" w:rsidR="00E84DB1" w:rsidRDefault="00E84DB1" w:rsidP="00E84DB1">
      <w:pPr>
        <w:pStyle w:val="FootnoteText"/>
        <w:rPr>
          <w:lang w:bidi="ar-JO"/>
        </w:rPr>
      </w:pPr>
    </w:p>
  </w:footnote>
  <w:footnote w:id="36">
    <w:p w14:paraId="30E28619" w14:textId="77777777" w:rsidR="00E84DB1" w:rsidRDefault="00E84DB1" w:rsidP="00E84DB1">
      <w:pPr>
        <w:pStyle w:val="FootnoteTxtNewParag"/>
        <w:bidi w:val="0"/>
        <w:rPr>
          <w:i/>
          <w:iCs/>
        </w:rPr>
      </w:pPr>
      <w:r>
        <w:rPr>
          <w:rStyle w:val="FootnoteReference"/>
          <w:rFonts w:cs="Traditional Arabic"/>
          <w:sz w:val="20"/>
          <w:lang w:bidi="ar-SA"/>
        </w:rPr>
        <w:t>7</w:t>
      </w:r>
      <w:r>
        <w:rPr>
          <w:rFonts w:hint="cs"/>
          <w:sz w:val="22"/>
          <w:rtl/>
        </w:rPr>
        <w:t xml:space="preserve"> </w:t>
      </w:r>
      <w:r>
        <w:t xml:space="preserve">Allen Ross, “The Table of Nations in Genesis 10- its Structure,” </w:t>
      </w:r>
      <w:r>
        <w:rPr>
          <w:i/>
          <w:iCs/>
        </w:rPr>
        <w:t xml:space="preserve">BibSac </w:t>
      </w:r>
      <w:r>
        <w:t>137-548 (Oct-Dec 1986) and 138-549 (Jan-Feb 1981).</w:t>
      </w:r>
      <w:r>
        <w:rPr>
          <w:i/>
          <w:iCs/>
        </w:rPr>
        <w:t xml:space="preserve"> </w:t>
      </w:r>
    </w:p>
  </w:footnote>
  <w:footnote w:id="37">
    <w:p w14:paraId="7D3F3EFA" w14:textId="77777777" w:rsidR="00E84DB1" w:rsidRDefault="00E84DB1" w:rsidP="00E84DB1">
      <w:pPr>
        <w:pStyle w:val="FootnoteTxtNewParag"/>
        <w:bidi w:val="0"/>
      </w:pPr>
      <w:r>
        <w:rPr>
          <w:rStyle w:val="FootnoteReference"/>
          <w:rFonts w:cs="Traditional Arabic"/>
          <w:sz w:val="20"/>
          <w:lang w:bidi="ar-SA"/>
        </w:rPr>
        <w:t>8</w:t>
      </w:r>
      <w:r>
        <w:rPr>
          <w:rFonts w:hint="cs"/>
          <w:sz w:val="22"/>
          <w:rtl/>
        </w:rPr>
        <w:t xml:space="preserve"> </w:t>
      </w:r>
      <w:r>
        <w:t>Allen Ross, “The Description of Nations in Genesis 11: 1-9, “</w:t>
      </w:r>
      <w:r>
        <w:rPr>
          <w:i/>
          <w:iCs/>
        </w:rPr>
        <w:t>BibSac</w:t>
      </w:r>
      <w:r>
        <w:t xml:space="preserve"> 137-550 (Apr-Jun 1981).</w:t>
      </w:r>
    </w:p>
  </w:footnote>
  <w:footnote w:id="38">
    <w:p w14:paraId="4B76A2EE" w14:textId="77777777" w:rsidR="0048608E" w:rsidRDefault="0048608E" w:rsidP="0048608E">
      <w:pPr>
        <w:pStyle w:val="FootnoteTxtNewParag"/>
        <w:rPr>
          <w:rtl/>
        </w:rPr>
      </w:pPr>
      <w:r>
        <w:rPr>
          <w:rStyle w:val="FootnoteReference"/>
          <w:rFonts w:hint="cs"/>
          <w:sz w:val="26"/>
          <w:szCs w:val="24"/>
          <w:rtl/>
        </w:rPr>
        <w:t>1</w:t>
      </w:r>
      <w:r>
        <w:rPr>
          <w:rFonts w:hint="cs"/>
          <w:rtl/>
        </w:rPr>
        <w:t xml:space="preserve"> يشير استخدام الفعل "التام" مع </w:t>
      </w:r>
      <w:r>
        <w:rPr>
          <w:rFonts w:hint="cs"/>
          <w:i/>
          <w:iCs/>
          <w:rtl/>
        </w:rPr>
        <w:t>الواو الاستدراكية</w:t>
      </w:r>
      <w:r>
        <w:rPr>
          <w:rFonts w:hint="cs"/>
          <w:rtl/>
        </w:rPr>
        <w:t xml:space="preserve"> في اللغة العبرية (وآمن) هنا إلى</w:t>
      </w:r>
      <w:r>
        <w:rPr>
          <w:rFonts w:hint="cs"/>
          <w:rtl/>
          <w:lang w:bidi="ar-SA"/>
        </w:rPr>
        <w:t xml:space="preserve"> أن</w:t>
      </w:r>
      <w:r>
        <w:rPr>
          <w:rFonts w:hint="cs"/>
          <w:rtl/>
        </w:rPr>
        <w:t xml:space="preserve"> الآية السادسة ليست فكرة تدل على التعاقب بعد الآية السابقة.</w:t>
      </w:r>
    </w:p>
  </w:footnote>
  <w:footnote w:id="39">
    <w:p w14:paraId="21555C34" w14:textId="77777777" w:rsidR="0048608E" w:rsidRDefault="0048608E" w:rsidP="0048608E">
      <w:pPr>
        <w:pStyle w:val="FootnoteTxtNewParag"/>
        <w:bidi w:val="0"/>
        <w:rPr>
          <w:sz w:val="22"/>
        </w:rPr>
      </w:pPr>
      <w:r>
        <w:rPr>
          <w:rStyle w:val="FootnoteReference"/>
          <w:rFonts w:hint="cs"/>
          <w:sz w:val="26"/>
          <w:szCs w:val="24"/>
          <w:rtl/>
        </w:rPr>
        <w:t>2</w:t>
      </w:r>
      <w:r>
        <w:rPr>
          <w:rFonts w:hint="cs"/>
          <w:sz w:val="22"/>
          <w:rtl/>
        </w:rPr>
        <w:t xml:space="preserve"> ِ</w:t>
      </w:r>
      <w:r>
        <w:t>Allen Ross, “The Exegetical Exposition of the Pentateuch: Genesis,” (unpublished class notes in 117 Exegesis of the Pentateuch, Dallas Seminary, 1979),45.</w:t>
      </w:r>
      <w:r>
        <w:rPr>
          <w:sz w:val="22"/>
        </w:rPr>
        <w:t xml:space="preserve"> </w:t>
      </w:r>
    </w:p>
  </w:footnote>
  <w:footnote w:id="40">
    <w:p w14:paraId="62BF0544" w14:textId="77777777" w:rsidR="0048608E" w:rsidRDefault="0048608E" w:rsidP="0048608E">
      <w:pPr>
        <w:pStyle w:val="FootnoteTxtNewParag"/>
        <w:rPr>
          <w:rtl/>
          <w:lang w:bidi="ar-SA"/>
        </w:rPr>
      </w:pPr>
      <w:r>
        <w:rPr>
          <w:rStyle w:val="FootnoteReference"/>
          <w:rFonts w:hint="cs"/>
          <w:sz w:val="26"/>
          <w:szCs w:val="24"/>
          <w:rtl/>
        </w:rPr>
        <w:t>3</w:t>
      </w:r>
      <w:r>
        <w:rPr>
          <w:rFonts w:hint="cs"/>
          <w:rtl/>
        </w:rPr>
        <w:t xml:space="preserve"> سيفهم جيل الخروج من الإشارة إلى السنوات الأربع مائ</w:t>
      </w:r>
      <w:r>
        <w:rPr>
          <w:rFonts w:hint="eastAsia"/>
          <w:rtl/>
        </w:rPr>
        <w:t>ة</w:t>
      </w:r>
      <w:r>
        <w:rPr>
          <w:rFonts w:hint="cs"/>
          <w:rtl/>
        </w:rPr>
        <w:t xml:space="preserve"> أن فكرة مغادرة مصر لم تكن "خطة متعجلة" من خطط موسى.</w:t>
      </w:r>
    </w:p>
  </w:footnote>
  <w:footnote w:id="41">
    <w:p w14:paraId="01749454" w14:textId="77777777" w:rsidR="0048608E" w:rsidRDefault="0048608E" w:rsidP="0048608E">
      <w:pPr>
        <w:pStyle w:val="FootnoteTxtNewParag"/>
        <w:rPr>
          <w:rtl/>
        </w:rPr>
      </w:pPr>
      <w:r>
        <w:rPr>
          <w:rStyle w:val="FootnoteReference"/>
          <w:rFonts w:hint="cs"/>
          <w:sz w:val="26"/>
          <w:szCs w:val="24"/>
          <w:rtl/>
        </w:rPr>
        <w:t>4</w:t>
      </w:r>
      <w:r>
        <w:rPr>
          <w:rFonts w:hint="cs"/>
          <w:rtl/>
        </w:rPr>
        <w:t xml:space="preserve"> على الرغم من أن اقتراح ساراي أن ينجب أبرام طفلاً من هاجر قد يبدو مشيناً اليوم، إلاّ أن تلك العادة كانت مقبولة تماماً في ذلك العصر، كما أظهرت المكتشفات الأثرية.  يقول ميريل:</w:t>
      </w:r>
    </w:p>
    <w:p w14:paraId="706B023A" w14:textId="77777777" w:rsidR="0048608E" w:rsidRDefault="0048608E" w:rsidP="0048608E">
      <w:pPr>
        <w:pStyle w:val="FootnoteTxtIndent"/>
        <w:rPr>
          <w:rtl/>
          <w:lang w:bidi="ar-SA"/>
        </w:rPr>
      </w:pPr>
      <w:r>
        <w:rPr>
          <w:rFonts w:hint="cs"/>
          <w:rtl/>
        </w:rPr>
        <w:t>"تفيد ألواح نوزي، وهي وثائق حورية (</w:t>
      </w:r>
      <w:r>
        <w:rPr>
          <w:lang w:bidi="ar-SA"/>
        </w:rPr>
        <w:t>Hurrian</w:t>
      </w:r>
      <w:r>
        <w:rPr>
          <w:rFonts w:hint="cs"/>
          <w:rtl/>
        </w:rPr>
        <w:t>) مسمارية قديمة تتناول عادات تلك الفترة وشريعتها، أن ما عمله أبرام وزوجته في هذا الخصوص كان أمراً مشروعاً تماماً.  فكان أي أولاد يولدون من هذا الترتيب للزواج (الذي تم بناءً على مبادرة الزوجة الأصلية) يُعتبرون ورثة شرعيين للزوج إلاَّ إذا وُلِد أولادٌ للزوجة الأصلية، وحتى يؤكدون لها.</w:t>
      </w:r>
      <w:r>
        <w:rPr>
          <w:rFonts w:hint="cs"/>
          <w:rtl/>
          <w:lang w:bidi="ar-SA"/>
        </w:rPr>
        <w:t xml:space="preserve"> </w:t>
      </w:r>
      <w:r>
        <w:t>(Eugene H. Merril, An Historical Survey of the Old Testament [Grand Rapids: Baker Book House, 1980], 76; quoted in Paul Benware, Survey of the Old Testament, 43).</w:t>
      </w:r>
    </w:p>
  </w:footnote>
  <w:footnote w:id="42">
    <w:p w14:paraId="12FDA526" w14:textId="77777777" w:rsidR="0048608E" w:rsidRDefault="0048608E" w:rsidP="0048608E">
      <w:pPr>
        <w:pStyle w:val="FootnoteTxtNewParag"/>
        <w:rPr>
          <w:rtl/>
        </w:rPr>
      </w:pPr>
      <w:r>
        <w:rPr>
          <w:rStyle w:val="FootnoteReference"/>
          <w:rFonts w:hint="cs"/>
          <w:sz w:val="26"/>
          <w:szCs w:val="24"/>
          <w:rtl/>
        </w:rPr>
        <w:t>5</w:t>
      </w:r>
      <w:r>
        <w:rPr>
          <w:rFonts w:hint="cs"/>
          <w:rtl/>
        </w:rPr>
        <w:t xml:space="preserve"> لاحظ الآيات التالية: تكوين 12: 14؛ 21: 5؛ 25: 26؛ 47: 9؛ خروج 12: 40؛ 1ملوك 6: 1.  بُني هيكل سليمان في حوالي عام 966ق م.  لنقاش حول الترتيب الزمني للآباء، انظر  </w:t>
      </w:r>
      <w:r>
        <w:rPr>
          <w:lang w:bidi="ar-SA"/>
        </w:rPr>
        <w:t xml:space="preserve">Merril, </w:t>
      </w:r>
      <w:r>
        <w:rPr>
          <w:i/>
          <w:iCs/>
          <w:lang w:bidi="ar-SA"/>
        </w:rPr>
        <w:t>Kingdom of Priests</w:t>
      </w:r>
      <w:r>
        <w:rPr>
          <w:lang w:bidi="ar-SA"/>
        </w:rPr>
        <w:t xml:space="preserve"> (75-79)</w:t>
      </w:r>
      <w:r>
        <w:rPr>
          <w:rFonts w:hint="cs"/>
          <w:rtl/>
          <w:lang w:bidi="ar-SA"/>
        </w:rPr>
        <w:t xml:space="preserve">. </w:t>
      </w:r>
      <w:r>
        <w:rPr>
          <w:rFonts w:hint="cs"/>
          <w:rtl/>
        </w:rPr>
        <w:t xml:space="preserve"> يقول ميريل إن أبرام غادر حاران خلال 25 سنة من مغادرته أور (ص 29).</w:t>
      </w:r>
    </w:p>
  </w:footnote>
  <w:footnote w:id="43">
    <w:p w14:paraId="27B56318" w14:textId="77777777" w:rsidR="0048608E" w:rsidRDefault="0048608E" w:rsidP="0048608E">
      <w:pPr>
        <w:pStyle w:val="FootnoteTxtNewParag"/>
        <w:rPr>
          <w:rtl/>
          <w:lang w:bidi="ar-SA"/>
        </w:rPr>
      </w:pPr>
      <w:r>
        <w:rPr>
          <w:rStyle w:val="FootnoteReference"/>
          <w:rFonts w:hint="cs"/>
          <w:sz w:val="26"/>
          <w:szCs w:val="24"/>
          <w:rtl/>
        </w:rPr>
        <w:t>6</w:t>
      </w:r>
      <w:r>
        <w:rPr>
          <w:rFonts w:hint="cs"/>
          <w:rtl/>
        </w:rPr>
        <w:t xml:space="preserve"> يقول بنوير: </w:t>
      </w:r>
    </w:p>
    <w:p w14:paraId="74A763B6" w14:textId="77777777" w:rsidR="0048608E" w:rsidRDefault="0048608E" w:rsidP="0048608E">
      <w:pPr>
        <w:pStyle w:val="FootnoteTxtIndent"/>
      </w:pPr>
      <w:r>
        <w:rPr>
          <w:rFonts w:hint="cs"/>
          <w:rtl/>
        </w:rPr>
        <w:t xml:space="preserve">"اعتمد التحقيق الكامل النهائي للعهد الإبراهيمي على الله، لا على إبراهيم أو إسحاق أو يعقوب أو أمة إسرائيل.  لكن خطايا هؤلاء الرجال وعدم إيمان إسرائيل كانت لها أثر.  فعلى الرغم من أن فشلهم لم يلغي الوعود قط، إلاّ أنه سيؤثر على بركتهم الشخصية ويمكن أن يعوق برنامج الله مؤقتاً... إذاً على الرغم من أنه لم تكن للعهد الإبراهيمي شروط ملحقة به، إلاّ أن عدم إيمان المتلقي يمكن، كما حدث مرات كثيرة، أن ينأى بهم عن مكان الرضا والبركة من الله." </w:t>
      </w:r>
      <w:r>
        <w:t xml:space="preserve">(Paul Benware, </w:t>
      </w:r>
      <w:r>
        <w:rPr>
          <w:i/>
          <w:iCs/>
        </w:rPr>
        <w:t>Survey of the Old Testament, 39</w:t>
      </w:r>
      <w:r>
        <w:t xml:space="preserve">) </w:t>
      </w:r>
    </w:p>
  </w:footnote>
  <w:footnote w:id="44">
    <w:p w14:paraId="2BC22D4C" w14:textId="77777777" w:rsidR="005755E0" w:rsidRDefault="005755E0" w:rsidP="005755E0">
      <w:pPr>
        <w:pStyle w:val="FootnoteTxtNewParag"/>
        <w:bidi w:val="0"/>
        <w:rPr>
          <w:rtl/>
        </w:rPr>
      </w:pPr>
      <w:r>
        <w:rPr>
          <w:rStyle w:val="FootnoteReference"/>
          <w:rFonts w:hint="cs"/>
          <w:sz w:val="26"/>
          <w:szCs w:val="24"/>
          <w:rtl/>
        </w:rPr>
        <w:t>1</w:t>
      </w:r>
      <w:r>
        <w:rPr>
          <w:rFonts w:hint="cs"/>
          <w:rtl/>
        </w:rPr>
        <w:t xml:space="preserve"> </w:t>
      </w:r>
      <w:r>
        <w:t xml:space="preserve">Allen Ross, “Genesis,” in </w:t>
      </w:r>
      <w:r>
        <w:rPr>
          <w:i/>
          <w:iCs/>
        </w:rPr>
        <w:t>The Bible Knowledge Commentary</w:t>
      </w:r>
      <w:r>
        <w:t>, 81</w:t>
      </w:r>
    </w:p>
    <w:p w14:paraId="535078B3" w14:textId="77777777" w:rsidR="005755E0" w:rsidRDefault="005755E0" w:rsidP="005755E0">
      <w:pPr>
        <w:pStyle w:val="FootnoteText"/>
      </w:pPr>
    </w:p>
  </w:footnote>
  <w:footnote w:id="45">
    <w:p w14:paraId="7EA7CA32" w14:textId="77777777" w:rsidR="00DE116E" w:rsidRDefault="00DE116E" w:rsidP="00DE116E">
      <w:pPr>
        <w:pStyle w:val="FootnoteTxtNewParag"/>
        <w:rPr>
          <w:rtl/>
        </w:rPr>
      </w:pPr>
      <w:r>
        <w:rPr>
          <w:rStyle w:val="FootnoteReference"/>
          <w:rFonts w:hint="cs"/>
          <w:sz w:val="26"/>
          <w:szCs w:val="24"/>
          <w:rtl/>
        </w:rPr>
        <w:t>2</w:t>
      </w:r>
      <w:r>
        <w:rPr>
          <w:rFonts w:hint="cs"/>
          <w:rtl/>
        </w:rPr>
        <w:t xml:space="preserve"> كان هذا التصرف شائعاً في الحياة الكنعانية، وفي أسلوب الحياة المفهوم ضمناً لآلهتهم. </w:t>
      </w:r>
      <w:r>
        <w:t xml:space="preserve">Charles F. Pfeiffer, </w:t>
      </w:r>
      <w:r>
        <w:rPr>
          <w:i/>
          <w:iCs/>
        </w:rPr>
        <w:t>Ras Shamra and the Bible</w:t>
      </w:r>
      <w:r>
        <w:t xml:space="preserve"> (Grand Rapids, MI: Baker Book House, 1962), 31-32.</w:t>
      </w:r>
      <w:r>
        <w:rPr>
          <w:i/>
          <w:iCs/>
        </w:rPr>
        <w:t xml:space="preserve">  </w:t>
      </w:r>
      <w:r>
        <w:t xml:space="preserve"> </w:t>
      </w:r>
    </w:p>
  </w:footnote>
  <w:footnote w:id="46">
    <w:p w14:paraId="0604D522" w14:textId="77777777" w:rsidR="00DE116E" w:rsidRDefault="00DE116E" w:rsidP="00DE116E">
      <w:pPr>
        <w:pStyle w:val="FootnoteTxtNewParag"/>
        <w:rPr>
          <w:i/>
          <w:iCs/>
        </w:rPr>
      </w:pPr>
      <w:r>
        <w:rPr>
          <w:rStyle w:val="FootnoteReference"/>
          <w:rFonts w:hint="cs"/>
          <w:sz w:val="26"/>
          <w:szCs w:val="24"/>
          <w:rtl/>
        </w:rPr>
        <w:t>3</w:t>
      </w:r>
      <w:r>
        <w:rPr>
          <w:rFonts w:hint="cs"/>
          <w:rtl/>
        </w:rPr>
        <w:t xml:space="preserve"> بدأ التغرب في مصر في حوالي عام 1876 ق م بناء على 1ملوك 6: 1؛ خروج 12: 40-41. </w:t>
      </w:r>
      <w:r>
        <w:t xml:space="preserve">Cf. Eugene Merrill, “Fixed Dates in Patriarchal Chronology,” </w:t>
      </w:r>
      <w:r>
        <w:rPr>
          <w:i/>
          <w:iCs/>
        </w:rPr>
        <w:t>BibSac</w:t>
      </w:r>
      <w:r>
        <w:t xml:space="preserve"> 137 (1980) 241-51; and </w:t>
      </w:r>
      <w:r>
        <w:rPr>
          <w:i/>
          <w:iCs/>
        </w:rPr>
        <w:t xml:space="preserve">Kingdom of Priests, </w:t>
      </w:r>
      <w:r>
        <w:t>48-49.</w:t>
      </w:r>
      <w:r>
        <w:rPr>
          <w:i/>
          <w:iCs/>
        </w:rPr>
        <w:t xml:space="preserve"> </w:t>
      </w:r>
    </w:p>
  </w:footnote>
  <w:footnote w:id="47">
    <w:p w14:paraId="02711B4C" w14:textId="77777777" w:rsidR="00DE116E" w:rsidRDefault="00DE116E" w:rsidP="00DE116E">
      <w:pPr>
        <w:pStyle w:val="FootnoteTxtNewParag"/>
        <w:rPr>
          <w:rtl/>
        </w:rPr>
      </w:pPr>
      <w:r>
        <w:rPr>
          <w:rStyle w:val="FootnoteReference"/>
          <w:rFonts w:hint="cs"/>
          <w:sz w:val="26"/>
          <w:szCs w:val="24"/>
          <w:rtl/>
        </w:rPr>
        <w:t>4</w:t>
      </w:r>
      <w:r>
        <w:rPr>
          <w:rFonts w:hint="cs"/>
          <w:rtl/>
        </w:rPr>
        <w:t xml:space="preserve"> يقول ميريل إن "يوسف ولد في عام 1916ق م، ودخل مصر في عام 1899ق م، واستلم مركز القوة والنفوذ في عام 1886ق م، ومات في عام 1806ق م (تكوين 50: 22) عندما بلغ 110 سنوات من عمره" (</w:t>
      </w:r>
      <w:r>
        <w:rPr>
          <w:i/>
          <w:iCs/>
          <w:lang w:bidi="ar-SA"/>
        </w:rPr>
        <w:t>Kingdom of Priests</w:t>
      </w:r>
      <w:r>
        <w:rPr>
          <w:lang w:bidi="ar-SA"/>
        </w:rPr>
        <w:t>, 49</w:t>
      </w:r>
      <w:r>
        <w:rPr>
          <w:rFonts w:hint="cs"/>
          <w:rtl/>
        </w:rPr>
        <w:t>).</w:t>
      </w:r>
    </w:p>
  </w:footnote>
  <w:footnote w:id="48">
    <w:p w14:paraId="2CAF8205" w14:textId="77777777" w:rsidR="00B35650" w:rsidRDefault="00B35650" w:rsidP="00B35650">
      <w:pPr>
        <w:pStyle w:val="FootnoteTxtNewParag"/>
        <w:bidi w:val="0"/>
      </w:pPr>
      <w:r>
        <w:rPr>
          <w:rStyle w:val="FootnoteReference"/>
          <w:rFonts w:hint="cs"/>
          <w:rtl/>
        </w:rPr>
        <w:t>1</w:t>
      </w:r>
      <w:r>
        <w:rPr>
          <w:rFonts w:hint="cs"/>
          <w:sz w:val="22"/>
          <w:szCs w:val="22"/>
          <w:rtl/>
        </w:rPr>
        <w:t xml:space="preserve"> </w:t>
      </w:r>
      <w:r>
        <w:t>Merrill, Kingdom of Priests, 57</w:t>
      </w:r>
    </w:p>
  </w:footnote>
  <w:footnote w:id="49">
    <w:p w14:paraId="641BCB43" w14:textId="77777777" w:rsidR="00B35650" w:rsidRDefault="00B35650" w:rsidP="00B35650">
      <w:pPr>
        <w:pStyle w:val="FootnoteTxtNewParag"/>
        <w:bidi w:val="0"/>
      </w:pPr>
      <w:r>
        <w:rPr>
          <w:rStyle w:val="FootnoteReference"/>
          <w:rFonts w:hint="cs"/>
          <w:sz w:val="26"/>
          <w:szCs w:val="24"/>
          <w:rtl/>
        </w:rPr>
        <w:t>2</w:t>
      </w:r>
      <w:r>
        <w:rPr>
          <w:rFonts w:hint="cs"/>
          <w:sz w:val="22"/>
          <w:rtl/>
        </w:rPr>
        <w:t xml:space="preserve"> </w:t>
      </w:r>
      <w:r>
        <w:t xml:space="preserve">Umberto Cassuto, </w:t>
      </w:r>
      <w:r>
        <w:rPr>
          <w:i/>
          <w:iCs/>
        </w:rPr>
        <w:t>A Commentary on the Book of Exodus</w:t>
      </w:r>
      <w:r>
        <w:t>, trans.  by Israel Abrahams (Jerusalem: Magness Press, 1967), 15</w:t>
      </w:r>
    </w:p>
  </w:footnote>
  <w:footnote w:id="50">
    <w:p w14:paraId="1951B431" w14:textId="77777777" w:rsidR="00B35650" w:rsidRDefault="00B35650" w:rsidP="00B35650">
      <w:pPr>
        <w:pStyle w:val="FootnoteTxtNewParag"/>
        <w:rPr>
          <w:rtl/>
        </w:rPr>
      </w:pPr>
      <w:r>
        <w:rPr>
          <w:rStyle w:val="FootnoteReference"/>
          <w:rFonts w:hint="cs"/>
          <w:sz w:val="26"/>
          <w:szCs w:val="24"/>
          <w:rtl/>
        </w:rPr>
        <w:t>3</w:t>
      </w:r>
      <w:r>
        <w:rPr>
          <w:rFonts w:hint="cs"/>
          <w:rtl/>
        </w:rPr>
        <w:t xml:space="preserve"> تقول المشنا اليهودية إنه لن تكون هناك قيامة لمن "يلفظ اسم الله حسب حروفه" (</w:t>
      </w:r>
      <w:r>
        <w:rPr>
          <w:lang w:bidi="ar-SA"/>
        </w:rPr>
        <w:t>Sanhedrin 9: 10</w:t>
      </w:r>
      <w:r>
        <w:rPr>
          <w:rFonts w:hint="cs"/>
          <w:rtl/>
        </w:rPr>
        <w:t>).</w:t>
      </w:r>
    </w:p>
  </w:footnote>
  <w:footnote w:id="51">
    <w:p w14:paraId="6E7A7006" w14:textId="77777777" w:rsidR="00B35650" w:rsidRDefault="00B35650" w:rsidP="00B35650">
      <w:pPr>
        <w:pStyle w:val="FootnoteTxtNewParag"/>
        <w:bidi w:val="0"/>
        <w:rPr>
          <w:sz w:val="22"/>
          <w:lang w:bidi="ar-SA"/>
        </w:rPr>
      </w:pPr>
      <w:r>
        <w:rPr>
          <w:rStyle w:val="FootnoteReference"/>
          <w:rFonts w:hint="cs"/>
          <w:sz w:val="26"/>
          <w:szCs w:val="24"/>
          <w:rtl/>
        </w:rPr>
        <w:t>4</w:t>
      </w:r>
      <w:r>
        <w:rPr>
          <w:rFonts w:hint="cs"/>
          <w:sz w:val="22"/>
          <w:rtl/>
        </w:rPr>
        <w:t xml:space="preserve"> </w:t>
      </w:r>
      <w:r>
        <w:rPr>
          <w:lang w:bidi="ar-SA"/>
        </w:rPr>
        <w:t>Cassuto, 38</w:t>
      </w:r>
    </w:p>
  </w:footnote>
  <w:footnote w:id="52">
    <w:p w14:paraId="6A28872B" w14:textId="77777777" w:rsidR="00B35650" w:rsidRDefault="00B35650" w:rsidP="00B35650">
      <w:pPr>
        <w:pStyle w:val="FootnoteTxtNewParag"/>
        <w:rPr>
          <w:rtl/>
        </w:rPr>
      </w:pPr>
      <w:r>
        <w:rPr>
          <w:rStyle w:val="FootnoteReference"/>
          <w:rFonts w:hint="cs"/>
          <w:sz w:val="26"/>
          <w:szCs w:val="24"/>
          <w:rtl/>
        </w:rPr>
        <w:t>5</w:t>
      </w:r>
      <w:r>
        <w:rPr>
          <w:rFonts w:hint="cs"/>
          <w:rtl/>
        </w:rPr>
        <w:t xml:space="preserve"> المرجع السابق، 41.</w:t>
      </w:r>
    </w:p>
  </w:footnote>
  <w:footnote w:id="53">
    <w:p w14:paraId="2FD67987" w14:textId="77777777" w:rsidR="00B35650" w:rsidRDefault="00B35650" w:rsidP="00B35650">
      <w:pPr>
        <w:pStyle w:val="FootnoteTxtNewParag"/>
        <w:rPr>
          <w:rtl/>
        </w:rPr>
      </w:pPr>
      <w:r>
        <w:rPr>
          <w:rStyle w:val="FootnoteReference"/>
          <w:rFonts w:hint="cs"/>
          <w:sz w:val="26"/>
          <w:szCs w:val="24"/>
          <w:rtl/>
        </w:rPr>
        <w:t>6</w:t>
      </w:r>
      <w:r>
        <w:rPr>
          <w:rFonts w:hint="cs"/>
          <w:rtl/>
        </w:rPr>
        <w:t xml:space="preserve"> المرجع السابق، 46.</w:t>
      </w:r>
    </w:p>
  </w:footnote>
  <w:footnote w:id="54">
    <w:p w14:paraId="52010204" w14:textId="77777777" w:rsidR="00B35650" w:rsidRDefault="00B35650" w:rsidP="00B35650">
      <w:pPr>
        <w:pStyle w:val="FootnoteTxtNewParag"/>
        <w:rPr>
          <w:rtl/>
        </w:rPr>
      </w:pPr>
      <w:r>
        <w:rPr>
          <w:rStyle w:val="FootnoteReference"/>
          <w:rFonts w:hint="cs"/>
          <w:sz w:val="26"/>
          <w:szCs w:val="24"/>
          <w:rtl/>
        </w:rPr>
        <w:t>7</w:t>
      </w:r>
      <w:r>
        <w:rPr>
          <w:rFonts w:hint="cs"/>
          <w:rtl/>
        </w:rPr>
        <w:t xml:space="preserve"> المرجع السابق، 47.</w:t>
      </w:r>
    </w:p>
  </w:footnote>
  <w:footnote w:id="55">
    <w:p w14:paraId="0BB7225B" w14:textId="77777777" w:rsidR="00B35650" w:rsidRDefault="00B35650" w:rsidP="00B35650">
      <w:pPr>
        <w:pStyle w:val="FootnoteTxtNewParag"/>
        <w:rPr>
          <w:rtl/>
        </w:rPr>
      </w:pPr>
      <w:r>
        <w:rPr>
          <w:rStyle w:val="FootnoteReference"/>
          <w:rFonts w:hint="cs"/>
          <w:sz w:val="26"/>
          <w:szCs w:val="24"/>
          <w:rtl/>
        </w:rPr>
        <w:t>8</w:t>
      </w:r>
      <w:r>
        <w:rPr>
          <w:rFonts w:hint="cs"/>
          <w:rtl/>
        </w:rPr>
        <w:t xml:space="preserve"> المرجع السابق، 48.</w:t>
      </w:r>
    </w:p>
  </w:footnote>
  <w:footnote w:id="56">
    <w:p w14:paraId="0BADBACE" w14:textId="77777777" w:rsidR="00B35650" w:rsidRDefault="00B35650" w:rsidP="00B35650">
      <w:pPr>
        <w:pStyle w:val="FootnoteTxtNewParag"/>
        <w:bidi w:val="0"/>
      </w:pPr>
      <w:r>
        <w:rPr>
          <w:rStyle w:val="FootnoteReference"/>
          <w:rFonts w:hint="cs"/>
          <w:sz w:val="26"/>
          <w:szCs w:val="24"/>
          <w:rtl/>
        </w:rPr>
        <w:t>9</w:t>
      </w:r>
      <w:r>
        <w:rPr>
          <w:rFonts w:hint="cs"/>
          <w:rtl/>
        </w:rPr>
        <w:t xml:space="preserve"> </w:t>
      </w:r>
      <w:r>
        <w:t>Cassuto, 68</w:t>
      </w:r>
    </w:p>
  </w:footnote>
  <w:footnote w:id="57">
    <w:p w14:paraId="22E417BA" w14:textId="77777777" w:rsidR="00B35650" w:rsidRDefault="00B35650" w:rsidP="00B35650">
      <w:pPr>
        <w:pStyle w:val="FootnoteTxtNewParag"/>
        <w:rPr>
          <w:rtl/>
        </w:rPr>
      </w:pPr>
      <w:r>
        <w:rPr>
          <w:rStyle w:val="FootnoteReference"/>
          <w:rFonts w:hint="cs"/>
          <w:sz w:val="26"/>
          <w:szCs w:val="24"/>
          <w:rtl/>
        </w:rPr>
        <w:t>10</w:t>
      </w:r>
      <w:r>
        <w:rPr>
          <w:rFonts w:hint="cs"/>
          <w:rtl/>
        </w:rPr>
        <w:t xml:space="preserve"> المرجع السابق، 73.</w:t>
      </w:r>
    </w:p>
  </w:footnote>
  <w:footnote w:id="58">
    <w:p w14:paraId="236EF877" w14:textId="77777777" w:rsidR="00B35650" w:rsidRDefault="00B35650" w:rsidP="00B35650">
      <w:pPr>
        <w:pStyle w:val="FootnoteTxtNewParag"/>
        <w:rPr>
          <w:rtl/>
        </w:rPr>
      </w:pPr>
      <w:r>
        <w:rPr>
          <w:rStyle w:val="FootnoteReference"/>
          <w:rFonts w:hint="cs"/>
          <w:sz w:val="26"/>
          <w:szCs w:val="24"/>
          <w:rtl/>
        </w:rPr>
        <w:t>11</w:t>
      </w:r>
      <w:r>
        <w:rPr>
          <w:rFonts w:hint="cs"/>
          <w:rtl/>
        </w:rPr>
        <w:t xml:space="preserve"> لا يرتبط اسم إيل شاداي بفكرة "القوة" فقط، بل بفكرة "الخصب" أيضاً.  يقول كاسوتو حول اسم إيل شاداي:</w:t>
      </w:r>
      <w:r>
        <w:rPr>
          <w:rFonts w:hint="cs"/>
          <w:rtl/>
          <w:lang w:bidi="ar-SA"/>
        </w:rPr>
        <w:t xml:space="preserve"> </w:t>
      </w:r>
      <w:r>
        <w:rPr>
          <w:rFonts w:hint="cs"/>
          <w:rtl/>
        </w:rPr>
        <w:t>"كان بنو إسرائيل ميّالين إلى ربط فكرة الإله الذي يحكم الطبيعة ويمنح البشر الخصب، كما نرى في كل آية من الأسفار الخمسة، باسم إيل شاداي حيثما ورد" (78).  انظر تكوين 17: 1-2 و28: 3 و35: 11.  ويقول:</w:t>
      </w:r>
    </w:p>
    <w:p w14:paraId="733EA20D" w14:textId="77014DD8" w:rsidR="00B35650" w:rsidRDefault="00B35650" w:rsidP="00B35650">
      <w:pPr>
        <w:pStyle w:val="FootnoteTxtIndent"/>
        <w:rPr>
          <w:lang w:bidi="ar-SA"/>
        </w:rPr>
      </w:pPr>
      <w:r>
        <w:rPr>
          <w:rFonts w:hint="cs"/>
          <w:rtl/>
        </w:rPr>
        <w:t xml:space="preserve">"يمكّننا هذا من فهم النص الموجود أمامنا بوضوح.  فالله يصرّح بما مفاده: لقد أعلنت نفسي لإبراهيم وإسحاق ويعقوب في جانب يجد تعبيره في اسم شاداي، وقد جعلتهم يثمرون ويتكاثرون وأعطيتهم أبناء وأبناء أبناء.  أمّا باسمي يهوه، بشخصيتي الأخلاقية التي يعبّر عنها هذا اللقب، فلم أكن معروفاً لهم.  فلم أتح لهم المجال لكي يعرفوني بصفتي ذاك الذي يحقق وعوده، لأني لم أحقق بعد التوكيد الذي أعطيتهم إياه في ما يتعلق بامتلاك الأرض" (79). </w:t>
      </w:r>
    </w:p>
  </w:footnote>
  <w:footnote w:id="59">
    <w:p w14:paraId="44DBCF19" w14:textId="77777777" w:rsidR="00B35650" w:rsidRDefault="00B35650" w:rsidP="00B35650">
      <w:pPr>
        <w:pStyle w:val="FootnoteTxtNewParag"/>
        <w:bidi w:val="0"/>
        <w:rPr>
          <w:sz w:val="22"/>
          <w:rtl/>
        </w:rPr>
      </w:pPr>
      <w:r>
        <w:rPr>
          <w:rStyle w:val="FootnoteReference"/>
          <w:rFonts w:hint="cs"/>
          <w:sz w:val="26"/>
          <w:szCs w:val="24"/>
          <w:rtl/>
        </w:rPr>
        <w:t>12</w:t>
      </w:r>
      <w:r>
        <w:rPr>
          <w:rFonts w:hint="cs"/>
          <w:sz w:val="22"/>
          <w:rtl/>
        </w:rPr>
        <w:t xml:space="preserve"> </w:t>
      </w:r>
      <w:r>
        <w:t>Cassuto, 82</w:t>
      </w:r>
      <w:r>
        <w:rPr>
          <w:rFonts w:hint="cs"/>
          <w:rtl/>
        </w:rPr>
        <w:t>.</w:t>
      </w:r>
    </w:p>
  </w:footnote>
  <w:footnote w:id="60">
    <w:p w14:paraId="3FA4CE05" w14:textId="77777777" w:rsidR="00B35650" w:rsidRDefault="00B35650" w:rsidP="00B35650">
      <w:pPr>
        <w:pStyle w:val="FootnoteTxtNewParag"/>
        <w:bidi w:val="0"/>
      </w:pPr>
      <w:r>
        <w:rPr>
          <w:rStyle w:val="FootnoteReference"/>
          <w:rFonts w:hint="cs"/>
          <w:sz w:val="26"/>
          <w:szCs w:val="24"/>
          <w:rtl/>
        </w:rPr>
        <w:t>13</w:t>
      </w:r>
      <w:r>
        <w:rPr>
          <w:rFonts w:hint="cs"/>
          <w:sz w:val="22"/>
          <w:rtl/>
        </w:rPr>
        <w:t xml:space="preserve"> </w:t>
      </w:r>
      <w:r>
        <w:t>Brevard Childs, “</w:t>
      </w:r>
      <w:r>
        <w:rPr>
          <w:i/>
          <w:iCs/>
        </w:rPr>
        <w:t>The Book of Exodus</w:t>
      </w:r>
      <w:r>
        <w:t>”, (Philadelphia: The Westminster Press, 1974), 152</w:t>
      </w:r>
    </w:p>
  </w:footnote>
  <w:footnote w:id="61">
    <w:p w14:paraId="30806AC9" w14:textId="77777777" w:rsidR="00B35650" w:rsidRDefault="00B35650" w:rsidP="00B35650">
      <w:pPr>
        <w:pStyle w:val="FootnoteTxtNewParag"/>
        <w:bidi w:val="0"/>
        <w:rPr>
          <w:sz w:val="22"/>
        </w:rPr>
      </w:pPr>
      <w:r>
        <w:rPr>
          <w:rStyle w:val="FootnoteReference"/>
          <w:rFonts w:hint="cs"/>
          <w:sz w:val="26"/>
          <w:szCs w:val="24"/>
          <w:rtl/>
        </w:rPr>
        <w:t>14</w:t>
      </w:r>
      <w:r>
        <w:rPr>
          <w:rFonts w:hint="cs"/>
          <w:sz w:val="22"/>
          <w:rtl/>
        </w:rPr>
        <w:t xml:space="preserve"> </w:t>
      </w:r>
      <w:r>
        <w:t>Cambridge Ancient History, Vol. II. Part 1,323</w:t>
      </w:r>
    </w:p>
  </w:footnote>
  <w:footnote w:id="62">
    <w:p w14:paraId="498D7A1C" w14:textId="77777777" w:rsidR="00B35650" w:rsidRDefault="00B35650" w:rsidP="00B35650">
      <w:pPr>
        <w:pStyle w:val="FootnoteTxtNewParag"/>
        <w:bidi w:val="0"/>
      </w:pPr>
      <w:r>
        <w:rPr>
          <w:rStyle w:val="FootnoteReference"/>
          <w:rFonts w:hint="cs"/>
          <w:sz w:val="26"/>
          <w:szCs w:val="24"/>
          <w:rtl/>
        </w:rPr>
        <w:t>15</w:t>
      </w:r>
      <w:r>
        <w:rPr>
          <w:sz w:val="22"/>
          <w:vertAlign w:val="superscript"/>
        </w:rPr>
        <w:t xml:space="preserve"> </w:t>
      </w:r>
      <w:r>
        <w:rPr>
          <w:rFonts w:hint="cs"/>
          <w:sz w:val="22"/>
          <w:rtl/>
        </w:rPr>
        <w:t xml:space="preserve"> </w:t>
      </w:r>
      <w:r>
        <w:t xml:space="preserve">Edward M. Burns, </w:t>
      </w:r>
      <w:r>
        <w:rPr>
          <w:i/>
          <w:iCs/>
        </w:rPr>
        <w:t>Western Civilizations</w:t>
      </w:r>
      <w:r>
        <w:t>, 8</w:t>
      </w:r>
      <w:r>
        <w:rPr>
          <w:vertAlign w:val="superscript"/>
        </w:rPr>
        <w:t>th</w:t>
      </w:r>
      <w:r>
        <w:t xml:space="preserve"> ed. (New York: W.W. Norton &amp; Co., Inc., 1973), 133</w:t>
      </w:r>
    </w:p>
  </w:footnote>
  <w:footnote w:id="63">
    <w:p w14:paraId="53925CE3" w14:textId="77777777" w:rsidR="00B35650" w:rsidRDefault="00B35650" w:rsidP="00B35650">
      <w:pPr>
        <w:pStyle w:val="FootnoteTxtNewParag"/>
        <w:bidi w:val="0"/>
        <w:rPr>
          <w:i/>
          <w:iCs/>
        </w:rPr>
      </w:pPr>
      <w:r>
        <w:rPr>
          <w:rStyle w:val="FootnoteReference"/>
          <w:rFonts w:hint="cs"/>
          <w:sz w:val="26"/>
          <w:szCs w:val="24"/>
          <w:rtl/>
        </w:rPr>
        <w:t>16</w:t>
      </w:r>
      <w:r>
        <w:rPr>
          <w:rFonts w:hint="cs"/>
          <w:sz w:val="22"/>
          <w:rtl/>
        </w:rPr>
        <w:t xml:space="preserve"> </w:t>
      </w:r>
      <w:r>
        <w:t xml:space="preserve">John Davis, </w:t>
      </w:r>
      <w:r>
        <w:rPr>
          <w:i/>
          <w:iCs/>
        </w:rPr>
        <w:t xml:space="preserve">Moses and the Gods of Egypt; Studies in the Book of Exodus </w:t>
      </w:r>
      <w:r>
        <w:t xml:space="preserve">(Grand Rapids, MI: Barker Book House, 1971), 90 </w:t>
      </w:r>
    </w:p>
  </w:footnote>
  <w:footnote w:id="64">
    <w:p w14:paraId="25191865" w14:textId="77777777" w:rsidR="00355D9E" w:rsidRDefault="00355D9E">
      <w:pPr>
        <w:pStyle w:val="FootnoteTxtNewParag"/>
        <w:bidi w:val="0"/>
      </w:pPr>
      <w:r>
        <w:rPr>
          <w:rStyle w:val="FootnoteReference"/>
          <w:rFonts w:hint="cs"/>
          <w:sz w:val="26"/>
          <w:szCs w:val="24"/>
          <w:rtl/>
        </w:rPr>
        <w:t>1</w:t>
      </w:r>
      <w:r>
        <w:t xml:space="preserve"> Alan Cole, </w:t>
      </w:r>
      <w:r>
        <w:rPr>
          <w:i/>
          <w:iCs/>
        </w:rPr>
        <w:t>Exodus</w:t>
      </w:r>
      <w:r>
        <w:t>, Tyndale OT Commentaries (Downer’s Grove IL: InterVarsity Press, 1973),106</w:t>
      </w:r>
    </w:p>
  </w:footnote>
  <w:footnote w:id="65">
    <w:p w14:paraId="4EC99EB7" w14:textId="77777777" w:rsidR="00355D9E" w:rsidRDefault="00355D9E">
      <w:pPr>
        <w:pStyle w:val="FootnoteTxtNewParag"/>
        <w:bidi w:val="0"/>
        <w:rPr>
          <w:rtl/>
          <w:lang w:bidi="ar-SA"/>
        </w:rPr>
      </w:pPr>
      <w:r>
        <w:rPr>
          <w:rStyle w:val="FootnoteReference"/>
          <w:rFonts w:hint="cs"/>
          <w:sz w:val="26"/>
          <w:szCs w:val="24"/>
          <w:rtl/>
        </w:rPr>
        <w:t>2</w:t>
      </w:r>
      <w:r>
        <w:rPr>
          <w:rFonts w:hint="cs"/>
          <w:sz w:val="22"/>
          <w:rtl/>
        </w:rPr>
        <w:t xml:space="preserve"> </w:t>
      </w:r>
      <w:r>
        <w:t xml:space="preserve">John Davis, </w:t>
      </w:r>
      <w:r>
        <w:rPr>
          <w:i/>
          <w:iCs/>
        </w:rPr>
        <w:t xml:space="preserve">Moses and the Gods of Egypt </w:t>
      </w:r>
      <w:r>
        <w:t>(Grand Rapids, MI Baker Book House, 1971), 140</w:t>
      </w:r>
    </w:p>
  </w:footnote>
  <w:footnote w:id="66">
    <w:p w14:paraId="27DAC0BD" w14:textId="77777777" w:rsidR="00355D9E" w:rsidRDefault="00355D9E">
      <w:pPr>
        <w:pStyle w:val="FootnoteTxtNewParag"/>
        <w:bidi w:val="0"/>
      </w:pPr>
      <w:r>
        <w:rPr>
          <w:rStyle w:val="FootnoteReference"/>
          <w:rFonts w:hint="cs"/>
          <w:sz w:val="26"/>
          <w:szCs w:val="24"/>
          <w:rtl/>
        </w:rPr>
        <w:t>3</w:t>
      </w:r>
      <w:r>
        <w:rPr>
          <w:rFonts w:hint="cs"/>
          <w:rtl/>
        </w:rPr>
        <w:t xml:space="preserve"> </w:t>
      </w:r>
      <w:r>
        <w:t>John Davis, 141</w:t>
      </w:r>
    </w:p>
  </w:footnote>
  <w:footnote w:id="67">
    <w:p w14:paraId="0E20E42F" w14:textId="77777777" w:rsidR="00355D9E" w:rsidRDefault="00355D9E">
      <w:pPr>
        <w:pStyle w:val="FootnoteTxtNewParag"/>
        <w:bidi w:val="0"/>
      </w:pPr>
      <w:r>
        <w:rPr>
          <w:rStyle w:val="FootnoteReference"/>
          <w:rFonts w:hint="cs"/>
          <w:sz w:val="26"/>
          <w:szCs w:val="24"/>
          <w:rtl/>
        </w:rPr>
        <w:t>4</w:t>
      </w:r>
      <w:r>
        <w:rPr>
          <w:rFonts w:hint="cs"/>
          <w:sz w:val="22"/>
          <w:rtl/>
        </w:rPr>
        <w:t xml:space="preserve"> </w:t>
      </w:r>
      <w:r>
        <w:t xml:space="preserve">Benware Childs, </w:t>
      </w:r>
      <w:r>
        <w:rPr>
          <w:i/>
          <w:iCs/>
        </w:rPr>
        <w:t>The Book of Exodus</w:t>
      </w:r>
      <w:r>
        <w:t xml:space="preserve"> (Philadelphia: The Westminster Press, 1974), 204  </w:t>
      </w:r>
    </w:p>
  </w:footnote>
  <w:footnote w:id="68">
    <w:p w14:paraId="1EDEAA88" w14:textId="77777777" w:rsidR="00355D9E" w:rsidRDefault="00355D9E">
      <w:pPr>
        <w:pStyle w:val="FootnoteTxtNewParag"/>
        <w:bidi w:val="0"/>
        <w:rPr>
          <w:rtl/>
        </w:rPr>
      </w:pPr>
      <w:r>
        <w:rPr>
          <w:rStyle w:val="FootnoteReference"/>
          <w:rFonts w:hint="cs"/>
          <w:sz w:val="26"/>
          <w:szCs w:val="24"/>
          <w:rtl/>
        </w:rPr>
        <w:t>5</w:t>
      </w:r>
      <w:r>
        <w:rPr>
          <w:rFonts w:hint="cs"/>
          <w:rtl/>
        </w:rPr>
        <w:t xml:space="preserve"> </w:t>
      </w:r>
      <w:r>
        <w:t>John Davis, 156</w:t>
      </w:r>
    </w:p>
  </w:footnote>
  <w:footnote w:id="69">
    <w:p w14:paraId="5F40D382" w14:textId="77777777" w:rsidR="00355D9E" w:rsidRDefault="00355D9E">
      <w:pPr>
        <w:pStyle w:val="FootnoteTxtNewParag"/>
        <w:bidi w:val="0"/>
        <w:rPr>
          <w:rtl/>
        </w:rPr>
      </w:pPr>
      <w:r>
        <w:rPr>
          <w:rStyle w:val="FootnoteReference"/>
          <w:rFonts w:hint="cs"/>
          <w:sz w:val="26"/>
          <w:szCs w:val="24"/>
          <w:rtl/>
        </w:rPr>
        <w:t>6</w:t>
      </w:r>
      <w:r>
        <w:rPr>
          <w:rFonts w:hint="cs"/>
          <w:rtl/>
        </w:rPr>
        <w:t xml:space="preserve"> </w:t>
      </w:r>
      <w:r>
        <w:t>John Davis, 161</w:t>
      </w:r>
    </w:p>
  </w:footnote>
  <w:footnote w:id="70">
    <w:p w14:paraId="54FF1398" w14:textId="77777777" w:rsidR="00355D9E" w:rsidRDefault="00355D9E">
      <w:pPr>
        <w:pStyle w:val="FootnoteTxtNewParag"/>
        <w:bidi w:val="0"/>
        <w:rPr>
          <w:rtl/>
        </w:rPr>
      </w:pPr>
      <w:r>
        <w:rPr>
          <w:rStyle w:val="FootnoteReference"/>
          <w:rFonts w:hint="cs"/>
          <w:sz w:val="26"/>
          <w:szCs w:val="24"/>
          <w:rtl/>
        </w:rPr>
        <w:t>7</w:t>
      </w:r>
      <w:r>
        <w:rPr>
          <w:rFonts w:hint="cs"/>
          <w:sz w:val="22"/>
          <w:rtl/>
        </w:rPr>
        <w:t xml:space="preserve"> </w:t>
      </w:r>
      <w:r>
        <w:t>Merrill, Kingdom of Priests, 66</w:t>
      </w:r>
    </w:p>
  </w:footnote>
  <w:footnote w:id="71">
    <w:p w14:paraId="589F813D" w14:textId="77777777" w:rsidR="00355D9E" w:rsidRDefault="00355D9E">
      <w:pPr>
        <w:pStyle w:val="FootnoteTxtNewParag"/>
        <w:bidi w:val="0"/>
        <w:rPr>
          <w:rtl/>
        </w:rPr>
      </w:pPr>
      <w:r>
        <w:rPr>
          <w:rStyle w:val="FootnoteReference"/>
          <w:rFonts w:hint="cs"/>
          <w:sz w:val="26"/>
          <w:szCs w:val="24"/>
          <w:rtl/>
        </w:rPr>
        <w:t>8</w:t>
      </w:r>
      <w:r>
        <w:rPr>
          <w:rFonts w:hint="cs"/>
          <w:sz w:val="22"/>
          <w:rtl/>
        </w:rPr>
        <w:t xml:space="preserve"> </w:t>
      </w:r>
      <w:r>
        <w:t>John Davis, 169</w:t>
      </w:r>
    </w:p>
  </w:footnote>
  <w:footnote w:id="72">
    <w:p w14:paraId="7A2DE4E3" w14:textId="77777777" w:rsidR="00355D9E" w:rsidRDefault="00355D9E">
      <w:pPr>
        <w:pStyle w:val="FootnoteTxtNewParag"/>
        <w:bidi w:val="0"/>
        <w:rPr>
          <w:rtl/>
        </w:rPr>
      </w:pPr>
      <w:r>
        <w:rPr>
          <w:rStyle w:val="FootnoteReference"/>
          <w:rFonts w:hint="cs"/>
          <w:sz w:val="26"/>
          <w:szCs w:val="24"/>
          <w:rtl/>
        </w:rPr>
        <w:t>9</w:t>
      </w:r>
      <w:r>
        <w:rPr>
          <w:rFonts w:hint="cs"/>
          <w:sz w:val="22"/>
          <w:rtl/>
        </w:rPr>
        <w:t xml:space="preserve"> </w:t>
      </w:r>
      <w:r>
        <w:t>K. A. Kitchen, ZPEB, 5: 47.</w:t>
      </w:r>
      <w:r>
        <w:rPr>
          <w:rFonts w:hint="cs"/>
          <w:rtl/>
        </w:rPr>
        <w:t xml:space="preserve"> </w:t>
      </w:r>
      <w:r>
        <w:rPr>
          <w:rFonts w:hint="cs"/>
          <w:sz w:val="22"/>
          <w:rtl/>
        </w:rPr>
        <w:t xml:space="preserve">أما الاقتراح الموجود في  </w:t>
      </w:r>
      <w:r>
        <w:t>MacMillan Bible Atlas</w:t>
      </w:r>
      <w:r>
        <w:rPr>
          <w:rFonts w:hint="cs"/>
          <w:rtl/>
        </w:rPr>
        <w:t xml:space="preserve"> </w:t>
      </w:r>
      <w:r>
        <w:rPr>
          <w:rFonts w:hint="cs"/>
          <w:sz w:val="22"/>
          <w:rtl/>
        </w:rPr>
        <w:t>فهو خاطئ بلا شك.</w:t>
      </w:r>
      <w:r>
        <w:t xml:space="preserve"> </w:t>
      </w:r>
    </w:p>
  </w:footnote>
  <w:footnote w:id="73">
    <w:p w14:paraId="32C7FA91" w14:textId="77777777" w:rsidR="00355D9E" w:rsidRDefault="00355D9E" w:rsidP="00355D9E">
      <w:pPr>
        <w:pStyle w:val="FootnoteTxtNewParag"/>
        <w:rPr>
          <w:rtl/>
        </w:rPr>
      </w:pPr>
      <w:r>
        <w:rPr>
          <w:rStyle w:val="FootnoteReference"/>
          <w:sz w:val="22"/>
          <w:szCs w:val="24"/>
        </w:rPr>
        <w:footnoteRef/>
      </w:r>
      <w:r>
        <w:t xml:space="preserve"> </w:t>
      </w:r>
      <w:r>
        <w:rPr>
          <w:rFonts w:hint="cs"/>
          <w:rtl/>
        </w:rPr>
        <w:t xml:space="preserve"> </w:t>
      </w:r>
      <w:r>
        <w:rPr>
          <w:rFonts w:hint="cs"/>
          <w:rtl/>
          <w:lang w:bidi="ar-KW"/>
        </w:rPr>
        <w:t>من أجل نقاشٍ شاملٍ عن الخلاص والناموس، انظر</w:t>
      </w:r>
      <w:r>
        <w:t xml:space="preserve"> John S. Feinberg, "Salvation in the Old Testament," in Tradition and Testament, ed. John S. Feinberg and Paul D. Feinberg (Chicago:  Moody Press, 1981): 39-77</w:t>
      </w:r>
      <w:r>
        <w:rPr>
          <w:rFonts w:hint="cs"/>
          <w:rtl/>
        </w:rPr>
        <w:t>.</w:t>
      </w:r>
    </w:p>
  </w:footnote>
  <w:footnote w:id="74">
    <w:p w14:paraId="3CE45B80" w14:textId="77777777" w:rsidR="00355D9E" w:rsidRDefault="00355D9E" w:rsidP="00355D9E">
      <w:pPr>
        <w:pStyle w:val="FootnoteTxtNewParag"/>
        <w:bidi w:val="0"/>
        <w:rPr>
          <w:rtl/>
          <w:lang w:bidi="ar-SA"/>
        </w:rPr>
      </w:pPr>
      <w:r>
        <w:rPr>
          <w:rStyle w:val="FootnoteReference"/>
          <w:sz w:val="22"/>
          <w:szCs w:val="24"/>
        </w:rPr>
        <w:footnoteRef/>
      </w:r>
      <w:r>
        <w:t xml:space="preserve"> </w:t>
      </w:r>
      <w:r>
        <w:rPr>
          <w:rFonts w:hint="cs"/>
          <w:rtl/>
        </w:rPr>
        <w:t xml:space="preserve"> </w:t>
      </w:r>
      <w:r>
        <w:t>Merrill, Kingdom of Priests, 80.  Cf. Walter Eichrodt, Theology of the Old Testament (Philadelphia:  Westminster Press, 1961), 1:36-45, 481-85.</w:t>
      </w:r>
    </w:p>
  </w:footnote>
  <w:footnote w:id="75">
    <w:p w14:paraId="1F971AA3" w14:textId="77777777" w:rsidR="00355D9E" w:rsidRDefault="00355D9E" w:rsidP="00355D9E">
      <w:pPr>
        <w:pStyle w:val="FootnoteTxtNewParag"/>
        <w:bidi w:val="0"/>
        <w:rPr>
          <w:rtl/>
          <w:lang w:bidi="ar-SA"/>
        </w:rPr>
      </w:pPr>
      <w:r>
        <w:rPr>
          <w:rStyle w:val="FootnoteReference"/>
          <w:sz w:val="22"/>
          <w:szCs w:val="24"/>
        </w:rPr>
        <w:footnoteRef/>
      </w:r>
      <w:r>
        <w:t xml:space="preserve"> </w:t>
      </w:r>
      <w:r>
        <w:rPr>
          <w:rFonts w:hint="cs"/>
          <w:rtl/>
        </w:rPr>
        <w:t xml:space="preserve"> </w:t>
      </w:r>
      <w:r>
        <w:t>George E. Mendenhall, Law and Covenant in Israel and the Ancient Near East (Pittsburgh:  The Presbyterian Board of Colportage of Western Pennsylvania, 1955); Meredith Kline, Treaty of the Great King (Grand Rapids, MI:  Wm. B. Eerdmans Pub. Co., 1963); and K. A. Kitchen, Ancient Orient and the Old Testament (Downers Grove, IL:  InterVarsity Press, 1966).</w:t>
      </w:r>
    </w:p>
  </w:footnote>
  <w:footnote w:id="76">
    <w:p w14:paraId="02E5B097" w14:textId="77777777" w:rsidR="00355D9E" w:rsidRDefault="00355D9E" w:rsidP="00355D9E">
      <w:pPr>
        <w:pStyle w:val="FootnoteTxtNewParag"/>
        <w:bidi w:val="0"/>
        <w:rPr>
          <w:rtl/>
          <w:lang w:bidi="ar-SA"/>
        </w:rPr>
      </w:pPr>
      <w:r>
        <w:rPr>
          <w:rStyle w:val="FootnoteReference"/>
          <w:sz w:val="22"/>
          <w:szCs w:val="24"/>
        </w:rPr>
        <w:footnoteRef/>
      </w:r>
      <w:r>
        <w:t xml:space="preserve"> </w:t>
      </w:r>
      <w:r>
        <w:rPr>
          <w:rFonts w:hint="cs"/>
          <w:rtl/>
        </w:rPr>
        <w:t xml:space="preserve"> </w:t>
      </w:r>
      <w:r>
        <w:t>George E. Mendenhall, "Covenant Forms in Israelite Tradition," in The Biblical Archaeologist Reader, ed. Edward F. Campbell, Jr., and David Noel Freedman (Garden City, NY:  Doubleday, 1970), 3:38-42; and Klaus Baltzer, The Covenant Formulary in Old Testament Jewish and Early Christian Writings (Philadelphia:  Fortress Press, 1970).</w:t>
      </w:r>
    </w:p>
  </w:footnote>
  <w:footnote w:id="77">
    <w:p w14:paraId="40B44E5F" w14:textId="77777777" w:rsidR="00355D9E" w:rsidRDefault="00355D9E" w:rsidP="00355D9E">
      <w:pPr>
        <w:pStyle w:val="FootnoteTxtNewParag"/>
      </w:pPr>
      <w:r>
        <w:t xml:space="preserve"> </w:t>
      </w:r>
      <w:r>
        <w:rPr>
          <w:rStyle w:val="FootnoteReference"/>
          <w:sz w:val="22"/>
          <w:szCs w:val="24"/>
        </w:rPr>
        <w:footnoteRef/>
      </w:r>
      <w:r>
        <w:t xml:space="preserve"> </w:t>
      </w:r>
      <w:r>
        <w:rPr>
          <w:rFonts w:hint="cs"/>
          <w:rtl/>
        </w:rPr>
        <w:t xml:space="preserve"> من أجل الاستزادة في الدراسة، انظر</w:t>
      </w:r>
      <w:r>
        <w:t xml:space="preserve"> Greg L. Bahnsen, Walter C. Kaiser, Jr., Douglas J. Moo, Wayne G. Strickland, and Willem A. VanGemeren, </w:t>
      </w:r>
      <w:r>
        <w:rPr>
          <w:i/>
          <w:iCs/>
        </w:rPr>
        <w:t>The Law, the Gospel, and the Modern Christian:  Five Views</w:t>
      </w:r>
      <w:r>
        <w:rPr>
          <w:b/>
          <w:bCs/>
        </w:rPr>
        <w:t xml:space="preserve"> </w:t>
      </w:r>
      <w:r>
        <w:t>(Grand Rapids, MI:  Zondervan Pub. House, 1993).</w:t>
      </w:r>
    </w:p>
    <w:p w14:paraId="602F7139" w14:textId="77777777" w:rsidR="00355D9E" w:rsidRDefault="00355D9E" w:rsidP="00355D9E">
      <w:pPr>
        <w:pStyle w:val="FootnoteTxtNewParag"/>
        <w:rPr>
          <w:rtl/>
          <w:lang w:bidi="ar-KW"/>
        </w:rPr>
      </w:pPr>
      <w:r>
        <w:rPr>
          <w:rFonts w:hint="cs"/>
          <w:rtl/>
          <w:lang w:bidi="ar-KW"/>
        </w:rPr>
        <w:t xml:space="preserve">انظر </w:t>
      </w:r>
      <w:r>
        <w:rPr>
          <w:lang w:bidi="ar-KW"/>
        </w:rPr>
        <w:t>J. Daniel Hays, “Applying the Old Testament Law Today,” BibSac 158: 629 (Jan-Mar 2001): 21-35;</w:t>
      </w:r>
      <w:r>
        <w:rPr>
          <w:rFonts w:hint="cs"/>
          <w:rtl/>
          <w:lang w:bidi="ar-KW"/>
        </w:rPr>
        <w:t xml:space="preserve"> و </w:t>
      </w:r>
      <w:r>
        <w:rPr>
          <w:lang w:bidi="ar-KW"/>
        </w:rPr>
        <w:t xml:space="preserve">Michael Eaton, No Condemnation: A New Theology of Assurance (Downers Grove </w:t>
      </w:r>
      <w:r>
        <w:rPr>
          <w:rFonts w:hint="cs"/>
          <w:rtl/>
          <w:lang w:bidi="ar-KW"/>
        </w:rPr>
        <w:t xml:space="preserve"> و </w:t>
      </w:r>
      <w:r>
        <w:rPr>
          <w:lang w:bidi="ar-KW"/>
        </w:rPr>
        <w:t xml:space="preserve"> Il: Intervarsity Press, 1995)</w:t>
      </w:r>
      <w:r>
        <w:rPr>
          <w:rFonts w:hint="cs"/>
          <w:rtl/>
          <w:lang w:bidi="ar-KW"/>
        </w:rPr>
        <w:t xml:space="preserve">.  لدى إينون نقاش ممتاز عن علاقة المؤمن اليوم بشريعة العهد القديم، وهو يستنتج مصيباً أننا لسنا تحت الناموس اليوم.  لكن معنى اتّباع روح الله هو الاستسلام لحياة أخلاقية أسمى، وليس أقل (كما يعلن يسوع في العظة على الجبل). </w:t>
      </w:r>
    </w:p>
  </w:footnote>
  <w:footnote w:id="78">
    <w:p w14:paraId="528E2759" w14:textId="208BBD04" w:rsidR="008E6BA9" w:rsidRPr="006065DF" w:rsidRDefault="008E6BA9" w:rsidP="008E6BA9">
      <w:pPr>
        <w:pStyle w:val="Footnote"/>
        <w:rPr>
          <w:color w:val="C00000"/>
        </w:rPr>
      </w:pPr>
      <w:r w:rsidRPr="006065DF">
        <w:rPr>
          <w:rStyle w:val="FootnoteReference"/>
          <w:color w:val="C00000"/>
        </w:rPr>
        <w:footnoteRef/>
      </w:r>
      <w:r w:rsidRPr="006065DF">
        <w:rPr>
          <w:color w:val="C00000"/>
        </w:rPr>
        <w:t xml:space="preserve"> John S. Feinberg, “Salvation in the Old Testament,” in </w:t>
      </w:r>
      <w:r w:rsidRPr="006065DF">
        <w:rPr>
          <w:i/>
          <w:iCs/>
          <w:color w:val="C00000"/>
        </w:rPr>
        <w:t>Tradition and Testamen</w:t>
      </w:r>
      <w:r w:rsidR="00B20F86" w:rsidRPr="006065DF">
        <w:rPr>
          <w:i/>
          <w:iCs/>
          <w:color w:val="C00000"/>
        </w:rPr>
        <w:t>t; Essays in Honor of Charles Lee Feinberg</w:t>
      </w:r>
      <w:r w:rsidR="00B20F86" w:rsidRPr="006065DF">
        <w:rPr>
          <w:color w:val="C00000"/>
        </w:rPr>
        <w:t xml:space="preserve"> (Chicago, IL: Moody, 1981), 53.</w:t>
      </w:r>
    </w:p>
  </w:footnote>
  <w:footnote w:id="79">
    <w:p w14:paraId="52EF4F42" w14:textId="6C38B8BB" w:rsidR="00721165" w:rsidRPr="00845B64" w:rsidRDefault="00721165" w:rsidP="00721165">
      <w:pPr>
        <w:pStyle w:val="FootnoteText"/>
        <w:rPr>
          <w:rFonts w:ascii="Simplified Arabic" w:hAnsi="Simplified Arabic" w:cs="Simplified Arabic"/>
          <w:rtl/>
          <w:lang w:bidi="ar-JO"/>
        </w:rPr>
      </w:pPr>
      <w:r w:rsidRPr="00845B64">
        <w:rPr>
          <w:rStyle w:val="FootnoteReference"/>
          <w:rFonts w:ascii="Simplified Arabic" w:hAnsi="Simplified Arabic" w:cs="Simplified Arabic"/>
        </w:rPr>
        <w:footnoteRef/>
      </w:r>
      <w:r w:rsidRPr="00845B64">
        <w:rPr>
          <w:rFonts w:ascii="Simplified Arabic" w:hAnsi="Simplified Arabic" w:cs="Simplified Arabic"/>
        </w:rPr>
        <w:t xml:space="preserve"> </w:t>
      </w:r>
      <w:r w:rsidRPr="00845B64">
        <w:rPr>
          <w:rFonts w:ascii="Simplified Arabic" w:hAnsi="Simplified Arabic" w:cs="Simplified Arabic"/>
          <w:rtl/>
          <w:lang w:bidi="ar-JO"/>
        </w:rPr>
        <w:t>ت</w:t>
      </w:r>
      <w:r w:rsidR="007F7100" w:rsidRPr="00845B64">
        <w:rPr>
          <w:rFonts w:ascii="Simplified Arabic" w:hAnsi="Simplified Arabic" w:cs="Simplified Arabic"/>
          <w:rtl/>
          <w:lang w:bidi="ar-JO"/>
        </w:rPr>
        <w:t>ُذكَر القرابين والذبائح في تكوين 4: 3، 4، 5؛ 22: 2، 3، 6، 7، 8، 13؛ 31: 54؛ 35: 14. وقبل إعطاء الشريعة في جيل سيناء، نقرأ عن طلب العبرانيين من فرعون أن يسمح لهم بأن يذهبوا إلى البرية ليقدِّموا ذبائح للرب</w:t>
      </w:r>
      <w:r w:rsidR="00845B64" w:rsidRPr="00845B64">
        <w:rPr>
          <w:rFonts w:ascii="Simplified Arabic" w:hAnsi="Simplified Arabic" w:cs="Simplified Arabic"/>
          <w:rtl/>
          <w:lang w:bidi="ar-JO"/>
        </w:rPr>
        <w:t>ّ</w:t>
      </w:r>
      <w:r w:rsidR="007F7100" w:rsidRPr="00845B64">
        <w:rPr>
          <w:rFonts w:ascii="Simplified Arabic" w:hAnsi="Simplified Arabic" w:cs="Simplified Arabic"/>
          <w:rtl/>
          <w:lang w:bidi="ar-JO"/>
        </w:rPr>
        <w:t xml:space="preserve"> (انظر مثلًا خروج 3: 18؛ 5: 3؛ 10: 25). كما أُعطوا تعليمات بشأن خروف الفصح (خروج 12: 27)</w:t>
      </w:r>
      <w:r w:rsidR="00845B64">
        <w:rPr>
          <w:rFonts w:ascii="Simplified Arabic" w:hAnsi="Simplified Arabic" w:cs="Simplified Arabic" w:hint="cs"/>
          <w:rtl/>
          <w:lang w:bidi="ar-JO"/>
        </w:rPr>
        <w:t>.</w:t>
      </w:r>
      <w:r w:rsidR="007F7100" w:rsidRPr="00845B64">
        <w:rPr>
          <w:rFonts w:ascii="Simplified Arabic" w:hAnsi="Simplified Arabic" w:cs="Simplified Arabic"/>
          <w:rtl/>
          <w:lang w:bidi="ar-JO"/>
        </w:rPr>
        <w:t xml:space="preserve"> وقدّم يثرون، حمو موسى، وهو ليس عبرانيًّا، محرَقاتٍ وذبائح لله (خروج 18: 12).</w:t>
      </w:r>
    </w:p>
  </w:footnote>
  <w:footnote w:id="80">
    <w:p w14:paraId="5B39DC4E" w14:textId="77777777" w:rsidR="002E1856" w:rsidRDefault="002E1856" w:rsidP="002E1856">
      <w:pPr>
        <w:pStyle w:val="FootnoteTxtNewParag"/>
        <w:rPr>
          <w:rtl/>
        </w:rPr>
      </w:pPr>
      <w:r>
        <w:rPr>
          <w:rStyle w:val="FootnoteReference"/>
          <w:sz w:val="22"/>
          <w:szCs w:val="24"/>
        </w:rPr>
        <w:footnoteRef/>
      </w:r>
      <w:r>
        <w:t xml:space="preserve"> </w:t>
      </w:r>
      <w:r>
        <w:rPr>
          <w:rFonts w:hint="cs"/>
          <w:rtl/>
        </w:rPr>
        <w:t xml:space="preserve"> الكلمة المترجمة "سكن" أو "خَيَّمَ" هي الكلمة اليونانية </w:t>
      </w:r>
      <w:r>
        <w:rPr>
          <w:rFonts w:ascii="Gentium" w:hAnsi="Gentium"/>
          <w:lang w:val="el-GR" w:bidi="he-IL"/>
        </w:rPr>
        <w:t>ἐσκήνωσεν</w:t>
      </w:r>
      <w:r>
        <w:rPr>
          <w:rFonts w:hint="cs"/>
          <w:rtl/>
        </w:rPr>
        <w:t xml:space="preserve"> (من جذر الفعل "</w:t>
      </w:r>
      <w:r>
        <w:rPr>
          <w:rFonts w:ascii="Greek" w:hAnsi="Greek"/>
        </w:rPr>
        <w:t xml:space="preserve"> </w:t>
      </w:r>
      <w:r>
        <w:rPr>
          <w:rFonts w:ascii="Gentium" w:hAnsi="Gentium"/>
          <w:lang w:val="el-GR" w:bidi="he-IL"/>
        </w:rPr>
        <w:t>σκηνοω</w:t>
      </w:r>
      <w:r>
        <w:rPr>
          <w:rFonts w:hint="cs"/>
          <w:rtl/>
        </w:rPr>
        <w:t xml:space="preserve"> "؛ والاسم </w:t>
      </w:r>
      <w:r>
        <w:rPr>
          <w:rFonts w:ascii="Gentium" w:hAnsi="Gentium"/>
          <w:lang w:val="el-GR" w:bidi="he-IL"/>
        </w:rPr>
        <w:t>σκηνη</w:t>
      </w:r>
      <w:r>
        <w:rPr>
          <w:rFonts w:hint="cs"/>
          <w:rtl/>
        </w:rPr>
        <w:t xml:space="preserve"> = خيمة).</w:t>
      </w:r>
    </w:p>
  </w:footnote>
  <w:footnote w:id="81">
    <w:p w14:paraId="55C58ADB" w14:textId="77777777" w:rsidR="002E1856" w:rsidRDefault="002E1856" w:rsidP="002E1856">
      <w:pPr>
        <w:pStyle w:val="FootnoteTxtNewParag"/>
        <w:bidi w:val="0"/>
        <w:rPr>
          <w:rtl/>
          <w:lang w:bidi="ar-SA"/>
        </w:rPr>
      </w:pPr>
      <w:r>
        <w:rPr>
          <w:rStyle w:val="FootnoteReference"/>
        </w:rPr>
        <w:footnoteRef/>
      </w:r>
      <w:r>
        <w:t xml:space="preserve"> </w:t>
      </w:r>
      <w:r>
        <w:rPr>
          <w:rFonts w:hint="cs"/>
          <w:rtl/>
        </w:rPr>
        <w:t xml:space="preserve"> </w:t>
      </w:r>
      <w:r>
        <w:t>John Davis, Moses and the Gods of Egypt, 254.</w:t>
      </w:r>
    </w:p>
  </w:footnote>
  <w:footnote w:id="82">
    <w:p w14:paraId="0C10D0D3" w14:textId="77777777" w:rsidR="00072E15" w:rsidRDefault="00072E15" w:rsidP="00072E15">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R. K. Harrison, </w:t>
      </w:r>
      <w:r>
        <w:rPr>
          <w:i/>
          <w:iCs/>
        </w:rPr>
        <w:t>Leviticus</w:t>
      </w:r>
      <w:r>
        <w:t>, Tyndale Commentaries, 26.</w:t>
      </w:r>
    </w:p>
  </w:footnote>
  <w:footnote w:id="83">
    <w:p w14:paraId="7C27D490" w14:textId="77777777" w:rsidR="00072E15" w:rsidRDefault="00072E15" w:rsidP="00072E15">
      <w:pPr>
        <w:pStyle w:val="FootnoteTxtNewParag"/>
        <w:bidi w:val="0"/>
        <w:rPr>
          <w:rtl/>
          <w:lang w:bidi="ar-SA"/>
        </w:rPr>
      </w:pPr>
      <w:r>
        <w:rPr>
          <w:rStyle w:val="FootnoteReference"/>
          <w:sz w:val="22"/>
          <w:szCs w:val="24"/>
        </w:rPr>
        <w:footnoteRef/>
      </w:r>
      <w:r>
        <w:t xml:space="preserve"> </w:t>
      </w:r>
      <w:r>
        <w:rPr>
          <w:rFonts w:hint="cs"/>
          <w:rtl/>
        </w:rPr>
        <w:t xml:space="preserve"> </w:t>
      </w:r>
      <w:r>
        <w:t>Allen P. Ross, "An Outline of The Theology of Leviticus" (unpublished class notes in Old Testament 117, Dallas Seminary, Fall 1981), 3.</w:t>
      </w:r>
    </w:p>
  </w:footnote>
  <w:footnote w:id="84">
    <w:p w14:paraId="42180BA0" w14:textId="77777777" w:rsidR="00072E15" w:rsidRDefault="00072E15" w:rsidP="00072E15">
      <w:pPr>
        <w:pStyle w:val="FootnoteTxtNewParag"/>
        <w:rPr>
          <w:rtl/>
          <w:lang w:bidi="ar-KW"/>
        </w:rPr>
      </w:pPr>
      <w:r>
        <w:rPr>
          <w:rStyle w:val="FootnoteReference"/>
          <w:sz w:val="22"/>
          <w:szCs w:val="24"/>
        </w:rPr>
        <w:footnoteRef/>
      </w:r>
      <w:r>
        <w:rPr>
          <w:lang w:bidi="ar-SA"/>
        </w:rPr>
        <w:t xml:space="preserve"> </w:t>
      </w:r>
      <w:r>
        <w:rPr>
          <w:rFonts w:hint="cs"/>
          <w:rtl/>
        </w:rPr>
        <w:t xml:space="preserve"> لمعلوماتٍ أوسع للنقاش حول أصل ومعنى الكلمة "كفارة (يكفر عن، يعوض عن)،" أنظر </w:t>
      </w:r>
      <w:r>
        <w:rPr>
          <w:lang w:bidi="ar-SA"/>
        </w:rPr>
        <w:t xml:space="preserve">Mark F. Rooker, </w:t>
      </w:r>
      <w:r>
        <w:rPr>
          <w:i/>
          <w:iCs/>
          <w:lang w:bidi="ar-SA"/>
        </w:rPr>
        <w:t>Leviticus</w:t>
      </w:r>
      <w:r>
        <w:rPr>
          <w:lang w:bidi="ar-SA"/>
        </w:rPr>
        <w:t>, The New American Commentary (Nashville: Broadman and Holman Publishers, 2000), 52.</w:t>
      </w:r>
      <w:r>
        <w:rPr>
          <w:rFonts w:hint="cs"/>
          <w:rtl/>
        </w:rPr>
        <w:t>.  يُفضِّل روكر فكرة أن المعنى يتغير (بالاعتماد على القرينة) بين فكرة "يمسح، يطهِّر" و"الفدية."</w:t>
      </w:r>
      <w:r>
        <w:rPr>
          <w:rFonts w:hint="cs"/>
          <w:rtl/>
          <w:lang w:bidi="ar-SA"/>
        </w:rPr>
        <w:t xml:space="preserve">  [ النظرية الأقدم كانت تنص على أن المصطلح أساساً كان يعني "يغطي" وهذا المعنى كان مبنياً على اشتقاق من الأصل العربي ]. يشير روكر (52-53): "عندما يكون الشيء (مثل المذبح في خيمة الاجتماع) الذي يقع عليه الفعل، يكون معنى الفعل "كفر" (</w:t>
      </w:r>
      <w:r>
        <w:rPr>
          <w:i/>
          <w:iCs/>
          <w:lang w:bidi="ar-SA"/>
        </w:rPr>
        <w:t>kpr</w:t>
      </w:r>
      <w:r>
        <w:rPr>
          <w:rFonts w:hint="cs"/>
          <w:i/>
          <w:iCs/>
          <w:rtl/>
          <w:lang w:bidi="ar-SA"/>
        </w:rPr>
        <w:t xml:space="preserve">) </w:t>
      </w:r>
      <w:r>
        <w:rPr>
          <w:rFonts w:hint="cs"/>
          <w:rtl/>
          <w:lang w:bidi="ar-SA"/>
        </w:rPr>
        <w:t>هو "يطهر" أو "يمسح،" وعليه يكون تطهير هذا الشيء المقدس الذي تلوث بفعل خطية الإنسان هو المقصود.  بينما من الناحية الأخرى، عندما يكون الشخص المقدم للتقدمة هو المستفيد، فإن الفعل (</w:t>
      </w:r>
      <w:r>
        <w:rPr>
          <w:i/>
          <w:iCs/>
          <w:lang w:bidi="ar-SA"/>
        </w:rPr>
        <w:t>kpr</w:t>
      </w:r>
      <w:r>
        <w:rPr>
          <w:rFonts w:hint="cs"/>
          <w:i/>
          <w:iCs/>
          <w:rtl/>
          <w:lang w:bidi="ar-SA"/>
        </w:rPr>
        <w:t xml:space="preserve">) </w:t>
      </w:r>
      <w:r>
        <w:rPr>
          <w:rFonts w:hint="cs"/>
          <w:rtl/>
          <w:lang w:bidi="ar-SA"/>
        </w:rPr>
        <w:t>يحمل فكرة تقديم الفدية، لحياة تُعطى بدلاً عن حياة أخرى.  من خلال موت الحيوانات وتنفيذ الطقس الملائم، فإن الخاطئ يُفْدى من الموت الذي تستحقه خطيته."</w:t>
      </w:r>
    </w:p>
  </w:footnote>
  <w:footnote w:id="85">
    <w:p w14:paraId="2F82C986" w14:textId="77777777" w:rsidR="00072E15" w:rsidRDefault="00072E15" w:rsidP="00072E15">
      <w:pPr>
        <w:pStyle w:val="FootnoteTxtNewParag"/>
        <w:bidi w:val="0"/>
        <w:rPr>
          <w:rtl/>
        </w:rPr>
      </w:pPr>
      <w:r>
        <w:rPr>
          <w:rStyle w:val="FootnoteReference"/>
          <w:sz w:val="22"/>
          <w:szCs w:val="24"/>
        </w:rPr>
        <w:footnoteRef/>
      </w:r>
      <w:r>
        <w:t xml:space="preserve"> </w:t>
      </w:r>
      <w:r>
        <w:rPr>
          <w:rFonts w:hint="cs"/>
          <w:rtl/>
        </w:rPr>
        <w:t xml:space="preserve"> </w:t>
      </w:r>
      <w:r>
        <w:t>Allen P. Ross, "Leviticus," (unpublished class notes in Old Testament 117, Dallas Seminary, Fall 1981), 30.</w:t>
      </w:r>
    </w:p>
  </w:footnote>
  <w:footnote w:id="86">
    <w:p w14:paraId="4779EFB2" w14:textId="77777777" w:rsidR="00072E15" w:rsidRDefault="00072E15" w:rsidP="00072E15">
      <w:pPr>
        <w:pStyle w:val="FootnoteTxtNewParag"/>
        <w:bidi w:val="0"/>
      </w:pPr>
      <w:r>
        <w:rPr>
          <w:rStyle w:val="FootnoteReference"/>
          <w:sz w:val="22"/>
          <w:szCs w:val="24"/>
        </w:rPr>
        <w:footnoteRef/>
      </w:r>
      <w:r>
        <w:t xml:space="preserve"> </w:t>
      </w:r>
      <w:r>
        <w:rPr>
          <w:rFonts w:hint="cs"/>
          <w:rtl/>
        </w:rPr>
        <w:t xml:space="preserve"> </w:t>
      </w:r>
      <w:r>
        <w:t>Ibid., 33.</w:t>
      </w:r>
    </w:p>
  </w:footnote>
  <w:footnote w:id="87">
    <w:p w14:paraId="3D296086" w14:textId="77777777" w:rsidR="00072E15" w:rsidRDefault="00072E15" w:rsidP="00072E15">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Bromiley, Geoffrey W., ed., </w:t>
      </w:r>
      <w:r>
        <w:rPr>
          <w:i/>
          <w:iCs/>
        </w:rPr>
        <w:t xml:space="preserve">ISBE </w:t>
      </w:r>
      <w:r>
        <w:t>(Grand Rapids, MI:  Wm. B. Eerdmans Pub. Co., 1979-1988), s.v. "Atonement, Day of," by W. Möller and J. B. Payne, 1:360.</w:t>
      </w:r>
    </w:p>
  </w:footnote>
  <w:footnote w:id="88">
    <w:p w14:paraId="7768D436" w14:textId="77777777" w:rsidR="00072E15" w:rsidRDefault="00072E15" w:rsidP="00072E15">
      <w:pPr>
        <w:pStyle w:val="FootnoteTxtNewParag"/>
        <w:rPr>
          <w:rtl/>
        </w:rPr>
      </w:pPr>
      <w:r>
        <w:rPr>
          <w:rStyle w:val="FootnoteReference"/>
          <w:sz w:val="22"/>
          <w:szCs w:val="24"/>
        </w:rPr>
        <w:footnoteRef/>
      </w:r>
      <w:r>
        <w:rPr>
          <w:lang w:bidi="ar-SA"/>
        </w:rPr>
        <w:t xml:space="preserve"> </w:t>
      </w:r>
      <w:r>
        <w:rPr>
          <w:rFonts w:hint="cs"/>
          <w:rtl/>
        </w:rPr>
        <w:t xml:space="preserve"> الذين يقولون إن هذا هو معنى الكلمة يدّعون أن الجزء الأول من الكلمة يأتي من الكلمة العبرية "عَزَر" التي تعني "القوي".  والصفة "عَز" تعني "قوي" أو "جبار" أو "عنيف" أو "شرس". </w:t>
      </w:r>
    </w:p>
  </w:footnote>
  <w:footnote w:id="89">
    <w:p w14:paraId="0BA20C2A" w14:textId="77777777" w:rsidR="00072E15" w:rsidRDefault="00072E15" w:rsidP="00072E15">
      <w:pPr>
        <w:pStyle w:val="FootnoteTxtNewParag"/>
        <w:rPr>
          <w:rtl/>
          <w:lang w:bidi="ar-KW"/>
        </w:rPr>
      </w:pPr>
      <w:r>
        <w:rPr>
          <w:rStyle w:val="FootnoteReference"/>
          <w:sz w:val="22"/>
          <w:szCs w:val="24"/>
        </w:rPr>
        <w:footnoteRef/>
      </w:r>
      <w:r>
        <w:t xml:space="preserve"> </w:t>
      </w:r>
      <w:r>
        <w:rPr>
          <w:rFonts w:hint="cs"/>
          <w:rtl/>
        </w:rPr>
        <w:t xml:space="preserve"> </w:t>
      </w:r>
      <w:r>
        <w:rPr>
          <w:rFonts w:hint="cs"/>
          <w:rtl/>
          <w:lang w:bidi="ar-KW"/>
        </w:rPr>
        <w:t>اقترح بعض العلماء أن الكلمة "</w:t>
      </w:r>
      <w:r>
        <w:rPr>
          <w:lang w:bidi="ar-KW"/>
        </w:rPr>
        <w:t xml:space="preserve">, </w:t>
      </w:r>
      <w:r w:rsidRPr="00363697">
        <w:rPr>
          <w:rFonts w:ascii="Charis SIL" w:hAnsi="Charis SIL" w:cs="Charis SIL"/>
          <w:bCs/>
          <w:i/>
          <w:iCs/>
        </w:rPr>
        <w:t>ʿăzāʾzēl</w:t>
      </w:r>
      <w:r>
        <w:rPr>
          <w:rFonts w:hint="cs"/>
          <w:rtl/>
          <w:lang w:bidi="ar-KW"/>
        </w:rPr>
        <w:t xml:space="preserve"> عزازيل" كلمة مركبة تأتي من الكلمتين "عِز" (</w:t>
      </w:r>
      <w:r>
        <w:rPr>
          <w:rFonts w:ascii="SBL Hebrew" w:hAnsi="SBL Hebrew" w:cs="SBL Hebrew" w:hint="cs"/>
          <w:rtl/>
          <w:lang w:bidi="he-IL"/>
        </w:rPr>
        <w:t>עֵז</w:t>
      </w:r>
      <w:r>
        <w:rPr>
          <w:rFonts w:hint="cs"/>
          <w:rtl/>
          <w:lang w:bidi="ar-KW"/>
        </w:rPr>
        <w:t>) والفعل "</w:t>
      </w:r>
      <w:r w:rsidRPr="0084374C">
        <w:rPr>
          <w:rFonts w:ascii="SBL Hebrew" w:hAnsi="SBL Hebrew" w:cs="SBL Hebrew" w:hint="cs"/>
          <w:rtl/>
          <w:lang w:bidi="he-IL"/>
        </w:rPr>
        <w:t xml:space="preserve"> </w:t>
      </w:r>
      <w:r>
        <w:rPr>
          <w:rFonts w:ascii="SBL Hebrew" w:hAnsi="SBL Hebrew" w:cs="SBL Hebrew" w:hint="cs"/>
          <w:rtl/>
          <w:lang w:bidi="he-IL"/>
        </w:rPr>
        <w:t>אָזַל</w:t>
      </w:r>
      <w:r>
        <w:rPr>
          <w:rFonts w:hint="cs"/>
          <w:rtl/>
          <w:lang w:bidi="ar-KW"/>
        </w:rPr>
        <w:t xml:space="preserve">" (ذهب بعيداً)، فيكون المعنى "التيس الذي يذهب".  لكن لاحظ أن الترجمة السبعينية لم تعطي كلمة محددة لـ "تيس".  اقترح قاموس </w:t>
      </w:r>
      <w:r>
        <w:t>BDB</w:t>
      </w:r>
      <w:r>
        <w:rPr>
          <w:rFonts w:hint="cs"/>
          <w:rtl/>
          <w:lang w:bidi="ar-KW"/>
        </w:rPr>
        <w:t xml:space="preserve"> العبري (36</w:t>
      </w:r>
      <w:r>
        <w:rPr>
          <w:rFonts w:hint="cs"/>
          <w:rtl/>
          <w:lang w:bidi="ar-SY"/>
        </w:rPr>
        <w:t>7</w:t>
      </w:r>
      <w:r>
        <w:rPr>
          <w:rFonts w:hint="cs"/>
          <w:rtl/>
          <w:lang w:bidi="ar-KW"/>
        </w:rPr>
        <w:t xml:space="preserve"> ق م) أن الكلمة </w:t>
      </w:r>
      <w:r w:rsidRPr="005E2FF0">
        <w:rPr>
          <w:rFonts w:ascii="SBL Hebrew" w:hAnsi="SBL Hebrew" w:cs="SBL Hebrew" w:hint="cs"/>
          <w:rtl/>
          <w:lang w:bidi="he-IL"/>
        </w:rPr>
        <w:t>עֲזָאזֵל</w:t>
      </w:r>
      <w:r>
        <w:rPr>
          <w:rFonts w:ascii="SBL Hebrew" w:hAnsi="SBL Hebrew" w:cs="SBL Hebrew" w:hint="cs"/>
          <w:rtl/>
          <w:lang w:bidi="he-IL"/>
        </w:rPr>
        <w:t xml:space="preserve"> </w:t>
      </w:r>
      <w:r>
        <w:rPr>
          <w:rFonts w:hint="cs"/>
          <w:rtl/>
          <w:lang w:bidi="ar-KW"/>
        </w:rPr>
        <w:t>(عزازيل) اسم مُذكر يعني "إزالة كاملة" (طقس لاويين 16 يرمز إلى الغفران الكامل).</w:t>
      </w:r>
    </w:p>
  </w:footnote>
  <w:footnote w:id="90">
    <w:p w14:paraId="62B95423" w14:textId="77777777" w:rsidR="00072E15" w:rsidRDefault="00072E15" w:rsidP="00072E15">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G. J. Wenham, </w:t>
      </w:r>
      <w:r>
        <w:rPr>
          <w:i/>
          <w:iCs/>
        </w:rPr>
        <w:t>Leviticus</w:t>
      </w:r>
      <w:r>
        <w:t>, NICOT, 231.</w:t>
      </w:r>
    </w:p>
  </w:footnote>
  <w:footnote w:id="91">
    <w:p w14:paraId="7ADDBB59" w14:textId="77777777" w:rsidR="00072E15" w:rsidRDefault="00072E15" w:rsidP="00072E15">
      <w:pPr>
        <w:pStyle w:val="FootnoteTxtNewParag"/>
        <w:bidi w:val="0"/>
        <w:rPr>
          <w:szCs w:val="24"/>
        </w:rPr>
      </w:pPr>
      <w:r>
        <w:rPr>
          <w:rStyle w:val="FootnoteReference"/>
          <w:szCs w:val="24"/>
        </w:rPr>
        <w:footnoteRef/>
      </w:r>
      <w:r>
        <w:t xml:space="preserve"> </w:t>
      </w:r>
      <w:r>
        <w:rPr>
          <w:rFonts w:hint="cs"/>
          <w:rtl/>
        </w:rPr>
        <w:t xml:space="preserve">  </w:t>
      </w:r>
      <w:r>
        <w:t>Allen Ross, "Leviticus" (unpublished class notes in Old Testament 117, Dallas Seminary, Fall 1981), 102.</w:t>
      </w:r>
    </w:p>
    <w:p w14:paraId="2769301B" w14:textId="77777777" w:rsidR="00072E15" w:rsidRDefault="00072E15" w:rsidP="00072E15">
      <w:pPr>
        <w:pStyle w:val="FootnoteText"/>
        <w:rPr>
          <w:rtl/>
        </w:rPr>
      </w:pPr>
    </w:p>
  </w:footnote>
  <w:footnote w:id="92">
    <w:p w14:paraId="09674F82" w14:textId="77777777" w:rsidR="00072E15" w:rsidRDefault="00072E15" w:rsidP="00072E15">
      <w:pPr>
        <w:pStyle w:val="FootnoteTxtNewParag"/>
        <w:rPr>
          <w:szCs w:val="24"/>
          <w:rtl/>
          <w:lang w:bidi="ar-KW"/>
        </w:rPr>
      </w:pPr>
      <w:r>
        <w:rPr>
          <w:rStyle w:val="FootnoteReference"/>
          <w:szCs w:val="24"/>
        </w:rPr>
        <w:footnoteRef/>
      </w:r>
      <w:r>
        <w:rPr>
          <w:lang w:bidi="ar-SA"/>
        </w:rPr>
        <w:t xml:space="preserve"> </w:t>
      </w:r>
      <w:r>
        <w:rPr>
          <w:rFonts w:hint="cs"/>
          <w:rtl/>
        </w:rPr>
        <w:t xml:space="preserve"> </w:t>
      </w:r>
      <w:r>
        <w:rPr>
          <w:rFonts w:hint="cs"/>
          <w:rtl/>
          <w:lang w:bidi="ar-KW"/>
        </w:rPr>
        <w:t xml:space="preserve">في المكان الوحيد الآخر الذي ترد فيه الكلمة </w:t>
      </w:r>
      <w:r w:rsidRPr="00363697">
        <w:rPr>
          <w:lang w:val="el-GR"/>
        </w:rPr>
        <w:t>ἱλαστ</w:t>
      </w:r>
      <w:r w:rsidRPr="00363697">
        <w:rPr>
          <w:rFonts w:ascii="Cambria" w:hAnsi="Cambria" w:cs="Cambria"/>
          <w:lang w:val="el-GR"/>
        </w:rPr>
        <w:t>ήριον</w:t>
      </w:r>
      <w:r>
        <w:rPr>
          <w:rFonts w:hint="cs"/>
          <w:rtl/>
          <w:lang w:bidi="ar-KW"/>
        </w:rPr>
        <w:t xml:space="preserve"> في العهد الجديد (وهو عبرانيين 9: 5)، نرى أن معناها "كرسي الرحمة".  وترجمة </w:t>
      </w:r>
      <w:r>
        <w:t>NIV</w:t>
      </w:r>
      <w:r>
        <w:rPr>
          <w:rFonts w:hint="cs"/>
          <w:rtl/>
          <w:lang w:bidi="ar-KW"/>
        </w:rPr>
        <w:t xml:space="preserve"> تترجم الكلمة "كفارة" في رومية 3: 25 إلى "ذبيحة كفارة".  </w:t>
      </w:r>
    </w:p>
    <w:p w14:paraId="5B61DD94" w14:textId="77777777" w:rsidR="00072E15" w:rsidRDefault="00072E15" w:rsidP="00072E15">
      <w:pPr>
        <w:pStyle w:val="FootnoteText"/>
        <w:rPr>
          <w:rtl/>
        </w:rPr>
      </w:pPr>
    </w:p>
  </w:footnote>
  <w:footnote w:id="93">
    <w:p w14:paraId="547E6F2D" w14:textId="77777777" w:rsidR="00072E15" w:rsidRDefault="00072E15" w:rsidP="00072E15">
      <w:pPr>
        <w:pStyle w:val="FootnoteTxtNewParag"/>
        <w:bidi w:val="0"/>
        <w:rPr>
          <w:rtl/>
        </w:rPr>
      </w:pPr>
      <w:r>
        <w:rPr>
          <w:rStyle w:val="FootnoteReference"/>
          <w:sz w:val="22"/>
          <w:szCs w:val="24"/>
        </w:rPr>
        <w:footnoteRef/>
      </w:r>
      <w:r>
        <w:t xml:space="preserve"> </w:t>
      </w:r>
      <w:r>
        <w:rPr>
          <w:rFonts w:hint="cs"/>
          <w:rtl/>
        </w:rPr>
        <w:t xml:space="preserve"> </w:t>
      </w:r>
      <w:r>
        <w:t>Wenham, 237-38.</w:t>
      </w:r>
    </w:p>
  </w:footnote>
  <w:footnote w:id="94">
    <w:p w14:paraId="7DB6D0E2" w14:textId="77777777" w:rsidR="00BF07C2" w:rsidRDefault="00BF07C2" w:rsidP="00BF07C2">
      <w:pPr>
        <w:pStyle w:val="FootnoteTxtNewParag"/>
        <w:bidi w:val="0"/>
        <w:rPr>
          <w:rtl/>
          <w:lang w:bidi="ar-SA"/>
        </w:rPr>
      </w:pPr>
      <w:r>
        <w:rPr>
          <w:rStyle w:val="FootnoteReference"/>
        </w:rPr>
        <w:footnoteRef/>
      </w:r>
      <w:r>
        <w:t xml:space="preserve"> </w:t>
      </w:r>
      <w:r>
        <w:rPr>
          <w:rFonts w:hint="cs"/>
          <w:rtl/>
        </w:rPr>
        <w:t xml:space="preserve"> </w:t>
      </w:r>
      <w:r>
        <w:t>Allen Ross, "Leviticus" (unpublished class notes in Old Testament 117, Dallas Seminary, Fall 1981), 107.</w:t>
      </w:r>
    </w:p>
  </w:footnote>
  <w:footnote w:id="95">
    <w:p w14:paraId="6978593F" w14:textId="77777777" w:rsidR="00BF07C2" w:rsidRDefault="00BF07C2" w:rsidP="00BF07C2">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See Timothy K. Hui, "The Purpose of Israel's Annual Feasts," </w:t>
      </w:r>
      <w:r>
        <w:rPr>
          <w:i/>
          <w:iCs/>
        </w:rPr>
        <w:t>BibSac</w:t>
      </w:r>
      <w:r>
        <w:t xml:space="preserve"> 147:586 (Apr-Jun 1990):143-54; and Terry C. Hulbert, "The Eschatological Significance of Israel's Annual Feasts" (Th.D. diss., Dallas Theological Seminary, 1965).</w:t>
      </w:r>
    </w:p>
  </w:footnote>
  <w:footnote w:id="96">
    <w:p w14:paraId="4904BC7F" w14:textId="77777777" w:rsidR="00BF07C2" w:rsidRDefault="00BF07C2" w:rsidP="00BF07C2">
      <w:pPr>
        <w:pStyle w:val="FootnoteTxtNewParag"/>
        <w:rPr>
          <w:rtl/>
        </w:rPr>
      </w:pPr>
      <w:r>
        <w:rPr>
          <w:rStyle w:val="FootnoteReference"/>
          <w:sz w:val="22"/>
          <w:szCs w:val="24"/>
        </w:rPr>
        <w:footnoteRef/>
      </w:r>
      <w:r>
        <w:rPr>
          <w:lang w:bidi="ar-SA"/>
        </w:rPr>
        <w:t xml:space="preserve"> </w:t>
      </w:r>
      <w:r>
        <w:rPr>
          <w:rFonts w:hint="cs"/>
          <w:rtl/>
        </w:rPr>
        <w:t xml:space="preserve"> </w:t>
      </w:r>
      <w:r>
        <w:rPr>
          <w:rFonts w:hint="cs"/>
          <w:rtl/>
          <w:lang w:bidi="ar-KW"/>
        </w:rPr>
        <w:t>من أجل دراسة متعمِّقة للسبب ومعناه وأهميته انظر</w:t>
      </w:r>
      <w:r>
        <w:rPr>
          <w:lang w:bidi="ar-SA"/>
        </w:rPr>
        <w:t xml:space="preserve"> Richard J. Griffith, "The Eschatological Significance of the Sabbath" (Ph.D. diss., Dallas Theological Seminary, 1990)</w:t>
      </w:r>
      <w:r>
        <w:rPr>
          <w:rFonts w:hint="cs"/>
          <w:rtl/>
        </w:rPr>
        <w:t>.</w:t>
      </w:r>
    </w:p>
  </w:footnote>
  <w:footnote w:id="97">
    <w:p w14:paraId="55C04294" w14:textId="77777777" w:rsidR="00BF07C2" w:rsidRDefault="00BF07C2" w:rsidP="00BF07C2">
      <w:pPr>
        <w:pStyle w:val="FootnoteTxtNewParag"/>
        <w:rPr>
          <w:rtl/>
        </w:rPr>
      </w:pPr>
      <w:r>
        <w:rPr>
          <w:rStyle w:val="FootnoteReference"/>
          <w:sz w:val="22"/>
          <w:szCs w:val="24"/>
        </w:rPr>
        <w:footnoteRef/>
      </w:r>
      <w:r>
        <w:rPr>
          <w:lang w:bidi="ar-SA"/>
        </w:rPr>
        <w:t xml:space="preserve"> </w:t>
      </w:r>
      <w:r>
        <w:rPr>
          <w:rFonts w:hint="cs"/>
          <w:rtl/>
        </w:rPr>
        <w:t xml:space="preserve"> بحسب هوي (</w:t>
      </w:r>
      <w:r>
        <w:rPr>
          <w:lang w:bidi="ar-SA"/>
        </w:rPr>
        <w:t>Hui</w:t>
      </w:r>
      <w:r>
        <w:rPr>
          <w:rFonts w:hint="cs"/>
          <w:rtl/>
        </w:rPr>
        <w:t>)، كان يوم السبت أكثر من تذكير بعمل خلق الله وراحته: "كانت دلالة راحة السبت تتجاوز الاحتفال التذكاري العام بتوقف الله عن العمل بعد إنهائه خلق الله إلى الاحتفال التذكاري بعمله الكامل في فداء أمة إسرائيل."</w:t>
      </w:r>
    </w:p>
  </w:footnote>
  <w:footnote w:id="98">
    <w:p w14:paraId="4BC71DED" w14:textId="77777777" w:rsidR="00BF07C2" w:rsidRDefault="00BF07C2" w:rsidP="00BF07C2">
      <w:pPr>
        <w:pStyle w:val="FootnoteTxtNewParag"/>
        <w:bidi w:val="0"/>
        <w:rPr>
          <w:rtl/>
        </w:rPr>
      </w:pPr>
      <w:r>
        <w:rPr>
          <w:rStyle w:val="FootnoteReference"/>
          <w:sz w:val="22"/>
          <w:szCs w:val="24"/>
        </w:rPr>
        <w:footnoteRef/>
      </w:r>
      <w:r>
        <w:t xml:space="preserve"> </w:t>
      </w:r>
      <w:r>
        <w:rPr>
          <w:rFonts w:hint="cs"/>
          <w:rtl/>
        </w:rPr>
        <w:t xml:space="preserve"> </w:t>
      </w:r>
      <w:r>
        <w:t xml:space="preserve">Merrill F. </w:t>
      </w:r>
      <w:r w:rsidRPr="00665E13">
        <w:t>Unger</w:t>
      </w:r>
      <w:r>
        <w:rPr>
          <w:i/>
          <w:iCs/>
        </w:rPr>
        <w:t>, Unger's Commentary on the Old Testament</w:t>
      </w:r>
      <w:r>
        <w:t xml:space="preserve"> (Chicago:  Moody Press, 1981), 1:174.</w:t>
      </w:r>
    </w:p>
  </w:footnote>
  <w:footnote w:id="99">
    <w:p w14:paraId="30D3F819" w14:textId="77777777" w:rsidR="00BF07C2" w:rsidRDefault="00BF07C2" w:rsidP="00BF07C2">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Abraham Bloch, </w:t>
      </w:r>
      <w:r>
        <w:rPr>
          <w:i/>
          <w:iCs/>
        </w:rPr>
        <w:t>The Biblical and Historical Background of the Jewish Holy Days</w:t>
      </w:r>
      <w:r>
        <w:t xml:space="preserve"> (New York:  KTAV Pub. House, Inc., 1978), 21.</w:t>
      </w:r>
    </w:p>
  </w:footnote>
  <w:footnote w:id="100">
    <w:p w14:paraId="4EE1993E" w14:textId="77777777" w:rsidR="00BF07C2" w:rsidRDefault="00BF07C2" w:rsidP="00BF07C2">
      <w:pPr>
        <w:pStyle w:val="FootnoteTxtNewParag"/>
        <w:bidi w:val="0"/>
        <w:rPr>
          <w:rtl/>
          <w:lang w:bidi="ar-SA"/>
        </w:rPr>
      </w:pPr>
      <w:r>
        <w:rPr>
          <w:rStyle w:val="FootnoteReference"/>
          <w:sz w:val="22"/>
          <w:szCs w:val="24"/>
        </w:rPr>
        <w:footnoteRef/>
      </w:r>
      <w:r>
        <w:t xml:space="preserve"> </w:t>
      </w:r>
      <w:r>
        <w:rPr>
          <w:rFonts w:hint="cs"/>
          <w:rtl/>
        </w:rPr>
        <w:t xml:space="preserve"> </w:t>
      </w:r>
      <w:r>
        <w:t>Ross, 129.</w:t>
      </w:r>
    </w:p>
  </w:footnote>
  <w:footnote w:id="101">
    <w:p w14:paraId="3FC0C846" w14:textId="77777777" w:rsidR="00BF07C2" w:rsidRDefault="00BF07C2" w:rsidP="00BF07C2">
      <w:pPr>
        <w:pStyle w:val="FootnoteTxtNewParag"/>
        <w:rPr>
          <w:rtl/>
          <w:lang w:bidi="ar-SA"/>
        </w:rPr>
      </w:pPr>
      <w:r>
        <w:rPr>
          <w:rStyle w:val="FootnoteReference"/>
          <w:sz w:val="22"/>
          <w:szCs w:val="24"/>
        </w:rPr>
        <w:footnoteRef/>
      </w:r>
      <w:r>
        <w:rPr>
          <w:lang w:bidi="ar-SA"/>
        </w:rPr>
        <w:t xml:space="preserve"> </w:t>
      </w:r>
      <w:r>
        <w:rPr>
          <w:rFonts w:hint="cs"/>
          <w:rtl/>
        </w:rPr>
        <w:t xml:space="preserve"> من أجل نقاشٍ أوسع عن تطهير إسرائيل بالارتباط مع المجيء الثاني، انظر</w:t>
      </w:r>
      <w:r>
        <w:rPr>
          <w:lang w:bidi="ar-SA"/>
        </w:rPr>
        <w:t xml:space="preserve">J. </w:t>
      </w:r>
      <w:r>
        <w:t>Paul Tanner, "The Function of Zechariah 13 in the Prophet's Final Oracle" (Th.M. thesis, Dallas Seminary, 1981)</w:t>
      </w:r>
      <w:r>
        <w:rPr>
          <w:rFonts w:hint="cs"/>
          <w:rtl/>
        </w:rPr>
        <w:t>.</w:t>
      </w:r>
    </w:p>
  </w:footnote>
  <w:footnote w:id="102">
    <w:p w14:paraId="61CFFCB8" w14:textId="77777777" w:rsidR="00BF07C2" w:rsidRDefault="00BF07C2" w:rsidP="00BF07C2">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Victor Buksbazen, </w:t>
      </w:r>
      <w:r>
        <w:rPr>
          <w:i/>
          <w:iCs/>
        </w:rPr>
        <w:t>The Gospel in The Feasts of Israel</w:t>
      </w:r>
      <w:r>
        <w:t xml:space="preserve"> (Collingswood, N.J.:  The Friends of Israel, 1954), 46.</w:t>
      </w:r>
    </w:p>
  </w:footnote>
  <w:footnote w:id="103">
    <w:p w14:paraId="031F1024" w14:textId="77777777" w:rsidR="00BF07C2" w:rsidRDefault="00BF07C2" w:rsidP="00BF07C2">
      <w:pPr>
        <w:pStyle w:val="FootnoteTxtNewParag"/>
        <w:bidi w:val="0"/>
        <w:rPr>
          <w:rtl/>
        </w:rPr>
      </w:pPr>
      <w:r>
        <w:rPr>
          <w:rStyle w:val="FootnoteReference"/>
          <w:sz w:val="22"/>
          <w:szCs w:val="24"/>
        </w:rPr>
        <w:footnoteRef/>
      </w:r>
      <w:r>
        <w:t xml:space="preserve"> </w:t>
      </w:r>
      <w:r>
        <w:rPr>
          <w:rFonts w:hint="cs"/>
          <w:rtl/>
        </w:rPr>
        <w:t xml:space="preserve"> </w:t>
      </w:r>
      <w:r>
        <w:t>Abraham Bloch, 39.</w:t>
      </w:r>
    </w:p>
  </w:footnote>
  <w:footnote w:id="104">
    <w:p w14:paraId="59BADAC4" w14:textId="77777777" w:rsidR="00BF07C2" w:rsidRDefault="00BF07C2" w:rsidP="00BF07C2">
      <w:pPr>
        <w:pStyle w:val="FootnoteTxtNewParag"/>
        <w:rPr>
          <w:rtl/>
          <w:lang w:bidi="ar-SA"/>
        </w:rPr>
      </w:pPr>
      <w:r>
        <w:rPr>
          <w:rStyle w:val="FootnoteReference"/>
          <w:sz w:val="22"/>
          <w:szCs w:val="24"/>
        </w:rPr>
        <w:footnoteRef/>
      </w:r>
      <w:r>
        <w:rPr>
          <w:lang w:bidi="ar-SA"/>
        </w:rPr>
        <w:t xml:space="preserve"> </w:t>
      </w:r>
      <w:r>
        <w:rPr>
          <w:rFonts w:hint="cs"/>
          <w:rtl/>
        </w:rPr>
        <w:t xml:space="preserve"> نفس المرجع السابق، 43.</w:t>
      </w:r>
    </w:p>
  </w:footnote>
  <w:footnote w:id="105">
    <w:p w14:paraId="7067790E" w14:textId="77777777" w:rsidR="00BF07C2" w:rsidRDefault="00BF07C2" w:rsidP="00BF07C2">
      <w:pPr>
        <w:pStyle w:val="FootnoteTxtNewParag"/>
        <w:bidi w:val="0"/>
        <w:rPr>
          <w:rtl/>
          <w:lang w:bidi="ar-SA"/>
        </w:rPr>
      </w:pPr>
      <w:r>
        <w:rPr>
          <w:rStyle w:val="FootnoteReference"/>
          <w:sz w:val="22"/>
          <w:szCs w:val="24"/>
        </w:rPr>
        <w:footnoteRef/>
      </w:r>
      <w:r>
        <w:t xml:space="preserve"> </w:t>
      </w:r>
      <w:r>
        <w:rPr>
          <w:rFonts w:hint="cs"/>
          <w:rtl/>
        </w:rPr>
        <w:t xml:space="preserve"> </w:t>
      </w:r>
      <w:r>
        <w:t>Bloch, 45-46.</w:t>
      </w:r>
    </w:p>
  </w:footnote>
  <w:footnote w:id="106">
    <w:p w14:paraId="450F63BC" w14:textId="77777777" w:rsidR="00070B6E" w:rsidRDefault="00070B6E" w:rsidP="00070B6E">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D. W. Kerr, </w:t>
      </w:r>
      <w:r>
        <w:rPr>
          <w:i/>
          <w:iCs/>
        </w:rPr>
        <w:t>Numbers</w:t>
      </w:r>
      <w:r>
        <w:t>, The Biblical Expositor (London:  Pickering and Inglis, 1960).</w:t>
      </w:r>
    </w:p>
  </w:footnote>
  <w:footnote w:id="107">
    <w:p w14:paraId="7A71ED3F" w14:textId="77777777" w:rsidR="00070B6E" w:rsidRDefault="00070B6E" w:rsidP="00070B6E">
      <w:pPr>
        <w:pStyle w:val="FootnoteTxtNewParag"/>
        <w:bidi w:val="0"/>
        <w:rPr>
          <w:rtl/>
          <w:lang w:bidi="ar-SA"/>
        </w:rPr>
      </w:pPr>
      <w:r>
        <w:rPr>
          <w:rStyle w:val="FootnoteReference"/>
          <w:sz w:val="22"/>
          <w:szCs w:val="24"/>
        </w:rPr>
        <w:footnoteRef/>
      </w:r>
      <w:r>
        <w:t xml:space="preserve"> </w:t>
      </w:r>
      <w:r>
        <w:rPr>
          <w:rFonts w:hint="cs"/>
          <w:rtl/>
        </w:rPr>
        <w:t xml:space="preserve"> </w:t>
      </w:r>
      <w:r>
        <w:t>Elliott E. Johnson, "Numbers" (unpublished class notes in Bible 302, Dallas Seminary, Spring 1976),</w:t>
      </w:r>
    </w:p>
  </w:footnote>
  <w:footnote w:id="108">
    <w:p w14:paraId="2CC04AE1" w14:textId="77777777" w:rsidR="00070B6E" w:rsidRDefault="00070B6E" w:rsidP="00070B6E">
      <w:pPr>
        <w:pStyle w:val="FootnoteTxtNewParag"/>
        <w:rPr>
          <w:rtl/>
          <w:lang w:bidi="ar-SA"/>
        </w:rPr>
      </w:pPr>
      <w:r>
        <w:rPr>
          <w:rStyle w:val="FootnoteReference"/>
          <w:sz w:val="22"/>
          <w:szCs w:val="24"/>
        </w:rPr>
        <w:footnoteRef/>
      </w:r>
      <w:r>
        <w:rPr>
          <w:lang w:bidi="ar-SA"/>
        </w:rPr>
        <w:t xml:space="preserve"> </w:t>
      </w:r>
      <w:r>
        <w:rPr>
          <w:rFonts w:hint="cs"/>
          <w:rtl/>
        </w:rPr>
        <w:t xml:space="preserve"> انظر خروج 14: 11؛ 15: 24؛ 16: 2؛ 17: 2؛ عدد 11: 1؛ 14: 2؛ 16: 2؛ 16: 41؛ 20: 2؛ 21: 4.  من المهم ملاحظة استجابة الله لكل حالة من هذه الحالات.  في استجابته للحوادث الأربعة الأولى، يقوم الله بمباركتهم بكرم ( على سبيل المثال، وفر المن أو "أبرأ" الماء).  مع ذلك، في الحوادث الستة الأخيرة (ما عدا عدد 20: 2)، أوقع دينونةً على الشعب.</w:t>
      </w:r>
    </w:p>
  </w:footnote>
  <w:footnote w:id="109">
    <w:p w14:paraId="6805571A" w14:textId="77777777" w:rsidR="00070B6E" w:rsidRDefault="00070B6E" w:rsidP="00070B6E">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Merrill F. Unger, </w:t>
      </w:r>
      <w:r w:rsidRPr="00850036">
        <w:rPr>
          <w:i/>
          <w:iCs/>
        </w:rPr>
        <w:t>Commentary on the Old Testament</w:t>
      </w:r>
      <w:r>
        <w:t>, 1:197.</w:t>
      </w:r>
    </w:p>
  </w:footnote>
  <w:footnote w:id="110">
    <w:p w14:paraId="2FEB7795" w14:textId="77777777" w:rsidR="00070B6E" w:rsidRDefault="00070B6E" w:rsidP="00070B6E">
      <w:pPr>
        <w:pStyle w:val="FootnoteTxtNewParag"/>
        <w:rPr>
          <w:rtl/>
          <w:lang w:bidi="ar-SA"/>
        </w:rPr>
      </w:pPr>
      <w:r>
        <w:rPr>
          <w:rStyle w:val="FootnoteReference"/>
          <w:sz w:val="22"/>
          <w:szCs w:val="24"/>
        </w:rPr>
        <w:footnoteRef/>
      </w:r>
      <w:r>
        <w:rPr>
          <w:lang w:bidi="ar-SA"/>
        </w:rPr>
        <w:t xml:space="preserve"> </w:t>
      </w:r>
      <w:r>
        <w:rPr>
          <w:rFonts w:hint="cs"/>
          <w:rtl/>
        </w:rPr>
        <w:t xml:space="preserve"> يُعَرِّف ميريل "قادش" على أنها تل القديرات الحالية، الذي يقع في برية سين إلى الجنوب من بئر سبع بحوالي 50 ميلاً (عدد 20: 1).</w:t>
      </w:r>
    </w:p>
  </w:footnote>
  <w:footnote w:id="111">
    <w:p w14:paraId="7757619F" w14:textId="77777777" w:rsidR="00070B6E" w:rsidRDefault="00070B6E" w:rsidP="00070B6E">
      <w:pPr>
        <w:pStyle w:val="FootnoteTxtNewParag"/>
        <w:bidi w:val="0"/>
        <w:rPr>
          <w:rtl/>
          <w:lang w:bidi="ar-SA"/>
        </w:rPr>
      </w:pPr>
      <w:r>
        <w:rPr>
          <w:rStyle w:val="FootnoteReference"/>
          <w:sz w:val="22"/>
          <w:szCs w:val="24"/>
        </w:rPr>
        <w:footnoteRef/>
      </w:r>
      <w:r>
        <w:t xml:space="preserve"> </w:t>
      </w:r>
      <w:r>
        <w:rPr>
          <w:rFonts w:hint="cs"/>
          <w:rtl/>
        </w:rPr>
        <w:t xml:space="preserve"> </w:t>
      </w:r>
      <w:r>
        <w:t>Unger, 206.</w:t>
      </w:r>
    </w:p>
  </w:footnote>
  <w:footnote w:id="112">
    <w:p w14:paraId="6E491070" w14:textId="77777777" w:rsidR="00070B6E" w:rsidRDefault="00070B6E" w:rsidP="00070B6E">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Jensen, </w:t>
      </w:r>
      <w:r>
        <w:rPr>
          <w:i/>
          <w:iCs/>
        </w:rPr>
        <w:t>Numbers:  Journey to God's Rest-land</w:t>
      </w:r>
      <w:r>
        <w:t xml:space="preserve"> (Chicago:  Moody Press, 1964), 75.</w:t>
      </w:r>
    </w:p>
  </w:footnote>
  <w:footnote w:id="113">
    <w:p w14:paraId="775257F6" w14:textId="77777777" w:rsidR="00070B6E" w:rsidRDefault="00070B6E" w:rsidP="00070B6E">
      <w:pPr>
        <w:pStyle w:val="FootnoteTxtNewParag"/>
      </w:pPr>
      <w:r>
        <w:rPr>
          <w:rStyle w:val="FootnoteReference"/>
          <w:rFonts w:hint="cs"/>
          <w:sz w:val="26"/>
          <w:szCs w:val="24"/>
          <w:rtl/>
        </w:rPr>
        <w:t>1</w:t>
      </w:r>
      <w:r>
        <w:rPr>
          <w:rFonts w:hint="cs"/>
          <w:rtl/>
        </w:rPr>
        <w:t xml:space="preserve">لدراسة ممتازة حول إعلانات بلعام انظر  </w:t>
      </w:r>
      <w:r>
        <w:t xml:space="preserve">Ronald B. Allen, “The Theology of Balaam Oracles,” </w:t>
      </w:r>
      <w:r>
        <w:rPr>
          <w:i/>
          <w:iCs/>
        </w:rPr>
        <w:t>in Tradition and Testament</w:t>
      </w:r>
      <w:r>
        <w:t xml:space="preserve">, ed. John S. Feinberg and Paul D. Feinberg (Chicago: Moody Press, 1981), 79-119. </w:t>
      </w:r>
    </w:p>
  </w:footnote>
  <w:footnote w:id="114">
    <w:p w14:paraId="2D057C8B" w14:textId="77777777" w:rsidR="00070B6E" w:rsidRDefault="00070B6E" w:rsidP="00070B6E">
      <w:pPr>
        <w:pStyle w:val="FootnoteTxtNewParag"/>
        <w:bidi w:val="0"/>
        <w:rPr>
          <w:i/>
          <w:iCs/>
          <w:rtl/>
        </w:rPr>
      </w:pPr>
      <w:r>
        <w:rPr>
          <w:rStyle w:val="FootnoteReference"/>
          <w:rFonts w:hint="cs"/>
          <w:sz w:val="26"/>
          <w:szCs w:val="24"/>
          <w:rtl/>
        </w:rPr>
        <w:t>2</w:t>
      </w:r>
      <w:r>
        <w:rPr>
          <w:rFonts w:hint="cs"/>
          <w:sz w:val="22"/>
          <w:rtl/>
        </w:rPr>
        <w:t xml:space="preserve"> </w:t>
      </w:r>
      <w:r>
        <w:t xml:space="preserve">Merrill, </w:t>
      </w:r>
      <w:r>
        <w:rPr>
          <w:i/>
          <w:iCs/>
        </w:rPr>
        <w:t>Kingdom of Priests</w:t>
      </w:r>
      <w:r>
        <w:t xml:space="preserve">, 89-90. Cf. Herbert B. Huffman, Prophecy in the Mari Letters, “BA 31 (1968) : 101-24; and A. Leo Oppenheim, </w:t>
      </w:r>
      <w:r>
        <w:rPr>
          <w:i/>
          <w:iCs/>
        </w:rPr>
        <w:t>Ancient Mesopotamia</w:t>
      </w:r>
      <w:r>
        <w:t xml:space="preserve"> (Chicago: University of Chicago Press, 1964), 206-27. </w:t>
      </w:r>
      <w:r>
        <w:rPr>
          <w:i/>
          <w:iCs/>
        </w:rPr>
        <w:t xml:space="preserve">  </w:t>
      </w:r>
    </w:p>
  </w:footnote>
  <w:footnote w:id="115">
    <w:p w14:paraId="4687A3DB" w14:textId="77777777" w:rsidR="00070B6E" w:rsidRDefault="00070B6E" w:rsidP="00070B6E">
      <w:pPr>
        <w:pStyle w:val="FootnoteTxtNewParag"/>
        <w:bidi w:val="0"/>
      </w:pPr>
      <w:r>
        <w:rPr>
          <w:rStyle w:val="FootnoteReference"/>
          <w:rFonts w:hint="cs"/>
          <w:sz w:val="26"/>
          <w:szCs w:val="24"/>
          <w:rtl/>
        </w:rPr>
        <w:t>3</w:t>
      </w:r>
      <w:r>
        <w:rPr>
          <w:rFonts w:hint="cs"/>
          <w:rtl/>
        </w:rPr>
        <w:t xml:space="preserve">  </w:t>
      </w:r>
      <w:r>
        <w:t xml:space="preserve">Wilhelm Vischer, </w:t>
      </w:r>
      <w:r>
        <w:rPr>
          <w:i/>
          <w:iCs/>
        </w:rPr>
        <w:t>The Witness of the Old Testament to Christ,</w:t>
      </w:r>
      <w:r>
        <w:t xml:space="preserve"> trans. A. B. Crabtree (London: Lutterworth, 1950), 1: 223. </w:t>
      </w:r>
    </w:p>
  </w:footnote>
  <w:footnote w:id="116">
    <w:p w14:paraId="2C727B72" w14:textId="77777777" w:rsidR="00070B6E" w:rsidRDefault="00070B6E" w:rsidP="00070B6E">
      <w:pPr>
        <w:pStyle w:val="FootnoteTxtNewParag"/>
        <w:rPr>
          <w:rtl/>
        </w:rPr>
      </w:pPr>
      <w:r>
        <w:rPr>
          <w:rStyle w:val="FootnoteReference"/>
          <w:rFonts w:hint="cs"/>
          <w:sz w:val="26"/>
          <w:szCs w:val="24"/>
          <w:rtl/>
        </w:rPr>
        <w:t>1</w:t>
      </w:r>
      <w:r>
        <w:rPr>
          <w:rFonts w:hint="cs"/>
          <w:rtl/>
        </w:rPr>
        <w:t xml:space="preserve"> في ما يتعلق بشكل السفر وموازاته للمعاهدات الحثّية بين الملك المتسيد القوي والدولة التابعة في الألفية الثانية قبل الميلاد، انظر الملاحظات الصفية حول خروج 19-24.  يقول ميريل في           (</w:t>
      </w:r>
      <w:r>
        <w:rPr>
          <w:lang w:bidi="ar-SA"/>
        </w:rPr>
        <w:t>Kingdom of Priests</w:t>
      </w:r>
      <w:r>
        <w:rPr>
          <w:rFonts w:hint="cs"/>
          <w:rtl/>
        </w:rPr>
        <w:t>):</w:t>
      </w:r>
    </w:p>
    <w:p w14:paraId="3EF69F74" w14:textId="77777777" w:rsidR="00070B6E" w:rsidRDefault="00070B6E" w:rsidP="00070B6E">
      <w:pPr>
        <w:pStyle w:val="FootnoteTxtIndent"/>
        <w:rPr>
          <w:rtl/>
        </w:rPr>
      </w:pPr>
      <w:r>
        <w:rPr>
          <w:rFonts w:hint="cs"/>
          <w:rtl/>
        </w:rPr>
        <w:t xml:space="preserve">غير أن باحثين كثيرين يفضّلون، من أجل الدفاع عن تاريخ متأخر لكتابة سفر التثنية، أن يربطوا صيغة سفر التثنية ومضمونه بمعاهدات أشور </w:t>
      </w:r>
      <w:r>
        <w:rPr>
          <w:rtl/>
        </w:rPr>
        <w:t>–</w:t>
      </w:r>
      <w:r>
        <w:rPr>
          <w:rFonts w:hint="cs"/>
          <w:rtl/>
        </w:rPr>
        <w:t xml:space="preserve"> الجديدة في القرن السابع ق م.  لكن من شأن المقارنة المتأنية لهذه المعاهدات والنصوص الكتابية أن تكشف مشاكل لا يمكن التغلّب عليها في سياق هذا التفسير.  فعلى سبيل المثال، تشكّل صيغة البركة جزءاً أساسياً في معاهدات العصر البرونزي المتأخر (</w:t>
      </w:r>
      <w:r>
        <w:rPr>
          <w:lang w:bidi="ar-SA"/>
        </w:rPr>
        <w:t>Late Bronze</w:t>
      </w:r>
      <w:r>
        <w:rPr>
          <w:rFonts w:hint="cs"/>
          <w:rtl/>
        </w:rPr>
        <w:t>) والنصوص الكتابية، لكن ليس هنالك ما يشهد على وجودها في الوثائق الأشورية.</w:t>
      </w:r>
    </w:p>
    <w:p w14:paraId="164FF338" w14:textId="77777777" w:rsidR="00070B6E" w:rsidRDefault="00070B6E" w:rsidP="00070B6E">
      <w:pPr>
        <w:pStyle w:val="FootnoteTxtNewParag"/>
      </w:pPr>
      <w:r>
        <w:rPr>
          <w:rFonts w:hint="cs"/>
          <w:rtl/>
        </w:rPr>
        <w:t xml:space="preserve">أنظر </w:t>
      </w:r>
      <w:r>
        <w:t xml:space="preserve"> Moshe Weinfeld, “The Loyalty Oath in the Ancient Near East,” </w:t>
      </w:r>
      <w:r>
        <w:rPr>
          <w:i/>
          <w:iCs/>
        </w:rPr>
        <w:t>Ugarit-Forschungen</w:t>
      </w:r>
      <w:r>
        <w:t xml:space="preserve"> 8 (1976): 397.</w:t>
      </w:r>
    </w:p>
    <w:p w14:paraId="1432692A" w14:textId="77777777" w:rsidR="00070B6E" w:rsidRDefault="00070B6E" w:rsidP="00070B6E">
      <w:pPr>
        <w:pStyle w:val="FootnoteText"/>
        <w:rPr>
          <w:sz w:val="22"/>
          <w:szCs w:val="22"/>
          <w:rtl/>
        </w:rPr>
      </w:pPr>
      <w:r>
        <w:rPr>
          <w:rFonts w:hint="cs"/>
          <w:sz w:val="22"/>
          <w:szCs w:val="22"/>
          <w:rtl/>
          <w:lang w:bidi="ar-JO"/>
        </w:rPr>
        <w:t xml:space="preserve"> </w:t>
      </w:r>
    </w:p>
  </w:footnote>
  <w:footnote w:id="117">
    <w:p w14:paraId="6CF91E1D" w14:textId="77777777" w:rsidR="00070B6E" w:rsidRDefault="00070B6E" w:rsidP="00070B6E">
      <w:pPr>
        <w:pStyle w:val="FootnoteTxtNewParag"/>
        <w:bidi w:val="0"/>
      </w:pPr>
      <w:r>
        <w:rPr>
          <w:rStyle w:val="FootnoteReference"/>
          <w:rFonts w:hint="cs"/>
          <w:sz w:val="26"/>
          <w:szCs w:val="24"/>
          <w:rtl/>
        </w:rPr>
        <w:t>2</w:t>
      </w:r>
      <w:r>
        <w:rPr>
          <w:rFonts w:hint="cs"/>
          <w:sz w:val="22"/>
          <w:rtl/>
        </w:rPr>
        <w:t xml:space="preserve"> </w:t>
      </w:r>
      <w:r>
        <w:t xml:space="preserve">J. A. Thompson, </w:t>
      </w:r>
      <w:r w:rsidRPr="002C1423">
        <w:rPr>
          <w:i/>
          <w:iCs/>
        </w:rPr>
        <w:t>Deuteronomy: An Introduction and Commentary</w:t>
      </w:r>
      <w:r>
        <w:t>, 12.</w:t>
      </w:r>
    </w:p>
  </w:footnote>
  <w:footnote w:id="118">
    <w:p w14:paraId="2C051EAB" w14:textId="77777777" w:rsidR="00070B6E" w:rsidRDefault="00070B6E" w:rsidP="00070B6E">
      <w:pPr>
        <w:pStyle w:val="FootnoteTxtNewParag"/>
        <w:bidi w:val="0"/>
      </w:pPr>
      <w:r>
        <w:rPr>
          <w:rStyle w:val="FootnoteReference"/>
          <w:rFonts w:hint="cs"/>
          <w:sz w:val="26"/>
          <w:szCs w:val="24"/>
          <w:rtl/>
        </w:rPr>
        <w:t>3</w:t>
      </w:r>
      <w:r>
        <w:rPr>
          <w:rFonts w:hint="cs"/>
          <w:sz w:val="22"/>
          <w:rtl/>
        </w:rPr>
        <w:t xml:space="preserve"> </w:t>
      </w:r>
      <w:r>
        <w:t xml:space="preserve">R. K. Harrison, </w:t>
      </w:r>
      <w:r w:rsidRPr="002C1423">
        <w:rPr>
          <w:i/>
          <w:iCs/>
        </w:rPr>
        <w:t>Introduction to the Old Testament</w:t>
      </w:r>
      <w:r>
        <w:t xml:space="preserve"> (Grand Rapids: Wm. B. Eerdmans Pub Co., 1969), 640. </w:t>
      </w:r>
    </w:p>
  </w:footnote>
  <w:footnote w:id="119">
    <w:p w14:paraId="5B7661C2" w14:textId="77777777" w:rsidR="00070B6E" w:rsidRDefault="00070B6E" w:rsidP="000558B7">
      <w:pPr>
        <w:pStyle w:val="FootnoteTxtNewParag"/>
        <w:spacing w:before="0"/>
        <w:rPr>
          <w:rtl/>
        </w:rPr>
      </w:pPr>
      <w:r>
        <w:rPr>
          <w:rStyle w:val="FootnoteReference"/>
          <w:rFonts w:hint="cs"/>
          <w:sz w:val="26"/>
          <w:szCs w:val="24"/>
          <w:rtl/>
        </w:rPr>
        <w:t>4</w:t>
      </w:r>
      <w:r>
        <w:rPr>
          <w:rFonts w:hint="cs"/>
          <w:rtl/>
        </w:rPr>
        <w:t xml:space="preserve"> المرجع السابق، 21.</w:t>
      </w:r>
    </w:p>
  </w:footnote>
  <w:footnote w:id="120">
    <w:p w14:paraId="67912EEF" w14:textId="77777777" w:rsidR="00070B6E" w:rsidRDefault="00070B6E" w:rsidP="000558B7">
      <w:pPr>
        <w:pStyle w:val="FootnoteTxtNewParag"/>
        <w:bidi w:val="0"/>
        <w:spacing w:before="0"/>
        <w:rPr>
          <w:rtl/>
        </w:rPr>
      </w:pPr>
      <w:r>
        <w:rPr>
          <w:rStyle w:val="FootnoteReference"/>
          <w:rFonts w:hint="cs"/>
          <w:sz w:val="26"/>
          <w:szCs w:val="24"/>
          <w:rtl/>
        </w:rPr>
        <w:t>5</w:t>
      </w:r>
      <w:r>
        <w:rPr>
          <w:rFonts w:hint="cs"/>
          <w:sz w:val="22"/>
          <w:rtl/>
        </w:rPr>
        <w:t xml:space="preserve"> </w:t>
      </w:r>
      <w:r>
        <w:t xml:space="preserve">H. H. Rowley, </w:t>
      </w:r>
      <w:r w:rsidRPr="002C1423">
        <w:rPr>
          <w:i/>
          <w:iCs/>
        </w:rPr>
        <w:t>The Growth of the Old Testament</w:t>
      </w:r>
      <w:r>
        <w:t>, 31.</w:t>
      </w:r>
    </w:p>
  </w:footnote>
  <w:footnote w:id="121">
    <w:p w14:paraId="47C27066" w14:textId="77777777" w:rsidR="00070B6E" w:rsidRDefault="00070B6E" w:rsidP="000558B7">
      <w:pPr>
        <w:pStyle w:val="FootnoteTxtNewParag"/>
        <w:bidi w:val="0"/>
        <w:spacing w:before="0"/>
      </w:pPr>
      <w:r>
        <w:rPr>
          <w:rStyle w:val="FootnoteReference"/>
          <w:rFonts w:hint="cs"/>
          <w:sz w:val="26"/>
          <w:szCs w:val="24"/>
          <w:rtl/>
        </w:rPr>
        <w:t>6</w:t>
      </w:r>
      <w:r>
        <w:rPr>
          <w:rFonts w:hint="cs"/>
          <w:sz w:val="22"/>
          <w:rtl/>
        </w:rPr>
        <w:t xml:space="preserve"> </w:t>
      </w:r>
      <w:r>
        <w:t xml:space="preserve">W. F. Albright, </w:t>
      </w:r>
      <w:r w:rsidRPr="002C1423">
        <w:rPr>
          <w:i/>
          <w:iCs/>
        </w:rPr>
        <w:t>Vetus Testamentum</w:t>
      </w:r>
      <w:r>
        <w:t xml:space="preserve">, IX, 1959. </w:t>
      </w:r>
    </w:p>
  </w:footnote>
  <w:footnote w:id="122">
    <w:p w14:paraId="095ED046" w14:textId="77777777" w:rsidR="00070B6E" w:rsidRDefault="00070B6E" w:rsidP="000558B7">
      <w:pPr>
        <w:pStyle w:val="FootnoteTxtNewParag"/>
        <w:bidi w:val="0"/>
        <w:spacing w:before="0"/>
      </w:pPr>
      <w:r>
        <w:rPr>
          <w:rStyle w:val="FootnoteReference"/>
          <w:rFonts w:hint="cs"/>
          <w:sz w:val="26"/>
          <w:szCs w:val="24"/>
          <w:rtl/>
        </w:rPr>
        <w:t>7</w:t>
      </w:r>
      <w:r>
        <w:rPr>
          <w:rFonts w:hint="cs"/>
          <w:sz w:val="22"/>
          <w:rtl/>
        </w:rPr>
        <w:t xml:space="preserve"> </w:t>
      </w:r>
      <w:r>
        <w:t xml:space="preserve">Pedersen, </w:t>
      </w:r>
      <w:r w:rsidRPr="002C1423">
        <w:rPr>
          <w:i/>
          <w:iCs/>
        </w:rPr>
        <w:t>Israel</w:t>
      </w:r>
      <w:r>
        <w:t>, III-IV, 96.</w:t>
      </w:r>
    </w:p>
  </w:footnote>
  <w:footnote w:id="123">
    <w:p w14:paraId="1568D164" w14:textId="77777777" w:rsidR="00070B6E" w:rsidRDefault="00070B6E" w:rsidP="00070B6E">
      <w:pPr>
        <w:pStyle w:val="FootnoteTxtNewParag"/>
        <w:bidi w:val="0"/>
      </w:pPr>
      <w:r>
        <w:rPr>
          <w:rStyle w:val="FootnoteReference"/>
          <w:rFonts w:hint="cs"/>
          <w:sz w:val="26"/>
          <w:szCs w:val="24"/>
          <w:rtl/>
        </w:rPr>
        <w:t>8</w:t>
      </w:r>
      <w:r>
        <w:rPr>
          <w:rFonts w:hint="cs"/>
          <w:sz w:val="22"/>
          <w:rtl/>
        </w:rPr>
        <w:t xml:space="preserve"> </w:t>
      </w:r>
      <w:r>
        <w:t xml:space="preserve">Gerhard Von Rad, </w:t>
      </w:r>
      <w:r w:rsidRPr="002C1423">
        <w:rPr>
          <w:i/>
          <w:iCs/>
        </w:rPr>
        <w:t>Deuteronomy</w:t>
      </w:r>
      <w:r>
        <w:t xml:space="preserve">, trans.  Dorothea Barton (Philadelphia: Westminster Press, 1966).  </w:t>
      </w:r>
    </w:p>
  </w:footnote>
  <w:footnote w:id="124">
    <w:p w14:paraId="7135B980" w14:textId="77777777" w:rsidR="00070B6E" w:rsidRDefault="00070B6E" w:rsidP="00070B6E">
      <w:pPr>
        <w:pStyle w:val="FootnoteTxtNewParag"/>
        <w:rPr>
          <w:rtl/>
        </w:rPr>
      </w:pPr>
      <w:r>
        <w:rPr>
          <w:rStyle w:val="FootnoteReference"/>
          <w:rFonts w:hint="cs"/>
          <w:sz w:val="26"/>
          <w:szCs w:val="24"/>
          <w:rtl/>
        </w:rPr>
        <w:t>9</w:t>
      </w:r>
      <w:r>
        <w:rPr>
          <w:rFonts w:hint="cs"/>
          <w:rtl/>
        </w:rPr>
        <w:t xml:space="preserve"> المرجع السابق، 28. </w:t>
      </w:r>
    </w:p>
  </w:footnote>
  <w:footnote w:id="125">
    <w:p w14:paraId="351A4AFA" w14:textId="77777777" w:rsidR="00070B6E" w:rsidRDefault="00070B6E" w:rsidP="00070B6E">
      <w:pPr>
        <w:pStyle w:val="FootnoteTxtNewParag"/>
        <w:bidi w:val="0"/>
      </w:pPr>
      <w:r>
        <w:rPr>
          <w:rStyle w:val="FootnoteReference"/>
          <w:rFonts w:hint="cs"/>
          <w:sz w:val="26"/>
          <w:szCs w:val="24"/>
          <w:rtl/>
        </w:rPr>
        <w:t>1</w:t>
      </w:r>
      <w:r>
        <w:rPr>
          <w:rFonts w:hint="cs"/>
          <w:szCs w:val="24"/>
          <w:vertAlign w:val="superscript"/>
          <w:rtl/>
        </w:rPr>
        <w:t>0</w:t>
      </w:r>
      <w:r>
        <w:rPr>
          <w:rFonts w:hint="cs"/>
          <w:sz w:val="22"/>
          <w:rtl/>
        </w:rPr>
        <w:t xml:space="preserve"> </w:t>
      </w:r>
      <w:r>
        <w:t xml:space="preserve">Meredith Kline, </w:t>
      </w:r>
      <w:r w:rsidRPr="002C1423">
        <w:rPr>
          <w:i/>
          <w:iCs/>
        </w:rPr>
        <w:t>Treaty of The Great King</w:t>
      </w:r>
      <w:r>
        <w:t xml:space="preserve">, 42ff.  </w:t>
      </w:r>
    </w:p>
  </w:footnote>
  <w:footnote w:id="126">
    <w:p w14:paraId="4CBB2CD1" w14:textId="77777777" w:rsidR="00070B6E" w:rsidRDefault="00070B6E" w:rsidP="00070B6E">
      <w:pPr>
        <w:pStyle w:val="FootnoteTxtNewParag"/>
        <w:bidi w:val="0"/>
      </w:pPr>
      <w:r>
        <w:t xml:space="preserve">11  </w:t>
      </w:r>
      <w:r>
        <w:rPr>
          <w:rFonts w:hint="cs"/>
          <w:rtl/>
        </w:rPr>
        <w:t xml:space="preserve"> </w:t>
      </w:r>
      <w:r>
        <w:t xml:space="preserve">Merrill C. Tenney, ed. </w:t>
      </w:r>
      <w:r w:rsidRPr="002C1423">
        <w:rPr>
          <w:i/>
          <w:iCs/>
        </w:rPr>
        <w:t>The Zondervan Pictorial Encyclopedia of the Bible</w:t>
      </w:r>
      <w:r>
        <w:t>, s. v. “Exodus, The, “by K. A. Kitchen. 2 : 432</w:t>
      </w:r>
    </w:p>
  </w:footnote>
  <w:footnote w:id="127">
    <w:p w14:paraId="43B31927" w14:textId="77777777" w:rsidR="00070B6E" w:rsidRDefault="00070B6E" w:rsidP="00070B6E">
      <w:pPr>
        <w:pStyle w:val="FootnoteTxtNewParag"/>
        <w:bidi w:val="0"/>
      </w:pPr>
      <w:r>
        <w:rPr>
          <w:rStyle w:val="FootnoteReference"/>
        </w:rPr>
        <w:t>12</w:t>
      </w:r>
      <w:r>
        <w:t xml:space="preserve"> </w:t>
      </w:r>
      <w:r>
        <w:rPr>
          <w:rFonts w:hint="cs"/>
          <w:rtl/>
        </w:rPr>
        <w:t xml:space="preserve"> </w:t>
      </w:r>
      <w:r w:rsidRPr="002C1423">
        <w:rPr>
          <w:i/>
          <w:iCs/>
        </w:rPr>
        <w:t>The MacMillan Bible Atlas</w:t>
      </w:r>
      <w:r>
        <w:t>, 34.</w:t>
      </w:r>
    </w:p>
  </w:footnote>
  <w:footnote w:id="128">
    <w:p w14:paraId="48D8D518" w14:textId="77777777" w:rsidR="00070B6E" w:rsidRDefault="00070B6E" w:rsidP="00070B6E">
      <w:pPr>
        <w:pStyle w:val="FootnoteTxtNewParag"/>
        <w:bidi w:val="0"/>
        <w:rPr>
          <w:rtl/>
        </w:rPr>
      </w:pPr>
      <w:r>
        <w:rPr>
          <w:rStyle w:val="FootnoteReference"/>
          <w:sz w:val="22"/>
          <w:szCs w:val="24"/>
        </w:rPr>
        <w:footnoteRef/>
      </w:r>
      <w:r w:rsidRPr="002C1423">
        <w:rPr>
          <w:vertAlign w:val="superscript"/>
        </w:rPr>
        <w:t>3</w:t>
      </w:r>
      <w:r>
        <w:t xml:space="preserve"> </w:t>
      </w:r>
      <w:r>
        <w:rPr>
          <w:rFonts w:hint="cs"/>
          <w:rtl/>
        </w:rPr>
        <w:t xml:space="preserve"> </w:t>
      </w:r>
      <w:r w:rsidRPr="002C1423">
        <w:rPr>
          <w:i/>
          <w:iCs/>
        </w:rPr>
        <w:t>Cambridge Ancient History</w:t>
      </w:r>
      <w:r>
        <w:t>, Vol. 2, part 1 (Cambridge Univ. press, 1973), 324</w:t>
      </w:r>
    </w:p>
  </w:footnote>
  <w:footnote w:id="129">
    <w:p w14:paraId="4173D116" w14:textId="77777777" w:rsidR="00070B6E" w:rsidRDefault="00070B6E" w:rsidP="000558B7">
      <w:pPr>
        <w:pStyle w:val="FootnoteTxtNewParag"/>
        <w:spacing w:before="0"/>
        <w:rPr>
          <w:rtl/>
        </w:rPr>
      </w:pPr>
      <w:r>
        <w:rPr>
          <w:rStyle w:val="FootnoteReference"/>
          <w:szCs w:val="26"/>
          <w:lang w:bidi="ar-SA"/>
        </w:rPr>
        <w:t>14</w:t>
      </w:r>
      <w:r>
        <w:rPr>
          <w:lang w:bidi="ar-SA"/>
        </w:rPr>
        <w:t xml:space="preserve"> </w:t>
      </w:r>
      <w:r>
        <w:rPr>
          <w:rFonts w:hint="cs"/>
          <w:rtl/>
        </w:rPr>
        <w:t xml:space="preserve"> المرجع السابق، 340. </w:t>
      </w:r>
    </w:p>
  </w:footnote>
  <w:footnote w:id="130">
    <w:p w14:paraId="13290AE4" w14:textId="77777777" w:rsidR="00070B6E" w:rsidRDefault="00070B6E" w:rsidP="000558B7">
      <w:pPr>
        <w:pStyle w:val="FootnoteTxtNewParag"/>
        <w:spacing w:before="0"/>
        <w:rPr>
          <w:rtl/>
        </w:rPr>
      </w:pPr>
      <w:r>
        <w:rPr>
          <w:rStyle w:val="FootnoteReference"/>
          <w:szCs w:val="26"/>
          <w:lang w:bidi="ar-SA"/>
        </w:rPr>
        <w:t>15</w:t>
      </w:r>
      <w:r>
        <w:rPr>
          <w:lang w:bidi="ar-SA"/>
        </w:rPr>
        <w:t xml:space="preserve"> </w:t>
      </w:r>
      <w:r>
        <w:rPr>
          <w:rFonts w:hint="cs"/>
          <w:rtl/>
        </w:rPr>
        <w:t xml:space="preserve"> المرجع السابق، 338. </w:t>
      </w:r>
    </w:p>
  </w:footnote>
  <w:footnote w:id="131">
    <w:p w14:paraId="289394C3" w14:textId="77777777" w:rsidR="00070B6E" w:rsidRDefault="00070B6E" w:rsidP="000558B7">
      <w:pPr>
        <w:pStyle w:val="FootnoteTxtNewParag"/>
        <w:spacing w:before="0"/>
      </w:pPr>
      <w:r>
        <w:rPr>
          <w:rStyle w:val="FootnoteReference"/>
          <w:sz w:val="22"/>
          <w:szCs w:val="24"/>
        </w:rPr>
        <w:t>16</w:t>
      </w:r>
      <w:r>
        <w:t xml:space="preserve"> </w:t>
      </w:r>
      <w:r>
        <w:rPr>
          <w:rFonts w:hint="cs"/>
          <w:rtl/>
        </w:rPr>
        <w:t xml:space="preserve"> المرجع السابق، 527. </w:t>
      </w:r>
    </w:p>
  </w:footnote>
  <w:footnote w:id="132">
    <w:p w14:paraId="40BEBEB4" w14:textId="77777777" w:rsidR="00070B6E" w:rsidRDefault="00070B6E" w:rsidP="00070B6E">
      <w:pPr>
        <w:pStyle w:val="FootnoteTxtNewParag"/>
        <w:bidi w:val="0"/>
      </w:pPr>
      <w:r>
        <w:rPr>
          <w:rStyle w:val="FootnoteReference"/>
        </w:rPr>
        <w:t>17</w:t>
      </w:r>
      <w:r>
        <w:t xml:space="preserve"> </w:t>
      </w:r>
      <w:r>
        <w:rPr>
          <w:rFonts w:hint="cs"/>
          <w:rtl/>
        </w:rPr>
        <w:t xml:space="preserve"> </w:t>
      </w:r>
      <w:r>
        <w:t xml:space="preserve"> Peter C. Craigie, </w:t>
      </w:r>
      <w:r w:rsidRPr="002C1423">
        <w:rPr>
          <w:i/>
          <w:iCs/>
        </w:rPr>
        <w:t>The Book of Deuteronomy</w:t>
      </w:r>
      <w:r>
        <w:t xml:space="preserve">, The New International Commentary on Old Testament ( Grand Rapids, MI: Wm. B. Eerdmans Pub. Co., 1976), 31 –32. </w:t>
      </w:r>
    </w:p>
  </w:footnote>
  <w:footnote w:id="133">
    <w:p w14:paraId="70A6CC44" w14:textId="77777777" w:rsidR="00070B6E" w:rsidRDefault="00070B6E" w:rsidP="00070B6E">
      <w:pPr>
        <w:pStyle w:val="FootnoteTxtNewParag"/>
        <w:rPr>
          <w:rtl/>
        </w:rPr>
      </w:pPr>
      <w:r>
        <w:rPr>
          <w:rStyle w:val="FootnoteReference"/>
          <w:szCs w:val="26"/>
        </w:rPr>
        <w:t>18</w:t>
      </w:r>
      <w:r>
        <w:t xml:space="preserve"> </w:t>
      </w:r>
      <w:r>
        <w:rPr>
          <w:rFonts w:hint="cs"/>
          <w:rtl/>
        </w:rPr>
        <w:t xml:space="preserve"> المرجع السابق، 31. </w:t>
      </w:r>
    </w:p>
  </w:footnote>
  <w:footnote w:id="134">
    <w:p w14:paraId="49F7347B" w14:textId="77777777" w:rsidR="00070B6E" w:rsidRDefault="00070B6E" w:rsidP="00070B6E">
      <w:pPr>
        <w:pStyle w:val="FootnoteTxtNewParag"/>
        <w:bidi w:val="0"/>
        <w:rPr>
          <w:rtl/>
        </w:rPr>
      </w:pPr>
      <w:r>
        <w:rPr>
          <w:rStyle w:val="FootnoteReference"/>
          <w:sz w:val="22"/>
          <w:szCs w:val="24"/>
        </w:rPr>
        <w:footnoteRef/>
      </w:r>
      <w:r>
        <w:t xml:space="preserve"> </w:t>
      </w:r>
      <w:r>
        <w:rPr>
          <w:rFonts w:hint="cs"/>
          <w:rtl/>
        </w:rPr>
        <w:t xml:space="preserve"> </w:t>
      </w:r>
      <w:r>
        <w:t xml:space="preserve">Helmer Ringgren, </w:t>
      </w:r>
      <w:r w:rsidRPr="002C1423">
        <w:rPr>
          <w:i/>
          <w:iCs/>
        </w:rPr>
        <w:t>Religions of the Ancient Near East</w:t>
      </w:r>
      <w:r>
        <w:t>, trans, John Sturdy (Philadelphia: Fortress Press, 1973), 167</w:t>
      </w:r>
    </w:p>
  </w:footnote>
  <w:footnote w:id="135">
    <w:p w14:paraId="2D291C85" w14:textId="77777777" w:rsidR="00070B6E" w:rsidRDefault="00070B6E" w:rsidP="00070B6E">
      <w:pPr>
        <w:pStyle w:val="FootnoteTxtNewParag"/>
        <w:bidi w:val="0"/>
      </w:pPr>
      <w:r>
        <w:rPr>
          <w:rStyle w:val="FootnoteReference"/>
          <w:rFonts w:hint="cs"/>
          <w:sz w:val="26"/>
          <w:szCs w:val="24"/>
          <w:rtl/>
        </w:rPr>
        <w:t>1</w:t>
      </w:r>
      <w:r>
        <w:t xml:space="preserve">Peter Cragie, </w:t>
      </w:r>
      <w:r>
        <w:rPr>
          <w:i/>
          <w:iCs/>
        </w:rPr>
        <w:t>Deuteronomy</w:t>
      </w:r>
      <w:r>
        <w:t xml:space="preserve">, NIC, 139. </w:t>
      </w:r>
    </w:p>
  </w:footnote>
  <w:footnote w:id="136">
    <w:p w14:paraId="1D37E89E" w14:textId="77777777" w:rsidR="00070B6E" w:rsidRDefault="00070B6E" w:rsidP="00070B6E">
      <w:pPr>
        <w:pStyle w:val="FootnoteTxtNewParag"/>
        <w:bidi w:val="0"/>
      </w:pPr>
      <w:r>
        <w:rPr>
          <w:rStyle w:val="FootnoteReference"/>
          <w:rFonts w:hint="cs"/>
          <w:sz w:val="26"/>
          <w:szCs w:val="24"/>
          <w:rtl/>
        </w:rPr>
        <w:t>2</w:t>
      </w:r>
      <w:r>
        <w:rPr>
          <w:rFonts w:hint="cs"/>
          <w:sz w:val="22"/>
          <w:rtl/>
        </w:rPr>
        <w:t xml:space="preserve"> </w:t>
      </w:r>
      <w:r>
        <w:t xml:space="preserve">Seebass, </w:t>
      </w:r>
      <w:r>
        <w:rPr>
          <w:i/>
          <w:iCs/>
        </w:rPr>
        <w:t>TDOT</w:t>
      </w:r>
      <w:r>
        <w:t>, 1: 210-211.</w:t>
      </w:r>
    </w:p>
  </w:footnote>
  <w:footnote w:id="137">
    <w:p w14:paraId="38BFC083" w14:textId="77777777" w:rsidR="00070B6E" w:rsidRDefault="00070B6E" w:rsidP="00070B6E">
      <w:pPr>
        <w:pStyle w:val="FootnoteTxtNewParag"/>
        <w:bidi w:val="0"/>
      </w:pPr>
      <w:r>
        <w:rPr>
          <w:rStyle w:val="FootnoteReference"/>
          <w:rFonts w:hint="cs"/>
          <w:sz w:val="26"/>
          <w:szCs w:val="24"/>
          <w:rtl/>
        </w:rPr>
        <w:t>1</w:t>
      </w:r>
      <w:r>
        <w:rPr>
          <w:rFonts w:hint="cs"/>
          <w:sz w:val="22"/>
          <w:rtl/>
        </w:rPr>
        <w:t xml:space="preserve"> </w:t>
      </w:r>
      <w:r>
        <w:t xml:space="preserve">J. Paul Tanner, “The Function of Zechariah 13 within the Prophet’s Final Oracle,” (ThM Thesis, Dallas Seminary, 1981, 37. </w:t>
      </w:r>
    </w:p>
  </w:footnote>
  <w:footnote w:id="138">
    <w:p w14:paraId="4BD0DE78" w14:textId="77777777" w:rsidR="000A24AD" w:rsidRPr="00C923FF" w:rsidRDefault="000A24AD" w:rsidP="000A24AD">
      <w:pPr>
        <w:pStyle w:val="Footnote"/>
        <w:rPr>
          <w:i/>
          <w:iCs/>
        </w:rPr>
      </w:pPr>
      <w:r w:rsidRPr="00C923FF">
        <w:rPr>
          <w:rStyle w:val="FootnoteReference"/>
          <w:color w:val="C00000"/>
        </w:rPr>
        <w:footnoteRef/>
      </w:r>
      <w:r w:rsidRPr="00C923FF">
        <w:rPr>
          <w:color w:val="C00000"/>
        </w:rPr>
        <w:t xml:space="preserve"> Eugene H. Merrill, “The Case for Moderate Discontinuity,” in </w:t>
      </w:r>
      <w:r w:rsidRPr="00C923FF">
        <w:rPr>
          <w:i/>
          <w:iCs/>
          <w:color w:val="C00000"/>
        </w:rPr>
        <w:t>Show Them No Mercy: Four Views on God and Canaanite Genocide</w:t>
      </w:r>
      <w:r w:rsidRPr="00C923FF">
        <w:rPr>
          <w:color w:val="C00000"/>
        </w:rPr>
        <w:t xml:space="preserve"> (Grand Rapids: Zondervan, 2003), 65.</w:t>
      </w:r>
    </w:p>
  </w:footnote>
  <w:footnote w:id="139">
    <w:p w14:paraId="0A3B602C" w14:textId="77777777" w:rsidR="000A24AD" w:rsidRDefault="000A24AD" w:rsidP="000A24AD">
      <w:pPr>
        <w:pStyle w:val="Footnote"/>
      </w:pPr>
      <w:r w:rsidRPr="00C923FF">
        <w:rPr>
          <w:rStyle w:val="FootnoteReference"/>
          <w:color w:val="C00000"/>
        </w:rPr>
        <w:footnoteRef/>
      </w:r>
      <w:r w:rsidRPr="00C923FF">
        <w:rPr>
          <w:color w:val="C00000"/>
        </w:rPr>
        <w:t xml:space="preserve"> Ibid., 66.</w:t>
      </w:r>
    </w:p>
  </w:footnote>
  <w:footnote w:id="140">
    <w:p w14:paraId="3B1C97BE" w14:textId="30242249" w:rsidR="00177884" w:rsidRPr="00177884" w:rsidRDefault="00177884">
      <w:pPr>
        <w:pStyle w:val="FootnoteText"/>
        <w:rPr>
          <w:rtl/>
          <w:lang w:bidi="ar-JO"/>
        </w:rPr>
      </w:pPr>
      <w:r>
        <w:rPr>
          <w:rStyle w:val="FootnoteReference"/>
        </w:rPr>
        <w:footnoteRef/>
      </w:r>
      <w:r>
        <w:t xml:space="preserve"> </w:t>
      </w:r>
      <w:r w:rsidRPr="00D257F1">
        <w:t xml:space="preserve">Greg Koukl, “The Canaanites: Genocide or Judgment?” Online at </w:t>
      </w:r>
      <w:hyperlink r:id="rId2" w:history="1">
        <w:r w:rsidRPr="00D257F1">
          <w:rPr>
            <w:rStyle w:val="Hyperlink"/>
            <w:color w:val="C00000"/>
          </w:rPr>
          <w:t>The Canaanites: Genocide Or Judgment? | Bible.org</w:t>
        </w:r>
      </w:hyperlink>
      <w:r w:rsidRPr="00D257F1">
        <w:t>.</w:t>
      </w:r>
    </w:p>
  </w:footnote>
  <w:footnote w:id="141">
    <w:p w14:paraId="3DED2C35" w14:textId="77777777" w:rsidR="001F0875" w:rsidRPr="005F34BF" w:rsidRDefault="001F0875" w:rsidP="001F0875">
      <w:pPr>
        <w:pStyle w:val="Footnote"/>
      </w:pPr>
      <w:r w:rsidRPr="00A131ED">
        <w:rPr>
          <w:rStyle w:val="FootnoteReference"/>
          <w:color w:val="C00000"/>
        </w:rPr>
        <w:footnoteRef/>
      </w:r>
      <w:r w:rsidRPr="00A131ED">
        <w:rPr>
          <w:color w:val="C00000"/>
        </w:rPr>
        <w:t xml:space="preserve"> Tremper Longman III, “The Case for Spiritual Continuity,” in </w:t>
      </w:r>
      <w:r w:rsidRPr="00A131ED">
        <w:rPr>
          <w:i/>
          <w:iCs/>
          <w:color w:val="C00000"/>
        </w:rPr>
        <w:t>Show Them No Mercy: Four Views on God and Canaanite Genocide</w:t>
      </w:r>
      <w:r w:rsidRPr="00A131ED">
        <w:rPr>
          <w:color w:val="C00000"/>
        </w:rPr>
        <w:t xml:space="preserve"> (Grand Rapids: Zondervan, 2003), 185.</w:t>
      </w:r>
    </w:p>
  </w:footnote>
  <w:footnote w:id="142">
    <w:p w14:paraId="235C3570" w14:textId="77777777" w:rsidR="006A7C83" w:rsidRDefault="006A7C83" w:rsidP="006A7C83">
      <w:pPr>
        <w:pStyle w:val="FootnoteTxtNewParag"/>
        <w:rPr>
          <w:rtl/>
          <w:lang w:bidi="ar-SA"/>
        </w:rPr>
      </w:pPr>
      <w:r>
        <w:rPr>
          <w:rStyle w:val="FootnoteReference"/>
          <w:rFonts w:hint="cs"/>
          <w:sz w:val="26"/>
          <w:szCs w:val="24"/>
          <w:rtl/>
        </w:rPr>
        <w:t>1</w:t>
      </w:r>
      <w:r>
        <w:rPr>
          <w:rFonts w:hint="cs"/>
          <w:rtl/>
        </w:rPr>
        <w:t xml:space="preserve"> يُعرف القسم الذي يتألف من يشوع وقضاة وصموئيل وملوك باسم "الأنبياء السابقين".  ويشكّل هذا "أخبار بني إسرائيل التي تقدّم تفسيراً لاهوتياً للتاريخ العبري في ضوء علاقة العهد مع يهوه والبركات واللعنات القومية الملازمة لطاعة شروط العهد أو عصيانها." </w:t>
      </w:r>
      <w:r>
        <w:t xml:space="preserve">(Hill and Walton,  </w:t>
      </w:r>
      <w:r>
        <w:rPr>
          <w:i/>
          <w:iCs/>
        </w:rPr>
        <w:t>A Survey of the Old Testament, 201).</w:t>
      </w:r>
      <w:r>
        <w:rPr>
          <w:rFonts w:hint="cs"/>
          <w:i/>
          <w:iCs/>
          <w:rtl/>
        </w:rPr>
        <w:t xml:space="preserve"> </w:t>
      </w:r>
      <w:r>
        <w:rPr>
          <w:rFonts w:hint="cs"/>
          <w:rtl/>
        </w:rPr>
        <w:t xml:space="preserve">لنقاش حول المدرسة التثنوية التأثُّر، انظر، </w:t>
      </w:r>
      <w:r>
        <w:t xml:space="preserve">Hill and Walton, 203. Cf . Gordon Wenham. “The Date of Deuteronomy: Linch-Pin of Old Testament Criticism,” Themelios 10: 3 (1985): 15-20, and 11: 1 (1986): 15-18.   </w:t>
      </w:r>
    </w:p>
  </w:footnote>
  <w:footnote w:id="143">
    <w:p w14:paraId="237ACF86" w14:textId="77777777" w:rsidR="006A7C83" w:rsidRDefault="006A7C83" w:rsidP="006A7C83">
      <w:pPr>
        <w:pStyle w:val="FootnoteTxtNewParag"/>
        <w:bidi w:val="0"/>
        <w:rPr>
          <w:rtl/>
          <w:lang w:bidi="ar-SA"/>
        </w:rPr>
      </w:pPr>
      <w:r>
        <w:rPr>
          <w:rStyle w:val="FootnoteReference"/>
          <w:rFonts w:hint="cs"/>
          <w:sz w:val="26"/>
          <w:szCs w:val="24"/>
          <w:rtl/>
        </w:rPr>
        <w:t>2</w:t>
      </w:r>
      <w:r>
        <w:rPr>
          <w:rFonts w:hint="cs"/>
          <w:sz w:val="22"/>
          <w:rtl/>
        </w:rPr>
        <w:t xml:space="preserve"> </w:t>
      </w:r>
      <w:r>
        <w:t xml:space="preserve">Geoffrey W. Bromiley, ed. </w:t>
      </w:r>
      <w:r>
        <w:rPr>
          <w:i/>
          <w:iCs/>
        </w:rPr>
        <w:t xml:space="preserve">The International Standard Bible Encyclopedia </w:t>
      </w:r>
      <w:r>
        <w:t xml:space="preserve">(Grand Rapids, MI: William B. Eerdmans Pub. Co., 1982), s.v. “Joshua, Book of,” by Bruce K, Waltke, 2: 1134-35. </w:t>
      </w:r>
      <w:r>
        <w:rPr>
          <w:i/>
          <w:iCs/>
        </w:rPr>
        <w:t xml:space="preserve">  </w:t>
      </w:r>
    </w:p>
  </w:footnote>
  <w:footnote w:id="144">
    <w:p w14:paraId="3978063F" w14:textId="77777777" w:rsidR="006A7C83" w:rsidRDefault="006A7C83" w:rsidP="006A7C83">
      <w:pPr>
        <w:pStyle w:val="FootnoteTxtNewParag"/>
        <w:bidi w:val="0"/>
        <w:rPr>
          <w:rtl/>
          <w:lang w:bidi="ar-SA"/>
        </w:rPr>
      </w:pPr>
      <w:r>
        <w:rPr>
          <w:rStyle w:val="FootnoteReference"/>
          <w:rFonts w:hint="cs"/>
          <w:sz w:val="26"/>
          <w:szCs w:val="24"/>
          <w:rtl/>
        </w:rPr>
        <w:t>3</w:t>
      </w:r>
      <w:r>
        <w:rPr>
          <w:rFonts w:hint="cs"/>
          <w:sz w:val="22"/>
          <w:rtl/>
        </w:rPr>
        <w:t xml:space="preserve"> </w:t>
      </w:r>
      <w:r w:rsidRPr="009721E2">
        <w:rPr>
          <w:i/>
          <w:iCs/>
        </w:rPr>
        <w:t>The Cambridge Ancient History</w:t>
      </w:r>
      <w:r>
        <w:t>, II part 1,527.</w:t>
      </w:r>
    </w:p>
  </w:footnote>
  <w:footnote w:id="145">
    <w:p w14:paraId="4C946C10" w14:textId="77777777" w:rsidR="006A7C83" w:rsidRDefault="006A7C83" w:rsidP="006A7C83">
      <w:pPr>
        <w:pStyle w:val="FootnoteTxtNewParag"/>
        <w:bidi w:val="0"/>
        <w:rPr>
          <w:rtl/>
        </w:rPr>
      </w:pPr>
      <w:r>
        <w:rPr>
          <w:rStyle w:val="FootnoteReference"/>
          <w:rFonts w:hint="cs"/>
          <w:sz w:val="26"/>
          <w:szCs w:val="24"/>
          <w:rtl/>
        </w:rPr>
        <w:t>4</w:t>
      </w:r>
      <w:r>
        <w:t xml:space="preserve">Merrill, </w:t>
      </w:r>
      <w:r w:rsidRPr="009721E2">
        <w:rPr>
          <w:i/>
          <w:iCs/>
        </w:rPr>
        <w:t>Kingdom of Priests</w:t>
      </w:r>
      <w:r>
        <w:t xml:space="preserve">, 99. </w:t>
      </w:r>
    </w:p>
  </w:footnote>
  <w:footnote w:id="146">
    <w:p w14:paraId="75027F18" w14:textId="77777777" w:rsidR="006A7C83" w:rsidRDefault="006A7C83" w:rsidP="006A7C83">
      <w:pPr>
        <w:pStyle w:val="FootnoteTxtNewParag"/>
        <w:bidi w:val="0"/>
      </w:pPr>
      <w:r>
        <w:rPr>
          <w:rStyle w:val="FootnoteReference"/>
          <w:rFonts w:hint="cs"/>
          <w:sz w:val="26"/>
          <w:szCs w:val="24"/>
          <w:rtl/>
        </w:rPr>
        <w:t>5</w:t>
      </w:r>
      <w:r>
        <w:rPr>
          <w:rFonts w:hint="cs"/>
          <w:sz w:val="22"/>
          <w:rtl/>
        </w:rPr>
        <w:t xml:space="preserve"> </w:t>
      </w:r>
      <w:r>
        <w:t xml:space="preserve">Merrill F. Unger, </w:t>
      </w:r>
      <w:r w:rsidRPr="009721E2">
        <w:rPr>
          <w:i/>
          <w:iCs/>
        </w:rPr>
        <w:t>Archaeology and the Old Testament</w:t>
      </w:r>
      <w:r>
        <w:t xml:space="preserve"> (Grand Rapids, MI: Zondervan Pub. House, 1954), 167ff. </w:t>
      </w:r>
    </w:p>
  </w:footnote>
  <w:footnote w:id="147">
    <w:p w14:paraId="7BD2C163" w14:textId="77777777" w:rsidR="006A7C83" w:rsidRDefault="006A7C83" w:rsidP="006A7C83">
      <w:pPr>
        <w:pStyle w:val="FootnoteTxtNewParag"/>
        <w:bidi w:val="0"/>
      </w:pPr>
      <w:r>
        <w:rPr>
          <w:rStyle w:val="FootnoteReference"/>
          <w:rFonts w:hint="cs"/>
          <w:sz w:val="26"/>
          <w:szCs w:val="24"/>
          <w:rtl/>
        </w:rPr>
        <w:t>6</w:t>
      </w:r>
      <w:r>
        <w:rPr>
          <w:rFonts w:hint="cs"/>
          <w:sz w:val="22"/>
          <w:rtl/>
        </w:rPr>
        <w:t xml:space="preserve"> </w:t>
      </w:r>
      <w:r>
        <w:t>Waltke, 2: 1133.</w:t>
      </w:r>
    </w:p>
  </w:footnote>
  <w:footnote w:id="148">
    <w:p w14:paraId="5F51F4F7" w14:textId="77777777" w:rsidR="006A7C83" w:rsidRDefault="006A7C83" w:rsidP="006A7C83">
      <w:pPr>
        <w:pStyle w:val="FootnoteTxtNewParag"/>
        <w:bidi w:val="0"/>
      </w:pPr>
      <w:r>
        <w:rPr>
          <w:rStyle w:val="FootnoteReference"/>
          <w:rFonts w:hint="cs"/>
          <w:sz w:val="26"/>
          <w:szCs w:val="24"/>
          <w:rtl/>
        </w:rPr>
        <w:t>7</w:t>
      </w:r>
      <w:r>
        <w:rPr>
          <w:rFonts w:hint="cs"/>
          <w:sz w:val="22"/>
          <w:rtl/>
        </w:rPr>
        <w:t xml:space="preserve"> </w:t>
      </w:r>
      <w:r>
        <w:t xml:space="preserve">Alan Redpath, </w:t>
      </w:r>
      <w:r w:rsidRPr="009721E2">
        <w:rPr>
          <w:i/>
          <w:iCs/>
        </w:rPr>
        <w:t>Victorious Christian Living</w:t>
      </w:r>
      <w:r>
        <w:t>, 32-33.</w:t>
      </w:r>
    </w:p>
  </w:footnote>
  <w:footnote w:id="149">
    <w:p w14:paraId="662F8743" w14:textId="77777777" w:rsidR="006A7C83" w:rsidRDefault="006A7C83" w:rsidP="006A7C83">
      <w:pPr>
        <w:pStyle w:val="FootnoteTxtNewParag"/>
        <w:bidi w:val="0"/>
      </w:pPr>
      <w:r>
        <w:rPr>
          <w:rStyle w:val="FootnoteReference"/>
          <w:rFonts w:hint="cs"/>
          <w:sz w:val="22"/>
          <w:rtl/>
        </w:rPr>
        <w:t>8</w:t>
      </w:r>
      <w:r>
        <w:rPr>
          <w:rFonts w:hint="cs"/>
          <w:sz w:val="22"/>
          <w:rtl/>
        </w:rPr>
        <w:t xml:space="preserve"> </w:t>
      </w:r>
      <w:r>
        <w:t xml:space="preserve">Don Campbell, </w:t>
      </w:r>
      <w:r>
        <w:rPr>
          <w:i/>
          <w:iCs/>
        </w:rPr>
        <w:t>No Time for Neutrality</w:t>
      </w:r>
      <w:r>
        <w:t xml:space="preserve"> (Wheaton, IL: Victor Books, 1981), 32.</w:t>
      </w:r>
    </w:p>
  </w:footnote>
  <w:footnote w:id="150">
    <w:p w14:paraId="486505E2" w14:textId="77777777" w:rsidR="006A7C83" w:rsidRDefault="006A7C83" w:rsidP="006A7C83">
      <w:pPr>
        <w:pStyle w:val="FootnoteTxtNewParag"/>
        <w:bidi w:val="0"/>
        <w:rPr>
          <w:rtl/>
          <w:lang w:bidi="ar-SA"/>
        </w:rPr>
      </w:pPr>
      <w:r>
        <w:rPr>
          <w:rStyle w:val="FootnoteReference"/>
          <w:rFonts w:hint="cs"/>
          <w:sz w:val="26"/>
          <w:szCs w:val="24"/>
          <w:rtl/>
        </w:rPr>
        <w:t>9</w:t>
      </w:r>
      <w:r>
        <w:rPr>
          <w:rFonts w:hint="cs"/>
          <w:sz w:val="22"/>
          <w:rtl/>
        </w:rPr>
        <w:t xml:space="preserve"> </w:t>
      </w:r>
      <w:r>
        <w:t xml:space="preserve">Merrill, </w:t>
      </w:r>
      <w:r w:rsidRPr="009721E2">
        <w:rPr>
          <w:i/>
          <w:iCs/>
        </w:rPr>
        <w:t>Kingdom of Priests</w:t>
      </w:r>
      <w:r>
        <w:t>, 109.</w:t>
      </w:r>
    </w:p>
  </w:footnote>
  <w:footnote w:id="151">
    <w:p w14:paraId="669F8232" w14:textId="77777777" w:rsidR="006A7C83" w:rsidRDefault="006A7C83" w:rsidP="006A7C83">
      <w:pPr>
        <w:pStyle w:val="FootnoteTxtNewParag"/>
        <w:rPr>
          <w:sz w:val="22"/>
          <w:u w:val="single"/>
          <w:rtl/>
          <w:lang w:bidi="ar-SA"/>
        </w:rPr>
      </w:pPr>
      <w:r>
        <w:rPr>
          <w:rStyle w:val="FootnoteReference"/>
          <w:rFonts w:hint="cs"/>
          <w:sz w:val="26"/>
          <w:szCs w:val="24"/>
          <w:rtl/>
        </w:rPr>
        <w:t>1</w:t>
      </w:r>
      <w:r>
        <w:rPr>
          <w:rFonts w:hint="cs"/>
          <w:szCs w:val="24"/>
          <w:vertAlign w:val="superscript"/>
          <w:rtl/>
        </w:rPr>
        <w:t>0</w:t>
      </w:r>
      <w:r>
        <w:rPr>
          <w:rFonts w:hint="cs"/>
          <w:sz w:val="22"/>
          <w:rtl/>
        </w:rPr>
        <w:t xml:space="preserve"> لدراسة موثوقة حول غزو الأرض، انظر </w:t>
      </w:r>
      <w:r>
        <w:rPr>
          <w:lang w:bidi="ar-SA"/>
        </w:rPr>
        <w:t>Merrill, Kingdom of Priests, 108-121.</w:t>
      </w:r>
      <w:r>
        <w:rPr>
          <w:rFonts w:hint="cs"/>
          <w:rtl/>
        </w:rPr>
        <w:t xml:space="preserve"> </w:t>
      </w:r>
      <w:r>
        <w:rPr>
          <w:rFonts w:hint="cs"/>
          <w:sz w:val="22"/>
          <w:rtl/>
        </w:rPr>
        <w:t xml:space="preserve">وهو يقدّم أيضاً دراسة مسحية موجزة لنماذج بديلة لاحتلال بني إسرائيل (ص122-28). </w:t>
      </w:r>
    </w:p>
  </w:footnote>
  <w:footnote w:id="152">
    <w:p w14:paraId="1052A2DD" w14:textId="77777777" w:rsidR="006A7C83" w:rsidRDefault="006A7C83" w:rsidP="006A7C83">
      <w:pPr>
        <w:pStyle w:val="FootnoteTxtNewParag"/>
        <w:rPr>
          <w:rtl/>
        </w:rPr>
      </w:pPr>
      <w:r>
        <w:rPr>
          <w:rStyle w:val="FootnoteReference"/>
          <w:rFonts w:hint="cs"/>
          <w:sz w:val="26"/>
          <w:szCs w:val="24"/>
          <w:rtl/>
        </w:rPr>
        <w:t>1</w:t>
      </w:r>
      <w:r>
        <w:rPr>
          <w:rFonts w:hint="cs"/>
          <w:sz w:val="26"/>
          <w:szCs w:val="24"/>
          <w:vertAlign w:val="superscript"/>
          <w:rtl/>
        </w:rPr>
        <w:t>1</w:t>
      </w:r>
      <w:r>
        <w:rPr>
          <w:rFonts w:hint="cs"/>
          <w:rtl/>
        </w:rPr>
        <w:t xml:space="preserve"> يشير التحريم إلى ما حدده يهوه كموضوع لدينونته، يقول ميريل، </w:t>
      </w:r>
    </w:p>
    <w:p w14:paraId="4D3EC4F0" w14:textId="77777777" w:rsidR="006A7C83" w:rsidRDefault="006A7C83" w:rsidP="006A7C83">
      <w:pPr>
        <w:pStyle w:val="FootnoteTxtNewParag"/>
        <w:rPr>
          <w:rtl/>
        </w:rPr>
      </w:pPr>
      <w:r>
        <w:rPr>
          <w:rFonts w:hint="cs"/>
          <w:rtl/>
        </w:rPr>
        <w:t>"عندما يُدعى مكان أو شعب بأنه محرَّم، فإنه كان يقال إن هذا المكان أو الشعب "مخصص" ليهوه، أي أنه موضوع تحت التحريم".  والكلمة العبرية المستخدمة هي "</w:t>
      </w:r>
      <w:r>
        <w:rPr>
          <w:rFonts w:hint="cs"/>
          <w:i/>
          <w:iCs/>
          <w:rtl/>
        </w:rPr>
        <w:t>حرم"</w:t>
      </w:r>
      <w:r>
        <w:rPr>
          <w:rFonts w:hint="cs"/>
          <w:rtl/>
        </w:rPr>
        <w:t xml:space="preserve"> ("يكرَّس للتدمير").  وكان لا يدّ من إفناء الأشياء الموضوعة تحت "التحريم" (إن كانت حية) أو إعطائها لاستعمال يهوه الخاص.  ولا يمكن الاحتفاظ بهذا الشيء تحت أي ظرف من الظروف دون سماح صريح من يهوه." (</w:t>
      </w:r>
      <w:r>
        <w:rPr>
          <w:i/>
          <w:iCs/>
        </w:rPr>
        <w:t>Kingdom of Priests, 110</w:t>
      </w:r>
      <w:r>
        <w:rPr>
          <w:rFonts w:hint="cs"/>
          <w:rtl/>
        </w:rPr>
        <w:t>)</w:t>
      </w:r>
    </w:p>
    <w:p w14:paraId="7C15FE0E" w14:textId="77777777" w:rsidR="006A7C83" w:rsidRDefault="006A7C83" w:rsidP="006A7C83">
      <w:pPr>
        <w:pStyle w:val="FootnoteTxtNewParag"/>
        <w:rPr>
          <w:lang w:bidi="ar-SA"/>
        </w:rPr>
      </w:pPr>
      <w:r>
        <w:rPr>
          <w:rFonts w:hint="cs"/>
          <w:rtl/>
        </w:rPr>
        <w:t xml:space="preserve">ولقد عانت ثلاث مدن فقط من </w:t>
      </w:r>
      <w:r>
        <w:rPr>
          <w:rFonts w:hint="cs"/>
          <w:i/>
          <w:iCs/>
          <w:rtl/>
        </w:rPr>
        <w:t xml:space="preserve">التحريم </w:t>
      </w:r>
      <w:r>
        <w:rPr>
          <w:rFonts w:hint="cs"/>
          <w:u w:val="single"/>
          <w:rtl/>
        </w:rPr>
        <w:t>الكامل</w:t>
      </w:r>
      <w:r>
        <w:rPr>
          <w:rFonts w:hint="cs"/>
          <w:rtl/>
        </w:rPr>
        <w:t xml:space="preserve">، وهي أريحا وعاي وحاصور.  </w:t>
      </w:r>
    </w:p>
  </w:footnote>
  <w:footnote w:id="153">
    <w:p w14:paraId="72C05B3D" w14:textId="77777777" w:rsidR="006A7C83" w:rsidRDefault="006A7C83" w:rsidP="006A7C83">
      <w:pPr>
        <w:pStyle w:val="FootnoteTxtNewParag"/>
        <w:bidi w:val="0"/>
      </w:pPr>
      <w:r>
        <w:rPr>
          <w:rStyle w:val="FootnoteReference"/>
          <w:rFonts w:hint="cs"/>
          <w:sz w:val="26"/>
          <w:szCs w:val="24"/>
          <w:rtl/>
        </w:rPr>
        <w:t>1</w:t>
      </w:r>
      <w:r>
        <w:rPr>
          <w:rFonts w:hint="cs"/>
          <w:sz w:val="26"/>
          <w:szCs w:val="24"/>
          <w:vertAlign w:val="superscript"/>
          <w:rtl/>
        </w:rPr>
        <w:t>2</w:t>
      </w:r>
      <w:r>
        <w:rPr>
          <w:rFonts w:hint="cs"/>
          <w:sz w:val="22"/>
          <w:rtl/>
        </w:rPr>
        <w:t xml:space="preserve"> </w:t>
      </w:r>
      <w:r>
        <w:rPr>
          <w:i/>
          <w:iCs/>
        </w:rPr>
        <w:t>The Cambridge Ancient History</w:t>
      </w:r>
      <w:r>
        <w:t>, II: 1:542.</w:t>
      </w:r>
    </w:p>
  </w:footnote>
  <w:footnote w:id="154">
    <w:p w14:paraId="0B670E8A" w14:textId="77777777" w:rsidR="006A7C83" w:rsidRDefault="006A7C83" w:rsidP="006A7C83">
      <w:pPr>
        <w:pStyle w:val="FootnoteTxtNewParag"/>
        <w:bidi w:val="0"/>
      </w:pPr>
      <w:r>
        <w:rPr>
          <w:rStyle w:val="FootnoteReference"/>
          <w:rFonts w:hint="cs"/>
          <w:sz w:val="26"/>
          <w:szCs w:val="24"/>
          <w:rtl/>
        </w:rPr>
        <w:t>1</w:t>
      </w:r>
      <w:r>
        <w:rPr>
          <w:rFonts w:hint="cs"/>
          <w:sz w:val="22"/>
          <w:rtl/>
        </w:rPr>
        <w:t xml:space="preserve"> </w:t>
      </w:r>
      <w:r>
        <w:t xml:space="preserve">Bruce K. Waltke, </w:t>
      </w:r>
      <w:r>
        <w:rPr>
          <w:i/>
          <w:iCs/>
        </w:rPr>
        <w:t>ISBE</w:t>
      </w:r>
      <w:r>
        <w:t xml:space="preserve">, 2: 1135. </w:t>
      </w:r>
    </w:p>
  </w:footnote>
  <w:footnote w:id="155">
    <w:p w14:paraId="0BA56B53" w14:textId="77777777" w:rsidR="006A7C83" w:rsidRDefault="006A7C83" w:rsidP="006A7C83">
      <w:pPr>
        <w:pStyle w:val="FootnoteTxtNewParag"/>
        <w:rPr>
          <w:lang w:bidi="ar-SA"/>
        </w:rPr>
      </w:pPr>
      <w:r>
        <w:rPr>
          <w:rStyle w:val="FootnoteReference"/>
          <w:rFonts w:hint="cs"/>
          <w:sz w:val="26"/>
          <w:szCs w:val="24"/>
          <w:rtl/>
        </w:rPr>
        <w:t>2</w:t>
      </w:r>
      <w:r>
        <w:rPr>
          <w:rFonts w:hint="cs"/>
          <w:rtl/>
        </w:rPr>
        <w:t xml:space="preserve"> لتحديد الحدود المخصصة لكل سبط، انظر </w:t>
      </w:r>
      <w:r>
        <w:rPr>
          <w:lang w:bidi="ar-SA"/>
        </w:rPr>
        <w:t xml:space="preserve">Merrill, </w:t>
      </w:r>
      <w:r>
        <w:rPr>
          <w:i/>
          <w:iCs/>
          <w:lang w:bidi="ar-SA"/>
        </w:rPr>
        <w:t>Kingdom of Priests</w:t>
      </w:r>
      <w:r>
        <w:rPr>
          <w:lang w:bidi="ar-SA"/>
        </w:rPr>
        <w:t>, 129-36.</w:t>
      </w:r>
    </w:p>
  </w:footnote>
  <w:footnote w:id="156">
    <w:p w14:paraId="6413028D" w14:textId="77777777" w:rsidR="006A7C83" w:rsidRDefault="006A7C83" w:rsidP="006A7C83">
      <w:pPr>
        <w:pStyle w:val="FootnoteTxtNewParag"/>
        <w:rPr>
          <w:rtl/>
        </w:rPr>
      </w:pPr>
      <w:r>
        <w:rPr>
          <w:rStyle w:val="FootnoteReference"/>
          <w:rFonts w:hint="cs"/>
          <w:sz w:val="26"/>
          <w:szCs w:val="24"/>
          <w:rtl/>
        </w:rPr>
        <w:t>3</w:t>
      </w:r>
      <w:r>
        <w:rPr>
          <w:rFonts w:hint="cs"/>
          <w:rtl/>
        </w:rPr>
        <w:t xml:space="preserve"> يقول ميريل إنه مضت ثلاثون سنة تقريباً على الاحتفال الطقسي السابق، ومن هنا فإن كثيرين من بني إسرائيل لم يكونوا قد شاركوا شخصياً في تجديد العهد.  (</w:t>
      </w:r>
      <w:r>
        <w:rPr>
          <w:i/>
          <w:iCs/>
        </w:rPr>
        <w:t>Kingdom of Priests</w:t>
      </w:r>
      <w:r>
        <w:t>, 138</w:t>
      </w:r>
      <w:r>
        <w:rPr>
          <w:rFonts w:hint="cs"/>
          <w:rtl/>
        </w:rPr>
        <w:t>).</w:t>
      </w:r>
    </w:p>
  </w:footnote>
  <w:footnote w:id="157">
    <w:p w14:paraId="4855CC4A" w14:textId="77777777" w:rsidR="006A7C83" w:rsidRDefault="006A7C83" w:rsidP="006A7C83">
      <w:pPr>
        <w:pStyle w:val="FootnoteTxtNewParag"/>
        <w:bidi w:val="0"/>
      </w:pPr>
      <w:r>
        <w:rPr>
          <w:rStyle w:val="FootnoteReference"/>
          <w:rFonts w:hint="cs"/>
          <w:sz w:val="26"/>
          <w:szCs w:val="24"/>
          <w:rtl/>
        </w:rPr>
        <w:t>4</w:t>
      </w:r>
      <w:r>
        <w:rPr>
          <w:rFonts w:hint="cs"/>
          <w:sz w:val="22"/>
          <w:rtl/>
        </w:rPr>
        <w:t xml:space="preserve"> </w:t>
      </w:r>
      <w:r>
        <w:t xml:space="preserve">Irving Jensen, </w:t>
      </w:r>
      <w:r>
        <w:rPr>
          <w:i/>
          <w:iCs/>
        </w:rPr>
        <w:t>Joshua</w:t>
      </w:r>
      <w:r>
        <w:t>: Rest-Land Won (Chicago: Moody Press, 1966), 122.</w:t>
      </w:r>
    </w:p>
  </w:footnote>
  <w:footnote w:id="158">
    <w:p w14:paraId="1E8B1065" w14:textId="77777777" w:rsidR="006A7C83" w:rsidRDefault="006A7C83" w:rsidP="006A7C83">
      <w:pPr>
        <w:pStyle w:val="FootnoteTxtNewParag"/>
        <w:rPr>
          <w:lang w:bidi="ar-SA"/>
        </w:rPr>
      </w:pPr>
      <w:r>
        <w:rPr>
          <w:rStyle w:val="FootnoteReference"/>
          <w:rFonts w:hint="cs"/>
          <w:sz w:val="26"/>
          <w:szCs w:val="24"/>
          <w:rtl/>
        </w:rPr>
        <w:t>5</w:t>
      </w:r>
      <w:r>
        <w:rPr>
          <w:rFonts w:hint="cs"/>
          <w:rtl/>
        </w:rPr>
        <w:t xml:space="preserve"> يلمّح ديلارد ولونغمان إلى هذا عندما يقولان: "بعد افتداء الله لإسرائيل من أرض الخروج، بدأت بفتح ميراثها، وبعد عمل يسوع الفدائي على الصليب، يتحرّك شعبه لفتح وأخذ العالم باسمه.  لقد تمتّعت إسرائيل بميراث أرضي وبمملكة أرضية، لكن المملكة, التي تشكّل الكنيسة جزءاً منها، روحية وسماوية. </w:t>
      </w:r>
      <w:r>
        <w:t xml:space="preserve">(Raymond B. Dillard and Tremper Longman III, An </w:t>
      </w:r>
      <w:r>
        <w:rPr>
          <w:i/>
          <w:iCs/>
        </w:rPr>
        <w:t xml:space="preserve">Introduction to the Old Testament </w:t>
      </w:r>
      <w:r>
        <w:t xml:space="preserve">(Grand Rapids, MI: Zondervan Pub.  </w:t>
      </w:r>
      <w:r>
        <w:rPr>
          <w:lang w:bidi="ar-SA"/>
        </w:rPr>
        <w:t>House, 1994), 117.</w:t>
      </w:r>
    </w:p>
  </w:footnote>
  <w:footnote w:id="159">
    <w:p w14:paraId="2CD0A187" w14:textId="77777777" w:rsidR="006A7C83" w:rsidRDefault="006A7C83" w:rsidP="006A7C83">
      <w:pPr>
        <w:pStyle w:val="FootnoteTxtNewParag"/>
        <w:rPr>
          <w:rtl/>
        </w:rPr>
      </w:pPr>
      <w:r>
        <w:rPr>
          <w:rStyle w:val="FootnoteReference"/>
          <w:rFonts w:hint="cs"/>
          <w:sz w:val="26"/>
          <w:szCs w:val="24"/>
          <w:rtl/>
        </w:rPr>
        <w:t>1</w:t>
      </w:r>
      <w:r>
        <w:rPr>
          <w:rFonts w:hint="cs"/>
          <w:rtl/>
        </w:rPr>
        <w:t xml:space="preserve"> كان المحرِّر (</w:t>
      </w:r>
      <w:r>
        <w:rPr>
          <w:lang w:bidi="ar-SA"/>
        </w:rPr>
        <w:t>Redactor</w:t>
      </w:r>
      <w:r>
        <w:rPr>
          <w:rFonts w:hint="cs"/>
          <w:rtl/>
        </w:rPr>
        <w:t xml:space="preserve">) شخصاً يعيد كتابة وثائق سابقة.  ولم يكن شخصاً يقوم بتحرير ثانوي أو وضع لمسات بسيطة قبل النشر، بل كان شخصاً يأخذ وحدات أدبية من أجيال سابقة، ويفسّرها من منظوره التاريخي، ويعيد توليفها بطريقة تجعلها ذات صلة بجيله (أي أنه يُعَصْرنها).  </w:t>
      </w:r>
    </w:p>
  </w:footnote>
  <w:footnote w:id="160">
    <w:p w14:paraId="5AD18CB6" w14:textId="77777777" w:rsidR="006A7C83" w:rsidRDefault="006A7C83" w:rsidP="006A7C83">
      <w:pPr>
        <w:pStyle w:val="FootnoteTxtNewParag"/>
        <w:bidi w:val="0"/>
        <w:rPr>
          <w:rtl/>
          <w:lang w:bidi="ar-SA"/>
        </w:rPr>
      </w:pPr>
      <w:r>
        <w:rPr>
          <w:rStyle w:val="FootnoteReference"/>
          <w:rFonts w:hint="cs"/>
          <w:sz w:val="26"/>
          <w:szCs w:val="24"/>
          <w:rtl/>
        </w:rPr>
        <w:t>2</w:t>
      </w:r>
      <w:r>
        <w:rPr>
          <w:rFonts w:hint="cs"/>
          <w:sz w:val="22"/>
          <w:rtl/>
        </w:rPr>
        <w:t xml:space="preserve"> </w:t>
      </w:r>
      <w:r>
        <w:t xml:space="preserve">Otto Eissfeldt, </w:t>
      </w:r>
      <w:r>
        <w:rPr>
          <w:i/>
          <w:iCs/>
        </w:rPr>
        <w:t>The Old Testament An Introduction, Trans. Peter R. Ackroyd from the 3</w:t>
      </w:r>
      <w:r>
        <w:rPr>
          <w:i/>
          <w:iCs/>
          <w:vertAlign w:val="superscript"/>
        </w:rPr>
        <w:t>rd</w:t>
      </w:r>
      <w:r>
        <w:rPr>
          <w:i/>
          <w:iCs/>
        </w:rPr>
        <w:t xml:space="preserve"> German ed. (NY: Harper &amp; Row, 1965), 220. </w:t>
      </w:r>
      <w:r>
        <w:t xml:space="preserve"> </w:t>
      </w:r>
      <w:r>
        <w:rPr>
          <w:rFonts w:hint="cs"/>
          <w:rtl/>
        </w:rPr>
        <w:t xml:space="preserve"> </w:t>
      </w:r>
      <w:r>
        <w:rPr>
          <w:rFonts w:hint="cs"/>
          <w:sz w:val="22"/>
          <w:rtl/>
        </w:rPr>
        <w:t xml:space="preserve">من أجل عرض لأسباب ذكر مسألة العصور على "الشريعة" في الهيكل وربطه بسفر التثنية، انظر  </w:t>
      </w:r>
      <w:r>
        <w:rPr>
          <w:lang w:bidi="ar-SA"/>
        </w:rPr>
        <w:t>Bernard W-Anderson, Understanding the Old Testament, 4</w:t>
      </w:r>
      <w:r>
        <w:rPr>
          <w:vertAlign w:val="superscript"/>
          <w:lang w:bidi="ar-SA"/>
        </w:rPr>
        <w:t>th</w:t>
      </w:r>
      <w:r>
        <w:rPr>
          <w:lang w:bidi="ar-SA"/>
        </w:rPr>
        <w:t xml:space="preserve"> ed. </w:t>
      </w:r>
      <w:r>
        <w:t>(NJ: Prentice- Hall, 1986), 375.</w:t>
      </w:r>
    </w:p>
  </w:footnote>
  <w:footnote w:id="161">
    <w:p w14:paraId="341005B3" w14:textId="77777777" w:rsidR="006A7C83" w:rsidRDefault="006A7C83" w:rsidP="006A7C83">
      <w:pPr>
        <w:pStyle w:val="FootnoteTxtNewParag"/>
        <w:bidi w:val="0"/>
      </w:pPr>
      <w:r>
        <w:rPr>
          <w:rStyle w:val="FootnoteReference"/>
          <w:rFonts w:hint="cs"/>
          <w:sz w:val="26"/>
          <w:szCs w:val="24"/>
          <w:rtl/>
        </w:rPr>
        <w:t>3</w:t>
      </w:r>
      <w:r>
        <w:rPr>
          <w:rFonts w:hint="cs"/>
          <w:sz w:val="22"/>
          <w:rtl/>
        </w:rPr>
        <w:t xml:space="preserve"> </w:t>
      </w:r>
      <w:r>
        <w:t xml:space="preserve">William S. La Sor, et al., </w:t>
      </w:r>
      <w:r>
        <w:rPr>
          <w:i/>
          <w:iCs/>
        </w:rPr>
        <w:t xml:space="preserve">Old Testament Survey </w:t>
      </w:r>
      <w:r>
        <w:t xml:space="preserve">(Grand Rapids: William B. Eerdmans Pub. Co., 1982), 177. </w:t>
      </w:r>
    </w:p>
  </w:footnote>
  <w:footnote w:id="162">
    <w:p w14:paraId="65B766DD" w14:textId="77777777" w:rsidR="006A7C83" w:rsidRDefault="006A7C83" w:rsidP="006A7C83">
      <w:pPr>
        <w:pStyle w:val="FootnoteTxtNewParag"/>
        <w:rPr>
          <w:rtl/>
          <w:lang w:bidi="ar-SA"/>
        </w:rPr>
      </w:pPr>
      <w:r>
        <w:rPr>
          <w:rStyle w:val="FootnoteReference"/>
          <w:rFonts w:hint="cs"/>
          <w:sz w:val="26"/>
          <w:szCs w:val="24"/>
          <w:rtl/>
        </w:rPr>
        <w:t>4</w:t>
      </w:r>
      <w:r>
        <w:rPr>
          <w:rFonts w:hint="cs"/>
          <w:rtl/>
        </w:rPr>
        <w:t xml:space="preserve"> على الرغم من أن هؤلاء الباحثين الانتقاديين يعتبرون سفر التثنية نتاجاً لزمن يوشيا، إلاّ أن بعضهم يؤمن أن </w:t>
      </w:r>
      <w:r>
        <w:rPr>
          <w:rFonts w:hint="cs"/>
          <w:u w:val="single"/>
          <w:rtl/>
        </w:rPr>
        <w:t>لنواة</w:t>
      </w:r>
      <w:r>
        <w:rPr>
          <w:rFonts w:hint="cs"/>
          <w:rtl/>
        </w:rPr>
        <w:t xml:space="preserve"> سفر التثنية (خاصة تثنية 12-26، 28) تاريخاً طويلاً وراءها. </w:t>
      </w:r>
    </w:p>
  </w:footnote>
  <w:footnote w:id="163">
    <w:p w14:paraId="47F20706" w14:textId="77777777" w:rsidR="006A7C83" w:rsidRDefault="006A7C83" w:rsidP="006A7C83">
      <w:pPr>
        <w:pStyle w:val="FootnoteTxtNewParag"/>
        <w:bidi w:val="0"/>
        <w:rPr>
          <w:lang w:bidi="ar-SA"/>
        </w:rPr>
      </w:pPr>
      <w:r>
        <w:rPr>
          <w:rStyle w:val="FootnoteReference"/>
          <w:rFonts w:hint="cs"/>
          <w:sz w:val="26"/>
          <w:szCs w:val="24"/>
          <w:rtl/>
        </w:rPr>
        <w:t>5</w:t>
      </w:r>
      <w:r>
        <w:rPr>
          <w:rFonts w:hint="cs"/>
          <w:sz w:val="22"/>
          <w:rtl/>
        </w:rPr>
        <w:t xml:space="preserve"> </w:t>
      </w:r>
      <w:r>
        <w:rPr>
          <w:lang w:bidi="ar-SA"/>
        </w:rPr>
        <w:t>Anderson, 379.</w:t>
      </w:r>
    </w:p>
  </w:footnote>
  <w:footnote w:id="164">
    <w:p w14:paraId="2B0449BF" w14:textId="77777777" w:rsidR="006A7C83" w:rsidRDefault="006A7C83" w:rsidP="006A7C83">
      <w:pPr>
        <w:pStyle w:val="FootnoteTxtNewParag"/>
        <w:rPr>
          <w:u w:val="single"/>
          <w:rtl/>
        </w:rPr>
      </w:pPr>
      <w:r>
        <w:rPr>
          <w:rStyle w:val="FootnoteReference"/>
          <w:rFonts w:hint="cs"/>
          <w:sz w:val="26"/>
          <w:szCs w:val="24"/>
          <w:rtl/>
        </w:rPr>
        <w:t>6</w:t>
      </w:r>
      <w:r>
        <w:rPr>
          <w:rFonts w:hint="cs"/>
          <w:sz w:val="22"/>
          <w:rtl/>
        </w:rPr>
        <w:t xml:space="preserve"> </w:t>
      </w:r>
      <w:r>
        <w:rPr>
          <w:lang w:bidi="ar-SA"/>
        </w:rPr>
        <w:t>Anderson, 183</w:t>
      </w:r>
      <w:r>
        <w:rPr>
          <w:rFonts w:hint="cs"/>
          <w:rtl/>
        </w:rPr>
        <w:t>.</w:t>
      </w:r>
      <w:r>
        <w:rPr>
          <w:rFonts w:hint="cs"/>
          <w:sz w:val="22"/>
          <w:rtl/>
        </w:rPr>
        <w:t xml:space="preserve">  غير أنه يتوجب علينا أن نلاحظ أن هذه التعابير لا تطبّق دائماً بنفس الطريقة.  إذ يستخدم بولنغ، على سبيل المثال، تعبير "تثنوي" للإشارة إلى عمل تاريخي يعود إلى القرن السابع يحتوي على القسم الأكبر من سفر التثنية إلى آخر ملوك الثاني.  ويستخدم تعبير "المادة التثنوية التأثُّر" للإشارة إلى عملية تحديث مفترضة في القرن السادس للطبعة النهائية. </w:t>
      </w:r>
      <w:r>
        <w:t>(Robert G. Boiling,</w:t>
      </w:r>
      <w:r>
        <w:rPr>
          <w:i/>
          <w:iCs/>
        </w:rPr>
        <w:t xml:space="preserve"> Judges</w:t>
      </w:r>
      <w:r>
        <w:t>, The Anchor Bible [Garden City: Doubleday &amp; Company, Inc., 1975], 31).</w:t>
      </w:r>
    </w:p>
  </w:footnote>
  <w:footnote w:id="165">
    <w:p w14:paraId="5E8DF2AF" w14:textId="77777777" w:rsidR="006A7C83" w:rsidRDefault="006A7C83" w:rsidP="006A7C83">
      <w:pPr>
        <w:pStyle w:val="FootnoteTxtNewParag"/>
        <w:rPr>
          <w:rtl/>
        </w:rPr>
      </w:pPr>
      <w:r>
        <w:rPr>
          <w:rStyle w:val="FootnoteReference"/>
          <w:rFonts w:hint="cs"/>
          <w:sz w:val="26"/>
          <w:szCs w:val="24"/>
          <w:rtl/>
        </w:rPr>
        <w:t>7</w:t>
      </w:r>
      <w:r>
        <w:rPr>
          <w:rFonts w:hint="cs"/>
          <w:rtl/>
        </w:rPr>
        <w:t xml:space="preserve"> انظر مثلاً </w:t>
      </w:r>
      <w:r>
        <w:rPr>
          <w:lang w:bidi="ar-SA"/>
        </w:rPr>
        <w:t xml:space="preserve">SR. </w:t>
      </w:r>
      <w:r>
        <w:t xml:space="preserve">Driver, </w:t>
      </w:r>
      <w:r w:rsidRPr="00160F7D">
        <w:rPr>
          <w:i/>
          <w:iCs/>
        </w:rPr>
        <w:t>An Introduction to the Literature of the Old Testament</w:t>
      </w:r>
      <w:r>
        <w:t xml:space="preserve">, rev. ed. (NY: Charles Scribner’s Sons, 1912). </w:t>
      </w:r>
    </w:p>
  </w:footnote>
  <w:footnote w:id="166">
    <w:p w14:paraId="06A41CAA" w14:textId="77777777" w:rsidR="006A7C83" w:rsidRDefault="006A7C83" w:rsidP="006A7C83">
      <w:pPr>
        <w:pStyle w:val="FootnoteTxtNewParag"/>
        <w:rPr>
          <w:rtl/>
        </w:rPr>
      </w:pPr>
      <w:r>
        <w:rPr>
          <w:rStyle w:val="FootnoteReference"/>
          <w:rFonts w:hint="cs"/>
          <w:sz w:val="26"/>
          <w:szCs w:val="24"/>
          <w:rtl/>
        </w:rPr>
        <w:t>8</w:t>
      </w:r>
      <w:r>
        <w:rPr>
          <w:rFonts w:hint="cs"/>
          <w:rtl/>
        </w:rPr>
        <w:t xml:space="preserve"> </w:t>
      </w:r>
      <w:r>
        <w:t xml:space="preserve">Martin Noth, </w:t>
      </w:r>
      <w:r w:rsidRPr="00160F7D">
        <w:rPr>
          <w:i/>
          <w:iCs/>
        </w:rPr>
        <w:t>The Deuteronomistic History</w:t>
      </w:r>
      <w:r>
        <w:t xml:space="preserve"> (reprint; Sheffield, England: JSOT, 1981).</w:t>
      </w:r>
      <w:r>
        <w:rPr>
          <w:rFonts w:hint="cs"/>
          <w:rtl/>
        </w:rPr>
        <w:t xml:space="preserve"> للتعرُّف إلى آراء نوث ونقاش حول التاريخ التنقيحي في ما يتعلق بسفري صموئيل، انظر </w:t>
      </w:r>
      <w:r>
        <w:t xml:space="preserve">Geoffrey W. Bromiley, ed., </w:t>
      </w:r>
      <w:r w:rsidRPr="00160F7D">
        <w:rPr>
          <w:i/>
          <w:iCs/>
        </w:rPr>
        <w:t>ISBE</w:t>
      </w:r>
      <w:r>
        <w:t xml:space="preserve"> (Grand Rapids, MI: Wm. B. Eerdmans Pub. Co., 1979-1988), s.v. “Samuel, Books of, “by Ralph W. Klein, [See especially section V on Redactional History, 4: 316-318].  </w:t>
      </w:r>
    </w:p>
  </w:footnote>
  <w:footnote w:id="167">
    <w:p w14:paraId="60EC4740" w14:textId="77777777" w:rsidR="006A7C83" w:rsidRDefault="006A7C83" w:rsidP="006A7C83">
      <w:pPr>
        <w:pStyle w:val="FootnoteTxtNewParag"/>
        <w:bidi w:val="0"/>
      </w:pPr>
      <w:r>
        <w:rPr>
          <w:rStyle w:val="FootnoteReference"/>
          <w:rFonts w:hint="cs"/>
          <w:sz w:val="26"/>
          <w:szCs w:val="24"/>
          <w:rtl/>
        </w:rPr>
        <w:t>9</w:t>
      </w:r>
      <w:r>
        <w:rPr>
          <w:rFonts w:hint="cs"/>
          <w:rtl/>
        </w:rPr>
        <w:t xml:space="preserve"> </w:t>
      </w:r>
      <w:r>
        <w:t xml:space="preserve">Homer Heater, Jr., “A Theology of Samuel and Kings, “in </w:t>
      </w:r>
      <w:r w:rsidRPr="00160F7D">
        <w:rPr>
          <w:i/>
          <w:iCs/>
        </w:rPr>
        <w:t>Biblical Theology of the Old Testament</w:t>
      </w:r>
      <w:r>
        <w:t>, ed. Roy B. Zuck (Chicago: Moody Press, 1981), 125.</w:t>
      </w:r>
    </w:p>
  </w:footnote>
  <w:footnote w:id="168">
    <w:p w14:paraId="63764381" w14:textId="77777777" w:rsidR="006A7C83" w:rsidRDefault="006A7C83" w:rsidP="006A7C83">
      <w:pPr>
        <w:pStyle w:val="FootnoteTxtNewParag"/>
        <w:bidi w:val="0"/>
        <w:rPr>
          <w:rtl/>
        </w:rPr>
      </w:pPr>
      <w:r>
        <w:rPr>
          <w:rStyle w:val="FootnoteReference"/>
          <w:rFonts w:hint="cs"/>
          <w:sz w:val="26"/>
          <w:szCs w:val="24"/>
          <w:rtl/>
        </w:rPr>
        <w:t>1</w:t>
      </w:r>
      <w:r>
        <w:rPr>
          <w:rFonts w:hint="cs"/>
          <w:sz w:val="26"/>
          <w:szCs w:val="24"/>
          <w:vertAlign w:val="superscript"/>
          <w:rtl/>
        </w:rPr>
        <w:t>0</w:t>
      </w:r>
      <w:r>
        <w:rPr>
          <w:rFonts w:hint="cs"/>
          <w:rtl/>
        </w:rPr>
        <w:t xml:space="preserve"> </w:t>
      </w:r>
      <w:r>
        <w:t>Anderson, 376</w:t>
      </w:r>
      <w:r>
        <w:rPr>
          <w:rFonts w:hint="cs"/>
          <w:rtl/>
        </w:rPr>
        <w:t>.</w:t>
      </w:r>
    </w:p>
  </w:footnote>
  <w:footnote w:id="169">
    <w:p w14:paraId="4B08A339" w14:textId="77777777" w:rsidR="006A7C83" w:rsidRDefault="006A7C83" w:rsidP="006A7C83">
      <w:pPr>
        <w:pStyle w:val="FootnoteTxtNewParag"/>
        <w:bidi w:val="0"/>
        <w:rPr>
          <w:i/>
          <w:iCs/>
          <w:lang w:bidi="ar-SA"/>
        </w:rPr>
      </w:pPr>
      <w:r>
        <w:rPr>
          <w:rStyle w:val="FootnoteReference"/>
          <w:rFonts w:hint="cs"/>
          <w:sz w:val="26"/>
          <w:szCs w:val="24"/>
          <w:rtl/>
        </w:rPr>
        <w:t>1</w:t>
      </w:r>
      <w:r>
        <w:rPr>
          <w:rFonts w:hint="cs"/>
          <w:szCs w:val="24"/>
          <w:vertAlign w:val="superscript"/>
          <w:rtl/>
        </w:rPr>
        <w:t>1</w:t>
      </w:r>
      <w:r>
        <w:rPr>
          <w:rFonts w:hint="cs"/>
          <w:sz w:val="22"/>
          <w:rtl/>
        </w:rPr>
        <w:t xml:space="preserve"> </w:t>
      </w:r>
      <w:r>
        <w:t xml:space="preserve">Andrew E. Hill and John H. Walton, </w:t>
      </w:r>
      <w:r>
        <w:rPr>
          <w:i/>
          <w:iCs/>
        </w:rPr>
        <w:t xml:space="preserve">A Survey of the Old Testament </w:t>
      </w:r>
      <w:r>
        <w:t xml:space="preserve">(Grand Rapids: Zondervan Pub. </w:t>
      </w:r>
      <w:r>
        <w:rPr>
          <w:lang w:bidi="ar-SA"/>
        </w:rPr>
        <w:t xml:space="preserve">House, 1991), 156. </w:t>
      </w:r>
      <w:r>
        <w:rPr>
          <w:i/>
          <w:iCs/>
          <w:lang w:bidi="ar-SA"/>
        </w:rPr>
        <w:t xml:space="preserve"> </w:t>
      </w:r>
    </w:p>
  </w:footnote>
  <w:footnote w:id="170">
    <w:p w14:paraId="256AA91C" w14:textId="77777777" w:rsidR="006A7C83" w:rsidRDefault="006A7C83" w:rsidP="006A7C83">
      <w:pPr>
        <w:pStyle w:val="FootnoteTxtNewParag"/>
        <w:rPr>
          <w:rtl/>
        </w:rPr>
      </w:pPr>
      <w:r>
        <w:rPr>
          <w:rStyle w:val="FootnoteReference"/>
          <w:rFonts w:hint="cs"/>
          <w:sz w:val="26"/>
          <w:szCs w:val="24"/>
          <w:rtl/>
        </w:rPr>
        <w:t>1</w:t>
      </w:r>
      <w:r>
        <w:rPr>
          <w:rFonts w:hint="cs"/>
          <w:sz w:val="26"/>
          <w:szCs w:val="24"/>
          <w:vertAlign w:val="superscript"/>
          <w:rtl/>
        </w:rPr>
        <w:t>2</w:t>
      </w:r>
      <w:r>
        <w:rPr>
          <w:rFonts w:hint="cs"/>
          <w:rtl/>
        </w:rPr>
        <w:t xml:space="preserve"> المرجع السابق.</w:t>
      </w:r>
    </w:p>
  </w:footnote>
  <w:footnote w:id="171">
    <w:p w14:paraId="07E66421" w14:textId="77777777" w:rsidR="006A7C83" w:rsidRDefault="006A7C83" w:rsidP="006A7C83">
      <w:pPr>
        <w:pStyle w:val="FootnoteTxtNewParag"/>
      </w:pPr>
      <w:r>
        <w:rPr>
          <w:rStyle w:val="FootnoteReference"/>
          <w:rFonts w:hint="cs"/>
          <w:sz w:val="26"/>
          <w:szCs w:val="24"/>
          <w:rtl/>
        </w:rPr>
        <w:t>1</w:t>
      </w:r>
      <w:r>
        <w:rPr>
          <w:rFonts w:hint="cs"/>
          <w:sz w:val="26"/>
          <w:szCs w:val="24"/>
          <w:vertAlign w:val="superscript"/>
          <w:rtl/>
        </w:rPr>
        <w:t>3</w:t>
      </w:r>
      <w:r>
        <w:rPr>
          <w:rFonts w:hint="cs"/>
          <w:vertAlign w:val="superscript"/>
          <w:rtl/>
        </w:rPr>
        <w:t xml:space="preserve"> </w:t>
      </w:r>
      <w:r>
        <w:rPr>
          <w:rFonts w:hint="cs"/>
          <w:rtl/>
        </w:rPr>
        <w:t xml:space="preserve">انظر </w:t>
      </w:r>
      <w:r>
        <w:t xml:space="preserve">G. E. Mendenhall, </w:t>
      </w:r>
      <w:r>
        <w:rPr>
          <w:i/>
          <w:iCs/>
        </w:rPr>
        <w:t xml:space="preserve">Law and Covenant in Israel and the Ancient Near East </w:t>
      </w:r>
      <w:r>
        <w:t xml:space="preserve">(Pitsburgh: Biblical Colloquium, 1955); M.G. Klein, </w:t>
      </w:r>
      <w:r>
        <w:rPr>
          <w:i/>
          <w:iCs/>
        </w:rPr>
        <w:t xml:space="preserve">Treaty of the Great King </w:t>
      </w:r>
      <w:r>
        <w:t xml:space="preserve">(Grand Rapids, MI: Wm. B. Eerdmans, 1963); and K.A Kitchen, </w:t>
      </w:r>
      <w:r>
        <w:rPr>
          <w:i/>
          <w:iCs/>
        </w:rPr>
        <w:t>Ancient Orient and Old Testament</w:t>
      </w:r>
      <w:r>
        <w:t xml:space="preserve"> (Chicago: InterVarsity, 1966) 90-102.   </w:t>
      </w:r>
    </w:p>
  </w:footnote>
  <w:footnote w:id="172">
    <w:p w14:paraId="2C9BE802" w14:textId="77777777" w:rsidR="006A7C83" w:rsidRDefault="006A7C83" w:rsidP="006A7C83">
      <w:pPr>
        <w:pStyle w:val="FootnoteTxtNewParag"/>
        <w:bidi w:val="0"/>
        <w:rPr>
          <w:rtl/>
        </w:rPr>
      </w:pPr>
      <w:r>
        <w:rPr>
          <w:rStyle w:val="FootnoteReference"/>
          <w:rFonts w:hint="cs"/>
          <w:sz w:val="26"/>
          <w:szCs w:val="24"/>
          <w:rtl/>
        </w:rPr>
        <w:t>1</w:t>
      </w:r>
      <w:r>
        <w:rPr>
          <w:rFonts w:hint="cs"/>
          <w:sz w:val="26"/>
          <w:szCs w:val="24"/>
          <w:vertAlign w:val="superscript"/>
          <w:rtl/>
        </w:rPr>
        <w:t>4</w:t>
      </w:r>
      <w:r>
        <w:rPr>
          <w:rFonts w:hint="cs"/>
          <w:rtl/>
        </w:rPr>
        <w:t xml:space="preserve"> </w:t>
      </w:r>
      <w:r>
        <w:t>B.W. Anderson, 385</w:t>
      </w:r>
      <w:r>
        <w:rPr>
          <w:rFonts w:hint="cs"/>
          <w:rtl/>
        </w:rPr>
        <w:t>.</w:t>
      </w:r>
    </w:p>
    <w:p w14:paraId="74205A08" w14:textId="77777777" w:rsidR="006A7C83" w:rsidRDefault="006A7C83" w:rsidP="006A7C83">
      <w:pPr>
        <w:pStyle w:val="FootnoteTxtNewParag"/>
        <w:bidi w:val="0"/>
      </w:pPr>
    </w:p>
  </w:footnote>
  <w:footnote w:id="173">
    <w:p w14:paraId="182AE5C9" w14:textId="77777777" w:rsidR="006A7C83" w:rsidRDefault="006A7C83" w:rsidP="006A7C83">
      <w:pPr>
        <w:pStyle w:val="FootnoteTxtNewParag"/>
        <w:bidi w:val="0"/>
      </w:pPr>
      <w:r>
        <w:rPr>
          <w:rStyle w:val="FootnoteReference"/>
          <w:rFonts w:hint="cs"/>
          <w:sz w:val="26"/>
          <w:szCs w:val="24"/>
          <w:rtl/>
        </w:rPr>
        <w:t>1</w:t>
      </w:r>
      <w:r>
        <w:rPr>
          <w:rFonts w:hint="cs"/>
          <w:szCs w:val="24"/>
          <w:vertAlign w:val="superscript"/>
          <w:rtl/>
        </w:rPr>
        <w:t>5</w:t>
      </w:r>
      <w:r>
        <w:rPr>
          <w:rFonts w:hint="cs"/>
          <w:sz w:val="22"/>
          <w:rtl/>
        </w:rPr>
        <w:t xml:space="preserve"> </w:t>
      </w:r>
      <w:r>
        <w:t xml:space="preserve">Moses H. Segal, </w:t>
      </w:r>
      <w:r w:rsidRPr="00160F7D">
        <w:rPr>
          <w:i/>
          <w:iCs/>
        </w:rPr>
        <w:t>The Pentateuch</w:t>
      </w:r>
      <w:r>
        <w:t xml:space="preserve"> (Jerusalem: Magness Press, 1967), 87-88</w:t>
      </w:r>
      <w:r>
        <w:rPr>
          <w:rFonts w:hint="cs"/>
          <w:rtl/>
        </w:rPr>
        <w:t>.</w:t>
      </w:r>
    </w:p>
  </w:footnote>
  <w:footnote w:id="174">
    <w:p w14:paraId="0A0FA8F1" w14:textId="77777777" w:rsidR="006A7C83" w:rsidRDefault="006A7C83" w:rsidP="006A7C83">
      <w:pPr>
        <w:pStyle w:val="FootnoteTxtNewParag"/>
        <w:rPr>
          <w:rtl/>
        </w:rPr>
      </w:pPr>
      <w:r>
        <w:rPr>
          <w:rStyle w:val="FootnoteReference"/>
          <w:rFonts w:hint="cs"/>
          <w:sz w:val="26"/>
          <w:szCs w:val="24"/>
          <w:rtl/>
        </w:rPr>
        <w:t>1</w:t>
      </w:r>
      <w:r>
        <w:rPr>
          <w:rFonts w:hint="cs"/>
          <w:rtl/>
        </w:rPr>
        <w:t xml:space="preserve"> لنلاحظ محاولة أبيمالك الخرقاء في توريث سلطته لأولاده في قضاة 9-10، بالإضافة إلى محاولة صموئيل العبثية أن يفعل ذلك أيضاً في 1صموئيل 8: 1-5.</w:t>
      </w:r>
    </w:p>
  </w:footnote>
  <w:footnote w:id="175">
    <w:p w14:paraId="15D0EB03" w14:textId="77777777" w:rsidR="006A7C83" w:rsidRDefault="006A7C83" w:rsidP="006A7C83">
      <w:pPr>
        <w:pStyle w:val="FootnoteTxtNewParag"/>
        <w:rPr>
          <w:rtl/>
          <w:lang w:bidi="ar-SA"/>
        </w:rPr>
      </w:pPr>
      <w:r>
        <w:rPr>
          <w:rStyle w:val="FootnoteReference"/>
          <w:rFonts w:hint="cs"/>
          <w:sz w:val="26"/>
          <w:szCs w:val="24"/>
          <w:rtl/>
        </w:rPr>
        <w:t>2</w:t>
      </w:r>
      <w:r>
        <w:rPr>
          <w:rFonts w:hint="cs"/>
          <w:rtl/>
        </w:rPr>
        <w:t xml:space="preserve"> لدراسة مسحية للمناهج المختلفة، انظر</w:t>
      </w:r>
      <w:r>
        <w:rPr>
          <w:rFonts w:hint="cs"/>
          <w:rtl/>
          <w:lang w:bidi="ar-SA"/>
        </w:rPr>
        <w:t xml:space="preserve"> </w:t>
      </w:r>
      <w:r>
        <w:t>J. H. John Peet, “The Chronology of the Judges- Some Thoughts, “</w:t>
      </w:r>
      <w:r>
        <w:rPr>
          <w:i/>
          <w:iCs/>
        </w:rPr>
        <w:t xml:space="preserve">Journal of Christian Reconstruction </w:t>
      </w:r>
      <w:r>
        <w:t xml:space="preserve">9 (1982-83): 161: 81. </w:t>
      </w:r>
    </w:p>
  </w:footnote>
  <w:footnote w:id="176">
    <w:p w14:paraId="0AD4942E" w14:textId="68088FD4" w:rsidR="006A7C83" w:rsidRDefault="006A7C83" w:rsidP="006A7C83">
      <w:pPr>
        <w:pStyle w:val="FootnoteTxtNewParag"/>
        <w:bidi w:val="0"/>
        <w:rPr>
          <w:rtl/>
          <w:lang w:bidi="ar-SA"/>
        </w:rPr>
      </w:pPr>
      <w:r>
        <w:rPr>
          <w:rStyle w:val="FootnoteReference"/>
          <w:rFonts w:hint="cs"/>
          <w:sz w:val="26"/>
          <w:szCs w:val="24"/>
          <w:rtl/>
        </w:rPr>
        <w:t>3</w:t>
      </w:r>
      <w:r>
        <w:rPr>
          <w:rFonts w:hint="cs"/>
          <w:sz w:val="22"/>
          <w:rtl/>
        </w:rPr>
        <w:t xml:space="preserve"> </w:t>
      </w:r>
      <w:r>
        <w:t xml:space="preserve">J. Paul Tanner, “Dating the Exodus Event: A Survey and Evaluation of the Arguments </w:t>
      </w:r>
      <w:r w:rsidR="000410CD">
        <w:t>f</w:t>
      </w:r>
      <w:r>
        <w:t>or the Major Views (unpublished paper for OAL, 372, Bible and History, The University of Texas at Austin, 1987).</w:t>
      </w:r>
    </w:p>
  </w:footnote>
  <w:footnote w:id="177">
    <w:p w14:paraId="18456422" w14:textId="77777777" w:rsidR="006A7C83" w:rsidRDefault="006A7C83" w:rsidP="006A7C83">
      <w:pPr>
        <w:pStyle w:val="FootnoteTxtNewParag"/>
        <w:rPr>
          <w:rtl/>
          <w:lang w:bidi="ar-SA"/>
        </w:rPr>
      </w:pPr>
      <w:r>
        <w:rPr>
          <w:rStyle w:val="FootnoteReference"/>
          <w:rFonts w:hint="cs"/>
          <w:sz w:val="26"/>
          <w:szCs w:val="24"/>
          <w:rtl/>
        </w:rPr>
        <w:t>4</w:t>
      </w:r>
      <w:r>
        <w:rPr>
          <w:rFonts w:hint="cs"/>
          <w:rtl/>
        </w:rPr>
        <w:t xml:space="preserve"> انظر عدد 10: 11، تثنية 1: 3؛ يشوع 14: 7-10.  لنلاحظ أن كالب كان في الأربعين في عام 1444ق م و85 في عام 1399ق م في نهاية الفتح.</w:t>
      </w:r>
    </w:p>
  </w:footnote>
  <w:footnote w:id="178">
    <w:p w14:paraId="391F2167" w14:textId="77777777" w:rsidR="006A7C83" w:rsidRDefault="006A7C83" w:rsidP="006A7C83">
      <w:pPr>
        <w:pStyle w:val="FootnoteTxtNewParag"/>
        <w:rPr>
          <w:rtl/>
          <w:lang w:bidi="ar-SA"/>
        </w:rPr>
      </w:pPr>
      <w:r>
        <w:rPr>
          <w:rStyle w:val="FootnoteReference"/>
          <w:rFonts w:hint="cs"/>
          <w:sz w:val="26"/>
          <w:szCs w:val="24"/>
          <w:rtl/>
        </w:rPr>
        <w:t>5</w:t>
      </w:r>
      <w:r>
        <w:rPr>
          <w:rFonts w:hint="cs"/>
          <w:rtl/>
        </w:rPr>
        <w:t xml:space="preserve"> انظر </w:t>
      </w:r>
      <w:r>
        <w:rPr>
          <w:lang w:bidi="ar-SA"/>
        </w:rPr>
        <w:t xml:space="preserve">Eugene H. Merrill, </w:t>
      </w:r>
      <w:r>
        <w:rPr>
          <w:i/>
          <w:iCs/>
          <w:lang w:bidi="ar-SA"/>
        </w:rPr>
        <w:t>Kings of Priests: A History of Old Testament Israel</w:t>
      </w:r>
      <w:r>
        <w:rPr>
          <w:lang w:bidi="ar-SA"/>
        </w:rPr>
        <w:t>, 147-48.</w:t>
      </w:r>
    </w:p>
  </w:footnote>
  <w:footnote w:id="179">
    <w:p w14:paraId="7A5136F8" w14:textId="77777777" w:rsidR="006A7C83" w:rsidRDefault="006A7C83" w:rsidP="006A7C83">
      <w:pPr>
        <w:pStyle w:val="FootnoteTxtNewParag"/>
        <w:rPr>
          <w:lang w:bidi="ar-SA"/>
        </w:rPr>
      </w:pPr>
      <w:r>
        <w:rPr>
          <w:rStyle w:val="FootnoteReference"/>
          <w:rFonts w:hint="cs"/>
          <w:sz w:val="26"/>
          <w:szCs w:val="24"/>
          <w:rtl/>
        </w:rPr>
        <w:t>6</w:t>
      </w:r>
      <w:r>
        <w:rPr>
          <w:rFonts w:cs="Times New Roman" w:hint="cs"/>
          <w:rtl/>
        </w:rPr>
        <w:t xml:space="preserve"> </w:t>
      </w:r>
      <w:r>
        <w:rPr>
          <w:rFonts w:hint="cs"/>
          <w:rtl/>
        </w:rPr>
        <w:t xml:space="preserve">انظر </w:t>
      </w:r>
      <w:r>
        <w:rPr>
          <w:lang w:bidi="ar-SA"/>
        </w:rPr>
        <w:t xml:space="preserve">Edwin R. Thiele, </w:t>
      </w:r>
      <w:r w:rsidRPr="00110814">
        <w:rPr>
          <w:i/>
          <w:iCs/>
          <w:lang w:bidi="ar-SA"/>
        </w:rPr>
        <w:t>The Mysterious Numbers of the Hebrew Kings</w:t>
      </w:r>
      <w:r>
        <w:rPr>
          <w:lang w:bidi="ar-SA"/>
        </w:rPr>
        <w:t xml:space="preserve"> (Grand Rapids, MI: Eerdmans, 1965), 51-52.</w:t>
      </w:r>
    </w:p>
  </w:footnote>
  <w:footnote w:id="180">
    <w:p w14:paraId="18B6BE09" w14:textId="4EC88633" w:rsidR="006A7C83" w:rsidRDefault="006A7C83" w:rsidP="006A7C83">
      <w:pPr>
        <w:pStyle w:val="FootnoteTxtNewParag"/>
        <w:rPr>
          <w:i/>
          <w:iCs/>
          <w:rtl/>
          <w:lang w:bidi="ar-SA"/>
        </w:rPr>
      </w:pPr>
      <w:r>
        <w:rPr>
          <w:rStyle w:val="FootnoteReference"/>
          <w:rFonts w:hint="cs"/>
          <w:sz w:val="22"/>
          <w:rtl/>
        </w:rPr>
        <w:t>7</w:t>
      </w:r>
      <w:r>
        <w:rPr>
          <w:rFonts w:hint="cs"/>
          <w:rtl/>
        </w:rPr>
        <w:t xml:space="preserve"> لا</w:t>
      </w:r>
      <w:r w:rsidR="000410CD">
        <w:t xml:space="preserve"> </w:t>
      </w:r>
      <w:r>
        <w:rPr>
          <w:rFonts w:hint="cs"/>
          <w:rtl/>
        </w:rPr>
        <w:t xml:space="preserve">شك أنه توجد تعقيدات يجب أخذها بعين الاعتبار فمثلاً، إذا أضفنا كل الأرقام في سفر القضاة، فسيكون لدينا 407 سنوات.  وفضلاً عن ذلك يمكن أن يكون هنالك توتر (اختلاف) مع أعمال 13: 19-20 ومشكلة نصّية في 1صموئيل 13: 1.  لمعالجة هذه القضايا، انظر  </w:t>
      </w:r>
      <w:r>
        <w:rPr>
          <w:lang w:bidi="ar-SA"/>
        </w:rPr>
        <w:t xml:space="preserve">Merrill, 150-51. </w:t>
      </w:r>
      <w:r>
        <w:rPr>
          <w:rFonts w:hint="cs"/>
          <w:rtl/>
          <w:lang w:bidi="ar-SA"/>
        </w:rPr>
        <w:t xml:space="preserve"> </w:t>
      </w:r>
      <w:r>
        <w:rPr>
          <w:rFonts w:hint="cs"/>
          <w:rtl/>
        </w:rPr>
        <w:t>انظر</w:t>
      </w:r>
      <w:r>
        <w:t xml:space="preserve"> Eugene E. Merrill, “Paul’s use of ‘About 450 Years’ in Acts 13: 20," </w:t>
      </w:r>
      <w:r>
        <w:rPr>
          <w:i/>
          <w:iCs/>
        </w:rPr>
        <w:t>Bibliotheca Sacra</w:t>
      </w:r>
      <w:r>
        <w:t xml:space="preserve"> 138-551 (Jul-Sep 1981) 246-57.”</w:t>
      </w:r>
      <w:r>
        <w:rPr>
          <w:i/>
          <w:iCs/>
        </w:rPr>
        <w:t xml:space="preserve"> </w:t>
      </w:r>
    </w:p>
  </w:footnote>
  <w:footnote w:id="181">
    <w:p w14:paraId="47231B20" w14:textId="77777777" w:rsidR="006A7C83" w:rsidRDefault="006A7C83" w:rsidP="006A7C83">
      <w:pPr>
        <w:pStyle w:val="FootnoteTxtNewParag"/>
      </w:pPr>
      <w:r>
        <w:rPr>
          <w:rStyle w:val="FootnoteReference"/>
          <w:rFonts w:hint="cs"/>
          <w:sz w:val="26"/>
          <w:szCs w:val="24"/>
          <w:rtl/>
        </w:rPr>
        <w:t>1</w:t>
      </w:r>
      <w:r>
        <w:rPr>
          <w:rFonts w:hint="cs"/>
          <w:rtl/>
        </w:rPr>
        <w:t xml:space="preserve"> تجد عدّة معالجات بارزة للفن الروائي في </w:t>
      </w:r>
      <w:r>
        <w:t xml:space="preserve">Robert Alter, </w:t>
      </w:r>
      <w:r>
        <w:rPr>
          <w:i/>
          <w:iCs/>
        </w:rPr>
        <w:t xml:space="preserve">The Art of Biblical Narrative </w:t>
      </w:r>
      <w:r>
        <w:t xml:space="preserve"> (New York: Basic Books, 1981): Shimon Bar-Efrat.  </w:t>
      </w:r>
      <w:r>
        <w:rPr>
          <w:i/>
          <w:iCs/>
        </w:rPr>
        <w:t>Narrative Art in the Bible</w:t>
      </w:r>
      <w:r>
        <w:t xml:space="preserve">, JSOT Supplement Series 70 (Sheffield Almond, 1989); Adele Berlin, </w:t>
      </w:r>
      <w:r>
        <w:rPr>
          <w:i/>
          <w:iCs/>
        </w:rPr>
        <w:t>Poetics and Interpretation of Biblical Narrative</w:t>
      </w:r>
      <w:r>
        <w:t xml:space="preserve"> (Sheffield Almond, 1983): Robert Scholes and Robert Kellog, </w:t>
      </w:r>
      <w:r>
        <w:rPr>
          <w:i/>
          <w:iCs/>
        </w:rPr>
        <w:t xml:space="preserve">The Nature of Narrative </w:t>
      </w:r>
      <w:r>
        <w:t xml:space="preserve">(New York: Oxford, 1966); and Meir Stemberg, </w:t>
      </w:r>
      <w:r>
        <w:rPr>
          <w:i/>
          <w:iCs/>
        </w:rPr>
        <w:t>The Poetics of Biblical Narrative: Ideological Literature</w:t>
      </w:r>
      <w:r>
        <w:t xml:space="preserve"> and the Drama of Reading (Bloomington, IN: Indiana University Press, 1985).      </w:t>
      </w:r>
    </w:p>
  </w:footnote>
  <w:footnote w:id="182">
    <w:p w14:paraId="28D47105" w14:textId="77777777" w:rsidR="006A7C83" w:rsidRDefault="006A7C83" w:rsidP="006A7C83">
      <w:pPr>
        <w:pStyle w:val="FootnoteTxtNewParag"/>
      </w:pPr>
      <w:r>
        <w:rPr>
          <w:rStyle w:val="FootnoteReference"/>
          <w:rFonts w:hint="cs"/>
          <w:sz w:val="26"/>
          <w:szCs w:val="24"/>
          <w:rtl/>
        </w:rPr>
        <w:t>2</w:t>
      </w:r>
      <w:r>
        <w:rPr>
          <w:rFonts w:hint="cs"/>
          <w:rtl/>
        </w:rPr>
        <w:t xml:space="preserve"> لنقاش أكثر شمولاً لهذا الموضوع، انظر دراستي </w:t>
      </w:r>
      <w:r>
        <w:t xml:space="preserve">“Textual Patterning in Biblical Hebrew Narrative A Case Study in Judges 6-8” (PhD diss., University of Texas at Austin, 1990), hereafter referred to as “Textual Patterning.”   </w:t>
      </w:r>
    </w:p>
  </w:footnote>
  <w:footnote w:id="183">
    <w:p w14:paraId="790090D9" w14:textId="77777777" w:rsidR="006A7C83" w:rsidRDefault="006A7C83" w:rsidP="006A7C83">
      <w:pPr>
        <w:pStyle w:val="FootnoteTxtNewParag"/>
        <w:rPr>
          <w:rtl/>
          <w:lang w:bidi="ar-SA"/>
        </w:rPr>
      </w:pPr>
      <w:r>
        <w:rPr>
          <w:rStyle w:val="FootnoteReference"/>
          <w:rFonts w:hint="cs"/>
          <w:sz w:val="26"/>
          <w:szCs w:val="24"/>
          <w:rtl/>
        </w:rPr>
        <w:t>3</w:t>
      </w:r>
      <w:r>
        <w:rPr>
          <w:rFonts w:hint="cs"/>
          <w:rtl/>
        </w:rPr>
        <w:t xml:space="preserve"> من أجل مؤلفات مرتبطة بموضوع "التركيبية" أو "البنيوية"، انظر  </w:t>
      </w:r>
      <w:r>
        <w:t xml:space="preserve">David Jobling, </w:t>
      </w:r>
      <w:r>
        <w:rPr>
          <w:i/>
          <w:iCs/>
        </w:rPr>
        <w:t>The Sense of Biblical Narrative</w:t>
      </w:r>
      <w:r>
        <w:t xml:space="preserve">: </w:t>
      </w:r>
      <w:r w:rsidRPr="00CF223F">
        <w:rPr>
          <w:i/>
          <w:iCs/>
        </w:rPr>
        <w:t>Structural Analyses</w:t>
      </w:r>
      <w:r>
        <w:t xml:space="preserve"> </w:t>
      </w:r>
      <w:r w:rsidRPr="00CF223F">
        <w:rPr>
          <w:i/>
          <w:iCs/>
        </w:rPr>
        <w:t>in the Hebrew Bible</w:t>
      </w:r>
      <w:r>
        <w:t xml:space="preserve"> I, 2</w:t>
      </w:r>
      <w:r>
        <w:rPr>
          <w:vertAlign w:val="superscript"/>
        </w:rPr>
        <w:t xml:space="preserve">d </w:t>
      </w:r>
      <w:r>
        <w:t>ed., JSOT Supplement Series 7 (Sheffield: JSOT Press, 1986), 98-101.</w:t>
      </w:r>
    </w:p>
    <w:p w14:paraId="25C1D257" w14:textId="77777777" w:rsidR="006A7C83" w:rsidRDefault="006A7C83" w:rsidP="006A7C83">
      <w:pPr>
        <w:pStyle w:val="FootnoteTxtNewParag"/>
        <w:rPr>
          <w:rtl/>
        </w:rPr>
      </w:pPr>
      <w:r>
        <w:rPr>
          <w:rFonts w:hint="cs"/>
          <w:szCs w:val="22"/>
          <w:rtl/>
        </w:rPr>
        <w:t xml:space="preserve">لمعالجة جيّدة لموضوع "التركيبية" أو "البنيوية"، انظر </w:t>
      </w:r>
      <w:r>
        <w:rPr>
          <w:lang w:bidi="ar-SA"/>
        </w:rPr>
        <w:t xml:space="preserve">J. Culler, </w:t>
      </w:r>
      <w:r>
        <w:rPr>
          <w:i/>
          <w:iCs/>
          <w:lang w:bidi="ar-SA"/>
        </w:rPr>
        <w:t xml:space="preserve">Structuralist Poetics </w:t>
      </w:r>
      <w:r>
        <w:rPr>
          <w:lang w:bidi="ar-SA"/>
        </w:rPr>
        <w:t>(Ithaca, NY: Cornell University Press, 1975).</w:t>
      </w:r>
    </w:p>
    <w:p w14:paraId="17AF10AD" w14:textId="77777777" w:rsidR="006A7C83" w:rsidRDefault="006A7C83" w:rsidP="006A7C83">
      <w:pPr>
        <w:pStyle w:val="FootnoteTxtNewParag"/>
        <w:rPr>
          <w:i/>
          <w:iCs/>
          <w:rtl/>
        </w:rPr>
      </w:pPr>
      <w:r>
        <w:rPr>
          <w:rFonts w:hint="cs"/>
          <w:szCs w:val="22"/>
          <w:rtl/>
        </w:rPr>
        <w:t xml:space="preserve">لدراسة تحليلية ونقدية للتركيبية وتطبيقها في الكتاب المقدّس، انظر  </w:t>
      </w:r>
      <w:r>
        <w:rPr>
          <w:lang w:bidi="ar-SA"/>
        </w:rPr>
        <w:t xml:space="preserve">D. C. Greenwood, </w:t>
      </w:r>
      <w:r>
        <w:rPr>
          <w:i/>
          <w:iCs/>
          <w:lang w:bidi="ar-SA"/>
        </w:rPr>
        <w:t xml:space="preserve">Structuralism and the Biblical Text </w:t>
      </w:r>
      <w:r>
        <w:rPr>
          <w:lang w:bidi="ar-SA"/>
        </w:rPr>
        <w:t xml:space="preserve">(Berlin: Mouton, 1985); T. J. Keegen, </w:t>
      </w:r>
      <w:r>
        <w:rPr>
          <w:i/>
          <w:iCs/>
          <w:lang w:bidi="ar-SA"/>
        </w:rPr>
        <w:t>Interpreting the Bible</w:t>
      </w:r>
      <w:r>
        <w:rPr>
          <w:lang w:bidi="ar-SA"/>
        </w:rPr>
        <w:t xml:space="preserve">: </w:t>
      </w:r>
      <w:r w:rsidRPr="00CF223F">
        <w:rPr>
          <w:i/>
          <w:iCs/>
          <w:lang w:bidi="ar-SA"/>
        </w:rPr>
        <w:t>A Popular Introduction to Biblical Hermeneutics</w:t>
      </w:r>
      <w:r>
        <w:rPr>
          <w:lang w:bidi="ar-SA"/>
        </w:rPr>
        <w:t xml:space="preserve"> (New York: Paulist, 1985), 40-72; and J. Barton, </w:t>
      </w:r>
      <w:r>
        <w:rPr>
          <w:i/>
          <w:iCs/>
          <w:lang w:bidi="ar-SA"/>
        </w:rPr>
        <w:t>Reading the Old Testament: Method in Biblical Study</w:t>
      </w:r>
      <w:r>
        <w:rPr>
          <w:lang w:bidi="ar-SA"/>
        </w:rPr>
        <w:t xml:space="preserve"> (Philadelphia: Westminster, 1984), 104-39, 185-94.</w:t>
      </w:r>
      <w:r>
        <w:rPr>
          <w:rFonts w:hint="cs"/>
          <w:rtl/>
        </w:rPr>
        <w:t xml:space="preserve"> </w:t>
      </w:r>
      <w:r>
        <w:rPr>
          <w:rFonts w:hint="cs"/>
          <w:szCs w:val="22"/>
          <w:rtl/>
        </w:rPr>
        <w:t xml:space="preserve">لتعليقات مفيدة من منظور إنجيلي، انظر  </w:t>
      </w:r>
      <w:r>
        <w:rPr>
          <w:lang w:bidi="ar-SA"/>
        </w:rPr>
        <w:t xml:space="preserve">Carl E. Armending, </w:t>
      </w:r>
      <w:r>
        <w:rPr>
          <w:i/>
          <w:iCs/>
          <w:lang w:bidi="ar-SA"/>
        </w:rPr>
        <w:t xml:space="preserve">The Old Testament and Criticism </w:t>
      </w:r>
      <w:r>
        <w:rPr>
          <w:lang w:bidi="ar-SA"/>
        </w:rPr>
        <w:t xml:space="preserve">(Grand Rapids: Eerdmans, 1983) and Trempen Longman III, </w:t>
      </w:r>
      <w:r>
        <w:rPr>
          <w:i/>
          <w:iCs/>
          <w:lang w:bidi="ar-SA"/>
        </w:rPr>
        <w:t xml:space="preserve">Literary Approaches to Biblical Interpretation </w:t>
      </w:r>
      <w:r>
        <w:rPr>
          <w:lang w:bidi="ar-SA"/>
        </w:rPr>
        <w:t xml:space="preserve">(Grand Rapids: Zondervan, 1987).    </w:t>
      </w:r>
      <w:r>
        <w:rPr>
          <w:i/>
          <w:iCs/>
          <w:lang w:bidi="ar-SA"/>
        </w:rPr>
        <w:t xml:space="preserve"> </w:t>
      </w:r>
      <w:r>
        <w:rPr>
          <w:lang w:bidi="ar-SA"/>
        </w:rPr>
        <w:t xml:space="preserve"> </w:t>
      </w:r>
    </w:p>
  </w:footnote>
  <w:footnote w:id="184">
    <w:p w14:paraId="321F71C0" w14:textId="77777777" w:rsidR="006A7C83" w:rsidRDefault="006A7C83" w:rsidP="006A7C83">
      <w:pPr>
        <w:pStyle w:val="FootnoteTxtNewParag"/>
        <w:bidi w:val="0"/>
        <w:rPr>
          <w:rtl/>
          <w:lang w:bidi="ar-SA"/>
        </w:rPr>
      </w:pPr>
      <w:r>
        <w:rPr>
          <w:rStyle w:val="FootnoteReference"/>
          <w:rFonts w:hint="cs"/>
          <w:sz w:val="26"/>
          <w:szCs w:val="24"/>
          <w:rtl/>
        </w:rPr>
        <w:t>4</w:t>
      </w:r>
      <w:r>
        <w:rPr>
          <w:rFonts w:hint="cs"/>
          <w:rtl/>
        </w:rPr>
        <w:t xml:space="preserve"> </w:t>
      </w:r>
      <w:r>
        <w:t xml:space="preserve">James Muilenburg, “From Criticism and Beyond,” </w:t>
      </w:r>
      <w:r>
        <w:rPr>
          <w:i/>
          <w:iCs/>
        </w:rPr>
        <w:t xml:space="preserve">Journal of Biblical Literature </w:t>
      </w:r>
      <w:r>
        <w:t>88 (March 1969): 1-18.</w:t>
      </w:r>
    </w:p>
    <w:p w14:paraId="7B5B8F5D" w14:textId="77777777" w:rsidR="006A7C83" w:rsidRDefault="006A7C83" w:rsidP="006A7C83">
      <w:pPr>
        <w:pStyle w:val="FootnoteTxtNewParag"/>
        <w:rPr>
          <w:rtl/>
        </w:rPr>
      </w:pPr>
      <w:r>
        <w:rPr>
          <w:rFonts w:hint="cs"/>
          <w:szCs w:val="22"/>
          <w:rtl/>
        </w:rPr>
        <w:t xml:space="preserve">كتب آلان بي. روس مقدّمة مفيدة من منظور إنجيلي بعنوان: </w:t>
      </w:r>
      <w:r>
        <w:rPr>
          <w:lang w:bidi="ar-SA"/>
        </w:rPr>
        <w:t>Literary Analyses of the Text, “</w:t>
      </w:r>
      <w:r>
        <w:rPr>
          <w:i/>
          <w:iCs/>
          <w:lang w:bidi="ar-SA"/>
        </w:rPr>
        <w:t>Exegesis and Exposition</w:t>
      </w:r>
      <w:r>
        <w:rPr>
          <w:lang w:bidi="ar-SA"/>
        </w:rPr>
        <w:t xml:space="preserve"> (Fall 1986): 5-17.</w:t>
      </w:r>
      <w:r>
        <w:rPr>
          <w:i/>
          <w:iCs/>
          <w:lang w:bidi="ar-SA"/>
        </w:rPr>
        <w:t xml:space="preserve"> </w:t>
      </w:r>
      <w:r>
        <w:rPr>
          <w:rFonts w:hint="cs"/>
          <w:szCs w:val="22"/>
          <w:rtl/>
        </w:rPr>
        <w:t xml:space="preserve">  </w:t>
      </w:r>
      <w:r>
        <w:rPr>
          <w:i/>
          <w:iCs/>
          <w:lang w:bidi="ar-SA"/>
        </w:rPr>
        <w:t xml:space="preserve">  </w:t>
      </w:r>
      <w:r>
        <w:rPr>
          <w:lang w:bidi="ar-SA"/>
        </w:rPr>
        <w:t xml:space="preserve"> </w:t>
      </w:r>
    </w:p>
  </w:footnote>
  <w:footnote w:id="185">
    <w:p w14:paraId="0297E0F8" w14:textId="77777777" w:rsidR="006A7C83" w:rsidRDefault="006A7C83" w:rsidP="006A7C83">
      <w:pPr>
        <w:pStyle w:val="FootnoteTxtNewParag"/>
        <w:rPr>
          <w:rtl/>
        </w:rPr>
      </w:pPr>
      <w:r>
        <w:rPr>
          <w:rStyle w:val="FootnoteReference"/>
          <w:rFonts w:hint="cs"/>
          <w:sz w:val="26"/>
          <w:szCs w:val="24"/>
          <w:rtl/>
        </w:rPr>
        <w:t>5</w:t>
      </w:r>
      <w:r>
        <w:rPr>
          <w:rFonts w:hint="cs"/>
          <w:rtl/>
        </w:rPr>
        <w:t xml:space="preserve"> انظر أيضاً </w:t>
      </w:r>
      <w:r>
        <w:t>Tanner, “Textual Patterning, “74-85”.</w:t>
      </w:r>
      <w:r>
        <w:rPr>
          <w:rFonts w:hint="cs"/>
          <w:rtl/>
        </w:rPr>
        <w:t xml:space="preserve"> وانظر أيضاً </w:t>
      </w:r>
      <w:r>
        <w:t xml:space="preserve">H. Van Dyke Parunak, “Oral Typesetting: Some Uses of Biblical Structure,” </w:t>
      </w:r>
      <w:r w:rsidRPr="00CF223F">
        <w:rPr>
          <w:i/>
          <w:iCs/>
        </w:rPr>
        <w:t>Biblica</w:t>
      </w:r>
      <w:r>
        <w:t xml:space="preserve"> 62 (1981): 153-68. </w:t>
      </w:r>
    </w:p>
  </w:footnote>
  <w:footnote w:id="186">
    <w:p w14:paraId="179E3914" w14:textId="77777777" w:rsidR="006A7C83" w:rsidRDefault="006A7C83" w:rsidP="006A7C83">
      <w:pPr>
        <w:pStyle w:val="FootnoteTxtNewParag"/>
        <w:rPr>
          <w:rtl/>
        </w:rPr>
      </w:pPr>
      <w:r>
        <w:rPr>
          <w:rStyle w:val="FootnoteReference"/>
          <w:rFonts w:hint="cs"/>
          <w:sz w:val="26"/>
          <w:szCs w:val="24"/>
          <w:rtl/>
        </w:rPr>
        <w:t>6</w:t>
      </w:r>
      <w:r>
        <w:rPr>
          <w:rFonts w:hint="cs"/>
          <w:rtl/>
        </w:rPr>
        <w:t xml:space="preserve"> لقد تم إثبات هذا مثلاً على يد </w:t>
      </w:r>
      <w:r>
        <w:t xml:space="preserve">John H. Stek, “The Bee and the Mountain Goat: A Literary Reading of Judges 4, in </w:t>
      </w:r>
      <w:r>
        <w:rPr>
          <w:i/>
          <w:iCs/>
        </w:rPr>
        <w:t xml:space="preserve">A Tribute to Gleason Archer, </w:t>
      </w:r>
      <w:r>
        <w:t xml:space="preserve">ed. Walter C. Kaiser, Jr. and Ronald F. Younghood (Chicago Moody, 1986), 53-86. </w:t>
      </w:r>
    </w:p>
  </w:footnote>
  <w:footnote w:id="187">
    <w:p w14:paraId="2C006379" w14:textId="77777777" w:rsidR="006A7C83" w:rsidRDefault="006A7C83" w:rsidP="006A7C83">
      <w:pPr>
        <w:pStyle w:val="FootnoteTxtNewParag"/>
        <w:rPr>
          <w:rtl/>
        </w:rPr>
      </w:pPr>
      <w:r>
        <w:rPr>
          <w:rStyle w:val="FootnoteReference"/>
          <w:rFonts w:hint="cs"/>
          <w:sz w:val="26"/>
          <w:szCs w:val="24"/>
          <w:rtl/>
        </w:rPr>
        <w:t>7</w:t>
      </w:r>
      <w:r>
        <w:rPr>
          <w:rFonts w:hint="cs"/>
          <w:rtl/>
        </w:rPr>
        <w:t xml:space="preserve"> كُتبت عدّة مقالات حول هذا الموضوع، لكن في ما يلي بعضاً من أكثرها فائدة: </w:t>
      </w:r>
      <w:r>
        <w:t xml:space="preserve">Fokkleman, </w:t>
      </w:r>
      <w:r>
        <w:rPr>
          <w:i/>
          <w:iCs/>
        </w:rPr>
        <w:t xml:space="preserve">Narrative Art in Genesis: Specimens of Structural and Stylistic Analysis </w:t>
      </w:r>
      <w:r>
        <w:t xml:space="preserve">(Assen-Amsterdam: Van Gorcum, 1975); Jared J. Jackson and Martin Kessler, eds., Rhetorical Criticism: </w:t>
      </w:r>
      <w:r>
        <w:rPr>
          <w:i/>
          <w:iCs/>
        </w:rPr>
        <w:t>Essays in Honor of James Muilenberg</w:t>
      </w:r>
      <w:r>
        <w:t xml:space="preserve">, Pitsburgh Theological Monograph Series I (Pitsburgh: Pickwick, 1974): and Allen P. Ross, “The Description of the Nations in Genesis 11: 1-9,” </w:t>
      </w:r>
      <w:r>
        <w:rPr>
          <w:i/>
          <w:iCs/>
        </w:rPr>
        <w:t>Bibliotheca Sacra</w:t>
      </w:r>
      <w:r>
        <w:t xml:space="preserve"> 138 (1981): 119-38.     </w:t>
      </w:r>
    </w:p>
  </w:footnote>
  <w:footnote w:id="188">
    <w:p w14:paraId="25F4F412" w14:textId="77777777" w:rsidR="006A7C83" w:rsidRDefault="006A7C83" w:rsidP="006A7C83">
      <w:pPr>
        <w:pStyle w:val="FootnoteTxtNewParag"/>
      </w:pPr>
      <w:r>
        <w:rPr>
          <w:rStyle w:val="FootnoteReference"/>
          <w:rFonts w:hint="cs"/>
          <w:sz w:val="26"/>
          <w:szCs w:val="24"/>
          <w:rtl/>
        </w:rPr>
        <w:t>8</w:t>
      </w:r>
      <w:r>
        <w:rPr>
          <w:rFonts w:hint="cs"/>
          <w:rtl/>
        </w:rPr>
        <w:t xml:space="preserve"> من أجل نقاش فنّي واسع وإقامة الأدلة على أساس تحديد المشاهد والنقْلات، انظر  </w:t>
      </w:r>
      <w:r>
        <w:t>Tanner, “Textual Patterning,” 91-116.</w:t>
      </w:r>
    </w:p>
  </w:footnote>
  <w:footnote w:id="189">
    <w:p w14:paraId="41442B95" w14:textId="77777777" w:rsidR="006A7C83" w:rsidRDefault="006A7C83" w:rsidP="006A7C83">
      <w:pPr>
        <w:pStyle w:val="FootnoteTxt"/>
      </w:pPr>
      <w:r>
        <w:rPr>
          <w:rStyle w:val="FootnoteReference"/>
          <w:rFonts w:hint="cs"/>
          <w:sz w:val="26"/>
          <w:szCs w:val="24"/>
          <w:rtl/>
        </w:rPr>
        <w:t>9</w:t>
      </w:r>
      <w:r>
        <w:rPr>
          <w:rFonts w:hint="cs"/>
          <w:rtl/>
        </w:rPr>
        <w:t xml:space="preserve"> المشهد حادثة ضمن القصة الكلّية هي في حد ذاتها كاملة.  وقد يتألف المشهد من فقرة واحدة أو أكثر، وقد يتّصل بمشاهد أخرى لتشكيل قسم أكبر، انظر </w:t>
      </w:r>
      <w:r>
        <w:t xml:space="preserve">J. Cheryl Exum, “Aspects of Symmetry and Balance in the Samson Saga,” </w:t>
      </w:r>
      <w:r>
        <w:rPr>
          <w:i/>
          <w:iCs/>
        </w:rPr>
        <w:t>Journal for the Study of the Old Testament</w:t>
      </w:r>
      <w:r>
        <w:t xml:space="preserve"> 19 (1981): 12. </w:t>
      </w:r>
    </w:p>
  </w:footnote>
  <w:footnote w:id="190">
    <w:p w14:paraId="6F48D32F" w14:textId="055110B9" w:rsidR="006A7C83" w:rsidRDefault="006A7C83" w:rsidP="006A7C83">
      <w:pPr>
        <w:pStyle w:val="FootnoteTxtNewParag"/>
        <w:rPr>
          <w:i/>
          <w:iCs/>
        </w:rPr>
      </w:pPr>
      <w:r>
        <w:rPr>
          <w:rStyle w:val="FootnoteReference"/>
          <w:rFonts w:hint="cs"/>
          <w:sz w:val="26"/>
          <w:szCs w:val="24"/>
          <w:rtl/>
        </w:rPr>
        <w:t>1</w:t>
      </w:r>
      <w:r>
        <w:rPr>
          <w:rFonts w:hint="cs"/>
          <w:sz w:val="26"/>
          <w:szCs w:val="24"/>
          <w:vertAlign w:val="superscript"/>
          <w:rtl/>
        </w:rPr>
        <w:t>0</w:t>
      </w:r>
      <w:r>
        <w:rPr>
          <w:rFonts w:hint="cs"/>
          <w:rtl/>
        </w:rPr>
        <w:t xml:space="preserve"> أنا مدين لـ </w:t>
      </w:r>
      <w:r>
        <w:rPr>
          <w:lang w:bidi="ar-SA"/>
        </w:rPr>
        <w:t xml:space="preserve">D. W. Gooding, The Composition of the Book of Judges,” </w:t>
      </w:r>
      <w:r>
        <w:rPr>
          <w:i/>
          <w:iCs/>
          <w:lang w:bidi="ar-SA"/>
        </w:rPr>
        <w:t>Eretz Israel</w:t>
      </w:r>
      <w:r>
        <w:rPr>
          <w:lang w:bidi="ar-SA"/>
        </w:rPr>
        <w:t xml:space="preserve"> 16 (1982): 70-79.</w:t>
      </w:r>
      <w:r>
        <w:rPr>
          <w:rFonts w:hint="cs"/>
          <w:rtl/>
        </w:rPr>
        <w:t xml:space="preserve"> بتحديد هذا المخطط الكلّي (على الرغم من أني اختلف معه حول فهمه لبنية رواية جدعون). من</w:t>
      </w:r>
      <w:r>
        <w:t xml:space="preserve"> </w:t>
      </w:r>
      <w:r>
        <w:rPr>
          <w:rFonts w:hint="cs"/>
          <w:rtl/>
        </w:rPr>
        <w:t xml:space="preserve">أجل التوسع في مسألة المواضيع والأفكار المتوازية، انظر </w:t>
      </w:r>
      <w:r>
        <w:t xml:space="preserve">Barry G. Webb, </w:t>
      </w:r>
      <w:r>
        <w:rPr>
          <w:i/>
          <w:iCs/>
        </w:rPr>
        <w:t>The Book of Judges:</w:t>
      </w:r>
      <w:r>
        <w:t xml:space="preserve"> </w:t>
      </w:r>
      <w:r>
        <w:rPr>
          <w:i/>
          <w:iCs/>
        </w:rPr>
        <w:t>An Integrated reading</w:t>
      </w:r>
      <w:r>
        <w:t>, JSOT Supplement Series 46 (Sheffield: JSOT Press, 1987).</w:t>
      </w:r>
      <w:r>
        <w:rPr>
          <w:i/>
          <w:iCs/>
        </w:rPr>
        <w:t xml:space="preserve"> </w:t>
      </w:r>
    </w:p>
  </w:footnote>
  <w:footnote w:id="191">
    <w:p w14:paraId="57DAAD08" w14:textId="77777777" w:rsidR="006A7C83" w:rsidRDefault="006A7C83" w:rsidP="006A7C83">
      <w:pPr>
        <w:pStyle w:val="FootnoteTxtNewParag"/>
        <w:rPr>
          <w:lang w:bidi="ar-SA"/>
        </w:rPr>
      </w:pPr>
      <w:r>
        <w:rPr>
          <w:rStyle w:val="FootnoteReference"/>
          <w:rFonts w:hint="cs"/>
          <w:sz w:val="26"/>
          <w:szCs w:val="24"/>
          <w:rtl/>
        </w:rPr>
        <w:t>1</w:t>
      </w:r>
      <w:r>
        <w:rPr>
          <w:rFonts w:hint="cs"/>
          <w:szCs w:val="24"/>
          <w:vertAlign w:val="superscript"/>
          <w:rtl/>
        </w:rPr>
        <w:t>1</w:t>
      </w:r>
      <w:r>
        <w:rPr>
          <w:rFonts w:hint="cs"/>
          <w:rtl/>
        </w:rPr>
        <w:t xml:space="preserve"> لتصوّر مختلف عن بنية سفر القضاة، انظر </w:t>
      </w:r>
      <w:r>
        <w:t xml:space="preserve">Dale Summer Dewitt, “The Jephthah Traditions: A Rhetorical and Literary Study in the Deuteronomistic History” (PhD diss, Andrews University, 1987).  </w:t>
      </w:r>
      <w:r>
        <w:rPr>
          <w:rFonts w:hint="cs"/>
          <w:rtl/>
        </w:rPr>
        <w:t xml:space="preserve"> يجعل دِيْوِت رواية يفتاح مركزاً للسفر.  ويعود أحد أسباب ذلك إلى قائمة "القضاة الثانويين" الذين يؤطّرون رواية جدعون. لنقاش حول هذا الرأي ودحضه، انظر مقالتي: </w:t>
      </w:r>
      <w:r>
        <w:t>“</w:t>
      </w:r>
      <w:r>
        <w:rPr>
          <w:lang w:bidi="ar-SA"/>
        </w:rPr>
        <w:t xml:space="preserve">Texual Patterning,” 222-28). </w:t>
      </w:r>
      <w:r>
        <w:rPr>
          <w:rFonts w:hint="cs"/>
          <w:rtl/>
          <w:lang w:bidi="ar-SA"/>
        </w:rPr>
        <w:t xml:space="preserve"> </w:t>
      </w:r>
    </w:p>
  </w:footnote>
  <w:footnote w:id="192">
    <w:p w14:paraId="7B2CE897" w14:textId="77777777" w:rsidR="006A7C83" w:rsidRDefault="006A7C83" w:rsidP="006A7C83">
      <w:pPr>
        <w:pStyle w:val="FootnoteTxtNewParag"/>
        <w:rPr>
          <w:lang w:bidi="ar-SA"/>
        </w:rPr>
      </w:pPr>
      <w:r>
        <w:rPr>
          <w:rStyle w:val="FootnoteReference"/>
          <w:rFonts w:hint="cs"/>
          <w:sz w:val="26"/>
          <w:szCs w:val="24"/>
          <w:rtl/>
        </w:rPr>
        <w:t>1</w:t>
      </w:r>
      <w:r>
        <w:rPr>
          <w:rFonts w:hint="cs"/>
          <w:sz w:val="26"/>
          <w:szCs w:val="24"/>
          <w:vertAlign w:val="superscript"/>
          <w:rtl/>
        </w:rPr>
        <w:t>2</w:t>
      </w:r>
      <w:r>
        <w:rPr>
          <w:rFonts w:hint="cs"/>
          <w:rtl/>
        </w:rPr>
        <w:t xml:space="preserve"> من أجل تحليل مفصَّل لقضاة 6-8، انظر </w:t>
      </w:r>
      <w:r>
        <w:rPr>
          <w:lang w:bidi="ar-SA"/>
        </w:rPr>
        <w:t xml:space="preserve">Tanner, “Texual Patterning,” 147-99, </w:t>
      </w:r>
    </w:p>
  </w:footnote>
  <w:footnote w:id="193">
    <w:p w14:paraId="04E3DD26" w14:textId="77777777" w:rsidR="006A7C83" w:rsidRDefault="006A7C83" w:rsidP="006A7C83">
      <w:pPr>
        <w:pStyle w:val="FootnoteTxtNewParag"/>
        <w:rPr>
          <w:rtl/>
        </w:rPr>
      </w:pPr>
      <w:r>
        <w:rPr>
          <w:rStyle w:val="FootnoteReference"/>
          <w:rFonts w:hint="cs"/>
          <w:sz w:val="26"/>
          <w:szCs w:val="24"/>
          <w:rtl/>
        </w:rPr>
        <w:t>1</w:t>
      </w:r>
      <w:r>
        <w:rPr>
          <w:rFonts w:hint="cs"/>
          <w:sz w:val="26"/>
          <w:szCs w:val="24"/>
          <w:vertAlign w:val="superscript"/>
          <w:rtl/>
        </w:rPr>
        <w:t>3</w:t>
      </w:r>
      <w:r>
        <w:rPr>
          <w:rFonts w:hint="cs"/>
          <w:rtl/>
        </w:rPr>
        <w:t xml:space="preserve"> من أجل التوثيق، انظر </w:t>
      </w:r>
      <w:r>
        <w:rPr>
          <w:lang w:bidi="ar-SA"/>
        </w:rPr>
        <w:t>Tanner, “Texual Patterning,” 188-99.</w:t>
      </w:r>
    </w:p>
  </w:footnote>
  <w:footnote w:id="194">
    <w:p w14:paraId="34A7AAAF" w14:textId="77777777" w:rsidR="006A7C83" w:rsidRDefault="006A7C83" w:rsidP="006A7C83">
      <w:pPr>
        <w:pStyle w:val="FootnoteTxtNewParag"/>
      </w:pPr>
      <w:r>
        <w:rPr>
          <w:rStyle w:val="FootnoteReference"/>
          <w:rFonts w:hint="cs"/>
          <w:sz w:val="26"/>
          <w:szCs w:val="24"/>
          <w:rtl/>
        </w:rPr>
        <w:t>1</w:t>
      </w:r>
      <w:r>
        <w:rPr>
          <w:rFonts w:hint="cs"/>
          <w:sz w:val="26"/>
          <w:szCs w:val="24"/>
          <w:vertAlign w:val="superscript"/>
          <w:rtl/>
        </w:rPr>
        <w:t>4</w:t>
      </w:r>
      <w:r>
        <w:rPr>
          <w:rFonts w:hint="cs"/>
          <w:rtl/>
        </w:rPr>
        <w:t xml:space="preserve"> لاحظ جوبلنغ أيضاً أن منصب القاضي يبدو إيجابياً في أول الأمر، لكنه يزداد سلبية مع مرور الزمن.  "يبدأ القسم مصوِّراً نظام القضاة في حالة سليمة وفاعلة (عثنيئيل).  ومع الانحراف المتزايد يسمح لعيوب النظام بالظهور، إذ لا يلبّي حكم القضاة التوقعات" </w:t>
      </w:r>
      <w:r>
        <w:rPr>
          <w:lang w:bidi="ar-SA"/>
        </w:rPr>
        <w:t>(</w:t>
      </w:r>
      <w:r>
        <w:rPr>
          <w:i/>
          <w:iCs/>
          <w:lang w:bidi="ar-SA"/>
        </w:rPr>
        <w:t xml:space="preserve">The Sense of Biblical Narrative: Structural Analyses in the Hebrew Bible II, </w:t>
      </w:r>
      <w:r w:rsidRPr="00D111EB">
        <w:rPr>
          <w:lang w:bidi="ar-SA"/>
        </w:rPr>
        <w:t>60</w:t>
      </w:r>
      <w:r>
        <w:rPr>
          <w:lang w:bidi="ar-SA"/>
        </w:rPr>
        <w:t>).</w:t>
      </w:r>
      <w:r>
        <w:rPr>
          <w:rFonts w:hint="cs"/>
          <w:rtl/>
        </w:rPr>
        <w:t xml:space="preserve"> ثم يورد جوبلنغ أربعة أدلّة على هذا المنحى السلبي.  ويلاحظ أيضاً تشريل إكْسَم أن كل القضاة ما عدا عثنيئيل لا يصلحون أبطالاً حقيقيين، وأن بعض هؤلاء القادة يظهرون سلوكاً مشكوكاً فيه. </w:t>
      </w:r>
      <w:r>
        <w:t xml:space="preserve">(“The Center Cannot Hold: Thematic and Texual </w:t>
      </w:r>
      <w:r>
        <w:rPr>
          <w:rFonts w:hint="cs"/>
          <w:rtl/>
        </w:rPr>
        <w:t xml:space="preserve"> </w:t>
      </w:r>
      <w:r>
        <w:t>Instabilities in Judges,” Catholic</w:t>
      </w:r>
      <w:r>
        <w:rPr>
          <w:i/>
          <w:iCs/>
        </w:rPr>
        <w:t xml:space="preserve"> Biblical Quarterly </w:t>
      </w:r>
      <w:r>
        <w:t xml:space="preserve">52 [July 1990]: 412).  Cf. Webb, </w:t>
      </w:r>
      <w:r>
        <w:rPr>
          <w:i/>
          <w:iCs/>
        </w:rPr>
        <w:t>The Book of Judges: An Integrated Reading</w:t>
      </w:r>
      <w:r>
        <w:t>, 157-58, 170-71.</w:t>
      </w:r>
    </w:p>
  </w:footnote>
  <w:footnote w:id="195">
    <w:p w14:paraId="1F4BD80A" w14:textId="77777777" w:rsidR="006A7C83" w:rsidRDefault="006A7C83" w:rsidP="006A7C83">
      <w:pPr>
        <w:pStyle w:val="FootnoteTxtNewParag"/>
        <w:rPr>
          <w:rtl/>
        </w:rPr>
      </w:pPr>
      <w:r>
        <w:rPr>
          <w:rStyle w:val="FootnoteReference"/>
          <w:rFonts w:hint="cs"/>
          <w:sz w:val="26"/>
          <w:szCs w:val="24"/>
          <w:rtl/>
        </w:rPr>
        <w:t>1</w:t>
      </w:r>
      <w:r>
        <w:rPr>
          <w:rFonts w:hint="cs"/>
          <w:sz w:val="26"/>
          <w:szCs w:val="24"/>
          <w:vertAlign w:val="superscript"/>
          <w:rtl/>
        </w:rPr>
        <w:t>5</w:t>
      </w:r>
      <w:r>
        <w:rPr>
          <w:rFonts w:hint="cs"/>
          <w:rtl/>
        </w:rPr>
        <w:t xml:space="preserve"> من الواضح أن أبيمالك استثناء، حيث إنه لم ينقذ بني إسرائيل من قوة أجنبية.  غير أنه يبين، بصفته قائداً، مخاطر السلالة الملكية عندما توضع القوّة والنفوذ بين يدي فرد غير تقي. </w:t>
      </w:r>
    </w:p>
  </w:footnote>
  <w:footnote w:id="196">
    <w:p w14:paraId="3BABB0A7" w14:textId="77777777" w:rsidR="006A7C83" w:rsidRDefault="006A7C83" w:rsidP="006A7C83">
      <w:pPr>
        <w:pStyle w:val="FootnoteTxtNewParag"/>
        <w:rPr>
          <w:rtl/>
          <w:lang w:bidi="ar-SA"/>
        </w:rPr>
      </w:pPr>
      <w:r>
        <w:rPr>
          <w:rStyle w:val="FootnoteReference"/>
          <w:rFonts w:hint="cs"/>
          <w:sz w:val="26"/>
          <w:szCs w:val="24"/>
          <w:rtl/>
        </w:rPr>
        <w:t>1</w:t>
      </w:r>
      <w:r>
        <w:rPr>
          <w:rFonts w:hint="cs"/>
          <w:sz w:val="26"/>
          <w:szCs w:val="24"/>
          <w:vertAlign w:val="superscript"/>
          <w:rtl/>
        </w:rPr>
        <w:t>6</w:t>
      </w:r>
      <w:r>
        <w:rPr>
          <w:rFonts w:hint="cs"/>
          <w:rtl/>
        </w:rPr>
        <w:t xml:space="preserve"> قدّم إِكْسَم ملاحظة مشابهة: "على الرغم من عدم وجود نمط تدرّجي بشكل سلس، إلا أننا نجد نقطة تحوّل في رواية جدعون.  ويكشف جدعون والشخصيات الهامّة التي تليه نقاط ضعف مزعجة، إن لم يكشفوا عيوب خطيرة فيهم".</w:t>
      </w:r>
      <w:r>
        <w:rPr>
          <w:rFonts w:hint="cs"/>
          <w:rtl/>
          <w:lang w:bidi="ar-SA"/>
        </w:rPr>
        <w:t xml:space="preserve"> </w:t>
      </w:r>
      <w:r>
        <w:rPr>
          <w:lang w:bidi="ar-SA"/>
        </w:rPr>
        <w:t>(“The Center Cannot Hold: Thematic and Texual Instabilities in Judges,” 412).</w:t>
      </w:r>
      <w:r>
        <w:rPr>
          <w:rFonts w:hint="cs"/>
          <w:rtl/>
          <w:lang w:bidi="ar-SA"/>
        </w:rPr>
        <w:t xml:space="preserve"> </w:t>
      </w:r>
      <w:r>
        <w:rPr>
          <w:rFonts w:hint="cs"/>
          <w:sz w:val="22"/>
          <w:rtl/>
        </w:rPr>
        <w:t>وقد بيّن ل. جـ. ستون في الفصل السابع من أطروحته كيف أن القضاة الذين خلفوا عثنيئيل، بالمقارنة مع رواية عثنيئيل، يشكّلون انحطاطاً أو انحداراً واضحاً من ثلاث خطوات عن القضاة المنتصرين (3: 12-5: 31) من خلال شخصية انتقالية، جدعون (16-8: 28)، إلى القضاة "المأساويين" (10: 6-16: 31) (انظر</w:t>
      </w:r>
      <w:r>
        <w:rPr>
          <w:rFonts w:hint="cs"/>
          <w:sz w:val="22"/>
          <w:rtl/>
          <w:lang w:bidi="ar-SA"/>
        </w:rPr>
        <w:t xml:space="preserve"> </w:t>
      </w:r>
      <w:r>
        <w:rPr>
          <w:lang w:bidi="ar-SA"/>
        </w:rPr>
        <w:t xml:space="preserve">Abstract of “From Tribal Confederation to Monarch State: The Editorial Perspective of the Book of Judges” (PhD diss., Yale University, 1988]).  </w:t>
      </w:r>
    </w:p>
  </w:footnote>
  <w:footnote w:id="197">
    <w:p w14:paraId="44A4D946" w14:textId="77777777" w:rsidR="006A7C83" w:rsidRDefault="006A7C83" w:rsidP="006A7C83">
      <w:pPr>
        <w:pStyle w:val="FootnoteTxtNewParag"/>
        <w:rPr>
          <w:rtl/>
          <w:lang w:bidi="ar-SA"/>
        </w:rPr>
      </w:pPr>
      <w:r>
        <w:rPr>
          <w:rStyle w:val="FootnoteReference"/>
          <w:rFonts w:hint="cs"/>
          <w:sz w:val="26"/>
          <w:szCs w:val="24"/>
          <w:rtl/>
        </w:rPr>
        <w:t>1</w:t>
      </w:r>
      <w:r>
        <w:rPr>
          <w:rFonts w:hint="cs"/>
          <w:sz w:val="26"/>
          <w:szCs w:val="24"/>
          <w:vertAlign w:val="superscript"/>
          <w:rtl/>
        </w:rPr>
        <w:t>7</w:t>
      </w:r>
      <w:r>
        <w:rPr>
          <w:rFonts w:hint="cs"/>
          <w:rtl/>
        </w:rPr>
        <w:t xml:space="preserve"> تشكّل رواية أبيمالك استثناء نوعاً ما لهذا المنحنى، على الرغم من أن هذا المبدأ ما يزال صحيحاً إذا أدركنا أن أبيمالك، بمعنى ما، امتداد لرواية جدعون.</w:t>
      </w:r>
    </w:p>
  </w:footnote>
  <w:footnote w:id="198">
    <w:p w14:paraId="03302DC5" w14:textId="77777777" w:rsidR="006A7C83" w:rsidRDefault="006A7C83" w:rsidP="006A7C83">
      <w:pPr>
        <w:pStyle w:val="FootnoteTxtNewParag"/>
        <w:rPr>
          <w:rtl/>
        </w:rPr>
      </w:pPr>
      <w:r>
        <w:rPr>
          <w:rStyle w:val="FootnoteReference"/>
          <w:rFonts w:hint="cs"/>
          <w:sz w:val="26"/>
          <w:szCs w:val="24"/>
          <w:rtl/>
        </w:rPr>
        <w:t>1</w:t>
      </w:r>
      <w:r>
        <w:rPr>
          <w:rFonts w:hint="cs"/>
          <w:sz w:val="26"/>
          <w:szCs w:val="24"/>
          <w:vertAlign w:val="superscript"/>
          <w:rtl/>
        </w:rPr>
        <w:t>8</w:t>
      </w:r>
      <w:r>
        <w:rPr>
          <w:rFonts w:hint="cs"/>
          <w:rtl/>
        </w:rPr>
        <w:t xml:space="preserve"> يقول وِب موضحاً النزاع الداخلي الذي حدث تحت ولاية القاضيين جدعون وأبيمالك: "إن جدعون هو أوّل قاضٍ يرفع سيفه على أبناء وطنه" </w:t>
      </w:r>
      <w:r>
        <w:rPr>
          <w:i/>
          <w:iCs/>
          <w:lang w:bidi="ar-SA"/>
        </w:rPr>
        <w:t>The Book of Judges: An Integrated Reading</w:t>
      </w:r>
      <w:r>
        <w:rPr>
          <w:lang w:bidi="ar-SA"/>
        </w:rPr>
        <w:t>, 158).</w:t>
      </w:r>
      <w:r>
        <w:rPr>
          <w:rFonts w:hint="cs"/>
          <w:rtl/>
        </w:rPr>
        <w:t xml:space="preserve"> استمرّت مشكلة الخصام الداخلي التي بدأها جدعون في فترات ولاية القضاة أبيمالك ويفتاح وشمشون.  وعلى الرغم من أن القضاة ليسوا مرتّبين بالضرورة ترتيباً زمنياً، إلاّ أن خاتمة السفر تكشف شدّة المشكلة الداخلية وعِظمها. </w:t>
      </w:r>
    </w:p>
  </w:footnote>
  <w:footnote w:id="199">
    <w:p w14:paraId="6A58A226" w14:textId="77777777" w:rsidR="006A7C83" w:rsidRDefault="006A7C83" w:rsidP="006A7C83">
      <w:pPr>
        <w:pStyle w:val="FootnoteTxtNewParag"/>
        <w:rPr>
          <w:rtl/>
          <w:lang w:bidi="ar-SA"/>
        </w:rPr>
      </w:pPr>
      <w:r>
        <w:rPr>
          <w:rStyle w:val="FootnoteReference"/>
          <w:rFonts w:hint="cs"/>
          <w:sz w:val="26"/>
          <w:szCs w:val="24"/>
          <w:rtl/>
        </w:rPr>
        <w:t>1</w:t>
      </w:r>
      <w:r>
        <w:rPr>
          <w:rFonts w:hint="cs"/>
          <w:sz w:val="26"/>
          <w:szCs w:val="24"/>
          <w:vertAlign w:val="superscript"/>
          <w:rtl/>
        </w:rPr>
        <w:t>9</w:t>
      </w:r>
      <w:r>
        <w:rPr>
          <w:rFonts w:hint="cs"/>
          <w:rtl/>
        </w:rPr>
        <w:t xml:space="preserve"> ويقول بلوك: "على الرغم من عبارة جدعون المتّسمة بالتقوى "لا أتسلط عليكم (لا أحكمكم) (8: 23)، إلاّ أن تصرّفاته هذه كلها توحي بالعكس.  فهو يتصرّف كملك شرقي، وهو وضع يُرى في اسم أبيمالك ("أبي ملك") </w:t>
      </w:r>
      <w:r>
        <w:t xml:space="preserve">(Daniel I. Block, “The Period of the Judges: Religions Disintegration Under Tribal Rule,” </w:t>
      </w:r>
      <w:r>
        <w:rPr>
          <w:i/>
          <w:iCs/>
        </w:rPr>
        <w:t>in Israel’s Apostasy and Restoration</w:t>
      </w:r>
      <w:r>
        <w:t xml:space="preserve">, ed. </w:t>
      </w:r>
      <w:r>
        <w:rPr>
          <w:lang w:bidi="ar-SA"/>
        </w:rPr>
        <w:t>Abraham Gilead; [Grand Rapids: Baker, 1988], 50).</w:t>
      </w:r>
      <w:r>
        <w:rPr>
          <w:rFonts w:hint="cs"/>
          <w:rtl/>
        </w:rPr>
        <w:t xml:space="preserve"> لمزيد من النقاش حول العنصر الملكي، انظر </w:t>
      </w:r>
      <w:r>
        <w:t xml:space="preserve">Jobling, </w:t>
      </w:r>
      <w:r>
        <w:rPr>
          <w:i/>
          <w:iCs/>
        </w:rPr>
        <w:t xml:space="preserve">The Sense if Biblical Narrative: Structural Analyses in the Hebrew Bible II, </w:t>
      </w:r>
      <w:r>
        <w:t xml:space="preserve">58-87; Arthur E. Cundall, Judges: </w:t>
      </w:r>
      <w:r>
        <w:rPr>
          <w:i/>
          <w:iCs/>
        </w:rPr>
        <w:t xml:space="preserve">An Introduction and Commentary </w:t>
      </w:r>
      <w:r>
        <w:t xml:space="preserve">(Downers Grove, IL: InterVarsity, 1968), 123-24; and Dale Dewitt, “The Jephthah Traditions, “285-309.     </w:t>
      </w:r>
      <w:r>
        <w:rPr>
          <w:i/>
          <w:iCs/>
        </w:rPr>
        <w:t xml:space="preserve"> </w:t>
      </w:r>
      <w:r>
        <w:t xml:space="preserve"> </w:t>
      </w:r>
    </w:p>
  </w:footnote>
  <w:footnote w:id="200">
    <w:p w14:paraId="655185DD" w14:textId="77777777" w:rsidR="006A7C83" w:rsidRDefault="006A7C83" w:rsidP="006A7C83">
      <w:pPr>
        <w:pStyle w:val="FootnoteTxtNewParag"/>
        <w:rPr>
          <w:sz w:val="22"/>
          <w:rtl/>
          <w:lang w:bidi="ar-SA"/>
        </w:rPr>
      </w:pPr>
      <w:r>
        <w:rPr>
          <w:rStyle w:val="FootnoteReference"/>
          <w:rFonts w:hint="cs"/>
          <w:sz w:val="26"/>
          <w:szCs w:val="24"/>
          <w:rtl/>
        </w:rPr>
        <w:t>2</w:t>
      </w:r>
      <w:r>
        <w:rPr>
          <w:rFonts w:hint="cs"/>
          <w:sz w:val="26"/>
          <w:szCs w:val="24"/>
          <w:vertAlign w:val="superscript"/>
          <w:rtl/>
        </w:rPr>
        <w:t>0</w:t>
      </w:r>
      <w:r>
        <w:rPr>
          <w:rFonts w:hint="cs"/>
          <w:rtl/>
        </w:rPr>
        <w:t xml:space="preserve"> إن موضوع الحكم الملكي إسهام قيّم آخر من رواية جدعون في اللاهوت الكلّي لتثنية </w:t>
      </w:r>
      <w:r>
        <w:rPr>
          <w:rtl/>
        </w:rPr>
        <w:t>–</w:t>
      </w:r>
      <w:r>
        <w:rPr>
          <w:rFonts w:hint="cs"/>
          <w:rtl/>
        </w:rPr>
        <w:t xml:space="preserve"> 1صموئيل.  ولا يسد سفر القضاة الثغرة بين عهد موسى </w:t>
      </w:r>
      <w:r>
        <w:rPr>
          <w:rtl/>
        </w:rPr>
        <w:t>–</w:t>
      </w:r>
      <w:r>
        <w:rPr>
          <w:rFonts w:hint="cs"/>
          <w:rtl/>
        </w:rPr>
        <w:t xml:space="preserve"> يشوع وترسيخ الحكم الملكي في 1صموئيل 8: 12 فحسب، لكن يبدو أيضاًُ أن سفر القضاة يتوقّع مجيء الحكم الملكي.  يقول جوبلينغ: "تظهر الملكية بوضوح متميّز في 1صموئيل 8..... لكن قضاة 6-9 تحمل أهميّة خاصة في ما يتعلّق بهذا الأمر.  لقد قلت إن هذا الجزء من رواية فترة القضاة يقدّم السياق اللاهوتي لظهور الحكم الملكي، حيث تسجّل الأصحاحات التي تتناول جدعون </w:t>
      </w:r>
      <w:r>
        <w:rPr>
          <w:rtl/>
        </w:rPr>
        <w:t>–</w:t>
      </w:r>
      <w:r>
        <w:rPr>
          <w:rFonts w:hint="cs"/>
          <w:rtl/>
        </w:rPr>
        <w:t xml:space="preserve"> أبيمالك فترة سابقة أخذت فيها إسرائيل خيارها التثنوي للسعي إلى إيجاد ملك لها.  توجد هنا إذاً معالجة توقُّعية لموضوع الملكية"</w:t>
      </w:r>
      <w:r>
        <w:rPr>
          <w:rFonts w:hint="cs"/>
          <w:rtl/>
          <w:lang w:bidi="ar-SA"/>
        </w:rPr>
        <w:t xml:space="preserve"> </w:t>
      </w:r>
      <w:r>
        <w:rPr>
          <w:lang w:bidi="ar-SA"/>
        </w:rPr>
        <w:t>(</w:t>
      </w:r>
      <w:r>
        <w:rPr>
          <w:i/>
          <w:iCs/>
          <w:lang w:bidi="ar-SA"/>
        </w:rPr>
        <w:t>The Sense of Biblical Narrative: Structural Analyses in the Hebrew Bible II</w:t>
      </w:r>
      <w:r>
        <w:rPr>
          <w:lang w:bidi="ar-SA"/>
        </w:rPr>
        <w:t>, 66-67).</w:t>
      </w:r>
      <w:r>
        <w:rPr>
          <w:rFonts w:hint="cs"/>
          <w:rtl/>
          <w:lang w:bidi="ar-SA"/>
        </w:rPr>
        <w:t xml:space="preserve"> </w:t>
      </w:r>
      <w:r>
        <w:rPr>
          <w:rFonts w:hint="cs"/>
          <w:sz w:val="22"/>
          <w:rtl/>
        </w:rPr>
        <w:t>وإذا كانت فترة القضاة كلّها تحضّرنا بشكل عام لقراءة 1صموئيل 8-12، فإن قضاة 6-9 تقوم بذلك على نحو أكثر تحديداً.  فقد ظهرت الملكية من قبل! وكأن قضاة 6-9 تكيّف قراءتنا لـ 1صموئيل 8-12 مقدّماً.  ولأن قضاة 6-12 لا تقع تحت ضغط تصوير الحكم الملكي بشكل إيجابي، فإنها يمكن أن تستكشف بشكل كامل جوانبه المشكوك فيها "(المرجع السابق، 85).  فإذا كان سفر القضاة يحضّر القرّاء بشكل عام إلى تطوّر الحكم الملكي في 1صموئيل، فإنه لمن المثير جدّاً أن تثار هذه المسألة في رواية جدعون بالذات، والتي تشكّل القسم المركزي من السفر، كما سبق أن رأينا من بنية السفر.</w:t>
      </w:r>
    </w:p>
  </w:footnote>
  <w:footnote w:id="201">
    <w:p w14:paraId="03895C03" w14:textId="77777777" w:rsidR="006A7C83" w:rsidRDefault="006A7C83" w:rsidP="006A7C83">
      <w:pPr>
        <w:pStyle w:val="FootnoteTxtNewParag"/>
        <w:rPr>
          <w:rtl/>
          <w:lang w:bidi="ar-SA"/>
        </w:rPr>
      </w:pPr>
      <w:r>
        <w:rPr>
          <w:rStyle w:val="FootnoteReference"/>
          <w:rFonts w:hint="cs"/>
          <w:sz w:val="26"/>
          <w:szCs w:val="24"/>
          <w:rtl/>
        </w:rPr>
        <w:t>2</w:t>
      </w:r>
      <w:r>
        <w:rPr>
          <w:rFonts w:hint="cs"/>
          <w:sz w:val="26"/>
          <w:szCs w:val="24"/>
          <w:vertAlign w:val="superscript"/>
          <w:rtl/>
        </w:rPr>
        <w:t>1</w:t>
      </w:r>
      <w:r>
        <w:rPr>
          <w:rFonts w:hint="cs"/>
          <w:rtl/>
        </w:rPr>
        <w:t xml:space="preserve"> لاحظ جوبلنغ هذا الأمر أيضاً في سفر القضاة 6-9.  "يتناول هذا القسم جوانب كثيرة من الحكم الملكي مع تنبير خاص على الشرور المحتملة.  وهو يفترض أن الملكية وراثية، ويقول ويلمّح كثيراً حول الوراثة وأنظمتها ومشاكلها.  ومن خلال ما يقال عن كل من جدعون وأبيمالك، تنكشف لنا الأعمال السيئة التي يتميز بها الملوك" (المرجع السابق، 84). </w:t>
      </w:r>
    </w:p>
  </w:footnote>
  <w:footnote w:id="202">
    <w:p w14:paraId="479B81B5" w14:textId="77777777" w:rsidR="006A7C83" w:rsidRDefault="006A7C83" w:rsidP="006A7C83">
      <w:pPr>
        <w:pStyle w:val="FootnoteTxtNewParag"/>
        <w:bidi w:val="0"/>
        <w:rPr>
          <w:rtl/>
        </w:rPr>
      </w:pPr>
      <w:r>
        <w:rPr>
          <w:rStyle w:val="FootnoteReference"/>
          <w:rFonts w:hint="cs"/>
          <w:sz w:val="26"/>
          <w:szCs w:val="24"/>
          <w:rtl/>
        </w:rPr>
        <w:t>2</w:t>
      </w:r>
      <w:r>
        <w:rPr>
          <w:rFonts w:hint="cs"/>
          <w:sz w:val="26"/>
          <w:szCs w:val="24"/>
          <w:vertAlign w:val="superscript"/>
          <w:rtl/>
        </w:rPr>
        <w:t>2</w:t>
      </w:r>
      <w:r>
        <w:rPr>
          <w:rFonts w:hint="cs"/>
          <w:sz w:val="22"/>
          <w:rtl/>
        </w:rPr>
        <w:t xml:space="preserve"> </w:t>
      </w:r>
      <w:r>
        <w:t xml:space="preserve">Block, “The Period of Judges: Religious Disintegration Under Tribal Rule,” 50. </w:t>
      </w:r>
      <w:r>
        <w:rPr>
          <w:rFonts w:hint="cs"/>
          <w:rtl/>
        </w:rPr>
        <w:t xml:space="preserve"> </w:t>
      </w:r>
    </w:p>
  </w:footnote>
  <w:footnote w:id="203">
    <w:p w14:paraId="33CBD372" w14:textId="77777777" w:rsidR="006A7C83" w:rsidRDefault="006A7C83" w:rsidP="006A7C83">
      <w:pPr>
        <w:pStyle w:val="FootnoteTxtNewParag"/>
        <w:rPr>
          <w:rtl/>
          <w:lang w:bidi="ar-SA"/>
        </w:rPr>
      </w:pPr>
      <w:r>
        <w:rPr>
          <w:rStyle w:val="FootnoteReference"/>
          <w:rFonts w:hint="cs"/>
          <w:sz w:val="26"/>
          <w:szCs w:val="24"/>
          <w:rtl/>
        </w:rPr>
        <w:t>2</w:t>
      </w:r>
      <w:r>
        <w:rPr>
          <w:rFonts w:hint="cs"/>
          <w:sz w:val="26"/>
          <w:szCs w:val="24"/>
          <w:vertAlign w:val="superscript"/>
          <w:rtl/>
        </w:rPr>
        <w:t>3</w:t>
      </w:r>
      <w:r>
        <w:rPr>
          <w:rFonts w:hint="cs"/>
          <w:rtl/>
        </w:rPr>
        <w:t xml:space="preserve"> المرجع السابق، 51.</w:t>
      </w:r>
    </w:p>
  </w:footnote>
  <w:footnote w:id="204">
    <w:p w14:paraId="2D7B9C53" w14:textId="77777777" w:rsidR="006A7C83" w:rsidRDefault="006A7C83" w:rsidP="006A7C83">
      <w:pPr>
        <w:pStyle w:val="FootnoteTxtNewParag"/>
        <w:bidi w:val="0"/>
        <w:rPr>
          <w:rtl/>
          <w:lang w:bidi="ar-SA"/>
        </w:rPr>
      </w:pPr>
      <w:r>
        <w:rPr>
          <w:rStyle w:val="FootnoteReference"/>
          <w:rFonts w:hint="cs"/>
          <w:sz w:val="26"/>
          <w:szCs w:val="24"/>
          <w:rtl/>
        </w:rPr>
        <w:t>2</w:t>
      </w:r>
      <w:r>
        <w:rPr>
          <w:rFonts w:hint="cs"/>
          <w:sz w:val="26"/>
          <w:szCs w:val="24"/>
          <w:vertAlign w:val="superscript"/>
          <w:rtl/>
        </w:rPr>
        <w:t>4</w:t>
      </w:r>
      <w:r>
        <w:rPr>
          <w:rFonts w:hint="cs"/>
          <w:rtl/>
        </w:rPr>
        <w:t xml:space="preserve"> </w:t>
      </w:r>
      <w:r>
        <w:t xml:space="preserve">Webb, </w:t>
      </w:r>
      <w:r>
        <w:rPr>
          <w:i/>
          <w:iCs/>
        </w:rPr>
        <w:t>The Book of Judges: An Integrated Reading,</w:t>
      </w:r>
      <w:r>
        <w:t xml:space="preserve"> 179</w:t>
      </w:r>
      <w:r>
        <w:rPr>
          <w:rFonts w:hint="cs"/>
          <w:rtl/>
        </w:rPr>
        <w:t>.</w:t>
      </w:r>
    </w:p>
    <w:p w14:paraId="7A28E2CE" w14:textId="77777777" w:rsidR="006A7C83" w:rsidRDefault="006A7C83" w:rsidP="006A7C83">
      <w:pPr>
        <w:pStyle w:val="FootnoteText"/>
        <w:rPr>
          <w:lang w:bidi="ar-JO"/>
        </w:rPr>
      </w:pPr>
    </w:p>
  </w:footnote>
  <w:footnote w:id="205">
    <w:p w14:paraId="0D92040E" w14:textId="77777777" w:rsidR="006A7C83" w:rsidRDefault="006A7C83" w:rsidP="006A7C83">
      <w:pPr>
        <w:pStyle w:val="FootnoteTxtNewParag"/>
        <w:bidi w:val="0"/>
        <w:rPr>
          <w:rtl/>
          <w:lang w:bidi="ar-SA"/>
        </w:rPr>
      </w:pPr>
      <w:r>
        <w:rPr>
          <w:rStyle w:val="FootnoteReference"/>
          <w:sz w:val="26"/>
          <w:szCs w:val="24"/>
          <w:rtl/>
        </w:rPr>
        <w:footnoteRef/>
      </w:r>
      <w:r>
        <w:t xml:space="preserve"> </w:t>
      </w:r>
      <w:r>
        <w:rPr>
          <w:rFonts w:hint="cs"/>
          <w:rtl/>
        </w:rPr>
        <w:t xml:space="preserve"> </w:t>
      </w:r>
      <w:r>
        <w:t>Exum, “The Center Cannot Hold: Thematic and Textual Instabilities in Judges,” 416</w:t>
      </w:r>
      <w:r>
        <w:rPr>
          <w:rFonts w:hint="cs"/>
          <w:rtl/>
        </w:rPr>
        <w:t>.</w:t>
      </w:r>
    </w:p>
  </w:footnote>
  <w:footnote w:id="206">
    <w:p w14:paraId="35B25372" w14:textId="77777777" w:rsidR="006A7C83" w:rsidRDefault="006A7C83" w:rsidP="006A7C83">
      <w:pPr>
        <w:pStyle w:val="FootnoteTxtNewParag"/>
        <w:bidi w:val="0"/>
      </w:pPr>
      <w:r>
        <w:rPr>
          <w:rStyle w:val="FootnoteReference"/>
          <w:rFonts w:hint="cs"/>
          <w:sz w:val="26"/>
          <w:szCs w:val="24"/>
          <w:rtl/>
        </w:rPr>
        <w:t>2</w:t>
      </w:r>
      <w:r>
        <w:rPr>
          <w:rFonts w:hint="cs"/>
          <w:szCs w:val="24"/>
          <w:vertAlign w:val="superscript"/>
          <w:rtl/>
        </w:rPr>
        <w:t>6</w:t>
      </w:r>
      <w:r>
        <w:rPr>
          <w:rFonts w:hint="cs"/>
          <w:sz w:val="22"/>
          <w:rtl/>
        </w:rPr>
        <w:t xml:space="preserve"> </w:t>
      </w:r>
      <w:r>
        <w:t>Block. “The Period of the Judges: Religious Disintegration Under Tribal Rule,” 52</w:t>
      </w:r>
      <w:r>
        <w:rPr>
          <w:rFonts w:hint="cs"/>
          <w:rtl/>
        </w:rPr>
        <w:t>.</w:t>
      </w:r>
    </w:p>
  </w:footnote>
  <w:footnote w:id="207">
    <w:p w14:paraId="15380566" w14:textId="77777777" w:rsidR="006A7C83" w:rsidRDefault="006A7C83" w:rsidP="006A7C83">
      <w:pPr>
        <w:pStyle w:val="FootnoteTxtNewParag"/>
        <w:rPr>
          <w:i/>
          <w:iCs/>
          <w:lang w:bidi="ar-SA"/>
        </w:rPr>
      </w:pPr>
      <w:r>
        <w:rPr>
          <w:rStyle w:val="FootnoteReference"/>
          <w:rFonts w:hint="cs"/>
          <w:sz w:val="26"/>
          <w:szCs w:val="24"/>
          <w:rtl/>
        </w:rPr>
        <w:t>2</w:t>
      </w:r>
      <w:r>
        <w:rPr>
          <w:rFonts w:hint="cs"/>
          <w:szCs w:val="24"/>
          <w:vertAlign w:val="superscript"/>
          <w:rtl/>
        </w:rPr>
        <w:t>7</w:t>
      </w:r>
      <w:r>
        <w:rPr>
          <w:rFonts w:hint="cs"/>
          <w:rtl/>
        </w:rPr>
        <w:t xml:space="preserve"> يؤكَّد على فكرة الخوف لا بتكرار كلمة </w:t>
      </w:r>
      <w:r>
        <w:rPr>
          <w:rFonts w:ascii="Ezra SIL" w:hAnsi="Ezra SIL" w:cs="Ezra SIL" w:hint="cs"/>
          <w:szCs w:val="18"/>
          <w:rtl/>
          <w:lang w:bidi="he-IL"/>
        </w:rPr>
        <w:t>ירא</w:t>
      </w:r>
      <w:r>
        <w:rPr>
          <w:rFonts w:hint="cs"/>
          <w:rtl/>
        </w:rPr>
        <w:t xml:space="preserve"> فحسب، بل أيضاً بالاستخدام الفريد للكلمة ذات صلة </w:t>
      </w:r>
      <w:r w:rsidRPr="004E5503">
        <w:rPr>
          <w:rFonts w:ascii="Ezra SIL" w:hAnsi="Ezra SIL" w:cs="Ezra SIL"/>
          <w:szCs w:val="18"/>
          <w:rtl/>
          <w:lang w:bidi="he-IL"/>
        </w:rPr>
        <w:t>חרד</w:t>
      </w:r>
      <w:r>
        <w:rPr>
          <w:rFonts w:hint="cs"/>
          <w:rtl/>
        </w:rPr>
        <w:t>.  وفي 7: 3، نجد تعليمات الله لاستبعاد الرجال الخائفين في الكلم</w:t>
      </w:r>
      <w:r>
        <w:rPr>
          <w:rFonts w:hint="cs"/>
          <w:rtl/>
          <w:lang w:bidi="ar-SA"/>
        </w:rPr>
        <w:t>ات</w:t>
      </w:r>
      <w:r>
        <w:rPr>
          <w:rFonts w:hint="cs"/>
          <w:rtl/>
        </w:rPr>
        <w:t xml:space="preserve"> </w:t>
      </w:r>
      <w:r>
        <w:rPr>
          <w:rFonts w:ascii="Ezra SIL" w:hAnsi="Ezra SIL" w:cs="Ezra SIL" w:hint="cs"/>
          <w:szCs w:val="18"/>
          <w:rtl/>
          <w:lang w:bidi="he-IL"/>
        </w:rPr>
        <w:t>מִי־יָרֵא וְחַרֵד יָשֹׁב</w:t>
      </w:r>
      <w:r>
        <w:rPr>
          <w:rFonts w:ascii="Hebrew" w:hAnsi="Hebrew"/>
          <w:lang w:bidi="ar-SA"/>
        </w:rPr>
        <w:t>!</w:t>
      </w:r>
      <w:r>
        <w:rPr>
          <w:rFonts w:hint="cs"/>
          <w:rtl/>
        </w:rPr>
        <w:t xml:space="preserve"> .  وتعني الصفة </w:t>
      </w:r>
      <w:r>
        <w:rPr>
          <w:rFonts w:ascii="Hebrew" w:hAnsi="Hebrew"/>
          <w:lang w:bidi="ar-SA"/>
        </w:rPr>
        <w:t>dr}j*</w:t>
      </w:r>
      <w:r>
        <w:rPr>
          <w:rFonts w:hint="cs"/>
          <w:rtl/>
        </w:rPr>
        <w:t xml:space="preserve"> "مرتعد" من الخوف، مع أن بومان يقول إن التركيز في بناء الجملة يقع على رعب الذعر </w:t>
      </w:r>
      <w:r>
        <w:rPr>
          <w:lang w:bidi="ar-SA"/>
        </w:rPr>
        <w:t>(</w:t>
      </w:r>
      <w:r>
        <w:rPr>
          <w:i/>
          <w:iCs/>
          <w:lang w:bidi="ar-SA"/>
        </w:rPr>
        <w:t>Theological Dictionary of the Old Testament,</w:t>
      </w:r>
      <w:r>
        <w:rPr>
          <w:lang w:bidi="ar-SA"/>
        </w:rPr>
        <w:t xml:space="preserve"> s. v. </w:t>
      </w:r>
      <w:r>
        <w:rPr>
          <w:rFonts w:ascii="Hebrew" w:hAnsi="Hebrew"/>
          <w:lang w:bidi="ar-SA"/>
        </w:rPr>
        <w:t>drj</w:t>
      </w:r>
      <w:r>
        <w:rPr>
          <w:lang w:bidi="ar-SA"/>
        </w:rPr>
        <w:t xml:space="preserve"> by A. Bauman, 5[1986]. 167).</w:t>
      </w:r>
      <w:r>
        <w:rPr>
          <w:rFonts w:hint="cs"/>
          <w:rtl/>
        </w:rPr>
        <w:t xml:space="preserve"> .  تترجم معظم الترجمات هذه العبارة إلى :"من هو خائف ومرتعد، فليرجع"، على الرغم من أن بولنغ يتعامل مع التعبير على أنه يعني "من هو</w:t>
      </w:r>
      <w:r>
        <w:rPr>
          <w:lang w:bidi="ar-SA"/>
        </w:rPr>
        <w:t xml:space="preserve"> </w:t>
      </w:r>
      <w:r>
        <w:rPr>
          <w:rFonts w:hint="cs"/>
          <w:rtl/>
        </w:rPr>
        <w:t xml:space="preserve"> خائف  بكل ما في الكلمة من معنى". </w:t>
      </w:r>
      <w:r>
        <w:t xml:space="preserve">(Robert G. Boling, Judges: </w:t>
      </w:r>
      <w:r>
        <w:rPr>
          <w:i/>
          <w:iCs/>
        </w:rPr>
        <w:t xml:space="preserve">Introduction, Translation, and Commentary, </w:t>
      </w:r>
      <w:r>
        <w:t>Anchor Bible [Garden City, N. Y: Doubleday, 1975, p. 144).</w:t>
      </w:r>
      <w:r>
        <w:rPr>
          <w:rFonts w:hint="cs"/>
          <w:rtl/>
        </w:rPr>
        <w:t xml:space="preserve"> وفي أي من الحالتين، فإنه لا يمكن إغفال الصلة باسم المكان </w:t>
      </w:r>
      <w:r w:rsidRPr="00D46115">
        <w:rPr>
          <w:rFonts w:ascii="Ezra SIL" w:hAnsi="Ezra SIL" w:cs="Ezra SIL" w:hint="cs"/>
          <w:szCs w:val="18"/>
          <w:rtl/>
          <w:lang w:bidi="he-IL"/>
        </w:rPr>
        <w:t>עֵין חֲרֹד</w:t>
      </w:r>
      <w:r>
        <w:rPr>
          <w:rFonts w:ascii="Hebrew" w:hAnsi="Hebrew"/>
        </w:rPr>
        <w:t xml:space="preserve"> @</w:t>
      </w:r>
      <w:r>
        <w:rPr>
          <w:rFonts w:hint="cs"/>
          <w:rtl/>
        </w:rPr>
        <w:t xml:space="preserve"> في 7: 1</w:t>
      </w:r>
      <w:r>
        <w:rPr>
          <w:rFonts w:hint="cs"/>
          <w:rtl/>
          <w:lang w:bidi="ar-SA"/>
        </w:rPr>
        <w:t xml:space="preserve">. كاسم علم يرد </w:t>
      </w:r>
      <w:r w:rsidRPr="00D46115">
        <w:rPr>
          <w:rFonts w:ascii="Ezra SIL" w:hAnsi="Ezra SIL" w:cs="Ezra SIL" w:hint="cs"/>
          <w:szCs w:val="18"/>
          <w:rtl/>
          <w:lang w:bidi="he-IL"/>
        </w:rPr>
        <w:t>חֲרֹד</w:t>
      </w:r>
      <w:r>
        <w:rPr>
          <w:rFonts w:ascii="Hebrew" w:hAnsi="Hebrew"/>
        </w:rPr>
        <w:t xml:space="preserve"> &amp;</w:t>
      </w:r>
      <w:r>
        <w:rPr>
          <w:rFonts w:hint="cs"/>
          <w:rtl/>
        </w:rPr>
        <w:t xml:space="preserve"> مرة واحدة فقط.  ومهما كانت الصلة المعجمية (المتعلقة بالمفردات) بالآية 3 (يترجم بولنغ </w:t>
      </w:r>
      <w:r w:rsidRPr="00D46115">
        <w:rPr>
          <w:rFonts w:ascii="Ezra SIL" w:hAnsi="Ezra SIL" w:cs="Ezra SIL" w:hint="cs"/>
          <w:szCs w:val="18"/>
          <w:rtl/>
          <w:lang w:bidi="he-IL"/>
        </w:rPr>
        <w:t>עֵין חֲרֹד</w:t>
      </w:r>
      <w:r>
        <w:rPr>
          <w:rFonts w:ascii="Hebrew" w:hAnsi="Hebrew"/>
          <w:lang w:bidi="ar-SA"/>
        </w:rPr>
        <w:t xml:space="preserve"> @</w:t>
      </w:r>
      <w:r>
        <w:rPr>
          <w:rFonts w:hint="cs"/>
          <w:rtl/>
        </w:rPr>
        <w:t xml:space="preserve"> إلى "عين حرود" [المرجع السابق، 142])، فإنه يبدو أن </w:t>
      </w:r>
      <w:r>
        <w:rPr>
          <w:rFonts w:hint="cs"/>
          <w:u w:val="single"/>
          <w:rtl/>
        </w:rPr>
        <w:t>الراوي</w:t>
      </w:r>
      <w:r>
        <w:rPr>
          <w:rFonts w:hint="cs"/>
          <w:rtl/>
        </w:rPr>
        <w:t xml:space="preserve"> يقصد التلاعب بالكلمات، أي أن نفس اسم المكان يذكّر القراء بـ "الارتعاد المخيف" الذي جعلهم يتراجعون عن المعركة.  يلاحظ جـ. ر. درايفر التلاعب بالاسم، لكن يرفض فكرة أن </w:t>
      </w:r>
      <w:r w:rsidRPr="00D46115">
        <w:rPr>
          <w:rFonts w:ascii="Ezra SIL" w:hAnsi="Ezra SIL" w:cs="Ezra SIL" w:hint="cs"/>
          <w:szCs w:val="18"/>
          <w:rtl/>
          <w:lang w:bidi="he-IL"/>
        </w:rPr>
        <w:t>עֵין חֲרֹד</w:t>
      </w:r>
      <w:r>
        <w:rPr>
          <w:rFonts w:ascii="Hebrew" w:hAnsi="Hebrew"/>
          <w:lang w:bidi="ar-SA"/>
        </w:rPr>
        <w:t xml:space="preserve"> @</w:t>
      </w:r>
      <w:r>
        <w:rPr>
          <w:rFonts w:hint="cs"/>
          <w:rtl/>
        </w:rPr>
        <w:t xml:space="preserve"> يسمّى بهذا الاسم بسبب إعلان جدعون أن على الخائفين أن يغادروا المكان  </w:t>
      </w:r>
      <w:r>
        <w:t>“</w:t>
      </w:r>
      <w:r>
        <w:rPr>
          <w:lang w:bidi="ar-SA"/>
        </w:rPr>
        <w:t xml:space="preserve">Hebrew Homonyms,” </w:t>
      </w:r>
      <w:r w:rsidRPr="00E0256D">
        <w:rPr>
          <w:i/>
          <w:iCs/>
          <w:lang w:bidi="ar-SA"/>
        </w:rPr>
        <w:t>Vetus</w:t>
      </w:r>
      <w:r>
        <w:rPr>
          <w:lang w:bidi="ar-SA"/>
        </w:rPr>
        <w:t xml:space="preserve"> </w:t>
      </w:r>
      <w:r w:rsidRPr="00E0256D">
        <w:rPr>
          <w:i/>
          <w:iCs/>
          <w:lang w:bidi="ar-SA"/>
        </w:rPr>
        <w:t>Testamentum Supplement</w:t>
      </w:r>
      <w:r>
        <w:rPr>
          <w:lang w:bidi="ar-SA"/>
        </w:rPr>
        <w:t xml:space="preserve"> 16 [1967]: 54-56).</w:t>
      </w:r>
      <w:r>
        <w:rPr>
          <w:rFonts w:hint="cs"/>
          <w:rtl/>
        </w:rPr>
        <w:t xml:space="preserve"> ويقول درايفر أن هنالك ثلاثة أو أربعة أصول مختلفة خلف الفعل العبري </w:t>
      </w:r>
      <w:r w:rsidRPr="00CC00CB">
        <w:rPr>
          <w:rFonts w:ascii="Ezra SIL" w:hAnsi="Ezra SIL" w:cs="Ezra SIL" w:hint="cs"/>
          <w:szCs w:val="18"/>
          <w:rtl/>
          <w:lang w:bidi="he-IL"/>
        </w:rPr>
        <w:t>חרד</w:t>
      </w:r>
      <w:r>
        <w:rPr>
          <w:rFonts w:hint="cs"/>
          <w:rtl/>
        </w:rPr>
        <w:t>.</w:t>
      </w:r>
      <w:r>
        <w:rPr>
          <w:lang w:bidi="ar-SA"/>
        </w:rPr>
        <w:t xml:space="preserve"> </w:t>
      </w:r>
    </w:p>
  </w:footnote>
  <w:footnote w:id="208">
    <w:p w14:paraId="2133CA63" w14:textId="77777777" w:rsidR="006A7C83" w:rsidRDefault="006A7C83" w:rsidP="006A7C83">
      <w:pPr>
        <w:pStyle w:val="FootnoteTxtNewParag"/>
        <w:rPr>
          <w:rtl/>
        </w:rPr>
      </w:pPr>
      <w:r>
        <w:rPr>
          <w:rStyle w:val="FootnoteReference"/>
          <w:rFonts w:hint="cs"/>
          <w:sz w:val="26"/>
          <w:szCs w:val="24"/>
          <w:rtl/>
        </w:rPr>
        <w:t>2</w:t>
      </w:r>
      <w:r>
        <w:rPr>
          <w:rFonts w:hint="cs"/>
          <w:sz w:val="26"/>
          <w:szCs w:val="24"/>
          <w:vertAlign w:val="superscript"/>
          <w:rtl/>
        </w:rPr>
        <w:t>8</w:t>
      </w:r>
      <w:r>
        <w:rPr>
          <w:rFonts w:hint="cs"/>
          <w:rtl/>
        </w:rPr>
        <w:t xml:space="preserve"> يحتوي عنصرا جـ و جـ َ من النمط الموحّد المراكز لـ (6: 33-7: 18) على تكرار لكلمة خوف </w:t>
      </w:r>
      <w:r w:rsidRPr="00D46115">
        <w:rPr>
          <w:rFonts w:ascii="Ezra SIL" w:hAnsi="Ezra SIL" w:cs="Ezra SIL" w:hint="cs"/>
          <w:szCs w:val="18"/>
          <w:rtl/>
          <w:lang w:bidi="he-IL"/>
        </w:rPr>
        <w:t>ירא</w:t>
      </w:r>
      <w:r>
        <w:rPr>
          <w:rFonts w:hint="cs"/>
          <w:rtl/>
        </w:rPr>
        <w:t xml:space="preserve"> من شأنه أن يكشف مشكلة جدعون الشخصية بشكل فنّي رائع.</w:t>
      </w:r>
    </w:p>
  </w:footnote>
  <w:footnote w:id="209">
    <w:p w14:paraId="18494E02" w14:textId="77777777" w:rsidR="006A7C83" w:rsidRDefault="006A7C83" w:rsidP="006A7C83">
      <w:pPr>
        <w:pStyle w:val="FootnoteTxtNewParag"/>
      </w:pPr>
      <w:r>
        <w:rPr>
          <w:rStyle w:val="FootnoteReference"/>
          <w:rFonts w:hint="cs"/>
          <w:sz w:val="26"/>
          <w:szCs w:val="24"/>
          <w:rtl/>
        </w:rPr>
        <w:t>1</w:t>
      </w:r>
      <w:r>
        <w:rPr>
          <w:rFonts w:hint="cs"/>
          <w:rtl/>
        </w:rPr>
        <w:t xml:space="preserve"> تقول </w:t>
      </w:r>
      <w:r>
        <w:rPr>
          <w:i/>
          <w:iCs/>
          <w:lang w:bidi="ar-SA"/>
        </w:rPr>
        <w:t>Baba Bathra</w:t>
      </w:r>
      <w:r>
        <w:rPr>
          <w:rFonts w:hint="cs"/>
          <w:rtl/>
          <w:lang w:bidi="ar-SA"/>
        </w:rPr>
        <w:t xml:space="preserve"> في 14 ب</w:t>
      </w:r>
      <w:r>
        <w:rPr>
          <w:rFonts w:hint="cs"/>
          <w:rtl/>
        </w:rPr>
        <w:t xml:space="preserve">، "كتب صموئيل السفر الذي يحمل اسمه وسفر [مفرد] القضاة وراعوث". </w:t>
      </w:r>
      <w:r>
        <w:t xml:space="preserve">(D. R. G. Beattie, </w:t>
      </w:r>
      <w:r>
        <w:rPr>
          <w:i/>
          <w:iCs/>
        </w:rPr>
        <w:t>Jewish Exegesis of the Book of Ruth</w:t>
      </w:r>
      <w:r>
        <w:t xml:space="preserve"> [Sheffield: Journal for the Study of the Old Testament, 1977], 5, n 3).</w:t>
      </w:r>
    </w:p>
  </w:footnote>
  <w:footnote w:id="210">
    <w:p w14:paraId="4F4257D0" w14:textId="77777777" w:rsidR="006A7C83" w:rsidRDefault="006A7C83" w:rsidP="006A7C83">
      <w:pPr>
        <w:pStyle w:val="FootnoteTxtNewParag"/>
        <w:bidi w:val="0"/>
        <w:rPr>
          <w:rtl/>
          <w:lang w:bidi="ar-SA"/>
        </w:rPr>
      </w:pPr>
      <w:r>
        <w:rPr>
          <w:rStyle w:val="FootnoteReference"/>
          <w:rFonts w:hint="cs"/>
          <w:sz w:val="26"/>
          <w:szCs w:val="24"/>
          <w:rtl/>
        </w:rPr>
        <w:t>2</w:t>
      </w:r>
      <w:r>
        <w:rPr>
          <w:rFonts w:hint="cs"/>
          <w:sz w:val="22"/>
          <w:rtl/>
        </w:rPr>
        <w:t xml:space="preserve"> </w:t>
      </w:r>
      <w:r>
        <w:t xml:space="preserve">Eugene H. Merrill, “The Book of Ruth: Narration and Shared Themes,” </w:t>
      </w:r>
      <w:r>
        <w:rPr>
          <w:i/>
          <w:iCs/>
        </w:rPr>
        <w:t xml:space="preserve">Bibliotheca Sacra </w:t>
      </w:r>
      <w:r>
        <w:t>142: 566 (Apr-Jun 1985), 133.</w:t>
      </w:r>
    </w:p>
  </w:footnote>
  <w:footnote w:id="211">
    <w:p w14:paraId="3F2FA7C8" w14:textId="77777777" w:rsidR="006A7C83" w:rsidRDefault="006A7C83" w:rsidP="006A7C83">
      <w:pPr>
        <w:pStyle w:val="FootnoteTxtNewParag"/>
        <w:rPr>
          <w:rtl/>
        </w:rPr>
      </w:pPr>
      <w:r>
        <w:rPr>
          <w:rStyle w:val="FootnoteReference"/>
          <w:rFonts w:hint="cs"/>
          <w:sz w:val="26"/>
          <w:szCs w:val="24"/>
          <w:rtl/>
        </w:rPr>
        <w:t>3</w:t>
      </w:r>
      <w:r>
        <w:rPr>
          <w:rFonts w:hint="cs"/>
          <w:rtl/>
        </w:rPr>
        <w:t xml:space="preserve"> لتحليل معمّق لحبكة القصّة، انظر </w:t>
      </w:r>
      <w:r>
        <w:t xml:space="preserve">Reg Grant, “Literary Structure in the Book of Ruth,” </w:t>
      </w:r>
      <w:r>
        <w:rPr>
          <w:i/>
          <w:iCs/>
        </w:rPr>
        <w:t>Bibliotheca Sacra</w:t>
      </w:r>
      <w:r>
        <w:t xml:space="preserve"> 148: 592 (Oct-Dec 1991): 424-41.   </w:t>
      </w:r>
    </w:p>
  </w:footnote>
  <w:footnote w:id="212">
    <w:p w14:paraId="22448451" w14:textId="77777777" w:rsidR="006A7C83" w:rsidRDefault="006A7C83" w:rsidP="006A7C83">
      <w:pPr>
        <w:pStyle w:val="FootnoteTxtNewParag"/>
        <w:bidi w:val="0"/>
      </w:pPr>
      <w:r>
        <w:rPr>
          <w:rStyle w:val="FootnoteReference"/>
          <w:rFonts w:hint="cs"/>
          <w:sz w:val="26"/>
          <w:szCs w:val="24"/>
          <w:rtl/>
        </w:rPr>
        <w:t>4</w:t>
      </w:r>
      <w:r>
        <w:rPr>
          <w:rFonts w:hint="cs"/>
          <w:sz w:val="22"/>
          <w:rtl/>
        </w:rPr>
        <w:t xml:space="preserve"> </w:t>
      </w:r>
      <w:r>
        <w:t xml:space="preserve">Grant, 438; cf Merrill, 133-35. </w:t>
      </w:r>
    </w:p>
  </w:footnote>
  <w:footnote w:id="213">
    <w:p w14:paraId="01971C96" w14:textId="77777777" w:rsidR="000C14E0" w:rsidRDefault="000C14E0" w:rsidP="000C14E0">
      <w:pPr>
        <w:pStyle w:val="Footnote"/>
      </w:pPr>
      <w:r w:rsidRPr="007109B2">
        <w:rPr>
          <w:rStyle w:val="FootnoteReference"/>
          <w:color w:val="C00000"/>
        </w:rPr>
        <w:footnoteRef/>
      </w:r>
      <w:r w:rsidRPr="007109B2">
        <w:rPr>
          <w:color w:val="C00000"/>
        </w:rPr>
        <w:t xml:space="preserve"> Randall Price, “The Messianic Interpretation of Genesis 3:15.” Paper delivered at the Pre-Trib Research Center Annual Conference, Irving, Texas, December 11, 2019.</w:t>
      </w:r>
    </w:p>
  </w:footnote>
  <w:footnote w:id="214">
    <w:p w14:paraId="62AD44F9" w14:textId="179043A7" w:rsidR="000C14E0" w:rsidRPr="000943D8" w:rsidRDefault="000C14E0" w:rsidP="000C14E0">
      <w:pPr>
        <w:pStyle w:val="FootnoteText"/>
        <w:rPr>
          <w:rFonts w:ascii="Simplified Arabic" w:hAnsi="Simplified Arabic" w:cs="Simplified Arabic"/>
          <w:rtl/>
          <w:lang w:bidi="ar-JO"/>
        </w:rPr>
      </w:pPr>
      <w:r>
        <w:rPr>
          <w:rStyle w:val="FootnoteReference"/>
        </w:rPr>
        <w:footnoteRef/>
      </w:r>
      <w:r>
        <w:t xml:space="preserve"> </w:t>
      </w:r>
      <w:r w:rsidRPr="000943D8">
        <w:rPr>
          <w:rFonts w:ascii="Simplified Arabic" w:hAnsi="Simplified Arabic" w:cs="Simplified Arabic"/>
          <w:rtl/>
          <w:lang w:bidi="ar-JO"/>
        </w:rPr>
        <w:t xml:space="preserve">الفعل العبري المُترجَم إلى "سحق" تعبير نادر غير كثير الورود (في العبريّة </w:t>
      </w:r>
      <w:r w:rsidRPr="000943D8">
        <w:rPr>
          <w:rFonts w:cs="Times New Roman" w:hint="cs"/>
          <w:rtl/>
          <w:lang w:bidi="he-IL"/>
        </w:rPr>
        <w:t>שׁוּף</w:t>
      </w:r>
      <w:r w:rsidRPr="000943D8">
        <w:rPr>
          <w:rFonts w:ascii="Simplified Arabic" w:hAnsi="Simplified Arabic" w:cs="Simplified Arabic"/>
          <w:rtl/>
          <w:lang w:bidi="ar-JO"/>
        </w:rPr>
        <w:t xml:space="preserve">؛ "شوف")، يجاهد العلماء في سعيهم لتحديدهم المعنى الدقيق لهذا الفعل. </w:t>
      </w:r>
      <w:r w:rsidR="000943D8" w:rsidRPr="000943D8">
        <w:rPr>
          <w:rFonts w:ascii="Simplified Arabic" w:hAnsi="Simplified Arabic" w:cs="Simplified Arabic"/>
          <w:rtl/>
          <w:lang w:bidi="ar-JO"/>
        </w:rPr>
        <w:t xml:space="preserve">تنقل ترجمة </w:t>
      </w:r>
      <w:r w:rsidR="000943D8" w:rsidRPr="000943D8">
        <w:rPr>
          <w:rFonts w:ascii="Simplified Arabic" w:hAnsi="Simplified Arabic" w:cs="Simplified Arabic"/>
          <w:lang w:bidi="ar-JO"/>
        </w:rPr>
        <w:t>NET2 Bible</w:t>
      </w:r>
      <w:r w:rsidR="000943D8" w:rsidRPr="000943D8">
        <w:rPr>
          <w:rFonts w:ascii="Simplified Arabic" w:hAnsi="Simplified Arabic" w:cs="Simplified Arabic"/>
          <w:rtl/>
          <w:lang w:bidi="ar-JO"/>
        </w:rPr>
        <w:t xml:space="preserve"> هذا الفعل بمعنى "ضرب" (سيضرب رأسك).</w:t>
      </w:r>
    </w:p>
  </w:footnote>
  <w:footnote w:id="215">
    <w:p w14:paraId="403BA765" w14:textId="243A9DB0" w:rsidR="000608C5" w:rsidRPr="000608C5" w:rsidRDefault="000608C5" w:rsidP="000608C5">
      <w:pPr>
        <w:pStyle w:val="FootnoteText"/>
        <w:rPr>
          <w:rtl/>
          <w:lang w:bidi="ar-JO"/>
        </w:rPr>
      </w:pPr>
      <w:r>
        <w:rPr>
          <w:rStyle w:val="FootnoteReference"/>
        </w:rPr>
        <w:footnoteRef/>
      </w:r>
      <w:r>
        <w:t xml:space="preserve"> </w:t>
      </w:r>
      <w:r>
        <w:rPr>
          <w:rFonts w:hint="cs"/>
          <w:rtl/>
          <w:lang w:bidi="ar-JO"/>
        </w:rPr>
        <w:t xml:space="preserve">ثمّة مزيدٌ من الدعم </w:t>
      </w:r>
      <w:r w:rsidR="003C6B11">
        <w:rPr>
          <w:rFonts w:hint="cs"/>
          <w:rtl/>
          <w:lang w:bidi="ar-JO"/>
        </w:rPr>
        <w:t xml:space="preserve">لفكرة أنّ </w:t>
      </w:r>
      <w:r>
        <w:rPr>
          <w:rFonts w:hint="cs"/>
          <w:rtl/>
          <w:lang w:bidi="ar-JO"/>
        </w:rPr>
        <w:t>"الم</w:t>
      </w:r>
      <w:r w:rsidR="003C6B11">
        <w:rPr>
          <w:rFonts w:hint="cs"/>
          <w:rtl/>
          <w:lang w:bidi="ar-JO"/>
        </w:rPr>
        <w:t>ر</w:t>
      </w:r>
      <w:r>
        <w:rPr>
          <w:rFonts w:hint="cs"/>
          <w:rtl/>
          <w:lang w:bidi="ar-JO"/>
        </w:rPr>
        <w:t>ي</w:t>
      </w:r>
      <w:r w:rsidR="003C6B11">
        <w:rPr>
          <w:rFonts w:hint="cs"/>
          <w:rtl/>
          <w:lang w:bidi="ar-JO"/>
        </w:rPr>
        <w:t>ّ</w:t>
      </w:r>
      <w:r>
        <w:rPr>
          <w:rFonts w:hint="cs"/>
          <w:rtl/>
          <w:lang w:bidi="ar-JO"/>
        </w:rPr>
        <w:t xml:space="preserve">ا" هو الجبل الذي بُني عليه لاحقًا هيكل أورشليم في 2أخبار 3: 1 وكتاب اليوبيلات" 18: 13 من الأسفار اليهوديّة المنحولة.  </w:t>
      </w:r>
    </w:p>
  </w:footnote>
  <w:footnote w:id="216">
    <w:p w14:paraId="08139ACB" w14:textId="58E2542F" w:rsidR="00471074" w:rsidRPr="00471074" w:rsidRDefault="00471074" w:rsidP="00471074">
      <w:pPr>
        <w:pStyle w:val="FootnoteText"/>
        <w:rPr>
          <w:rtl/>
          <w:lang w:bidi="ar-JO"/>
        </w:rPr>
      </w:pPr>
      <w:r>
        <w:rPr>
          <w:rStyle w:val="FootnoteReference"/>
        </w:rPr>
        <w:footnoteRef/>
      </w:r>
      <w:r>
        <w:t xml:space="preserve"> </w:t>
      </w:r>
      <w:r>
        <w:rPr>
          <w:rFonts w:hint="cs"/>
          <w:rtl/>
          <w:lang w:bidi="ar-JO"/>
        </w:rPr>
        <w:t xml:space="preserve">تحديد أفضل طريقة لترجمة الكلمة </w:t>
      </w:r>
      <w:r w:rsidRPr="00FE5AF2">
        <w:rPr>
          <w:rFonts w:ascii="Ezra SIL" w:hAnsi="Ezra SIL" w:cs="Ezra SIL"/>
          <w:rtl/>
          <w:lang w:bidi="he-IL"/>
        </w:rPr>
        <w:t>שִׁילֹה</w:t>
      </w:r>
      <w:r>
        <w:rPr>
          <w:rFonts w:ascii="Ezra SIL" w:hAnsi="Ezra SIL" w:hint="cs"/>
          <w:rtl/>
          <w:lang w:bidi="ar-JO"/>
        </w:rPr>
        <w:t xml:space="preserve"> (شيلوه) يتضمّن نقاشًا تقنيًا، ولكن</w:t>
      </w:r>
      <w:r w:rsidR="003D0DFE">
        <w:rPr>
          <w:rFonts w:ascii="Ezra SIL" w:hAnsi="Ezra SIL" w:hint="cs"/>
          <w:rtl/>
          <w:lang w:bidi="ar-JO"/>
        </w:rPr>
        <w:t xml:space="preserve">ْ نقول هنا إنّه </w:t>
      </w:r>
      <w:r>
        <w:rPr>
          <w:rFonts w:ascii="Ezra SIL" w:hAnsi="Ezra SIL" w:hint="cs"/>
          <w:rtl/>
          <w:lang w:bidi="ar-JO"/>
        </w:rPr>
        <w:t>قد يكون الحرف الأول (</w:t>
      </w:r>
      <w:r w:rsidRPr="00C92F19">
        <w:rPr>
          <w:rFonts w:ascii="Ezra SIL" w:hAnsi="Ezra SIL" w:cs="Ezra SIL"/>
          <w:rtl/>
          <w:lang w:bidi="he-IL"/>
        </w:rPr>
        <w:t>שׁ</w:t>
      </w:r>
      <w:r>
        <w:rPr>
          <w:rFonts w:ascii="Ezra SIL" w:hAnsi="Ezra SIL" w:hint="cs"/>
          <w:rtl/>
          <w:lang w:bidi="ar-JO"/>
        </w:rPr>
        <w:t xml:space="preserve">) اسم موصول، وهو الشكل القصير للاسم الموصول </w:t>
      </w:r>
      <w:r w:rsidRPr="00C92F19">
        <w:rPr>
          <w:rFonts w:cs="Ezra SIL"/>
          <w:rtl/>
          <w:lang w:bidi="he-IL"/>
        </w:rPr>
        <w:t>אֲשֶׁר</w:t>
      </w:r>
      <w:r>
        <w:rPr>
          <w:rFonts w:hint="cs"/>
          <w:rtl/>
          <w:lang w:bidi="ar-JO"/>
        </w:rPr>
        <w:t xml:space="preserve">. انظر قاموس </w:t>
      </w:r>
      <w:r>
        <w:rPr>
          <w:lang w:bidi="ar-JO"/>
        </w:rPr>
        <w:t>BDB, 979</w:t>
      </w:r>
      <w:r>
        <w:rPr>
          <w:rFonts w:hint="cs"/>
          <w:rtl/>
          <w:lang w:bidi="ar-JO"/>
        </w:rPr>
        <w:t xml:space="preserve"> للاطّلاع على نقاشٍ بشأن هذه المسألة. </w:t>
      </w:r>
    </w:p>
  </w:footnote>
  <w:footnote w:id="217">
    <w:p w14:paraId="10A9C6E8" w14:textId="1ADBCAD8" w:rsidR="00536BAB" w:rsidRDefault="00536BAB" w:rsidP="00536BAB">
      <w:pPr>
        <w:pStyle w:val="FootnoteText"/>
        <w:rPr>
          <w:rtl/>
          <w:lang w:bidi="ar-JO"/>
        </w:rPr>
      </w:pPr>
      <w:r>
        <w:rPr>
          <w:rStyle w:val="FootnoteReference"/>
        </w:rPr>
        <w:footnoteRef/>
      </w:r>
      <w:r>
        <w:t xml:space="preserve"> </w:t>
      </w:r>
      <w:r>
        <w:rPr>
          <w:rFonts w:hint="cs"/>
          <w:rtl/>
          <w:lang w:bidi="ar-JO"/>
        </w:rPr>
        <w:t xml:space="preserve">قارن مع مزمور 72 ومزمور 110: 2. </w:t>
      </w:r>
    </w:p>
  </w:footnote>
  <w:footnote w:id="218">
    <w:p w14:paraId="3AED5D4B" w14:textId="77777777" w:rsidR="00263246" w:rsidRPr="00CD63FA" w:rsidRDefault="00263246" w:rsidP="00263246">
      <w:pPr>
        <w:pStyle w:val="FootnoteText"/>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rPr>
        <w:t xml:space="preserve"> ج. بول تانر، "التسلسل الزمني للعهد القديم وآثاره على حسابات الخلق والطوفان، </w:t>
      </w:r>
      <w:r w:rsidRPr="00CD63FA">
        <w:rPr>
          <w:rFonts w:cs="Times New Roman"/>
          <w:i/>
          <w:iCs/>
          <w:color w:val="000000" w:themeColor="text1"/>
        </w:rPr>
        <w:t>BibSac</w:t>
      </w:r>
      <w:r w:rsidRPr="00CD63FA">
        <w:rPr>
          <w:rFonts w:cs="Times New Roman"/>
          <w:color w:val="000000" w:themeColor="text1"/>
        </w:rPr>
        <w:t xml:space="preserve"> 172</w:t>
      </w:r>
      <w:r w:rsidRPr="00CD63FA">
        <w:rPr>
          <w:rFonts w:cs="Times New Roman"/>
          <w:color w:val="000000" w:themeColor="text1"/>
          <w:rtl/>
        </w:rPr>
        <w:t xml:space="preserve"> (يناير-مارس 2015)، 38-39</w:t>
      </w:r>
      <w:r w:rsidRPr="00CD63FA">
        <w:rPr>
          <w:rFonts w:cs="Times New Roman" w:hint="cs"/>
          <w:color w:val="000000" w:themeColor="text1"/>
          <w:rtl/>
        </w:rPr>
        <w:t xml:space="preserve">. </w:t>
      </w:r>
      <w:r w:rsidRPr="00CD63FA">
        <w:rPr>
          <w:rFonts w:cs="Times New Roman"/>
          <w:color w:val="000000" w:themeColor="text1"/>
          <w:rtl/>
        </w:rPr>
        <w:t xml:space="preserve">معظم التواريخ المذكورة هنا مبينة حيثما أمكن على  </w:t>
      </w:r>
      <w:r w:rsidRPr="00CD63FA">
        <w:rPr>
          <w:rFonts w:cs="Times New Roman"/>
          <w:i/>
          <w:iCs/>
          <w:color w:val="000000" w:themeColor="text1"/>
        </w:rPr>
        <w:t xml:space="preserve">The Cambridge Ancient History </w:t>
      </w:r>
      <w:r w:rsidRPr="00CD63FA">
        <w:rPr>
          <w:rFonts w:cs="Times New Roman"/>
          <w:i/>
          <w:iCs/>
          <w:color w:val="000000" w:themeColor="text1"/>
          <w:rtl/>
          <w:lang w:bidi="ar-KW"/>
        </w:rPr>
        <w:t xml:space="preserve">. </w:t>
      </w:r>
    </w:p>
  </w:footnote>
  <w:footnote w:id="219">
    <w:p w14:paraId="3F20E089" w14:textId="77777777" w:rsidR="00263246" w:rsidRPr="00CD63FA" w:rsidRDefault="00263246" w:rsidP="00263246">
      <w:pPr>
        <w:pStyle w:val="FootnoteText"/>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Merrill, </w:t>
      </w:r>
      <w:r w:rsidRPr="00CD63FA">
        <w:rPr>
          <w:rFonts w:cs="Times New Roman"/>
          <w:i/>
          <w:iCs/>
          <w:color w:val="000000" w:themeColor="text1"/>
        </w:rPr>
        <w:t>The World of the Word</w:t>
      </w:r>
      <w:r w:rsidRPr="00CD63FA">
        <w:rPr>
          <w:rFonts w:cs="Times New Roman"/>
          <w:color w:val="000000" w:themeColor="text1"/>
        </w:rPr>
        <w:t>, 21.</w:t>
      </w:r>
    </w:p>
  </w:footnote>
  <w:footnote w:id="220">
    <w:p w14:paraId="6B52BCE3" w14:textId="77777777" w:rsidR="00263246" w:rsidRPr="00CD63FA" w:rsidRDefault="00263246" w:rsidP="00263246">
      <w:pPr>
        <w:pStyle w:val="FootnoteText"/>
        <w:rPr>
          <w:rFonts w:cs="Times New Roman"/>
          <w:color w:val="000000" w:themeColor="text1"/>
          <w:lang w:bidi="ar-JO"/>
        </w:rPr>
      </w:pPr>
      <w:r w:rsidRPr="00CD63FA">
        <w:rPr>
          <w:rStyle w:val="FootnoteReference"/>
          <w:rFonts w:cs="Times New Roman"/>
          <w:color w:val="000000" w:themeColor="text1"/>
        </w:rPr>
        <w:footnoteRef/>
      </w:r>
      <w:r w:rsidRPr="00CD63FA">
        <w:rPr>
          <w:rFonts w:cs="Times New Roman"/>
          <w:color w:val="000000" w:themeColor="text1"/>
        </w:rPr>
        <w:t xml:space="preserve"> Siegfried J. Schwantes, </w:t>
      </w:r>
      <w:r w:rsidRPr="00CD63FA">
        <w:rPr>
          <w:rFonts w:cs="Times New Roman"/>
          <w:i/>
          <w:iCs/>
          <w:color w:val="000000" w:themeColor="text1"/>
        </w:rPr>
        <w:t>A History of The Ancient Near East</w:t>
      </w:r>
      <w:r w:rsidRPr="00CD63FA">
        <w:rPr>
          <w:rFonts w:cs="Times New Roman"/>
          <w:color w:val="000000" w:themeColor="text1"/>
        </w:rPr>
        <w:t xml:space="preserve"> (Grand Rapids, MI: Baker House, 1965), 22. </w:t>
      </w:r>
    </w:p>
  </w:footnote>
  <w:footnote w:id="221">
    <w:p w14:paraId="6025377D" w14:textId="77777777" w:rsidR="00263246" w:rsidRPr="00CD63FA" w:rsidRDefault="00263246" w:rsidP="00263246">
      <w:pPr>
        <w:pStyle w:val="FootnoteText"/>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rPr>
        <w:t xml:space="preserve"> </w:t>
      </w:r>
      <w:r w:rsidRPr="00CD63FA">
        <w:rPr>
          <w:rFonts w:cs="Times New Roman"/>
          <w:color w:val="000000" w:themeColor="text1"/>
          <w:rtl/>
          <w:lang w:bidi="ar-JO"/>
        </w:rPr>
        <w:t xml:space="preserve">الكتاب الذي يُعتبَر المصدر الرئيسي والأشهر بشأن حضارة سومر هو </w:t>
      </w:r>
      <w:r w:rsidRPr="00CD63FA">
        <w:rPr>
          <w:rFonts w:cs="Times New Roman"/>
          <w:color w:val="000000" w:themeColor="text1"/>
          <w:lang w:bidi="ar-JO"/>
        </w:rPr>
        <w:t xml:space="preserve">Samuel N. Kramer, </w:t>
      </w:r>
      <w:r w:rsidRPr="00CD63FA">
        <w:rPr>
          <w:rFonts w:cs="Times New Roman"/>
          <w:i/>
          <w:iCs/>
          <w:color w:val="000000" w:themeColor="text1"/>
          <w:lang w:bidi="ar-JO"/>
        </w:rPr>
        <w:t>The Sumerians: Their History, Culture, and Character</w:t>
      </w:r>
      <w:r w:rsidRPr="00CD63FA">
        <w:rPr>
          <w:rFonts w:cs="Times New Roman"/>
          <w:color w:val="000000" w:themeColor="text1"/>
          <w:lang w:bidi="ar-JO"/>
        </w:rPr>
        <w:t xml:space="preserve"> (Chicago: University of Chicago Press, 1963)</w:t>
      </w:r>
      <w:r w:rsidRPr="00CD63FA">
        <w:rPr>
          <w:rFonts w:cs="Times New Roman"/>
          <w:color w:val="000000" w:themeColor="text1"/>
          <w:rtl/>
          <w:lang w:bidi="ar-JO"/>
        </w:rPr>
        <w:t xml:space="preserve">. انظر أيضاً </w:t>
      </w:r>
      <w:r w:rsidRPr="00CD63FA">
        <w:rPr>
          <w:rFonts w:cs="Times New Roman"/>
          <w:color w:val="000000" w:themeColor="text1"/>
          <w:lang w:bidi="ar-JO"/>
        </w:rPr>
        <w:t xml:space="preserve">D. Schmandt-Bessarat and S. M. Alexander, </w:t>
      </w:r>
      <w:r w:rsidRPr="00CD63FA">
        <w:rPr>
          <w:rFonts w:cs="Times New Roman"/>
          <w:i/>
          <w:iCs/>
          <w:color w:val="000000" w:themeColor="text1"/>
          <w:lang w:bidi="ar-JO"/>
        </w:rPr>
        <w:t>The First Civilization: The Legacy of Sumer</w:t>
      </w:r>
      <w:r w:rsidRPr="00CD63FA">
        <w:rPr>
          <w:rFonts w:cs="Times New Roman"/>
          <w:color w:val="000000" w:themeColor="text1"/>
          <w:lang w:bidi="ar-JO"/>
        </w:rPr>
        <w:t xml:space="preserve"> (Austin, TX: University of Texas Press, 1975)</w:t>
      </w:r>
      <w:r w:rsidRPr="00CD63FA">
        <w:rPr>
          <w:rFonts w:cs="Times New Roman"/>
          <w:color w:val="000000" w:themeColor="text1"/>
          <w:rtl/>
          <w:lang w:bidi="ar-JO"/>
        </w:rPr>
        <w:t xml:space="preserve">. </w:t>
      </w:r>
    </w:p>
  </w:footnote>
  <w:footnote w:id="222">
    <w:p w14:paraId="0ECEAD53" w14:textId="77777777" w:rsidR="00263246" w:rsidRPr="00CA1692" w:rsidRDefault="00263246" w:rsidP="00263246">
      <w:pPr>
        <w:pStyle w:val="FootnoteText"/>
        <w:rPr>
          <w:rFonts w:cs="Times New Roman"/>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وفضلاً عن ذلك كانت القواعد اللغوية للغات الساميّة تختلف.  يقول و. فون سودن، "اللغات السامية لغات متغيرة التصريف، أي أنها تغير جذور كلماتها.  ولا تشترك اللغات السامية في هذه السّمة إلاّ مع اللغات الحامية في إفريقيا والإندو – جرمانية أو اللغات الإندو -  أوروبية في وأوروبا وآسيا" </w:t>
      </w:r>
      <w:r w:rsidRPr="00CD63FA">
        <w:rPr>
          <w:rFonts w:cs="Times New Roman"/>
          <w:color w:val="000000" w:themeColor="text1"/>
        </w:rPr>
        <w:t>(</w:t>
      </w:r>
      <w:r w:rsidRPr="00CD63FA">
        <w:rPr>
          <w:rFonts w:cs="Times New Roman"/>
          <w:i/>
          <w:iCs/>
          <w:color w:val="000000" w:themeColor="text1"/>
        </w:rPr>
        <w:t>The Ancient Orient, 18</w:t>
      </w:r>
      <w:r w:rsidRPr="00CD63FA">
        <w:rPr>
          <w:rFonts w:cs="Times New Roman"/>
          <w:color w:val="000000" w:themeColor="text1"/>
        </w:rPr>
        <w:t xml:space="preserve">) </w:t>
      </w:r>
      <w:r w:rsidRPr="00CD63FA">
        <w:rPr>
          <w:rFonts w:cs="Times New Roman"/>
          <w:color w:val="000000" w:themeColor="text1"/>
          <w:rtl/>
        </w:rPr>
        <w:t xml:space="preserve"> وبالمقابلة فإن اللغة السومرية غير متغيرة التصريف، أي أنها لا تغيّر جذور كلماتها). </w:t>
      </w:r>
    </w:p>
  </w:footnote>
  <w:footnote w:id="223">
    <w:p w14:paraId="29DC06BF" w14:textId="77777777" w:rsidR="00263246" w:rsidRPr="00CD63FA" w:rsidRDefault="00263246" w:rsidP="00263246">
      <w:pPr>
        <w:pStyle w:val="FootnoteText"/>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أصبحت الكتابة المسمارية اعتباراً من حوالي 2500ق م (التي تمتاز بالأشكال الوتدية المحفورة على ألواح طينية بواسطة المرقم (أو قلم السِّمَة) الواسطة القياسية للكتابة في العالم البابلي-الأشوري (الذي يشار إليه عادة على أنه أكّادي).  ولأن هذا النظام استخدم عدة "إشارات"، أو "علامات"، فإنه كان يُستخدم بشكل رئيسي من قبل مجموعة خاصة من الكتبة أو الأشخاص المدربين تدريباً عالياً.  ولم تظهر الكتابة بالحروف الأبجدية الفينيقية في سورية – فلسطين إلاّ في حوالي 1200ق م.  وقد أدّى هذا النظام المقتصد في استخدام الرموز (حيث استخدم 22 حرفاً فقط) إلى تعزيز الكتابة والقراءة إلى حد كبير.  وقد جاء نظام الحروف الأبجدية العبرية من الكتابة الفينيقية. </w:t>
      </w:r>
      <w:r w:rsidRPr="00CD63FA">
        <w:rPr>
          <w:rFonts w:cs="Times New Roman"/>
          <w:color w:val="000000" w:themeColor="text1"/>
        </w:rPr>
        <w:t xml:space="preserve">Cf. Joseph Naveh, </w:t>
      </w:r>
      <w:r w:rsidRPr="00CD63FA">
        <w:rPr>
          <w:rFonts w:cs="Times New Roman"/>
          <w:i/>
          <w:iCs/>
          <w:color w:val="000000" w:themeColor="text1"/>
        </w:rPr>
        <w:t>Origins of the Alphabets; Introduction to Archaeology</w:t>
      </w:r>
      <w:r w:rsidRPr="00CD63FA">
        <w:rPr>
          <w:rFonts w:cs="Times New Roman"/>
          <w:color w:val="000000" w:themeColor="text1"/>
        </w:rPr>
        <w:t xml:space="preserve"> (Jerusalem, Israel: The Jerusalem Publishing House, Ltd., n. d.)</w:t>
      </w:r>
      <w:r w:rsidRPr="00CD63FA">
        <w:rPr>
          <w:rFonts w:cs="Times New Roman"/>
          <w:color w:val="000000" w:themeColor="text1"/>
          <w:rtl/>
        </w:rPr>
        <w:t>.</w:t>
      </w:r>
    </w:p>
  </w:footnote>
  <w:footnote w:id="224">
    <w:p w14:paraId="78FB8CB3" w14:textId="77777777" w:rsidR="00263246" w:rsidRPr="00CD63FA" w:rsidRDefault="00263246" w:rsidP="00263246">
      <w:pPr>
        <w:pStyle w:val="FootnoteText"/>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الكلمة الإنجليزية "ميسوبوتيميا" (</w:t>
      </w:r>
      <w:r w:rsidRPr="00CD63FA">
        <w:rPr>
          <w:rFonts w:cs="Times New Roman"/>
          <w:color w:val="000000" w:themeColor="text1"/>
          <w:lang w:bidi="ar-JO"/>
        </w:rPr>
        <w:t>Mesopotamia</w:t>
      </w:r>
      <w:r w:rsidRPr="00CD63FA">
        <w:rPr>
          <w:rFonts w:cs="Times New Roman"/>
          <w:color w:val="000000" w:themeColor="text1"/>
          <w:rtl/>
          <w:lang w:bidi="ar-JO"/>
        </w:rPr>
        <w:t>) تعني "بين النهرين".</w:t>
      </w:r>
    </w:p>
  </w:footnote>
  <w:footnote w:id="225">
    <w:p w14:paraId="65519B86" w14:textId="77777777" w:rsidR="00263246" w:rsidRPr="00CD63FA" w:rsidRDefault="00263246" w:rsidP="00263246">
      <w:pPr>
        <w:pStyle w:val="FootnoteText"/>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يحدد بي. فان دير مير التاريخين على أنهما 2342-2186 </w:t>
      </w:r>
      <w:r w:rsidRPr="00CD63FA">
        <w:rPr>
          <w:rFonts w:cs="Times New Roman"/>
          <w:color w:val="000000" w:themeColor="text1"/>
        </w:rPr>
        <w:t>(</w:t>
      </w:r>
      <w:r w:rsidRPr="00CD63FA">
        <w:rPr>
          <w:rFonts w:cs="Times New Roman"/>
          <w:i/>
          <w:iCs/>
          <w:color w:val="000000" w:themeColor="text1"/>
        </w:rPr>
        <w:t>Chronology of Western Asia and Egypt; 1955</w:t>
      </w:r>
      <w:r w:rsidRPr="00CD63FA">
        <w:rPr>
          <w:rFonts w:cs="Times New Roman"/>
          <w:color w:val="000000" w:themeColor="text1"/>
        </w:rPr>
        <w:t xml:space="preserve">). </w:t>
      </w:r>
      <w:r w:rsidRPr="00CD63FA">
        <w:rPr>
          <w:rFonts w:cs="Times New Roman"/>
          <w:color w:val="000000" w:themeColor="text1"/>
          <w:rtl/>
        </w:rPr>
        <w:t xml:space="preserve"> غير أن و. فون سودن يحدد تاريخي سارجون على أنهما 2330-2274 (</w:t>
      </w:r>
      <w:r w:rsidRPr="00CD63FA">
        <w:rPr>
          <w:rFonts w:cs="Times New Roman"/>
          <w:i/>
          <w:iCs/>
          <w:color w:val="000000" w:themeColor="text1"/>
        </w:rPr>
        <w:t>The Ancient Orient</w:t>
      </w:r>
      <w:r w:rsidRPr="00CD63FA">
        <w:rPr>
          <w:rFonts w:cs="Times New Roman"/>
          <w:color w:val="000000" w:themeColor="text1"/>
        </w:rPr>
        <w:t>, 48</w:t>
      </w:r>
      <w:r w:rsidRPr="00CD63FA">
        <w:rPr>
          <w:rFonts w:cs="Times New Roman"/>
          <w:color w:val="000000" w:themeColor="text1"/>
          <w:rtl/>
        </w:rPr>
        <w:t>).</w:t>
      </w:r>
      <w:r w:rsidRPr="00CD63FA">
        <w:rPr>
          <w:rFonts w:cs="Times New Roman"/>
          <w:color w:val="000000" w:themeColor="text1"/>
        </w:rPr>
        <w:t xml:space="preserve"> </w:t>
      </w:r>
      <w:r w:rsidRPr="00CD63FA">
        <w:rPr>
          <w:rFonts w:cs="Times New Roman"/>
          <w:color w:val="000000" w:themeColor="text1"/>
          <w:rtl/>
        </w:rPr>
        <w:t>يقترح بتروفيتش حوالي 2320-2265 ("تحديد النمرود،" 282).</w:t>
      </w:r>
    </w:p>
  </w:footnote>
  <w:footnote w:id="226">
    <w:p w14:paraId="06C83E1F" w14:textId="77777777" w:rsidR="00263246" w:rsidRPr="00CD63FA" w:rsidRDefault="00263246" w:rsidP="00263246">
      <w:pPr>
        <w:pStyle w:val="FootnoteText"/>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حسب </w:t>
      </w:r>
      <w:r w:rsidRPr="00CD63FA">
        <w:rPr>
          <w:rFonts w:cs="Times New Roman"/>
          <w:color w:val="000000" w:themeColor="text1"/>
        </w:rPr>
        <w:t xml:space="preserve">Waltke, </w:t>
      </w:r>
      <w:r w:rsidRPr="00CD63FA">
        <w:rPr>
          <w:rFonts w:cs="Times New Roman"/>
          <w:i/>
          <w:iCs/>
          <w:color w:val="000000" w:themeColor="text1"/>
        </w:rPr>
        <w:t>Genesis</w:t>
      </w:r>
      <w:r w:rsidRPr="00CD63FA">
        <w:rPr>
          <w:rFonts w:cs="Times New Roman"/>
          <w:color w:val="000000" w:themeColor="text1"/>
        </w:rPr>
        <w:t>, 169</w:t>
      </w:r>
      <w:r w:rsidRPr="00CD63FA">
        <w:rPr>
          <w:rFonts w:cs="Times New Roman"/>
          <w:color w:val="000000" w:themeColor="text1"/>
          <w:rtl/>
          <w:lang w:bidi="ar-JO"/>
        </w:rPr>
        <w:t xml:space="preserve">، و </w:t>
      </w:r>
      <w:r w:rsidRPr="00CD63FA">
        <w:rPr>
          <w:rFonts w:cs="Times New Roman"/>
          <w:color w:val="000000" w:themeColor="text1"/>
          <w:lang w:bidi="ar-JO"/>
        </w:rPr>
        <w:t xml:space="preserve">D. J. Wiseman, </w:t>
      </w:r>
      <w:r w:rsidRPr="00CD63FA">
        <w:rPr>
          <w:rFonts w:cs="Times New Roman"/>
          <w:i/>
          <w:iCs/>
          <w:color w:val="000000" w:themeColor="text1"/>
          <w:lang w:bidi="ar-JO"/>
        </w:rPr>
        <w:t>NBD</w:t>
      </w:r>
      <w:r w:rsidRPr="00CD63FA">
        <w:rPr>
          <w:rFonts w:cs="Times New Roman"/>
          <w:color w:val="000000" w:themeColor="text1"/>
          <w:lang w:bidi="ar-JO"/>
        </w:rPr>
        <w:t xml:space="preserve"> 888</w:t>
      </w:r>
      <w:r w:rsidRPr="00CD63FA">
        <w:rPr>
          <w:rFonts w:cs="Times New Roman"/>
          <w:color w:val="000000" w:themeColor="text1"/>
          <w:rtl/>
          <w:lang w:bidi="ar-JO"/>
        </w:rPr>
        <w:t xml:space="preserve">.  وحديثاً، قدّم دوغلاس بيتروفيتش أدلةً تظهِر أن نمرود هو سرجون الكبير. انظر </w:t>
      </w:r>
      <w:r w:rsidRPr="00CD63FA">
        <w:rPr>
          <w:rFonts w:cs="Times New Roman"/>
          <w:color w:val="000000" w:themeColor="text1"/>
          <w:lang w:bidi="ar-JO"/>
        </w:rPr>
        <w:t xml:space="preserve">Douglas Petrovich, “Identifying Nimrod of Genesis 10 with Sargon of Akkad by Exegetical and Archaeological Means,” </w:t>
      </w:r>
      <w:r w:rsidRPr="00CD63FA">
        <w:rPr>
          <w:rFonts w:cs="Times New Roman"/>
          <w:i/>
          <w:iCs/>
          <w:color w:val="000000" w:themeColor="text1"/>
          <w:lang w:bidi="ar-JO"/>
        </w:rPr>
        <w:t>JETS</w:t>
      </w:r>
      <w:r w:rsidRPr="00CD63FA">
        <w:rPr>
          <w:rFonts w:cs="Times New Roman"/>
          <w:color w:val="000000" w:themeColor="text1"/>
          <w:lang w:bidi="ar-JO"/>
        </w:rPr>
        <w:t xml:space="preserve"> 562 (June 2013), 273-305</w:t>
      </w:r>
      <w:r w:rsidRPr="00CD63FA">
        <w:rPr>
          <w:rFonts w:cs="Times New Roman"/>
          <w:color w:val="000000" w:themeColor="text1"/>
          <w:rtl/>
          <w:lang w:bidi="ar-JO"/>
        </w:rPr>
        <w:t xml:space="preserve">. قد لا يكون الاسم "نمرود" هو اسمه الملكي، ولكنه اسمٌ أُعطي له في الكتاب المُقدَّس ليصف طبيعته ومقاصده (فمعنى "نمرود" هو "المتمرد"، حسب </w:t>
      </w:r>
      <w:r w:rsidRPr="00CD63FA">
        <w:rPr>
          <w:rFonts w:cs="Times New Roman"/>
          <w:color w:val="000000" w:themeColor="text1"/>
          <w:lang w:bidi="ar-JO"/>
        </w:rPr>
        <w:t xml:space="preserve">Wenham, </w:t>
      </w:r>
      <w:r w:rsidRPr="00CD63FA">
        <w:rPr>
          <w:rFonts w:cs="Times New Roman"/>
          <w:i/>
          <w:iCs/>
          <w:color w:val="000000" w:themeColor="text1"/>
          <w:lang w:bidi="ar-JO"/>
        </w:rPr>
        <w:t>Genesis</w:t>
      </w:r>
      <w:r w:rsidRPr="00CD63FA">
        <w:rPr>
          <w:rFonts w:cs="Times New Roman"/>
          <w:color w:val="000000" w:themeColor="text1"/>
          <w:lang w:bidi="ar-JO"/>
        </w:rPr>
        <w:t>, 222</w:t>
      </w:r>
      <w:r w:rsidRPr="00CD63FA">
        <w:rPr>
          <w:rFonts w:cs="Times New Roman"/>
          <w:color w:val="000000" w:themeColor="text1"/>
          <w:rtl/>
          <w:lang w:bidi="ar-JO"/>
        </w:rPr>
        <w:t>).</w:t>
      </w:r>
    </w:p>
  </w:footnote>
  <w:footnote w:id="227">
    <w:p w14:paraId="4B03E7F4" w14:textId="77777777" w:rsidR="00263246" w:rsidRPr="00CA1692" w:rsidRDefault="00263246" w:rsidP="00263246">
      <w:pPr>
        <w:pStyle w:val="FootnoteText"/>
        <w:rPr>
          <w:rFonts w:cs="Times New Roman"/>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يحدد و. فون سودن فترة حمورابي على أنَّها 1729-1686ق م. </w:t>
      </w:r>
    </w:p>
  </w:footnote>
  <w:footnote w:id="228">
    <w:p w14:paraId="6FE65A6C" w14:textId="77777777" w:rsidR="00263246" w:rsidRPr="00CD63FA" w:rsidRDefault="00263246" w:rsidP="00263246">
      <w:pPr>
        <w:pStyle w:val="FootnoteText"/>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للاطلاع على مُقدّمة ممتازة إلى مقارنة المواد الأدبية المكتوبة التي تعود للشرق الأدنى القديم، انظر </w:t>
      </w:r>
      <w:r w:rsidRPr="00CD63FA">
        <w:rPr>
          <w:rFonts w:cs="Times New Roman"/>
          <w:color w:val="000000" w:themeColor="text1"/>
        </w:rPr>
        <w:t xml:space="preserve">Michael A. Grisanti, “Ancient Near Eastern Literature and the Old Testament,” in </w:t>
      </w:r>
      <w:r w:rsidRPr="00CD63FA">
        <w:rPr>
          <w:rFonts w:cs="Times New Roman"/>
          <w:i/>
          <w:iCs/>
          <w:color w:val="000000" w:themeColor="text1"/>
        </w:rPr>
        <w:t>The World and the Word</w:t>
      </w:r>
      <w:r w:rsidRPr="00CD63FA">
        <w:rPr>
          <w:rFonts w:cs="Times New Roman"/>
          <w:color w:val="000000" w:themeColor="text1"/>
        </w:rPr>
        <w:t>, 53-78</w:t>
      </w:r>
      <w:r w:rsidRPr="00CD63FA">
        <w:rPr>
          <w:rFonts w:cs="Times New Roman"/>
          <w:color w:val="000000" w:themeColor="text1"/>
          <w:rtl/>
          <w:lang w:bidi="ar-JO"/>
        </w:rPr>
        <w:t xml:space="preserve">. يُعتبَر المصدر الأساسي والأشهر لنصوص الشرق الأدنى القديم </w:t>
      </w:r>
      <w:r w:rsidRPr="00CD63FA">
        <w:rPr>
          <w:rFonts w:cs="Times New Roman"/>
          <w:color w:val="000000" w:themeColor="text1"/>
          <w:lang w:bidi="ar-JO"/>
        </w:rPr>
        <w:t xml:space="preserve">J. B. Pritchard, ed., </w:t>
      </w:r>
      <w:r w:rsidRPr="00CD63FA">
        <w:rPr>
          <w:rFonts w:cs="Times New Roman"/>
          <w:i/>
          <w:iCs/>
          <w:color w:val="000000" w:themeColor="text1"/>
          <w:lang w:bidi="ar-JO"/>
        </w:rPr>
        <w:t>Ancient Near Eastern Texts Relating to the Old Testament</w:t>
      </w:r>
      <w:r w:rsidRPr="00CD63FA">
        <w:rPr>
          <w:rFonts w:cs="Times New Roman"/>
          <w:color w:val="000000" w:themeColor="text1"/>
          <w:lang w:bidi="ar-JO"/>
        </w:rPr>
        <w:t>, 3</w:t>
      </w:r>
      <w:r w:rsidRPr="00CD63FA">
        <w:rPr>
          <w:rFonts w:cs="Times New Roman"/>
          <w:color w:val="000000" w:themeColor="text1"/>
          <w:vertAlign w:val="superscript"/>
          <w:lang w:bidi="ar-JO"/>
        </w:rPr>
        <w:t>rd</w:t>
      </w:r>
      <w:r w:rsidRPr="00CD63FA">
        <w:rPr>
          <w:rFonts w:cs="Times New Roman"/>
          <w:color w:val="000000" w:themeColor="text1"/>
          <w:lang w:bidi="ar-JO"/>
        </w:rPr>
        <w:t xml:space="preserve"> ed. (Princeton, NJ: Princeton University Press, 1969)</w:t>
      </w:r>
      <w:r w:rsidRPr="00CD63FA">
        <w:rPr>
          <w:rFonts w:cs="Times New Roman"/>
          <w:color w:val="000000" w:themeColor="text1"/>
          <w:rtl/>
          <w:lang w:bidi="ar-JO"/>
        </w:rPr>
        <w:t xml:space="preserve">. من الأدوات المفيدة في تقييم كتابات ووثائق الشرق الأدنى القديم: </w:t>
      </w:r>
      <w:r w:rsidRPr="00CD63FA">
        <w:rPr>
          <w:rFonts w:cs="Times New Roman"/>
          <w:color w:val="000000" w:themeColor="text1"/>
          <w:lang w:bidi="ar-JO"/>
        </w:rPr>
        <w:t xml:space="preserve">Bill T. Arnold and Bryan E. Beyer, </w:t>
      </w:r>
      <w:r w:rsidRPr="00CD63FA">
        <w:rPr>
          <w:rFonts w:cs="Times New Roman"/>
          <w:i/>
          <w:iCs/>
          <w:color w:val="000000" w:themeColor="text1"/>
          <w:lang w:bidi="ar-JO"/>
        </w:rPr>
        <w:t>Reading from the Ancient Near East: Primary Sources for Old Testament Study</w:t>
      </w:r>
      <w:r w:rsidRPr="00CD63FA">
        <w:rPr>
          <w:rFonts w:cs="Times New Roman"/>
          <w:color w:val="000000" w:themeColor="text1"/>
          <w:lang w:bidi="ar-JO"/>
        </w:rPr>
        <w:t xml:space="preserve"> (Grand Rapids: Baker, 2002)</w:t>
      </w:r>
      <w:r w:rsidRPr="00CD63FA">
        <w:rPr>
          <w:rFonts w:cs="Times New Roman"/>
          <w:color w:val="000000" w:themeColor="text1"/>
          <w:rtl/>
          <w:lang w:bidi="ar-JO"/>
        </w:rPr>
        <w:t xml:space="preserve">؛ و </w:t>
      </w:r>
      <w:r w:rsidRPr="00CD63FA">
        <w:rPr>
          <w:rFonts w:cs="Times New Roman"/>
          <w:color w:val="000000" w:themeColor="text1"/>
          <w:lang w:bidi="ar-JO"/>
        </w:rPr>
        <w:t xml:space="preserve">John H. Walton, </w:t>
      </w:r>
      <w:r w:rsidRPr="00CD63FA">
        <w:rPr>
          <w:rFonts w:cs="Times New Roman"/>
          <w:i/>
          <w:iCs/>
          <w:color w:val="000000" w:themeColor="text1"/>
          <w:lang w:bidi="ar-JO"/>
        </w:rPr>
        <w:t>Ancient Near Eastern Thought and the Old Testament</w:t>
      </w:r>
      <w:r w:rsidRPr="00CD63FA">
        <w:rPr>
          <w:rFonts w:cs="Times New Roman"/>
          <w:color w:val="000000" w:themeColor="text1"/>
          <w:lang w:bidi="ar-JO"/>
        </w:rPr>
        <w:t xml:space="preserve"> (Grand Rapids: Baker, 2006)</w:t>
      </w:r>
      <w:r w:rsidRPr="00CD63FA">
        <w:rPr>
          <w:rFonts w:cs="Times New Roman"/>
          <w:color w:val="000000" w:themeColor="text1"/>
          <w:rtl/>
          <w:lang w:bidi="ar-JO"/>
        </w:rPr>
        <w:t xml:space="preserve">؛ و </w:t>
      </w:r>
      <w:r w:rsidRPr="00CD63FA">
        <w:rPr>
          <w:rFonts w:cs="Times New Roman"/>
          <w:color w:val="000000" w:themeColor="text1"/>
          <w:lang w:bidi="ar-JO"/>
        </w:rPr>
        <w:t xml:space="preserve">Victor H. Matthews and D. C. Benjamin, </w:t>
      </w:r>
      <w:r w:rsidRPr="00CD63FA">
        <w:rPr>
          <w:rFonts w:cs="Times New Roman"/>
          <w:i/>
          <w:iCs/>
          <w:color w:val="000000" w:themeColor="text1"/>
          <w:lang w:bidi="ar-JO"/>
        </w:rPr>
        <w:t>Old Testament Parallels: Laws and Stories from the Ancient Near East</w:t>
      </w:r>
      <w:r w:rsidRPr="00CD63FA">
        <w:rPr>
          <w:rFonts w:cs="Times New Roman"/>
          <w:color w:val="000000" w:themeColor="text1"/>
          <w:lang w:bidi="ar-JO"/>
        </w:rPr>
        <w:t>, 3</w:t>
      </w:r>
      <w:r w:rsidRPr="00CD63FA">
        <w:rPr>
          <w:rFonts w:cs="Times New Roman"/>
          <w:color w:val="000000" w:themeColor="text1"/>
          <w:vertAlign w:val="superscript"/>
          <w:lang w:bidi="ar-JO"/>
        </w:rPr>
        <w:t>rd</w:t>
      </w:r>
      <w:r w:rsidRPr="00CD63FA">
        <w:rPr>
          <w:rFonts w:cs="Times New Roman"/>
          <w:color w:val="000000" w:themeColor="text1"/>
          <w:lang w:bidi="ar-JO"/>
        </w:rPr>
        <w:t xml:space="preserve"> ed. (NJ: Paulist Press, 2007)</w:t>
      </w:r>
      <w:r w:rsidRPr="00CD63FA">
        <w:rPr>
          <w:rFonts w:cs="Times New Roman"/>
          <w:color w:val="000000" w:themeColor="text1"/>
          <w:rtl/>
          <w:lang w:bidi="ar-JO"/>
        </w:rPr>
        <w:t>.</w:t>
      </w:r>
    </w:p>
  </w:footnote>
  <w:footnote w:id="229">
    <w:p w14:paraId="7327D8D1" w14:textId="77777777" w:rsidR="00263246" w:rsidRPr="00CD63FA" w:rsidRDefault="00263246" w:rsidP="00263246">
      <w:pPr>
        <w:pStyle w:val="FootnoteText"/>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Siegfried J. Schwantes, 40.</w:t>
      </w:r>
    </w:p>
  </w:footnote>
  <w:footnote w:id="230">
    <w:p w14:paraId="75508BC7" w14:textId="274CF0B9" w:rsidR="00745F4B" w:rsidRPr="00745F4B" w:rsidRDefault="00745F4B" w:rsidP="00745F4B">
      <w:pPr>
        <w:pStyle w:val="FootnoteText"/>
        <w:rPr>
          <w:rtl/>
          <w:lang w:bidi="ar-JO"/>
        </w:rPr>
      </w:pPr>
      <w:r>
        <w:rPr>
          <w:rStyle w:val="FootnoteReference"/>
        </w:rPr>
        <w:footnoteRef/>
      </w:r>
      <w:r>
        <w:t xml:space="preserve"> </w:t>
      </w:r>
      <w:r>
        <w:rPr>
          <w:rFonts w:hint="cs"/>
          <w:rtl/>
        </w:rPr>
        <w:t>هناك مدافعون كثيرون عن هذا الرأي</w:t>
      </w:r>
      <w:r w:rsidR="00881AA8">
        <w:rPr>
          <w:rFonts w:hint="cs"/>
          <w:rtl/>
        </w:rPr>
        <w:t>.</w:t>
      </w:r>
      <w:r>
        <w:rPr>
          <w:rFonts w:hint="cs"/>
          <w:rtl/>
        </w:rPr>
        <w:t xml:space="preserve"> انظر بصورة خاصّة </w:t>
      </w:r>
      <w:r w:rsidRPr="00894252">
        <w:t xml:space="preserve">Mark Rooker, "Genesis 1:1-3: Creation or Re-Creation?  Part 1," </w:t>
      </w:r>
      <w:r w:rsidRPr="00894252">
        <w:rPr>
          <w:i/>
          <w:iCs/>
        </w:rPr>
        <w:t>BibSac</w:t>
      </w:r>
      <w:r w:rsidRPr="00894252">
        <w:t xml:space="preserve"> 149:595 (Jul-Sep 1992): 316-23</w:t>
      </w:r>
      <w:r>
        <w:rPr>
          <w:rFonts w:hint="cs"/>
          <w:rtl/>
        </w:rPr>
        <w:t xml:space="preserve">؛ والجزء الثاني في </w:t>
      </w:r>
      <w:r w:rsidRPr="00894252">
        <w:rPr>
          <w:i/>
          <w:iCs/>
        </w:rPr>
        <w:t>BibSac</w:t>
      </w:r>
      <w:r w:rsidRPr="00894252">
        <w:t xml:space="preserve"> 149:596 (Oct-Dec 1992): 411-27</w:t>
      </w:r>
      <w:r>
        <w:rPr>
          <w:rFonts w:hint="cs"/>
          <w:rtl/>
        </w:rPr>
        <w:t xml:space="preserve">؛ و </w:t>
      </w:r>
      <w:r w:rsidRPr="00894252">
        <w:t xml:space="preserve">Todd Beall, “Reading Genesis 1-2: A Literal Approach,” in </w:t>
      </w:r>
      <w:r w:rsidRPr="00894252">
        <w:rPr>
          <w:i/>
          <w:iCs/>
        </w:rPr>
        <w:t>Reading Genesis 1-2; An Evangelical Conversation</w:t>
      </w:r>
      <w:r w:rsidRPr="00894252">
        <w:t>, ed. J. Daryl Charles (Peabody, Mass: Hendrickson, 2013), 45-59</w:t>
      </w:r>
      <w:r>
        <w:rPr>
          <w:rFonts w:hint="cs"/>
          <w:rtl/>
        </w:rPr>
        <w:t xml:space="preserve">؛ و </w:t>
      </w:r>
      <w:r w:rsidRPr="00894252">
        <w:t xml:space="preserve">H. C. Leupold, </w:t>
      </w:r>
      <w:r w:rsidRPr="00894252">
        <w:rPr>
          <w:i/>
          <w:iCs/>
        </w:rPr>
        <w:t>Exposition of Genesis</w:t>
      </w:r>
      <w:r w:rsidRPr="00894252">
        <w:t xml:space="preserve"> (Grand Rapids: Baker, 1942)</w:t>
      </w:r>
      <w:r>
        <w:rPr>
          <w:rFonts w:hint="cs"/>
          <w:rtl/>
        </w:rPr>
        <w:t xml:space="preserve">؛ و </w:t>
      </w:r>
      <w:r w:rsidRPr="00894252">
        <w:t xml:space="preserve">J. Ligon Duncan III and David. W. Hall, “The 24-Hour View,” in </w:t>
      </w:r>
      <w:r w:rsidRPr="00894252">
        <w:rPr>
          <w:i/>
          <w:iCs/>
        </w:rPr>
        <w:t>The G3N3SIS Debate</w:t>
      </w:r>
      <w:r w:rsidRPr="00894252">
        <w:t>, ed. David G. Hagopian (Mission Viejo, CA: Crux Press, 2001), 21-66</w:t>
      </w:r>
      <w:r>
        <w:rPr>
          <w:rFonts w:hint="cs"/>
          <w:rtl/>
        </w:rPr>
        <w:t xml:space="preserve">؛ و </w:t>
      </w:r>
      <w:r w:rsidRPr="00894252">
        <w:t xml:space="preserve">Terry Mortenson and Thane H. Ury, eds., </w:t>
      </w:r>
      <w:r w:rsidRPr="00894252">
        <w:rPr>
          <w:i/>
          <w:iCs/>
        </w:rPr>
        <w:t>Coming to Grips with Genesis; Biblical Authority and the Age of the Earth</w:t>
      </w:r>
      <w:r w:rsidRPr="00894252">
        <w:t xml:space="preserve"> (Green Forest, AR: Master Books, 2008)</w:t>
      </w:r>
      <w:r>
        <w:rPr>
          <w:rFonts w:hint="cs"/>
          <w:rtl/>
        </w:rPr>
        <w:t xml:space="preserve">؛ و </w:t>
      </w:r>
      <w:r w:rsidRPr="00894252">
        <w:t xml:space="preserve">and Jeremy D. Lyon, “Genesis 1:1-3 and the Literary Boundary of Day One,” </w:t>
      </w:r>
      <w:r w:rsidRPr="00894252">
        <w:rPr>
          <w:i/>
          <w:iCs/>
        </w:rPr>
        <w:t>JETS</w:t>
      </w:r>
      <w:r w:rsidRPr="00894252">
        <w:t xml:space="preserve"> 62.2 (2019): 269-85</w:t>
      </w:r>
      <w:r>
        <w:rPr>
          <w:rFonts w:hint="cs"/>
          <w:rtl/>
        </w:rPr>
        <w:t>. ومع أنّ كاسوتو (</w:t>
      </w:r>
      <w:r>
        <w:t>Cassuto</w:t>
      </w:r>
      <w:r>
        <w:rPr>
          <w:rFonts w:hint="cs"/>
          <w:rtl/>
        </w:rPr>
        <w:t xml:space="preserve">) يفهم تكوين 1: 1 بوصفها مُقدِّمة إلى كامل الأصحاح، فإنّه يعتقد بالرأي التقليدي </w:t>
      </w:r>
      <w:r>
        <w:rPr>
          <w:rtl/>
        </w:rPr>
        <w:t>–</w:t>
      </w:r>
      <w:r>
        <w:rPr>
          <w:rFonts w:hint="cs"/>
          <w:rtl/>
        </w:rPr>
        <w:t xml:space="preserve"> ستة أيّام حرفيّة.</w:t>
      </w:r>
    </w:p>
  </w:footnote>
  <w:footnote w:id="231">
    <w:p w14:paraId="0FAAFBCE" w14:textId="1FEC8087" w:rsidR="00AD2040" w:rsidRPr="00780E87" w:rsidRDefault="00AD2040" w:rsidP="00AD2040">
      <w:pPr>
        <w:pStyle w:val="FootnoteText"/>
        <w:rPr>
          <w:color w:val="FF0000"/>
          <w:rtl/>
          <w:lang w:bidi="ar-JO"/>
        </w:rPr>
      </w:pPr>
      <w:r>
        <w:rPr>
          <w:rStyle w:val="FootnoteReference"/>
        </w:rPr>
        <w:footnoteRef/>
      </w:r>
      <w:r>
        <w:t xml:space="preserve"> </w:t>
      </w:r>
      <w:r>
        <w:rPr>
          <w:rFonts w:hint="cs"/>
          <w:rtl/>
        </w:rPr>
        <w:t>ل</w:t>
      </w:r>
      <w:r>
        <w:rPr>
          <w:rFonts w:hint="cs"/>
          <w:rtl/>
          <w:lang w:bidi="ar-JO"/>
        </w:rPr>
        <w:t xml:space="preserve">حقيقة أن الآيات الخمسة الأولى تشكِّل أحداث اليوم الأولى دعمٌ ثانوي في </w:t>
      </w:r>
      <w:r w:rsidR="00C10710">
        <w:rPr>
          <w:rFonts w:hint="cs"/>
          <w:rtl/>
          <w:lang w:bidi="ar-JO"/>
        </w:rPr>
        <w:t>الطريقة التي تُميَّز بها أيّام الخلق في</w:t>
      </w:r>
      <w:r w:rsidR="00306150">
        <w:rPr>
          <w:rFonts w:hint="cs"/>
          <w:rtl/>
          <w:lang w:bidi="ar-JO"/>
        </w:rPr>
        <w:t xml:space="preserve"> قطع مخطوطات البحر الميت (بصورة خاصّة المخطوطتان </w:t>
      </w:r>
      <w:r w:rsidR="00306150">
        <w:rPr>
          <w:lang w:bidi="ar-JO"/>
        </w:rPr>
        <w:t>4QGen</w:t>
      </w:r>
      <w:r w:rsidR="00306150" w:rsidRPr="00306150">
        <w:rPr>
          <w:vertAlign w:val="superscript"/>
          <w:lang w:bidi="ar-JO"/>
        </w:rPr>
        <w:t>b</w:t>
      </w:r>
      <w:r w:rsidR="00306150">
        <w:rPr>
          <w:rFonts w:hint="cs"/>
          <w:rtl/>
          <w:lang w:bidi="ar-JO"/>
        </w:rPr>
        <w:t xml:space="preserve"> و </w:t>
      </w:r>
      <w:r w:rsidR="00306150" w:rsidRPr="00780E87">
        <w:rPr>
          <w:color w:val="FF0000"/>
          <w:lang w:bidi="ar-JO"/>
        </w:rPr>
        <w:t>4QGen</w:t>
      </w:r>
      <w:r w:rsidR="00306150" w:rsidRPr="00780E87">
        <w:rPr>
          <w:color w:val="FF0000"/>
          <w:vertAlign w:val="superscript"/>
          <w:lang w:bidi="ar-JO"/>
        </w:rPr>
        <w:t>g</w:t>
      </w:r>
      <w:r w:rsidR="00306150" w:rsidRPr="00780E87">
        <w:rPr>
          <w:rFonts w:hint="cs"/>
          <w:color w:val="FF0000"/>
          <w:rtl/>
          <w:lang w:bidi="ar-JO"/>
        </w:rPr>
        <w:t xml:space="preserve">). ففي هذه القطع هناك فراغ بعد كل يوم، ولكنّ الفراغ الأول لا يرد إلا بعد الآية 5. انظر </w:t>
      </w:r>
      <w:r w:rsidR="0047731A" w:rsidRPr="00780E87">
        <w:rPr>
          <w:color w:val="FF0000"/>
        </w:rPr>
        <w:t>Jeremy Lyon (“Genesis 1:1-3 and the Literary Boundary of Day One,” 281-84)</w:t>
      </w:r>
      <w:r w:rsidR="0047731A" w:rsidRPr="00780E87">
        <w:rPr>
          <w:rFonts w:hint="cs"/>
          <w:color w:val="FF0000"/>
          <w:rtl/>
          <w:lang w:bidi="ar-JO"/>
        </w:rPr>
        <w:t>، الذي يؤكِّد على هذه الفكرة. قارن مع كتاب "اليوبيلات" 2: 14، الذي يسمي سبعة أعمال عظيمة لله عملها في اليوم الأول، ومنها خل</w:t>
      </w:r>
      <w:r w:rsidR="00881AA8">
        <w:rPr>
          <w:rFonts w:hint="cs"/>
          <w:color w:val="FF0000"/>
          <w:rtl/>
          <w:lang w:bidi="ar-JO"/>
        </w:rPr>
        <w:t>ْ</w:t>
      </w:r>
      <w:r w:rsidR="0047731A" w:rsidRPr="00780E87">
        <w:rPr>
          <w:rFonts w:hint="cs"/>
          <w:color w:val="FF0000"/>
          <w:rtl/>
          <w:lang w:bidi="ar-JO"/>
        </w:rPr>
        <w:t>ق السماوات والأرض. (</w:t>
      </w:r>
      <w:r w:rsidR="00780E87" w:rsidRPr="00780E87">
        <w:rPr>
          <w:color w:val="FF0000"/>
        </w:rPr>
        <w:t xml:space="preserve">James C. VanderKam, </w:t>
      </w:r>
      <w:r w:rsidR="00780E87" w:rsidRPr="00780E87">
        <w:rPr>
          <w:i/>
          <w:iCs/>
          <w:color w:val="FF0000"/>
        </w:rPr>
        <w:t>Jubilees: A Commentary on the Book of Jubilees, Chapters 1-50</w:t>
      </w:r>
      <w:r w:rsidR="00780E87" w:rsidRPr="00780E87">
        <w:rPr>
          <w:color w:val="FF0000"/>
        </w:rPr>
        <w:t>, ed. Sidnie W. Crawford, Hermeneia [Minneapolis, MN: Fortress Press, 2018], 1:167</w:t>
      </w:r>
      <w:r w:rsidR="0047731A" w:rsidRPr="00780E87">
        <w:rPr>
          <w:rFonts w:hint="cs"/>
          <w:color w:val="FF0000"/>
          <w:rtl/>
          <w:lang w:bidi="ar-JO"/>
        </w:rPr>
        <w:t>).</w:t>
      </w:r>
    </w:p>
  </w:footnote>
  <w:footnote w:id="232">
    <w:p w14:paraId="110AC3E6" w14:textId="77777777" w:rsidR="00780E87" w:rsidRPr="003B5484" w:rsidRDefault="00780E87" w:rsidP="00780E87">
      <w:pPr>
        <w:pStyle w:val="Footnote"/>
      </w:pPr>
      <w:r w:rsidRPr="00894252">
        <w:rPr>
          <w:rStyle w:val="FootnoteReference"/>
          <w:color w:val="C00000"/>
        </w:rPr>
        <w:footnoteRef/>
      </w:r>
      <w:r w:rsidRPr="00894252">
        <w:rPr>
          <w:color w:val="C00000"/>
        </w:rPr>
        <w:t xml:space="preserve"> Umberto Cassuto, </w:t>
      </w:r>
      <w:r w:rsidRPr="00894252">
        <w:rPr>
          <w:i/>
          <w:iCs/>
          <w:color w:val="C00000"/>
        </w:rPr>
        <w:t>A Commentary on the Book of Genesis: Part One, From Adam to Noah</w:t>
      </w:r>
      <w:r w:rsidRPr="00894252">
        <w:rPr>
          <w:color w:val="C00000"/>
        </w:rPr>
        <w:t xml:space="preserve"> (Hebrew Univ Jerusalem: Magnes Press, 1989), 19-20.</w:t>
      </w:r>
    </w:p>
  </w:footnote>
  <w:footnote w:id="233">
    <w:p w14:paraId="3AAD384C" w14:textId="77777777" w:rsidR="00881BFF" w:rsidRPr="00894252" w:rsidRDefault="00881BFF" w:rsidP="00881BFF">
      <w:pPr>
        <w:pStyle w:val="Footnote"/>
        <w:rPr>
          <w:rFonts w:asciiTheme="majorBidi" w:hAnsiTheme="majorBidi" w:cstheme="majorBidi"/>
          <w:color w:val="C00000"/>
        </w:rPr>
      </w:pPr>
      <w:r w:rsidRPr="00894252">
        <w:rPr>
          <w:rStyle w:val="FootnoteReference"/>
          <w:color w:val="C00000"/>
        </w:rPr>
        <w:footnoteRef/>
      </w:r>
      <w:r w:rsidRPr="00894252">
        <w:rPr>
          <w:color w:val="C00000"/>
        </w:rPr>
        <w:t xml:space="preserve"> John H. Sailhamer, “Genesis,” in </w:t>
      </w:r>
      <w:r w:rsidRPr="00894252">
        <w:rPr>
          <w:i/>
          <w:iCs/>
          <w:color w:val="C00000"/>
        </w:rPr>
        <w:t>The Expositor’s Bible Commentary</w:t>
      </w:r>
      <w:r w:rsidRPr="00894252">
        <w:rPr>
          <w:color w:val="C00000"/>
        </w:rPr>
        <w:t xml:space="preserve">, rev ed., Vol. 1: Genesis-Leviticus (Grand Rapids, MI: Zondervan Pub. House, 2008); and </w:t>
      </w:r>
      <w:r w:rsidRPr="00894252">
        <w:rPr>
          <w:i/>
          <w:iCs/>
          <w:color w:val="C00000"/>
        </w:rPr>
        <w:t>Genesis Unbound</w:t>
      </w:r>
      <w:r w:rsidRPr="00894252">
        <w:rPr>
          <w:color w:val="C00000"/>
        </w:rPr>
        <w:t>, 2</w:t>
      </w:r>
      <w:r w:rsidRPr="00894252">
        <w:rPr>
          <w:color w:val="C00000"/>
          <w:vertAlign w:val="superscript"/>
        </w:rPr>
        <w:t>nd</w:t>
      </w:r>
      <w:r w:rsidRPr="00894252">
        <w:rPr>
          <w:color w:val="C00000"/>
        </w:rPr>
        <w:t xml:space="preserve"> ed. (2011).</w:t>
      </w:r>
    </w:p>
  </w:footnote>
  <w:footnote w:id="234">
    <w:p w14:paraId="42277BA7" w14:textId="7AD3DC29" w:rsidR="00894252" w:rsidRPr="00894252" w:rsidRDefault="00894252" w:rsidP="000B0134">
      <w:pPr>
        <w:pStyle w:val="Footnote"/>
        <w:rPr>
          <w:color w:val="C00000"/>
        </w:rPr>
      </w:pPr>
      <w:r w:rsidRPr="00894252">
        <w:rPr>
          <w:rStyle w:val="FootnoteReference"/>
          <w:color w:val="C00000"/>
        </w:rPr>
        <w:footnoteRef/>
      </w:r>
      <w:r w:rsidRPr="00894252">
        <w:rPr>
          <w:color w:val="C00000"/>
        </w:rPr>
        <w:t xml:space="preserve"> </w:t>
      </w:r>
      <w:r w:rsidR="001C7EC4">
        <w:rPr>
          <w:rFonts w:hint="cs"/>
          <w:color w:val="C00000"/>
          <w:rtl/>
        </w:rPr>
        <w:t>نرى دفاعًا عن نظرية الخلق بعد الفجوة في نسخة سكوفيلد للكتاب المُقدَّس الدراسي (</w:t>
      </w:r>
      <w:r w:rsidR="000B0134" w:rsidRPr="00894252">
        <w:rPr>
          <w:i/>
          <w:iCs/>
          <w:color w:val="C00000"/>
        </w:rPr>
        <w:t>Scofield Reference Bible</w:t>
      </w:r>
      <w:r w:rsidR="000B0134">
        <w:rPr>
          <w:rFonts w:hint="cs"/>
          <w:i/>
          <w:iCs/>
          <w:color w:val="C00000"/>
          <w:rtl/>
          <w:lang w:bidi="ar-JO"/>
        </w:rPr>
        <w:t>، 1917</w:t>
      </w:r>
      <w:r w:rsidR="001C7EC4">
        <w:rPr>
          <w:rFonts w:hint="cs"/>
          <w:color w:val="C00000"/>
          <w:rtl/>
        </w:rPr>
        <w:t>)، ومن ثمّ نرى دفاعًا ع</w:t>
      </w:r>
      <w:r w:rsidR="000B0134">
        <w:rPr>
          <w:rFonts w:hint="cs"/>
          <w:color w:val="C00000"/>
          <w:rtl/>
        </w:rPr>
        <w:t>ن</w:t>
      </w:r>
      <w:r w:rsidR="001C7EC4">
        <w:rPr>
          <w:rFonts w:hint="cs"/>
          <w:color w:val="C00000"/>
          <w:rtl/>
        </w:rPr>
        <w:t xml:space="preserve">ها في </w:t>
      </w:r>
      <w:r w:rsidR="000B0134" w:rsidRPr="00894252">
        <w:rPr>
          <w:color w:val="C00000"/>
        </w:rPr>
        <w:t xml:space="preserve">Arthur C. Custance, </w:t>
      </w:r>
      <w:r w:rsidR="000B0134" w:rsidRPr="00894252">
        <w:rPr>
          <w:i/>
          <w:iCs/>
          <w:color w:val="C00000"/>
        </w:rPr>
        <w:t>Without Form and Void</w:t>
      </w:r>
      <w:r w:rsidR="000B0134" w:rsidRPr="00894252">
        <w:rPr>
          <w:color w:val="C00000"/>
        </w:rPr>
        <w:t xml:space="preserve"> (Brockville, Ontario: n.p., 1970)</w:t>
      </w:r>
      <w:r w:rsidR="000B0134">
        <w:rPr>
          <w:rFonts w:hint="cs"/>
          <w:color w:val="C00000"/>
          <w:rtl/>
        </w:rPr>
        <w:t xml:space="preserve">؛ و </w:t>
      </w:r>
      <w:r w:rsidR="000B0134" w:rsidRPr="00894252">
        <w:rPr>
          <w:color w:val="C00000"/>
        </w:rPr>
        <w:t xml:space="preserve">Merrill F. Unger, </w:t>
      </w:r>
      <w:r w:rsidR="000B0134" w:rsidRPr="00894252">
        <w:rPr>
          <w:i/>
          <w:iCs/>
          <w:color w:val="C00000"/>
        </w:rPr>
        <w:t>Unger’s Commentary on the Old Testament; Volume 1, Genesis—Song of Solomon</w:t>
      </w:r>
      <w:r w:rsidR="000B0134" w:rsidRPr="00894252">
        <w:rPr>
          <w:color w:val="C00000"/>
        </w:rPr>
        <w:t xml:space="preserve"> (Chicago: Moody Press, 1981), 5</w:t>
      </w:r>
      <w:r w:rsidR="001C7EC4">
        <w:rPr>
          <w:rFonts w:hint="cs"/>
          <w:color w:val="C00000"/>
          <w:rtl/>
        </w:rPr>
        <w:t>.</w:t>
      </w:r>
    </w:p>
  </w:footnote>
  <w:footnote w:id="235">
    <w:p w14:paraId="7FBF852A" w14:textId="182635B1" w:rsidR="00894252" w:rsidRDefault="00894252" w:rsidP="00423A21">
      <w:pPr>
        <w:pStyle w:val="Footnote"/>
      </w:pPr>
      <w:r w:rsidRPr="00894252">
        <w:rPr>
          <w:rStyle w:val="FootnoteReference"/>
          <w:color w:val="C00000"/>
        </w:rPr>
        <w:footnoteRef/>
      </w:r>
      <w:r w:rsidRPr="00894252">
        <w:rPr>
          <w:color w:val="C00000"/>
        </w:rPr>
        <w:t xml:space="preserve"> C. John Collins, “Reading Genesis 1–2 with the Grain: Analogical Days,” in </w:t>
      </w:r>
      <w:bookmarkStart w:id="435" w:name="_Hlk39241840"/>
      <w:bookmarkStart w:id="436" w:name="_Hlk39068132"/>
      <w:r w:rsidRPr="00894252">
        <w:rPr>
          <w:i/>
          <w:iCs/>
          <w:color w:val="C00000"/>
        </w:rPr>
        <w:t>Reading Genesis 1-2; An Evangelical Conversation</w:t>
      </w:r>
      <w:bookmarkEnd w:id="435"/>
      <w:r w:rsidRPr="00894252">
        <w:rPr>
          <w:color w:val="C00000"/>
        </w:rPr>
        <w:t xml:space="preserve">, ed. J. Daryl Charles </w:t>
      </w:r>
      <w:r w:rsidRPr="00894252">
        <w:rPr>
          <w:rFonts w:asciiTheme="majorBidi" w:hAnsiTheme="majorBidi" w:cstheme="majorBidi"/>
          <w:color w:val="C00000"/>
        </w:rPr>
        <w:t>(Peabody, Mass: Hendrickson, 2013), 73-92</w:t>
      </w:r>
      <w:bookmarkEnd w:id="436"/>
      <w:r w:rsidR="00423A21">
        <w:rPr>
          <w:rFonts w:asciiTheme="majorBidi" w:hAnsiTheme="majorBidi" w:cstheme="majorBidi" w:hint="cs"/>
          <w:color w:val="C00000"/>
          <w:rtl/>
        </w:rPr>
        <w:t xml:space="preserve">. قارن مع </w:t>
      </w:r>
      <w:r w:rsidRPr="00894252">
        <w:rPr>
          <w:rFonts w:asciiTheme="majorBidi" w:hAnsiTheme="majorBidi" w:cstheme="majorBidi"/>
          <w:color w:val="C00000"/>
        </w:rPr>
        <w:t xml:space="preserve">Collins, </w:t>
      </w:r>
      <w:r w:rsidRPr="00894252">
        <w:rPr>
          <w:rFonts w:asciiTheme="majorBidi" w:hAnsiTheme="majorBidi" w:cstheme="majorBidi"/>
          <w:i/>
          <w:iCs/>
          <w:color w:val="C00000"/>
        </w:rPr>
        <w:t>Genesis 1–4: A Linguistic, Literary, and Theological Commentary</w:t>
      </w:r>
      <w:r w:rsidRPr="00894252">
        <w:rPr>
          <w:rFonts w:asciiTheme="majorBidi" w:hAnsiTheme="majorBidi" w:cstheme="majorBidi"/>
          <w:color w:val="C00000"/>
        </w:rPr>
        <w:t xml:space="preserve"> (Phillipsburg, NJ: P&amp;R, 2006).</w:t>
      </w:r>
    </w:p>
  </w:footnote>
  <w:footnote w:id="236">
    <w:p w14:paraId="7CACE896" w14:textId="5F9642DF" w:rsidR="00C33ECE" w:rsidRPr="00C33ECE" w:rsidRDefault="00C33ECE" w:rsidP="00C33ECE">
      <w:pPr>
        <w:pStyle w:val="FootnoteText"/>
        <w:rPr>
          <w:rtl/>
          <w:lang w:bidi="ar-JO"/>
        </w:rPr>
      </w:pPr>
      <w:r>
        <w:rPr>
          <w:rStyle w:val="FootnoteReference"/>
        </w:rPr>
        <w:footnoteRef/>
      </w:r>
      <w:r>
        <w:t xml:space="preserve"> </w:t>
      </w:r>
      <w:r>
        <w:rPr>
          <w:rFonts w:hint="cs"/>
          <w:rtl/>
        </w:rPr>
        <w:t>يقدِّم تود بيل (</w:t>
      </w:r>
      <w:r w:rsidR="009C6DD2">
        <w:t>Todd Beall</w:t>
      </w:r>
      <w:r>
        <w:rPr>
          <w:rFonts w:hint="cs"/>
          <w:rtl/>
        </w:rPr>
        <w:t xml:space="preserve">) </w:t>
      </w:r>
      <w:r w:rsidR="009C6DD2">
        <w:rPr>
          <w:rFonts w:hint="cs"/>
          <w:rtl/>
          <w:lang w:bidi="ar-JO"/>
        </w:rPr>
        <w:t>حجّة جيدة ضدّ فكرة أن أيّام تكوين 1 أيّام عملٍ لله: "تُستخدَم الكلمة العبرية ’يوم‘ ستّ مرّات في خروج 20: 8-11. هل علينا حقًّا أن نعتقد أنّها أيّام حرفي</w:t>
      </w:r>
      <w:r w:rsidR="00F54216">
        <w:rPr>
          <w:rFonts w:hint="cs"/>
          <w:rtl/>
          <w:lang w:bidi="ar-JO"/>
        </w:rPr>
        <w:t>ّة</w:t>
      </w:r>
      <w:r w:rsidR="009C6DD2">
        <w:rPr>
          <w:rFonts w:hint="cs"/>
          <w:rtl/>
          <w:lang w:bidi="ar-JO"/>
        </w:rPr>
        <w:t xml:space="preserve"> في أربعةٍ من هذه الاستخدامات (خروج 20: 8، 9، 10، 11ب)، بينما نفهمها بمعنى مدة زمنية غير محدّدة في الاستخدامَين الآخرين (خروج 20: 11)، مع أن</w:t>
      </w:r>
      <w:r w:rsidR="00F54216">
        <w:rPr>
          <w:rFonts w:hint="cs"/>
          <w:rtl/>
          <w:lang w:bidi="ar-JO"/>
        </w:rPr>
        <w:t>ّ</w:t>
      </w:r>
      <w:r w:rsidR="009C6DD2">
        <w:rPr>
          <w:rFonts w:hint="cs"/>
          <w:rtl/>
          <w:lang w:bidi="ar-JO"/>
        </w:rPr>
        <w:t xml:space="preserve"> كل هذه الاستخدامات ترد في السياق نفسه؟ كل</w:t>
      </w:r>
      <w:r w:rsidR="00F54216">
        <w:rPr>
          <w:rFonts w:hint="cs"/>
          <w:rtl/>
          <w:lang w:bidi="ar-JO"/>
        </w:rPr>
        <w:t>ّ</w:t>
      </w:r>
      <w:r w:rsidR="009C6DD2">
        <w:rPr>
          <w:rFonts w:hint="cs"/>
          <w:rtl/>
          <w:lang w:bidi="ar-JO"/>
        </w:rPr>
        <w:t>ا، فأسبوع الأيّام السبعة والسبت فكرة مبنية على أسبوع الخلق الفعلي، وليس من شيءٍ في نصّ تكوين 1 أو خروج 20 (أو خروج 31) يُشير إلى أن هذه ’أيّام عمل‘ لله، لا أيَّام فعليّة" (</w:t>
      </w:r>
      <w:r w:rsidR="009C6DD2" w:rsidRPr="00894252">
        <w:t xml:space="preserve">(“Responses to Chapter Three; Todd S. Beall,” in </w:t>
      </w:r>
      <w:r w:rsidR="009C6DD2" w:rsidRPr="00894252">
        <w:rPr>
          <w:i/>
          <w:iCs/>
        </w:rPr>
        <w:t>Reading Genesis 1-2; An Evangelical Conversation</w:t>
      </w:r>
      <w:r w:rsidR="009C6DD2" w:rsidRPr="00894252">
        <w:t>, 98</w:t>
      </w:r>
      <w:r w:rsidR="009C6DD2">
        <w:rPr>
          <w:rFonts w:hint="cs"/>
          <w:rtl/>
          <w:lang w:bidi="ar-JO"/>
        </w:rPr>
        <w:t>).</w:t>
      </w:r>
    </w:p>
  </w:footnote>
  <w:footnote w:id="237">
    <w:p w14:paraId="538B0863" w14:textId="730923A9" w:rsidR="009C6DD2" w:rsidRPr="009C6DD2" w:rsidRDefault="009C6DD2" w:rsidP="009C6DD2">
      <w:pPr>
        <w:pStyle w:val="FootnoteText"/>
        <w:rPr>
          <w:lang w:bidi="ar-JO"/>
        </w:rPr>
      </w:pPr>
      <w:r>
        <w:rPr>
          <w:rStyle w:val="FootnoteReference"/>
        </w:rPr>
        <w:footnoteRef/>
      </w:r>
      <w:r>
        <w:t xml:space="preserve"> </w:t>
      </w:r>
      <w:r>
        <w:rPr>
          <w:rFonts w:hint="cs"/>
          <w:rtl/>
          <w:lang w:bidi="ar-JO"/>
        </w:rPr>
        <w:t xml:space="preserve">هذا هو الرأي الذي يتبناها راشي وأبراهام ابن عزرا (رابيّين من القرون الوسطى؛ انظر كاسوتو [19] للاطّلاع على نقاشٍ لهذا الرأي، وبعض المُفسِّرين المعاصرين. يبدون أن ديرك كيدنر يتبنّى رأيًا شبيهًا برأي راشي. انظر </w:t>
      </w:r>
      <w:r>
        <w:rPr>
          <w:lang w:bidi="ar-JO"/>
        </w:rPr>
        <w:t xml:space="preserve">Derek Kidner, </w:t>
      </w:r>
      <w:r w:rsidRPr="00894252">
        <w:rPr>
          <w:i/>
          <w:iCs/>
        </w:rPr>
        <w:t>Genesis; An Introduction &amp; Commentary</w:t>
      </w:r>
      <w:r w:rsidRPr="00894252">
        <w:t>, Tyndale (Downers Grove, IL: Inter-Varsity, 1967), 44</w:t>
      </w:r>
    </w:p>
  </w:footnote>
  <w:footnote w:id="238">
    <w:p w14:paraId="6806D452" w14:textId="77777777" w:rsidR="00174663" w:rsidRDefault="00174663" w:rsidP="00174663">
      <w:pPr>
        <w:pStyle w:val="Footnote"/>
      </w:pPr>
      <w:r w:rsidRPr="00894252">
        <w:rPr>
          <w:rStyle w:val="FootnoteReference"/>
          <w:color w:val="C00000"/>
        </w:rPr>
        <w:footnoteRef/>
      </w:r>
      <w:r w:rsidRPr="00894252">
        <w:rPr>
          <w:color w:val="C00000"/>
        </w:rPr>
        <w:t xml:space="preserve"> B. K. Waltke, </w:t>
      </w:r>
      <w:bookmarkStart w:id="438" w:name="_Hlk38635301"/>
      <w:r w:rsidRPr="00894252">
        <w:rPr>
          <w:color w:val="C00000"/>
        </w:rPr>
        <w:t xml:space="preserve">“The Creation Account in Genesis 1:1–3: Part III: The Initial Chaos Theory and the Precreation Chaos Theory,” </w:t>
      </w:r>
      <w:r w:rsidRPr="00894252">
        <w:rPr>
          <w:i/>
          <w:iCs/>
          <w:color w:val="C00000"/>
        </w:rPr>
        <w:t>BibSac</w:t>
      </w:r>
      <w:r w:rsidRPr="00894252">
        <w:rPr>
          <w:color w:val="C00000"/>
        </w:rPr>
        <w:t xml:space="preserve"> 132 (Jul-Sep 1975)</w:t>
      </w:r>
      <w:bookmarkEnd w:id="438"/>
      <w:r w:rsidRPr="00894252">
        <w:rPr>
          <w:color w:val="C00000"/>
        </w:rPr>
        <w:t xml:space="preserve">, 216-28; and Allen P. Ross </w:t>
      </w:r>
      <w:r w:rsidRPr="00894252">
        <w:rPr>
          <w:i/>
          <w:iCs/>
          <w:color w:val="C00000"/>
        </w:rPr>
        <w:t>Creation and Blessing; A Guide to the Study and Exposition of Genesis</w:t>
      </w:r>
      <w:r w:rsidRPr="00894252">
        <w:rPr>
          <w:color w:val="C00000"/>
        </w:rPr>
        <w:t xml:space="preserve"> (Grand Rapids: Baker, 1988), 105-07.</w:t>
      </w:r>
    </w:p>
  </w:footnote>
  <w:footnote w:id="239">
    <w:p w14:paraId="48E089BC" w14:textId="77777777" w:rsidR="00D240A6" w:rsidRPr="00894252" w:rsidRDefault="00D240A6" w:rsidP="00D240A6">
      <w:pPr>
        <w:pStyle w:val="Footnote"/>
        <w:rPr>
          <w:color w:val="C00000"/>
        </w:rPr>
      </w:pPr>
      <w:r w:rsidRPr="00894252">
        <w:rPr>
          <w:rStyle w:val="FootnoteReference"/>
          <w:color w:val="C00000"/>
        </w:rPr>
        <w:footnoteRef/>
      </w:r>
      <w:r w:rsidRPr="00894252">
        <w:rPr>
          <w:color w:val="C00000"/>
        </w:rPr>
        <w:t xml:space="preserve"> </w:t>
      </w:r>
      <w:bookmarkStart w:id="439" w:name="_Hlk39067538"/>
      <w:r w:rsidRPr="00894252">
        <w:rPr>
          <w:color w:val="C00000"/>
        </w:rPr>
        <w:t xml:space="preserve">Richard E. Averbeck, “A Literary Day, Inter-Textual, and Contextual Reading of Genesis 1–2,” in </w:t>
      </w:r>
      <w:r w:rsidRPr="00894252">
        <w:rPr>
          <w:i/>
          <w:iCs/>
          <w:color w:val="C00000"/>
        </w:rPr>
        <w:t>Reading Genesis 1-2; An Evangelical Conversation</w:t>
      </w:r>
      <w:r w:rsidRPr="00894252">
        <w:rPr>
          <w:color w:val="C00000"/>
        </w:rPr>
        <w:t xml:space="preserve">, ed. J. Daryl Charles </w:t>
      </w:r>
      <w:r w:rsidRPr="00894252">
        <w:rPr>
          <w:rFonts w:asciiTheme="majorBidi" w:hAnsiTheme="majorBidi" w:cstheme="majorBidi"/>
          <w:color w:val="C00000"/>
        </w:rPr>
        <w:t>(Peabody, Mass: Hendrickson, 2013), 7-34.</w:t>
      </w:r>
      <w:bookmarkEnd w:id="439"/>
    </w:p>
  </w:footnote>
  <w:footnote w:id="240">
    <w:p w14:paraId="1C30D208" w14:textId="161BD846" w:rsidR="00BF3164" w:rsidRPr="00BA3E20" w:rsidRDefault="00BA3E20" w:rsidP="00BF3164">
      <w:pPr>
        <w:pStyle w:val="FootnoteText"/>
        <w:rPr>
          <w:rtl/>
          <w:lang w:bidi="ar-JO"/>
        </w:rPr>
      </w:pPr>
      <w:r>
        <w:rPr>
          <w:rStyle w:val="FootnoteReference"/>
        </w:rPr>
        <w:footnoteRef/>
      </w:r>
      <w:r>
        <w:rPr>
          <w:rFonts w:hint="cs"/>
          <w:rtl/>
          <w:lang w:bidi="ar-JO"/>
        </w:rPr>
        <w:t xml:space="preserve"> </w:t>
      </w:r>
      <w:r w:rsidR="00BF3164" w:rsidRPr="00894252">
        <w:t xml:space="preserve">Tremper Longman III, “What Genesis 1–2 Teaches (and What It Doesn’t),” in </w:t>
      </w:r>
      <w:r w:rsidR="00BF3164" w:rsidRPr="00894252">
        <w:rPr>
          <w:i/>
          <w:iCs/>
        </w:rPr>
        <w:t>Reading Genesis 1-2; An Evangelical Conversation</w:t>
      </w:r>
      <w:r w:rsidR="00BF3164" w:rsidRPr="00894252">
        <w:t xml:space="preserve">, ed. J. Daryl Charles </w:t>
      </w:r>
      <w:r w:rsidR="00BF3164" w:rsidRPr="00894252">
        <w:rPr>
          <w:rFonts w:asciiTheme="majorBidi" w:hAnsiTheme="majorBidi" w:cstheme="majorBidi"/>
        </w:rPr>
        <w:t>(Peabody, Mass: Hendrickson, 2013), 103-128</w:t>
      </w:r>
      <w:r>
        <w:rPr>
          <w:rFonts w:hint="cs"/>
          <w:rtl/>
          <w:lang w:bidi="ar-JO"/>
        </w:rPr>
        <w:t>.</w:t>
      </w:r>
      <w:r w:rsidR="00BF3164">
        <w:rPr>
          <w:rFonts w:hint="cs"/>
          <w:rtl/>
          <w:lang w:bidi="ar-JO"/>
        </w:rPr>
        <w:t xml:space="preserve"> من بين الذين يدافعون عن التطوُّر الإلهي أيضاً فران</w:t>
      </w:r>
      <w:r w:rsidR="003A1CED">
        <w:rPr>
          <w:rFonts w:hint="cs"/>
          <w:rtl/>
          <w:lang w:bidi="ar-JO"/>
        </w:rPr>
        <w:t>س</w:t>
      </w:r>
      <w:r w:rsidR="00BF3164">
        <w:rPr>
          <w:rFonts w:hint="cs"/>
          <w:rtl/>
          <w:lang w:bidi="ar-JO"/>
        </w:rPr>
        <w:t>يس كولينز (</w:t>
      </w:r>
      <w:r w:rsidR="00BF3164">
        <w:rPr>
          <w:lang w:bidi="ar-JO"/>
        </w:rPr>
        <w:t xml:space="preserve">Francis Collins, </w:t>
      </w:r>
      <w:r w:rsidR="00BF3164" w:rsidRPr="002371DD">
        <w:rPr>
          <w:rFonts w:asciiTheme="majorBidi" w:hAnsiTheme="majorBidi" w:cstheme="majorBidi"/>
          <w:i/>
          <w:iCs/>
        </w:rPr>
        <w:t>The Language of God</w:t>
      </w:r>
      <w:r w:rsidR="00BF3164" w:rsidRPr="00894252">
        <w:rPr>
          <w:rFonts w:asciiTheme="majorBidi" w:hAnsiTheme="majorBidi" w:cstheme="majorBidi"/>
        </w:rPr>
        <w:t xml:space="preserve"> [New York: Free Press, 2006]</w:t>
      </w:r>
      <w:r w:rsidR="00BF3164">
        <w:rPr>
          <w:rFonts w:hint="cs"/>
          <w:rtl/>
          <w:lang w:bidi="ar-JO"/>
        </w:rPr>
        <w:t>)؛ ون. ت. رايت (</w:t>
      </w:r>
      <w:r w:rsidR="00BF3164">
        <w:rPr>
          <w:lang w:bidi="ar-JO"/>
        </w:rPr>
        <w:t xml:space="preserve">N. T. Wright, </w:t>
      </w:r>
      <w:r w:rsidR="00BF3164" w:rsidRPr="00894252">
        <w:rPr>
          <w:rFonts w:asciiTheme="majorBidi" w:hAnsiTheme="majorBidi" w:cstheme="majorBidi"/>
          <w:i/>
          <w:iCs/>
        </w:rPr>
        <w:t>Surprised by Scripture: Engaging with Contemporary Issues</w:t>
      </w:r>
      <w:r w:rsidR="00BF3164" w:rsidRPr="00894252">
        <w:rPr>
          <w:rFonts w:asciiTheme="majorBidi" w:hAnsiTheme="majorBidi" w:cstheme="majorBidi"/>
        </w:rPr>
        <w:t xml:space="preserve"> [Great Britain: SPCK, 2014], 1-40</w:t>
      </w:r>
      <w:r w:rsidR="00BF3164">
        <w:rPr>
          <w:rFonts w:hint="cs"/>
          <w:rtl/>
          <w:lang w:bidi="ar-JO"/>
        </w:rPr>
        <w:t>)؛  ومنظمة "بيولوغوس" (</w:t>
      </w:r>
      <w:r w:rsidR="00BF3164">
        <w:rPr>
          <w:lang w:bidi="ar-JO"/>
        </w:rPr>
        <w:t>Biologos</w:t>
      </w:r>
      <w:r w:rsidR="00BF3164">
        <w:rPr>
          <w:rFonts w:hint="cs"/>
          <w:rtl/>
          <w:lang w:bidi="ar-JO"/>
        </w:rPr>
        <w:t>)؛ وبروس وا</w:t>
      </w:r>
      <w:r w:rsidR="003A1CED">
        <w:rPr>
          <w:rFonts w:hint="cs"/>
          <w:rtl/>
          <w:lang w:bidi="ar-JO"/>
        </w:rPr>
        <w:t>ل</w:t>
      </w:r>
      <w:r w:rsidR="00BF3164">
        <w:rPr>
          <w:rFonts w:hint="cs"/>
          <w:rtl/>
          <w:lang w:bidi="ar-JO"/>
        </w:rPr>
        <w:t>كي (</w:t>
      </w:r>
      <w:r w:rsidR="00BF3164">
        <w:rPr>
          <w:lang w:bidi="ar-JO"/>
        </w:rPr>
        <w:t xml:space="preserve">Bruce K. Waltke, </w:t>
      </w:r>
      <w:r w:rsidR="00BF3164" w:rsidRPr="00894252">
        <w:rPr>
          <w:rFonts w:asciiTheme="majorBidi" w:hAnsiTheme="majorBidi" w:cstheme="majorBidi"/>
          <w:i/>
          <w:iCs/>
        </w:rPr>
        <w:t>An Old Testament Theology</w:t>
      </w:r>
      <w:r w:rsidR="00BF3164" w:rsidRPr="00894252">
        <w:rPr>
          <w:rFonts w:asciiTheme="majorBidi" w:hAnsiTheme="majorBidi" w:cstheme="majorBidi"/>
        </w:rPr>
        <w:t xml:space="preserve"> [Grand Rapids: Zondervan, 2007], 202</w:t>
      </w:r>
      <w:r w:rsidR="00BF3164">
        <w:rPr>
          <w:rFonts w:hint="cs"/>
          <w:rtl/>
          <w:lang w:bidi="ar-JO"/>
        </w:rPr>
        <w:t>)؛ وكيث ب. ميلر ومار نول وآخرون (</w:t>
      </w:r>
      <w:r w:rsidR="00BF3164">
        <w:rPr>
          <w:lang w:bidi="ar-JO"/>
        </w:rPr>
        <w:t xml:space="preserve">Keith B. Miller, Mark Noll, et al, </w:t>
      </w:r>
      <w:r w:rsidR="00BF3164" w:rsidRPr="00894252">
        <w:rPr>
          <w:rFonts w:asciiTheme="majorBidi" w:hAnsiTheme="majorBidi" w:cstheme="majorBidi"/>
          <w:i/>
          <w:iCs/>
        </w:rPr>
        <w:t>Perspectives on an Evolving Creation</w:t>
      </w:r>
      <w:r w:rsidR="00BF3164" w:rsidRPr="00894252">
        <w:rPr>
          <w:rFonts w:asciiTheme="majorBidi" w:hAnsiTheme="majorBidi" w:cstheme="majorBidi"/>
        </w:rPr>
        <w:t xml:space="preserve"> (Grand Rapids: Eerdmans, 2003</w:t>
      </w:r>
      <w:r w:rsidR="00BF3164">
        <w:rPr>
          <w:rFonts w:hint="cs"/>
          <w:rtl/>
          <w:lang w:bidi="ar-JO"/>
        </w:rPr>
        <w:t>)</w:t>
      </w:r>
    </w:p>
  </w:footnote>
  <w:footnote w:id="241">
    <w:p w14:paraId="652D583E" w14:textId="77777777" w:rsidR="00263246" w:rsidRDefault="00263246" w:rsidP="00263246">
      <w:pPr>
        <w:pStyle w:val="FootnoteTxtNewParag"/>
        <w:rPr>
          <w:rtl/>
          <w:lang w:bidi="ar-SA"/>
        </w:rPr>
      </w:pPr>
      <w:r>
        <w:rPr>
          <w:rStyle w:val="FootnoteReference"/>
          <w:sz w:val="22"/>
          <w:szCs w:val="24"/>
        </w:rPr>
        <w:footnoteRef/>
      </w:r>
      <w:r>
        <w:t xml:space="preserve"> </w:t>
      </w:r>
      <w:r>
        <w:rPr>
          <w:rFonts w:hint="cs"/>
          <w:rtl/>
        </w:rPr>
        <w:t xml:space="preserve"> </w:t>
      </w:r>
      <w:r>
        <w:rPr>
          <w:rFonts w:hint="cs"/>
          <w:rtl/>
          <w:lang w:bidi="ar-KW"/>
        </w:rPr>
        <w:t>من أجل مسح مفيد للعلماء اليهود والمسيحيين الذين شككوا في نواحٍ مختلفة للتأليف الموسوي، انظر</w:t>
      </w:r>
      <w:r>
        <w:t xml:space="preserve">Herbert Wolf, </w:t>
      </w:r>
      <w:r>
        <w:rPr>
          <w:i/>
          <w:iCs/>
        </w:rPr>
        <w:t>An Introduction to the Old Testament Pentateuch</w:t>
      </w:r>
      <w:r>
        <w:t xml:space="preserve"> (Chicago:  Moody Press, 1991), 60-62</w:t>
      </w:r>
      <w:r>
        <w:rPr>
          <w:rFonts w:hint="cs"/>
          <w:rtl/>
        </w:rPr>
        <w:t>.</w:t>
      </w:r>
    </w:p>
  </w:footnote>
  <w:footnote w:id="242">
    <w:p w14:paraId="179F3D8F" w14:textId="77777777" w:rsidR="00263246" w:rsidRDefault="00263246" w:rsidP="00263246">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R. K. Harrison, </w:t>
      </w:r>
      <w:r>
        <w:rPr>
          <w:i/>
          <w:iCs/>
        </w:rPr>
        <w:t>Introduction to the Old Testament</w:t>
      </w:r>
      <w:r>
        <w:t xml:space="preserve"> (Grand Rapids, MI:  Wm. B. Eerdmans Pub. Co., 1969), 14.</w:t>
      </w:r>
    </w:p>
  </w:footnote>
  <w:footnote w:id="243">
    <w:p w14:paraId="5309542A" w14:textId="77777777" w:rsidR="00263246" w:rsidRDefault="00263246" w:rsidP="00263246">
      <w:pPr>
        <w:pStyle w:val="FootnoteTxtNewParag"/>
        <w:bidi w:val="0"/>
        <w:rPr>
          <w:rtl/>
          <w:lang w:bidi="ar-SA"/>
        </w:rPr>
      </w:pPr>
      <w:r>
        <w:rPr>
          <w:rStyle w:val="FootnoteReference"/>
          <w:sz w:val="22"/>
          <w:szCs w:val="24"/>
        </w:rPr>
        <w:footnoteRef/>
      </w:r>
      <w:r>
        <w:t xml:space="preserve"> </w:t>
      </w:r>
      <w:r>
        <w:rPr>
          <w:rFonts w:hint="cs"/>
          <w:rtl/>
        </w:rPr>
        <w:t xml:space="preserve"> </w:t>
      </w:r>
      <w:r>
        <w:t>Ewald, The Composition of Genesis Critically Examined.</w:t>
      </w:r>
    </w:p>
  </w:footnote>
  <w:footnote w:id="244">
    <w:p w14:paraId="27EEB875" w14:textId="77777777" w:rsidR="00263246" w:rsidRDefault="00263246" w:rsidP="00263246">
      <w:pPr>
        <w:pStyle w:val="FootnoteTxtNewParag"/>
        <w:bidi w:val="0"/>
        <w:rPr>
          <w:rtl/>
          <w:lang w:bidi="ar-SA"/>
        </w:rPr>
      </w:pPr>
      <w:r>
        <w:rPr>
          <w:rStyle w:val="FootnoteReference"/>
          <w:sz w:val="22"/>
          <w:szCs w:val="24"/>
        </w:rPr>
        <w:footnoteRef/>
      </w:r>
      <w:r>
        <w:t xml:space="preserve"> </w:t>
      </w:r>
      <w:r>
        <w:rPr>
          <w:rFonts w:hint="cs"/>
          <w:rtl/>
        </w:rPr>
        <w:t xml:space="preserve"> </w:t>
      </w:r>
      <w:r>
        <w:t>Hupfeld, The Sources of Genesis.</w:t>
      </w:r>
    </w:p>
  </w:footnote>
  <w:footnote w:id="245">
    <w:p w14:paraId="0C273B3F" w14:textId="77777777" w:rsidR="00263246" w:rsidRDefault="00263246" w:rsidP="00263246">
      <w:pPr>
        <w:pStyle w:val="FootnoteTxtNewParag"/>
        <w:bidi w:val="0"/>
        <w:rPr>
          <w:rtl/>
          <w:lang w:bidi="ar-KW"/>
        </w:rPr>
      </w:pPr>
      <w:r>
        <w:rPr>
          <w:rStyle w:val="FootnoteReference"/>
          <w:sz w:val="22"/>
          <w:szCs w:val="24"/>
        </w:rPr>
        <w:footnoteRef/>
      </w:r>
      <w:r>
        <w:t xml:space="preserve"> </w:t>
      </w:r>
      <w:r>
        <w:rPr>
          <w:rFonts w:hint="cs"/>
          <w:rtl/>
        </w:rPr>
        <w:t xml:space="preserve"> </w:t>
      </w:r>
      <w:r>
        <w:t>Harrison, 22.</w:t>
      </w:r>
    </w:p>
  </w:footnote>
  <w:footnote w:id="246">
    <w:p w14:paraId="58189216" w14:textId="77777777" w:rsidR="00263246" w:rsidRDefault="00263246" w:rsidP="00263246">
      <w:pPr>
        <w:pStyle w:val="FootnoteTxtNewParag"/>
        <w:bidi w:val="0"/>
        <w:rPr>
          <w:rtl/>
          <w:lang w:bidi="ar-SA"/>
        </w:rPr>
      </w:pPr>
      <w:r>
        <w:rPr>
          <w:rStyle w:val="FootnoteReference"/>
          <w:sz w:val="22"/>
          <w:szCs w:val="24"/>
        </w:rPr>
        <w:footnoteRef/>
      </w:r>
      <w:r>
        <w:t xml:space="preserve"> </w:t>
      </w:r>
      <w:r>
        <w:rPr>
          <w:rFonts w:hint="cs"/>
          <w:rtl/>
        </w:rPr>
        <w:t xml:space="preserve"> </w:t>
      </w:r>
      <w:r>
        <w:t>G. Herbert Livingston, The Pentateuch in its Cultural Environment, 229.</w:t>
      </w:r>
    </w:p>
  </w:footnote>
  <w:footnote w:id="247">
    <w:p w14:paraId="41A94AA8" w14:textId="77777777" w:rsidR="00263246" w:rsidRDefault="00263246" w:rsidP="00263246">
      <w:pPr>
        <w:pStyle w:val="FootnoteTxtNewParag"/>
        <w:bidi w:val="0"/>
        <w:rPr>
          <w:rtl/>
          <w:lang w:bidi="ar-SA"/>
        </w:rPr>
      </w:pPr>
      <w:r>
        <w:rPr>
          <w:rStyle w:val="FootnoteReference"/>
          <w:sz w:val="22"/>
          <w:szCs w:val="24"/>
        </w:rPr>
        <w:footnoteRef/>
      </w:r>
      <w:r>
        <w:t xml:space="preserve"> </w:t>
      </w:r>
      <w:r>
        <w:rPr>
          <w:rFonts w:hint="cs"/>
          <w:rtl/>
        </w:rPr>
        <w:t xml:space="preserve"> </w:t>
      </w:r>
      <w:r>
        <w:t>Gerhard von Rad, Deuteronomy:  A Commentary, 23.</w:t>
      </w:r>
    </w:p>
  </w:footnote>
  <w:footnote w:id="248">
    <w:p w14:paraId="16A1E1C1" w14:textId="3D42DC2B" w:rsidR="00263246" w:rsidRDefault="00263246" w:rsidP="00902A44">
      <w:pPr>
        <w:pStyle w:val="FootnoteTxtNewParag"/>
        <w:rPr>
          <w:rtl/>
          <w:lang w:bidi="ar-SA"/>
        </w:rPr>
      </w:pPr>
      <w:r>
        <w:rPr>
          <w:rStyle w:val="FootnoteReference"/>
          <w:sz w:val="22"/>
          <w:szCs w:val="24"/>
        </w:rPr>
        <w:footnoteRef/>
      </w:r>
      <w:r>
        <w:t xml:space="preserve"> </w:t>
      </w:r>
      <w:r w:rsidR="00526A9F">
        <w:rPr>
          <w:rFonts w:hint="cs"/>
          <w:rtl/>
        </w:rPr>
        <w:t xml:space="preserve">للاطّلاع على عرضٍ للحجج </w:t>
      </w:r>
      <w:r w:rsidR="00902A44">
        <w:rPr>
          <w:rFonts w:hint="cs"/>
          <w:rtl/>
        </w:rPr>
        <w:t xml:space="preserve">على عدم كون موسى كاتب الأسفار الخمسة، يقدِّمها عالمٌ نقديٌّ، انظر </w:t>
      </w:r>
      <w:r w:rsidR="00902A44">
        <w:t xml:space="preserve">J. Alberto Soggin, </w:t>
      </w:r>
      <w:r w:rsidR="00902A44">
        <w:rPr>
          <w:i/>
          <w:iCs/>
        </w:rPr>
        <w:t>Introduction</w:t>
      </w:r>
      <w:r w:rsidR="00902A44">
        <w:t>, 80-83</w:t>
      </w:r>
      <w:r w:rsidR="00902A44">
        <w:rPr>
          <w:rFonts w:hint="cs"/>
          <w:rtl/>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4D297C"/>
    <w:multiLevelType w:val="hybridMultilevel"/>
    <w:tmpl w:val="579453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C990C73"/>
    <w:multiLevelType w:val="hybridMultilevel"/>
    <w:tmpl w:val="ABEC0F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358512D"/>
    <w:multiLevelType w:val="hybridMultilevel"/>
    <w:tmpl w:val="C6486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6F2EDF"/>
    <w:multiLevelType w:val="hybridMultilevel"/>
    <w:tmpl w:val="97D0A81A"/>
    <w:lvl w:ilvl="0" w:tplc="08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1428783F"/>
    <w:multiLevelType w:val="hybridMultilevel"/>
    <w:tmpl w:val="30021306"/>
    <w:lvl w:ilvl="0" w:tplc="91944F64">
      <w:start w:val="1"/>
      <w:numFmt w:val="decimal"/>
      <w:lvlText w:val="%1."/>
      <w:lvlJc w:val="left"/>
      <w:pPr>
        <w:ind w:left="900" w:hanging="360"/>
      </w:pPr>
      <w:rPr>
        <w:rFonts w:asciiTheme="majorBidi" w:hAnsiTheme="majorBidi" w:cstheme="majorBidi" w:hint="default"/>
        <w:sz w:val="24"/>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5BE3FBA"/>
    <w:multiLevelType w:val="hybridMultilevel"/>
    <w:tmpl w:val="48FAF748"/>
    <w:lvl w:ilvl="0" w:tplc="79A4171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95F79AF"/>
    <w:multiLevelType w:val="hybridMultilevel"/>
    <w:tmpl w:val="7578E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59707F"/>
    <w:multiLevelType w:val="hybridMultilevel"/>
    <w:tmpl w:val="15C8F0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757736D"/>
    <w:multiLevelType w:val="hybridMultilevel"/>
    <w:tmpl w:val="E6CE31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A623629"/>
    <w:multiLevelType w:val="hybridMultilevel"/>
    <w:tmpl w:val="EB522B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C4560C"/>
    <w:multiLevelType w:val="hybridMultilevel"/>
    <w:tmpl w:val="C4B866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D537A18"/>
    <w:multiLevelType w:val="hybridMultilevel"/>
    <w:tmpl w:val="856AAAAA"/>
    <w:lvl w:ilvl="0" w:tplc="13DAD7C6">
      <w:start w:val="9"/>
      <w:numFmt w:val="decimal"/>
      <w:lvlText w:val="%1."/>
      <w:lvlJc w:val="left"/>
      <w:pPr>
        <w:tabs>
          <w:tab w:val="num" w:pos="1576"/>
        </w:tabs>
        <w:ind w:left="1576" w:right="1576" w:hanging="555"/>
      </w:pPr>
      <w:rPr>
        <w:rFonts w:hint="default"/>
      </w:rPr>
    </w:lvl>
    <w:lvl w:ilvl="1" w:tplc="04010019" w:tentative="1">
      <w:start w:val="1"/>
      <w:numFmt w:val="lowerLetter"/>
      <w:lvlText w:val="%2."/>
      <w:lvlJc w:val="left"/>
      <w:pPr>
        <w:tabs>
          <w:tab w:val="num" w:pos="2101"/>
        </w:tabs>
        <w:ind w:left="2101" w:right="2101" w:hanging="360"/>
      </w:pPr>
    </w:lvl>
    <w:lvl w:ilvl="2" w:tplc="0401001B" w:tentative="1">
      <w:start w:val="1"/>
      <w:numFmt w:val="lowerRoman"/>
      <w:lvlText w:val="%3."/>
      <w:lvlJc w:val="right"/>
      <w:pPr>
        <w:tabs>
          <w:tab w:val="num" w:pos="2821"/>
        </w:tabs>
        <w:ind w:left="2821" w:right="2821" w:hanging="180"/>
      </w:pPr>
    </w:lvl>
    <w:lvl w:ilvl="3" w:tplc="0401000F" w:tentative="1">
      <w:start w:val="1"/>
      <w:numFmt w:val="decimal"/>
      <w:lvlText w:val="%4."/>
      <w:lvlJc w:val="left"/>
      <w:pPr>
        <w:tabs>
          <w:tab w:val="num" w:pos="3541"/>
        </w:tabs>
        <w:ind w:left="3541" w:right="3541" w:hanging="360"/>
      </w:pPr>
    </w:lvl>
    <w:lvl w:ilvl="4" w:tplc="04010019" w:tentative="1">
      <w:start w:val="1"/>
      <w:numFmt w:val="lowerLetter"/>
      <w:lvlText w:val="%5."/>
      <w:lvlJc w:val="left"/>
      <w:pPr>
        <w:tabs>
          <w:tab w:val="num" w:pos="4261"/>
        </w:tabs>
        <w:ind w:left="4261" w:right="4261" w:hanging="360"/>
      </w:pPr>
    </w:lvl>
    <w:lvl w:ilvl="5" w:tplc="0401001B" w:tentative="1">
      <w:start w:val="1"/>
      <w:numFmt w:val="lowerRoman"/>
      <w:lvlText w:val="%6."/>
      <w:lvlJc w:val="right"/>
      <w:pPr>
        <w:tabs>
          <w:tab w:val="num" w:pos="4981"/>
        </w:tabs>
        <w:ind w:left="4981" w:right="4981" w:hanging="180"/>
      </w:pPr>
    </w:lvl>
    <w:lvl w:ilvl="6" w:tplc="0401000F" w:tentative="1">
      <w:start w:val="1"/>
      <w:numFmt w:val="decimal"/>
      <w:lvlText w:val="%7."/>
      <w:lvlJc w:val="left"/>
      <w:pPr>
        <w:tabs>
          <w:tab w:val="num" w:pos="5701"/>
        </w:tabs>
        <w:ind w:left="5701" w:right="5701" w:hanging="360"/>
      </w:pPr>
    </w:lvl>
    <w:lvl w:ilvl="7" w:tplc="04010019" w:tentative="1">
      <w:start w:val="1"/>
      <w:numFmt w:val="lowerLetter"/>
      <w:lvlText w:val="%8."/>
      <w:lvlJc w:val="left"/>
      <w:pPr>
        <w:tabs>
          <w:tab w:val="num" w:pos="6421"/>
        </w:tabs>
        <w:ind w:left="6421" w:right="6421" w:hanging="360"/>
      </w:pPr>
    </w:lvl>
    <w:lvl w:ilvl="8" w:tplc="0401001B" w:tentative="1">
      <w:start w:val="1"/>
      <w:numFmt w:val="lowerRoman"/>
      <w:lvlText w:val="%9."/>
      <w:lvlJc w:val="right"/>
      <w:pPr>
        <w:tabs>
          <w:tab w:val="num" w:pos="7141"/>
        </w:tabs>
        <w:ind w:left="7141" w:right="7141" w:hanging="180"/>
      </w:pPr>
    </w:lvl>
  </w:abstractNum>
  <w:abstractNum w:abstractNumId="12" w15:restartNumberingAfterBreak="0">
    <w:nsid w:val="307124BC"/>
    <w:multiLevelType w:val="hybridMultilevel"/>
    <w:tmpl w:val="23666D08"/>
    <w:lvl w:ilvl="0" w:tplc="2BE42618">
      <w:start w:val="1"/>
      <w:numFmt w:val="decimal"/>
      <w:lvlText w:val="%1."/>
      <w:lvlJc w:val="left"/>
      <w:pPr>
        <w:ind w:left="1440" w:hanging="720"/>
      </w:pPr>
      <w:rPr>
        <w:rFonts w:ascii="Arabic Typesetting" w:hAnsi="Arabic Typesetting" w:cs="Arabic Typesetting" w:hint="default"/>
        <w:b w:val="0"/>
        <w:bCs w:val="0"/>
        <w:i w:val="0"/>
        <w:iCs w:val="0"/>
        <w:sz w:val="36"/>
        <w:szCs w:val="36"/>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3FB6309"/>
    <w:multiLevelType w:val="hybridMultilevel"/>
    <w:tmpl w:val="B15A5E7A"/>
    <w:lvl w:ilvl="0" w:tplc="1582688E">
      <w:start w:val="3"/>
      <w:numFmt w:val="decimal"/>
      <w:lvlText w:val="(%1)"/>
      <w:lvlJc w:val="left"/>
      <w:pPr>
        <w:tabs>
          <w:tab w:val="num" w:pos="1576"/>
        </w:tabs>
        <w:ind w:left="1576" w:right="1576" w:hanging="555"/>
      </w:pPr>
      <w:rPr>
        <w:rFonts w:hint="default"/>
      </w:rPr>
    </w:lvl>
    <w:lvl w:ilvl="1" w:tplc="04010019" w:tentative="1">
      <w:start w:val="1"/>
      <w:numFmt w:val="lowerLetter"/>
      <w:lvlText w:val="%2."/>
      <w:lvlJc w:val="left"/>
      <w:pPr>
        <w:tabs>
          <w:tab w:val="num" w:pos="2101"/>
        </w:tabs>
        <w:ind w:left="2101" w:right="2101" w:hanging="360"/>
      </w:pPr>
    </w:lvl>
    <w:lvl w:ilvl="2" w:tplc="0401001B" w:tentative="1">
      <w:start w:val="1"/>
      <w:numFmt w:val="lowerRoman"/>
      <w:lvlText w:val="%3."/>
      <w:lvlJc w:val="right"/>
      <w:pPr>
        <w:tabs>
          <w:tab w:val="num" w:pos="2821"/>
        </w:tabs>
        <w:ind w:left="2821" w:right="2821" w:hanging="180"/>
      </w:pPr>
    </w:lvl>
    <w:lvl w:ilvl="3" w:tplc="0401000F" w:tentative="1">
      <w:start w:val="1"/>
      <w:numFmt w:val="decimal"/>
      <w:lvlText w:val="%4."/>
      <w:lvlJc w:val="left"/>
      <w:pPr>
        <w:tabs>
          <w:tab w:val="num" w:pos="3541"/>
        </w:tabs>
        <w:ind w:left="3541" w:right="3541" w:hanging="360"/>
      </w:pPr>
    </w:lvl>
    <w:lvl w:ilvl="4" w:tplc="04010019" w:tentative="1">
      <w:start w:val="1"/>
      <w:numFmt w:val="lowerLetter"/>
      <w:lvlText w:val="%5."/>
      <w:lvlJc w:val="left"/>
      <w:pPr>
        <w:tabs>
          <w:tab w:val="num" w:pos="4261"/>
        </w:tabs>
        <w:ind w:left="4261" w:right="4261" w:hanging="360"/>
      </w:pPr>
    </w:lvl>
    <w:lvl w:ilvl="5" w:tplc="0401001B" w:tentative="1">
      <w:start w:val="1"/>
      <w:numFmt w:val="lowerRoman"/>
      <w:lvlText w:val="%6."/>
      <w:lvlJc w:val="right"/>
      <w:pPr>
        <w:tabs>
          <w:tab w:val="num" w:pos="4981"/>
        </w:tabs>
        <w:ind w:left="4981" w:right="4981" w:hanging="180"/>
      </w:pPr>
    </w:lvl>
    <w:lvl w:ilvl="6" w:tplc="0401000F" w:tentative="1">
      <w:start w:val="1"/>
      <w:numFmt w:val="decimal"/>
      <w:lvlText w:val="%7."/>
      <w:lvlJc w:val="left"/>
      <w:pPr>
        <w:tabs>
          <w:tab w:val="num" w:pos="5701"/>
        </w:tabs>
        <w:ind w:left="5701" w:right="5701" w:hanging="360"/>
      </w:pPr>
    </w:lvl>
    <w:lvl w:ilvl="7" w:tplc="04010019" w:tentative="1">
      <w:start w:val="1"/>
      <w:numFmt w:val="lowerLetter"/>
      <w:lvlText w:val="%8."/>
      <w:lvlJc w:val="left"/>
      <w:pPr>
        <w:tabs>
          <w:tab w:val="num" w:pos="6421"/>
        </w:tabs>
        <w:ind w:left="6421" w:right="6421" w:hanging="360"/>
      </w:pPr>
    </w:lvl>
    <w:lvl w:ilvl="8" w:tplc="0401001B" w:tentative="1">
      <w:start w:val="1"/>
      <w:numFmt w:val="lowerRoman"/>
      <w:lvlText w:val="%9."/>
      <w:lvlJc w:val="right"/>
      <w:pPr>
        <w:tabs>
          <w:tab w:val="num" w:pos="7141"/>
        </w:tabs>
        <w:ind w:left="7141" w:right="7141" w:hanging="180"/>
      </w:pPr>
    </w:lvl>
  </w:abstractNum>
  <w:abstractNum w:abstractNumId="14" w15:restartNumberingAfterBreak="0">
    <w:nsid w:val="38EE456A"/>
    <w:multiLevelType w:val="hybridMultilevel"/>
    <w:tmpl w:val="D17C37F6"/>
    <w:lvl w:ilvl="0" w:tplc="FFFFFFFF">
      <w:start w:val="1"/>
      <w:numFmt w:val="decimal"/>
      <w:lvlText w:val="%1."/>
      <w:lvlJc w:val="left"/>
      <w:pPr>
        <w:ind w:left="153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 w15:restartNumberingAfterBreak="0">
    <w:nsid w:val="3EAE65A4"/>
    <w:multiLevelType w:val="hybridMultilevel"/>
    <w:tmpl w:val="10226A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2E4592"/>
    <w:multiLevelType w:val="hybridMultilevel"/>
    <w:tmpl w:val="8292BB4E"/>
    <w:lvl w:ilvl="0" w:tplc="7852818E">
      <w:start w:val="1"/>
      <w:numFmt w:val="decimal"/>
      <w:lvlText w:val="%1."/>
      <w:lvlJc w:val="left"/>
      <w:pPr>
        <w:ind w:left="153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48E3673B"/>
    <w:multiLevelType w:val="hybridMultilevel"/>
    <w:tmpl w:val="065C75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B7C1F00"/>
    <w:multiLevelType w:val="hybridMultilevel"/>
    <w:tmpl w:val="2F1812A4"/>
    <w:lvl w:ilvl="0" w:tplc="2F600200">
      <w:start w:val="1"/>
      <w:numFmt w:val="arabicAlpha"/>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9" w15:restartNumberingAfterBreak="0">
    <w:nsid w:val="51EA5528"/>
    <w:multiLevelType w:val="hybridMultilevel"/>
    <w:tmpl w:val="9FD06040"/>
    <w:lvl w:ilvl="0" w:tplc="FB883522">
      <w:start w:val="2"/>
      <w:numFmt w:val="arabicAlpha"/>
      <w:lvlText w:val="%1."/>
      <w:lvlJc w:val="left"/>
      <w:pPr>
        <w:tabs>
          <w:tab w:val="num" w:pos="1576"/>
        </w:tabs>
        <w:ind w:left="1576" w:right="1576" w:hanging="555"/>
      </w:pPr>
      <w:rPr>
        <w:rFonts w:hint="default"/>
      </w:rPr>
    </w:lvl>
    <w:lvl w:ilvl="1" w:tplc="04010019" w:tentative="1">
      <w:start w:val="1"/>
      <w:numFmt w:val="lowerLetter"/>
      <w:lvlText w:val="%2."/>
      <w:lvlJc w:val="left"/>
      <w:pPr>
        <w:tabs>
          <w:tab w:val="num" w:pos="2101"/>
        </w:tabs>
        <w:ind w:left="2101" w:right="2101" w:hanging="360"/>
      </w:pPr>
    </w:lvl>
    <w:lvl w:ilvl="2" w:tplc="0401001B" w:tentative="1">
      <w:start w:val="1"/>
      <w:numFmt w:val="lowerRoman"/>
      <w:lvlText w:val="%3."/>
      <w:lvlJc w:val="right"/>
      <w:pPr>
        <w:tabs>
          <w:tab w:val="num" w:pos="2821"/>
        </w:tabs>
        <w:ind w:left="2821" w:right="2821" w:hanging="180"/>
      </w:pPr>
    </w:lvl>
    <w:lvl w:ilvl="3" w:tplc="0401000F" w:tentative="1">
      <w:start w:val="1"/>
      <w:numFmt w:val="decimal"/>
      <w:lvlText w:val="%4."/>
      <w:lvlJc w:val="left"/>
      <w:pPr>
        <w:tabs>
          <w:tab w:val="num" w:pos="3541"/>
        </w:tabs>
        <w:ind w:left="3541" w:right="3541" w:hanging="360"/>
      </w:pPr>
    </w:lvl>
    <w:lvl w:ilvl="4" w:tplc="04010019" w:tentative="1">
      <w:start w:val="1"/>
      <w:numFmt w:val="lowerLetter"/>
      <w:lvlText w:val="%5."/>
      <w:lvlJc w:val="left"/>
      <w:pPr>
        <w:tabs>
          <w:tab w:val="num" w:pos="4261"/>
        </w:tabs>
        <w:ind w:left="4261" w:right="4261" w:hanging="360"/>
      </w:pPr>
    </w:lvl>
    <w:lvl w:ilvl="5" w:tplc="0401001B" w:tentative="1">
      <w:start w:val="1"/>
      <w:numFmt w:val="lowerRoman"/>
      <w:lvlText w:val="%6."/>
      <w:lvlJc w:val="right"/>
      <w:pPr>
        <w:tabs>
          <w:tab w:val="num" w:pos="4981"/>
        </w:tabs>
        <w:ind w:left="4981" w:right="4981" w:hanging="180"/>
      </w:pPr>
    </w:lvl>
    <w:lvl w:ilvl="6" w:tplc="0401000F" w:tentative="1">
      <w:start w:val="1"/>
      <w:numFmt w:val="decimal"/>
      <w:lvlText w:val="%7."/>
      <w:lvlJc w:val="left"/>
      <w:pPr>
        <w:tabs>
          <w:tab w:val="num" w:pos="5701"/>
        </w:tabs>
        <w:ind w:left="5701" w:right="5701" w:hanging="360"/>
      </w:pPr>
    </w:lvl>
    <w:lvl w:ilvl="7" w:tplc="04010019" w:tentative="1">
      <w:start w:val="1"/>
      <w:numFmt w:val="lowerLetter"/>
      <w:lvlText w:val="%8."/>
      <w:lvlJc w:val="left"/>
      <w:pPr>
        <w:tabs>
          <w:tab w:val="num" w:pos="6421"/>
        </w:tabs>
        <w:ind w:left="6421" w:right="6421" w:hanging="360"/>
      </w:pPr>
    </w:lvl>
    <w:lvl w:ilvl="8" w:tplc="0401001B" w:tentative="1">
      <w:start w:val="1"/>
      <w:numFmt w:val="lowerRoman"/>
      <w:lvlText w:val="%9."/>
      <w:lvlJc w:val="right"/>
      <w:pPr>
        <w:tabs>
          <w:tab w:val="num" w:pos="7141"/>
        </w:tabs>
        <w:ind w:left="7141" w:right="7141" w:hanging="180"/>
      </w:pPr>
    </w:lvl>
  </w:abstractNum>
  <w:abstractNum w:abstractNumId="20" w15:restartNumberingAfterBreak="0">
    <w:nsid w:val="5E14019C"/>
    <w:multiLevelType w:val="hybridMultilevel"/>
    <w:tmpl w:val="C316A2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62BF0105"/>
    <w:multiLevelType w:val="hybridMultilevel"/>
    <w:tmpl w:val="1F0A1A2A"/>
    <w:lvl w:ilvl="0" w:tplc="C360AD90">
      <w:start w:val="8"/>
      <w:numFmt w:val="arabicAlpha"/>
      <w:lvlText w:val="%1."/>
      <w:lvlJc w:val="left"/>
      <w:pPr>
        <w:tabs>
          <w:tab w:val="num" w:pos="1576"/>
        </w:tabs>
        <w:ind w:left="1576" w:right="1576" w:hanging="555"/>
      </w:pPr>
      <w:rPr>
        <w:rFonts w:hint="cs"/>
        <w:sz w:val="26"/>
      </w:rPr>
    </w:lvl>
    <w:lvl w:ilvl="1" w:tplc="04010019" w:tentative="1">
      <w:start w:val="1"/>
      <w:numFmt w:val="lowerLetter"/>
      <w:lvlText w:val="%2."/>
      <w:lvlJc w:val="left"/>
      <w:pPr>
        <w:tabs>
          <w:tab w:val="num" w:pos="2101"/>
        </w:tabs>
        <w:ind w:left="2101" w:right="2101" w:hanging="360"/>
      </w:pPr>
    </w:lvl>
    <w:lvl w:ilvl="2" w:tplc="0401001B" w:tentative="1">
      <w:start w:val="1"/>
      <w:numFmt w:val="lowerRoman"/>
      <w:lvlText w:val="%3."/>
      <w:lvlJc w:val="right"/>
      <w:pPr>
        <w:tabs>
          <w:tab w:val="num" w:pos="2821"/>
        </w:tabs>
        <w:ind w:left="2821" w:right="2821" w:hanging="180"/>
      </w:pPr>
    </w:lvl>
    <w:lvl w:ilvl="3" w:tplc="0401000F" w:tentative="1">
      <w:start w:val="1"/>
      <w:numFmt w:val="decimal"/>
      <w:lvlText w:val="%4."/>
      <w:lvlJc w:val="left"/>
      <w:pPr>
        <w:tabs>
          <w:tab w:val="num" w:pos="3541"/>
        </w:tabs>
        <w:ind w:left="3541" w:right="3541" w:hanging="360"/>
      </w:pPr>
    </w:lvl>
    <w:lvl w:ilvl="4" w:tplc="04010019" w:tentative="1">
      <w:start w:val="1"/>
      <w:numFmt w:val="lowerLetter"/>
      <w:lvlText w:val="%5."/>
      <w:lvlJc w:val="left"/>
      <w:pPr>
        <w:tabs>
          <w:tab w:val="num" w:pos="4261"/>
        </w:tabs>
        <w:ind w:left="4261" w:right="4261" w:hanging="360"/>
      </w:pPr>
    </w:lvl>
    <w:lvl w:ilvl="5" w:tplc="0401001B" w:tentative="1">
      <w:start w:val="1"/>
      <w:numFmt w:val="lowerRoman"/>
      <w:lvlText w:val="%6."/>
      <w:lvlJc w:val="right"/>
      <w:pPr>
        <w:tabs>
          <w:tab w:val="num" w:pos="4981"/>
        </w:tabs>
        <w:ind w:left="4981" w:right="4981" w:hanging="180"/>
      </w:pPr>
    </w:lvl>
    <w:lvl w:ilvl="6" w:tplc="0401000F" w:tentative="1">
      <w:start w:val="1"/>
      <w:numFmt w:val="decimal"/>
      <w:lvlText w:val="%7."/>
      <w:lvlJc w:val="left"/>
      <w:pPr>
        <w:tabs>
          <w:tab w:val="num" w:pos="5701"/>
        </w:tabs>
        <w:ind w:left="5701" w:right="5701" w:hanging="360"/>
      </w:pPr>
    </w:lvl>
    <w:lvl w:ilvl="7" w:tplc="04010019" w:tentative="1">
      <w:start w:val="1"/>
      <w:numFmt w:val="lowerLetter"/>
      <w:lvlText w:val="%8."/>
      <w:lvlJc w:val="left"/>
      <w:pPr>
        <w:tabs>
          <w:tab w:val="num" w:pos="6421"/>
        </w:tabs>
        <w:ind w:left="6421" w:right="6421" w:hanging="360"/>
      </w:pPr>
    </w:lvl>
    <w:lvl w:ilvl="8" w:tplc="0401001B" w:tentative="1">
      <w:start w:val="1"/>
      <w:numFmt w:val="lowerRoman"/>
      <w:lvlText w:val="%9."/>
      <w:lvlJc w:val="right"/>
      <w:pPr>
        <w:tabs>
          <w:tab w:val="num" w:pos="7141"/>
        </w:tabs>
        <w:ind w:left="7141" w:right="7141" w:hanging="180"/>
      </w:pPr>
    </w:lvl>
  </w:abstractNum>
  <w:abstractNum w:abstractNumId="22" w15:restartNumberingAfterBreak="0">
    <w:nsid w:val="63272570"/>
    <w:multiLevelType w:val="hybridMultilevel"/>
    <w:tmpl w:val="A99C3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5596295"/>
    <w:multiLevelType w:val="hybridMultilevel"/>
    <w:tmpl w:val="61E404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69327243"/>
    <w:multiLevelType w:val="hybridMultilevel"/>
    <w:tmpl w:val="ACD056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6AE52B0D"/>
    <w:multiLevelType w:val="hybridMultilevel"/>
    <w:tmpl w:val="90B8568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D825EA0"/>
    <w:multiLevelType w:val="hybridMultilevel"/>
    <w:tmpl w:val="7BD2A762"/>
    <w:lvl w:ilvl="0" w:tplc="706C751E">
      <w:start w:val="3"/>
      <w:numFmt w:val="decimal"/>
      <w:lvlText w:val="%1."/>
      <w:lvlJc w:val="left"/>
      <w:pPr>
        <w:tabs>
          <w:tab w:val="num" w:pos="1576"/>
        </w:tabs>
        <w:ind w:left="1576" w:right="1576" w:hanging="555"/>
      </w:pPr>
      <w:rPr>
        <w:rFonts w:hint="cs"/>
      </w:rPr>
    </w:lvl>
    <w:lvl w:ilvl="1" w:tplc="04010019" w:tentative="1">
      <w:start w:val="1"/>
      <w:numFmt w:val="lowerLetter"/>
      <w:lvlText w:val="%2."/>
      <w:lvlJc w:val="left"/>
      <w:pPr>
        <w:tabs>
          <w:tab w:val="num" w:pos="2101"/>
        </w:tabs>
        <w:ind w:left="2101" w:right="2101" w:hanging="360"/>
      </w:pPr>
    </w:lvl>
    <w:lvl w:ilvl="2" w:tplc="0401001B" w:tentative="1">
      <w:start w:val="1"/>
      <w:numFmt w:val="lowerRoman"/>
      <w:lvlText w:val="%3."/>
      <w:lvlJc w:val="right"/>
      <w:pPr>
        <w:tabs>
          <w:tab w:val="num" w:pos="2821"/>
        </w:tabs>
        <w:ind w:left="2821" w:right="2821" w:hanging="180"/>
      </w:pPr>
    </w:lvl>
    <w:lvl w:ilvl="3" w:tplc="0401000F" w:tentative="1">
      <w:start w:val="1"/>
      <w:numFmt w:val="decimal"/>
      <w:lvlText w:val="%4."/>
      <w:lvlJc w:val="left"/>
      <w:pPr>
        <w:tabs>
          <w:tab w:val="num" w:pos="3541"/>
        </w:tabs>
        <w:ind w:left="3541" w:right="3541" w:hanging="360"/>
      </w:pPr>
    </w:lvl>
    <w:lvl w:ilvl="4" w:tplc="04010019" w:tentative="1">
      <w:start w:val="1"/>
      <w:numFmt w:val="lowerLetter"/>
      <w:lvlText w:val="%5."/>
      <w:lvlJc w:val="left"/>
      <w:pPr>
        <w:tabs>
          <w:tab w:val="num" w:pos="4261"/>
        </w:tabs>
        <w:ind w:left="4261" w:right="4261" w:hanging="360"/>
      </w:pPr>
    </w:lvl>
    <w:lvl w:ilvl="5" w:tplc="0401001B" w:tentative="1">
      <w:start w:val="1"/>
      <w:numFmt w:val="lowerRoman"/>
      <w:lvlText w:val="%6."/>
      <w:lvlJc w:val="right"/>
      <w:pPr>
        <w:tabs>
          <w:tab w:val="num" w:pos="4981"/>
        </w:tabs>
        <w:ind w:left="4981" w:right="4981" w:hanging="180"/>
      </w:pPr>
    </w:lvl>
    <w:lvl w:ilvl="6" w:tplc="0401000F" w:tentative="1">
      <w:start w:val="1"/>
      <w:numFmt w:val="decimal"/>
      <w:lvlText w:val="%7."/>
      <w:lvlJc w:val="left"/>
      <w:pPr>
        <w:tabs>
          <w:tab w:val="num" w:pos="5701"/>
        </w:tabs>
        <w:ind w:left="5701" w:right="5701" w:hanging="360"/>
      </w:pPr>
    </w:lvl>
    <w:lvl w:ilvl="7" w:tplc="04010019" w:tentative="1">
      <w:start w:val="1"/>
      <w:numFmt w:val="lowerLetter"/>
      <w:lvlText w:val="%8."/>
      <w:lvlJc w:val="left"/>
      <w:pPr>
        <w:tabs>
          <w:tab w:val="num" w:pos="6421"/>
        </w:tabs>
        <w:ind w:left="6421" w:right="6421" w:hanging="360"/>
      </w:pPr>
    </w:lvl>
    <w:lvl w:ilvl="8" w:tplc="0401001B" w:tentative="1">
      <w:start w:val="1"/>
      <w:numFmt w:val="lowerRoman"/>
      <w:lvlText w:val="%9."/>
      <w:lvlJc w:val="right"/>
      <w:pPr>
        <w:tabs>
          <w:tab w:val="num" w:pos="7141"/>
        </w:tabs>
        <w:ind w:left="7141" w:right="7141" w:hanging="180"/>
      </w:pPr>
    </w:lvl>
  </w:abstractNum>
  <w:abstractNum w:abstractNumId="27" w15:restartNumberingAfterBreak="0">
    <w:nsid w:val="6E806209"/>
    <w:multiLevelType w:val="hybridMultilevel"/>
    <w:tmpl w:val="6BCAAEF4"/>
    <w:lvl w:ilvl="0" w:tplc="6E960A02">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0623FFA"/>
    <w:multiLevelType w:val="hybridMultilevel"/>
    <w:tmpl w:val="8ADC9804"/>
    <w:lvl w:ilvl="0" w:tplc="2F60CEB4">
      <w:start w:val="2"/>
      <w:numFmt w:val="decimal"/>
      <w:lvlText w:val="%1)"/>
      <w:lvlJc w:val="left"/>
      <w:pPr>
        <w:tabs>
          <w:tab w:val="num" w:pos="2143"/>
        </w:tabs>
        <w:ind w:left="2143" w:right="2143" w:hanging="555"/>
      </w:pPr>
      <w:rPr>
        <w:rFonts w:hint="cs"/>
      </w:rPr>
    </w:lvl>
    <w:lvl w:ilvl="1" w:tplc="04010019" w:tentative="1">
      <w:start w:val="1"/>
      <w:numFmt w:val="lowerLetter"/>
      <w:lvlText w:val="%2."/>
      <w:lvlJc w:val="left"/>
      <w:pPr>
        <w:tabs>
          <w:tab w:val="num" w:pos="2668"/>
        </w:tabs>
        <w:ind w:left="2668" w:right="2668" w:hanging="360"/>
      </w:pPr>
    </w:lvl>
    <w:lvl w:ilvl="2" w:tplc="0401001B" w:tentative="1">
      <w:start w:val="1"/>
      <w:numFmt w:val="lowerRoman"/>
      <w:lvlText w:val="%3."/>
      <w:lvlJc w:val="right"/>
      <w:pPr>
        <w:tabs>
          <w:tab w:val="num" w:pos="3388"/>
        </w:tabs>
        <w:ind w:left="3388" w:right="3388" w:hanging="180"/>
      </w:pPr>
    </w:lvl>
    <w:lvl w:ilvl="3" w:tplc="0401000F" w:tentative="1">
      <w:start w:val="1"/>
      <w:numFmt w:val="decimal"/>
      <w:lvlText w:val="%4."/>
      <w:lvlJc w:val="left"/>
      <w:pPr>
        <w:tabs>
          <w:tab w:val="num" w:pos="4108"/>
        </w:tabs>
        <w:ind w:left="4108" w:right="4108" w:hanging="360"/>
      </w:pPr>
    </w:lvl>
    <w:lvl w:ilvl="4" w:tplc="04010019" w:tentative="1">
      <w:start w:val="1"/>
      <w:numFmt w:val="lowerLetter"/>
      <w:lvlText w:val="%5."/>
      <w:lvlJc w:val="left"/>
      <w:pPr>
        <w:tabs>
          <w:tab w:val="num" w:pos="4828"/>
        </w:tabs>
        <w:ind w:left="4828" w:right="4828" w:hanging="360"/>
      </w:pPr>
    </w:lvl>
    <w:lvl w:ilvl="5" w:tplc="0401001B" w:tentative="1">
      <w:start w:val="1"/>
      <w:numFmt w:val="lowerRoman"/>
      <w:lvlText w:val="%6."/>
      <w:lvlJc w:val="right"/>
      <w:pPr>
        <w:tabs>
          <w:tab w:val="num" w:pos="5548"/>
        </w:tabs>
        <w:ind w:left="5548" w:right="5548" w:hanging="180"/>
      </w:pPr>
    </w:lvl>
    <w:lvl w:ilvl="6" w:tplc="0401000F" w:tentative="1">
      <w:start w:val="1"/>
      <w:numFmt w:val="decimal"/>
      <w:lvlText w:val="%7."/>
      <w:lvlJc w:val="left"/>
      <w:pPr>
        <w:tabs>
          <w:tab w:val="num" w:pos="6268"/>
        </w:tabs>
        <w:ind w:left="6268" w:right="6268" w:hanging="360"/>
      </w:pPr>
    </w:lvl>
    <w:lvl w:ilvl="7" w:tplc="04010019" w:tentative="1">
      <w:start w:val="1"/>
      <w:numFmt w:val="lowerLetter"/>
      <w:lvlText w:val="%8."/>
      <w:lvlJc w:val="left"/>
      <w:pPr>
        <w:tabs>
          <w:tab w:val="num" w:pos="6988"/>
        </w:tabs>
        <w:ind w:left="6988" w:right="6988" w:hanging="360"/>
      </w:pPr>
    </w:lvl>
    <w:lvl w:ilvl="8" w:tplc="0401001B" w:tentative="1">
      <w:start w:val="1"/>
      <w:numFmt w:val="lowerRoman"/>
      <w:lvlText w:val="%9."/>
      <w:lvlJc w:val="right"/>
      <w:pPr>
        <w:tabs>
          <w:tab w:val="num" w:pos="7708"/>
        </w:tabs>
        <w:ind w:left="7708" w:right="7708" w:hanging="180"/>
      </w:pPr>
    </w:lvl>
  </w:abstractNum>
  <w:abstractNum w:abstractNumId="29" w15:restartNumberingAfterBreak="0">
    <w:nsid w:val="718544B4"/>
    <w:multiLevelType w:val="hybridMultilevel"/>
    <w:tmpl w:val="EE70CB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76F14B4B"/>
    <w:multiLevelType w:val="hybridMultilevel"/>
    <w:tmpl w:val="2EB672B4"/>
    <w:lvl w:ilvl="0" w:tplc="70BC5A2E">
      <w:start w:val="1"/>
      <w:numFmt w:val="decimal"/>
      <w:lvlText w:val="%1."/>
      <w:lvlJc w:val="left"/>
      <w:pPr>
        <w:ind w:left="1545" w:hanging="360"/>
      </w:pPr>
      <w:rPr>
        <w:rFonts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num w:numId="1" w16cid:durableId="1506751747">
    <w:abstractNumId w:val="12"/>
  </w:num>
  <w:num w:numId="2" w16cid:durableId="53547361">
    <w:abstractNumId w:val="22"/>
  </w:num>
  <w:num w:numId="3" w16cid:durableId="865093894">
    <w:abstractNumId w:val="16"/>
  </w:num>
  <w:num w:numId="4" w16cid:durableId="2001695339">
    <w:abstractNumId w:val="14"/>
  </w:num>
  <w:num w:numId="5" w16cid:durableId="1287155392">
    <w:abstractNumId w:val="2"/>
  </w:num>
  <w:num w:numId="6" w16cid:durableId="216935048">
    <w:abstractNumId w:val="21"/>
  </w:num>
  <w:num w:numId="7" w16cid:durableId="219486317">
    <w:abstractNumId w:val="28"/>
  </w:num>
  <w:num w:numId="8" w16cid:durableId="1104809596">
    <w:abstractNumId w:val="11"/>
  </w:num>
  <w:num w:numId="9" w16cid:durableId="110979300">
    <w:abstractNumId w:val="13"/>
  </w:num>
  <w:num w:numId="10" w16cid:durableId="243149876">
    <w:abstractNumId w:val="26"/>
  </w:num>
  <w:num w:numId="11" w16cid:durableId="1053654337">
    <w:abstractNumId w:val="19"/>
  </w:num>
  <w:num w:numId="12" w16cid:durableId="683941160">
    <w:abstractNumId w:val="30"/>
  </w:num>
  <w:num w:numId="13" w16cid:durableId="1821462595">
    <w:abstractNumId w:val="6"/>
  </w:num>
  <w:num w:numId="14" w16cid:durableId="1925412522">
    <w:abstractNumId w:val="27"/>
  </w:num>
  <w:num w:numId="15" w16cid:durableId="538662387">
    <w:abstractNumId w:val="18"/>
  </w:num>
  <w:num w:numId="16" w16cid:durableId="1552885640">
    <w:abstractNumId w:val="5"/>
  </w:num>
  <w:num w:numId="17" w16cid:durableId="1332954252">
    <w:abstractNumId w:val="4"/>
  </w:num>
  <w:num w:numId="18" w16cid:durableId="1403866404">
    <w:abstractNumId w:val="3"/>
  </w:num>
  <w:num w:numId="19" w16cid:durableId="1542400263">
    <w:abstractNumId w:val="15"/>
  </w:num>
  <w:num w:numId="20" w16cid:durableId="1683118587">
    <w:abstractNumId w:val="9"/>
  </w:num>
  <w:num w:numId="21" w16cid:durableId="1760714008">
    <w:abstractNumId w:val="7"/>
  </w:num>
  <w:num w:numId="22" w16cid:durableId="112868201">
    <w:abstractNumId w:val="23"/>
  </w:num>
  <w:num w:numId="23" w16cid:durableId="1939365327">
    <w:abstractNumId w:val="8"/>
  </w:num>
  <w:num w:numId="24" w16cid:durableId="57290047">
    <w:abstractNumId w:val="1"/>
  </w:num>
  <w:num w:numId="25" w16cid:durableId="1417020336">
    <w:abstractNumId w:val="10"/>
  </w:num>
  <w:num w:numId="26" w16cid:durableId="368843569">
    <w:abstractNumId w:val="25"/>
  </w:num>
  <w:num w:numId="27" w16cid:durableId="1577785340">
    <w:abstractNumId w:val="20"/>
  </w:num>
  <w:num w:numId="28" w16cid:durableId="793981399">
    <w:abstractNumId w:val="17"/>
  </w:num>
  <w:num w:numId="29" w16cid:durableId="1535272355">
    <w:abstractNumId w:val="29"/>
  </w:num>
  <w:num w:numId="30" w16cid:durableId="20978692">
    <w:abstractNumId w:val="24"/>
  </w:num>
  <w:num w:numId="31" w16cid:durableId="2126384849">
    <w:abstractNumId w:val="0"/>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693"/>
    <w:rsid w:val="00000693"/>
    <w:rsid w:val="000013B0"/>
    <w:rsid w:val="000016CE"/>
    <w:rsid w:val="00001AF1"/>
    <w:rsid w:val="00002345"/>
    <w:rsid w:val="00003420"/>
    <w:rsid w:val="0000596E"/>
    <w:rsid w:val="00005C98"/>
    <w:rsid w:val="0000688C"/>
    <w:rsid w:val="000106AE"/>
    <w:rsid w:val="00010ABA"/>
    <w:rsid w:val="00010B4E"/>
    <w:rsid w:val="00011462"/>
    <w:rsid w:val="00012DCC"/>
    <w:rsid w:val="0001335B"/>
    <w:rsid w:val="000148DB"/>
    <w:rsid w:val="000169B2"/>
    <w:rsid w:val="00017885"/>
    <w:rsid w:val="00020C27"/>
    <w:rsid w:val="00024DDB"/>
    <w:rsid w:val="00031330"/>
    <w:rsid w:val="00031873"/>
    <w:rsid w:val="00031DE3"/>
    <w:rsid w:val="00033C01"/>
    <w:rsid w:val="000351EC"/>
    <w:rsid w:val="000352E4"/>
    <w:rsid w:val="00040420"/>
    <w:rsid w:val="000410CD"/>
    <w:rsid w:val="00045346"/>
    <w:rsid w:val="00046041"/>
    <w:rsid w:val="000467AC"/>
    <w:rsid w:val="00052515"/>
    <w:rsid w:val="00052EFE"/>
    <w:rsid w:val="000543E2"/>
    <w:rsid w:val="00054B8E"/>
    <w:rsid w:val="000558B7"/>
    <w:rsid w:val="000608C5"/>
    <w:rsid w:val="00060AF9"/>
    <w:rsid w:val="00061FD9"/>
    <w:rsid w:val="0006219A"/>
    <w:rsid w:val="000706E7"/>
    <w:rsid w:val="00070B6E"/>
    <w:rsid w:val="00070D4E"/>
    <w:rsid w:val="00072E15"/>
    <w:rsid w:val="00074571"/>
    <w:rsid w:val="000747FF"/>
    <w:rsid w:val="00074C49"/>
    <w:rsid w:val="0007568B"/>
    <w:rsid w:val="00076790"/>
    <w:rsid w:val="000862C1"/>
    <w:rsid w:val="000871F4"/>
    <w:rsid w:val="00087B4C"/>
    <w:rsid w:val="00090148"/>
    <w:rsid w:val="00091A1A"/>
    <w:rsid w:val="000943D8"/>
    <w:rsid w:val="000A097B"/>
    <w:rsid w:val="000A24AD"/>
    <w:rsid w:val="000A3BFA"/>
    <w:rsid w:val="000A4E78"/>
    <w:rsid w:val="000B0134"/>
    <w:rsid w:val="000C14E0"/>
    <w:rsid w:val="000C4B91"/>
    <w:rsid w:val="000C7DD7"/>
    <w:rsid w:val="000D006A"/>
    <w:rsid w:val="000D4118"/>
    <w:rsid w:val="000D4B25"/>
    <w:rsid w:val="000D6760"/>
    <w:rsid w:val="000D6827"/>
    <w:rsid w:val="000E1D38"/>
    <w:rsid w:val="000E3425"/>
    <w:rsid w:val="000E498E"/>
    <w:rsid w:val="000E5C77"/>
    <w:rsid w:val="000E711D"/>
    <w:rsid w:val="000F0D08"/>
    <w:rsid w:val="000F0D72"/>
    <w:rsid w:val="000F41A5"/>
    <w:rsid w:val="000F4D16"/>
    <w:rsid w:val="000F57FB"/>
    <w:rsid w:val="00100636"/>
    <w:rsid w:val="00112143"/>
    <w:rsid w:val="00115A8E"/>
    <w:rsid w:val="00120849"/>
    <w:rsid w:val="001216B5"/>
    <w:rsid w:val="00123E49"/>
    <w:rsid w:val="0013317B"/>
    <w:rsid w:val="00135CF7"/>
    <w:rsid w:val="0013717C"/>
    <w:rsid w:val="00141112"/>
    <w:rsid w:val="001426DA"/>
    <w:rsid w:val="00152632"/>
    <w:rsid w:val="0015557D"/>
    <w:rsid w:val="00157C23"/>
    <w:rsid w:val="001637BE"/>
    <w:rsid w:val="00163F98"/>
    <w:rsid w:val="0016537C"/>
    <w:rsid w:val="00172E6D"/>
    <w:rsid w:val="00172F99"/>
    <w:rsid w:val="00174239"/>
    <w:rsid w:val="00174663"/>
    <w:rsid w:val="001769E0"/>
    <w:rsid w:val="0017744A"/>
    <w:rsid w:val="00177884"/>
    <w:rsid w:val="00180958"/>
    <w:rsid w:val="0018244A"/>
    <w:rsid w:val="00182A5B"/>
    <w:rsid w:val="00187789"/>
    <w:rsid w:val="0019460A"/>
    <w:rsid w:val="001A1401"/>
    <w:rsid w:val="001A1FCD"/>
    <w:rsid w:val="001A3C29"/>
    <w:rsid w:val="001B0F35"/>
    <w:rsid w:val="001B18E8"/>
    <w:rsid w:val="001B42C1"/>
    <w:rsid w:val="001B462A"/>
    <w:rsid w:val="001C00A4"/>
    <w:rsid w:val="001C1995"/>
    <w:rsid w:val="001C7EC4"/>
    <w:rsid w:val="001C7F8D"/>
    <w:rsid w:val="001D0617"/>
    <w:rsid w:val="001D1405"/>
    <w:rsid w:val="001D1D85"/>
    <w:rsid w:val="001D3BE8"/>
    <w:rsid w:val="001D57A0"/>
    <w:rsid w:val="001D6F4C"/>
    <w:rsid w:val="001E0CC1"/>
    <w:rsid w:val="001E1356"/>
    <w:rsid w:val="001E2C4C"/>
    <w:rsid w:val="001E42C4"/>
    <w:rsid w:val="001E4AE6"/>
    <w:rsid w:val="001E6B52"/>
    <w:rsid w:val="001F0875"/>
    <w:rsid w:val="001F1FA1"/>
    <w:rsid w:val="001F3314"/>
    <w:rsid w:val="001F4831"/>
    <w:rsid w:val="001F4CAD"/>
    <w:rsid w:val="001F5387"/>
    <w:rsid w:val="001F5A1B"/>
    <w:rsid w:val="001F66AB"/>
    <w:rsid w:val="0020079F"/>
    <w:rsid w:val="00202DA2"/>
    <w:rsid w:val="00205465"/>
    <w:rsid w:val="00207D08"/>
    <w:rsid w:val="00215972"/>
    <w:rsid w:val="002172E8"/>
    <w:rsid w:val="0022400B"/>
    <w:rsid w:val="002248A1"/>
    <w:rsid w:val="002252B7"/>
    <w:rsid w:val="00227002"/>
    <w:rsid w:val="00230836"/>
    <w:rsid w:val="002336BB"/>
    <w:rsid w:val="00236779"/>
    <w:rsid w:val="002371DD"/>
    <w:rsid w:val="00243985"/>
    <w:rsid w:val="00247387"/>
    <w:rsid w:val="00251550"/>
    <w:rsid w:val="00254090"/>
    <w:rsid w:val="00261ABE"/>
    <w:rsid w:val="002630DB"/>
    <w:rsid w:val="00263246"/>
    <w:rsid w:val="00264A7E"/>
    <w:rsid w:val="00265205"/>
    <w:rsid w:val="002658F4"/>
    <w:rsid w:val="00270560"/>
    <w:rsid w:val="00271A35"/>
    <w:rsid w:val="002723B1"/>
    <w:rsid w:val="002730FA"/>
    <w:rsid w:val="00281678"/>
    <w:rsid w:val="00281E2D"/>
    <w:rsid w:val="0028210C"/>
    <w:rsid w:val="002829C9"/>
    <w:rsid w:val="0028476F"/>
    <w:rsid w:val="002852A5"/>
    <w:rsid w:val="002875A6"/>
    <w:rsid w:val="00287718"/>
    <w:rsid w:val="002907D3"/>
    <w:rsid w:val="002975BE"/>
    <w:rsid w:val="002A05B2"/>
    <w:rsid w:val="002A05D7"/>
    <w:rsid w:val="002A0B2B"/>
    <w:rsid w:val="002A457E"/>
    <w:rsid w:val="002A6484"/>
    <w:rsid w:val="002A733E"/>
    <w:rsid w:val="002B24E1"/>
    <w:rsid w:val="002B4D0E"/>
    <w:rsid w:val="002B555C"/>
    <w:rsid w:val="002B5EE3"/>
    <w:rsid w:val="002B659C"/>
    <w:rsid w:val="002C23D1"/>
    <w:rsid w:val="002C6C6A"/>
    <w:rsid w:val="002D1D19"/>
    <w:rsid w:val="002D6C54"/>
    <w:rsid w:val="002D74C8"/>
    <w:rsid w:val="002D74FD"/>
    <w:rsid w:val="002E0EDB"/>
    <w:rsid w:val="002E1332"/>
    <w:rsid w:val="002E1856"/>
    <w:rsid w:val="002E1CFC"/>
    <w:rsid w:val="002E4D7C"/>
    <w:rsid w:val="002E7216"/>
    <w:rsid w:val="002F0BF2"/>
    <w:rsid w:val="002F290C"/>
    <w:rsid w:val="002F2ED9"/>
    <w:rsid w:val="002F37CE"/>
    <w:rsid w:val="002F400D"/>
    <w:rsid w:val="002F5DD2"/>
    <w:rsid w:val="002F7D24"/>
    <w:rsid w:val="00301B31"/>
    <w:rsid w:val="0030358E"/>
    <w:rsid w:val="00306150"/>
    <w:rsid w:val="003074EA"/>
    <w:rsid w:val="00310E38"/>
    <w:rsid w:val="00311C51"/>
    <w:rsid w:val="00315014"/>
    <w:rsid w:val="00321DC4"/>
    <w:rsid w:val="00322941"/>
    <w:rsid w:val="003273CB"/>
    <w:rsid w:val="003315B8"/>
    <w:rsid w:val="003403AE"/>
    <w:rsid w:val="0034120C"/>
    <w:rsid w:val="00341FEE"/>
    <w:rsid w:val="003441DC"/>
    <w:rsid w:val="003448FC"/>
    <w:rsid w:val="003472B2"/>
    <w:rsid w:val="00355D9E"/>
    <w:rsid w:val="00361C47"/>
    <w:rsid w:val="00363279"/>
    <w:rsid w:val="00366ECA"/>
    <w:rsid w:val="00373362"/>
    <w:rsid w:val="00390F80"/>
    <w:rsid w:val="0039373B"/>
    <w:rsid w:val="003A1CEB"/>
    <w:rsid w:val="003A1CED"/>
    <w:rsid w:val="003A1D53"/>
    <w:rsid w:val="003A4CD9"/>
    <w:rsid w:val="003A5022"/>
    <w:rsid w:val="003B11CF"/>
    <w:rsid w:val="003B15BA"/>
    <w:rsid w:val="003B5F95"/>
    <w:rsid w:val="003B6580"/>
    <w:rsid w:val="003B6A6E"/>
    <w:rsid w:val="003C41A3"/>
    <w:rsid w:val="003C65B3"/>
    <w:rsid w:val="003C6B11"/>
    <w:rsid w:val="003D0DFE"/>
    <w:rsid w:val="003D138D"/>
    <w:rsid w:val="003D1B67"/>
    <w:rsid w:val="003D1DA6"/>
    <w:rsid w:val="003D46FC"/>
    <w:rsid w:val="003D4BE9"/>
    <w:rsid w:val="003D64C3"/>
    <w:rsid w:val="003D69AD"/>
    <w:rsid w:val="003D7DFA"/>
    <w:rsid w:val="003E0B4F"/>
    <w:rsid w:val="003E1A38"/>
    <w:rsid w:val="003E3929"/>
    <w:rsid w:val="003E6630"/>
    <w:rsid w:val="003E7119"/>
    <w:rsid w:val="003F1431"/>
    <w:rsid w:val="003F20D5"/>
    <w:rsid w:val="003F40FD"/>
    <w:rsid w:val="003F5CBA"/>
    <w:rsid w:val="003F7C90"/>
    <w:rsid w:val="00406CF1"/>
    <w:rsid w:val="00411EFF"/>
    <w:rsid w:val="004156DD"/>
    <w:rsid w:val="0042364C"/>
    <w:rsid w:val="00423A21"/>
    <w:rsid w:val="00425522"/>
    <w:rsid w:val="00432F08"/>
    <w:rsid w:val="0043414B"/>
    <w:rsid w:val="0043594D"/>
    <w:rsid w:val="00435F00"/>
    <w:rsid w:val="004360CC"/>
    <w:rsid w:val="00443660"/>
    <w:rsid w:val="00445DBD"/>
    <w:rsid w:val="00446A5F"/>
    <w:rsid w:val="004470BD"/>
    <w:rsid w:val="00452F02"/>
    <w:rsid w:val="00455283"/>
    <w:rsid w:val="004626D4"/>
    <w:rsid w:val="00463E7F"/>
    <w:rsid w:val="00464648"/>
    <w:rsid w:val="004704FB"/>
    <w:rsid w:val="00471045"/>
    <w:rsid w:val="00471074"/>
    <w:rsid w:val="00471953"/>
    <w:rsid w:val="004719EA"/>
    <w:rsid w:val="004723F7"/>
    <w:rsid w:val="0047288E"/>
    <w:rsid w:val="00474087"/>
    <w:rsid w:val="0047444D"/>
    <w:rsid w:val="00474BD9"/>
    <w:rsid w:val="00475B9B"/>
    <w:rsid w:val="00475F98"/>
    <w:rsid w:val="0047731A"/>
    <w:rsid w:val="004776FD"/>
    <w:rsid w:val="00481853"/>
    <w:rsid w:val="004839C3"/>
    <w:rsid w:val="004840C5"/>
    <w:rsid w:val="0048608E"/>
    <w:rsid w:val="004868EC"/>
    <w:rsid w:val="004939BC"/>
    <w:rsid w:val="0049523D"/>
    <w:rsid w:val="00495D3D"/>
    <w:rsid w:val="00496826"/>
    <w:rsid w:val="004A0003"/>
    <w:rsid w:val="004A2D91"/>
    <w:rsid w:val="004A4013"/>
    <w:rsid w:val="004A5AFA"/>
    <w:rsid w:val="004A625F"/>
    <w:rsid w:val="004C0231"/>
    <w:rsid w:val="004C0BCD"/>
    <w:rsid w:val="004C0FC2"/>
    <w:rsid w:val="004C1849"/>
    <w:rsid w:val="004C2B59"/>
    <w:rsid w:val="004C7B06"/>
    <w:rsid w:val="004D398B"/>
    <w:rsid w:val="004E0B35"/>
    <w:rsid w:val="004E506D"/>
    <w:rsid w:val="004F04B0"/>
    <w:rsid w:val="004F0CDC"/>
    <w:rsid w:val="004F4762"/>
    <w:rsid w:val="004F5F50"/>
    <w:rsid w:val="004F6EA2"/>
    <w:rsid w:val="005039F4"/>
    <w:rsid w:val="00503D96"/>
    <w:rsid w:val="00506F7C"/>
    <w:rsid w:val="00507405"/>
    <w:rsid w:val="00507BC4"/>
    <w:rsid w:val="005204D1"/>
    <w:rsid w:val="005221F7"/>
    <w:rsid w:val="00523CDD"/>
    <w:rsid w:val="005246D5"/>
    <w:rsid w:val="0052581C"/>
    <w:rsid w:val="005266BC"/>
    <w:rsid w:val="00526A9F"/>
    <w:rsid w:val="0053119C"/>
    <w:rsid w:val="0053442C"/>
    <w:rsid w:val="00536200"/>
    <w:rsid w:val="00536BAB"/>
    <w:rsid w:val="00544B03"/>
    <w:rsid w:val="00555A4D"/>
    <w:rsid w:val="00560A0E"/>
    <w:rsid w:val="00561B12"/>
    <w:rsid w:val="00563D47"/>
    <w:rsid w:val="00563F58"/>
    <w:rsid w:val="00564684"/>
    <w:rsid w:val="00564A07"/>
    <w:rsid w:val="005653D6"/>
    <w:rsid w:val="00566BFE"/>
    <w:rsid w:val="00566FC7"/>
    <w:rsid w:val="00567646"/>
    <w:rsid w:val="00567E83"/>
    <w:rsid w:val="00573D29"/>
    <w:rsid w:val="005755E0"/>
    <w:rsid w:val="005776DB"/>
    <w:rsid w:val="00583620"/>
    <w:rsid w:val="005878F7"/>
    <w:rsid w:val="00587CC3"/>
    <w:rsid w:val="00590CC1"/>
    <w:rsid w:val="00594A26"/>
    <w:rsid w:val="005A10DE"/>
    <w:rsid w:val="005A1B4F"/>
    <w:rsid w:val="005A2DA2"/>
    <w:rsid w:val="005A3B53"/>
    <w:rsid w:val="005A527B"/>
    <w:rsid w:val="005A55C3"/>
    <w:rsid w:val="005A61D7"/>
    <w:rsid w:val="005A6A45"/>
    <w:rsid w:val="005A7FF9"/>
    <w:rsid w:val="005B010A"/>
    <w:rsid w:val="005B0B5A"/>
    <w:rsid w:val="005B1911"/>
    <w:rsid w:val="005B28B7"/>
    <w:rsid w:val="005B3275"/>
    <w:rsid w:val="005B452F"/>
    <w:rsid w:val="005B7F5A"/>
    <w:rsid w:val="005C1BD5"/>
    <w:rsid w:val="005D0F93"/>
    <w:rsid w:val="005D2C35"/>
    <w:rsid w:val="005D651A"/>
    <w:rsid w:val="005D6C28"/>
    <w:rsid w:val="005E4339"/>
    <w:rsid w:val="005E7D26"/>
    <w:rsid w:val="005F171C"/>
    <w:rsid w:val="005F258D"/>
    <w:rsid w:val="005F25C9"/>
    <w:rsid w:val="005F31C7"/>
    <w:rsid w:val="005F34BF"/>
    <w:rsid w:val="00600007"/>
    <w:rsid w:val="00600158"/>
    <w:rsid w:val="006054FC"/>
    <w:rsid w:val="006056C6"/>
    <w:rsid w:val="006065DF"/>
    <w:rsid w:val="006111AE"/>
    <w:rsid w:val="0061142A"/>
    <w:rsid w:val="00613F52"/>
    <w:rsid w:val="00617A7C"/>
    <w:rsid w:val="00617CFD"/>
    <w:rsid w:val="00620C1A"/>
    <w:rsid w:val="006232DE"/>
    <w:rsid w:val="00624900"/>
    <w:rsid w:val="00626028"/>
    <w:rsid w:val="0062638A"/>
    <w:rsid w:val="006265BA"/>
    <w:rsid w:val="00626E99"/>
    <w:rsid w:val="006311FA"/>
    <w:rsid w:val="00631924"/>
    <w:rsid w:val="00632C9F"/>
    <w:rsid w:val="00640FBA"/>
    <w:rsid w:val="006510ED"/>
    <w:rsid w:val="006549AE"/>
    <w:rsid w:val="0066135B"/>
    <w:rsid w:val="0066200B"/>
    <w:rsid w:val="00665003"/>
    <w:rsid w:val="006668C0"/>
    <w:rsid w:val="0067216B"/>
    <w:rsid w:val="00672805"/>
    <w:rsid w:val="00673151"/>
    <w:rsid w:val="00673832"/>
    <w:rsid w:val="00673F40"/>
    <w:rsid w:val="00674EFC"/>
    <w:rsid w:val="00677503"/>
    <w:rsid w:val="00680308"/>
    <w:rsid w:val="006815C9"/>
    <w:rsid w:val="006828EE"/>
    <w:rsid w:val="00683DAD"/>
    <w:rsid w:val="00684E95"/>
    <w:rsid w:val="00684F56"/>
    <w:rsid w:val="0068764A"/>
    <w:rsid w:val="006904BD"/>
    <w:rsid w:val="00693925"/>
    <w:rsid w:val="00695483"/>
    <w:rsid w:val="00696860"/>
    <w:rsid w:val="006A0C12"/>
    <w:rsid w:val="006A0FE9"/>
    <w:rsid w:val="006A24CD"/>
    <w:rsid w:val="006A25EC"/>
    <w:rsid w:val="006A59E9"/>
    <w:rsid w:val="006A7197"/>
    <w:rsid w:val="006A7C83"/>
    <w:rsid w:val="006B0392"/>
    <w:rsid w:val="006B1BEA"/>
    <w:rsid w:val="006B3F4D"/>
    <w:rsid w:val="006B4782"/>
    <w:rsid w:val="006B5847"/>
    <w:rsid w:val="006B5FA5"/>
    <w:rsid w:val="006B6486"/>
    <w:rsid w:val="006C2E6F"/>
    <w:rsid w:val="006C4287"/>
    <w:rsid w:val="006C5779"/>
    <w:rsid w:val="006C789F"/>
    <w:rsid w:val="006D1AD3"/>
    <w:rsid w:val="006D23C4"/>
    <w:rsid w:val="006D2D17"/>
    <w:rsid w:val="006D54CC"/>
    <w:rsid w:val="006E1FBD"/>
    <w:rsid w:val="006E2FFB"/>
    <w:rsid w:val="006E403C"/>
    <w:rsid w:val="006E476E"/>
    <w:rsid w:val="006F084C"/>
    <w:rsid w:val="006F4E6A"/>
    <w:rsid w:val="006F6A1E"/>
    <w:rsid w:val="006F7738"/>
    <w:rsid w:val="00703B43"/>
    <w:rsid w:val="00704758"/>
    <w:rsid w:val="007109B2"/>
    <w:rsid w:val="00710AA5"/>
    <w:rsid w:val="007110CE"/>
    <w:rsid w:val="00711A21"/>
    <w:rsid w:val="007122AF"/>
    <w:rsid w:val="007128B3"/>
    <w:rsid w:val="00712BDC"/>
    <w:rsid w:val="00715080"/>
    <w:rsid w:val="00715A3A"/>
    <w:rsid w:val="00721165"/>
    <w:rsid w:val="0072116B"/>
    <w:rsid w:val="00723EA4"/>
    <w:rsid w:val="00723F77"/>
    <w:rsid w:val="007241F3"/>
    <w:rsid w:val="00724F98"/>
    <w:rsid w:val="007259B1"/>
    <w:rsid w:val="00725C0F"/>
    <w:rsid w:val="00726914"/>
    <w:rsid w:val="00727D64"/>
    <w:rsid w:val="00731ADB"/>
    <w:rsid w:val="00735194"/>
    <w:rsid w:val="00735291"/>
    <w:rsid w:val="00735294"/>
    <w:rsid w:val="00736F8C"/>
    <w:rsid w:val="00745BA1"/>
    <w:rsid w:val="00745EC7"/>
    <w:rsid w:val="00745F4B"/>
    <w:rsid w:val="007470D9"/>
    <w:rsid w:val="00747D0A"/>
    <w:rsid w:val="00750F7B"/>
    <w:rsid w:val="007518AA"/>
    <w:rsid w:val="00753D70"/>
    <w:rsid w:val="00754F86"/>
    <w:rsid w:val="00755E34"/>
    <w:rsid w:val="007578E2"/>
    <w:rsid w:val="00762241"/>
    <w:rsid w:val="00762500"/>
    <w:rsid w:val="00763BDE"/>
    <w:rsid w:val="007646B0"/>
    <w:rsid w:val="00764D61"/>
    <w:rsid w:val="00765636"/>
    <w:rsid w:val="007711B9"/>
    <w:rsid w:val="007725B3"/>
    <w:rsid w:val="00780E87"/>
    <w:rsid w:val="00781A9E"/>
    <w:rsid w:val="00784434"/>
    <w:rsid w:val="00785A9F"/>
    <w:rsid w:val="007900EE"/>
    <w:rsid w:val="00793DA2"/>
    <w:rsid w:val="007A0123"/>
    <w:rsid w:val="007A2814"/>
    <w:rsid w:val="007A2FA0"/>
    <w:rsid w:val="007A4B15"/>
    <w:rsid w:val="007A584F"/>
    <w:rsid w:val="007A5D4C"/>
    <w:rsid w:val="007A6F75"/>
    <w:rsid w:val="007A73F9"/>
    <w:rsid w:val="007B3CE2"/>
    <w:rsid w:val="007B46BE"/>
    <w:rsid w:val="007C043A"/>
    <w:rsid w:val="007C3228"/>
    <w:rsid w:val="007C4B14"/>
    <w:rsid w:val="007C5927"/>
    <w:rsid w:val="007C74F8"/>
    <w:rsid w:val="007D0CF5"/>
    <w:rsid w:val="007D1F3B"/>
    <w:rsid w:val="007D2F35"/>
    <w:rsid w:val="007D38AF"/>
    <w:rsid w:val="007D39BF"/>
    <w:rsid w:val="007D50F1"/>
    <w:rsid w:val="007E12EF"/>
    <w:rsid w:val="007E1B23"/>
    <w:rsid w:val="007E1B55"/>
    <w:rsid w:val="007E1F3A"/>
    <w:rsid w:val="007E6CF9"/>
    <w:rsid w:val="007E6EB4"/>
    <w:rsid w:val="007E7F59"/>
    <w:rsid w:val="007F18C6"/>
    <w:rsid w:val="007F3DB3"/>
    <w:rsid w:val="007F7100"/>
    <w:rsid w:val="0080070E"/>
    <w:rsid w:val="00801F93"/>
    <w:rsid w:val="00802357"/>
    <w:rsid w:val="00805405"/>
    <w:rsid w:val="008102F8"/>
    <w:rsid w:val="0081030F"/>
    <w:rsid w:val="00811C49"/>
    <w:rsid w:val="008122D5"/>
    <w:rsid w:val="00813D5E"/>
    <w:rsid w:val="00815E1E"/>
    <w:rsid w:val="00820B3D"/>
    <w:rsid w:val="00825859"/>
    <w:rsid w:val="00834500"/>
    <w:rsid w:val="00835AEB"/>
    <w:rsid w:val="00835DA5"/>
    <w:rsid w:val="0084304E"/>
    <w:rsid w:val="00845B64"/>
    <w:rsid w:val="00847595"/>
    <w:rsid w:val="008516DE"/>
    <w:rsid w:val="00851CEE"/>
    <w:rsid w:val="00852C62"/>
    <w:rsid w:val="00857A90"/>
    <w:rsid w:val="008607AE"/>
    <w:rsid w:val="00863244"/>
    <w:rsid w:val="00865E2C"/>
    <w:rsid w:val="008719A6"/>
    <w:rsid w:val="00871CE6"/>
    <w:rsid w:val="00873601"/>
    <w:rsid w:val="00876550"/>
    <w:rsid w:val="0087706E"/>
    <w:rsid w:val="008813B1"/>
    <w:rsid w:val="008815B7"/>
    <w:rsid w:val="00881AA8"/>
    <w:rsid w:val="00881BFF"/>
    <w:rsid w:val="00881C88"/>
    <w:rsid w:val="00881D9A"/>
    <w:rsid w:val="00884630"/>
    <w:rsid w:val="00890177"/>
    <w:rsid w:val="00894079"/>
    <w:rsid w:val="00894252"/>
    <w:rsid w:val="00895403"/>
    <w:rsid w:val="008954D0"/>
    <w:rsid w:val="00896D12"/>
    <w:rsid w:val="008A131C"/>
    <w:rsid w:val="008A15CE"/>
    <w:rsid w:val="008A1EC2"/>
    <w:rsid w:val="008A1F57"/>
    <w:rsid w:val="008A4CE0"/>
    <w:rsid w:val="008A4F92"/>
    <w:rsid w:val="008A74DA"/>
    <w:rsid w:val="008A7A06"/>
    <w:rsid w:val="008A7D5B"/>
    <w:rsid w:val="008A7FC4"/>
    <w:rsid w:val="008B07C5"/>
    <w:rsid w:val="008B149F"/>
    <w:rsid w:val="008B4BA1"/>
    <w:rsid w:val="008B57F6"/>
    <w:rsid w:val="008B5EA9"/>
    <w:rsid w:val="008B6A9F"/>
    <w:rsid w:val="008B783C"/>
    <w:rsid w:val="008C4556"/>
    <w:rsid w:val="008C499B"/>
    <w:rsid w:val="008C5865"/>
    <w:rsid w:val="008D19ED"/>
    <w:rsid w:val="008D1BEF"/>
    <w:rsid w:val="008D3B26"/>
    <w:rsid w:val="008D4481"/>
    <w:rsid w:val="008E0F07"/>
    <w:rsid w:val="008E3DD6"/>
    <w:rsid w:val="008E6BA9"/>
    <w:rsid w:val="008E7174"/>
    <w:rsid w:val="008F4151"/>
    <w:rsid w:val="008F65AF"/>
    <w:rsid w:val="008F7911"/>
    <w:rsid w:val="009022CC"/>
    <w:rsid w:val="00902A44"/>
    <w:rsid w:val="00905292"/>
    <w:rsid w:val="00905D60"/>
    <w:rsid w:val="009064C5"/>
    <w:rsid w:val="00910186"/>
    <w:rsid w:val="00910E0E"/>
    <w:rsid w:val="00913DF0"/>
    <w:rsid w:val="00914070"/>
    <w:rsid w:val="00914C7A"/>
    <w:rsid w:val="00915244"/>
    <w:rsid w:val="0092020F"/>
    <w:rsid w:val="00920461"/>
    <w:rsid w:val="009245D8"/>
    <w:rsid w:val="009249B3"/>
    <w:rsid w:val="00931144"/>
    <w:rsid w:val="00933F90"/>
    <w:rsid w:val="00942124"/>
    <w:rsid w:val="009421D6"/>
    <w:rsid w:val="00942C76"/>
    <w:rsid w:val="009442EA"/>
    <w:rsid w:val="00946A6A"/>
    <w:rsid w:val="009477BE"/>
    <w:rsid w:val="00951E40"/>
    <w:rsid w:val="009530DE"/>
    <w:rsid w:val="00956053"/>
    <w:rsid w:val="00956AC9"/>
    <w:rsid w:val="0095700B"/>
    <w:rsid w:val="009579C7"/>
    <w:rsid w:val="009625E2"/>
    <w:rsid w:val="00962F6D"/>
    <w:rsid w:val="009647E9"/>
    <w:rsid w:val="0096617F"/>
    <w:rsid w:val="00971100"/>
    <w:rsid w:val="009714FF"/>
    <w:rsid w:val="0097261B"/>
    <w:rsid w:val="0097655E"/>
    <w:rsid w:val="00976D5E"/>
    <w:rsid w:val="009810D1"/>
    <w:rsid w:val="00981125"/>
    <w:rsid w:val="0098171B"/>
    <w:rsid w:val="00981812"/>
    <w:rsid w:val="00982D83"/>
    <w:rsid w:val="00987583"/>
    <w:rsid w:val="00993138"/>
    <w:rsid w:val="0099453C"/>
    <w:rsid w:val="00995100"/>
    <w:rsid w:val="009B0375"/>
    <w:rsid w:val="009B4505"/>
    <w:rsid w:val="009B50BD"/>
    <w:rsid w:val="009B5D5B"/>
    <w:rsid w:val="009C0F8E"/>
    <w:rsid w:val="009C1EE1"/>
    <w:rsid w:val="009C3BC8"/>
    <w:rsid w:val="009C4399"/>
    <w:rsid w:val="009C544F"/>
    <w:rsid w:val="009C6517"/>
    <w:rsid w:val="009C6D6F"/>
    <w:rsid w:val="009C6DD2"/>
    <w:rsid w:val="009C722A"/>
    <w:rsid w:val="009C79F5"/>
    <w:rsid w:val="009D0995"/>
    <w:rsid w:val="009D09BC"/>
    <w:rsid w:val="009D0E18"/>
    <w:rsid w:val="009D202A"/>
    <w:rsid w:val="009D369B"/>
    <w:rsid w:val="009D3B46"/>
    <w:rsid w:val="009D4EAB"/>
    <w:rsid w:val="009D5857"/>
    <w:rsid w:val="009D64BF"/>
    <w:rsid w:val="009E05A6"/>
    <w:rsid w:val="009E086A"/>
    <w:rsid w:val="009E3A1E"/>
    <w:rsid w:val="009E3CB8"/>
    <w:rsid w:val="009E4946"/>
    <w:rsid w:val="009E514E"/>
    <w:rsid w:val="009E54CD"/>
    <w:rsid w:val="009E5AB3"/>
    <w:rsid w:val="009E644A"/>
    <w:rsid w:val="009E6C35"/>
    <w:rsid w:val="009E7795"/>
    <w:rsid w:val="009F14C1"/>
    <w:rsid w:val="009F316E"/>
    <w:rsid w:val="009F556D"/>
    <w:rsid w:val="00A026AE"/>
    <w:rsid w:val="00A02974"/>
    <w:rsid w:val="00A04D56"/>
    <w:rsid w:val="00A05893"/>
    <w:rsid w:val="00A128E3"/>
    <w:rsid w:val="00A131ED"/>
    <w:rsid w:val="00A170DD"/>
    <w:rsid w:val="00A17250"/>
    <w:rsid w:val="00A17686"/>
    <w:rsid w:val="00A1782B"/>
    <w:rsid w:val="00A21E39"/>
    <w:rsid w:val="00A32F29"/>
    <w:rsid w:val="00A3360F"/>
    <w:rsid w:val="00A41124"/>
    <w:rsid w:val="00A41C9F"/>
    <w:rsid w:val="00A43084"/>
    <w:rsid w:val="00A444C2"/>
    <w:rsid w:val="00A446B6"/>
    <w:rsid w:val="00A50985"/>
    <w:rsid w:val="00A5238B"/>
    <w:rsid w:val="00A5655F"/>
    <w:rsid w:val="00A56CF3"/>
    <w:rsid w:val="00A57715"/>
    <w:rsid w:val="00A57E45"/>
    <w:rsid w:val="00A62D1F"/>
    <w:rsid w:val="00A65807"/>
    <w:rsid w:val="00A72BF8"/>
    <w:rsid w:val="00A73A88"/>
    <w:rsid w:val="00A74161"/>
    <w:rsid w:val="00A800A8"/>
    <w:rsid w:val="00A81291"/>
    <w:rsid w:val="00A81554"/>
    <w:rsid w:val="00A834DF"/>
    <w:rsid w:val="00A8499D"/>
    <w:rsid w:val="00A84A29"/>
    <w:rsid w:val="00A8569F"/>
    <w:rsid w:val="00A859D9"/>
    <w:rsid w:val="00A86DD2"/>
    <w:rsid w:val="00A87ED5"/>
    <w:rsid w:val="00A9760A"/>
    <w:rsid w:val="00AA0576"/>
    <w:rsid w:val="00AA73F0"/>
    <w:rsid w:val="00AA7F6D"/>
    <w:rsid w:val="00AB5628"/>
    <w:rsid w:val="00AB65A1"/>
    <w:rsid w:val="00AC0518"/>
    <w:rsid w:val="00AC0FAD"/>
    <w:rsid w:val="00AC1F9D"/>
    <w:rsid w:val="00AC22AB"/>
    <w:rsid w:val="00AC6FAA"/>
    <w:rsid w:val="00AD1385"/>
    <w:rsid w:val="00AD2040"/>
    <w:rsid w:val="00AD2B77"/>
    <w:rsid w:val="00AD3B12"/>
    <w:rsid w:val="00AD7FFD"/>
    <w:rsid w:val="00AE237A"/>
    <w:rsid w:val="00AF2E73"/>
    <w:rsid w:val="00AF3B19"/>
    <w:rsid w:val="00AF57C0"/>
    <w:rsid w:val="00AF5AC6"/>
    <w:rsid w:val="00B010C4"/>
    <w:rsid w:val="00B01458"/>
    <w:rsid w:val="00B06F6A"/>
    <w:rsid w:val="00B07864"/>
    <w:rsid w:val="00B11EAB"/>
    <w:rsid w:val="00B13BC2"/>
    <w:rsid w:val="00B20F86"/>
    <w:rsid w:val="00B22CD3"/>
    <w:rsid w:val="00B30B60"/>
    <w:rsid w:val="00B3103C"/>
    <w:rsid w:val="00B32433"/>
    <w:rsid w:val="00B32DF9"/>
    <w:rsid w:val="00B33719"/>
    <w:rsid w:val="00B34A2D"/>
    <w:rsid w:val="00B35650"/>
    <w:rsid w:val="00B36590"/>
    <w:rsid w:val="00B36DA3"/>
    <w:rsid w:val="00B372E7"/>
    <w:rsid w:val="00B3744F"/>
    <w:rsid w:val="00B45DBE"/>
    <w:rsid w:val="00B46125"/>
    <w:rsid w:val="00B466FC"/>
    <w:rsid w:val="00B51C01"/>
    <w:rsid w:val="00B5299D"/>
    <w:rsid w:val="00B560F9"/>
    <w:rsid w:val="00B56BE4"/>
    <w:rsid w:val="00B611E3"/>
    <w:rsid w:val="00B61F13"/>
    <w:rsid w:val="00B64561"/>
    <w:rsid w:val="00B6510D"/>
    <w:rsid w:val="00B65F48"/>
    <w:rsid w:val="00B67B45"/>
    <w:rsid w:val="00B67C8F"/>
    <w:rsid w:val="00B70B57"/>
    <w:rsid w:val="00B74A7B"/>
    <w:rsid w:val="00B82592"/>
    <w:rsid w:val="00B831DF"/>
    <w:rsid w:val="00B847E7"/>
    <w:rsid w:val="00B93FCD"/>
    <w:rsid w:val="00B94A99"/>
    <w:rsid w:val="00B94DF7"/>
    <w:rsid w:val="00B96242"/>
    <w:rsid w:val="00B965B2"/>
    <w:rsid w:val="00B96793"/>
    <w:rsid w:val="00B967D7"/>
    <w:rsid w:val="00B97D1C"/>
    <w:rsid w:val="00BA3E20"/>
    <w:rsid w:val="00BA475F"/>
    <w:rsid w:val="00BA553C"/>
    <w:rsid w:val="00BB10C5"/>
    <w:rsid w:val="00BB48D7"/>
    <w:rsid w:val="00BB54DC"/>
    <w:rsid w:val="00BC0BC2"/>
    <w:rsid w:val="00BC1652"/>
    <w:rsid w:val="00BC1AF9"/>
    <w:rsid w:val="00BC7B74"/>
    <w:rsid w:val="00BD2389"/>
    <w:rsid w:val="00BD2E1C"/>
    <w:rsid w:val="00BD30D2"/>
    <w:rsid w:val="00BD3343"/>
    <w:rsid w:val="00BD35FC"/>
    <w:rsid w:val="00BD3CD9"/>
    <w:rsid w:val="00BD405E"/>
    <w:rsid w:val="00BD4CB3"/>
    <w:rsid w:val="00BD6E10"/>
    <w:rsid w:val="00BE411E"/>
    <w:rsid w:val="00BE4756"/>
    <w:rsid w:val="00BE6E0E"/>
    <w:rsid w:val="00BF07C2"/>
    <w:rsid w:val="00BF13D5"/>
    <w:rsid w:val="00BF156F"/>
    <w:rsid w:val="00BF3164"/>
    <w:rsid w:val="00BF6129"/>
    <w:rsid w:val="00C0114D"/>
    <w:rsid w:val="00C011E4"/>
    <w:rsid w:val="00C03403"/>
    <w:rsid w:val="00C04279"/>
    <w:rsid w:val="00C05506"/>
    <w:rsid w:val="00C05A3D"/>
    <w:rsid w:val="00C05BB3"/>
    <w:rsid w:val="00C10421"/>
    <w:rsid w:val="00C10710"/>
    <w:rsid w:val="00C1309E"/>
    <w:rsid w:val="00C16362"/>
    <w:rsid w:val="00C1668A"/>
    <w:rsid w:val="00C2211C"/>
    <w:rsid w:val="00C22168"/>
    <w:rsid w:val="00C24023"/>
    <w:rsid w:val="00C252DA"/>
    <w:rsid w:val="00C338EA"/>
    <w:rsid w:val="00C33ECE"/>
    <w:rsid w:val="00C41E0E"/>
    <w:rsid w:val="00C43CD1"/>
    <w:rsid w:val="00C471E9"/>
    <w:rsid w:val="00C478C2"/>
    <w:rsid w:val="00C47AD3"/>
    <w:rsid w:val="00C51F1D"/>
    <w:rsid w:val="00C54013"/>
    <w:rsid w:val="00C541F8"/>
    <w:rsid w:val="00C55F9F"/>
    <w:rsid w:val="00C567C5"/>
    <w:rsid w:val="00C603F8"/>
    <w:rsid w:val="00C61389"/>
    <w:rsid w:val="00C6215E"/>
    <w:rsid w:val="00C63FD6"/>
    <w:rsid w:val="00C64D99"/>
    <w:rsid w:val="00C67DC7"/>
    <w:rsid w:val="00C7130A"/>
    <w:rsid w:val="00C727FD"/>
    <w:rsid w:val="00C738BB"/>
    <w:rsid w:val="00C73F91"/>
    <w:rsid w:val="00C7791E"/>
    <w:rsid w:val="00C77A75"/>
    <w:rsid w:val="00C82138"/>
    <w:rsid w:val="00C85EFB"/>
    <w:rsid w:val="00C865DC"/>
    <w:rsid w:val="00C90262"/>
    <w:rsid w:val="00C923FF"/>
    <w:rsid w:val="00C92F19"/>
    <w:rsid w:val="00C930C8"/>
    <w:rsid w:val="00C94313"/>
    <w:rsid w:val="00C95878"/>
    <w:rsid w:val="00C95ED2"/>
    <w:rsid w:val="00C96BCA"/>
    <w:rsid w:val="00CA4EB3"/>
    <w:rsid w:val="00CB0542"/>
    <w:rsid w:val="00CB2DC7"/>
    <w:rsid w:val="00CB3027"/>
    <w:rsid w:val="00CC1D14"/>
    <w:rsid w:val="00CC4932"/>
    <w:rsid w:val="00CC4D5D"/>
    <w:rsid w:val="00CD052B"/>
    <w:rsid w:val="00CD0896"/>
    <w:rsid w:val="00CD2F04"/>
    <w:rsid w:val="00CD4BE9"/>
    <w:rsid w:val="00CD4DE1"/>
    <w:rsid w:val="00CD63FA"/>
    <w:rsid w:val="00CD6D28"/>
    <w:rsid w:val="00CD7BE2"/>
    <w:rsid w:val="00CD7F7C"/>
    <w:rsid w:val="00CE2100"/>
    <w:rsid w:val="00CE2C1E"/>
    <w:rsid w:val="00CE43EB"/>
    <w:rsid w:val="00CE6DA9"/>
    <w:rsid w:val="00CF1F10"/>
    <w:rsid w:val="00CF46FF"/>
    <w:rsid w:val="00CF5CE5"/>
    <w:rsid w:val="00CF6E2A"/>
    <w:rsid w:val="00D0015D"/>
    <w:rsid w:val="00D014BE"/>
    <w:rsid w:val="00D0479B"/>
    <w:rsid w:val="00D063DB"/>
    <w:rsid w:val="00D06E49"/>
    <w:rsid w:val="00D12AA9"/>
    <w:rsid w:val="00D15745"/>
    <w:rsid w:val="00D20F03"/>
    <w:rsid w:val="00D21EFD"/>
    <w:rsid w:val="00D240A6"/>
    <w:rsid w:val="00D257F1"/>
    <w:rsid w:val="00D3083D"/>
    <w:rsid w:val="00D30C23"/>
    <w:rsid w:val="00D32D11"/>
    <w:rsid w:val="00D34487"/>
    <w:rsid w:val="00D34955"/>
    <w:rsid w:val="00D42032"/>
    <w:rsid w:val="00D42462"/>
    <w:rsid w:val="00D45EEB"/>
    <w:rsid w:val="00D523A1"/>
    <w:rsid w:val="00D61518"/>
    <w:rsid w:val="00D626EA"/>
    <w:rsid w:val="00D6318E"/>
    <w:rsid w:val="00D637BC"/>
    <w:rsid w:val="00D67671"/>
    <w:rsid w:val="00D7231E"/>
    <w:rsid w:val="00D76A93"/>
    <w:rsid w:val="00D77AD6"/>
    <w:rsid w:val="00D83221"/>
    <w:rsid w:val="00D87AB4"/>
    <w:rsid w:val="00D87FBF"/>
    <w:rsid w:val="00D91129"/>
    <w:rsid w:val="00D94C6A"/>
    <w:rsid w:val="00D953F6"/>
    <w:rsid w:val="00D95E66"/>
    <w:rsid w:val="00D97CEB"/>
    <w:rsid w:val="00DA64A0"/>
    <w:rsid w:val="00DB2474"/>
    <w:rsid w:val="00DB2E57"/>
    <w:rsid w:val="00DB3453"/>
    <w:rsid w:val="00DB62B6"/>
    <w:rsid w:val="00DB66ED"/>
    <w:rsid w:val="00DB7436"/>
    <w:rsid w:val="00DC6264"/>
    <w:rsid w:val="00DC7FD4"/>
    <w:rsid w:val="00DD12B0"/>
    <w:rsid w:val="00DD15FF"/>
    <w:rsid w:val="00DD5614"/>
    <w:rsid w:val="00DD6E58"/>
    <w:rsid w:val="00DE116E"/>
    <w:rsid w:val="00DE4095"/>
    <w:rsid w:val="00DE5975"/>
    <w:rsid w:val="00DE7B8A"/>
    <w:rsid w:val="00DF2A0C"/>
    <w:rsid w:val="00DF2A83"/>
    <w:rsid w:val="00DF3B06"/>
    <w:rsid w:val="00DF67F2"/>
    <w:rsid w:val="00DF6E22"/>
    <w:rsid w:val="00DF784C"/>
    <w:rsid w:val="00E00FC0"/>
    <w:rsid w:val="00E01079"/>
    <w:rsid w:val="00E0144D"/>
    <w:rsid w:val="00E02A35"/>
    <w:rsid w:val="00E033C4"/>
    <w:rsid w:val="00E07E64"/>
    <w:rsid w:val="00E10968"/>
    <w:rsid w:val="00E12C21"/>
    <w:rsid w:val="00E13E41"/>
    <w:rsid w:val="00E14261"/>
    <w:rsid w:val="00E1568F"/>
    <w:rsid w:val="00E166B2"/>
    <w:rsid w:val="00E16BAB"/>
    <w:rsid w:val="00E217D9"/>
    <w:rsid w:val="00E22190"/>
    <w:rsid w:val="00E22EC9"/>
    <w:rsid w:val="00E23A85"/>
    <w:rsid w:val="00E26173"/>
    <w:rsid w:val="00E26831"/>
    <w:rsid w:val="00E317EC"/>
    <w:rsid w:val="00E32D81"/>
    <w:rsid w:val="00E32DB7"/>
    <w:rsid w:val="00E33440"/>
    <w:rsid w:val="00E3671E"/>
    <w:rsid w:val="00E41548"/>
    <w:rsid w:val="00E42462"/>
    <w:rsid w:val="00E42FBE"/>
    <w:rsid w:val="00E46BB1"/>
    <w:rsid w:val="00E50694"/>
    <w:rsid w:val="00E5619A"/>
    <w:rsid w:val="00E71FF9"/>
    <w:rsid w:val="00E741E1"/>
    <w:rsid w:val="00E7587E"/>
    <w:rsid w:val="00E80A44"/>
    <w:rsid w:val="00E823AD"/>
    <w:rsid w:val="00E82C1B"/>
    <w:rsid w:val="00E83954"/>
    <w:rsid w:val="00E84DB1"/>
    <w:rsid w:val="00E872E2"/>
    <w:rsid w:val="00E92B3E"/>
    <w:rsid w:val="00E92F6C"/>
    <w:rsid w:val="00E94098"/>
    <w:rsid w:val="00E96404"/>
    <w:rsid w:val="00E9703D"/>
    <w:rsid w:val="00E971E7"/>
    <w:rsid w:val="00EA6A7D"/>
    <w:rsid w:val="00EA6F78"/>
    <w:rsid w:val="00EB43BA"/>
    <w:rsid w:val="00EB5841"/>
    <w:rsid w:val="00EB5D57"/>
    <w:rsid w:val="00EB7778"/>
    <w:rsid w:val="00EC06D5"/>
    <w:rsid w:val="00EC1363"/>
    <w:rsid w:val="00EC1C1C"/>
    <w:rsid w:val="00EC3F3A"/>
    <w:rsid w:val="00EC4DE5"/>
    <w:rsid w:val="00EC5727"/>
    <w:rsid w:val="00ED03A3"/>
    <w:rsid w:val="00ED33B1"/>
    <w:rsid w:val="00ED3A0B"/>
    <w:rsid w:val="00ED583B"/>
    <w:rsid w:val="00ED6082"/>
    <w:rsid w:val="00ED7C83"/>
    <w:rsid w:val="00EE2435"/>
    <w:rsid w:val="00EE2C62"/>
    <w:rsid w:val="00EF5294"/>
    <w:rsid w:val="00F00728"/>
    <w:rsid w:val="00F0181F"/>
    <w:rsid w:val="00F02DD5"/>
    <w:rsid w:val="00F04371"/>
    <w:rsid w:val="00F04B36"/>
    <w:rsid w:val="00F05A86"/>
    <w:rsid w:val="00F0606D"/>
    <w:rsid w:val="00F11BA1"/>
    <w:rsid w:val="00F15553"/>
    <w:rsid w:val="00F15831"/>
    <w:rsid w:val="00F2430D"/>
    <w:rsid w:val="00F3339D"/>
    <w:rsid w:val="00F34835"/>
    <w:rsid w:val="00F34FF0"/>
    <w:rsid w:val="00F375D9"/>
    <w:rsid w:val="00F408F4"/>
    <w:rsid w:val="00F40A90"/>
    <w:rsid w:val="00F44147"/>
    <w:rsid w:val="00F44A83"/>
    <w:rsid w:val="00F4705D"/>
    <w:rsid w:val="00F479CB"/>
    <w:rsid w:val="00F53C81"/>
    <w:rsid w:val="00F54216"/>
    <w:rsid w:val="00F55A83"/>
    <w:rsid w:val="00F56588"/>
    <w:rsid w:val="00F56737"/>
    <w:rsid w:val="00F57108"/>
    <w:rsid w:val="00F571DA"/>
    <w:rsid w:val="00F61332"/>
    <w:rsid w:val="00F62F3D"/>
    <w:rsid w:val="00F66F74"/>
    <w:rsid w:val="00F67267"/>
    <w:rsid w:val="00F67B20"/>
    <w:rsid w:val="00F74644"/>
    <w:rsid w:val="00F74D26"/>
    <w:rsid w:val="00F756E7"/>
    <w:rsid w:val="00F76246"/>
    <w:rsid w:val="00F82CB0"/>
    <w:rsid w:val="00F9382A"/>
    <w:rsid w:val="00F942C7"/>
    <w:rsid w:val="00F946C6"/>
    <w:rsid w:val="00F954DD"/>
    <w:rsid w:val="00F959E7"/>
    <w:rsid w:val="00F96D7D"/>
    <w:rsid w:val="00FA10F8"/>
    <w:rsid w:val="00FA3F55"/>
    <w:rsid w:val="00FA4281"/>
    <w:rsid w:val="00FA6819"/>
    <w:rsid w:val="00FB54CF"/>
    <w:rsid w:val="00FC06C0"/>
    <w:rsid w:val="00FC3065"/>
    <w:rsid w:val="00FC3FB7"/>
    <w:rsid w:val="00FD0457"/>
    <w:rsid w:val="00FD0F16"/>
    <w:rsid w:val="00FD25E2"/>
    <w:rsid w:val="00FD4B8C"/>
    <w:rsid w:val="00FD6417"/>
    <w:rsid w:val="00FD79AD"/>
    <w:rsid w:val="00FD79D7"/>
    <w:rsid w:val="00FE004C"/>
    <w:rsid w:val="00FE0181"/>
    <w:rsid w:val="00FE303F"/>
    <w:rsid w:val="00FE3236"/>
    <w:rsid w:val="00FE4B0F"/>
    <w:rsid w:val="00FE5AF2"/>
    <w:rsid w:val="00FE5E8F"/>
    <w:rsid w:val="00FE5ECB"/>
    <w:rsid w:val="00FE684E"/>
    <w:rsid w:val="00FF343D"/>
    <w:rsid w:val="00FF3AD1"/>
    <w:rsid w:val="00FF3FB4"/>
    <w:rsid w:val="00FF57E1"/>
    <w:rsid w:val="00FF6CE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1C1F61"/>
  <w15:docId w15:val="{F519C66F-EC16-4768-B522-1558AC5CE7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4626D4"/>
    <w:pPr>
      <w:bidi/>
      <w:spacing w:before="120" w:after="0" w:line="240" w:lineRule="auto"/>
    </w:pPr>
    <w:rPr>
      <w:rFonts w:ascii="Arabic Typesetting" w:hAnsi="Arabic Typesetting" w:cs="Arabic Typesetting"/>
      <w:sz w:val="36"/>
      <w:szCs w:val="36"/>
    </w:rPr>
  </w:style>
  <w:style w:type="paragraph" w:styleId="Heading1">
    <w:name w:val="heading 1"/>
    <w:basedOn w:val="Head1"/>
    <w:next w:val="Normal"/>
    <w:link w:val="Heading1Char"/>
    <w:qFormat/>
    <w:rsid w:val="001D6F4C"/>
    <w:pPr>
      <w:keepNext/>
      <w:keepLines/>
      <w:spacing w:before="240"/>
      <w:outlineLvl w:val="0"/>
    </w:pPr>
    <w:rPr>
      <w:rFonts w:eastAsiaTheme="majorEastAsia" w:cstheme="majorBidi"/>
      <w:color w:val="auto"/>
      <w:sz w:val="56"/>
    </w:rPr>
  </w:style>
  <w:style w:type="paragraph" w:styleId="Heading2">
    <w:name w:val="heading 2"/>
    <w:next w:val="Hang2"/>
    <w:link w:val="Heading2Char"/>
    <w:autoRedefine/>
    <w:unhideWhenUsed/>
    <w:qFormat/>
    <w:rsid w:val="00E80A44"/>
    <w:pPr>
      <w:pBdr>
        <w:bottom w:val="thickThinSmallGap" w:sz="24" w:space="1" w:color="auto"/>
      </w:pBdr>
      <w:bidi/>
      <w:spacing w:before="120" w:after="0" w:line="240" w:lineRule="auto"/>
      <w:contextualSpacing/>
      <w:jc w:val="center"/>
      <w:outlineLvl w:val="1"/>
    </w:pPr>
    <w:rPr>
      <w:rFonts w:ascii="Arabic Typesetting" w:hAnsi="Arabic Typesetting" w:cs="Arabic Typesetting"/>
      <w:b/>
      <w:bCs/>
      <w:kern w:val="0"/>
      <w:sz w:val="72"/>
      <w:szCs w:val="72"/>
      <w:lang w:bidi="ar-JO"/>
      <w14:ligatures w14:val="none"/>
    </w:rPr>
  </w:style>
  <w:style w:type="paragraph" w:styleId="Heading3">
    <w:name w:val="heading 3"/>
    <w:link w:val="Heading3Char"/>
    <w:autoRedefine/>
    <w:unhideWhenUsed/>
    <w:qFormat/>
    <w:rsid w:val="000558B7"/>
    <w:pPr>
      <w:bidi/>
      <w:spacing w:before="120" w:after="0" w:line="240" w:lineRule="auto"/>
      <w:ind w:left="720" w:hanging="720"/>
      <w:outlineLvl w:val="2"/>
    </w:pPr>
    <w:rPr>
      <w:rFonts w:ascii="Arabic Typesetting" w:hAnsi="Arabic Typesetting" w:cs="Arabic Typesetting"/>
      <w:b/>
      <w:bCs/>
      <w:kern w:val="0"/>
      <w:sz w:val="44"/>
      <w:szCs w:val="44"/>
      <w:lang w:val="fr-FR"/>
    </w:rPr>
  </w:style>
  <w:style w:type="paragraph" w:styleId="Heading4">
    <w:name w:val="heading 4"/>
    <w:basedOn w:val="Normal"/>
    <w:next w:val="Normal"/>
    <w:link w:val="Heading4Char"/>
    <w:unhideWhenUsed/>
    <w:qFormat/>
    <w:rsid w:val="00835DA5"/>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480" w:line="276" w:lineRule="auto"/>
      <w:ind w:left="547" w:hanging="547"/>
      <w:outlineLvl w:val="3"/>
    </w:pPr>
    <w:rPr>
      <w:rFonts w:eastAsia="Calibri" w:cs="Times New Roman"/>
      <w:b/>
      <w:bCs/>
      <w:color w:val="000000" w:themeColor="text1"/>
      <w:kern w:val="0"/>
      <w:sz w:val="26"/>
      <w:szCs w:val="28"/>
    </w:rPr>
  </w:style>
  <w:style w:type="paragraph" w:styleId="Heading5">
    <w:name w:val="heading 5"/>
    <w:basedOn w:val="Normal"/>
    <w:next w:val="Normal"/>
    <w:link w:val="Heading5Char"/>
    <w:unhideWhenUsed/>
    <w:qFormat/>
    <w:rsid w:val="00D34487"/>
    <w:pPr>
      <w:keepNext/>
      <w:keepLines/>
      <w:spacing w:before="40" w:after="40"/>
      <w:outlineLvl w:val="4"/>
    </w:pPr>
    <w:rPr>
      <w:rFonts w:eastAsiaTheme="majorEastAsia" w:cstheme="majorBidi"/>
      <w:b/>
      <w:color w:val="000000" w:themeColor="text1"/>
    </w:rPr>
  </w:style>
  <w:style w:type="paragraph" w:styleId="Heading6">
    <w:name w:val="heading 6"/>
    <w:basedOn w:val="Normal"/>
    <w:next w:val="Normal"/>
    <w:link w:val="Heading6Char"/>
    <w:uiPriority w:val="9"/>
    <w:unhideWhenUsed/>
    <w:qFormat/>
    <w:rsid w:val="00D34487"/>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BE411E"/>
    <w:pPr>
      <w:keepNext/>
      <w:keepLines/>
      <w:spacing w:before="4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IntenseEmphasis">
    <w:name w:val="Intense Emphasis"/>
    <w:basedOn w:val="DefaultParagraphFont"/>
    <w:uiPriority w:val="21"/>
    <w:qFormat/>
    <w:rsid w:val="00E32DB7"/>
    <w:rPr>
      <w:i/>
      <w:iCs/>
      <w:color w:val="4472C4" w:themeColor="accent1"/>
    </w:rPr>
  </w:style>
  <w:style w:type="character" w:customStyle="1" w:styleId="Heading2Char">
    <w:name w:val="Heading 2 Char"/>
    <w:basedOn w:val="DefaultParagraphFont"/>
    <w:link w:val="Heading2"/>
    <w:rsid w:val="00E80A44"/>
    <w:rPr>
      <w:rFonts w:ascii="Arabic Typesetting" w:hAnsi="Arabic Typesetting" w:cs="Arabic Typesetting"/>
      <w:b/>
      <w:bCs/>
      <w:kern w:val="0"/>
      <w:sz w:val="72"/>
      <w:szCs w:val="72"/>
      <w:lang w:bidi="ar-JO"/>
      <w14:ligatures w14:val="none"/>
    </w:rPr>
  </w:style>
  <w:style w:type="character" w:customStyle="1" w:styleId="Heading3Char">
    <w:name w:val="Heading 3 Char"/>
    <w:basedOn w:val="DefaultParagraphFont"/>
    <w:link w:val="Heading3"/>
    <w:rsid w:val="000558B7"/>
    <w:rPr>
      <w:rFonts w:ascii="Arabic Typesetting" w:hAnsi="Arabic Typesetting" w:cs="Arabic Typesetting"/>
      <w:b/>
      <w:bCs/>
      <w:kern w:val="0"/>
      <w:sz w:val="44"/>
      <w:szCs w:val="44"/>
      <w:lang w:val="fr-FR"/>
    </w:rPr>
  </w:style>
  <w:style w:type="character" w:customStyle="1" w:styleId="Heading1Char">
    <w:name w:val="Heading 1 Char"/>
    <w:basedOn w:val="DefaultParagraphFont"/>
    <w:link w:val="Heading1"/>
    <w:rsid w:val="001D6F4C"/>
    <w:rPr>
      <w:rFonts w:ascii="Arabic Typesetting" w:eastAsiaTheme="majorEastAsia" w:hAnsi="Arabic Typesetting" w:cstheme="majorBidi"/>
      <w:kern w:val="0"/>
      <w:sz w:val="56"/>
      <w:szCs w:val="32"/>
      <w:lang w:bidi="ar-JO"/>
      <w14:ligatures w14:val="none"/>
    </w:rPr>
  </w:style>
  <w:style w:type="paragraph" w:styleId="TOCHeading">
    <w:name w:val="TOC Heading"/>
    <w:basedOn w:val="Heading1"/>
    <w:next w:val="Normal"/>
    <w:uiPriority w:val="39"/>
    <w:unhideWhenUsed/>
    <w:qFormat/>
    <w:rsid w:val="000D6760"/>
    <w:pPr>
      <w:outlineLvl w:val="9"/>
    </w:pPr>
  </w:style>
  <w:style w:type="paragraph" w:styleId="TOC2">
    <w:name w:val="toc 2"/>
    <w:basedOn w:val="Normal"/>
    <w:next w:val="Normal"/>
    <w:autoRedefine/>
    <w:uiPriority w:val="39"/>
    <w:unhideWhenUsed/>
    <w:rsid w:val="006C2E6F"/>
    <w:pPr>
      <w:tabs>
        <w:tab w:val="right" w:leader="dot" w:pos="9350"/>
      </w:tabs>
      <w:spacing w:before="0" w:after="100"/>
      <w:ind w:left="220"/>
    </w:pPr>
    <w:rPr>
      <w:b/>
      <w:bCs/>
      <w:noProof/>
      <w:sz w:val="32"/>
      <w:szCs w:val="32"/>
    </w:rPr>
  </w:style>
  <w:style w:type="paragraph" w:styleId="TOC3">
    <w:name w:val="toc 3"/>
    <w:basedOn w:val="Normal"/>
    <w:next w:val="Normal"/>
    <w:autoRedefine/>
    <w:uiPriority w:val="39"/>
    <w:unhideWhenUsed/>
    <w:rsid w:val="000D6760"/>
    <w:pPr>
      <w:spacing w:after="100"/>
      <w:ind w:left="440"/>
    </w:pPr>
  </w:style>
  <w:style w:type="character" w:styleId="Hyperlink">
    <w:name w:val="Hyperlink"/>
    <w:basedOn w:val="DefaultParagraphFont"/>
    <w:uiPriority w:val="99"/>
    <w:unhideWhenUsed/>
    <w:rsid w:val="000D6760"/>
    <w:rPr>
      <w:color w:val="0563C1" w:themeColor="hyperlink"/>
      <w:u w:val="single"/>
    </w:rPr>
  </w:style>
  <w:style w:type="paragraph" w:styleId="Footer">
    <w:name w:val="footer"/>
    <w:basedOn w:val="Normal"/>
    <w:link w:val="FooterChar"/>
    <w:uiPriority w:val="99"/>
    <w:unhideWhenUsed/>
    <w:rsid w:val="007A4B15"/>
    <w:pPr>
      <w:tabs>
        <w:tab w:val="center" w:pos="4680"/>
        <w:tab w:val="right" w:pos="9360"/>
      </w:tabs>
    </w:pPr>
  </w:style>
  <w:style w:type="character" w:customStyle="1" w:styleId="FooterChar">
    <w:name w:val="Footer Char"/>
    <w:basedOn w:val="DefaultParagraphFont"/>
    <w:link w:val="Footer"/>
    <w:uiPriority w:val="99"/>
    <w:rsid w:val="007A4B15"/>
  </w:style>
  <w:style w:type="paragraph" w:styleId="Title">
    <w:name w:val="Title"/>
    <w:basedOn w:val="Normal"/>
    <w:next w:val="Normal"/>
    <w:link w:val="TitleChar"/>
    <w:uiPriority w:val="10"/>
    <w:qFormat/>
    <w:rsid w:val="007A4B15"/>
    <w:pPr>
      <w:pBdr>
        <w:bottom w:val="thickThinMediumGap" w:sz="24" w:space="4" w:color="5B9BD5"/>
      </w:pBdr>
      <w:tabs>
        <w:tab w:val="left" w:pos="0"/>
        <w:tab w:val="left" w:pos="540"/>
        <w:tab w:val="left" w:pos="1080"/>
        <w:tab w:val="left" w:pos="1620"/>
        <w:tab w:val="left" w:pos="2160"/>
        <w:tab w:val="left" w:pos="2700"/>
        <w:tab w:val="left" w:pos="3240"/>
        <w:tab w:val="left" w:pos="3780"/>
        <w:tab w:val="left" w:pos="4320"/>
        <w:tab w:val="left" w:pos="4860"/>
      </w:tabs>
      <w:spacing w:after="300"/>
      <w:contextualSpacing/>
      <w:jc w:val="center"/>
      <w:outlineLvl w:val="0"/>
    </w:pPr>
    <w:rPr>
      <w:rFonts w:ascii="Verdana" w:eastAsia="Times New Roman" w:hAnsi="Verdana" w:cs="Times New Roman"/>
      <w:b/>
      <w:bCs/>
      <w:color w:val="0070C0"/>
      <w:spacing w:val="5"/>
      <w:kern w:val="28"/>
      <w:sz w:val="40"/>
      <w:szCs w:val="40"/>
    </w:rPr>
  </w:style>
  <w:style w:type="character" w:customStyle="1" w:styleId="TitleChar">
    <w:name w:val="Title Char"/>
    <w:basedOn w:val="DefaultParagraphFont"/>
    <w:link w:val="Title"/>
    <w:uiPriority w:val="10"/>
    <w:rsid w:val="007A4B15"/>
    <w:rPr>
      <w:rFonts w:ascii="Verdana" w:eastAsia="Times New Roman" w:hAnsi="Verdana" w:cs="Times New Roman"/>
      <w:b/>
      <w:bCs/>
      <w:color w:val="0070C0"/>
      <w:spacing w:val="5"/>
      <w:kern w:val="28"/>
      <w:sz w:val="40"/>
      <w:szCs w:val="40"/>
    </w:rPr>
  </w:style>
  <w:style w:type="character" w:customStyle="1" w:styleId="Heading4Char">
    <w:name w:val="Heading 4 Char"/>
    <w:basedOn w:val="DefaultParagraphFont"/>
    <w:link w:val="Heading4"/>
    <w:uiPriority w:val="9"/>
    <w:rsid w:val="00835DA5"/>
    <w:rPr>
      <w:rFonts w:ascii="Times New Roman" w:eastAsia="Calibri" w:hAnsi="Times New Roman" w:cs="Times New Roman"/>
      <w:b/>
      <w:bCs/>
      <w:color w:val="000000" w:themeColor="text1"/>
      <w:kern w:val="0"/>
      <w:sz w:val="26"/>
      <w:szCs w:val="28"/>
    </w:rPr>
  </w:style>
  <w:style w:type="paragraph" w:styleId="Subtitle">
    <w:name w:val="Subtitle"/>
    <w:basedOn w:val="Normal"/>
    <w:next w:val="Normal"/>
    <w:link w:val="SubtitleChar"/>
    <w:uiPriority w:val="11"/>
    <w:qFormat/>
    <w:rsid w:val="007A4B15"/>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480" w:line="276" w:lineRule="auto"/>
      <w:ind w:left="547" w:hanging="547"/>
      <w:outlineLvl w:val="0"/>
    </w:pPr>
    <w:rPr>
      <w:rFonts w:ascii="Verdana" w:eastAsia="Calibri" w:hAnsi="Verdana" w:cs="Times New Roman"/>
      <w:b/>
      <w:bCs/>
      <w:color w:val="2E74B5"/>
      <w:kern w:val="0"/>
      <w:sz w:val="28"/>
      <w:szCs w:val="28"/>
    </w:rPr>
  </w:style>
  <w:style w:type="character" w:customStyle="1" w:styleId="SubtitleChar">
    <w:name w:val="Subtitle Char"/>
    <w:basedOn w:val="DefaultParagraphFont"/>
    <w:link w:val="Subtitle"/>
    <w:uiPriority w:val="11"/>
    <w:rsid w:val="007A4B15"/>
    <w:rPr>
      <w:rFonts w:ascii="Verdana" w:eastAsia="Calibri" w:hAnsi="Verdana" w:cs="Times New Roman"/>
      <w:b/>
      <w:bCs/>
      <w:color w:val="2E74B5"/>
      <w:kern w:val="0"/>
      <w:sz w:val="28"/>
      <w:szCs w:val="28"/>
    </w:rPr>
  </w:style>
  <w:style w:type="paragraph" w:styleId="TOC1">
    <w:name w:val="toc 1"/>
    <w:basedOn w:val="Normal"/>
    <w:next w:val="Normal"/>
    <w:autoRedefine/>
    <w:uiPriority w:val="39"/>
    <w:unhideWhenUsed/>
    <w:rsid w:val="00E41548"/>
    <w:pPr>
      <w:spacing w:after="100"/>
    </w:pPr>
  </w:style>
  <w:style w:type="paragraph" w:styleId="FootnoteText">
    <w:name w:val="footnote text"/>
    <w:basedOn w:val="Normal"/>
    <w:link w:val="FootnoteTextChar"/>
    <w:semiHidden/>
    <w:unhideWhenUsed/>
    <w:rsid w:val="005B452F"/>
    <w:rPr>
      <w:sz w:val="20"/>
      <w:szCs w:val="20"/>
    </w:rPr>
  </w:style>
  <w:style w:type="character" w:customStyle="1" w:styleId="FootnoteTextChar">
    <w:name w:val="Footnote Text Char"/>
    <w:basedOn w:val="DefaultParagraphFont"/>
    <w:link w:val="FootnoteText"/>
    <w:uiPriority w:val="99"/>
    <w:semiHidden/>
    <w:rsid w:val="005B452F"/>
    <w:rPr>
      <w:sz w:val="20"/>
      <w:szCs w:val="20"/>
    </w:rPr>
  </w:style>
  <w:style w:type="character" w:styleId="FootnoteReference">
    <w:name w:val="footnote reference"/>
    <w:basedOn w:val="DefaultParagraphFont"/>
    <w:semiHidden/>
    <w:rsid w:val="005B452F"/>
    <w:rPr>
      <w:vertAlign w:val="superscript"/>
    </w:rPr>
  </w:style>
  <w:style w:type="paragraph" w:customStyle="1" w:styleId="OTNotes">
    <w:name w:val="OT Notes"/>
    <w:basedOn w:val="Normal"/>
    <w:link w:val="OTNotesChar"/>
    <w:qFormat/>
    <w:rsid w:val="00E33440"/>
    <w:rPr>
      <w:color w:val="000000" w:themeColor="text1"/>
    </w:rPr>
  </w:style>
  <w:style w:type="character" w:customStyle="1" w:styleId="OTNotesChar">
    <w:name w:val="OT Notes Char"/>
    <w:basedOn w:val="DefaultParagraphFont"/>
    <w:link w:val="OTNotes"/>
    <w:rsid w:val="00E33440"/>
    <w:rPr>
      <w:rFonts w:ascii="Times New Roman" w:hAnsi="Times New Roman"/>
      <w:color w:val="000000" w:themeColor="text1"/>
      <w:sz w:val="24"/>
    </w:rPr>
  </w:style>
  <w:style w:type="paragraph" w:styleId="Quote">
    <w:name w:val="Quote"/>
    <w:basedOn w:val="Normal"/>
    <w:next w:val="Normal"/>
    <w:link w:val="QuoteChar"/>
    <w:uiPriority w:val="29"/>
    <w:qFormat/>
    <w:rsid w:val="007A584F"/>
    <w:pPr>
      <w:spacing w:before="200"/>
      <w:ind w:left="547"/>
    </w:pPr>
    <w:rPr>
      <w:rFonts w:asciiTheme="majorBidi" w:hAnsiTheme="majorBidi" w:cstheme="majorBidi"/>
      <w:iCs/>
      <w:color w:val="404040" w:themeColor="text1" w:themeTint="BF"/>
      <w:sz w:val="22"/>
    </w:rPr>
  </w:style>
  <w:style w:type="character" w:customStyle="1" w:styleId="QuoteChar">
    <w:name w:val="Quote Char"/>
    <w:basedOn w:val="DefaultParagraphFont"/>
    <w:link w:val="Quote"/>
    <w:uiPriority w:val="29"/>
    <w:rsid w:val="007A584F"/>
    <w:rPr>
      <w:rFonts w:asciiTheme="majorBidi" w:hAnsiTheme="majorBidi" w:cstheme="majorBidi"/>
      <w:iCs/>
      <w:color w:val="404040" w:themeColor="text1" w:themeTint="BF"/>
    </w:rPr>
  </w:style>
  <w:style w:type="paragraph" w:customStyle="1" w:styleId="Footnote">
    <w:name w:val="Footnote"/>
    <w:basedOn w:val="FootnoteText"/>
    <w:link w:val="FootnoteChar"/>
    <w:qFormat/>
    <w:rsid w:val="00E33440"/>
    <w:pPr>
      <w:ind w:firstLine="547"/>
    </w:pPr>
    <w:rPr>
      <w:rFonts w:cs="Times New Roman"/>
      <w:color w:val="000000" w:themeColor="text1"/>
    </w:rPr>
  </w:style>
  <w:style w:type="character" w:customStyle="1" w:styleId="FootnoteChar">
    <w:name w:val="Footnote Char"/>
    <w:basedOn w:val="FootnoteTextChar"/>
    <w:link w:val="Footnote"/>
    <w:rsid w:val="00E33440"/>
    <w:rPr>
      <w:rFonts w:ascii="Times New Roman" w:hAnsi="Times New Roman" w:cs="Times New Roman"/>
      <w:color w:val="000000" w:themeColor="text1"/>
      <w:sz w:val="20"/>
      <w:szCs w:val="20"/>
    </w:rPr>
  </w:style>
  <w:style w:type="paragraph" w:customStyle="1" w:styleId="Heading4RED">
    <w:name w:val="Heading 4 RED"/>
    <w:basedOn w:val="Heading4"/>
    <w:link w:val="Heading4REDChar"/>
    <w:qFormat/>
    <w:rsid w:val="00DC7FD4"/>
    <w:pPr>
      <w:spacing w:before="240" w:line="240" w:lineRule="auto"/>
    </w:pPr>
    <w:rPr>
      <w:color w:val="C00000"/>
    </w:rPr>
  </w:style>
  <w:style w:type="character" w:customStyle="1" w:styleId="Heading4REDChar">
    <w:name w:val="Heading 4 RED Char"/>
    <w:basedOn w:val="DefaultParagraphFont"/>
    <w:link w:val="Heading4RED"/>
    <w:rsid w:val="00DC7FD4"/>
    <w:rPr>
      <w:rFonts w:ascii="Times New Roman" w:eastAsia="Calibri" w:hAnsi="Times New Roman" w:cs="Times New Roman"/>
      <w:b/>
      <w:bCs/>
      <w:color w:val="C00000"/>
      <w:kern w:val="0"/>
      <w:sz w:val="26"/>
      <w:szCs w:val="28"/>
    </w:rPr>
  </w:style>
  <w:style w:type="paragraph" w:customStyle="1" w:styleId="HebText">
    <w:name w:val="Heb Text"/>
    <w:basedOn w:val="OTNotes"/>
    <w:link w:val="HebTextChar"/>
    <w:qFormat/>
    <w:rsid w:val="00435F00"/>
    <w:rPr>
      <w:rFonts w:ascii="Ezra SIL" w:hAnsi="Ezra SIL" w:cs="Ezra SIL"/>
      <w:sz w:val="22"/>
      <w:lang w:bidi="he-IL"/>
    </w:rPr>
  </w:style>
  <w:style w:type="character" w:customStyle="1" w:styleId="HebTextChar">
    <w:name w:val="Heb Text Char"/>
    <w:basedOn w:val="OTNotesChar"/>
    <w:link w:val="HebText"/>
    <w:rsid w:val="00435F00"/>
    <w:rPr>
      <w:rFonts w:ascii="Ezra SIL" w:hAnsi="Ezra SIL" w:cs="Ezra SIL"/>
      <w:color w:val="000000" w:themeColor="text1"/>
      <w:sz w:val="24"/>
      <w:lang w:bidi="he-IL"/>
    </w:rPr>
  </w:style>
  <w:style w:type="character" w:styleId="FollowedHyperlink">
    <w:name w:val="FollowedHyperlink"/>
    <w:basedOn w:val="DefaultParagraphFont"/>
    <w:uiPriority w:val="99"/>
    <w:semiHidden/>
    <w:unhideWhenUsed/>
    <w:rsid w:val="007E6EB4"/>
    <w:rPr>
      <w:color w:val="954F72" w:themeColor="followedHyperlink"/>
      <w:u w:val="single"/>
    </w:rPr>
  </w:style>
  <w:style w:type="character" w:customStyle="1" w:styleId="Heading5Char">
    <w:name w:val="Heading 5 Char"/>
    <w:basedOn w:val="DefaultParagraphFont"/>
    <w:link w:val="Heading5"/>
    <w:rsid w:val="00D34487"/>
    <w:rPr>
      <w:rFonts w:ascii="Times New Roman" w:eastAsiaTheme="majorEastAsia" w:hAnsi="Times New Roman" w:cstheme="majorBidi"/>
      <w:b/>
      <w:color w:val="000000" w:themeColor="text1"/>
      <w:sz w:val="24"/>
    </w:rPr>
  </w:style>
  <w:style w:type="paragraph" w:styleId="Header">
    <w:name w:val="header"/>
    <w:basedOn w:val="Normal"/>
    <w:link w:val="HeaderChar"/>
    <w:rsid w:val="006311FA"/>
    <w:pPr>
      <w:tabs>
        <w:tab w:val="left" w:pos="547"/>
        <w:tab w:val="left" w:pos="1094"/>
        <w:tab w:val="left" w:pos="1642"/>
        <w:tab w:val="left" w:pos="2189"/>
        <w:tab w:val="left" w:pos="2736"/>
        <w:tab w:val="left" w:pos="3283"/>
        <w:tab w:val="left" w:pos="3830"/>
        <w:tab w:val="center" w:pos="4320"/>
        <w:tab w:val="left" w:pos="4378"/>
        <w:tab w:val="right" w:pos="8640"/>
      </w:tabs>
      <w:spacing w:after="120"/>
      <w:jc w:val="both"/>
    </w:pPr>
    <w:rPr>
      <w:rFonts w:eastAsia="Times New Roman" w:cs="Times New Roman"/>
      <w:kern w:val="0"/>
      <w:szCs w:val="24"/>
    </w:rPr>
  </w:style>
  <w:style w:type="character" w:customStyle="1" w:styleId="HeaderChar">
    <w:name w:val="Header Char"/>
    <w:basedOn w:val="DefaultParagraphFont"/>
    <w:link w:val="Header"/>
    <w:rsid w:val="006311FA"/>
    <w:rPr>
      <w:rFonts w:ascii="Times New Roman" w:eastAsia="Times New Roman" w:hAnsi="Times New Roman" w:cs="Times New Roman"/>
      <w:kern w:val="0"/>
      <w:szCs w:val="24"/>
    </w:rPr>
  </w:style>
  <w:style w:type="paragraph" w:styleId="BodyText">
    <w:name w:val="Body Text"/>
    <w:basedOn w:val="Normal"/>
    <w:link w:val="BodyTextChar"/>
    <w:autoRedefine/>
    <w:rsid w:val="006311FA"/>
    <w:pPr>
      <w:tabs>
        <w:tab w:val="left" w:pos="547"/>
        <w:tab w:val="left" w:pos="1094"/>
        <w:tab w:val="left" w:pos="1642"/>
        <w:tab w:val="left" w:pos="2189"/>
        <w:tab w:val="left" w:pos="2736"/>
        <w:tab w:val="left" w:pos="3283"/>
        <w:tab w:val="left" w:pos="3830"/>
        <w:tab w:val="left" w:pos="4378"/>
      </w:tabs>
      <w:spacing w:after="120"/>
      <w:jc w:val="both"/>
    </w:pPr>
    <w:rPr>
      <w:rFonts w:eastAsia="Times New Roman" w:cs="Times New Roman"/>
      <w:bCs/>
      <w:kern w:val="0"/>
      <w:szCs w:val="24"/>
    </w:rPr>
  </w:style>
  <w:style w:type="character" w:customStyle="1" w:styleId="BodyTextChar">
    <w:name w:val="Body Text Char"/>
    <w:basedOn w:val="DefaultParagraphFont"/>
    <w:link w:val="BodyText"/>
    <w:rsid w:val="006311FA"/>
    <w:rPr>
      <w:rFonts w:ascii="Times New Roman" w:eastAsia="Times New Roman" w:hAnsi="Times New Roman" w:cs="Times New Roman"/>
      <w:bCs/>
      <w:kern w:val="0"/>
      <w:szCs w:val="24"/>
    </w:rPr>
  </w:style>
  <w:style w:type="paragraph" w:styleId="BodyTextIndent">
    <w:name w:val="Body Text Indent"/>
    <w:basedOn w:val="Normal"/>
    <w:link w:val="BodyTextIndentChar"/>
    <w:autoRedefine/>
    <w:rsid w:val="00E16BAB"/>
    <w:pPr>
      <w:tabs>
        <w:tab w:val="left" w:pos="547"/>
        <w:tab w:val="left" w:pos="1094"/>
        <w:tab w:val="left" w:pos="1642"/>
        <w:tab w:val="left" w:pos="2189"/>
        <w:tab w:val="left" w:pos="2736"/>
        <w:tab w:val="left" w:pos="3283"/>
        <w:tab w:val="left" w:pos="3830"/>
        <w:tab w:val="left" w:pos="4378"/>
      </w:tabs>
      <w:spacing w:after="120"/>
      <w:jc w:val="both"/>
    </w:pPr>
    <w:rPr>
      <w:rFonts w:eastAsia="Times New Roman" w:cs="Times New Roman"/>
      <w:bCs/>
      <w:kern w:val="0"/>
      <w:szCs w:val="24"/>
    </w:rPr>
  </w:style>
  <w:style w:type="character" w:customStyle="1" w:styleId="BodyTextIndentChar">
    <w:name w:val="Body Text Indent Char"/>
    <w:basedOn w:val="DefaultParagraphFont"/>
    <w:link w:val="BodyTextIndent"/>
    <w:rsid w:val="00E16BAB"/>
    <w:rPr>
      <w:rFonts w:ascii="Times New Roman" w:eastAsia="Times New Roman" w:hAnsi="Times New Roman" w:cs="Times New Roman"/>
      <w:bCs/>
      <w:kern w:val="0"/>
      <w:szCs w:val="24"/>
    </w:rPr>
  </w:style>
  <w:style w:type="paragraph" w:styleId="BodyTextIndent2">
    <w:name w:val="Body Text Indent 2"/>
    <w:basedOn w:val="Normal"/>
    <w:link w:val="BodyTextIndent2Char"/>
    <w:autoRedefine/>
    <w:rsid w:val="006311FA"/>
    <w:pPr>
      <w:tabs>
        <w:tab w:val="left" w:pos="547"/>
        <w:tab w:val="left" w:pos="1094"/>
        <w:tab w:val="left" w:pos="1642"/>
        <w:tab w:val="left" w:pos="2189"/>
        <w:tab w:val="left" w:pos="2736"/>
        <w:tab w:val="left" w:pos="3283"/>
        <w:tab w:val="left" w:pos="3830"/>
        <w:tab w:val="left" w:pos="4378"/>
      </w:tabs>
      <w:spacing w:after="120"/>
      <w:ind w:left="1094"/>
      <w:jc w:val="both"/>
    </w:pPr>
    <w:rPr>
      <w:rFonts w:eastAsia="Times New Roman" w:cs="Times New Roman"/>
      <w:kern w:val="0"/>
      <w:szCs w:val="24"/>
    </w:rPr>
  </w:style>
  <w:style w:type="character" w:customStyle="1" w:styleId="BodyTextIndent2Char">
    <w:name w:val="Body Text Indent 2 Char"/>
    <w:basedOn w:val="DefaultParagraphFont"/>
    <w:link w:val="BodyTextIndent2"/>
    <w:rsid w:val="006311FA"/>
    <w:rPr>
      <w:rFonts w:ascii="Times New Roman" w:eastAsia="Times New Roman" w:hAnsi="Times New Roman" w:cs="Times New Roman"/>
      <w:kern w:val="0"/>
      <w:szCs w:val="24"/>
    </w:rPr>
  </w:style>
  <w:style w:type="paragraph" w:styleId="BodyTextIndent3">
    <w:name w:val="Body Text Indent 3"/>
    <w:basedOn w:val="Normal"/>
    <w:link w:val="BodyTextIndent3Char"/>
    <w:autoRedefine/>
    <w:rsid w:val="006311FA"/>
    <w:pPr>
      <w:tabs>
        <w:tab w:val="left" w:pos="547"/>
        <w:tab w:val="left" w:pos="1094"/>
        <w:tab w:val="left" w:pos="1642"/>
        <w:tab w:val="left" w:pos="2189"/>
        <w:tab w:val="left" w:pos="2736"/>
        <w:tab w:val="left" w:pos="3283"/>
        <w:tab w:val="left" w:pos="3830"/>
        <w:tab w:val="left" w:pos="4378"/>
      </w:tabs>
      <w:spacing w:after="120"/>
      <w:ind w:left="1642"/>
      <w:jc w:val="both"/>
    </w:pPr>
    <w:rPr>
      <w:rFonts w:eastAsia="Times New Roman" w:cs="Times New Roman"/>
      <w:kern w:val="0"/>
      <w:szCs w:val="16"/>
    </w:rPr>
  </w:style>
  <w:style w:type="character" w:customStyle="1" w:styleId="BodyTextIndent3Char">
    <w:name w:val="Body Text Indent 3 Char"/>
    <w:basedOn w:val="DefaultParagraphFont"/>
    <w:link w:val="BodyTextIndent3"/>
    <w:rsid w:val="006311FA"/>
    <w:rPr>
      <w:rFonts w:ascii="Times New Roman" w:eastAsia="Times New Roman" w:hAnsi="Times New Roman" w:cs="Times New Roman"/>
      <w:kern w:val="0"/>
      <w:szCs w:val="16"/>
    </w:rPr>
  </w:style>
  <w:style w:type="paragraph" w:customStyle="1" w:styleId="Hang1">
    <w:name w:val="Hang 1"/>
    <w:basedOn w:val="BodyText"/>
    <w:autoRedefine/>
    <w:rsid w:val="006311FA"/>
    <w:pPr>
      <w:spacing w:after="60"/>
      <w:ind w:left="547" w:hanging="547"/>
    </w:pPr>
  </w:style>
  <w:style w:type="paragraph" w:customStyle="1" w:styleId="Hang2">
    <w:name w:val="Hang 2"/>
    <w:basedOn w:val="BodyText"/>
    <w:autoRedefine/>
    <w:rsid w:val="006F7738"/>
    <w:pPr>
      <w:spacing w:after="0"/>
      <w:ind w:left="1094" w:hanging="547"/>
      <w:jc w:val="center"/>
    </w:pPr>
    <w:rPr>
      <w:rFonts w:cs="Arabic Typesetting"/>
      <w:sz w:val="52"/>
      <w:szCs w:val="52"/>
    </w:rPr>
  </w:style>
  <w:style w:type="paragraph" w:customStyle="1" w:styleId="Hang3">
    <w:name w:val="Hang 3"/>
    <w:basedOn w:val="BodyText"/>
    <w:autoRedefine/>
    <w:rsid w:val="006311FA"/>
    <w:pPr>
      <w:spacing w:after="0"/>
      <w:ind w:left="1641" w:hanging="547"/>
    </w:pPr>
  </w:style>
  <w:style w:type="paragraph" w:customStyle="1" w:styleId="Hang4">
    <w:name w:val="Hang 4"/>
    <w:basedOn w:val="BodyText"/>
    <w:autoRedefine/>
    <w:rsid w:val="006311FA"/>
    <w:pPr>
      <w:ind w:left="2189" w:hanging="547"/>
    </w:pPr>
  </w:style>
  <w:style w:type="paragraph" w:customStyle="1" w:styleId="FootnoteTextIndent">
    <w:name w:val="Footnote Text Indent"/>
    <w:basedOn w:val="FootnoteText"/>
    <w:autoRedefine/>
    <w:rsid w:val="00683DAD"/>
    <w:pPr>
      <w:widowControl w:val="0"/>
      <w:tabs>
        <w:tab w:val="left" w:pos="547"/>
        <w:tab w:val="left" w:pos="1094"/>
        <w:tab w:val="left" w:pos="1642"/>
        <w:tab w:val="left" w:pos="2189"/>
        <w:tab w:val="left" w:pos="2736"/>
        <w:tab w:val="left" w:pos="3283"/>
        <w:tab w:val="left" w:pos="3830"/>
        <w:tab w:val="left" w:pos="4378"/>
      </w:tabs>
      <w:autoSpaceDE w:val="0"/>
      <w:autoSpaceDN w:val="0"/>
      <w:adjustRightInd w:val="0"/>
      <w:spacing w:after="120"/>
      <w:ind w:left="547"/>
      <w:jc w:val="both"/>
    </w:pPr>
    <w:rPr>
      <w:rFonts w:eastAsia="Times New Roman" w:cs="Times New Roman"/>
      <w:kern w:val="0"/>
    </w:rPr>
  </w:style>
  <w:style w:type="character" w:customStyle="1" w:styleId="Heading6Char">
    <w:name w:val="Heading 6 Char"/>
    <w:basedOn w:val="DefaultParagraphFont"/>
    <w:link w:val="Heading6"/>
    <w:uiPriority w:val="9"/>
    <w:rsid w:val="00D34487"/>
    <w:rPr>
      <w:rFonts w:asciiTheme="majorHAnsi" w:eastAsiaTheme="majorEastAsia" w:hAnsiTheme="majorHAnsi" w:cstheme="majorBidi"/>
      <w:color w:val="1F3763" w:themeColor="accent1" w:themeShade="7F"/>
    </w:rPr>
  </w:style>
  <w:style w:type="paragraph" w:styleId="ListParagraph">
    <w:name w:val="List Paragraph"/>
    <w:basedOn w:val="Normal"/>
    <w:uiPriority w:val="34"/>
    <w:qFormat/>
    <w:rsid w:val="00B560F9"/>
    <w:pPr>
      <w:ind w:left="720"/>
      <w:contextualSpacing/>
    </w:pPr>
  </w:style>
  <w:style w:type="paragraph" w:customStyle="1" w:styleId="Footnote-NewParag">
    <w:name w:val="Footnote-New Parag."/>
    <w:basedOn w:val="FootnoteText"/>
    <w:autoRedefine/>
    <w:rsid w:val="00115A8E"/>
    <w:pPr>
      <w:widowControl w:val="0"/>
      <w:tabs>
        <w:tab w:val="left" w:pos="547"/>
        <w:tab w:val="left" w:pos="1094"/>
        <w:tab w:val="left" w:pos="1642"/>
        <w:tab w:val="left" w:pos="2189"/>
        <w:tab w:val="left" w:pos="2736"/>
        <w:tab w:val="left" w:pos="3283"/>
        <w:tab w:val="left" w:pos="3830"/>
        <w:tab w:val="left" w:pos="4378"/>
      </w:tabs>
      <w:autoSpaceDE w:val="0"/>
      <w:autoSpaceDN w:val="0"/>
      <w:adjustRightInd w:val="0"/>
      <w:spacing w:after="120"/>
      <w:ind w:left="547"/>
      <w:jc w:val="both"/>
    </w:pPr>
    <w:rPr>
      <w:rFonts w:eastAsia="Times New Roman" w:cs="Times New Roman"/>
      <w:kern w:val="0"/>
    </w:rPr>
  </w:style>
  <w:style w:type="table" w:styleId="TableGrid">
    <w:name w:val="Table Grid"/>
    <w:basedOn w:val="TableNormal"/>
    <w:rsid w:val="00E5619A"/>
    <w:pPr>
      <w:spacing w:after="0" w:line="240" w:lineRule="auto"/>
    </w:pPr>
    <w:rPr>
      <w:rFonts w:ascii="Times New Roman" w:eastAsia="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215972"/>
    <w:pPr>
      <w:spacing w:after="100"/>
      <w:ind w:left="660"/>
    </w:pPr>
    <w:rPr>
      <w:rFonts w:asciiTheme="minorHAnsi" w:eastAsiaTheme="minorEastAsia" w:hAnsiTheme="minorHAnsi"/>
      <w:sz w:val="22"/>
    </w:rPr>
  </w:style>
  <w:style w:type="paragraph" w:styleId="TOC5">
    <w:name w:val="toc 5"/>
    <w:basedOn w:val="Normal"/>
    <w:next w:val="Normal"/>
    <w:autoRedefine/>
    <w:uiPriority w:val="39"/>
    <w:unhideWhenUsed/>
    <w:rsid w:val="00215972"/>
    <w:pPr>
      <w:spacing w:after="100"/>
      <w:ind w:left="880"/>
    </w:pPr>
    <w:rPr>
      <w:rFonts w:asciiTheme="minorHAnsi" w:eastAsiaTheme="minorEastAsia" w:hAnsiTheme="minorHAnsi"/>
      <w:sz w:val="22"/>
    </w:rPr>
  </w:style>
  <w:style w:type="paragraph" w:styleId="TOC6">
    <w:name w:val="toc 6"/>
    <w:basedOn w:val="Normal"/>
    <w:next w:val="Normal"/>
    <w:autoRedefine/>
    <w:uiPriority w:val="39"/>
    <w:unhideWhenUsed/>
    <w:rsid w:val="00215972"/>
    <w:pPr>
      <w:spacing w:after="100"/>
      <w:ind w:left="1100"/>
    </w:pPr>
    <w:rPr>
      <w:rFonts w:asciiTheme="minorHAnsi" w:eastAsiaTheme="minorEastAsia" w:hAnsiTheme="minorHAnsi"/>
      <w:sz w:val="22"/>
    </w:rPr>
  </w:style>
  <w:style w:type="paragraph" w:styleId="TOC7">
    <w:name w:val="toc 7"/>
    <w:basedOn w:val="Normal"/>
    <w:next w:val="Normal"/>
    <w:autoRedefine/>
    <w:uiPriority w:val="39"/>
    <w:unhideWhenUsed/>
    <w:rsid w:val="00215972"/>
    <w:pPr>
      <w:spacing w:after="100"/>
      <w:ind w:left="1320"/>
    </w:pPr>
    <w:rPr>
      <w:rFonts w:asciiTheme="minorHAnsi" w:eastAsiaTheme="minorEastAsia" w:hAnsiTheme="minorHAnsi"/>
      <w:sz w:val="22"/>
    </w:rPr>
  </w:style>
  <w:style w:type="paragraph" w:styleId="TOC8">
    <w:name w:val="toc 8"/>
    <w:basedOn w:val="Normal"/>
    <w:next w:val="Normal"/>
    <w:autoRedefine/>
    <w:uiPriority w:val="39"/>
    <w:unhideWhenUsed/>
    <w:rsid w:val="00215972"/>
    <w:pPr>
      <w:spacing w:after="100"/>
      <w:ind w:left="1540"/>
    </w:pPr>
    <w:rPr>
      <w:rFonts w:asciiTheme="minorHAnsi" w:eastAsiaTheme="minorEastAsia" w:hAnsiTheme="minorHAnsi"/>
      <w:sz w:val="22"/>
    </w:rPr>
  </w:style>
  <w:style w:type="paragraph" w:styleId="TOC9">
    <w:name w:val="toc 9"/>
    <w:basedOn w:val="Normal"/>
    <w:next w:val="Normal"/>
    <w:autoRedefine/>
    <w:uiPriority w:val="39"/>
    <w:unhideWhenUsed/>
    <w:rsid w:val="00215972"/>
    <w:pPr>
      <w:spacing w:after="100"/>
      <w:ind w:left="1760"/>
    </w:pPr>
    <w:rPr>
      <w:rFonts w:asciiTheme="minorHAnsi" w:eastAsiaTheme="minorEastAsia" w:hAnsiTheme="minorHAnsi"/>
      <w:sz w:val="22"/>
    </w:rPr>
  </w:style>
  <w:style w:type="character" w:styleId="UnresolvedMention">
    <w:name w:val="Unresolved Mention"/>
    <w:basedOn w:val="DefaultParagraphFont"/>
    <w:uiPriority w:val="99"/>
    <w:semiHidden/>
    <w:unhideWhenUsed/>
    <w:rsid w:val="00215972"/>
    <w:rPr>
      <w:color w:val="605E5C"/>
      <w:shd w:val="clear" w:color="auto" w:fill="E1DFDD"/>
    </w:rPr>
  </w:style>
  <w:style w:type="paragraph" w:customStyle="1" w:styleId="w2wENNormal">
    <w:name w:val="w2w_EN.Normal"/>
    <w:link w:val="w2wENNormalChar"/>
    <w:rsid w:val="00C54013"/>
    <w:pPr>
      <w:spacing w:before="120" w:after="80" w:line="260" w:lineRule="exact"/>
    </w:pPr>
    <w:rPr>
      <w:rFonts w:ascii="Times New Roman" w:hAnsi="Times New Roman" w:cs="Times New Roman"/>
      <w:bCs/>
      <w:kern w:val="0"/>
    </w:rPr>
  </w:style>
  <w:style w:type="character" w:customStyle="1" w:styleId="w2wENNormalChar">
    <w:name w:val="w2w_EN.Normal Char"/>
    <w:basedOn w:val="DefaultParagraphFont"/>
    <w:link w:val="w2wENNormal"/>
    <w:rsid w:val="00C54013"/>
    <w:rPr>
      <w:rFonts w:ascii="Times New Roman" w:hAnsi="Times New Roman" w:cs="Times New Roman"/>
      <w:bCs/>
      <w:kern w:val="0"/>
    </w:rPr>
  </w:style>
  <w:style w:type="paragraph" w:styleId="Caption">
    <w:name w:val="caption"/>
    <w:basedOn w:val="Normal"/>
    <w:next w:val="Normal"/>
    <w:uiPriority w:val="35"/>
    <w:unhideWhenUsed/>
    <w:qFormat/>
    <w:rsid w:val="00F375D9"/>
    <w:pPr>
      <w:spacing w:after="200"/>
    </w:pPr>
    <w:rPr>
      <w:i/>
      <w:iCs/>
      <w:color w:val="44546A" w:themeColor="text2"/>
      <w:sz w:val="18"/>
      <w:szCs w:val="18"/>
    </w:rPr>
  </w:style>
  <w:style w:type="character" w:customStyle="1" w:styleId="Heading7Char">
    <w:name w:val="Heading 7 Char"/>
    <w:basedOn w:val="DefaultParagraphFont"/>
    <w:link w:val="Heading7"/>
    <w:uiPriority w:val="9"/>
    <w:rsid w:val="00BE411E"/>
    <w:rPr>
      <w:rFonts w:asciiTheme="majorHAnsi" w:eastAsiaTheme="majorEastAsia" w:hAnsiTheme="majorHAnsi" w:cstheme="majorBidi"/>
      <w:i/>
      <w:iCs/>
      <w:color w:val="1F3763" w:themeColor="accent1" w:themeShade="7F"/>
      <w:sz w:val="24"/>
    </w:rPr>
  </w:style>
  <w:style w:type="paragraph" w:styleId="NormalWeb">
    <w:name w:val="Normal (Web)"/>
    <w:basedOn w:val="Normal"/>
    <w:uiPriority w:val="99"/>
    <w:unhideWhenUsed/>
    <w:rsid w:val="00FE5AF2"/>
    <w:pPr>
      <w:spacing w:before="100" w:beforeAutospacing="1" w:after="100" w:afterAutospacing="1"/>
    </w:pPr>
    <w:rPr>
      <w:rFonts w:eastAsia="Times New Roman" w:cs="Times New Roman"/>
      <w:kern w:val="0"/>
      <w:szCs w:val="24"/>
    </w:rPr>
  </w:style>
  <w:style w:type="paragraph" w:customStyle="1" w:styleId="FootnoteTxtNewParag">
    <w:name w:val="Footnote Txt New Parag"/>
    <w:basedOn w:val="Normal"/>
    <w:autoRedefine/>
    <w:rsid w:val="00C252DA"/>
    <w:pPr>
      <w:tabs>
        <w:tab w:val="left" w:pos="550"/>
        <w:tab w:val="left" w:pos="1100"/>
        <w:tab w:val="left" w:pos="1650"/>
        <w:tab w:val="left" w:pos="2200"/>
        <w:tab w:val="left" w:pos="2750"/>
        <w:tab w:val="left" w:pos="3300"/>
        <w:tab w:val="left" w:pos="3850"/>
        <w:tab w:val="left" w:pos="4400"/>
      </w:tabs>
      <w:jc w:val="both"/>
    </w:pPr>
    <w:rPr>
      <w:rFonts w:eastAsia="Times New Roman" w:cs="DecoType Naskh"/>
      <w:kern w:val="0"/>
      <w:sz w:val="18"/>
      <w:szCs w:val="20"/>
      <w:lang w:bidi="ar-JO"/>
      <w14:ligatures w14:val="none"/>
    </w:rPr>
  </w:style>
  <w:style w:type="paragraph" w:customStyle="1" w:styleId="Head3">
    <w:name w:val="Head 3"/>
    <w:basedOn w:val="Normal"/>
    <w:autoRedefine/>
    <w:rsid w:val="00E84DB1"/>
    <w:pPr>
      <w:jc w:val="center"/>
    </w:pPr>
    <w:rPr>
      <w:rFonts w:eastAsia="Times New Roman" w:cs="Traditional Arabic Backslanted"/>
      <w:bCs/>
      <w:kern w:val="0"/>
      <w:szCs w:val="28"/>
      <w:lang w:bidi="ar-JO"/>
      <w14:ligatures w14:val="none"/>
    </w:rPr>
  </w:style>
  <w:style w:type="paragraph" w:customStyle="1" w:styleId="BodyTxt">
    <w:name w:val="Body Txt"/>
    <w:basedOn w:val="Normal"/>
    <w:autoRedefine/>
    <w:rsid w:val="00E84DB1"/>
    <w:pPr>
      <w:tabs>
        <w:tab w:val="left" w:pos="550"/>
        <w:tab w:val="left" w:pos="1100"/>
        <w:tab w:val="left" w:pos="1650"/>
        <w:tab w:val="left" w:pos="2200"/>
        <w:tab w:val="left" w:pos="2750"/>
        <w:tab w:val="left" w:pos="3300"/>
        <w:tab w:val="left" w:pos="3850"/>
        <w:tab w:val="left" w:pos="4400"/>
      </w:tabs>
      <w:ind w:left="454"/>
      <w:jc w:val="both"/>
    </w:pPr>
    <w:rPr>
      <w:rFonts w:eastAsia="Times New Roman" w:cs="DecoType Naskh"/>
      <w:kern w:val="0"/>
      <w:szCs w:val="26"/>
      <w:lang w:bidi="ar-JO"/>
      <w14:ligatures w14:val="none"/>
    </w:rPr>
  </w:style>
  <w:style w:type="paragraph" w:customStyle="1" w:styleId="FootnoteTxtIndent">
    <w:name w:val="Footnote Txt Indent"/>
    <w:basedOn w:val="Normal"/>
    <w:autoRedefine/>
    <w:rsid w:val="00E84DB1"/>
    <w:pPr>
      <w:tabs>
        <w:tab w:val="left" w:pos="550"/>
        <w:tab w:val="left" w:pos="1100"/>
        <w:tab w:val="left" w:pos="1650"/>
        <w:tab w:val="left" w:pos="2200"/>
        <w:tab w:val="left" w:pos="2750"/>
        <w:tab w:val="left" w:pos="3300"/>
        <w:tab w:val="left" w:pos="3850"/>
        <w:tab w:val="left" w:pos="4400"/>
      </w:tabs>
      <w:ind w:left="550" w:right="550"/>
      <w:jc w:val="both"/>
    </w:pPr>
    <w:rPr>
      <w:rFonts w:eastAsia="Times New Roman" w:cs="DecoType Naskh"/>
      <w:kern w:val="0"/>
      <w:sz w:val="18"/>
      <w:szCs w:val="20"/>
      <w:lang w:bidi="ar-JO"/>
    </w:rPr>
  </w:style>
  <w:style w:type="paragraph" w:customStyle="1" w:styleId="Head1">
    <w:name w:val="Head 1"/>
    <w:basedOn w:val="Normal"/>
    <w:autoRedefine/>
    <w:rsid w:val="00355D9E"/>
    <w:pPr>
      <w:jc w:val="center"/>
    </w:pPr>
    <w:rPr>
      <w:rFonts w:eastAsia="Times New Roman" w:cs="DecoType Naskh"/>
      <w:color w:val="A50021"/>
      <w:kern w:val="0"/>
      <w:szCs w:val="32"/>
      <w:lang w:bidi="ar-JO"/>
      <w14:ligatures w14:val="none"/>
    </w:rPr>
  </w:style>
  <w:style w:type="paragraph" w:customStyle="1" w:styleId="Head4">
    <w:name w:val="Head 4"/>
    <w:basedOn w:val="Normal"/>
    <w:autoRedefine/>
    <w:rsid w:val="00005C98"/>
    <w:pPr>
      <w:tabs>
        <w:tab w:val="left" w:pos="454"/>
      </w:tabs>
      <w:spacing w:after="60"/>
      <w:jc w:val="both"/>
    </w:pPr>
    <w:rPr>
      <w:rFonts w:eastAsia="Times New Roman"/>
      <w:bCs/>
      <w:kern w:val="0"/>
      <w:lang w:bidi="ar-JO"/>
      <w14:ligatures w14:val="none"/>
    </w:rPr>
  </w:style>
  <w:style w:type="paragraph" w:customStyle="1" w:styleId="Head5">
    <w:name w:val="Head 5"/>
    <w:basedOn w:val="Normal"/>
    <w:autoRedefine/>
    <w:rsid w:val="00BB48D7"/>
    <w:pPr>
      <w:tabs>
        <w:tab w:val="left" w:pos="454"/>
      </w:tabs>
      <w:spacing w:after="60"/>
      <w:ind w:left="550" w:hanging="550"/>
      <w:jc w:val="both"/>
    </w:pPr>
    <w:rPr>
      <w:rFonts w:eastAsia="Times New Roman"/>
      <w:bCs/>
      <w:kern w:val="0"/>
      <w:sz w:val="48"/>
      <w14:ligatures w14:val="none"/>
    </w:rPr>
  </w:style>
  <w:style w:type="paragraph" w:customStyle="1" w:styleId="BodyInd1">
    <w:name w:val="Body Ind 1"/>
    <w:basedOn w:val="BodyTxt"/>
    <w:autoRedefine/>
    <w:rsid w:val="00355D9E"/>
    <w:pPr>
      <w:ind w:left="1021"/>
    </w:pPr>
  </w:style>
  <w:style w:type="paragraph" w:customStyle="1" w:styleId="BodyInd2">
    <w:name w:val="Body Ind 2"/>
    <w:basedOn w:val="BodyTxt"/>
    <w:autoRedefine/>
    <w:rsid w:val="00355D9E"/>
    <w:pPr>
      <w:ind w:left="1588"/>
    </w:pPr>
  </w:style>
  <w:style w:type="paragraph" w:customStyle="1" w:styleId="BodyInd3">
    <w:name w:val="Body Ind 3"/>
    <w:basedOn w:val="BodyTxt"/>
    <w:autoRedefine/>
    <w:rsid w:val="00355D9E"/>
    <w:pPr>
      <w:ind w:left="2155"/>
    </w:pPr>
  </w:style>
  <w:style w:type="paragraph" w:customStyle="1" w:styleId="BodyInd4">
    <w:name w:val="Body Ind 4"/>
    <w:basedOn w:val="BodyTxt"/>
    <w:autoRedefine/>
    <w:rsid w:val="00355D9E"/>
    <w:pPr>
      <w:ind w:left="2722"/>
    </w:pPr>
  </w:style>
  <w:style w:type="paragraph" w:customStyle="1" w:styleId="FootnoteTxt">
    <w:name w:val="Footnote Txt"/>
    <w:basedOn w:val="BodyTxt"/>
    <w:autoRedefine/>
    <w:rsid w:val="00355D9E"/>
    <w:pPr>
      <w:ind w:left="0" w:firstLine="550"/>
    </w:pPr>
    <w:rPr>
      <w:sz w:val="18"/>
      <w:szCs w:val="20"/>
    </w:rPr>
  </w:style>
  <w:style w:type="character" w:customStyle="1" w:styleId="Hyperlink1">
    <w:name w:val="Hyperlink1"/>
    <w:basedOn w:val="DefaultParagraphFont"/>
    <w:uiPriority w:val="99"/>
    <w:unhideWhenUsed/>
    <w:rsid w:val="00835AEB"/>
    <w:rPr>
      <w:color w:val="0563C1"/>
      <w:u w:val="single"/>
    </w:rPr>
  </w:style>
  <w:style w:type="character" w:styleId="CommentReference">
    <w:name w:val="annotation reference"/>
    <w:basedOn w:val="DefaultParagraphFont"/>
    <w:uiPriority w:val="99"/>
    <w:semiHidden/>
    <w:unhideWhenUsed/>
    <w:rsid w:val="008A15CE"/>
    <w:rPr>
      <w:sz w:val="16"/>
      <w:szCs w:val="16"/>
    </w:rPr>
  </w:style>
  <w:style w:type="paragraph" w:styleId="CommentText">
    <w:name w:val="annotation text"/>
    <w:basedOn w:val="Normal"/>
    <w:link w:val="CommentTextChar"/>
    <w:uiPriority w:val="99"/>
    <w:semiHidden/>
    <w:unhideWhenUsed/>
    <w:rsid w:val="008A15CE"/>
    <w:rPr>
      <w:sz w:val="20"/>
      <w:szCs w:val="20"/>
    </w:rPr>
  </w:style>
  <w:style w:type="character" w:customStyle="1" w:styleId="CommentTextChar">
    <w:name w:val="Comment Text Char"/>
    <w:basedOn w:val="DefaultParagraphFont"/>
    <w:link w:val="CommentText"/>
    <w:uiPriority w:val="99"/>
    <w:semiHidden/>
    <w:rsid w:val="008A15CE"/>
    <w:rPr>
      <w:rFonts w:ascii="Times New Roman" w:hAnsi="Times New Roman"/>
      <w:color w:val="C00000"/>
      <w:sz w:val="20"/>
      <w:szCs w:val="20"/>
    </w:rPr>
  </w:style>
  <w:style w:type="paragraph" w:styleId="CommentSubject">
    <w:name w:val="annotation subject"/>
    <w:basedOn w:val="CommentText"/>
    <w:next w:val="CommentText"/>
    <w:link w:val="CommentSubjectChar"/>
    <w:uiPriority w:val="99"/>
    <w:semiHidden/>
    <w:unhideWhenUsed/>
    <w:rsid w:val="008A15CE"/>
    <w:rPr>
      <w:b/>
      <w:bCs/>
    </w:rPr>
  </w:style>
  <w:style w:type="character" w:customStyle="1" w:styleId="CommentSubjectChar">
    <w:name w:val="Comment Subject Char"/>
    <w:basedOn w:val="CommentTextChar"/>
    <w:link w:val="CommentSubject"/>
    <w:uiPriority w:val="99"/>
    <w:semiHidden/>
    <w:rsid w:val="008A15CE"/>
    <w:rPr>
      <w:rFonts w:ascii="Times New Roman" w:hAnsi="Times New Roman"/>
      <w:b/>
      <w:bCs/>
      <w:color w:val="C00000"/>
      <w:sz w:val="20"/>
      <w:szCs w:val="20"/>
    </w:rPr>
  </w:style>
  <w:style w:type="paragraph" w:customStyle="1" w:styleId="Heading2B">
    <w:name w:val="Heading 2B"/>
    <w:basedOn w:val="Heading3"/>
    <w:autoRedefine/>
    <w:qFormat/>
    <w:rsid w:val="0081030F"/>
    <w:rPr>
      <w:sz w:val="48"/>
      <w:szCs w:val="48"/>
    </w:rPr>
  </w:style>
  <w:style w:type="character" w:styleId="Strong">
    <w:name w:val="Strong"/>
    <w:basedOn w:val="DefaultParagraphFont"/>
    <w:uiPriority w:val="22"/>
    <w:qFormat/>
    <w:rsid w:val="00C51F1D"/>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82338">
      <w:bodyDiv w:val="1"/>
      <w:marLeft w:val="0"/>
      <w:marRight w:val="0"/>
      <w:marTop w:val="0"/>
      <w:marBottom w:val="0"/>
      <w:divBdr>
        <w:top w:val="none" w:sz="0" w:space="0" w:color="auto"/>
        <w:left w:val="none" w:sz="0" w:space="0" w:color="auto"/>
        <w:bottom w:val="none" w:sz="0" w:space="0" w:color="auto"/>
        <w:right w:val="none" w:sz="0" w:space="0" w:color="auto"/>
      </w:divBdr>
    </w:div>
    <w:div w:id="81679981">
      <w:bodyDiv w:val="1"/>
      <w:marLeft w:val="0"/>
      <w:marRight w:val="0"/>
      <w:marTop w:val="0"/>
      <w:marBottom w:val="0"/>
      <w:divBdr>
        <w:top w:val="none" w:sz="0" w:space="0" w:color="auto"/>
        <w:left w:val="none" w:sz="0" w:space="0" w:color="auto"/>
        <w:bottom w:val="none" w:sz="0" w:space="0" w:color="auto"/>
        <w:right w:val="none" w:sz="0" w:space="0" w:color="auto"/>
      </w:divBdr>
    </w:div>
    <w:div w:id="413017000">
      <w:bodyDiv w:val="1"/>
      <w:marLeft w:val="0"/>
      <w:marRight w:val="0"/>
      <w:marTop w:val="0"/>
      <w:marBottom w:val="0"/>
      <w:divBdr>
        <w:top w:val="none" w:sz="0" w:space="0" w:color="auto"/>
        <w:left w:val="none" w:sz="0" w:space="0" w:color="auto"/>
        <w:bottom w:val="none" w:sz="0" w:space="0" w:color="auto"/>
        <w:right w:val="none" w:sz="0" w:space="0" w:color="auto"/>
      </w:divBdr>
    </w:div>
    <w:div w:id="632369957">
      <w:bodyDiv w:val="1"/>
      <w:marLeft w:val="0"/>
      <w:marRight w:val="0"/>
      <w:marTop w:val="0"/>
      <w:marBottom w:val="0"/>
      <w:divBdr>
        <w:top w:val="none" w:sz="0" w:space="0" w:color="auto"/>
        <w:left w:val="none" w:sz="0" w:space="0" w:color="auto"/>
        <w:bottom w:val="none" w:sz="0" w:space="0" w:color="auto"/>
        <w:right w:val="none" w:sz="0" w:space="0" w:color="auto"/>
      </w:divBdr>
    </w:div>
    <w:div w:id="723720773">
      <w:bodyDiv w:val="1"/>
      <w:marLeft w:val="0"/>
      <w:marRight w:val="0"/>
      <w:marTop w:val="0"/>
      <w:marBottom w:val="0"/>
      <w:divBdr>
        <w:top w:val="none" w:sz="0" w:space="0" w:color="auto"/>
        <w:left w:val="none" w:sz="0" w:space="0" w:color="auto"/>
        <w:bottom w:val="none" w:sz="0" w:space="0" w:color="auto"/>
        <w:right w:val="none" w:sz="0" w:space="0" w:color="auto"/>
      </w:divBdr>
    </w:div>
    <w:div w:id="780496249">
      <w:bodyDiv w:val="1"/>
      <w:marLeft w:val="0"/>
      <w:marRight w:val="0"/>
      <w:marTop w:val="0"/>
      <w:marBottom w:val="0"/>
      <w:divBdr>
        <w:top w:val="none" w:sz="0" w:space="0" w:color="auto"/>
        <w:left w:val="none" w:sz="0" w:space="0" w:color="auto"/>
        <w:bottom w:val="none" w:sz="0" w:space="0" w:color="auto"/>
        <w:right w:val="none" w:sz="0" w:space="0" w:color="auto"/>
      </w:divBdr>
    </w:div>
    <w:div w:id="842085688">
      <w:bodyDiv w:val="1"/>
      <w:marLeft w:val="0"/>
      <w:marRight w:val="0"/>
      <w:marTop w:val="0"/>
      <w:marBottom w:val="0"/>
      <w:divBdr>
        <w:top w:val="none" w:sz="0" w:space="0" w:color="auto"/>
        <w:left w:val="none" w:sz="0" w:space="0" w:color="auto"/>
        <w:bottom w:val="none" w:sz="0" w:space="0" w:color="auto"/>
        <w:right w:val="none" w:sz="0" w:space="0" w:color="auto"/>
      </w:divBdr>
    </w:div>
    <w:div w:id="926306806">
      <w:bodyDiv w:val="1"/>
      <w:marLeft w:val="0"/>
      <w:marRight w:val="0"/>
      <w:marTop w:val="0"/>
      <w:marBottom w:val="0"/>
      <w:divBdr>
        <w:top w:val="none" w:sz="0" w:space="0" w:color="auto"/>
        <w:left w:val="none" w:sz="0" w:space="0" w:color="auto"/>
        <w:bottom w:val="none" w:sz="0" w:space="0" w:color="auto"/>
        <w:right w:val="none" w:sz="0" w:space="0" w:color="auto"/>
      </w:divBdr>
    </w:div>
    <w:div w:id="989479493">
      <w:bodyDiv w:val="1"/>
      <w:marLeft w:val="0"/>
      <w:marRight w:val="0"/>
      <w:marTop w:val="0"/>
      <w:marBottom w:val="0"/>
      <w:divBdr>
        <w:top w:val="none" w:sz="0" w:space="0" w:color="auto"/>
        <w:left w:val="none" w:sz="0" w:space="0" w:color="auto"/>
        <w:bottom w:val="none" w:sz="0" w:space="0" w:color="auto"/>
        <w:right w:val="none" w:sz="0" w:space="0" w:color="auto"/>
      </w:divBdr>
    </w:div>
    <w:div w:id="1087992861">
      <w:bodyDiv w:val="1"/>
      <w:marLeft w:val="0"/>
      <w:marRight w:val="0"/>
      <w:marTop w:val="0"/>
      <w:marBottom w:val="0"/>
      <w:divBdr>
        <w:top w:val="none" w:sz="0" w:space="0" w:color="auto"/>
        <w:left w:val="none" w:sz="0" w:space="0" w:color="auto"/>
        <w:bottom w:val="none" w:sz="0" w:space="0" w:color="auto"/>
        <w:right w:val="none" w:sz="0" w:space="0" w:color="auto"/>
      </w:divBdr>
    </w:div>
    <w:div w:id="1094592074">
      <w:bodyDiv w:val="1"/>
      <w:marLeft w:val="0"/>
      <w:marRight w:val="0"/>
      <w:marTop w:val="0"/>
      <w:marBottom w:val="0"/>
      <w:divBdr>
        <w:top w:val="none" w:sz="0" w:space="0" w:color="auto"/>
        <w:left w:val="none" w:sz="0" w:space="0" w:color="auto"/>
        <w:bottom w:val="none" w:sz="0" w:space="0" w:color="auto"/>
        <w:right w:val="none" w:sz="0" w:space="0" w:color="auto"/>
      </w:divBdr>
    </w:div>
    <w:div w:id="1114596859">
      <w:bodyDiv w:val="1"/>
      <w:marLeft w:val="0"/>
      <w:marRight w:val="0"/>
      <w:marTop w:val="0"/>
      <w:marBottom w:val="0"/>
      <w:divBdr>
        <w:top w:val="none" w:sz="0" w:space="0" w:color="auto"/>
        <w:left w:val="none" w:sz="0" w:space="0" w:color="auto"/>
        <w:bottom w:val="none" w:sz="0" w:space="0" w:color="auto"/>
        <w:right w:val="none" w:sz="0" w:space="0" w:color="auto"/>
      </w:divBdr>
    </w:div>
    <w:div w:id="1120031428">
      <w:bodyDiv w:val="1"/>
      <w:marLeft w:val="0"/>
      <w:marRight w:val="0"/>
      <w:marTop w:val="0"/>
      <w:marBottom w:val="0"/>
      <w:divBdr>
        <w:top w:val="none" w:sz="0" w:space="0" w:color="auto"/>
        <w:left w:val="none" w:sz="0" w:space="0" w:color="auto"/>
        <w:bottom w:val="none" w:sz="0" w:space="0" w:color="auto"/>
        <w:right w:val="none" w:sz="0" w:space="0" w:color="auto"/>
      </w:divBdr>
    </w:div>
    <w:div w:id="1135222664">
      <w:bodyDiv w:val="1"/>
      <w:marLeft w:val="0"/>
      <w:marRight w:val="0"/>
      <w:marTop w:val="0"/>
      <w:marBottom w:val="0"/>
      <w:divBdr>
        <w:top w:val="none" w:sz="0" w:space="0" w:color="auto"/>
        <w:left w:val="none" w:sz="0" w:space="0" w:color="auto"/>
        <w:bottom w:val="none" w:sz="0" w:space="0" w:color="auto"/>
        <w:right w:val="none" w:sz="0" w:space="0" w:color="auto"/>
      </w:divBdr>
    </w:div>
    <w:div w:id="1608272139">
      <w:bodyDiv w:val="1"/>
      <w:marLeft w:val="0"/>
      <w:marRight w:val="0"/>
      <w:marTop w:val="0"/>
      <w:marBottom w:val="0"/>
      <w:divBdr>
        <w:top w:val="none" w:sz="0" w:space="0" w:color="auto"/>
        <w:left w:val="none" w:sz="0" w:space="0" w:color="auto"/>
        <w:bottom w:val="none" w:sz="0" w:space="0" w:color="auto"/>
        <w:right w:val="none" w:sz="0" w:space="0" w:color="auto"/>
      </w:divBdr>
    </w:div>
    <w:div w:id="1609895382">
      <w:bodyDiv w:val="1"/>
      <w:marLeft w:val="0"/>
      <w:marRight w:val="0"/>
      <w:marTop w:val="0"/>
      <w:marBottom w:val="0"/>
      <w:divBdr>
        <w:top w:val="none" w:sz="0" w:space="0" w:color="auto"/>
        <w:left w:val="none" w:sz="0" w:space="0" w:color="auto"/>
        <w:bottom w:val="none" w:sz="0" w:space="0" w:color="auto"/>
        <w:right w:val="none" w:sz="0" w:space="0" w:color="auto"/>
      </w:divBdr>
    </w:div>
    <w:div w:id="1627925705">
      <w:bodyDiv w:val="1"/>
      <w:marLeft w:val="0"/>
      <w:marRight w:val="0"/>
      <w:marTop w:val="0"/>
      <w:marBottom w:val="0"/>
      <w:divBdr>
        <w:top w:val="none" w:sz="0" w:space="0" w:color="auto"/>
        <w:left w:val="none" w:sz="0" w:space="0" w:color="auto"/>
        <w:bottom w:val="none" w:sz="0" w:space="0" w:color="auto"/>
        <w:right w:val="none" w:sz="0" w:space="0" w:color="auto"/>
      </w:divBdr>
    </w:div>
    <w:div w:id="1710445876">
      <w:bodyDiv w:val="1"/>
      <w:marLeft w:val="0"/>
      <w:marRight w:val="0"/>
      <w:marTop w:val="0"/>
      <w:marBottom w:val="0"/>
      <w:divBdr>
        <w:top w:val="none" w:sz="0" w:space="0" w:color="auto"/>
        <w:left w:val="none" w:sz="0" w:space="0" w:color="auto"/>
        <w:bottom w:val="none" w:sz="0" w:space="0" w:color="auto"/>
        <w:right w:val="none" w:sz="0" w:space="0" w:color="auto"/>
      </w:divBdr>
    </w:div>
    <w:div w:id="1746949558">
      <w:bodyDiv w:val="1"/>
      <w:marLeft w:val="0"/>
      <w:marRight w:val="0"/>
      <w:marTop w:val="0"/>
      <w:marBottom w:val="0"/>
      <w:divBdr>
        <w:top w:val="none" w:sz="0" w:space="0" w:color="auto"/>
        <w:left w:val="none" w:sz="0" w:space="0" w:color="auto"/>
        <w:bottom w:val="none" w:sz="0" w:space="0" w:color="auto"/>
        <w:right w:val="none" w:sz="0" w:space="0" w:color="auto"/>
      </w:divBdr>
    </w:div>
    <w:div w:id="1836922042">
      <w:bodyDiv w:val="1"/>
      <w:marLeft w:val="0"/>
      <w:marRight w:val="0"/>
      <w:marTop w:val="0"/>
      <w:marBottom w:val="0"/>
      <w:divBdr>
        <w:top w:val="none" w:sz="0" w:space="0" w:color="auto"/>
        <w:left w:val="none" w:sz="0" w:space="0" w:color="auto"/>
        <w:bottom w:val="none" w:sz="0" w:space="0" w:color="auto"/>
        <w:right w:val="none" w:sz="0" w:space="0" w:color="auto"/>
      </w:divBdr>
    </w:div>
    <w:div w:id="1869219907">
      <w:bodyDiv w:val="1"/>
      <w:marLeft w:val="0"/>
      <w:marRight w:val="0"/>
      <w:marTop w:val="0"/>
      <w:marBottom w:val="0"/>
      <w:divBdr>
        <w:top w:val="none" w:sz="0" w:space="0" w:color="auto"/>
        <w:left w:val="none" w:sz="0" w:space="0" w:color="auto"/>
        <w:bottom w:val="none" w:sz="0" w:space="0" w:color="auto"/>
        <w:right w:val="none" w:sz="0" w:space="0" w:color="auto"/>
      </w:divBdr>
    </w:div>
    <w:div w:id="1895849917">
      <w:bodyDiv w:val="1"/>
      <w:marLeft w:val="0"/>
      <w:marRight w:val="0"/>
      <w:marTop w:val="0"/>
      <w:marBottom w:val="0"/>
      <w:divBdr>
        <w:top w:val="none" w:sz="0" w:space="0" w:color="auto"/>
        <w:left w:val="none" w:sz="0" w:space="0" w:color="auto"/>
        <w:bottom w:val="none" w:sz="0" w:space="0" w:color="auto"/>
        <w:right w:val="none" w:sz="0" w:space="0" w:color="auto"/>
      </w:divBdr>
    </w:div>
    <w:div w:id="1976518348">
      <w:bodyDiv w:val="1"/>
      <w:marLeft w:val="0"/>
      <w:marRight w:val="0"/>
      <w:marTop w:val="0"/>
      <w:marBottom w:val="0"/>
      <w:divBdr>
        <w:top w:val="none" w:sz="0" w:space="0" w:color="auto"/>
        <w:left w:val="none" w:sz="0" w:space="0" w:color="auto"/>
        <w:bottom w:val="none" w:sz="0" w:space="0" w:color="auto"/>
        <w:right w:val="none" w:sz="0" w:space="0" w:color="auto"/>
      </w:divBdr>
    </w:div>
    <w:div w:id="20424390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nswersingenesis.org/the-flood/flood-legends/the-background-of-the-gilgamesh-epic/" TargetMode="External"/><Relationship Id="rId21" Type="http://schemas.openxmlformats.org/officeDocument/2006/relationships/package" Target="embeddings/Microsoft_PowerPoint_Presentation1.pptx"/><Relationship Id="rId34" Type="http://schemas.openxmlformats.org/officeDocument/2006/relationships/oleObject" Target="embeddings/Microsoft_PowerPoint_97-2003_Presentation3.ppt"/><Relationship Id="rId42" Type="http://schemas.openxmlformats.org/officeDocument/2006/relationships/image" Target="media/image22.jpeg"/><Relationship Id="rId47" Type="http://schemas.openxmlformats.org/officeDocument/2006/relationships/oleObject" Target="embeddings/Microsoft_PowerPoint_97-2003_Presentation4.ppt"/><Relationship Id="rId50" Type="http://schemas.openxmlformats.org/officeDocument/2006/relationships/image" Target="media/image29.jpeg"/><Relationship Id="rId55" Type="http://schemas.openxmlformats.org/officeDocument/2006/relationships/image" Target="media/image34.jpeg"/><Relationship Id="rId63" Type="http://schemas.openxmlformats.org/officeDocument/2006/relationships/image" Target="media/image40.wmf"/><Relationship Id="rId68" Type="http://schemas.openxmlformats.org/officeDocument/2006/relationships/oleObject" Target="embeddings/Microsoft_PowerPoint_97-2003_Presentation8.ppt"/><Relationship Id="rId76" Type="http://schemas.openxmlformats.org/officeDocument/2006/relationships/image" Target="media/image48.jpeg"/><Relationship Id="rId84" Type="http://schemas.openxmlformats.org/officeDocument/2006/relationships/image" Target="media/image54.png"/><Relationship Id="rId89" Type="http://schemas.openxmlformats.org/officeDocument/2006/relationships/image" Target="media/image57.jpeg"/><Relationship Id="rId97"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1.png"/><Relationship Id="rId11" Type="http://schemas.openxmlformats.org/officeDocument/2006/relationships/package" Target="embeddings/Microsoft_PowerPoint_Presentation.pptx"/><Relationship Id="rId24" Type="http://schemas.openxmlformats.org/officeDocument/2006/relationships/hyperlink" Target="https://answersingenesis.org/the-flood/flood-legends/the-genesis-flood-not-just-another-legend/" TargetMode="External"/><Relationship Id="rId32" Type="http://schemas.openxmlformats.org/officeDocument/2006/relationships/image" Target="media/image14.png"/><Relationship Id="rId37" Type="http://schemas.openxmlformats.org/officeDocument/2006/relationships/package" Target="embeddings/Microsoft_PowerPoint_Presentation2.pptx"/><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2.jpeg"/><Relationship Id="rId58" Type="http://schemas.openxmlformats.org/officeDocument/2006/relationships/oleObject" Target="embeddings/Microsoft_PowerPoint_97-2003_Presentation5.ppt"/><Relationship Id="rId66" Type="http://schemas.openxmlformats.org/officeDocument/2006/relationships/oleObject" Target="embeddings/Microsoft_PowerPoint_97-2003_Presentation7.ppt"/><Relationship Id="rId74" Type="http://schemas.openxmlformats.org/officeDocument/2006/relationships/oleObject" Target="embeddings/Microsoft_PowerPoint_97-2003_Presentation10.ppt"/><Relationship Id="rId79" Type="http://schemas.openxmlformats.org/officeDocument/2006/relationships/image" Target="media/image51.wmf"/><Relationship Id="rId87" Type="http://schemas.openxmlformats.org/officeDocument/2006/relationships/image" Target="media/image56.wmf"/><Relationship Id="rId5" Type="http://schemas.openxmlformats.org/officeDocument/2006/relationships/webSettings" Target="webSettings.xml"/><Relationship Id="rId61" Type="http://schemas.openxmlformats.org/officeDocument/2006/relationships/image" Target="media/image38.jpeg"/><Relationship Id="rId82" Type="http://schemas.openxmlformats.org/officeDocument/2006/relationships/oleObject" Target="embeddings/Microsoft_PowerPoint_97-2003_Presentation12.ppt"/><Relationship Id="rId90" Type="http://schemas.openxmlformats.org/officeDocument/2006/relationships/image" Target="media/image58.jpeg"/><Relationship Id="rId95" Type="http://schemas.openxmlformats.org/officeDocument/2006/relationships/image" Target="media/image63.jpeg"/><Relationship Id="rId19" Type="http://schemas.openxmlformats.org/officeDocument/2006/relationships/oleObject" Target="embeddings/Microsoft_PowerPoint_97-2003_Presentation2.ppt"/><Relationship Id="rId14" Type="http://schemas.openxmlformats.org/officeDocument/2006/relationships/image" Target="media/image4.jpg"/><Relationship Id="rId22" Type="http://schemas.openxmlformats.org/officeDocument/2006/relationships/image" Target="media/image9.jpeg"/><Relationship Id="rId27" Type="http://schemas.openxmlformats.org/officeDocument/2006/relationships/hyperlink" Target="https://answersingenesis.org/bios/nozomi-osanai/" TargetMode="External"/><Relationship Id="rId30" Type="http://schemas.openxmlformats.org/officeDocument/2006/relationships/image" Target="media/image12.jpeg"/><Relationship Id="rId35" Type="http://schemas.openxmlformats.org/officeDocument/2006/relationships/image" Target="media/image16.jpeg"/><Relationship Id="rId43" Type="http://schemas.openxmlformats.org/officeDocument/2006/relationships/image" Target="media/image23.jpg"/><Relationship Id="rId48" Type="http://schemas.openxmlformats.org/officeDocument/2006/relationships/image" Target="media/image27.png"/><Relationship Id="rId56" Type="http://schemas.openxmlformats.org/officeDocument/2006/relationships/image" Target="media/image35.jpeg"/><Relationship Id="rId64" Type="http://schemas.openxmlformats.org/officeDocument/2006/relationships/oleObject" Target="embeddings/Microsoft_PowerPoint_97-2003_Presentation6.ppt"/><Relationship Id="rId69" Type="http://schemas.openxmlformats.org/officeDocument/2006/relationships/image" Target="media/image43.wmf"/><Relationship Id="rId77" Type="http://schemas.openxmlformats.org/officeDocument/2006/relationships/image" Target="media/image49.jpeg"/><Relationship Id="rId8" Type="http://schemas.openxmlformats.org/officeDocument/2006/relationships/hyperlink" Target="http://www.paultanner.org" TargetMode="External"/><Relationship Id="rId51" Type="http://schemas.openxmlformats.org/officeDocument/2006/relationships/image" Target="media/image30.jpeg"/><Relationship Id="rId72" Type="http://schemas.openxmlformats.org/officeDocument/2006/relationships/image" Target="media/image45.jpeg"/><Relationship Id="rId80" Type="http://schemas.openxmlformats.org/officeDocument/2006/relationships/oleObject" Target="embeddings/Microsoft_PowerPoint_97-2003_Presentation11.ppt"/><Relationship Id="rId85" Type="http://schemas.openxmlformats.org/officeDocument/2006/relationships/image" Target="media/image55.wmf"/><Relationship Id="rId93" Type="http://schemas.openxmlformats.org/officeDocument/2006/relationships/image" Target="media/image61.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oleObject" Target="embeddings/Microsoft_PowerPoint_97-2003_Presentation1.ppt"/><Relationship Id="rId25" Type="http://schemas.openxmlformats.org/officeDocument/2006/relationships/hyperlink" Target="https://answersingenesis.org/bios/troy-lacey/" TargetMode="External"/><Relationship Id="rId33" Type="http://schemas.openxmlformats.org/officeDocument/2006/relationships/image" Target="media/image15.wmf"/><Relationship Id="rId38" Type="http://schemas.openxmlformats.org/officeDocument/2006/relationships/image" Target="media/image18.png"/><Relationship Id="rId46" Type="http://schemas.openxmlformats.org/officeDocument/2006/relationships/image" Target="media/image26.wmf"/><Relationship Id="rId59" Type="http://schemas.openxmlformats.org/officeDocument/2006/relationships/image" Target="media/image37.emf"/><Relationship Id="rId67" Type="http://schemas.openxmlformats.org/officeDocument/2006/relationships/image" Target="media/image42.wmf"/><Relationship Id="rId20" Type="http://schemas.openxmlformats.org/officeDocument/2006/relationships/image" Target="media/image8.emf"/><Relationship Id="rId41" Type="http://schemas.openxmlformats.org/officeDocument/2006/relationships/image" Target="media/image21.png"/><Relationship Id="rId54" Type="http://schemas.openxmlformats.org/officeDocument/2006/relationships/image" Target="media/image33.jpeg"/><Relationship Id="rId62" Type="http://schemas.openxmlformats.org/officeDocument/2006/relationships/image" Target="media/image39.jpeg"/><Relationship Id="rId70" Type="http://schemas.openxmlformats.org/officeDocument/2006/relationships/oleObject" Target="embeddings/Microsoft_PowerPoint_97-2003_Presentation9.ppt"/><Relationship Id="rId75" Type="http://schemas.openxmlformats.org/officeDocument/2006/relationships/image" Target="media/image47.jpeg"/><Relationship Id="rId83" Type="http://schemas.openxmlformats.org/officeDocument/2006/relationships/image" Target="media/image53.jpeg"/><Relationship Id="rId88" Type="http://schemas.openxmlformats.org/officeDocument/2006/relationships/oleObject" Target="embeddings/Microsoft_PowerPoint_97-2003_Presentation14.ppt"/><Relationship Id="rId91" Type="http://schemas.openxmlformats.org/officeDocument/2006/relationships/image" Target="media/image59.jpeg"/><Relationship Id="rId9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0.png"/><Relationship Id="rId28" Type="http://schemas.openxmlformats.org/officeDocument/2006/relationships/hyperlink" Target="https://answersingenesis.org/the-flood/what-are-some-of-the-best-flood-evidences/" TargetMode="External"/><Relationship Id="rId36" Type="http://schemas.openxmlformats.org/officeDocument/2006/relationships/image" Target="media/image17.emf"/><Relationship Id="rId49" Type="http://schemas.openxmlformats.org/officeDocument/2006/relationships/image" Target="media/image28.jpeg"/><Relationship Id="rId57" Type="http://schemas.openxmlformats.org/officeDocument/2006/relationships/image" Target="media/image36.wmf"/><Relationship Id="rId10" Type="http://schemas.openxmlformats.org/officeDocument/2006/relationships/image" Target="media/image2.emf"/><Relationship Id="rId31" Type="http://schemas.openxmlformats.org/officeDocument/2006/relationships/image" Target="media/image13.jpeg"/><Relationship Id="rId44" Type="http://schemas.openxmlformats.org/officeDocument/2006/relationships/image" Target="media/image24.png"/><Relationship Id="rId52" Type="http://schemas.openxmlformats.org/officeDocument/2006/relationships/image" Target="media/image31.jpeg"/><Relationship Id="rId60" Type="http://schemas.openxmlformats.org/officeDocument/2006/relationships/package" Target="embeddings/Microsoft_PowerPoint_Presentation3.pptx"/><Relationship Id="rId65" Type="http://schemas.openxmlformats.org/officeDocument/2006/relationships/image" Target="media/image41.wmf"/><Relationship Id="rId73" Type="http://schemas.openxmlformats.org/officeDocument/2006/relationships/image" Target="media/image46.wmf"/><Relationship Id="rId78" Type="http://schemas.openxmlformats.org/officeDocument/2006/relationships/image" Target="media/image50.jpeg"/><Relationship Id="rId81" Type="http://schemas.openxmlformats.org/officeDocument/2006/relationships/image" Target="media/image52.wmf"/><Relationship Id="rId86" Type="http://schemas.openxmlformats.org/officeDocument/2006/relationships/oleObject" Target="embeddings/Microsoft_PowerPoint_97-2003_Presentation13.ppt"/><Relationship Id="rId94" Type="http://schemas.openxmlformats.org/officeDocument/2006/relationships/image" Target="media/image62.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gif"/><Relationship Id="rId13" Type="http://schemas.openxmlformats.org/officeDocument/2006/relationships/oleObject" Target="embeddings/Microsoft_PowerPoint_97-2003_Presentation.ppt"/><Relationship Id="rId18" Type="http://schemas.openxmlformats.org/officeDocument/2006/relationships/image" Target="media/image7.wmf"/><Relationship Id="rId39" Type="http://schemas.openxmlformats.org/officeDocument/2006/relationships/image" Target="media/image19.png"/></Relationships>
</file>

<file path=word/_rels/footnotes.xml.rels><?xml version="1.0" encoding="UTF-8" standalone="yes"?>
<Relationships xmlns="http://schemas.openxmlformats.org/package/2006/relationships"><Relationship Id="rId2" Type="http://schemas.openxmlformats.org/officeDocument/2006/relationships/hyperlink" Target="https://bible.org/article/canaanites-genocide-or-judgment" TargetMode="External"/><Relationship Id="rId1" Type="http://schemas.openxmlformats.org/officeDocument/2006/relationships/hyperlink" Target="https://biblearchaeology.org/images/Genesis-5-and-11/Smith-Henry-The-Case-for-the-Septuagints-Chronology-in-Gen-5-and-11-ICC.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B220CB-82BF-409C-A1F0-6B566B633E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351</Pages>
  <Words>79088</Words>
  <Characters>450807</Characters>
  <Application>Microsoft Office Word</Application>
  <DocSecurity>0</DocSecurity>
  <Lines>3756</Lines>
  <Paragraphs>1057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 Paul Tanner</dc:creator>
  <cp:keywords/>
  <dc:description/>
  <cp:lastModifiedBy>J. Paul Tanner</cp:lastModifiedBy>
  <cp:revision>2</cp:revision>
  <cp:lastPrinted>2024-01-17T20:58:00Z</cp:lastPrinted>
  <dcterms:created xsi:type="dcterms:W3CDTF">2025-03-19T17:17:00Z</dcterms:created>
  <dcterms:modified xsi:type="dcterms:W3CDTF">2025-03-19T17:17:00Z</dcterms:modified>
</cp:coreProperties>
</file>